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636778">
      <w:pPr>
        <w:pStyle w:val="30"/>
        <w:jc w:val="center"/>
        <w:rPr>
          <w:rFonts w:hint="eastAsia" w:ascii="方正小标宋简体" w:hAnsi="方正小标宋简体" w:eastAsia="方正小标宋简体" w:cs="方正小标宋简体"/>
          <w:sz w:val="84"/>
          <w:szCs w:val="84"/>
          <w:highlight w:val="none"/>
        </w:rPr>
      </w:pPr>
    </w:p>
    <w:p w14:paraId="0371F61E">
      <w:pPr>
        <w:pStyle w:val="30"/>
        <w:spacing w:line="360" w:lineRule="auto"/>
        <w:jc w:val="center"/>
        <w:rPr>
          <w:rFonts w:hint="eastAsia" w:hAnsi="宋体" w:cs="宋体"/>
          <w:b/>
          <w:sz w:val="84"/>
          <w:szCs w:val="84"/>
          <w:highlight w:val="none"/>
        </w:rPr>
      </w:pPr>
      <w:r>
        <w:rPr>
          <w:rFonts w:hint="eastAsia" w:hAnsi="宋体" w:cs="宋体"/>
          <w:b/>
          <w:sz w:val="84"/>
          <w:szCs w:val="84"/>
          <w:highlight w:val="none"/>
        </w:rPr>
        <w:t>政府采购</w:t>
      </w:r>
    </w:p>
    <w:p w14:paraId="7AE17554">
      <w:pPr>
        <w:pStyle w:val="30"/>
        <w:spacing w:line="360" w:lineRule="auto"/>
        <w:jc w:val="center"/>
        <w:rPr>
          <w:rFonts w:hint="eastAsia" w:hAnsi="宋体" w:cs="宋体"/>
          <w:sz w:val="84"/>
          <w:szCs w:val="84"/>
          <w:highlight w:val="none"/>
        </w:rPr>
      </w:pPr>
      <w:r>
        <w:rPr>
          <w:rFonts w:hint="eastAsia" w:hAnsi="宋体" w:cs="宋体"/>
          <w:b/>
          <w:sz w:val="84"/>
          <w:szCs w:val="84"/>
          <w:highlight w:val="none"/>
        </w:rPr>
        <w:t>竞争性磋商文件</w:t>
      </w:r>
    </w:p>
    <w:p w14:paraId="5D514A7B">
      <w:pPr>
        <w:pStyle w:val="30"/>
        <w:adjustRightInd w:val="0"/>
        <w:snapToGrid w:val="0"/>
        <w:spacing w:line="360" w:lineRule="auto"/>
        <w:ind w:left="2563" w:leftChars="554" w:hanging="1400" w:hangingChars="700"/>
        <w:rPr>
          <w:rFonts w:ascii="Tahoma" w:hAnsi="Tahoma" w:cs="Tahoma"/>
          <w:sz w:val="20"/>
          <w:szCs w:val="20"/>
          <w:highlight w:val="none"/>
        </w:rPr>
      </w:pPr>
    </w:p>
    <w:p w14:paraId="2F160FD1">
      <w:pPr>
        <w:pStyle w:val="30"/>
        <w:adjustRightInd w:val="0"/>
        <w:snapToGrid w:val="0"/>
        <w:spacing w:line="360" w:lineRule="auto"/>
        <w:ind w:left="2563" w:leftChars="554" w:hanging="1400" w:hangingChars="700"/>
        <w:rPr>
          <w:rFonts w:ascii="Tahoma" w:hAnsi="Tahoma" w:cs="Tahoma"/>
          <w:sz w:val="20"/>
          <w:szCs w:val="20"/>
          <w:highlight w:val="none"/>
        </w:rPr>
      </w:pPr>
    </w:p>
    <w:p w14:paraId="6EE263A1">
      <w:pPr>
        <w:pStyle w:val="30"/>
        <w:adjustRightInd w:val="0"/>
        <w:snapToGrid w:val="0"/>
        <w:spacing w:line="360" w:lineRule="auto"/>
        <w:ind w:left="2563" w:leftChars="554" w:hanging="1400" w:hangingChars="700"/>
        <w:rPr>
          <w:rFonts w:ascii="Tahoma" w:hAnsi="Tahoma" w:cs="Tahoma"/>
          <w:sz w:val="20"/>
          <w:szCs w:val="20"/>
          <w:highlight w:val="none"/>
        </w:rPr>
      </w:pPr>
    </w:p>
    <w:p w14:paraId="1D7703E1">
      <w:pPr>
        <w:pStyle w:val="30"/>
        <w:adjustRightInd w:val="0"/>
        <w:snapToGrid w:val="0"/>
        <w:spacing w:line="360" w:lineRule="auto"/>
        <w:ind w:left="2563" w:leftChars="554" w:hanging="1400" w:hangingChars="700"/>
        <w:rPr>
          <w:rFonts w:ascii="Tahoma" w:hAnsi="Tahoma" w:cs="Tahoma"/>
          <w:sz w:val="20"/>
          <w:szCs w:val="20"/>
          <w:highlight w:val="none"/>
        </w:rPr>
      </w:pPr>
    </w:p>
    <w:p w14:paraId="3F535D6E">
      <w:pPr>
        <w:pStyle w:val="30"/>
        <w:adjustRightInd w:val="0"/>
        <w:snapToGrid w:val="0"/>
        <w:spacing w:line="360" w:lineRule="auto"/>
        <w:ind w:left="2563" w:leftChars="554" w:hanging="1400" w:hangingChars="700"/>
        <w:rPr>
          <w:rFonts w:ascii="Tahoma" w:hAnsi="Tahoma" w:cs="Tahoma"/>
          <w:sz w:val="20"/>
          <w:szCs w:val="20"/>
          <w:highlight w:val="none"/>
        </w:rPr>
      </w:pPr>
    </w:p>
    <w:p w14:paraId="6E7AA914">
      <w:pPr>
        <w:pStyle w:val="30"/>
        <w:adjustRightInd w:val="0"/>
        <w:snapToGrid w:val="0"/>
        <w:spacing w:line="360" w:lineRule="auto"/>
        <w:ind w:left="2563" w:leftChars="554" w:hanging="1400" w:hangingChars="700"/>
        <w:rPr>
          <w:rFonts w:ascii="Tahoma" w:hAnsi="Tahoma" w:cs="Tahoma"/>
          <w:sz w:val="20"/>
          <w:szCs w:val="20"/>
          <w:highlight w:val="none"/>
        </w:rPr>
      </w:pPr>
    </w:p>
    <w:p w14:paraId="1D25EC26">
      <w:pPr>
        <w:pStyle w:val="30"/>
        <w:adjustRightInd w:val="0"/>
        <w:snapToGrid w:val="0"/>
        <w:spacing w:line="360" w:lineRule="auto"/>
        <w:ind w:left="3517" w:leftChars="608" w:hanging="2240" w:hangingChars="700"/>
        <w:rPr>
          <w:rFonts w:hint="eastAsia" w:hAnsi="宋体" w:eastAsia="宋体"/>
          <w:sz w:val="32"/>
          <w:szCs w:val="32"/>
          <w:highlight w:val="none"/>
          <w:lang w:eastAsia="zh-CN"/>
        </w:rPr>
      </w:pPr>
      <w:r>
        <w:rPr>
          <w:rFonts w:hint="eastAsia" w:hAnsi="宋体"/>
          <w:sz w:val="32"/>
          <w:szCs w:val="32"/>
          <w:highlight w:val="none"/>
        </w:rPr>
        <w:t>采购项目名称：</w:t>
      </w:r>
      <w:r>
        <w:rPr>
          <w:rFonts w:hint="eastAsia" w:hAnsi="宋体"/>
          <w:sz w:val="32"/>
          <w:szCs w:val="32"/>
          <w:highlight w:val="none"/>
          <w:lang w:eastAsia="zh-CN"/>
        </w:rPr>
        <w:t>湖南省重点污染源自动监控系统运维服务项目</w:t>
      </w:r>
    </w:p>
    <w:p w14:paraId="54674F61">
      <w:pPr>
        <w:pStyle w:val="30"/>
        <w:adjustRightInd w:val="0"/>
        <w:snapToGrid w:val="0"/>
        <w:spacing w:line="360" w:lineRule="auto"/>
        <w:ind w:left="3517" w:leftChars="608" w:hanging="2240" w:hangingChars="700"/>
        <w:rPr>
          <w:rFonts w:hint="eastAsia" w:hAnsi="宋体" w:eastAsia="宋体"/>
          <w:sz w:val="32"/>
          <w:szCs w:val="32"/>
          <w:highlight w:val="none"/>
          <w:lang w:val="en-US" w:eastAsia="zh-CN"/>
        </w:rPr>
      </w:pPr>
      <w:r>
        <w:rPr>
          <w:rFonts w:hint="eastAsia" w:hAnsi="宋体"/>
          <w:sz w:val="32"/>
          <w:szCs w:val="32"/>
          <w:highlight w:val="none"/>
        </w:rPr>
        <w:t>政府采购编号：</w:t>
      </w:r>
      <w:r>
        <w:rPr>
          <w:rFonts w:hint="eastAsia" w:hAnsi="宋体"/>
          <w:sz w:val="32"/>
          <w:szCs w:val="32"/>
          <w:highlight w:val="none"/>
          <w:lang w:eastAsia="zh-CN"/>
        </w:rPr>
        <w:t>CGXM2026430000003764</w:t>
      </w:r>
    </w:p>
    <w:p w14:paraId="69E49C6F">
      <w:pPr>
        <w:pStyle w:val="30"/>
        <w:adjustRightInd w:val="0"/>
        <w:snapToGrid w:val="0"/>
        <w:spacing w:line="360" w:lineRule="auto"/>
        <w:ind w:left="3517" w:leftChars="608" w:hanging="2240" w:hangingChars="700"/>
        <w:rPr>
          <w:rFonts w:hint="eastAsia" w:hAnsi="宋体" w:eastAsia="宋体"/>
          <w:sz w:val="32"/>
          <w:szCs w:val="32"/>
          <w:highlight w:val="none"/>
          <w:lang w:eastAsia="zh-CN"/>
        </w:rPr>
      </w:pPr>
      <w:r>
        <w:rPr>
          <w:rFonts w:hint="eastAsia" w:hAnsi="宋体"/>
          <w:sz w:val="32"/>
          <w:szCs w:val="32"/>
          <w:highlight w:val="none"/>
        </w:rPr>
        <w:t>采购代理编号：</w:t>
      </w:r>
      <w:r>
        <w:rPr>
          <w:rFonts w:hint="eastAsia" w:hAnsi="宋体"/>
          <w:sz w:val="32"/>
          <w:szCs w:val="32"/>
          <w:highlight w:val="none"/>
          <w:lang w:eastAsia="zh-CN"/>
        </w:rPr>
        <w:t>CSGS-2026ZC003</w:t>
      </w:r>
    </w:p>
    <w:p w14:paraId="09D73457">
      <w:pPr>
        <w:pStyle w:val="30"/>
        <w:adjustRightInd w:val="0"/>
        <w:snapToGrid w:val="0"/>
        <w:spacing w:line="360" w:lineRule="auto"/>
        <w:ind w:left="3517" w:leftChars="608" w:hanging="2240" w:hangingChars="700"/>
        <w:rPr>
          <w:rFonts w:hint="eastAsia" w:hAnsi="宋体" w:eastAsia="宋体"/>
          <w:sz w:val="32"/>
          <w:szCs w:val="32"/>
          <w:highlight w:val="none"/>
          <w:lang w:eastAsia="zh-CN"/>
        </w:rPr>
      </w:pPr>
      <w:r>
        <w:rPr>
          <w:rFonts w:hint="eastAsia" w:hAnsi="宋体"/>
          <w:sz w:val="32"/>
          <w:szCs w:val="32"/>
          <w:highlight w:val="none"/>
        </w:rPr>
        <w:t>采   购   人：</w:t>
      </w:r>
      <w:r>
        <w:rPr>
          <w:rFonts w:hint="eastAsia" w:hAnsi="宋体"/>
          <w:sz w:val="32"/>
          <w:szCs w:val="32"/>
          <w:highlight w:val="none"/>
          <w:lang w:eastAsia="zh-CN"/>
        </w:rPr>
        <w:t>湖南省环境应急与事故调查中心</w:t>
      </w:r>
    </w:p>
    <w:p w14:paraId="6ACB5F88">
      <w:pPr>
        <w:pStyle w:val="30"/>
        <w:adjustRightInd w:val="0"/>
        <w:snapToGrid w:val="0"/>
        <w:spacing w:line="360" w:lineRule="auto"/>
        <w:ind w:left="3517" w:leftChars="608" w:hanging="2240" w:hangingChars="700"/>
        <w:rPr>
          <w:rFonts w:hint="eastAsia" w:hAnsi="宋体" w:eastAsia="宋体"/>
          <w:sz w:val="32"/>
          <w:szCs w:val="32"/>
          <w:highlight w:val="none"/>
          <w:lang w:eastAsia="zh-CN"/>
        </w:rPr>
      </w:pPr>
      <w:r>
        <w:rPr>
          <w:rFonts w:hint="eastAsia" w:hAnsi="宋体"/>
          <w:sz w:val="32"/>
          <w:szCs w:val="32"/>
          <w:highlight w:val="none"/>
        </w:rPr>
        <w:t>采购代理机构：</w:t>
      </w:r>
      <w:r>
        <w:rPr>
          <w:rFonts w:hint="eastAsia" w:hAnsi="宋体"/>
          <w:sz w:val="32"/>
          <w:szCs w:val="32"/>
          <w:highlight w:val="none"/>
          <w:lang w:eastAsia="zh-CN"/>
        </w:rPr>
        <w:t>长沙广厦建设工程招标代理有限公司</w:t>
      </w:r>
    </w:p>
    <w:p w14:paraId="5A540ADF">
      <w:pPr>
        <w:pStyle w:val="30"/>
        <w:adjustRightInd w:val="0"/>
        <w:snapToGrid w:val="0"/>
        <w:spacing w:line="360" w:lineRule="auto"/>
        <w:rPr>
          <w:rFonts w:hint="eastAsia" w:ascii="黑体" w:hAnsi="黑体" w:eastAsia="黑体" w:cs="黑体"/>
          <w:b/>
          <w:sz w:val="32"/>
          <w:highlight w:val="none"/>
        </w:rPr>
      </w:pPr>
    </w:p>
    <w:p w14:paraId="12E07F19">
      <w:pPr>
        <w:pStyle w:val="30"/>
        <w:adjustRightInd w:val="0"/>
        <w:snapToGrid w:val="0"/>
        <w:spacing w:line="360" w:lineRule="auto"/>
        <w:jc w:val="center"/>
        <w:rPr>
          <w:rFonts w:hint="eastAsia" w:ascii="黑体" w:hAnsi="黑体" w:eastAsia="黑体" w:cs="黑体"/>
          <w:b/>
          <w:sz w:val="32"/>
          <w:highlight w:val="none"/>
        </w:rPr>
      </w:pPr>
    </w:p>
    <w:p w14:paraId="77852C67">
      <w:pPr>
        <w:pStyle w:val="30"/>
        <w:adjustRightInd w:val="0"/>
        <w:snapToGrid w:val="0"/>
        <w:spacing w:line="360" w:lineRule="auto"/>
        <w:jc w:val="center"/>
        <w:rPr>
          <w:rFonts w:hint="eastAsia" w:ascii="黑体" w:hAnsi="黑体" w:eastAsia="黑体" w:cs="黑体"/>
          <w:b/>
          <w:sz w:val="32"/>
          <w:highlight w:val="none"/>
        </w:rPr>
      </w:pPr>
    </w:p>
    <w:p w14:paraId="573FFF78">
      <w:pPr>
        <w:pStyle w:val="30"/>
        <w:adjustRightInd w:val="0"/>
        <w:snapToGrid w:val="0"/>
        <w:spacing w:line="360" w:lineRule="auto"/>
        <w:jc w:val="center"/>
        <w:rPr>
          <w:rFonts w:hint="eastAsia" w:ascii="黑体" w:hAnsi="黑体" w:eastAsia="黑体" w:cs="黑体"/>
          <w:b/>
          <w:sz w:val="32"/>
          <w:highlight w:val="none"/>
        </w:rPr>
      </w:pPr>
    </w:p>
    <w:p w14:paraId="4C0A6DE4">
      <w:pPr>
        <w:jc w:val="center"/>
        <w:rPr>
          <w:rFonts w:hint="eastAsia" w:ascii="黑体" w:hAnsi="宋体" w:eastAsia="黑体"/>
          <w:b/>
          <w:spacing w:val="160"/>
          <w:sz w:val="32"/>
          <w:szCs w:val="32"/>
          <w:highlight w:val="none"/>
        </w:rPr>
      </w:pPr>
      <w:r>
        <w:rPr>
          <w:rFonts w:hint="eastAsia" w:ascii="宋体" w:hAnsi="宋体" w:eastAsia="宋体" w:cs="Times New Roman"/>
          <w:b/>
          <w:color w:val="auto"/>
          <w:kern w:val="2"/>
          <w:sz w:val="32"/>
          <w:szCs w:val="18"/>
          <w:highlight w:val="none"/>
          <w:lang w:val="en-US" w:eastAsia="zh-CN" w:bidi="ar-SA"/>
        </w:rPr>
        <w:t>2026年10月</w:t>
      </w:r>
      <w:r>
        <w:rPr>
          <w:rFonts w:ascii="隶书" w:hAnsi="宋体" w:eastAsia="隶书" w:cs="黑体"/>
          <w:b/>
          <w:sz w:val="36"/>
          <w:highlight w:val="none"/>
        </w:rPr>
        <w:br w:type="page"/>
      </w:r>
      <w:r>
        <w:rPr>
          <w:rFonts w:hint="eastAsia" w:ascii="黑体" w:hAnsi="宋体" w:eastAsia="黑体"/>
          <w:b/>
          <w:spacing w:val="160"/>
          <w:sz w:val="32"/>
          <w:szCs w:val="32"/>
          <w:highlight w:val="none"/>
        </w:rPr>
        <w:t>目录</w:t>
      </w:r>
    </w:p>
    <w:p w14:paraId="6BD14AD1">
      <w:pPr>
        <w:pStyle w:val="37"/>
        <w:tabs>
          <w:tab w:val="right" w:leader="dot" w:pos="9072"/>
          <w:tab w:val="clear" w:pos="993"/>
          <w:tab w:val="clear" w:pos="9060"/>
        </w:tabs>
        <w:rPr>
          <w:highlight w:val="none"/>
        </w:rPr>
      </w:pPr>
      <w:r>
        <w:rPr>
          <w:rFonts w:hAnsi="宋体"/>
          <w:highlight w:val="none"/>
        </w:rPr>
        <w:fldChar w:fldCharType="begin"/>
      </w:r>
      <w:r>
        <w:rPr>
          <w:rFonts w:hAnsi="宋体"/>
          <w:highlight w:val="none"/>
        </w:rPr>
        <w:instrText xml:space="preserve"> TOC \o "1-4" \h \z \u </w:instrText>
      </w:r>
      <w:r>
        <w:rPr>
          <w:rFonts w:hAnsi="宋体"/>
          <w:highlight w:val="none"/>
        </w:rPr>
        <w:fldChar w:fldCharType="separate"/>
      </w:r>
      <w:r>
        <w:rPr>
          <w:rFonts w:hAnsi="宋体"/>
          <w:highlight w:val="none"/>
        </w:rPr>
        <w:fldChar w:fldCharType="begin"/>
      </w:r>
      <w:r>
        <w:rPr>
          <w:rFonts w:hAnsi="宋体"/>
          <w:highlight w:val="none"/>
        </w:rPr>
        <w:instrText xml:space="preserve"> HYPERLINK \l _Toc28132 </w:instrText>
      </w:r>
      <w:r>
        <w:rPr>
          <w:rFonts w:hAnsi="宋体"/>
          <w:highlight w:val="none"/>
        </w:rPr>
        <w:fldChar w:fldCharType="separate"/>
      </w:r>
      <w:r>
        <w:rPr>
          <w:rFonts w:hint="eastAsia" w:ascii="黑体" w:hAnsi="黑体" w:eastAsia="黑体"/>
          <w:szCs w:val="32"/>
          <w:highlight w:val="none"/>
        </w:rPr>
        <w:t>第一章 磋商邀请</w:t>
      </w:r>
      <w:r>
        <w:rPr>
          <w:highlight w:val="none"/>
        </w:rPr>
        <w:tab/>
      </w:r>
      <w:r>
        <w:rPr>
          <w:highlight w:val="none"/>
        </w:rPr>
        <w:fldChar w:fldCharType="begin"/>
      </w:r>
      <w:r>
        <w:rPr>
          <w:highlight w:val="none"/>
        </w:rPr>
        <w:instrText xml:space="preserve"> PAGEREF _Toc28132 \h </w:instrText>
      </w:r>
      <w:r>
        <w:rPr>
          <w:highlight w:val="none"/>
        </w:rPr>
        <w:fldChar w:fldCharType="separate"/>
      </w:r>
      <w:r>
        <w:rPr>
          <w:highlight w:val="none"/>
        </w:rPr>
        <w:t>7</w:t>
      </w:r>
      <w:r>
        <w:rPr>
          <w:highlight w:val="none"/>
        </w:rPr>
        <w:fldChar w:fldCharType="end"/>
      </w:r>
      <w:r>
        <w:rPr>
          <w:rFonts w:hAnsi="宋体"/>
          <w:highlight w:val="none"/>
        </w:rPr>
        <w:fldChar w:fldCharType="end"/>
      </w:r>
    </w:p>
    <w:p w14:paraId="096CE8F9">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_Toc11280 </w:instrText>
      </w:r>
      <w:r>
        <w:rPr>
          <w:rFonts w:hAnsi="宋体" w:eastAsia="黑体"/>
          <w:szCs w:val="24"/>
          <w:highlight w:val="none"/>
        </w:rPr>
        <w:fldChar w:fldCharType="separate"/>
      </w:r>
      <w:r>
        <w:rPr>
          <w:rFonts w:hint="eastAsia" w:ascii="Arial" w:hAnsi="Arial"/>
          <w:bCs/>
          <w:szCs w:val="32"/>
          <w:highlight w:val="none"/>
        </w:rPr>
        <w:t>一、采购项目基本信息</w:t>
      </w:r>
      <w:r>
        <w:rPr>
          <w:highlight w:val="none"/>
        </w:rPr>
        <w:tab/>
      </w:r>
      <w:r>
        <w:rPr>
          <w:highlight w:val="none"/>
        </w:rPr>
        <w:fldChar w:fldCharType="begin"/>
      </w:r>
      <w:r>
        <w:rPr>
          <w:highlight w:val="none"/>
        </w:rPr>
        <w:instrText xml:space="preserve"> PAGEREF _Toc11280 \h </w:instrText>
      </w:r>
      <w:r>
        <w:rPr>
          <w:highlight w:val="none"/>
        </w:rPr>
        <w:fldChar w:fldCharType="separate"/>
      </w:r>
      <w:r>
        <w:rPr>
          <w:highlight w:val="none"/>
        </w:rPr>
        <w:t>7</w:t>
      </w:r>
      <w:r>
        <w:rPr>
          <w:highlight w:val="none"/>
        </w:rPr>
        <w:fldChar w:fldCharType="end"/>
      </w:r>
      <w:r>
        <w:rPr>
          <w:rFonts w:hAnsi="宋体" w:eastAsia="黑体"/>
          <w:szCs w:val="24"/>
          <w:highlight w:val="none"/>
        </w:rPr>
        <w:fldChar w:fldCharType="end"/>
      </w:r>
    </w:p>
    <w:p w14:paraId="710F1FE7">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_Toc2547 </w:instrText>
      </w:r>
      <w:r>
        <w:rPr>
          <w:rFonts w:hAnsi="宋体" w:eastAsia="黑体"/>
          <w:szCs w:val="24"/>
          <w:highlight w:val="none"/>
        </w:rPr>
        <w:fldChar w:fldCharType="separate"/>
      </w:r>
      <w:r>
        <w:rPr>
          <w:rFonts w:hint="eastAsia" w:ascii="Arial" w:hAnsi="Arial"/>
          <w:bCs/>
          <w:szCs w:val="32"/>
          <w:highlight w:val="none"/>
        </w:rPr>
        <w:t>二、采购人的采购需求</w:t>
      </w:r>
      <w:r>
        <w:rPr>
          <w:highlight w:val="none"/>
        </w:rPr>
        <w:tab/>
      </w:r>
      <w:r>
        <w:rPr>
          <w:highlight w:val="none"/>
        </w:rPr>
        <w:fldChar w:fldCharType="begin"/>
      </w:r>
      <w:r>
        <w:rPr>
          <w:highlight w:val="none"/>
        </w:rPr>
        <w:instrText xml:space="preserve"> PAGEREF _Toc2547 \h </w:instrText>
      </w:r>
      <w:r>
        <w:rPr>
          <w:highlight w:val="none"/>
        </w:rPr>
        <w:fldChar w:fldCharType="separate"/>
      </w:r>
      <w:r>
        <w:rPr>
          <w:highlight w:val="none"/>
        </w:rPr>
        <w:t>7</w:t>
      </w:r>
      <w:r>
        <w:rPr>
          <w:highlight w:val="none"/>
        </w:rPr>
        <w:fldChar w:fldCharType="end"/>
      </w:r>
      <w:r>
        <w:rPr>
          <w:rFonts w:hAnsi="宋体" w:eastAsia="黑体"/>
          <w:szCs w:val="24"/>
          <w:highlight w:val="none"/>
        </w:rPr>
        <w:fldChar w:fldCharType="end"/>
      </w:r>
    </w:p>
    <w:p w14:paraId="674B99CF">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_Toc4105 </w:instrText>
      </w:r>
      <w:r>
        <w:rPr>
          <w:rFonts w:hAnsi="宋体" w:eastAsia="黑体"/>
          <w:szCs w:val="24"/>
          <w:highlight w:val="none"/>
        </w:rPr>
        <w:fldChar w:fldCharType="separate"/>
      </w:r>
      <w:r>
        <w:rPr>
          <w:rFonts w:hint="eastAsia" w:ascii="Arial" w:hAnsi="Arial"/>
          <w:bCs/>
          <w:szCs w:val="32"/>
          <w:highlight w:val="none"/>
        </w:rPr>
        <w:t>三、采购项目需落实的政府采购政策</w:t>
      </w:r>
      <w:r>
        <w:rPr>
          <w:highlight w:val="none"/>
        </w:rPr>
        <w:tab/>
      </w:r>
      <w:r>
        <w:rPr>
          <w:highlight w:val="none"/>
        </w:rPr>
        <w:fldChar w:fldCharType="begin"/>
      </w:r>
      <w:r>
        <w:rPr>
          <w:highlight w:val="none"/>
        </w:rPr>
        <w:instrText xml:space="preserve"> PAGEREF _Toc4105 \h </w:instrText>
      </w:r>
      <w:r>
        <w:rPr>
          <w:highlight w:val="none"/>
        </w:rPr>
        <w:fldChar w:fldCharType="separate"/>
      </w:r>
      <w:r>
        <w:rPr>
          <w:highlight w:val="none"/>
        </w:rPr>
        <w:t>7</w:t>
      </w:r>
      <w:r>
        <w:rPr>
          <w:highlight w:val="none"/>
        </w:rPr>
        <w:fldChar w:fldCharType="end"/>
      </w:r>
      <w:r>
        <w:rPr>
          <w:rFonts w:hAnsi="宋体" w:eastAsia="黑体"/>
          <w:szCs w:val="24"/>
          <w:highlight w:val="none"/>
        </w:rPr>
        <w:fldChar w:fldCharType="end"/>
      </w:r>
    </w:p>
    <w:p w14:paraId="667DD9FB">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_Toc9143 </w:instrText>
      </w:r>
      <w:r>
        <w:rPr>
          <w:rFonts w:hAnsi="宋体" w:eastAsia="黑体"/>
          <w:szCs w:val="24"/>
          <w:highlight w:val="none"/>
        </w:rPr>
        <w:fldChar w:fldCharType="separate"/>
      </w:r>
      <w:r>
        <w:rPr>
          <w:rFonts w:hint="eastAsia" w:ascii="Arial" w:hAnsi="Arial"/>
          <w:bCs/>
          <w:szCs w:val="32"/>
          <w:highlight w:val="none"/>
        </w:rPr>
        <w:t>四、供应人的资格要求：</w:t>
      </w:r>
      <w:r>
        <w:rPr>
          <w:highlight w:val="none"/>
        </w:rPr>
        <w:tab/>
      </w:r>
      <w:r>
        <w:rPr>
          <w:highlight w:val="none"/>
        </w:rPr>
        <w:fldChar w:fldCharType="begin"/>
      </w:r>
      <w:r>
        <w:rPr>
          <w:highlight w:val="none"/>
        </w:rPr>
        <w:instrText xml:space="preserve"> PAGEREF _Toc9143 \h </w:instrText>
      </w:r>
      <w:r>
        <w:rPr>
          <w:highlight w:val="none"/>
        </w:rPr>
        <w:fldChar w:fldCharType="separate"/>
      </w:r>
      <w:r>
        <w:rPr>
          <w:highlight w:val="none"/>
        </w:rPr>
        <w:t>7</w:t>
      </w:r>
      <w:r>
        <w:rPr>
          <w:highlight w:val="none"/>
        </w:rPr>
        <w:fldChar w:fldCharType="end"/>
      </w:r>
      <w:r>
        <w:rPr>
          <w:rFonts w:hAnsi="宋体" w:eastAsia="黑体"/>
          <w:szCs w:val="24"/>
          <w:highlight w:val="none"/>
        </w:rPr>
        <w:fldChar w:fldCharType="end"/>
      </w:r>
    </w:p>
    <w:p w14:paraId="502D73F0">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_Toc10059 </w:instrText>
      </w:r>
      <w:r>
        <w:rPr>
          <w:rFonts w:hAnsi="宋体" w:eastAsia="黑体"/>
          <w:szCs w:val="24"/>
          <w:highlight w:val="none"/>
        </w:rPr>
        <w:fldChar w:fldCharType="separate"/>
      </w:r>
      <w:r>
        <w:rPr>
          <w:rFonts w:hint="eastAsia" w:ascii="Arial" w:hAnsi="Arial"/>
          <w:bCs/>
          <w:szCs w:val="32"/>
          <w:highlight w:val="none"/>
        </w:rPr>
        <w:t>五、获取磋商文件的时间、期限、地点及方式</w:t>
      </w:r>
      <w:r>
        <w:rPr>
          <w:highlight w:val="none"/>
        </w:rPr>
        <w:tab/>
      </w:r>
      <w:r>
        <w:rPr>
          <w:highlight w:val="none"/>
        </w:rPr>
        <w:fldChar w:fldCharType="begin"/>
      </w:r>
      <w:r>
        <w:rPr>
          <w:highlight w:val="none"/>
        </w:rPr>
        <w:instrText xml:space="preserve"> PAGEREF _Toc10059 \h </w:instrText>
      </w:r>
      <w:r>
        <w:rPr>
          <w:highlight w:val="none"/>
        </w:rPr>
        <w:fldChar w:fldCharType="separate"/>
      </w:r>
      <w:r>
        <w:rPr>
          <w:highlight w:val="none"/>
        </w:rPr>
        <w:t>8</w:t>
      </w:r>
      <w:r>
        <w:rPr>
          <w:highlight w:val="none"/>
        </w:rPr>
        <w:fldChar w:fldCharType="end"/>
      </w:r>
      <w:r>
        <w:rPr>
          <w:rFonts w:hAnsi="宋体" w:eastAsia="黑体"/>
          <w:szCs w:val="24"/>
          <w:highlight w:val="none"/>
        </w:rPr>
        <w:fldChar w:fldCharType="end"/>
      </w:r>
    </w:p>
    <w:p w14:paraId="2540612D">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_Toc3946 </w:instrText>
      </w:r>
      <w:r>
        <w:rPr>
          <w:rFonts w:hAnsi="宋体" w:eastAsia="黑体"/>
          <w:szCs w:val="24"/>
          <w:highlight w:val="none"/>
        </w:rPr>
        <w:fldChar w:fldCharType="separate"/>
      </w:r>
      <w:r>
        <w:rPr>
          <w:rFonts w:hint="eastAsia" w:ascii="Arial" w:hAnsi="Arial"/>
          <w:bCs/>
          <w:szCs w:val="32"/>
          <w:highlight w:val="none"/>
        </w:rPr>
        <w:t>六、响应文件开启时间及地点</w:t>
      </w:r>
      <w:r>
        <w:rPr>
          <w:highlight w:val="none"/>
        </w:rPr>
        <w:tab/>
      </w:r>
      <w:r>
        <w:rPr>
          <w:highlight w:val="none"/>
        </w:rPr>
        <w:fldChar w:fldCharType="begin"/>
      </w:r>
      <w:r>
        <w:rPr>
          <w:highlight w:val="none"/>
        </w:rPr>
        <w:instrText xml:space="preserve"> PAGEREF _Toc3946 \h </w:instrText>
      </w:r>
      <w:r>
        <w:rPr>
          <w:highlight w:val="none"/>
        </w:rPr>
        <w:fldChar w:fldCharType="separate"/>
      </w:r>
      <w:r>
        <w:rPr>
          <w:highlight w:val="none"/>
        </w:rPr>
        <w:t>8</w:t>
      </w:r>
      <w:r>
        <w:rPr>
          <w:highlight w:val="none"/>
        </w:rPr>
        <w:fldChar w:fldCharType="end"/>
      </w:r>
      <w:r>
        <w:rPr>
          <w:rFonts w:hAnsi="宋体" w:eastAsia="黑体"/>
          <w:szCs w:val="24"/>
          <w:highlight w:val="none"/>
        </w:rPr>
        <w:fldChar w:fldCharType="end"/>
      </w:r>
    </w:p>
    <w:p w14:paraId="6591A012">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_Toc12903 </w:instrText>
      </w:r>
      <w:r>
        <w:rPr>
          <w:rFonts w:hAnsi="宋体" w:eastAsia="黑体"/>
          <w:szCs w:val="24"/>
          <w:highlight w:val="none"/>
        </w:rPr>
        <w:fldChar w:fldCharType="separate"/>
      </w:r>
      <w:r>
        <w:rPr>
          <w:rFonts w:hint="eastAsia" w:ascii="Arial" w:hAnsi="Arial"/>
          <w:bCs/>
          <w:szCs w:val="32"/>
          <w:highlight w:val="none"/>
        </w:rPr>
        <w:t>七、公告期限</w:t>
      </w:r>
      <w:r>
        <w:rPr>
          <w:highlight w:val="none"/>
        </w:rPr>
        <w:tab/>
      </w:r>
      <w:r>
        <w:rPr>
          <w:highlight w:val="none"/>
        </w:rPr>
        <w:fldChar w:fldCharType="begin"/>
      </w:r>
      <w:r>
        <w:rPr>
          <w:highlight w:val="none"/>
        </w:rPr>
        <w:instrText xml:space="preserve"> PAGEREF _Toc12903 \h </w:instrText>
      </w:r>
      <w:r>
        <w:rPr>
          <w:highlight w:val="none"/>
        </w:rPr>
        <w:fldChar w:fldCharType="separate"/>
      </w:r>
      <w:r>
        <w:rPr>
          <w:highlight w:val="none"/>
        </w:rPr>
        <w:t>8</w:t>
      </w:r>
      <w:r>
        <w:rPr>
          <w:highlight w:val="none"/>
        </w:rPr>
        <w:fldChar w:fldCharType="end"/>
      </w:r>
      <w:r>
        <w:rPr>
          <w:rFonts w:hAnsi="宋体" w:eastAsia="黑体"/>
          <w:szCs w:val="24"/>
          <w:highlight w:val="none"/>
        </w:rPr>
        <w:fldChar w:fldCharType="end"/>
      </w:r>
    </w:p>
    <w:p w14:paraId="3B546927">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_Toc23440 </w:instrText>
      </w:r>
      <w:r>
        <w:rPr>
          <w:rFonts w:hAnsi="宋体" w:eastAsia="黑体"/>
          <w:szCs w:val="24"/>
          <w:highlight w:val="none"/>
        </w:rPr>
        <w:fldChar w:fldCharType="separate"/>
      </w:r>
      <w:r>
        <w:rPr>
          <w:rFonts w:hint="eastAsia" w:ascii="Arial" w:hAnsi="Arial"/>
          <w:bCs/>
          <w:szCs w:val="32"/>
          <w:highlight w:val="none"/>
        </w:rPr>
        <w:t>八、询问及质疑</w:t>
      </w:r>
      <w:r>
        <w:rPr>
          <w:highlight w:val="none"/>
        </w:rPr>
        <w:tab/>
      </w:r>
      <w:r>
        <w:rPr>
          <w:highlight w:val="none"/>
        </w:rPr>
        <w:fldChar w:fldCharType="begin"/>
      </w:r>
      <w:r>
        <w:rPr>
          <w:highlight w:val="none"/>
        </w:rPr>
        <w:instrText xml:space="preserve"> PAGEREF _Toc23440 \h </w:instrText>
      </w:r>
      <w:r>
        <w:rPr>
          <w:highlight w:val="none"/>
        </w:rPr>
        <w:fldChar w:fldCharType="separate"/>
      </w:r>
      <w:r>
        <w:rPr>
          <w:highlight w:val="none"/>
        </w:rPr>
        <w:t>8</w:t>
      </w:r>
      <w:r>
        <w:rPr>
          <w:highlight w:val="none"/>
        </w:rPr>
        <w:fldChar w:fldCharType="end"/>
      </w:r>
      <w:r>
        <w:rPr>
          <w:rFonts w:hAnsi="宋体" w:eastAsia="黑体"/>
          <w:szCs w:val="24"/>
          <w:highlight w:val="none"/>
        </w:rPr>
        <w:fldChar w:fldCharType="end"/>
      </w:r>
    </w:p>
    <w:p w14:paraId="26A57B2B">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_Toc32042 </w:instrText>
      </w:r>
      <w:r>
        <w:rPr>
          <w:rFonts w:hAnsi="宋体" w:eastAsia="黑体"/>
          <w:szCs w:val="24"/>
          <w:highlight w:val="none"/>
        </w:rPr>
        <w:fldChar w:fldCharType="separate"/>
      </w:r>
      <w:r>
        <w:rPr>
          <w:rFonts w:hint="eastAsia" w:ascii="Arial" w:hAnsi="Arial"/>
          <w:bCs/>
          <w:szCs w:val="32"/>
          <w:highlight w:val="none"/>
        </w:rPr>
        <w:t>九、响应说明</w:t>
      </w:r>
      <w:r>
        <w:rPr>
          <w:highlight w:val="none"/>
        </w:rPr>
        <w:tab/>
      </w:r>
      <w:r>
        <w:rPr>
          <w:highlight w:val="none"/>
        </w:rPr>
        <w:fldChar w:fldCharType="begin"/>
      </w:r>
      <w:r>
        <w:rPr>
          <w:highlight w:val="none"/>
        </w:rPr>
        <w:instrText xml:space="preserve"> PAGEREF _Toc32042 \h </w:instrText>
      </w:r>
      <w:r>
        <w:rPr>
          <w:highlight w:val="none"/>
        </w:rPr>
        <w:fldChar w:fldCharType="separate"/>
      </w:r>
      <w:r>
        <w:rPr>
          <w:highlight w:val="none"/>
        </w:rPr>
        <w:t>9</w:t>
      </w:r>
      <w:r>
        <w:rPr>
          <w:highlight w:val="none"/>
        </w:rPr>
        <w:fldChar w:fldCharType="end"/>
      </w:r>
      <w:r>
        <w:rPr>
          <w:rFonts w:hAnsi="宋体" w:eastAsia="黑体"/>
          <w:szCs w:val="24"/>
          <w:highlight w:val="none"/>
        </w:rPr>
        <w:fldChar w:fldCharType="end"/>
      </w:r>
    </w:p>
    <w:p w14:paraId="7D4F456A">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_Toc1738 </w:instrText>
      </w:r>
      <w:r>
        <w:rPr>
          <w:rFonts w:hAnsi="宋体" w:eastAsia="黑体"/>
          <w:szCs w:val="24"/>
          <w:highlight w:val="none"/>
        </w:rPr>
        <w:fldChar w:fldCharType="separate"/>
      </w:r>
      <w:r>
        <w:rPr>
          <w:rFonts w:hint="eastAsia" w:ascii="Arial" w:hAnsi="Arial" w:eastAsia="宋体" w:cs="Times New Roman"/>
          <w:bCs/>
          <w:szCs w:val="32"/>
          <w:highlight w:val="none"/>
        </w:rPr>
        <w:t>十、采购项目联系人姓名和电话</w:t>
      </w:r>
      <w:r>
        <w:rPr>
          <w:highlight w:val="none"/>
        </w:rPr>
        <w:tab/>
      </w:r>
      <w:r>
        <w:rPr>
          <w:highlight w:val="none"/>
        </w:rPr>
        <w:fldChar w:fldCharType="begin"/>
      </w:r>
      <w:r>
        <w:rPr>
          <w:highlight w:val="none"/>
        </w:rPr>
        <w:instrText xml:space="preserve"> PAGEREF _Toc1738 \h </w:instrText>
      </w:r>
      <w:r>
        <w:rPr>
          <w:highlight w:val="none"/>
        </w:rPr>
        <w:fldChar w:fldCharType="separate"/>
      </w:r>
      <w:r>
        <w:rPr>
          <w:highlight w:val="none"/>
        </w:rPr>
        <w:t>9</w:t>
      </w:r>
      <w:r>
        <w:rPr>
          <w:highlight w:val="none"/>
        </w:rPr>
        <w:fldChar w:fldCharType="end"/>
      </w:r>
      <w:r>
        <w:rPr>
          <w:rFonts w:hAnsi="宋体" w:eastAsia="黑体"/>
          <w:szCs w:val="24"/>
          <w:highlight w:val="none"/>
        </w:rPr>
        <w:fldChar w:fldCharType="end"/>
      </w:r>
    </w:p>
    <w:p w14:paraId="6A7531F1">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_Toc3470 </w:instrText>
      </w:r>
      <w:r>
        <w:rPr>
          <w:rFonts w:hAnsi="宋体" w:eastAsia="黑体"/>
          <w:szCs w:val="24"/>
          <w:highlight w:val="none"/>
        </w:rPr>
        <w:fldChar w:fldCharType="separate"/>
      </w:r>
      <w:r>
        <w:rPr>
          <w:rFonts w:hint="eastAsia" w:ascii="Arial" w:hAnsi="Arial" w:eastAsia="宋体" w:cs="Times New Roman"/>
          <w:bCs/>
          <w:szCs w:val="32"/>
          <w:highlight w:val="none"/>
        </w:rPr>
        <w:t>十一、采购人、采购代理机构的名称、地址和联系电话</w:t>
      </w:r>
      <w:r>
        <w:rPr>
          <w:highlight w:val="none"/>
        </w:rPr>
        <w:tab/>
      </w:r>
      <w:r>
        <w:rPr>
          <w:highlight w:val="none"/>
        </w:rPr>
        <w:fldChar w:fldCharType="begin"/>
      </w:r>
      <w:r>
        <w:rPr>
          <w:highlight w:val="none"/>
        </w:rPr>
        <w:instrText xml:space="preserve"> PAGEREF _Toc3470 \h </w:instrText>
      </w:r>
      <w:r>
        <w:rPr>
          <w:highlight w:val="none"/>
        </w:rPr>
        <w:fldChar w:fldCharType="separate"/>
      </w:r>
      <w:r>
        <w:rPr>
          <w:highlight w:val="none"/>
        </w:rPr>
        <w:t>9</w:t>
      </w:r>
      <w:r>
        <w:rPr>
          <w:highlight w:val="none"/>
        </w:rPr>
        <w:fldChar w:fldCharType="end"/>
      </w:r>
      <w:r>
        <w:rPr>
          <w:rFonts w:hAnsi="宋体" w:eastAsia="黑体"/>
          <w:szCs w:val="24"/>
          <w:highlight w:val="none"/>
        </w:rPr>
        <w:fldChar w:fldCharType="end"/>
      </w:r>
    </w:p>
    <w:p w14:paraId="13E16AFE">
      <w:pPr>
        <w:pStyle w:val="37"/>
        <w:tabs>
          <w:tab w:val="right" w:leader="dot" w:pos="9072"/>
          <w:tab w:val="clear" w:pos="993"/>
          <w:tab w:val="clear" w:pos="9060"/>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_Toc392 </w:instrText>
      </w:r>
      <w:r>
        <w:rPr>
          <w:rFonts w:hAnsi="宋体" w:eastAsia="黑体"/>
          <w:szCs w:val="24"/>
          <w:highlight w:val="none"/>
        </w:rPr>
        <w:fldChar w:fldCharType="separate"/>
      </w:r>
      <w:r>
        <w:rPr>
          <w:rFonts w:hint="eastAsia" w:ascii="黑体" w:hAnsi="黑体" w:eastAsia="黑体"/>
          <w:bCs/>
          <w:szCs w:val="32"/>
          <w:highlight w:val="none"/>
        </w:rPr>
        <w:t>第二章 磋商须知</w:t>
      </w:r>
      <w:r>
        <w:rPr>
          <w:highlight w:val="none"/>
        </w:rPr>
        <w:tab/>
      </w:r>
      <w:r>
        <w:rPr>
          <w:highlight w:val="none"/>
        </w:rPr>
        <w:fldChar w:fldCharType="begin"/>
      </w:r>
      <w:r>
        <w:rPr>
          <w:highlight w:val="none"/>
        </w:rPr>
        <w:instrText xml:space="preserve"> PAGEREF _Toc392 \h </w:instrText>
      </w:r>
      <w:r>
        <w:rPr>
          <w:highlight w:val="none"/>
        </w:rPr>
        <w:fldChar w:fldCharType="separate"/>
      </w:r>
      <w:r>
        <w:rPr>
          <w:highlight w:val="none"/>
        </w:rPr>
        <w:t>10</w:t>
      </w:r>
      <w:r>
        <w:rPr>
          <w:highlight w:val="none"/>
        </w:rPr>
        <w:fldChar w:fldCharType="end"/>
      </w:r>
      <w:r>
        <w:rPr>
          <w:rFonts w:hAnsi="宋体" w:eastAsia="黑体"/>
          <w:szCs w:val="24"/>
          <w:highlight w:val="none"/>
        </w:rPr>
        <w:fldChar w:fldCharType="end"/>
      </w:r>
    </w:p>
    <w:p w14:paraId="0A498A40">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_Toc29494 </w:instrText>
      </w:r>
      <w:r>
        <w:rPr>
          <w:rFonts w:hAnsi="宋体" w:eastAsia="黑体"/>
          <w:szCs w:val="24"/>
          <w:highlight w:val="none"/>
        </w:rPr>
        <w:fldChar w:fldCharType="separate"/>
      </w:r>
      <w:r>
        <w:rPr>
          <w:rFonts w:hint="eastAsia" w:ascii="黑体" w:hAnsi="黑体" w:eastAsia="黑体"/>
          <w:szCs w:val="28"/>
          <w:highlight w:val="none"/>
        </w:rPr>
        <w:t>第一节 磋商须知前附表</w:t>
      </w:r>
      <w:r>
        <w:rPr>
          <w:highlight w:val="none"/>
        </w:rPr>
        <w:tab/>
      </w:r>
      <w:r>
        <w:rPr>
          <w:highlight w:val="none"/>
        </w:rPr>
        <w:fldChar w:fldCharType="begin"/>
      </w:r>
      <w:r>
        <w:rPr>
          <w:highlight w:val="none"/>
        </w:rPr>
        <w:instrText xml:space="preserve"> PAGEREF _Toc29494 \h </w:instrText>
      </w:r>
      <w:r>
        <w:rPr>
          <w:highlight w:val="none"/>
        </w:rPr>
        <w:fldChar w:fldCharType="separate"/>
      </w:r>
      <w:r>
        <w:rPr>
          <w:highlight w:val="none"/>
        </w:rPr>
        <w:t>10</w:t>
      </w:r>
      <w:r>
        <w:rPr>
          <w:highlight w:val="none"/>
        </w:rPr>
        <w:fldChar w:fldCharType="end"/>
      </w:r>
      <w:r>
        <w:rPr>
          <w:rFonts w:hAnsi="宋体" w:eastAsia="黑体"/>
          <w:szCs w:val="24"/>
          <w:highlight w:val="none"/>
        </w:rPr>
        <w:fldChar w:fldCharType="end"/>
      </w:r>
    </w:p>
    <w:p w14:paraId="29B287D3">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_Toc16907 </w:instrText>
      </w:r>
      <w:r>
        <w:rPr>
          <w:rFonts w:hAnsi="宋体" w:eastAsia="黑体"/>
          <w:szCs w:val="24"/>
          <w:highlight w:val="none"/>
        </w:rPr>
        <w:fldChar w:fldCharType="separate"/>
      </w:r>
      <w:r>
        <w:rPr>
          <w:rFonts w:hint="eastAsia" w:ascii="黑体" w:hAnsi="黑体" w:eastAsia="黑体"/>
          <w:highlight w:val="none"/>
        </w:rPr>
        <w:t>第二节 磋商须知正文</w:t>
      </w:r>
      <w:r>
        <w:rPr>
          <w:highlight w:val="none"/>
        </w:rPr>
        <w:tab/>
      </w:r>
      <w:r>
        <w:rPr>
          <w:highlight w:val="none"/>
        </w:rPr>
        <w:fldChar w:fldCharType="begin"/>
      </w:r>
      <w:r>
        <w:rPr>
          <w:highlight w:val="none"/>
        </w:rPr>
        <w:instrText xml:space="preserve"> PAGEREF _Toc16907 \h </w:instrText>
      </w:r>
      <w:r>
        <w:rPr>
          <w:highlight w:val="none"/>
        </w:rPr>
        <w:fldChar w:fldCharType="separate"/>
      </w:r>
      <w:r>
        <w:rPr>
          <w:highlight w:val="none"/>
        </w:rPr>
        <w:t>13</w:t>
      </w:r>
      <w:r>
        <w:rPr>
          <w:highlight w:val="none"/>
        </w:rPr>
        <w:fldChar w:fldCharType="end"/>
      </w:r>
      <w:r>
        <w:rPr>
          <w:rFonts w:hAnsi="宋体" w:eastAsia="黑体"/>
          <w:szCs w:val="24"/>
          <w:highlight w:val="none"/>
        </w:rPr>
        <w:fldChar w:fldCharType="end"/>
      </w:r>
    </w:p>
    <w:p w14:paraId="1198B98D">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_Toc994 </w:instrText>
      </w:r>
      <w:r>
        <w:rPr>
          <w:rFonts w:hAnsi="宋体" w:eastAsia="黑体"/>
          <w:szCs w:val="24"/>
          <w:highlight w:val="none"/>
        </w:rPr>
        <w:fldChar w:fldCharType="separate"/>
      </w:r>
      <w:r>
        <w:rPr>
          <w:rFonts w:hint="eastAsia" w:ascii="黑体" w:hAnsi="黑体" w:eastAsia="黑体"/>
          <w:szCs w:val="28"/>
          <w:highlight w:val="none"/>
        </w:rPr>
        <w:t>一、说明</w:t>
      </w:r>
      <w:r>
        <w:rPr>
          <w:highlight w:val="none"/>
        </w:rPr>
        <w:tab/>
      </w:r>
      <w:r>
        <w:rPr>
          <w:highlight w:val="none"/>
        </w:rPr>
        <w:fldChar w:fldCharType="begin"/>
      </w:r>
      <w:r>
        <w:rPr>
          <w:highlight w:val="none"/>
        </w:rPr>
        <w:instrText xml:space="preserve"> PAGEREF _Toc994 \h </w:instrText>
      </w:r>
      <w:r>
        <w:rPr>
          <w:highlight w:val="none"/>
        </w:rPr>
        <w:fldChar w:fldCharType="separate"/>
      </w:r>
      <w:r>
        <w:rPr>
          <w:highlight w:val="none"/>
        </w:rPr>
        <w:t>13</w:t>
      </w:r>
      <w:r>
        <w:rPr>
          <w:highlight w:val="none"/>
        </w:rPr>
        <w:fldChar w:fldCharType="end"/>
      </w:r>
      <w:r>
        <w:rPr>
          <w:rFonts w:hAnsi="宋体" w:eastAsia="黑体"/>
          <w:szCs w:val="24"/>
          <w:highlight w:val="none"/>
        </w:rPr>
        <w:fldChar w:fldCharType="end"/>
      </w:r>
    </w:p>
    <w:p w14:paraId="3D362B56">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_Toc9608 </w:instrText>
      </w:r>
      <w:r>
        <w:rPr>
          <w:rFonts w:hAnsi="宋体" w:eastAsia="黑体"/>
          <w:szCs w:val="24"/>
          <w:highlight w:val="none"/>
        </w:rPr>
        <w:fldChar w:fldCharType="separate"/>
      </w:r>
      <w:r>
        <w:rPr>
          <w:rFonts w:hint="eastAsia" w:ascii="黑体" w:hAnsi="黑体"/>
          <w:szCs w:val="24"/>
          <w:highlight w:val="none"/>
        </w:rPr>
        <w:t>1.适用范围</w:t>
      </w:r>
      <w:r>
        <w:rPr>
          <w:highlight w:val="none"/>
        </w:rPr>
        <w:tab/>
      </w:r>
      <w:r>
        <w:rPr>
          <w:highlight w:val="none"/>
        </w:rPr>
        <w:fldChar w:fldCharType="begin"/>
      </w:r>
      <w:r>
        <w:rPr>
          <w:highlight w:val="none"/>
        </w:rPr>
        <w:instrText xml:space="preserve"> PAGEREF _Toc9608 \h </w:instrText>
      </w:r>
      <w:r>
        <w:rPr>
          <w:highlight w:val="none"/>
        </w:rPr>
        <w:fldChar w:fldCharType="separate"/>
      </w:r>
      <w:r>
        <w:rPr>
          <w:highlight w:val="none"/>
        </w:rPr>
        <w:t>13</w:t>
      </w:r>
      <w:r>
        <w:rPr>
          <w:highlight w:val="none"/>
        </w:rPr>
        <w:fldChar w:fldCharType="end"/>
      </w:r>
      <w:r>
        <w:rPr>
          <w:rFonts w:hAnsi="宋体" w:eastAsia="黑体"/>
          <w:szCs w:val="24"/>
          <w:highlight w:val="none"/>
        </w:rPr>
        <w:fldChar w:fldCharType="end"/>
      </w:r>
    </w:p>
    <w:p w14:paraId="425CC09D">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_Toc29828 </w:instrText>
      </w:r>
      <w:r>
        <w:rPr>
          <w:rFonts w:hAnsi="宋体" w:eastAsia="黑体"/>
          <w:szCs w:val="24"/>
          <w:highlight w:val="none"/>
        </w:rPr>
        <w:fldChar w:fldCharType="separate"/>
      </w:r>
      <w:r>
        <w:rPr>
          <w:rFonts w:hint="eastAsia" w:ascii="黑体" w:hAnsi="黑体"/>
          <w:szCs w:val="24"/>
          <w:highlight w:val="none"/>
        </w:rPr>
        <w:t>2.定义</w:t>
      </w:r>
      <w:r>
        <w:rPr>
          <w:highlight w:val="none"/>
        </w:rPr>
        <w:tab/>
      </w:r>
      <w:r>
        <w:rPr>
          <w:highlight w:val="none"/>
        </w:rPr>
        <w:fldChar w:fldCharType="begin"/>
      </w:r>
      <w:r>
        <w:rPr>
          <w:highlight w:val="none"/>
        </w:rPr>
        <w:instrText xml:space="preserve"> PAGEREF _Toc29828 \h </w:instrText>
      </w:r>
      <w:r>
        <w:rPr>
          <w:highlight w:val="none"/>
        </w:rPr>
        <w:fldChar w:fldCharType="separate"/>
      </w:r>
      <w:r>
        <w:rPr>
          <w:highlight w:val="none"/>
        </w:rPr>
        <w:t>13</w:t>
      </w:r>
      <w:r>
        <w:rPr>
          <w:highlight w:val="none"/>
        </w:rPr>
        <w:fldChar w:fldCharType="end"/>
      </w:r>
      <w:r>
        <w:rPr>
          <w:rFonts w:hAnsi="宋体" w:eastAsia="黑体"/>
          <w:szCs w:val="24"/>
          <w:highlight w:val="none"/>
        </w:rPr>
        <w:fldChar w:fldCharType="end"/>
      </w:r>
    </w:p>
    <w:p w14:paraId="09D73A08">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_Toc28537 </w:instrText>
      </w:r>
      <w:r>
        <w:rPr>
          <w:rFonts w:hAnsi="宋体" w:eastAsia="黑体"/>
          <w:szCs w:val="24"/>
          <w:highlight w:val="none"/>
        </w:rPr>
        <w:fldChar w:fldCharType="separate"/>
      </w:r>
      <w:r>
        <w:rPr>
          <w:rFonts w:hint="eastAsia" w:ascii="黑体" w:hAnsi="黑体"/>
          <w:szCs w:val="24"/>
          <w:highlight w:val="none"/>
        </w:rPr>
        <w:t>3.供应商的资格要求</w:t>
      </w:r>
      <w:r>
        <w:rPr>
          <w:highlight w:val="none"/>
        </w:rPr>
        <w:tab/>
      </w:r>
      <w:r>
        <w:rPr>
          <w:highlight w:val="none"/>
        </w:rPr>
        <w:fldChar w:fldCharType="begin"/>
      </w:r>
      <w:r>
        <w:rPr>
          <w:highlight w:val="none"/>
        </w:rPr>
        <w:instrText xml:space="preserve"> PAGEREF _Toc28537 \h </w:instrText>
      </w:r>
      <w:r>
        <w:rPr>
          <w:highlight w:val="none"/>
        </w:rPr>
        <w:fldChar w:fldCharType="separate"/>
      </w:r>
      <w:r>
        <w:rPr>
          <w:highlight w:val="none"/>
        </w:rPr>
        <w:t>13</w:t>
      </w:r>
      <w:r>
        <w:rPr>
          <w:highlight w:val="none"/>
        </w:rPr>
        <w:fldChar w:fldCharType="end"/>
      </w:r>
      <w:r>
        <w:rPr>
          <w:rFonts w:hAnsi="宋体" w:eastAsia="黑体"/>
          <w:szCs w:val="24"/>
          <w:highlight w:val="none"/>
        </w:rPr>
        <w:fldChar w:fldCharType="end"/>
      </w:r>
    </w:p>
    <w:p w14:paraId="529DE88C">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_Toc31694 </w:instrText>
      </w:r>
      <w:r>
        <w:rPr>
          <w:rFonts w:hAnsi="宋体" w:eastAsia="黑体"/>
          <w:szCs w:val="24"/>
          <w:highlight w:val="none"/>
        </w:rPr>
        <w:fldChar w:fldCharType="separate"/>
      </w:r>
      <w:r>
        <w:rPr>
          <w:rFonts w:hint="eastAsia" w:ascii="黑体" w:hAnsi="黑体"/>
          <w:szCs w:val="24"/>
          <w:highlight w:val="none"/>
        </w:rPr>
        <w:t>4.参与磋商的费用</w:t>
      </w:r>
      <w:r>
        <w:rPr>
          <w:highlight w:val="none"/>
        </w:rPr>
        <w:tab/>
      </w:r>
      <w:r>
        <w:rPr>
          <w:highlight w:val="none"/>
        </w:rPr>
        <w:fldChar w:fldCharType="begin"/>
      </w:r>
      <w:r>
        <w:rPr>
          <w:highlight w:val="none"/>
        </w:rPr>
        <w:instrText xml:space="preserve"> PAGEREF _Toc31694 \h </w:instrText>
      </w:r>
      <w:r>
        <w:rPr>
          <w:highlight w:val="none"/>
        </w:rPr>
        <w:fldChar w:fldCharType="separate"/>
      </w:r>
      <w:r>
        <w:rPr>
          <w:highlight w:val="none"/>
        </w:rPr>
        <w:t>13</w:t>
      </w:r>
      <w:r>
        <w:rPr>
          <w:highlight w:val="none"/>
        </w:rPr>
        <w:fldChar w:fldCharType="end"/>
      </w:r>
      <w:r>
        <w:rPr>
          <w:rFonts w:hAnsi="宋体" w:eastAsia="黑体"/>
          <w:szCs w:val="24"/>
          <w:highlight w:val="none"/>
        </w:rPr>
        <w:fldChar w:fldCharType="end"/>
      </w:r>
    </w:p>
    <w:p w14:paraId="15A7DD50">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_Toc92 </w:instrText>
      </w:r>
      <w:r>
        <w:rPr>
          <w:rFonts w:hAnsi="宋体" w:eastAsia="黑体"/>
          <w:szCs w:val="24"/>
          <w:highlight w:val="none"/>
        </w:rPr>
        <w:fldChar w:fldCharType="separate"/>
      </w:r>
      <w:r>
        <w:rPr>
          <w:rFonts w:hint="eastAsia" w:ascii="黑体" w:hAnsi="黑体"/>
          <w:szCs w:val="24"/>
          <w:highlight w:val="none"/>
        </w:rPr>
        <w:t>5.现场勘察</w:t>
      </w:r>
      <w:r>
        <w:rPr>
          <w:highlight w:val="none"/>
        </w:rPr>
        <w:tab/>
      </w:r>
      <w:r>
        <w:rPr>
          <w:highlight w:val="none"/>
        </w:rPr>
        <w:fldChar w:fldCharType="begin"/>
      </w:r>
      <w:r>
        <w:rPr>
          <w:highlight w:val="none"/>
        </w:rPr>
        <w:instrText xml:space="preserve"> PAGEREF _Toc92 \h </w:instrText>
      </w:r>
      <w:r>
        <w:rPr>
          <w:highlight w:val="none"/>
        </w:rPr>
        <w:fldChar w:fldCharType="separate"/>
      </w:r>
      <w:r>
        <w:rPr>
          <w:highlight w:val="none"/>
        </w:rPr>
        <w:t>13</w:t>
      </w:r>
      <w:r>
        <w:rPr>
          <w:highlight w:val="none"/>
        </w:rPr>
        <w:fldChar w:fldCharType="end"/>
      </w:r>
      <w:r>
        <w:rPr>
          <w:rFonts w:hAnsi="宋体" w:eastAsia="黑体"/>
          <w:szCs w:val="24"/>
          <w:highlight w:val="none"/>
        </w:rPr>
        <w:fldChar w:fldCharType="end"/>
      </w:r>
    </w:p>
    <w:p w14:paraId="028FE5D8">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_Toc21118 </w:instrText>
      </w:r>
      <w:r>
        <w:rPr>
          <w:rFonts w:hAnsi="宋体" w:eastAsia="黑体"/>
          <w:szCs w:val="24"/>
          <w:highlight w:val="none"/>
        </w:rPr>
        <w:fldChar w:fldCharType="separate"/>
      </w:r>
      <w:r>
        <w:rPr>
          <w:rFonts w:hint="eastAsia" w:ascii="黑体" w:hAnsi="黑体" w:eastAsia="黑体"/>
          <w:szCs w:val="28"/>
          <w:highlight w:val="none"/>
        </w:rPr>
        <w:t>二、磋商文件</w:t>
      </w:r>
      <w:r>
        <w:rPr>
          <w:highlight w:val="none"/>
        </w:rPr>
        <w:tab/>
      </w:r>
      <w:r>
        <w:rPr>
          <w:highlight w:val="none"/>
        </w:rPr>
        <w:fldChar w:fldCharType="begin"/>
      </w:r>
      <w:r>
        <w:rPr>
          <w:highlight w:val="none"/>
        </w:rPr>
        <w:instrText xml:space="preserve"> PAGEREF _Toc21118 \h </w:instrText>
      </w:r>
      <w:r>
        <w:rPr>
          <w:highlight w:val="none"/>
        </w:rPr>
        <w:fldChar w:fldCharType="separate"/>
      </w:r>
      <w:r>
        <w:rPr>
          <w:highlight w:val="none"/>
        </w:rPr>
        <w:t>14</w:t>
      </w:r>
      <w:r>
        <w:rPr>
          <w:highlight w:val="none"/>
        </w:rPr>
        <w:fldChar w:fldCharType="end"/>
      </w:r>
      <w:r>
        <w:rPr>
          <w:rFonts w:hAnsi="宋体" w:eastAsia="黑体"/>
          <w:szCs w:val="24"/>
          <w:highlight w:val="none"/>
        </w:rPr>
        <w:fldChar w:fldCharType="end"/>
      </w:r>
    </w:p>
    <w:p w14:paraId="430D1679">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_Toc26472 </w:instrText>
      </w:r>
      <w:r>
        <w:rPr>
          <w:rFonts w:hAnsi="宋体" w:eastAsia="黑体"/>
          <w:szCs w:val="24"/>
          <w:highlight w:val="none"/>
        </w:rPr>
        <w:fldChar w:fldCharType="separate"/>
      </w:r>
      <w:r>
        <w:rPr>
          <w:rFonts w:hint="eastAsia" w:ascii="黑体" w:hAnsi="黑体"/>
          <w:szCs w:val="24"/>
          <w:highlight w:val="none"/>
        </w:rPr>
        <w:t>6.磋商文件的组成</w:t>
      </w:r>
      <w:r>
        <w:rPr>
          <w:highlight w:val="none"/>
        </w:rPr>
        <w:tab/>
      </w:r>
      <w:r>
        <w:rPr>
          <w:highlight w:val="none"/>
        </w:rPr>
        <w:fldChar w:fldCharType="begin"/>
      </w:r>
      <w:r>
        <w:rPr>
          <w:highlight w:val="none"/>
        </w:rPr>
        <w:instrText xml:space="preserve"> PAGEREF _Toc26472 \h </w:instrText>
      </w:r>
      <w:r>
        <w:rPr>
          <w:highlight w:val="none"/>
        </w:rPr>
        <w:fldChar w:fldCharType="separate"/>
      </w:r>
      <w:r>
        <w:rPr>
          <w:highlight w:val="none"/>
        </w:rPr>
        <w:t>14</w:t>
      </w:r>
      <w:r>
        <w:rPr>
          <w:highlight w:val="none"/>
        </w:rPr>
        <w:fldChar w:fldCharType="end"/>
      </w:r>
      <w:r>
        <w:rPr>
          <w:rFonts w:hAnsi="宋体" w:eastAsia="黑体"/>
          <w:szCs w:val="24"/>
          <w:highlight w:val="none"/>
        </w:rPr>
        <w:fldChar w:fldCharType="end"/>
      </w:r>
    </w:p>
    <w:p w14:paraId="34D381A3">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_Toc18092 </w:instrText>
      </w:r>
      <w:r>
        <w:rPr>
          <w:rFonts w:hAnsi="宋体" w:eastAsia="黑体"/>
          <w:szCs w:val="24"/>
          <w:highlight w:val="none"/>
        </w:rPr>
        <w:fldChar w:fldCharType="separate"/>
      </w:r>
      <w:r>
        <w:rPr>
          <w:rFonts w:hint="eastAsia" w:ascii="黑体" w:hAnsi="黑体"/>
          <w:szCs w:val="24"/>
          <w:highlight w:val="none"/>
        </w:rPr>
        <w:t>7.磋商文件的澄清</w:t>
      </w:r>
      <w:r>
        <w:rPr>
          <w:rFonts w:hint="eastAsia" w:ascii="黑体" w:hAnsi="黑体"/>
          <w:kern w:val="0"/>
          <w:szCs w:val="24"/>
          <w:highlight w:val="none"/>
          <w:lang w:val="zh-CN"/>
        </w:rPr>
        <w:t>或者</w:t>
      </w:r>
      <w:r>
        <w:rPr>
          <w:rFonts w:hint="eastAsia" w:ascii="黑体" w:hAnsi="黑体"/>
          <w:szCs w:val="24"/>
          <w:highlight w:val="none"/>
        </w:rPr>
        <w:t>修改</w:t>
      </w:r>
      <w:r>
        <w:rPr>
          <w:highlight w:val="none"/>
        </w:rPr>
        <w:tab/>
      </w:r>
      <w:r>
        <w:rPr>
          <w:highlight w:val="none"/>
        </w:rPr>
        <w:fldChar w:fldCharType="begin"/>
      </w:r>
      <w:r>
        <w:rPr>
          <w:highlight w:val="none"/>
        </w:rPr>
        <w:instrText xml:space="preserve"> PAGEREF _Toc18092 \h </w:instrText>
      </w:r>
      <w:r>
        <w:rPr>
          <w:highlight w:val="none"/>
        </w:rPr>
        <w:fldChar w:fldCharType="separate"/>
      </w:r>
      <w:r>
        <w:rPr>
          <w:highlight w:val="none"/>
        </w:rPr>
        <w:t>14</w:t>
      </w:r>
      <w:r>
        <w:rPr>
          <w:highlight w:val="none"/>
        </w:rPr>
        <w:fldChar w:fldCharType="end"/>
      </w:r>
      <w:r>
        <w:rPr>
          <w:rFonts w:hAnsi="宋体" w:eastAsia="黑体"/>
          <w:szCs w:val="24"/>
          <w:highlight w:val="none"/>
        </w:rPr>
        <w:fldChar w:fldCharType="end"/>
      </w:r>
    </w:p>
    <w:p w14:paraId="5FBE2138">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_Toc20233 </w:instrText>
      </w:r>
      <w:r>
        <w:rPr>
          <w:rFonts w:hAnsi="宋体" w:eastAsia="黑体"/>
          <w:szCs w:val="24"/>
          <w:highlight w:val="none"/>
        </w:rPr>
        <w:fldChar w:fldCharType="separate"/>
      </w:r>
      <w:r>
        <w:rPr>
          <w:rFonts w:hint="eastAsia" w:ascii="黑体" w:hAnsi="黑体" w:eastAsia="黑体"/>
          <w:szCs w:val="28"/>
          <w:highlight w:val="none"/>
        </w:rPr>
        <w:t>三、响应文件</w:t>
      </w:r>
      <w:r>
        <w:rPr>
          <w:highlight w:val="none"/>
        </w:rPr>
        <w:tab/>
      </w:r>
      <w:r>
        <w:rPr>
          <w:highlight w:val="none"/>
        </w:rPr>
        <w:fldChar w:fldCharType="begin"/>
      </w:r>
      <w:r>
        <w:rPr>
          <w:highlight w:val="none"/>
        </w:rPr>
        <w:instrText xml:space="preserve"> PAGEREF _Toc20233 \h </w:instrText>
      </w:r>
      <w:r>
        <w:rPr>
          <w:highlight w:val="none"/>
        </w:rPr>
        <w:fldChar w:fldCharType="separate"/>
      </w:r>
      <w:r>
        <w:rPr>
          <w:highlight w:val="none"/>
        </w:rPr>
        <w:t>14</w:t>
      </w:r>
      <w:r>
        <w:rPr>
          <w:highlight w:val="none"/>
        </w:rPr>
        <w:fldChar w:fldCharType="end"/>
      </w:r>
      <w:r>
        <w:rPr>
          <w:rFonts w:hAnsi="宋体" w:eastAsia="黑体"/>
          <w:szCs w:val="24"/>
          <w:highlight w:val="none"/>
        </w:rPr>
        <w:fldChar w:fldCharType="end"/>
      </w:r>
    </w:p>
    <w:p w14:paraId="524F731C">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_Toc741 </w:instrText>
      </w:r>
      <w:r>
        <w:rPr>
          <w:rFonts w:hAnsi="宋体" w:eastAsia="黑体"/>
          <w:szCs w:val="24"/>
          <w:highlight w:val="none"/>
        </w:rPr>
        <w:fldChar w:fldCharType="separate"/>
      </w:r>
      <w:r>
        <w:rPr>
          <w:rFonts w:hint="eastAsia" w:ascii="黑体" w:hAnsi="黑体"/>
          <w:szCs w:val="24"/>
          <w:highlight w:val="none"/>
        </w:rPr>
        <w:t>8.一般要求</w:t>
      </w:r>
      <w:r>
        <w:rPr>
          <w:highlight w:val="none"/>
        </w:rPr>
        <w:tab/>
      </w:r>
      <w:r>
        <w:rPr>
          <w:highlight w:val="none"/>
        </w:rPr>
        <w:fldChar w:fldCharType="begin"/>
      </w:r>
      <w:r>
        <w:rPr>
          <w:highlight w:val="none"/>
        </w:rPr>
        <w:instrText xml:space="preserve"> PAGEREF _Toc741 \h </w:instrText>
      </w:r>
      <w:r>
        <w:rPr>
          <w:highlight w:val="none"/>
        </w:rPr>
        <w:fldChar w:fldCharType="separate"/>
      </w:r>
      <w:r>
        <w:rPr>
          <w:highlight w:val="none"/>
        </w:rPr>
        <w:t>14</w:t>
      </w:r>
      <w:r>
        <w:rPr>
          <w:highlight w:val="none"/>
        </w:rPr>
        <w:fldChar w:fldCharType="end"/>
      </w:r>
      <w:r>
        <w:rPr>
          <w:rFonts w:hAnsi="宋体" w:eastAsia="黑体"/>
          <w:szCs w:val="24"/>
          <w:highlight w:val="none"/>
        </w:rPr>
        <w:fldChar w:fldCharType="end"/>
      </w:r>
    </w:p>
    <w:p w14:paraId="64EF8DC1">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_Toc547 </w:instrText>
      </w:r>
      <w:r>
        <w:rPr>
          <w:rFonts w:hAnsi="宋体" w:eastAsia="黑体"/>
          <w:szCs w:val="24"/>
          <w:highlight w:val="none"/>
        </w:rPr>
        <w:fldChar w:fldCharType="separate"/>
      </w:r>
      <w:r>
        <w:rPr>
          <w:rFonts w:hint="eastAsia" w:ascii="黑体" w:hAnsi="黑体"/>
          <w:szCs w:val="24"/>
          <w:highlight w:val="none"/>
        </w:rPr>
        <w:t>9.响应文件的组成</w:t>
      </w:r>
      <w:r>
        <w:rPr>
          <w:highlight w:val="none"/>
        </w:rPr>
        <w:tab/>
      </w:r>
      <w:r>
        <w:rPr>
          <w:highlight w:val="none"/>
        </w:rPr>
        <w:fldChar w:fldCharType="begin"/>
      </w:r>
      <w:r>
        <w:rPr>
          <w:highlight w:val="none"/>
        </w:rPr>
        <w:instrText xml:space="preserve"> PAGEREF _Toc547 \h </w:instrText>
      </w:r>
      <w:r>
        <w:rPr>
          <w:highlight w:val="none"/>
        </w:rPr>
        <w:fldChar w:fldCharType="separate"/>
      </w:r>
      <w:r>
        <w:rPr>
          <w:highlight w:val="none"/>
        </w:rPr>
        <w:t>14</w:t>
      </w:r>
      <w:r>
        <w:rPr>
          <w:highlight w:val="none"/>
        </w:rPr>
        <w:fldChar w:fldCharType="end"/>
      </w:r>
      <w:r>
        <w:rPr>
          <w:rFonts w:hAnsi="宋体" w:eastAsia="黑体"/>
          <w:szCs w:val="24"/>
          <w:highlight w:val="none"/>
        </w:rPr>
        <w:fldChar w:fldCharType="end"/>
      </w:r>
    </w:p>
    <w:p w14:paraId="762DC2C8">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_Toc28389 </w:instrText>
      </w:r>
      <w:r>
        <w:rPr>
          <w:rFonts w:hAnsi="宋体" w:eastAsia="黑体"/>
          <w:szCs w:val="24"/>
          <w:highlight w:val="none"/>
        </w:rPr>
        <w:fldChar w:fldCharType="separate"/>
      </w:r>
      <w:r>
        <w:rPr>
          <w:rFonts w:hint="eastAsia" w:ascii="黑体" w:hAnsi="黑体"/>
          <w:szCs w:val="24"/>
          <w:highlight w:val="none"/>
        </w:rPr>
        <w:t>10.供应商的资格证明文件（未进行资格预审的）</w:t>
      </w:r>
      <w:r>
        <w:rPr>
          <w:highlight w:val="none"/>
        </w:rPr>
        <w:tab/>
      </w:r>
      <w:r>
        <w:rPr>
          <w:highlight w:val="none"/>
        </w:rPr>
        <w:fldChar w:fldCharType="begin"/>
      </w:r>
      <w:r>
        <w:rPr>
          <w:highlight w:val="none"/>
        </w:rPr>
        <w:instrText xml:space="preserve"> PAGEREF _Toc28389 \h </w:instrText>
      </w:r>
      <w:r>
        <w:rPr>
          <w:highlight w:val="none"/>
        </w:rPr>
        <w:fldChar w:fldCharType="separate"/>
      </w:r>
      <w:r>
        <w:rPr>
          <w:highlight w:val="none"/>
        </w:rPr>
        <w:t>15</w:t>
      </w:r>
      <w:r>
        <w:rPr>
          <w:highlight w:val="none"/>
        </w:rPr>
        <w:fldChar w:fldCharType="end"/>
      </w:r>
      <w:r>
        <w:rPr>
          <w:rFonts w:hAnsi="宋体" w:eastAsia="黑体"/>
          <w:szCs w:val="24"/>
          <w:highlight w:val="none"/>
        </w:rPr>
        <w:fldChar w:fldCharType="end"/>
      </w:r>
    </w:p>
    <w:p w14:paraId="433CF953">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_Toc32535 </w:instrText>
      </w:r>
      <w:r>
        <w:rPr>
          <w:rFonts w:hAnsi="宋体" w:eastAsia="黑体"/>
          <w:szCs w:val="24"/>
          <w:highlight w:val="none"/>
        </w:rPr>
        <w:fldChar w:fldCharType="separate"/>
      </w:r>
      <w:r>
        <w:rPr>
          <w:rFonts w:hint="eastAsia" w:ascii="黑体" w:hAnsi="黑体"/>
          <w:szCs w:val="24"/>
          <w:highlight w:val="none"/>
        </w:rPr>
        <w:t>10.供应商的资格证明文件（已进行资格预审的）</w:t>
      </w:r>
      <w:r>
        <w:rPr>
          <w:highlight w:val="none"/>
        </w:rPr>
        <w:tab/>
      </w:r>
      <w:r>
        <w:rPr>
          <w:highlight w:val="none"/>
        </w:rPr>
        <w:fldChar w:fldCharType="begin"/>
      </w:r>
      <w:r>
        <w:rPr>
          <w:highlight w:val="none"/>
        </w:rPr>
        <w:instrText xml:space="preserve"> PAGEREF _Toc32535 \h </w:instrText>
      </w:r>
      <w:r>
        <w:rPr>
          <w:highlight w:val="none"/>
        </w:rPr>
        <w:fldChar w:fldCharType="separate"/>
      </w:r>
      <w:r>
        <w:rPr>
          <w:highlight w:val="none"/>
        </w:rPr>
        <w:t>15</w:t>
      </w:r>
      <w:r>
        <w:rPr>
          <w:highlight w:val="none"/>
        </w:rPr>
        <w:fldChar w:fldCharType="end"/>
      </w:r>
      <w:r>
        <w:rPr>
          <w:rFonts w:hAnsi="宋体" w:eastAsia="黑体"/>
          <w:szCs w:val="24"/>
          <w:highlight w:val="none"/>
        </w:rPr>
        <w:fldChar w:fldCharType="end"/>
      </w:r>
    </w:p>
    <w:p w14:paraId="1F919BDD">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_Toc2597 </w:instrText>
      </w:r>
      <w:r>
        <w:rPr>
          <w:rFonts w:hAnsi="宋体" w:eastAsia="黑体"/>
          <w:szCs w:val="24"/>
          <w:highlight w:val="none"/>
        </w:rPr>
        <w:fldChar w:fldCharType="separate"/>
      </w:r>
      <w:r>
        <w:rPr>
          <w:rFonts w:hint="eastAsia" w:ascii="黑体" w:hAnsi="黑体"/>
          <w:szCs w:val="24"/>
          <w:highlight w:val="none"/>
        </w:rPr>
        <w:t>11.报价要求</w:t>
      </w:r>
      <w:r>
        <w:rPr>
          <w:highlight w:val="none"/>
        </w:rPr>
        <w:tab/>
      </w:r>
      <w:r>
        <w:rPr>
          <w:highlight w:val="none"/>
        </w:rPr>
        <w:fldChar w:fldCharType="begin"/>
      </w:r>
      <w:r>
        <w:rPr>
          <w:highlight w:val="none"/>
        </w:rPr>
        <w:instrText xml:space="preserve"> PAGEREF _Toc2597 \h </w:instrText>
      </w:r>
      <w:r>
        <w:rPr>
          <w:highlight w:val="none"/>
        </w:rPr>
        <w:fldChar w:fldCharType="separate"/>
      </w:r>
      <w:r>
        <w:rPr>
          <w:highlight w:val="none"/>
        </w:rPr>
        <w:t>15</w:t>
      </w:r>
      <w:r>
        <w:rPr>
          <w:highlight w:val="none"/>
        </w:rPr>
        <w:fldChar w:fldCharType="end"/>
      </w:r>
      <w:r>
        <w:rPr>
          <w:rFonts w:hAnsi="宋体" w:eastAsia="黑体"/>
          <w:szCs w:val="24"/>
          <w:highlight w:val="none"/>
        </w:rPr>
        <w:fldChar w:fldCharType="end"/>
      </w:r>
    </w:p>
    <w:p w14:paraId="0D6A8F29">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_Toc12633 </w:instrText>
      </w:r>
      <w:r>
        <w:rPr>
          <w:rFonts w:hAnsi="宋体" w:eastAsia="黑体"/>
          <w:szCs w:val="24"/>
          <w:highlight w:val="none"/>
        </w:rPr>
        <w:fldChar w:fldCharType="separate"/>
      </w:r>
      <w:r>
        <w:rPr>
          <w:rFonts w:hint="eastAsia" w:ascii="黑体" w:hAnsi="黑体"/>
          <w:szCs w:val="24"/>
          <w:highlight w:val="none"/>
        </w:rPr>
        <w:t>12.保证金</w:t>
      </w:r>
      <w:r>
        <w:rPr>
          <w:highlight w:val="none"/>
        </w:rPr>
        <w:tab/>
      </w:r>
      <w:r>
        <w:rPr>
          <w:highlight w:val="none"/>
        </w:rPr>
        <w:fldChar w:fldCharType="begin"/>
      </w:r>
      <w:r>
        <w:rPr>
          <w:highlight w:val="none"/>
        </w:rPr>
        <w:instrText xml:space="preserve"> PAGEREF _Toc12633 \h </w:instrText>
      </w:r>
      <w:r>
        <w:rPr>
          <w:highlight w:val="none"/>
        </w:rPr>
        <w:fldChar w:fldCharType="separate"/>
      </w:r>
      <w:r>
        <w:rPr>
          <w:highlight w:val="none"/>
        </w:rPr>
        <w:t>16</w:t>
      </w:r>
      <w:r>
        <w:rPr>
          <w:highlight w:val="none"/>
        </w:rPr>
        <w:fldChar w:fldCharType="end"/>
      </w:r>
      <w:r>
        <w:rPr>
          <w:rFonts w:hAnsi="宋体" w:eastAsia="黑体"/>
          <w:szCs w:val="24"/>
          <w:highlight w:val="none"/>
        </w:rPr>
        <w:fldChar w:fldCharType="end"/>
      </w:r>
    </w:p>
    <w:p w14:paraId="4C0F5DBC">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_Toc12500 </w:instrText>
      </w:r>
      <w:r>
        <w:rPr>
          <w:rFonts w:hAnsi="宋体" w:eastAsia="黑体"/>
          <w:szCs w:val="24"/>
          <w:highlight w:val="none"/>
        </w:rPr>
        <w:fldChar w:fldCharType="separate"/>
      </w:r>
      <w:r>
        <w:rPr>
          <w:rFonts w:hint="eastAsia" w:ascii="黑体" w:hAnsi="黑体"/>
          <w:szCs w:val="24"/>
          <w:highlight w:val="none"/>
        </w:rPr>
        <w:t>13.响应文件有效期</w:t>
      </w:r>
      <w:r>
        <w:rPr>
          <w:highlight w:val="none"/>
        </w:rPr>
        <w:tab/>
      </w:r>
      <w:r>
        <w:rPr>
          <w:highlight w:val="none"/>
        </w:rPr>
        <w:fldChar w:fldCharType="begin"/>
      </w:r>
      <w:r>
        <w:rPr>
          <w:highlight w:val="none"/>
        </w:rPr>
        <w:instrText xml:space="preserve"> PAGEREF _Toc12500 \h </w:instrText>
      </w:r>
      <w:r>
        <w:rPr>
          <w:highlight w:val="none"/>
        </w:rPr>
        <w:fldChar w:fldCharType="separate"/>
      </w:r>
      <w:r>
        <w:rPr>
          <w:highlight w:val="none"/>
        </w:rPr>
        <w:t>16</w:t>
      </w:r>
      <w:r>
        <w:rPr>
          <w:highlight w:val="none"/>
        </w:rPr>
        <w:fldChar w:fldCharType="end"/>
      </w:r>
      <w:r>
        <w:rPr>
          <w:rFonts w:hAnsi="宋体" w:eastAsia="黑体"/>
          <w:szCs w:val="24"/>
          <w:highlight w:val="none"/>
        </w:rPr>
        <w:fldChar w:fldCharType="end"/>
      </w:r>
    </w:p>
    <w:p w14:paraId="6BA9FDE7">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_Toc10382 </w:instrText>
      </w:r>
      <w:r>
        <w:rPr>
          <w:rFonts w:hAnsi="宋体" w:eastAsia="黑体"/>
          <w:szCs w:val="24"/>
          <w:highlight w:val="none"/>
        </w:rPr>
        <w:fldChar w:fldCharType="separate"/>
      </w:r>
      <w:r>
        <w:rPr>
          <w:rFonts w:hint="eastAsia" w:ascii="黑体" w:hAnsi="黑体"/>
          <w:szCs w:val="24"/>
          <w:highlight w:val="none"/>
        </w:rPr>
        <w:t>14.分包</w:t>
      </w:r>
      <w:r>
        <w:rPr>
          <w:highlight w:val="none"/>
        </w:rPr>
        <w:tab/>
      </w:r>
      <w:r>
        <w:rPr>
          <w:highlight w:val="none"/>
        </w:rPr>
        <w:fldChar w:fldCharType="begin"/>
      </w:r>
      <w:r>
        <w:rPr>
          <w:highlight w:val="none"/>
        </w:rPr>
        <w:instrText xml:space="preserve"> PAGEREF _Toc10382 \h </w:instrText>
      </w:r>
      <w:r>
        <w:rPr>
          <w:highlight w:val="none"/>
        </w:rPr>
        <w:fldChar w:fldCharType="separate"/>
      </w:r>
      <w:r>
        <w:rPr>
          <w:highlight w:val="none"/>
        </w:rPr>
        <w:t>16</w:t>
      </w:r>
      <w:r>
        <w:rPr>
          <w:highlight w:val="none"/>
        </w:rPr>
        <w:fldChar w:fldCharType="end"/>
      </w:r>
      <w:r>
        <w:rPr>
          <w:rFonts w:hAnsi="宋体" w:eastAsia="黑体"/>
          <w:szCs w:val="24"/>
          <w:highlight w:val="none"/>
        </w:rPr>
        <w:fldChar w:fldCharType="end"/>
      </w:r>
    </w:p>
    <w:p w14:paraId="5400A28E">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_Toc7820 </w:instrText>
      </w:r>
      <w:r>
        <w:rPr>
          <w:rFonts w:hAnsi="宋体" w:eastAsia="黑体"/>
          <w:szCs w:val="24"/>
          <w:highlight w:val="none"/>
        </w:rPr>
        <w:fldChar w:fldCharType="separate"/>
      </w:r>
      <w:r>
        <w:rPr>
          <w:rFonts w:hint="eastAsia" w:ascii="黑体" w:hAnsi="黑体"/>
          <w:szCs w:val="24"/>
          <w:highlight w:val="none"/>
        </w:rPr>
        <w:t>15.响应文件的签署及规定</w:t>
      </w:r>
      <w:r>
        <w:rPr>
          <w:highlight w:val="none"/>
        </w:rPr>
        <w:tab/>
      </w:r>
      <w:r>
        <w:rPr>
          <w:highlight w:val="none"/>
        </w:rPr>
        <w:fldChar w:fldCharType="begin"/>
      </w:r>
      <w:r>
        <w:rPr>
          <w:highlight w:val="none"/>
        </w:rPr>
        <w:instrText xml:space="preserve"> PAGEREF _Toc7820 \h </w:instrText>
      </w:r>
      <w:r>
        <w:rPr>
          <w:highlight w:val="none"/>
        </w:rPr>
        <w:fldChar w:fldCharType="separate"/>
      </w:r>
      <w:r>
        <w:rPr>
          <w:highlight w:val="none"/>
        </w:rPr>
        <w:t>16</w:t>
      </w:r>
      <w:r>
        <w:rPr>
          <w:highlight w:val="none"/>
        </w:rPr>
        <w:fldChar w:fldCharType="end"/>
      </w:r>
      <w:r>
        <w:rPr>
          <w:rFonts w:hAnsi="宋体" w:eastAsia="黑体"/>
          <w:szCs w:val="24"/>
          <w:highlight w:val="none"/>
        </w:rPr>
        <w:fldChar w:fldCharType="end"/>
      </w:r>
    </w:p>
    <w:p w14:paraId="4F07D431">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_Toc9729 </w:instrText>
      </w:r>
      <w:r>
        <w:rPr>
          <w:rFonts w:hAnsi="宋体" w:eastAsia="黑体"/>
          <w:szCs w:val="24"/>
          <w:highlight w:val="none"/>
        </w:rPr>
        <w:fldChar w:fldCharType="separate"/>
      </w:r>
      <w:r>
        <w:rPr>
          <w:rFonts w:hint="eastAsia" w:ascii="黑体" w:hAnsi="黑体" w:eastAsia="黑体"/>
          <w:szCs w:val="28"/>
          <w:highlight w:val="none"/>
        </w:rPr>
        <w:t>四、响应文件的递交</w:t>
      </w:r>
      <w:r>
        <w:rPr>
          <w:highlight w:val="none"/>
        </w:rPr>
        <w:tab/>
      </w:r>
      <w:r>
        <w:rPr>
          <w:highlight w:val="none"/>
        </w:rPr>
        <w:fldChar w:fldCharType="begin"/>
      </w:r>
      <w:r>
        <w:rPr>
          <w:highlight w:val="none"/>
        </w:rPr>
        <w:instrText xml:space="preserve"> PAGEREF _Toc9729 \h </w:instrText>
      </w:r>
      <w:r>
        <w:rPr>
          <w:highlight w:val="none"/>
        </w:rPr>
        <w:fldChar w:fldCharType="separate"/>
      </w:r>
      <w:r>
        <w:rPr>
          <w:highlight w:val="none"/>
        </w:rPr>
        <w:t>17</w:t>
      </w:r>
      <w:r>
        <w:rPr>
          <w:highlight w:val="none"/>
        </w:rPr>
        <w:fldChar w:fldCharType="end"/>
      </w:r>
      <w:r>
        <w:rPr>
          <w:rFonts w:hAnsi="宋体" w:eastAsia="黑体"/>
          <w:szCs w:val="24"/>
          <w:highlight w:val="none"/>
        </w:rPr>
        <w:fldChar w:fldCharType="end"/>
      </w:r>
    </w:p>
    <w:p w14:paraId="2C8F2AFB">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_Toc4233 </w:instrText>
      </w:r>
      <w:r>
        <w:rPr>
          <w:rFonts w:hAnsi="宋体" w:eastAsia="黑体"/>
          <w:szCs w:val="24"/>
          <w:highlight w:val="none"/>
        </w:rPr>
        <w:fldChar w:fldCharType="separate"/>
      </w:r>
      <w:r>
        <w:rPr>
          <w:rFonts w:hint="eastAsia" w:ascii="黑体" w:hAnsi="黑体"/>
          <w:szCs w:val="24"/>
          <w:highlight w:val="none"/>
        </w:rPr>
        <w:t>16.响应文件的密封和标记</w:t>
      </w:r>
      <w:r>
        <w:rPr>
          <w:highlight w:val="none"/>
        </w:rPr>
        <w:tab/>
      </w:r>
      <w:r>
        <w:rPr>
          <w:highlight w:val="none"/>
        </w:rPr>
        <w:fldChar w:fldCharType="begin"/>
      </w:r>
      <w:r>
        <w:rPr>
          <w:highlight w:val="none"/>
        </w:rPr>
        <w:instrText xml:space="preserve"> PAGEREF _Toc4233 \h </w:instrText>
      </w:r>
      <w:r>
        <w:rPr>
          <w:highlight w:val="none"/>
        </w:rPr>
        <w:fldChar w:fldCharType="separate"/>
      </w:r>
      <w:r>
        <w:rPr>
          <w:highlight w:val="none"/>
        </w:rPr>
        <w:t>17</w:t>
      </w:r>
      <w:r>
        <w:rPr>
          <w:highlight w:val="none"/>
        </w:rPr>
        <w:fldChar w:fldCharType="end"/>
      </w:r>
      <w:r>
        <w:rPr>
          <w:rFonts w:hAnsi="宋体" w:eastAsia="黑体"/>
          <w:szCs w:val="24"/>
          <w:highlight w:val="none"/>
        </w:rPr>
        <w:fldChar w:fldCharType="end"/>
      </w:r>
    </w:p>
    <w:p w14:paraId="767CE16F">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_Toc22186 </w:instrText>
      </w:r>
      <w:r>
        <w:rPr>
          <w:rFonts w:hAnsi="宋体" w:eastAsia="黑体"/>
          <w:szCs w:val="24"/>
          <w:highlight w:val="none"/>
        </w:rPr>
        <w:fldChar w:fldCharType="separate"/>
      </w:r>
      <w:r>
        <w:rPr>
          <w:rFonts w:hint="eastAsia" w:ascii="黑体" w:hAnsi="黑体"/>
          <w:szCs w:val="24"/>
          <w:highlight w:val="none"/>
        </w:rPr>
        <w:t>17.响应文件的</w:t>
      </w:r>
      <w:r>
        <w:rPr>
          <w:rFonts w:hint="eastAsia" w:ascii="黑体" w:hAnsi="黑体" w:cs="宋体"/>
          <w:kern w:val="0"/>
          <w:szCs w:val="24"/>
          <w:highlight w:val="none"/>
          <w:lang w:val="zh-CN"/>
        </w:rPr>
        <w:t>补充、修改或者撤回</w:t>
      </w:r>
      <w:r>
        <w:rPr>
          <w:highlight w:val="none"/>
        </w:rPr>
        <w:tab/>
      </w:r>
      <w:r>
        <w:rPr>
          <w:highlight w:val="none"/>
        </w:rPr>
        <w:fldChar w:fldCharType="begin"/>
      </w:r>
      <w:r>
        <w:rPr>
          <w:highlight w:val="none"/>
        </w:rPr>
        <w:instrText xml:space="preserve"> PAGEREF _Toc22186 \h </w:instrText>
      </w:r>
      <w:r>
        <w:rPr>
          <w:highlight w:val="none"/>
        </w:rPr>
        <w:fldChar w:fldCharType="separate"/>
      </w:r>
      <w:r>
        <w:rPr>
          <w:highlight w:val="none"/>
        </w:rPr>
        <w:t>17</w:t>
      </w:r>
      <w:r>
        <w:rPr>
          <w:highlight w:val="none"/>
        </w:rPr>
        <w:fldChar w:fldCharType="end"/>
      </w:r>
      <w:r>
        <w:rPr>
          <w:rFonts w:hAnsi="宋体" w:eastAsia="黑体"/>
          <w:szCs w:val="24"/>
          <w:highlight w:val="none"/>
        </w:rPr>
        <w:fldChar w:fldCharType="end"/>
      </w:r>
    </w:p>
    <w:p w14:paraId="112676EE">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_Toc6602 </w:instrText>
      </w:r>
      <w:r>
        <w:rPr>
          <w:rFonts w:hAnsi="宋体" w:eastAsia="黑体"/>
          <w:szCs w:val="24"/>
          <w:highlight w:val="none"/>
        </w:rPr>
        <w:fldChar w:fldCharType="separate"/>
      </w:r>
      <w:r>
        <w:rPr>
          <w:rFonts w:hint="eastAsia" w:ascii="黑体" w:hAnsi="黑体"/>
          <w:szCs w:val="24"/>
          <w:highlight w:val="none"/>
        </w:rPr>
        <w:t>18.响应文件的递交与接收</w:t>
      </w:r>
      <w:r>
        <w:rPr>
          <w:highlight w:val="none"/>
        </w:rPr>
        <w:tab/>
      </w:r>
      <w:r>
        <w:rPr>
          <w:highlight w:val="none"/>
        </w:rPr>
        <w:fldChar w:fldCharType="begin"/>
      </w:r>
      <w:r>
        <w:rPr>
          <w:highlight w:val="none"/>
        </w:rPr>
        <w:instrText xml:space="preserve"> PAGEREF _Toc6602 \h </w:instrText>
      </w:r>
      <w:r>
        <w:rPr>
          <w:highlight w:val="none"/>
        </w:rPr>
        <w:fldChar w:fldCharType="separate"/>
      </w:r>
      <w:r>
        <w:rPr>
          <w:highlight w:val="none"/>
        </w:rPr>
        <w:t>17</w:t>
      </w:r>
      <w:r>
        <w:rPr>
          <w:highlight w:val="none"/>
        </w:rPr>
        <w:fldChar w:fldCharType="end"/>
      </w:r>
      <w:r>
        <w:rPr>
          <w:rFonts w:hAnsi="宋体" w:eastAsia="黑体"/>
          <w:szCs w:val="24"/>
          <w:highlight w:val="none"/>
        </w:rPr>
        <w:fldChar w:fldCharType="end"/>
      </w:r>
    </w:p>
    <w:p w14:paraId="38B98EB6">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_Toc23506 </w:instrText>
      </w:r>
      <w:r>
        <w:rPr>
          <w:rFonts w:hAnsi="宋体" w:eastAsia="黑体"/>
          <w:szCs w:val="24"/>
          <w:highlight w:val="none"/>
        </w:rPr>
        <w:fldChar w:fldCharType="separate"/>
      </w:r>
      <w:r>
        <w:rPr>
          <w:rFonts w:hint="eastAsia" w:ascii="黑体" w:hAnsi="黑体" w:eastAsia="黑体"/>
          <w:szCs w:val="28"/>
          <w:highlight w:val="none"/>
        </w:rPr>
        <w:t>五、响应文件的评审与磋商</w:t>
      </w:r>
      <w:r>
        <w:rPr>
          <w:highlight w:val="none"/>
        </w:rPr>
        <w:tab/>
      </w:r>
      <w:r>
        <w:rPr>
          <w:highlight w:val="none"/>
        </w:rPr>
        <w:fldChar w:fldCharType="begin"/>
      </w:r>
      <w:r>
        <w:rPr>
          <w:highlight w:val="none"/>
        </w:rPr>
        <w:instrText xml:space="preserve"> PAGEREF _Toc23506 \h </w:instrText>
      </w:r>
      <w:r>
        <w:rPr>
          <w:highlight w:val="none"/>
        </w:rPr>
        <w:fldChar w:fldCharType="separate"/>
      </w:r>
      <w:r>
        <w:rPr>
          <w:highlight w:val="none"/>
        </w:rPr>
        <w:t>18</w:t>
      </w:r>
      <w:r>
        <w:rPr>
          <w:highlight w:val="none"/>
        </w:rPr>
        <w:fldChar w:fldCharType="end"/>
      </w:r>
      <w:r>
        <w:rPr>
          <w:rFonts w:hAnsi="宋体" w:eastAsia="黑体"/>
          <w:szCs w:val="24"/>
          <w:highlight w:val="none"/>
        </w:rPr>
        <w:fldChar w:fldCharType="end"/>
      </w:r>
    </w:p>
    <w:p w14:paraId="672E840D">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_Toc20398 </w:instrText>
      </w:r>
      <w:r>
        <w:rPr>
          <w:rFonts w:hAnsi="宋体" w:eastAsia="黑体"/>
          <w:szCs w:val="24"/>
          <w:highlight w:val="none"/>
        </w:rPr>
        <w:fldChar w:fldCharType="separate"/>
      </w:r>
      <w:r>
        <w:rPr>
          <w:rFonts w:hint="eastAsia" w:ascii="黑体" w:hAnsi="黑体"/>
          <w:szCs w:val="24"/>
          <w:highlight w:val="none"/>
        </w:rPr>
        <w:t>19.资格审查</w:t>
      </w:r>
      <w:r>
        <w:rPr>
          <w:highlight w:val="none"/>
        </w:rPr>
        <w:tab/>
      </w:r>
      <w:r>
        <w:rPr>
          <w:highlight w:val="none"/>
        </w:rPr>
        <w:fldChar w:fldCharType="begin"/>
      </w:r>
      <w:r>
        <w:rPr>
          <w:highlight w:val="none"/>
        </w:rPr>
        <w:instrText xml:space="preserve"> PAGEREF _Toc20398 \h </w:instrText>
      </w:r>
      <w:r>
        <w:rPr>
          <w:highlight w:val="none"/>
        </w:rPr>
        <w:fldChar w:fldCharType="separate"/>
      </w:r>
      <w:r>
        <w:rPr>
          <w:highlight w:val="none"/>
        </w:rPr>
        <w:t>18</w:t>
      </w:r>
      <w:r>
        <w:rPr>
          <w:highlight w:val="none"/>
        </w:rPr>
        <w:fldChar w:fldCharType="end"/>
      </w:r>
      <w:r>
        <w:rPr>
          <w:rFonts w:hAnsi="宋体" w:eastAsia="黑体"/>
          <w:szCs w:val="24"/>
          <w:highlight w:val="none"/>
        </w:rPr>
        <w:fldChar w:fldCharType="end"/>
      </w:r>
    </w:p>
    <w:p w14:paraId="3CEA8F06">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_Toc29104 </w:instrText>
      </w:r>
      <w:r>
        <w:rPr>
          <w:rFonts w:hAnsi="宋体" w:eastAsia="黑体"/>
          <w:szCs w:val="24"/>
          <w:highlight w:val="none"/>
        </w:rPr>
        <w:fldChar w:fldCharType="separate"/>
      </w:r>
      <w:r>
        <w:rPr>
          <w:rFonts w:hint="eastAsia" w:ascii="黑体" w:hAnsi="黑体"/>
          <w:szCs w:val="24"/>
          <w:highlight w:val="none"/>
        </w:rPr>
        <w:t>20.磋商小组</w:t>
      </w:r>
      <w:r>
        <w:rPr>
          <w:highlight w:val="none"/>
        </w:rPr>
        <w:tab/>
      </w:r>
      <w:r>
        <w:rPr>
          <w:highlight w:val="none"/>
        </w:rPr>
        <w:fldChar w:fldCharType="begin"/>
      </w:r>
      <w:r>
        <w:rPr>
          <w:highlight w:val="none"/>
        </w:rPr>
        <w:instrText xml:space="preserve"> PAGEREF _Toc29104 \h </w:instrText>
      </w:r>
      <w:r>
        <w:rPr>
          <w:highlight w:val="none"/>
        </w:rPr>
        <w:fldChar w:fldCharType="separate"/>
      </w:r>
      <w:r>
        <w:rPr>
          <w:highlight w:val="none"/>
        </w:rPr>
        <w:t>18</w:t>
      </w:r>
      <w:r>
        <w:rPr>
          <w:highlight w:val="none"/>
        </w:rPr>
        <w:fldChar w:fldCharType="end"/>
      </w:r>
      <w:r>
        <w:rPr>
          <w:rFonts w:hAnsi="宋体" w:eastAsia="黑体"/>
          <w:szCs w:val="24"/>
          <w:highlight w:val="none"/>
        </w:rPr>
        <w:fldChar w:fldCharType="end"/>
      </w:r>
    </w:p>
    <w:p w14:paraId="09D883EB">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_Toc20638 </w:instrText>
      </w:r>
      <w:r>
        <w:rPr>
          <w:rFonts w:hAnsi="宋体" w:eastAsia="黑体"/>
          <w:szCs w:val="24"/>
          <w:highlight w:val="none"/>
        </w:rPr>
        <w:fldChar w:fldCharType="separate"/>
      </w:r>
      <w:r>
        <w:rPr>
          <w:rFonts w:hint="eastAsia" w:ascii="黑体" w:hAnsi="黑体"/>
          <w:szCs w:val="24"/>
          <w:highlight w:val="none"/>
        </w:rPr>
        <w:t>21.磋商程序</w:t>
      </w:r>
      <w:r>
        <w:rPr>
          <w:highlight w:val="none"/>
        </w:rPr>
        <w:tab/>
      </w:r>
      <w:r>
        <w:rPr>
          <w:highlight w:val="none"/>
        </w:rPr>
        <w:fldChar w:fldCharType="begin"/>
      </w:r>
      <w:r>
        <w:rPr>
          <w:highlight w:val="none"/>
        </w:rPr>
        <w:instrText xml:space="preserve"> PAGEREF _Toc20638 \h </w:instrText>
      </w:r>
      <w:r>
        <w:rPr>
          <w:highlight w:val="none"/>
        </w:rPr>
        <w:fldChar w:fldCharType="separate"/>
      </w:r>
      <w:r>
        <w:rPr>
          <w:highlight w:val="none"/>
        </w:rPr>
        <w:t>18</w:t>
      </w:r>
      <w:r>
        <w:rPr>
          <w:highlight w:val="none"/>
        </w:rPr>
        <w:fldChar w:fldCharType="end"/>
      </w:r>
      <w:r>
        <w:rPr>
          <w:rFonts w:hAnsi="宋体" w:eastAsia="黑体"/>
          <w:szCs w:val="24"/>
          <w:highlight w:val="none"/>
        </w:rPr>
        <w:fldChar w:fldCharType="end"/>
      </w:r>
    </w:p>
    <w:p w14:paraId="42AC3F2E">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_Toc7436 </w:instrText>
      </w:r>
      <w:r>
        <w:rPr>
          <w:rFonts w:hAnsi="宋体" w:eastAsia="黑体"/>
          <w:szCs w:val="24"/>
          <w:highlight w:val="none"/>
        </w:rPr>
        <w:fldChar w:fldCharType="separate"/>
      </w:r>
      <w:r>
        <w:rPr>
          <w:rFonts w:hint="eastAsia" w:ascii="黑体" w:hAnsi="黑体"/>
          <w:szCs w:val="24"/>
          <w:highlight w:val="none"/>
        </w:rPr>
        <w:t>22.响应文件初步审查</w:t>
      </w:r>
      <w:r>
        <w:rPr>
          <w:highlight w:val="none"/>
        </w:rPr>
        <w:tab/>
      </w:r>
      <w:r>
        <w:rPr>
          <w:highlight w:val="none"/>
        </w:rPr>
        <w:fldChar w:fldCharType="begin"/>
      </w:r>
      <w:r>
        <w:rPr>
          <w:highlight w:val="none"/>
        </w:rPr>
        <w:instrText xml:space="preserve"> PAGEREF _Toc7436 \h </w:instrText>
      </w:r>
      <w:r>
        <w:rPr>
          <w:highlight w:val="none"/>
        </w:rPr>
        <w:fldChar w:fldCharType="separate"/>
      </w:r>
      <w:r>
        <w:rPr>
          <w:highlight w:val="none"/>
        </w:rPr>
        <w:t>18</w:t>
      </w:r>
      <w:r>
        <w:rPr>
          <w:highlight w:val="none"/>
        </w:rPr>
        <w:fldChar w:fldCharType="end"/>
      </w:r>
      <w:r>
        <w:rPr>
          <w:rFonts w:hAnsi="宋体" w:eastAsia="黑体"/>
          <w:szCs w:val="24"/>
          <w:highlight w:val="none"/>
        </w:rPr>
        <w:fldChar w:fldCharType="end"/>
      </w:r>
    </w:p>
    <w:p w14:paraId="323A7C7E">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_Toc16146 </w:instrText>
      </w:r>
      <w:r>
        <w:rPr>
          <w:rFonts w:hAnsi="宋体" w:eastAsia="黑体"/>
          <w:szCs w:val="24"/>
          <w:highlight w:val="none"/>
        </w:rPr>
        <w:fldChar w:fldCharType="separate"/>
      </w:r>
      <w:r>
        <w:rPr>
          <w:rFonts w:hint="eastAsia" w:ascii="黑体" w:hAnsi="黑体"/>
          <w:szCs w:val="24"/>
          <w:highlight w:val="none"/>
        </w:rPr>
        <w:t>23.澄清</w:t>
      </w:r>
      <w:r>
        <w:rPr>
          <w:highlight w:val="none"/>
        </w:rPr>
        <w:tab/>
      </w:r>
      <w:r>
        <w:rPr>
          <w:highlight w:val="none"/>
        </w:rPr>
        <w:fldChar w:fldCharType="begin"/>
      </w:r>
      <w:r>
        <w:rPr>
          <w:highlight w:val="none"/>
        </w:rPr>
        <w:instrText xml:space="preserve"> PAGEREF _Toc16146 \h </w:instrText>
      </w:r>
      <w:r>
        <w:rPr>
          <w:highlight w:val="none"/>
        </w:rPr>
        <w:fldChar w:fldCharType="separate"/>
      </w:r>
      <w:r>
        <w:rPr>
          <w:highlight w:val="none"/>
        </w:rPr>
        <w:t>19</w:t>
      </w:r>
      <w:r>
        <w:rPr>
          <w:highlight w:val="none"/>
        </w:rPr>
        <w:fldChar w:fldCharType="end"/>
      </w:r>
      <w:r>
        <w:rPr>
          <w:rFonts w:hAnsi="宋体" w:eastAsia="黑体"/>
          <w:szCs w:val="24"/>
          <w:highlight w:val="none"/>
        </w:rPr>
        <w:fldChar w:fldCharType="end"/>
      </w:r>
    </w:p>
    <w:p w14:paraId="4F721CB7">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_Toc15683 </w:instrText>
      </w:r>
      <w:r>
        <w:rPr>
          <w:rFonts w:hAnsi="宋体" w:eastAsia="黑体"/>
          <w:szCs w:val="24"/>
          <w:highlight w:val="none"/>
        </w:rPr>
        <w:fldChar w:fldCharType="separate"/>
      </w:r>
      <w:r>
        <w:rPr>
          <w:rFonts w:hint="eastAsia" w:ascii="黑体" w:hAnsi="黑体"/>
          <w:szCs w:val="24"/>
          <w:highlight w:val="none"/>
        </w:rPr>
        <w:t>24.磋商</w:t>
      </w:r>
      <w:r>
        <w:rPr>
          <w:highlight w:val="none"/>
        </w:rPr>
        <w:tab/>
      </w:r>
      <w:r>
        <w:rPr>
          <w:highlight w:val="none"/>
        </w:rPr>
        <w:fldChar w:fldCharType="begin"/>
      </w:r>
      <w:r>
        <w:rPr>
          <w:highlight w:val="none"/>
        </w:rPr>
        <w:instrText xml:space="preserve"> PAGEREF _Toc15683 \h </w:instrText>
      </w:r>
      <w:r>
        <w:rPr>
          <w:highlight w:val="none"/>
        </w:rPr>
        <w:fldChar w:fldCharType="separate"/>
      </w:r>
      <w:r>
        <w:rPr>
          <w:highlight w:val="none"/>
        </w:rPr>
        <w:t>19</w:t>
      </w:r>
      <w:r>
        <w:rPr>
          <w:highlight w:val="none"/>
        </w:rPr>
        <w:fldChar w:fldCharType="end"/>
      </w:r>
      <w:r>
        <w:rPr>
          <w:rFonts w:hAnsi="宋体" w:eastAsia="黑体"/>
          <w:szCs w:val="24"/>
          <w:highlight w:val="none"/>
        </w:rPr>
        <w:fldChar w:fldCharType="end"/>
      </w:r>
    </w:p>
    <w:p w14:paraId="6DA730DE">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_Toc18390 </w:instrText>
      </w:r>
      <w:r>
        <w:rPr>
          <w:rFonts w:hAnsi="宋体" w:eastAsia="黑体"/>
          <w:szCs w:val="24"/>
          <w:highlight w:val="none"/>
        </w:rPr>
        <w:fldChar w:fldCharType="separate"/>
      </w:r>
      <w:r>
        <w:rPr>
          <w:rFonts w:hint="eastAsia" w:ascii="黑体" w:hAnsi="黑体"/>
          <w:szCs w:val="24"/>
          <w:highlight w:val="none"/>
        </w:rPr>
        <w:t>25.退出磋商</w:t>
      </w:r>
      <w:r>
        <w:rPr>
          <w:highlight w:val="none"/>
        </w:rPr>
        <w:tab/>
      </w:r>
      <w:r>
        <w:rPr>
          <w:highlight w:val="none"/>
        </w:rPr>
        <w:fldChar w:fldCharType="begin"/>
      </w:r>
      <w:r>
        <w:rPr>
          <w:highlight w:val="none"/>
        </w:rPr>
        <w:instrText xml:space="preserve"> PAGEREF _Toc18390 \h </w:instrText>
      </w:r>
      <w:r>
        <w:rPr>
          <w:highlight w:val="none"/>
        </w:rPr>
        <w:fldChar w:fldCharType="separate"/>
      </w:r>
      <w:r>
        <w:rPr>
          <w:highlight w:val="none"/>
        </w:rPr>
        <w:t>19</w:t>
      </w:r>
      <w:r>
        <w:rPr>
          <w:highlight w:val="none"/>
        </w:rPr>
        <w:fldChar w:fldCharType="end"/>
      </w:r>
      <w:r>
        <w:rPr>
          <w:rFonts w:hAnsi="宋体" w:eastAsia="黑体"/>
          <w:szCs w:val="24"/>
          <w:highlight w:val="none"/>
        </w:rPr>
        <w:fldChar w:fldCharType="end"/>
      </w:r>
    </w:p>
    <w:p w14:paraId="0BD66129">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_Toc17118 </w:instrText>
      </w:r>
      <w:r>
        <w:rPr>
          <w:rFonts w:hAnsi="宋体" w:eastAsia="黑体"/>
          <w:szCs w:val="24"/>
          <w:highlight w:val="none"/>
        </w:rPr>
        <w:fldChar w:fldCharType="separate"/>
      </w:r>
      <w:r>
        <w:rPr>
          <w:rFonts w:hint="eastAsia" w:ascii="黑体" w:hAnsi="黑体"/>
          <w:szCs w:val="24"/>
          <w:highlight w:val="none"/>
        </w:rPr>
        <w:t>26.最后报价</w:t>
      </w:r>
      <w:r>
        <w:rPr>
          <w:highlight w:val="none"/>
        </w:rPr>
        <w:tab/>
      </w:r>
      <w:r>
        <w:rPr>
          <w:highlight w:val="none"/>
        </w:rPr>
        <w:fldChar w:fldCharType="begin"/>
      </w:r>
      <w:r>
        <w:rPr>
          <w:highlight w:val="none"/>
        </w:rPr>
        <w:instrText xml:space="preserve"> PAGEREF _Toc17118 \h </w:instrText>
      </w:r>
      <w:r>
        <w:rPr>
          <w:highlight w:val="none"/>
        </w:rPr>
        <w:fldChar w:fldCharType="separate"/>
      </w:r>
      <w:r>
        <w:rPr>
          <w:highlight w:val="none"/>
        </w:rPr>
        <w:t>19</w:t>
      </w:r>
      <w:r>
        <w:rPr>
          <w:highlight w:val="none"/>
        </w:rPr>
        <w:fldChar w:fldCharType="end"/>
      </w:r>
      <w:r>
        <w:rPr>
          <w:rFonts w:hAnsi="宋体" w:eastAsia="黑体"/>
          <w:szCs w:val="24"/>
          <w:highlight w:val="none"/>
        </w:rPr>
        <w:fldChar w:fldCharType="end"/>
      </w:r>
    </w:p>
    <w:p w14:paraId="64980B8C">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_Toc17137 </w:instrText>
      </w:r>
      <w:r>
        <w:rPr>
          <w:rFonts w:hAnsi="宋体" w:eastAsia="黑体"/>
          <w:szCs w:val="24"/>
          <w:highlight w:val="none"/>
        </w:rPr>
        <w:fldChar w:fldCharType="separate"/>
      </w:r>
      <w:r>
        <w:rPr>
          <w:rFonts w:hint="eastAsia" w:ascii="黑体" w:hAnsi="黑体"/>
          <w:szCs w:val="24"/>
          <w:highlight w:val="none"/>
        </w:rPr>
        <w:t>27.综合评审</w:t>
      </w:r>
      <w:r>
        <w:rPr>
          <w:highlight w:val="none"/>
        </w:rPr>
        <w:tab/>
      </w:r>
      <w:r>
        <w:rPr>
          <w:highlight w:val="none"/>
        </w:rPr>
        <w:fldChar w:fldCharType="begin"/>
      </w:r>
      <w:r>
        <w:rPr>
          <w:highlight w:val="none"/>
        </w:rPr>
        <w:instrText xml:space="preserve"> PAGEREF _Toc17137 \h </w:instrText>
      </w:r>
      <w:r>
        <w:rPr>
          <w:highlight w:val="none"/>
        </w:rPr>
        <w:fldChar w:fldCharType="separate"/>
      </w:r>
      <w:r>
        <w:rPr>
          <w:highlight w:val="none"/>
        </w:rPr>
        <w:t>20</w:t>
      </w:r>
      <w:r>
        <w:rPr>
          <w:highlight w:val="none"/>
        </w:rPr>
        <w:fldChar w:fldCharType="end"/>
      </w:r>
      <w:r>
        <w:rPr>
          <w:rFonts w:hAnsi="宋体" w:eastAsia="黑体"/>
          <w:szCs w:val="24"/>
          <w:highlight w:val="none"/>
        </w:rPr>
        <w:fldChar w:fldCharType="end"/>
      </w:r>
    </w:p>
    <w:p w14:paraId="1BF90431">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_Toc27367 </w:instrText>
      </w:r>
      <w:r>
        <w:rPr>
          <w:rFonts w:hAnsi="宋体" w:eastAsia="黑体"/>
          <w:szCs w:val="24"/>
          <w:highlight w:val="none"/>
        </w:rPr>
        <w:fldChar w:fldCharType="separate"/>
      </w:r>
      <w:r>
        <w:rPr>
          <w:rFonts w:hint="eastAsia" w:ascii="黑体" w:hAnsi="黑体"/>
          <w:szCs w:val="24"/>
          <w:highlight w:val="none"/>
        </w:rPr>
        <w:t>28.推荐成交候选供应商</w:t>
      </w:r>
      <w:r>
        <w:rPr>
          <w:highlight w:val="none"/>
        </w:rPr>
        <w:tab/>
      </w:r>
      <w:r>
        <w:rPr>
          <w:highlight w:val="none"/>
        </w:rPr>
        <w:fldChar w:fldCharType="begin"/>
      </w:r>
      <w:r>
        <w:rPr>
          <w:highlight w:val="none"/>
        </w:rPr>
        <w:instrText xml:space="preserve"> PAGEREF _Toc27367 \h </w:instrText>
      </w:r>
      <w:r>
        <w:rPr>
          <w:highlight w:val="none"/>
        </w:rPr>
        <w:fldChar w:fldCharType="separate"/>
      </w:r>
      <w:r>
        <w:rPr>
          <w:highlight w:val="none"/>
        </w:rPr>
        <w:t>20</w:t>
      </w:r>
      <w:r>
        <w:rPr>
          <w:highlight w:val="none"/>
        </w:rPr>
        <w:fldChar w:fldCharType="end"/>
      </w:r>
      <w:r>
        <w:rPr>
          <w:rFonts w:hAnsi="宋体" w:eastAsia="黑体"/>
          <w:szCs w:val="24"/>
          <w:highlight w:val="none"/>
        </w:rPr>
        <w:fldChar w:fldCharType="end"/>
      </w:r>
    </w:p>
    <w:p w14:paraId="3CC38A0C">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_Toc18282 </w:instrText>
      </w:r>
      <w:r>
        <w:rPr>
          <w:rFonts w:hAnsi="宋体" w:eastAsia="黑体"/>
          <w:szCs w:val="24"/>
          <w:highlight w:val="none"/>
        </w:rPr>
        <w:fldChar w:fldCharType="separate"/>
      </w:r>
      <w:r>
        <w:rPr>
          <w:rFonts w:hint="eastAsia" w:ascii="黑体" w:hAnsi="黑体"/>
          <w:szCs w:val="24"/>
          <w:highlight w:val="none"/>
        </w:rPr>
        <w:t>29.确定成交供应商</w:t>
      </w:r>
      <w:r>
        <w:rPr>
          <w:highlight w:val="none"/>
        </w:rPr>
        <w:tab/>
      </w:r>
      <w:r>
        <w:rPr>
          <w:highlight w:val="none"/>
        </w:rPr>
        <w:fldChar w:fldCharType="begin"/>
      </w:r>
      <w:r>
        <w:rPr>
          <w:highlight w:val="none"/>
        </w:rPr>
        <w:instrText xml:space="preserve"> PAGEREF _Toc18282 \h </w:instrText>
      </w:r>
      <w:r>
        <w:rPr>
          <w:highlight w:val="none"/>
        </w:rPr>
        <w:fldChar w:fldCharType="separate"/>
      </w:r>
      <w:r>
        <w:rPr>
          <w:highlight w:val="none"/>
        </w:rPr>
        <w:t>20</w:t>
      </w:r>
      <w:r>
        <w:rPr>
          <w:highlight w:val="none"/>
        </w:rPr>
        <w:fldChar w:fldCharType="end"/>
      </w:r>
      <w:r>
        <w:rPr>
          <w:rFonts w:hAnsi="宋体" w:eastAsia="黑体"/>
          <w:szCs w:val="24"/>
          <w:highlight w:val="none"/>
        </w:rPr>
        <w:fldChar w:fldCharType="end"/>
      </w:r>
    </w:p>
    <w:p w14:paraId="1D5DA7F7">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_Toc3555 </w:instrText>
      </w:r>
      <w:r>
        <w:rPr>
          <w:rFonts w:hAnsi="宋体" w:eastAsia="黑体"/>
          <w:szCs w:val="24"/>
          <w:highlight w:val="none"/>
        </w:rPr>
        <w:fldChar w:fldCharType="separate"/>
      </w:r>
      <w:r>
        <w:rPr>
          <w:rFonts w:hint="eastAsia" w:ascii="黑体" w:hAnsi="黑体"/>
          <w:szCs w:val="24"/>
          <w:highlight w:val="none"/>
        </w:rPr>
        <w:t>30.保密</w:t>
      </w:r>
      <w:r>
        <w:rPr>
          <w:highlight w:val="none"/>
        </w:rPr>
        <w:tab/>
      </w:r>
      <w:r>
        <w:rPr>
          <w:highlight w:val="none"/>
        </w:rPr>
        <w:fldChar w:fldCharType="begin"/>
      </w:r>
      <w:r>
        <w:rPr>
          <w:highlight w:val="none"/>
        </w:rPr>
        <w:instrText xml:space="preserve"> PAGEREF _Toc3555 \h </w:instrText>
      </w:r>
      <w:r>
        <w:rPr>
          <w:highlight w:val="none"/>
        </w:rPr>
        <w:fldChar w:fldCharType="separate"/>
      </w:r>
      <w:r>
        <w:rPr>
          <w:highlight w:val="none"/>
        </w:rPr>
        <w:t>20</w:t>
      </w:r>
      <w:r>
        <w:rPr>
          <w:highlight w:val="none"/>
        </w:rPr>
        <w:fldChar w:fldCharType="end"/>
      </w:r>
      <w:r>
        <w:rPr>
          <w:rFonts w:hAnsi="宋体" w:eastAsia="黑体"/>
          <w:szCs w:val="24"/>
          <w:highlight w:val="none"/>
        </w:rPr>
        <w:fldChar w:fldCharType="end"/>
      </w:r>
    </w:p>
    <w:p w14:paraId="666E1FD2">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_Toc23264 </w:instrText>
      </w:r>
      <w:r>
        <w:rPr>
          <w:rFonts w:hAnsi="宋体" w:eastAsia="黑体"/>
          <w:szCs w:val="24"/>
          <w:highlight w:val="none"/>
        </w:rPr>
        <w:fldChar w:fldCharType="separate"/>
      </w:r>
      <w:r>
        <w:rPr>
          <w:rFonts w:hint="eastAsia" w:ascii="黑体" w:hAnsi="黑体"/>
          <w:szCs w:val="24"/>
          <w:highlight w:val="none"/>
        </w:rPr>
        <w:t>31.公平竞争</w:t>
      </w:r>
      <w:r>
        <w:rPr>
          <w:highlight w:val="none"/>
        </w:rPr>
        <w:tab/>
      </w:r>
      <w:r>
        <w:rPr>
          <w:highlight w:val="none"/>
        </w:rPr>
        <w:fldChar w:fldCharType="begin"/>
      </w:r>
      <w:r>
        <w:rPr>
          <w:highlight w:val="none"/>
        </w:rPr>
        <w:instrText xml:space="preserve"> PAGEREF _Toc23264 \h </w:instrText>
      </w:r>
      <w:r>
        <w:rPr>
          <w:highlight w:val="none"/>
        </w:rPr>
        <w:fldChar w:fldCharType="separate"/>
      </w:r>
      <w:r>
        <w:rPr>
          <w:highlight w:val="none"/>
        </w:rPr>
        <w:t>20</w:t>
      </w:r>
      <w:r>
        <w:rPr>
          <w:highlight w:val="none"/>
        </w:rPr>
        <w:fldChar w:fldCharType="end"/>
      </w:r>
      <w:r>
        <w:rPr>
          <w:rFonts w:hAnsi="宋体" w:eastAsia="黑体"/>
          <w:szCs w:val="24"/>
          <w:highlight w:val="none"/>
        </w:rPr>
        <w:fldChar w:fldCharType="end"/>
      </w:r>
    </w:p>
    <w:p w14:paraId="394C1B9C">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_Toc13662 </w:instrText>
      </w:r>
      <w:r>
        <w:rPr>
          <w:rFonts w:hAnsi="宋体" w:eastAsia="黑体"/>
          <w:szCs w:val="24"/>
          <w:highlight w:val="none"/>
        </w:rPr>
        <w:fldChar w:fldCharType="separate"/>
      </w:r>
      <w:r>
        <w:rPr>
          <w:rFonts w:hint="eastAsia" w:ascii="黑体" w:hAnsi="黑体" w:eastAsia="黑体"/>
          <w:szCs w:val="28"/>
          <w:highlight w:val="none"/>
        </w:rPr>
        <w:t>六、成交结果信息公布与授予合同</w:t>
      </w:r>
      <w:r>
        <w:rPr>
          <w:highlight w:val="none"/>
        </w:rPr>
        <w:tab/>
      </w:r>
      <w:r>
        <w:rPr>
          <w:highlight w:val="none"/>
        </w:rPr>
        <w:fldChar w:fldCharType="begin"/>
      </w:r>
      <w:r>
        <w:rPr>
          <w:highlight w:val="none"/>
        </w:rPr>
        <w:instrText xml:space="preserve"> PAGEREF _Toc13662 \h </w:instrText>
      </w:r>
      <w:r>
        <w:rPr>
          <w:highlight w:val="none"/>
        </w:rPr>
        <w:fldChar w:fldCharType="separate"/>
      </w:r>
      <w:r>
        <w:rPr>
          <w:highlight w:val="none"/>
        </w:rPr>
        <w:t>20</w:t>
      </w:r>
      <w:r>
        <w:rPr>
          <w:highlight w:val="none"/>
        </w:rPr>
        <w:fldChar w:fldCharType="end"/>
      </w:r>
      <w:r>
        <w:rPr>
          <w:rFonts w:hAnsi="宋体" w:eastAsia="黑体"/>
          <w:szCs w:val="24"/>
          <w:highlight w:val="none"/>
        </w:rPr>
        <w:fldChar w:fldCharType="end"/>
      </w:r>
    </w:p>
    <w:p w14:paraId="6D7C1744">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_Toc14708 </w:instrText>
      </w:r>
      <w:r>
        <w:rPr>
          <w:rFonts w:hAnsi="宋体" w:eastAsia="黑体"/>
          <w:szCs w:val="24"/>
          <w:highlight w:val="none"/>
        </w:rPr>
        <w:fldChar w:fldCharType="separate"/>
      </w:r>
      <w:r>
        <w:rPr>
          <w:rFonts w:hint="eastAsia" w:ascii="黑体" w:hAnsi="黑体"/>
          <w:szCs w:val="24"/>
          <w:highlight w:val="none"/>
        </w:rPr>
        <w:t>32.成交信息的公布与成交通知书</w:t>
      </w:r>
      <w:r>
        <w:rPr>
          <w:highlight w:val="none"/>
        </w:rPr>
        <w:tab/>
      </w:r>
      <w:r>
        <w:rPr>
          <w:highlight w:val="none"/>
        </w:rPr>
        <w:fldChar w:fldCharType="begin"/>
      </w:r>
      <w:r>
        <w:rPr>
          <w:highlight w:val="none"/>
        </w:rPr>
        <w:instrText xml:space="preserve"> PAGEREF _Toc14708 \h </w:instrText>
      </w:r>
      <w:r>
        <w:rPr>
          <w:highlight w:val="none"/>
        </w:rPr>
        <w:fldChar w:fldCharType="separate"/>
      </w:r>
      <w:r>
        <w:rPr>
          <w:highlight w:val="none"/>
        </w:rPr>
        <w:t>21</w:t>
      </w:r>
      <w:r>
        <w:rPr>
          <w:highlight w:val="none"/>
        </w:rPr>
        <w:fldChar w:fldCharType="end"/>
      </w:r>
      <w:r>
        <w:rPr>
          <w:rFonts w:hAnsi="宋体" w:eastAsia="黑体"/>
          <w:szCs w:val="24"/>
          <w:highlight w:val="none"/>
        </w:rPr>
        <w:fldChar w:fldCharType="end"/>
      </w:r>
    </w:p>
    <w:p w14:paraId="095AC62D">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_Toc10930 </w:instrText>
      </w:r>
      <w:r>
        <w:rPr>
          <w:rFonts w:hAnsi="宋体" w:eastAsia="黑体"/>
          <w:szCs w:val="24"/>
          <w:highlight w:val="none"/>
        </w:rPr>
        <w:fldChar w:fldCharType="separate"/>
      </w:r>
      <w:r>
        <w:rPr>
          <w:rFonts w:hint="eastAsia" w:ascii="黑体" w:hAnsi="黑体"/>
          <w:szCs w:val="24"/>
          <w:highlight w:val="none"/>
        </w:rPr>
        <w:t>33.询问及质疑</w:t>
      </w:r>
      <w:r>
        <w:rPr>
          <w:highlight w:val="none"/>
        </w:rPr>
        <w:tab/>
      </w:r>
      <w:r>
        <w:rPr>
          <w:highlight w:val="none"/>
        </w:rPr>
        <w:fldChar w:fldCharType="begin"/>
      </w:r>
      <w:r>
        <w:rPr>
          <w:highlight w:val="none"/>
        </w:rPr>
        <w:instrText xml:space="preserve"> PAGEREF _Toc10930 \h </w:instrText>
      </w:r>
      <w:r>
        <w:rPr>
          <w:highlight w:val="none"/>
        </w:rPr>
        <w:fldChar w:fldCharType="separate"/>
      </w:r>
      <w:r>
        <w:rPr>
          <w:highlight w:val="none"/>
        </w:rPr>
        <w:t>21</w:t>
      </w:r>
      <w:r>
        <w:rPr>
          <w:highlight w:val="none"/>
        </w:rPr>
        <w:fldChar w:fldCharType="end"/>
      </w:r>
      <w:r>
        <w:rPr>
          <w:rFonts w:hAnsi="宋体" w:eastAsia="黑体"/>
          <w:szCs w:val="24"/>
          <w:highlight w:val="none"/>
        </w:rPr>
        <w:fldChar w:fldCharType="end"/>
      </w:r>
    </w:p>
    <w:p w14:paraId="21FE3620">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_Toc30187 </w:instrText>
      </w:r>
      <w:r>
        <w:rPr>
          <w:rFonts w:hAnsi="宋体" w:eastAsia="黑体"/>
          <w:szCs w:val="24"/>
          <w:highlight w:val="none"/>
        </w:rPr>
        <w:fldChar w:fldCharType="separate"/>
      </w:r>
      <w:r>
        <w:rPr>
          <w:rFonts w:hint="eastAsia" w:ascii="黑体" w:hAnsi="黑体"/>
          <w:szCs w:val="24"/>
          <w:highlight w:val="none"/>
        </w:rPr>
        <w:t>34.履约担保</w:t>
      </w:r>
      <w:r>
        <w:rPr>
          <w:highlight w:val="none"/>
        </w:rPr>
        <w:tab/>
      </w:r>
      <w:r>
        <w:rPr>
          <w:highlight w:val="none"/>
        </w:rPr>
        <w:fldChar w:fldCharType="begin"/>
      </w:r>
      <w:r>
        <w:rPr>
          <w:highlight w:val="none"/>
        </w:rPr>
        <w:instrText xml:space="preserve"> PAGEREF _Toc30187 \h </w:instrText>
      </w:r>
      <w:r>
        <w:rPr>
          <w:highlight w:val="none"/>
        </w:rPr>
        <w:fldChar w:fldCharType="separate"/>
      </w:r>
      <w:r>
        <w:rPr>
          <w:highlight w:val="none"/>
        </w:rPr>
        <w:t>21</w:t>
      </w:r>
      <w:r>
        <w:rPr>
          <w:highlight w:val="none"/>
        </w:rPr>
        <w:fldChar w:fldCharType="end"/>
      </w:r>
      <w:r>
        <w:rPr>
          <w:rFonts w:hAnsi="宋体" w:eastAsia="黑体"/>
          <w:szCs w:val="24"/>
          <w:highlight w:val="none"/>
        </w:rPr>
        <w:fldChar w:fldCharType="end"/>
      </w:r>
    </w:p>
    <w:p w14:paraId="40A8A671">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_Toc12568 </w:instrText>
      </w:r>
      <w:r>
        <w:rPr>
          <w:rFonts w:hAnsi="宋体" w:eastAsia="黑体"/>
          <w:szCs w:val="24"/>
          <w:highlight w:val="none"/>
        </w:rPr>
        <w:fldChar w:fldCharType="separate"/>
      </w:r>
      <w:r>
        <w:rPr>
          <w:rFonts w:hint="eastAsia" w:ascii="黑体" w:hAnsi="黑体"/>
          <w:szCs w:val="24"/>
          <w:highlight w:val="none"/>
        </w:rPr>
        <w:t>35.签订合同</w:t>
      </w:r>
      <w:r>
        <w:rPr>
          <w:highlight w:val="none"/>
        </w:rPr>
        <w:tab/>
      </w:r>
      <w:r>
        <w:rPr>
          <w:highlight w:val="none"/>
        </w:rPr>
        <w:fldChar w:fldCharType="begin"/>
      </w:r>
      <w:r>
        <w:rPr>
          <w:highlight w:val="none"/>
        </w:rPr>
        <w:instrText xml:space="preserve"> PAGEREF _Toc12568 \h </w:instrText>
      </w:r>
      <w:r>
        <w:rPr>
          <w:highlight w:val="none"/>
        </w:rPr>
        <w:fldChar w:fldCharType="separate"/>
      </w:r>
      <w:r>
        <w:rPr>
          <w:highlight w:val="none"/>
        </w:rPr>
        <w:t>21</w:t>
      </w:r>
      <w:r>
        <w:rPr>
          <w:highlight w:val="none"/>
        </w:rPr>
        <w:fldChar w:fldCharType="end"/>
      </w:r>
      <w:r>
        <w:rPr>
          <w:rFonts w:hAnsi="宋体" w:eastAsia="黑体"/>
          <w:szCs w:val="24"/>
          <w:highlight w:val="none"/>
        </w:rPr>
        <w:fldChar w:fldCharType="end"/>
      </w:r>
    </w:p>
    <w:p w14:paraId="7461561B">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_Toc31737 </w:instrText>
      </w:r>
      <w:r>
        <w:rPr>
          <w:rFonts w:hAnsi="宋体" w:eastAsia="黑体"/>
          <w:szCs w:val="24"/>
          <w:highlight w:val="none"/>
        </w:rPr>
        <w:fldChar w:fldCharType="separate"/>
      </w:r>
      <w:r>
        <w:rPr>
          <w:rFonts w:hint="eastAsia" w:ascii="黑体" w:hAnsi="黑体"/>
          <w:szCs w:val="24"/>
          <w:highlight w:val="none"/>
        </w:rPr>
        <w:t>36.禁止行为</w:t>
      </w:r>
      <w:r>
        <w:rPr>
          <w:highlight w:val="none"/>
        </w:rPr>
        <w:tab/>
      </w:r>
      <w:r>
        <w:rPr>
          <w:highlight w:val="none"/>
        </w:rPr>
        <w:fldChar w:fldCharType="begin"/>
      </w:r>
      <w:r>
        <w:rPr>
          <w:highlight w:val="none"/>
        </w:rPr>
        <w:instrText xml:space="preserve"> PAGEREF _Toc31737 \h </w:instrText>
      </w:r>
      <w:r>
        <w:rPr>
          <w:highlight w:val="none"/>
        </w:rPr>
        <w:fldChar w:fldCharType="separate"/>
      </w:r>
      <w:r>
        <w:rPr>
          <w:highlight w:val="none"/>
        </w:rPr>
        <w:t>21</w:t>
      </w:r>
      <w:r>
        <w:rPr>
          <w:highlight w:val="none"/>
        </w:rPr>
        <w:fldChar w:fldCharType="end"/>
      </w:r>
      <w:r>
        <w:rPr>
          <w:rFonts w:hAnsi="宋体" w:eastAsia="黑体"/>
          <w:szCs w:val="24"/>
          <w:highlight w:val="none"/>
        </w:rPr>
        <w:fldChar w:fldCharType="end"/>
      </w:r>
    </w:p>
    <w:p w14:paraId="32D46E62">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_Toc27982 </w:instrText>
      </w:r>
      <w:r>
        <w:rPr>
          <w:rFonts w:hAnsi="宋体" w:eastAsia="黑体"/>
          <w:szCs w:val="24"/>
          <w:highlight w:val="none"/>
        </w:rPr>
        <w:fldChar w:fldCharType="separate"/>
      </w:r>
      <w:r>
        <w:rPr>
          <w:rFonts w:hint="eastAsia" w:ascii="黑体" w:hAnsi="黑体" w:eastAsia="黑体"/>
          <w:szCs w:val="28"/>
          <w:highlight w:val="none"/>
        </w:rPr>
        <w:t>七、政府采购政策</w:t>
      </w:r>
      <w:r>
        <w:rPr>
          <w:highlight w:val="none"/>
        </w:rPr>
        <w:tab/>
      </w:r>
      <w:r>
        <w:rPr>
          <w:highlight w:val="none"/>
        </w:rPr>
        <w:fldChar w:fldCharType="begin"/>
      </w:r>
      <w:r>
        <w:rPr>
          <w:highlight w:val="none"/>
        </w:rPr>
        <w:instrText xml:space="preserve"> PAGEREF _Toc27982 \h </w:instrText>
      </w:r>
      <w:r>
        <w:rPr>
          <w:highlight w:val="none"/>
        </w:rPr>
        <w:fldChar w:fldCharType="separate"/>
      </w:r>
      <w:r>
        <w:rPr>
          <w:highlight w:val="none"/>
        </w:rPr>
        <w:t>22</w:t>
      </w:r>
      <w:r>
        <w:rPr>
          <w:highlight w:val="none"/>
        </w:rPr>
        <w:fldChar w:fldCharType="end"/>
      </w:r>
      <w:r>
        <w:rPr>
          <w:rFonts w:hAnsi="宋体" w:eastAsia="黑体"/>
          <w:szCs w:val="24"/>
          <w:highlight w:val="none"/>
        </w:rPr>
        <w:fldChar w:fldCharType="end"/>
      </w:r>
    </w:p>
    <w:p w14:paraId="2DE2564C">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_Toc3544 </w:instrText>
      </w:r>
      <w:r>
        <w:rPr>
          <w:rFonts w:hAnsi="宋体" w:eastAsia="黑体"/>
          <w:szCs w:val="24"/>
          <w:highlight w:val="none"/>
        </w:rPr>
        <w:fldChar w:fldCharType="separate"/>
      </w:r>
      <w:r>
        <w:rPr>
          <w:rFonts w:hint="eastAsia" w:ascii="黑体" w:hAnsi="黑体"/>
          <w:szCs w:val="24"/>
          <w:highlight w:val="none"/>
        </w:rPr>
        <w:t>37.预留采购份额</w:t>
      </w:r>
      <w:r>
        <w:rPr>
          <w:highlight w:val="none"/>
        </w:rPr>
        <w:tab/>
      </w:r>
      <w:r>
        <w:rPr>
          <w:highlight w:val="none"/>
        </w:rPr>
        <w:fldChar w:fldCharType="begin"/>
      </w:r>
      <w:r>
        <w:rPr>
          <w:highlight w:val="none"/>
        </w:rPr>
        <w:instrText xml:space="preserve"> PAGEREF _Toc3544 \h </w:instrText>
      </w:r>
      <w:r>
        <w:rPr>
          <w:highlight w:val="none"/>
        </w:rPr>
        <w:fldChar w:fldCharType="separate"/>
      </w:r>
      <w:r>
        <w:rPr>
          <w:highlight w:val="none"/>
        </w:rPr>
        <w:t>22</w:t>
      </w:r>
      <w:r>
        <w:rPr>
          <w:highlight w:val="none"/>
        </w:rPr>
        <w:fldChar w:fldCharType="end"/>
      </w:r>
      <w:r>
        <w:rPr>
          <w:rFonts w:hAnsi="宋体" w:eastAsia="黑体"/>
          <w:szCs w:val="24"/>
          <w:highlight w:val="none"/>
        </w:rPr>
        <w:fldChar w:fldCharType="end"/>
      </w:r>
    </w:p>
    <w:p w14:paraId="19747417">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_Toc20304 </w:instrText>
      </w:r>
      <w:r>
        <w:rPr>
          <w:rFonts w:hAnsi="宋体" w:eastAsia="黑体"/>
          <w:szCs w:val="24"/>
          <w:highlight w:val="none"/>
        </w:rPr>
        <w:fldChar w:fldCharType="separate"/>
      </w:r>
      <w:r>
        <w:rPr>
          <w:rFonts w:hint="eastAsia" w:ascii="黑体" w:hAnsi="黑体"/>
          <w:szCs w:val="24"/>
          <w:highlight w:val="none"/>
        </w:rPr>
        <w:t>38.强制采购</w:t>
      </w:r>
      <w:r>
        <w:rPr>
          <w:highlight w:val="none"/>
        </w:rPr>
        <w:tab/>
      </w:r>
      <w:r>
        <w:rPr>
          <w:highlight w:val="none"/>
        </w:rPr>
        <w:fldChar w:fldCharType="begin"/>
      </w:r>
      <w:r>
        <w:rPr>
          <w:highlight w:val="none"/>
        </w:rPr>
        <w:instrText xml:space="preserve"> PAGEREF _Toc20304 \h </w:instrText>
      </w:r>
      <w:r>
        <w:rPr>
          <w:highlight w:val="none"/>
        </w:rPr>
        <w:fldChar w:fldCharType="separate"/>
      </w:r>
      <w:r>
        <w:rPr>
          <w:highlight w:val="none"/>
        </w:rPr>
        <w:t>22</w:t>
      </w:r>
      <w:r>
        <w:rPr>
          <w:highlight w:val="none"/>
        </w:rPr>
        <w:fldChar w:fldCharType="end"/>
      </w:r>
      <w:r>
        <w:rPr>
          <w:rFonts w:hAnsi="宋体" w:eastAsia="黑体"/>
          <w:szCs w:val="24"/>
          <w:highlight w:val="none"/>
        </w:rPr>
        <w:fldChar w:fldCharType="end"/>
      </w:r>
    </w:p>
    <w:p w14:paraId="5E2A1AF2">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_Toc24466 </w:instrText>
      </w:r>
      <w:r>
        <w:rPr>
          <w:rFonts w:hAnsi="宋体" w:eastAsia="黑体"/>
          <w:szCs w:val="24"/>
          <w:highlight w:val="none"/>
        </w:rPr>
        <w:fldChar w:fldCharType="separate"/>
      </w:r>
      <w:r>
        <w:rPr>
          <w:rFonts w:hint="eastAsia" w:ascii="黑体" w:hAnsi="黑体"/>
          <w:szCs w:val="24"/>
          <w:highlight w:val="none"/>
        </w:rPr>
        <w:t>39.优先采购</w:t>
      </w:r>
      <w:r>
        <w:rPr>
          <w:highlight w:val="none"/>
        </w:rPr>
        <w:tab/>
      </w:r>
      <w:r>
        <w:rPr>
          <w:highlight w:val="none"/>
        </w:rPr>
        <w:fldChar w:fldCharType="begin"/>
      </w:r>
      <w:r>
        <w:rPr>
          <w:highlight w:val="none"/>
        </w:rPr>
        <w:instrText xml:space="preserve"> PAGEREF _Toc24466 \h </w:instrText>
      </w:r>
      <w:r>
        <w:rPr>
          <w:highlight w:val="none"/>
        </w:rPr>
        <w:fldChar w:fldCharType="separate"/>
      </w:r>
      <w:r>
        <w:rPr>
          <w:highlight w:val="none"/>
        </w:rPr>
        <w:t>22</w:t>
      </w:r>
      <w:r>
        <w:rPr>
          <w:highlight w:val="none"/>
        </w:rPr>
        <w:fldChar w:fldCharType="end"/>
      </w:r>
      <w:r>
        <w:rPr>
          <w:rFonts w:hAnsi="宋体" w:eastAsia="黑体"/>
          <w:szCs w:val="24"/>
          <w:highlight w:val="none"/>
        </w:rPr>
        <w:fldChar w:fldCharType="end"/>
      </w:r>
    </w:p>
    <w:p w14:paraId="6B53422C">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_Toc14074 </w:instrText>
      </w:r>
      <w:r>
        <w:rPr>
          <w:rFonts w:hAnsi="宋体" w:eastAsia="黑体"/>
          <w:szCs w:val="24"/>
          <w:highlight w:val="none"/>
        </w:rPr>
        <w:fldChar w:fldCharType="separate"/>
      </w:r>
      <w:r>
        <w:rPr>
          <w:rFonts w:hint="eastAsia" w:ascii="黑体" w:hAnsi="黑体"/>
          <w:szCs w:val="24"/>
          <w:highlight w:val="none"/>
        </w:rPr>
        <w:t>40.价格评审优惠</w:t>
      </w:r>
      <w:r>
        <w:rPr>
          <w:highlight w:val="none"/>
        </w:rPr>
        <w:tab/>
      </w:r>
      <w:r>
        <w:rPr>
          <w:highlight w:val="none"/>
        </w:rPr>
        <w:fldChar w:fldCharType="begin"/>
      </w:r>
      <w:r>
        <w:rPr>
          <w:highlight w:val="none"/>
        </w:rPr>
        <w:instrText xml:space="preserve"> PAGEREF _Toc14074 \h </w:instrText>
      </w:r>
      <w:r>
        <w:rPr>
          <w:highlight w:val="none"/>
        </w:rPr>
        <w:fldChar w:fldCharType="separate"/>
      </w:r>
      <w:r>
        <w:rPr>
          <w:highlight w:val="none"/>
        </w:rPr>
        <w:t>22</w:t>
      </w:r>
      <w:r>
        <w:rPr>
          <w:highlight w:val="none"/>
        </w:rPr>
        <w:fldChar w:fldCharType="end"/>
      </w:r>
      <w:r>
        <w:rPr>
          <w:rFonts w:hAnsi="宋体" w:eastAsia="黑体"/>
          <w:szCs w:val="24"/>
          <w:highlight w:val="none"/>
        </w:rPr>
        <w:fldChar w:fldCharType="end"/>
      </w:r>
    </w:p>
    <w:p w14:paraId="03B852D2">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_Toc17836 </w:instrText>
      </w:r>
      <w:r>
        <w:rPr>
          <w:rFonts w:hAnsi="宋体" w:eastAsia="黑体"/>
          <w:szCs w:val="24"/>
          <w:highlight w:val="none"/>
        </w:rPr>
        <w:fldChar w:fldCharType="separate"/>
      </w:r>
      <w:r>
        <w:rPr>
          <w:rFonts w:hint="eastAsia" w:ascii="黑体" w:hAnsi="黑体"/>
          <w:szCs w:val="24"/>
          <w:highlight w:val="none"/>
        </w:rPr>
        <w:t>41.政府采购政策其他规定</w:t>
      </w:r>
      <w:r>
        <w:rPr>
          <w:highlight w:val="none"/>
        </w:rPr>
        <w:tab/>
      </w:r>
      <w:r>
        <w:rPr>
          <w:highlight w:val="none"/>
        </w:rPr>
        <w:fldChar w:fldCharType="begin"/>
      </w:r>
      <w:r>
        <w:rPr>
          <w:highlight w:val="none"/>
        </w:rPr>
        <w:instrText xml:space="preserve"> PAGEREF _Toc17836 \h </w:instrText>
      </w:r>
      <w:r>
        <w:rPr>
          <w:highlight w:val="none"/>
        </w:rPr>
        <w:fldChar w:fldCharType="separate"/>
      </w:r>
      <w:r>
        <w:rPr>
          <w:highlight w:val="none"/>
        </w:rPr>
        <w:t>22</w:t>
      </w:r>
      <w:r>
        <w:rPr>
          <w:highlight w:val="none"/>
        </w:rPr>
        <w:fldChar w:fldCharType="end"/>
      </w:r>
      <w:r>
        <w:rPr>
          <w:rFonts w:hAnsi="宋体" w:eastAsia="黑体"/>
          <w:szCs w:val="24"/>
          <w:highlight w:val="none"/>
        </w:rPr>
        <w:fldChar w:fldCharType="end"/>
      </w:r>
    </w:p>
    <w:p w14:paraId="52A5AB42">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_Toc4743 </w:instrText>
      </w:r>
      <w:r>
        <w:rPr>
          <w:rFonts w:hAnsi="宋体" w:eastAsia="黑体"/>
          <w:szCs w:val="24"/>
          <w:highlight w:val="none"/>
        </w:rPr>
        <w:fldChar w:fldCharType="separate"/>
      </w:r>
      <w:r>
        <w:rPr>
          <w:rFonts w:hint="eastAsia" w:ascii="黑体" w:hAnsi="黑体"/>
          <w:szCs w:val="24"/>
          <w:highlight w:val="none"/>
        </w:rPr>
        <w:t>42.供应商应提供的政府采购政策证明资料</w:t>
      </w:r>
      <w:r>
        <w:rPr>
          <w:highlight w:val="none"/>
        </w:rPr>
        <w:tab/>
      </w:r>
      <w:r>
        <w:rPr>
          <w:highlight w:val="none"/>
        </w:rPr>
        <w:fldChar w:fldCharType="begin"/>
      </w:r>
      <w:r>
        <w:rPr>
          <w:highlight w:val="none"/>
        </w:rPr>
        <w:instrText xml:space="preserve"> PAGEREF _Toc4743 \h </w:instrText>
      </w:r>
      <w:r>
        <w:rPr>
          <w:highlight w:val="none"/>
        </w:rPr>
        <w:fldChar w:fldCharType="separate"/>
      </w:r>
      <w:r>
        <w:rPr>
          <w:highlight w:val="none"/>
        </w:rPr>
        <w:t>23</w:t>
      </w:r>
      <w:r>
        <w:rPr>
          <w:highlight w:val="none"/>
        </w:rPr>
        <w:fldChar w:fldCharType="end"/>
      </w:r>
      <w:r>
        <w:rPr>
          <w:rFonts w:hAnsi="宋体" w:eastAsia="黑体"/>
          <w:szCs w:val="24"/>
          <w:highlight w:val="none"/>
        </w:rPr>
        <w:fldChar w:fldCharType="end"/>
      </w:r>
    </w:p>
    <w:p w14:paraId="494E88F5">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_Toc23058 </w:instrText>
      </w:r>
      <w:r>
        <w:rPr>
          <w:rFonts w:hAnsi="宋体" w:eastAsia="黑体"/>
          <w:szCs w:val="24"/>
          <w:highlight w:val="none"/>
        </w:rPr>
        <w:fldChar w:fldCharType="separate"/>
      </w:r>
      <w:r>
        <w:rPr>
          <w:rFonts w:hint="eastAsia" w:ascii="黑体" w:hAnsi="黑体"/>
          <w:szCs w:val="24"/>
          <w:highlight w:val="none"/>
        </w:rPr>
        <w:t>43.进口产品</w:t>
      </w:r>
      <w:r>
        <w:rPr>
          <w:highlight w:val="none"/>
        </w:rPr>
        <w:tab/>
      </w:r>
      <w:r>
        <w:rPr>
          <w:highlight w:val="none"/>
        </w:rPr>
        <w:fldChar w:fldCharType="begin"/>
      </w:r>
      <w:r>
        <w:rPr>
          <w:highlight w:val="none"/>
        </w:rPr>
        <w:instrText xml:space="preserve"> PAGEREF _Toc23058 \h </w:instrText>
      </w:r>
      <w:r>
        <w:rPr>
          <w:highlight w:val="none"/>
        </w:rPr>
        <w:fldChar w:fldCharType="separate"/>
      </w:r>
      <w:r>
        <w:rPr>
          <w:highlight w:val="none"/>
        </w:rPr>
        <w:t>23</w:t>
      </w:r>
      <w:r>
        <w:rPr>
          <w:highlight w:val="none"/>
        </w:rPr>
        <w:fldChar w:fldCharType="end"/>
      </w:r>
      <w:r>
        <w:rPr>
          <w:rFonts w:hAnsi="宋体" w:eastAsia="黑体"/>
          <w:szCs w:val="24"/>
          <w:highlight w:val="none"/>
        </w:rPr>
        <w:fldChar w:fldCharType="end"/>
      </w:r>
    </w:p>
    <w:p w14:paraId="659AB02B">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_Toc28238 </w:instrText>
      </w:r>
      <w:r>
        <w:rPr>
          <w:rFonts w:hAnsi="宋体" w:eastAsia="黑体"/>
          <w:szCs w:val="24"/>
          <w:highlight w:val="none"/>
        </w:rPr>
        <w:fldChar w:fldCharType="separate"/>
      </w:r>
      <w:r>
        <w:rPr>
          <w:rFonts w:hint="eastAsia" w:ascii="黑体" w:hAnsi="黑体"/>
          <w:szCs w:val="24"/>
          <w:highlight w:val="none"/>
        </w:rPr>
        <w:t>44. 融资、担保</w:t>
      </w:r>
      <w:r>
        <w:rPr>
          <w:highlight w:val="none"/>
        </w:rPr>
        <w:tab/>
      </w:r>
      <w:r>
        <w:rPr>
          <w:highlight w:val="none"/>
        </w:rPr>
        <w:fldChar w:fldCharType="begin"/>
      </w:r>
      <w:r>
        <w:rPr>
          <w:highlight w:val="none"/>
        </w:rPr>
        <w:instrText xml:space="preserve"> PAGEREF _Toc28238 \h </w:instrText>
      </w:r>
      <w:r>
        <w:rPr>
          <w:highlight w:val="none"/>
        </w:rPr>
        <w:fldChar w:fldCharType="separate"/>
      </w:r>
      <w:r>
        <w:rPr>
          <w:highlight w:val="none"/>
        </w:rPr>
        <w:t>23</w:t>
      </w:r>
      <w:r>
        <w:rPr>
          <w:highlight w:val="none"/>
        </w:rPr>
        <w:fldChar w:fldCharType="end"/>
      </w:r>
      <w:r>
        <w:rPr>
          <w:rFonts w:hAnsi="宋体" w:eastAsia="黑体"/>
          <w:szCs w:val="24"/>
          <w:highlight w:val="none"/>
        </w:rPr>
        <w:fldChar w:fldCharType="end"/>
      </w:r>
    </w:p>
    <w:p w14:paraId="290C9205">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_Toc20849 </w:instrText>
      </w:r>
      <w:r>
        <w:rPr>
          <w:rFonts w:hAnsi="宋体" w:eastAsia="黑体"/>
          <w:szCs w:val="24"/>
          <w:highlight w:val="none"/>
        </w:rPr>
        <w:fldChar w:fldCharType="separate"/>
      </w:r>
      <w:r>
        <w:rPr>
          <w:rFonts w:hint="eastAsia" w:ascii="黑体" w:hAnsi="黑体" w:eastAsia="黑体"/>
          <w:szCs w:val="28"/>
          <w:highlight w:val="none"/>
        </w:rPr>
        <w:t>八、其他规定</w:t>
      </w:r>
      <w:r>
        <w:rPr>
          <w:highlight w:val="none"/>
        </w:rPr>
        <w:tab/>
      </w:r>
      <w:r>
        <w:rPr>
          <w:highlight w:val="none"/>
        </w:rPr>
        <w:fldChar w:fldCharType="begin"/>
      </w:r>
      <w:r>
        <w:rPr>
          <w:highlight w:val="none"/>
        </w:rPr>
        <w:instrText xml:space="preserve"> PAGEREF _Toc20849 \h </w:instrText>
      </w:r>
      <w:r>
        <w:rPr>
          <w:highlight w:val="none"/>
        </w:rPr>
        <w:fldChar w:fldCharType="separate"/>
      </w:r>
      <w:r>
        <w:rPr>
          <w:highlight w:val="none"/>
        </w:rPr>
        <w:t>23</w:t>
      </w:r>
      <w:r>
        <w:rPr>
          <w:highlight w:val="none"/>
        </w:rPr>
        <w:fldChar w:fldCharType="end"/>
      </w:r>
      <w:r>
        <w:rPr>
          <w:rFonts w:hAnsi="宋体" w:eastAsia="黑体"/>
          <w:szCs w:val="24"/>
          <w:highlight w:val="none"/>
        </w:rPr>
        <w:fldChar w:fldCharType="end"/>
      </w:r>
    </w:p>
    <w:p w14:paraId="55BDD552">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_Toc26417 </w:instrText>
      </w:r>
      <w:r>
        <w:rPr>
          <w:rFonts w:hAnsi="宋体" w:eastAsia="黑体"/>
          <w:szCs w:val="24"/>
          <w:highlight w:val="none"/>
        </w:rPr>
        <w:fldChar w:fldCharType="separate"/>
      </w:r>
      <w:r>
        <w:rPr>
          <w:rFonts w:hint="eastAsia" w:ascii="宋体" w:hAnsi="宋体" w:eastAsia="宋体"/>
          <w:szCs w:val="24"/>
          <w:highlight w:val="none"/>
        </w:rPr>
        <w:t>45.代理服务费</w:t>
      </w:r>
      <w:r>
        <w:rPr>
          <w:highlight w:val="none"/>
        </w:rPr>
        <w:tab/>
      </w:r>
      <w:r>
        <w:rPr>
          <w:highlight w:val="none"/>
        </w:rPr>
        <w:fldChar w:fldCharType="begin"/>
      </w:r>
      <w:r>
        <w:rPr>
          <w:highlight w:val="none"/>
        </w:rPr>
        <w:instrText xml:space="preserve"> PAGEREF _Toc26417 \h </w:instrText>
      </w:r>
      <w:r>
        <w:rPr>
          <w:highlight w:val="none"/>
        </w:rPr>
        <w:fldChar w:fldCharType="separate"/>
      </w:r>
      <w:r>
        <w:rPr>
          <w:highlight w:val="none"/>
        </w:rPr>
        <w:t>23</w:t>
      </w:r>
      <w:r>
        <w:rPr>
          <w:highlight w:val="none"/>
        </w:rPr>
        <w:fldChar w:fldCharType="end"/>
      </w:r>
      <w:r>
        <w:rPr>
          <w:rFonts w:hAnsi="宋体" w:eastAsia="黑体"/>
          <w:szCs w:val="24"/>
          <w:highlight w:val="none"/>
        </w:rPr>
        <w:fldChar w:fldCharType="end"/>
      </w:r>
    </w:p>
    <w:p w14:paraId="72701F46">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_Toc19561 </w:instrText>
      </w:r>
      <w:r>
        <w:rPr>
          <w:rFonts w:hAnsi="宋体" w:eastAsia="黑体"/>
          <w:szCs w:val="24"/>
          <w:highlight w:val="none"/>
        </w:rPr>
        <w:fldChar w:fldCharType="separate"/>
      </w:r>
      <w:r>
        <w:rPr>
          <w:rFonts w:hint="eastAsia" w:ascii="黑体" w:hAnsi="黑体"/>
          <w:szCs w:val="24"/>
          <w:highlight w:val="none"/>
        </w:rPr>
        <w:t>45.其他规定</w:t>
      </w:r>
      <w:r>
        <w:rPr>
          <w:highlight w:val="none"/>
        </w:rPr>
        <w:tab/>
      </w:r>
      <w:r>
        <w:rPr>
          <w:highlight w:val="none"/>
        </w:rPr>
        <w:fldChar w:fldCharType="begin"/>
      </w:r>
      <w:r>
        <w:rPr>
          <w:highlight w:val="none"/>
        </w:rPr>
        <w:instrText xml:space="preserve"> PAGEREF _Toc19561 \h </w:instrText>
      </w:r>
      <w:r>
        <w:rPr>
          <w:highlight w:val="none"/>
        </w:rPr>
        <w:fldChar w:fldCharType="separate"/>
      </w:r>
      <w:r>
        <w:rPr>
          <w:highlight w:val="none"/>
        </w:rPr>
        <w:t>24</w:t>
      </w:r>
      <w:r>
        <w:rPr>
          <w:highlight w:val="none"/>
        </w:rPr>
        <w:fldChar w:fldCharType="end"/>
      </w:r>
      <w:r>
        <w:rPr>
          <w:rFonts w:hAnsi="宋体" w:eastAsia="黑体"/>
          <w:szCs w:val="24"/>
          <w:highlight w:val="none"/>
        </w:rPr>
        <w:fldChar w:fldCharType="end"/>
      </w:r>
    </w:p>
    <w:p w14:paraId="2FDCC426">
      <w:pPr>
        <w:pStyle w:val="37"/>
        <w:tabs>
          <w:tab w:val="right" w:leader="dot" w:pos="9072"/>
          <w:tab w:val="clear" w:pos="993"/>
          <w:tab w:val="clear" w:pos="9060"/>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_Toc15755 </w:instrText>
      </w:r>
      <w:r>
        <w:rPr>
          <w:rFonts w:hAnsi="宋体" w:eastAsia="黑体"/>
          <w:szCs w:val="24"/>
          <w:highlight w:val="none"/>
        </w:rPr>
        <w:fldChar w:fldCharType="separate"/>
      </w:r>
      <w:r>
        <w:rPr>
          <w:rFonts w:hint="eastAsia" w:ascii="黑体" w:hAnsi="黑体" w:eastAsia="黑体"/>
          <w:szCs w:val="32"/>
          <w:highlight w:val="none"/>
        </w:rPr>
        <w:t>第三章 资格审查及评审方法及标准</w:t>
      </w:r>
      <w:r>
        <w:rPr>
          <w:highlight w:val="none"/>
        </w:rPr>
        <w:tab/>
      </w:r>
      <w:r>
        <w:rPr>
          <w:highlight w:val="none"/>
        </w:rPr>
        <w:fldChar w:fldCharType="begin"/>
      </w:r>
      <w:r>
        <w:rPr>
          <w:highlight w:val="none"/>
        </w:rPr>
        <w:instrText xml:space="preserve"> PAGEREF _Toc15755 \h </w:instrText>
      </w:r>
      <w:r>
        <w:rPr>
          <w:highlight w:val="none"/>
        </w:rPr>
        <w:fldChar w:fldCharType="separate"/>
      </w:r>
      <w:r>
        <w:rPr>
          <w:highlight w:val="none"/>
        </w:rPr>
        <w:t>25</w:t>
      </w:r>
      <w:r>
        <w:rPr>
          <w:highlight w:val="none"/>
        </w:rPr>
        <w:fldChar w:fldCharType="end"/>
      </w:r>
      <w:r>
        <w:rPr>
          <w:rFonts w:hAnsi="宋体" w:eastAsia="黑体"/>
          <w:szCs w:val="24"/>
          <w:highlight w:val="none"/>
        </w:rPr>
        <w:fldChar w:fldCharType="end"/>
      </w:r>
    </w:p>
    <w:p w14:paraId="0F849505">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_Toc2871 </w:instrText>
      </w:r>
      <w:r>
        <w:rPr>
          <w:rFonts w:hAnsi="宋体" w:eastAsia="黑体"/>
          <w:szCs w:val="24"/>
          <w:highlight w:val="none"/>
        </w:rPr>
        <w:fldChar w:fldCharType="separate"/>
      </w:r>
      <w:r>
        <w:rPr>
          <w:rFonts w:hint="eastAsia" w:ascii="黑体" w:hAnsi="黑体" w:eastAsia="黑体"/>
          <w:szCs w:val="28"/>
          <w:highlight w:val="none"/>
        </w:rPr>
        <w:t>第一节资格审查</w:t>
      </w:r>
      <w:r>
        <w:rPr>
          <w:highlight w:val="none"/>
        </w:rPr>
        <w:tab/>
      </w:r>
      <w:r>
        <w:rPr>
          <w:highlight w:val="none"/>
        </w:rPr>
        <w:fldChar w:fldCharType="begin"/>
      </w:r>
      <w:r>
        <w:rPr>
          <w:highlight w:val="none"/>
        </w:rPr>
        <w:instrText xml:space="preserve"> PAGEREF _Toc2871 \h </w:instrText>
      </w:r>
      <w:r>
        <w:rPr>
          <w:highlight w:val="none"/>
        </w:rPr>
        <w:fldChar w:fldCharType="separate"/>
      </w:r>
      <w:r>
        <w:rPr>
          <w:highlight w:val="none"/>
        </w:rPr>
        <w:t>25</w:t>
      </w:r>
      <w:r>
        <w:rPr>
          <w:highlight w:val="none"/>
        </w:rPr>
        <w:fldChar w:fldCharType="end"/>
      </w:r>
      <w:r>
        <w:rPr>
          <w:rFonts w:hAnsi="宋体" w:eastAsia="黑体"/>
          <w:szCs w:val="24"/>
          <w:highlight w:val="none"/>
        </w:rPr>
        <w:fldChar w:fldCharType="end"/>
      </w:r>
    </w:p>
    <w:p w14:paraId="61B58CA1">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_Toc29870 </w:instrText>
      </w:r>
      <w:r>
        <w:rPr>
          <w:rFonts w:hAnsi="宋体" w:eastAsia="黑体"/>
          <w:szCs w:val="24"/>
          <w:highlight w:val="none"/>
        </w:rPr>
        <w:fldChar w:fldCharType="separate"/>
      </w:r>
      <w:r>
        <w:rPr>
          <w:rFonts w:hint="eastAsia" w:ascii="黑体" w:hAnsi="黑体"/>
          <w:szCs w:val="24"/>
          <w:highlight w:val="none"/>
        </w:rPr>
        <w:t>1.资格审查主体</w:t>
      </w:r>
      <w:r>
        <w:rPr>
          <w:highlight w:val="none"/>
        </w:rPr>
        <w:tab/>
      </w:r>
      <w:r>
        <w:rPr>
          <w:highlight w:val="none"/>
        </w:rPr>
        <w:fldChar w:fldCharType="begin"/>
      </w:r>
      <w:r>
        <w:rPr>
          <w:highlight w:val="none"/>
        </w:rPr>
        <w:instrText xml:space="preserve"> PAGEREF _Toc29870 \h </w:instrText>
      </w:r>
      <w:r>
        <w:rPr>
          <w:highlight w:val="none"/>
        </w:rPr>
        <w:fldChar w:fldCharType="separate"/>
      </w:r>
      <w:r>
        <w:rPr>
          <w:highlight w:val="none"/>
        </w:rPr>
        <w:t>25</w:t>
      </w:r>
      <w:r>
        <w:rPr>
          <w:highlight w:val="none"/>
        </w:rPr>
        <w:fldChar w:fldCharType="end"/>
      </w:r>
      <w:r>
        <w:rPr>
          <w:rFonts w:hAnsi="宋体" w:eastAsia="黑体"/>
          <w:szCs w:val="24"/>
          <w:highlight w:val="none"/>
        </w:rPr>
        <w:fldChar w:fldCharType="end"/>
      </w:r>
    </w:p>
    <w:p w14:paraId="4F913AA8">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_Toc24520 </w:instrText>
      </w:r>
      <w:r>
        <w:rPr>
          <w:rFonts w:hAnsi="宋体" w:eastAsia="黑体"/>
          <w:szCs w:val="24"/>
          <w:highlight w:val="none"/>
        </w:rPr>
        <w:fldChar w:fldCharType="separate"/>
      </w:r>
      <w:r>
        <w:rPr>
          <w:rFonts w:hint="eastAsia" w:ascii="黑体" w:hAnsi="黑体"/>
          <w:szCs w:val="24"/>
          <w:highlight w:val="none"/>
        </w:rPr>
        <w:t>2.供应商资格审查（</w:t>
      </w:r>
      <w:r>
        <w:rPr>
          <w:rFonts w:hint="eastAsia" w:ascii="黑体" w:hAnsi="黑体"/>
          <w:bCs w:val="0"/>
          <w:szCs w:val="24"/>
          <w:highlight w:val="none"/>
        </w:rPr>
        <w:t>未进行资格预审的</w:t>
      </w:r>
      <w:r>
        <w:rPr>
          <w:rFonts w:hint="eastAsia" w:ascii="黑体" w:hAnsi="黑体"/>
          <w:szCs w:val="24"/>
          <w:highlight w:val="none"/>
        </w:rPr>
        <w:t>）</w:t>
      </w:r>
      <w:r>
        <w:rPr>
          <w:highlight w:val="none"/>
        </w:rPr>
        <w:tab/>
      </w:r>
      <w:r>
        <w:rPr>
          <w:highlight w:val="none"/>
        </w:rPr>
        <w:fldChar w:fldCharType="begin"/>
      </w:r>
      <w:r>
        <w:rPr>
          <w:highlight w:val="none"/>
        </w:rPr>
        <w:instrText xml:space="preserve"> PAGEREF _Toc24520 \h </w:instrText>
      </w:r>
      <w:r>
        <w:rPr>
          <w:highlight w:val="none"/>
        </w:rPr>
        <w:fldChar w:fldCharType="separate"/>
      </w:r>
      <w:r>
        <w:rPr>
          <w:highlight w:val="none"/>
        </w:rPr>
        <w:t>25</w:t>
      </w:r>
      <w:r>
        <w:rPr>
          <w:highlight w:val="none"/>
        </w:rPr>
        <w:fldChar w:fldCharType="end"/>
      </w:r>
      <w:r>
        <w:rPr>
          <w:rFonts w:hAnsi="宋体" w:eastAsia="黑体"/>
          <w:szCs w:val="24"/>
          <w:highlight w:val="none"/>
        </w:rPr>
        <w:fldChar w:fldCharType="end"/>
      </w:r>
    </w:p>
    <w:p w14:paraId="1BFE85AE">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_Toc2860 </w:instrText>
      </w:r>
      <w:r>
        <w:rPr>
          <w:rFonts w:hAnsi="宋体" w:eastAsia="黑体"/>
          <w:szCs w:val="24"/>
          <w:highlight w:val="none"/>
        </w:rPr>
        <w:fldChar w:fldCharType="separate"/>
      </w:r>
      <w:r>
        <w:rPr>
          <w:rFonts w:hint="eastAsia" w:ascii="黑体" w:hAnsi="黑体"/>
          <w:szCs w:val="24"/>
          <w:highlight w:val="none"/>
        </w:rPr>
        <w:t>2.供应商资格审查（已</w:t>
      </w:r>
      <w:r>
        <w:rPr>
          <w:rFonts w:hint="eastAsia" w:ascii="宋体" w:hAnsi="宋体"/>
          <w:bCs w:val="0"/>
          <w:szCs w:val="24"/>
          <w:highlight w:val="none"/>
        </w:rPr>
        <w:t>进行资格预审的</w:t>
      </w:r>
      <w:r>
        <w:rPr>
          <w:rFonts w:hint="eastAsia" w:ascii="黑体" w:hAnsi="黑体"/>
          <w:szCs w:val="24"/>
          <w:highlight w:val="none"/>
        </w:rPr>
        <w:t>）</w:t>
      </w:r>
      <w:r>
        <w:rPr>
          <w:highlight w:val="none"/>
        </w:rPr>
        <w:tab/>
      </w:r>
      <w:r>
        <w:rPr>
          <w:highlight w:val="none"/>
        </w:rPr>
        <w:fldChar w:fldCharType="begin"/>
      </w:r>
      <w:r>
        <w:rPr>
          <w:highlight w:val="none"/>
        </w:rPr>
        <w:instrText xml:space="preserve"> PAGEREF _Toc2860 \h </w:instrText>
      </w:r>
      <w:r>
        <w:rPr>
          <w:highlight w:val="none"/>
        </w:rPr>
        <w:fldChar w:fldCharType="separate"/>
      </w:r>
      <w:r>
        <w:rPr>
          <w:highlight w:val="none"/>
        </w:rPr>
        <w:t>25</w:t>
      </w:r>
      <w:r>
        <w:rPr>
          <w:highlight w:val="none"/>
        </w:rPr>
        <w:fldChar w:fldCharType="end"/>
      </w:r>
      <w:r>
        <w:rPr>
          <w:rFonts w:hAnsi="宋体" w:eastAsia="黑体"/>
          <w:szCs w:val="24"/>
          <w:highlight w:val="none"/>
        </w:rPr>
        <w:fldChar w:fldCharType="end"/>
      </w:r>
    </w:p>
    <w:p w14:paraId="4C28C2FC">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_Toc22873 </w:instrText>
      </w:r>
      <w:r>
        <w:rPr>
          <w:rFonts w:hAnsi="宋体" w:eastAsia="黑体"/>
          <w:szCs w:val="24"/>
          <w:highlight w:val="none"/>
        </w:rPr>
        <w:fldChar w:fldCharType="separate"/>
      </w:r>
      <w:r>
        <w:rPr>
          <w:rFonts w:hint="eastAsia" w:ascii="黑体" w:hAnsi="黑体"/>
          <w:szCs w:val="24"/>
          <w:highlight w:val="none"/>
        </w:rPr>
        <w:t>3.资格审查结果</w:t>
      </w:r>
      <w:r>
        <w:rPr>
          <w:highlight w:val="none"/>
        </w:rPr>
        <w:tab/>
      </w:r>
      <w:r>
        <w:rPr>
          <w:highlight w:val="none"/>
        </w:rPr>
        <w:fldChar w:fldCharType="begin"/>
      </w:r>
      <w:r>
        <w:rPr>
          <w:highlight w:val="none"/>
        </w:rPr>
        <w:instrText xml:space="preserve"> PAGEREF _Toc22873 \h </w:instrText>
      </w:r>
      <w:r>
        <w:rPr>
          <w:highlight w:val="none"/>
        </w:rPr>
        <w:fldChar w:fldCharType="separate"/>
      </w:r>
      <w:r>
        <w:rPr>
          <w:highlight w:val="none"/>
        </w:rPr>
        <w:t>25</w:t>
      </w:r>
      <w:r>
        <w:rPr>
          <w:highlight w:val="none"/>
        </w:rPr>
        <w:fldChar w:fldCharType="end"/>
      </w:r>
      <w:r>
        <w:rPr>
          <w:rFonts w:hAnsi="宋体" w:eastAsia="黑体"/>
          <w:szCs w:val="24"/>
          <w:highlight w:val="none"/>
        </w:rPr>
        <w:fldChar w:fldCharType="end"/>
      </w:r>
    </w:p>
    <w:p w14:paraId="46DE1E23">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_Toc31355 </w:instrText>
      </w:r>
      <w:r>
        <w:rPr>
          <w:rFonts w:hAnsi="宋体" w:eastAsia="黑体"/>
          <w:szCs w:val="24"/>
          <w:highlight w:val="none"/>
        </w:rPr>
        <w:fldChar w:fldCharType="separate"/>
      </w:r>
      <w:r>
        <w:rPr>
          <w:rFonts w:hint="eastAsia" w:ascii="黑体" w:hAnsi="黑体" w:eastAsia="黑体"/>
          <w:szCs w:val="28"/>
          <w:highlight w:val="none"/>
        </w:rPr>
        <w:t>第二节评审方法及标准</w:t>
      </w:r>
      <w:r>
        <w:rPr>
          <w:highlight w:val="none"/>
        </w:rPr>
        <w:tab/>
      </w:r>
      <w:r>
        <w:rPr>
          <w:highlight w:val="none"/>
        </w:rPr>
        <w:fldChar w:fldCharType="begin"/>
      </w:r>
      <w:r>
        <w:rPr>
          <w:highlight w:val="none"/>
        </w:rPr>
        <w:instrText xml:space="preserve"> PAGEREF _Toc31355 \h </w:instrText>
      </w:r>
      <w:r>
        <w:rPr>
          <w:highlight w:val="none"/>
        </w:rPr>
        <w:fldChar w:fldCharType="separate"/>
      </w:r>
      <w:r>
        <w:rPr>
          <w:highlight w:val="none"/>
        </w:rPr>
        <w:t>25</w:t>
      </w:r>
      <w:r>
        <w:rPr>
          <w:highlight w:val="none"/>
        </w:rPr>
        <w:fldChar w:fldCharType="end"/>
      </w:r>
      <w:r>
        <w:rPr>
          <w:rFonts w:hAnsi="宋体" w:eastAsia="黑体"/>
          <w:szCs w:val="24"/>
          <w:highlight w:val="none"/>
        </w:rPr>
        <w:fldChar w:fldCharType="end"/>
      </w:r>
    </w:p>
    <w:p w14:paraId="027D58D5">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_Toc15878 </w:instrText>
      </w:r>
      <w:r>
        <w:rPr>
          <w:rFonts w:hAnsi="宋体" w:eastAsia="黑体"/>
          <w:szCs w:val="24"/>
          <w:highlight w:val="none"/>
        </w:rPr>
        <w:fldChar w:fldCharType="separate"/>
      </w:r>
      <w:r>
        <w:rPr>
          <w:rFonts w:hint="eastAsia" w:ascii="黑体" w:hAnsi="黑体"/>
          <w:szCs w:val="24"/>
          <w:highlight w:val="none"/>
        </w:rPr>
        <w:t>5.评审方法</w:t>
      </w:r>
      <w:r>
        <w:rPr>
          <w:highlight w:val="none"/>
        </w:rPr>
        <w:tab/>
      </w:r>
      <w:r>
        <w:rPr>
          <w:highlight w:val="none"/>
        </w:rPr>
        <w:fldChar w:fldCharType="begin"/>
      </w:r>
      <w:r>
        <w:rPr>
          <w:highlight w:val="none"/>
        </w:rPr>
        <w:instrText xml:space="preserve"> PAGEREF _Toc15878 \h </w:instrText>
      </w:r>
      <w:r>
        <w:rPr>
          <w:highlight w:val="none"/>
        </w:rPr>
        <w:fldChar w:fldCharType="separate"/>
      </w:r>
      <w:r>
        <w:rPr>
          <w:highlight w:val="none"/>
        </w:rPr>
        <w:t>25</w:t>
      </w:r>
      <w:r>
        <w:rPr>
          <w:highlight w:val="none"/>
        </w:rPr>
        <w:fldChar w:fldCharType="end"/>
      </w:r>
      <w:r>
        <w:rPr>
          <w:rFonts w:hAnsi="宋体" w:eastAsia="黑体"/>
          <w:szCs w:val="24"/>
          <w:highlight w:val="none"/>
        </w:rPr>
        <w:fldChar w:fldCharType="end"/>
      </w:r>
    </w:p>
    <w:p w14:paraId="00B45A6F">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_Toc24765 </w:instrText>
      </w:r>
      <w:r>
        <w:rPr>
          <w:rFonts w:hAnsi="宋体" w:eastAsia="黑体"/>
          <w:szCs w:val="24"/>
          <w:highlight w:val="none"/>
        </w:rPr>
        <w:fldChar w:fldCharType="separate"/>
      </w:r>
      <w:r>
        <w:rPr>
          <w:rFonts w:hint="eastAsia" w:ascii="黑体" w:hAnsi="黑体"/>
          <w:szCs w:val="24"/>
          <w:highlight w:val="none"/>
        </w:rPr>
        <w:t>6.符合性评审</w:t>
      </w:r>
      <w:r>
        <w:rPr>
          <w:highlight w:val="none"/>
        </w:rPr>
        <w:tab/>
      </w:r>
      <w:r>
        <w:rPr>
          <w:highlight w:val="none"/>
        </w:rPr>
        <w:fldChar w:fldCharType="begin"/>
      </w:r>
      <w:r>
        <w:rPr>
          <w:highlight w:val="none"/>
        </w:rPr>
        <w:instrText xml:space="preserve"> PAGEREF _Toc24765 \h </w:instrText>
      </w:r>
      <w:r>
        <w:rPr>
          <w:highlight w:val="none"/>
        </w:rPr>
        <w:fldChar w:fldCharType="separate"/>
      </w:r>
      <w:r>
        <w:rPr>
          <w:highlight w:val="none"/>
        </w:rPr>
        <w:t>25</w:t>
      </w:r>
      <w:r>
        <w:rPr>
          <w:highlight w:val="none"/>
        </w:rPr>
        <w:fldChar w:fldCharType="end"/>
      </w:r>
      <w:r>
        <w:rPr>
          <w:rFonts w:hAnsi="宋体" w:eastAsia="黑体"/>
          <w:szCs w:val="24"/>
          <w:highlight w:val="none"/>
        </w:rPr>
        <w:fldChar w:fldCharType="end"/>
      </w:r>
    </w:p>
    <w:p w14:paraId="652E1547">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_Toc18945 </w:instrText>
      </w:r>
      <w:r>
        <w:rPr>
          <w:rFonts w:hAnsi="宋体" w:eastAsia="黑体"/>
          <w:szCs w:val="24"/>
          <w:highlight w:val="none"/>
        </w:rPr>
        <w:fldChar w:fldCharType="separate"/>
      </w:r>
      <w:r>
        <w:rPr>
          <w:rFonts w:hint="eastAsia" w:ascii="黑体" w:hAnsi="黑体"/>
          <w:szCs w:val="24"/>
          <w:highlight w:val="none"/>
        </w:rPr>
        <w:t>7.比较与评价</w:t>
      </w:r>
      <w:r>
        <w:rPr>
          <w:highlight w:val="none"/>
        </w:rPr>
        <w:tab/>
      </w:r>
      <w:r>
        <w:rPr>
          <w:highlight w:val="none"/>
        </w:rPr>
        <w:fldChar w:fldCharType="begin"/>
      </w:r>
      <w:r>
        <w:rPr>
          <w:highlight w:val="none"/>
        </w:rPr>
        <w:instrText xml:space="preserve"> PAGEREF _Toc18945 \h </w:instrText>
      </w:r>
      <w:r>
        <w:rPr>
          <w:highlight w:val="none"/>
        </w:rPr>
        <w:fldChar w:fldCharType="separate"/>
      </w:r>
      <w:r>
        <w:rPr>
          <w:highlight w:val="none"/>
        </w:rPr>
        <w:t>26</w:t>
      </w:r>
      <w:r>
        <w:rPr>
          <w:highlight w:val="none"/>
        </w:rPr>
        <w:fldChar w:fldCharType="end"/>
      </w:r>
      <w:r>
        <w:rPr>
          <w:rFonts w:hAnsi="宋体" w:eastAsia="黑体"/>
          <w:szCs w:val="24"/>
          <w:highlight w:val="none"/>
        </w:rPr>
        <w:fldChar w:fldCharType="end"/>
      </w:r>
    </w:p>
    <w:p w14:paraId="4DC1423C">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_Toc3498 </w:instrText>
      </w:r>
      <w:r>
        <w:rPr>
          <w:rFonts w:hAnsi="宋体" w:eastAsia="黑体"/>
          <w:szCs w:val="24"/>
          <w:highlight w:val="none"/>
        </w:rPr>
        <w:fldChar w:fldCharType="separate"/>
      </w:r>
      <w:r>
        <w:rPr>
          <w:rFonts w:hint="eastAsia" w:ascii="黑体" w:hAnsi="黑体"/>
          <w:szCs w:val="24"/>
          <w:highlight w:val="none"/>
        </w:rPr>
        <w:t>8.磋商报价评价</w:t>
      </w:r>
      <w:r>
        <w:rPr>
          <w:highlight w:val="none"/>
        </w:rPr>
        <w:tab/>
      </w:r>
      <w:r>
        <w:rPr>
          <w:highlight w:val="none"/>
        </w:rPr>
        <w:fldChar w:fldCharType="begin"/>
      </w:r>
      <w:r>
        <w:rPr>
          <w:highlight w:val="none"/>
        </w:rPr>
        <w:instrText xml:space="preserve"> PAGEREF _Toc3498 \h </w:instrText>
      </w:r>
      <w:r>
        <w:rPr>
          <w:highlight w:val="none"/>
        </w:rPr>
        <w:fldChar w:fldCharType="separate"/>
      </w:r>
      <w:r>
        <w:rPr>
          <w:highlight w:val="none"/>
        </w:rPr>
        <w:t>26</w:t>
      </w:r>
      <w:r>
        <w:rPr>
          <w:highlight w:val="none"/>
        </w:rPr>
        <w:fldChar w:fldCharType="end"/>
      </w:r>
      <w:r>
        <w:rPr>
          <w:rFonts w:hAnsi="宋体" w:eastAsia="黑体"/>
          <w:szCs w:val="24"/>
          <w:highlight w:val="none"/>
        </w:rPr>
        <w:fldChar w:fldCharType="end"/>
      </w:r>
    </w:p>
    <w:p w14:paraId="244248D0">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_Toc10563 </w:instrText>
      </w:r>
      <w:r>
        <w:rPr>
          <w:rFonts w:hAnsi="宋体" w:eastAsia="黑体"/>
          <w:szCs w:val="24"/>
          <w:highlight w:val="none"/>
        </w:rPr>
        <w:fldChar w:fldCharType="separate"/>
      </w:r>
      <w:r>
        <w:rPr>
          <w:rFonts w:hint="eastAsia" w:ascii="黑体" w:hAnsi="黑体"/>
          <w:szCs w:val="24"/>
          <w:highlight w:val="none"/>
        </w:rPr>
        <w:t>9.技术、商务评价</w:t>
      </w:r>
      <w:r>
        <w:rPr>
          <w:highlight w:val="none"/>
        </w:rPr>
        <w:tab/>
      </w:r>
      <w:r>
        <w:rPr>
          <w:highlight w:val="none"/>
        </w:rPr>
        <w:fldChar w:fldCharType="begin"/>
      </w:r>
      <w:r>
        <w:rPr>
          <w:highlight w:val="none"/>
        </w:rPr>
        <w:instrText xml:space="preserve"> PAGEREF _Toc10563 \h </w:instrText>
      </w:r>
      <w:r>
        <w:rPr>
          <w:highlight w:val="none"/>
        </w:rPr>
        <w:fldChar w:fldCharType="separate"/>
      </w:r>
      <w:r>
        <w:rPr>
          <w:highlight w:val="none"/>
        </w:rPr>
        <w:t>26</w:t>
      </w:r>
      <w:r>
        <w:rPr>
          <w:highlight w:val="none"/>
        </w:rPr>
        <w:fldChar w:fldCharType="end"/>
      </w:r>
      <w:r>
        <w:rPr>
          <w:rFonts w:hAnsi="宋体" w:eastAsia="黑体"/>
          <w:szCs w:val="24"/>
          <w:highlight w:val="none"/>
        </w:rPr>
        <w:fldChar w:fldCharType="end"/>
      </w:r>
    </w:p>
    <w:p w14:paraId="1232E9F2">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_Toc13296 </w:instrText>
      </w:r>
      <w:r>
        <w:rPr>
          <w:rFonts w:hAnsi="宋体" w:eastAsia="黑体"/>
          <w:szCs w:val="24"/>
          <w:highlight w:val="none"/>
        </w:rPr>
        <w:fldChar w:fldCharType="separate"/>
      </w:r>
      <w:r>
        <w:rPr>
          <w:rFonts w:hint="eastAsia" w:ascii="黑体" w:hAnsi="黑体"/>
          <w:szCs w:val="24"/>
          <w:highlight w:val="none"/>
        </w:rPr>
        <w:t>10.评价总得分</w:t>
      </w:r>
      <w:r>
        <w:rPr>
          <w:highlight w:val="none"/>
        </w:rPr>
        <w:tab/>
      </w:r>
      <w:r>
        <w:rPr>
          <w:highlight w:val="none"/>
        </w:rPr>
        <w:fldChar w:fldCharType="begin"/>
      </w:r>
      <w:r>
        <w:rPr>
          <w:highlight w:val="none"/>
        </w:rPr>
        <w:instrText xml:space="preserve"> PAGEREF _Toc13296 \h </w:instrText>
      </w:r>
      <w:r>
        <w:rPr>
          <w:highlight w:val="none"/>
        </w:rPr>
        <w:fldChar w:fldCharType="separate"/>
      </w:r>
      <w:r>
        <w:rPr>
          <w:highlight w:val="none"/>
        </w:rPr>
        <w:t>26</w:t>
      </w:r>
      <w:r>
        <w:rPr>
          <w:highlight w:val="none"/>
        </w:rPr>
        <w:fldChar w:fldCharType="end"/>
      </w:r>
      <w:r>
        <w:rPr>
          <w:rFonts w:hAnsi="宋体" w:eastAsia="黑体"/>
          <w:szCs w:val="24"/>
          <w:highlight w:val="none"/>
        </w:rPr>
        <w:fldChar w:fldCharType="end"/>
      </w:r>
    </w:p>
    <w:p w14:paraId="5F3B6C58">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_Toc2030 </w:instrText>
      </w:r>
      <w:r>
        <w:rPr>
          <w:rFonts w:hAnsi="宋体" w:eastAsia="黑体"/>
          <w:szCs w:val="24"/>
          <w:highlight w:val="none"/>
        </w:rPr>
        <w:fldChar w:fldCharType="separate"/>
      </w:r>
      <w:r>
        <w:rPr>
          <w:rFonts w:hint="eastAsia" w:ascii="黑体" w:hAnsi="黑体"/>
          <w:szCs w:val="24"/>
          <w:highlight w:val="none"/>
        </w:rPr>
        <w:t>11.推荐成交候选供应商</w:t>
      </w:r>
      <w:r>
        <w:rPr>
          <w:highlight w:val="none"/>
        </w:rPr>
        <w:tab/>
      </w:r>
      <w:r>
        <w:rPr>
          <w:highlight w:val="none"/>
        </w:rPr>
        <w:fldChar w:fldCharType="begin"/>
      </w:r>
      <w:r>
        <w:rPr>
          <w:highlight w:val="none"/>
        </w:rPr>
        <w:instrText xml:space="preserve"> PAGEREF _Toc2030 \h </w:instrText>
      </w:r>
      <w:r>
        <w:rPr>
          <w:highlight w:val="none"/>
        </w:rPr>
        <w:fldChar w:fldCharType="separate"/>
      </w:r>
      <w:r>
        <w:rPr>
          <w:highlight w:val="none"/>
        </w:rPr>
        <w:t>27</w:t>
      </w:r>
      <w:r>
        <w:rPr>
          <w:highlight w:val="none"/>
        </w:rPr>
        <w:fldChar w:fldCharType="end"/>
      </w:r>
      <w:r>
        <w:rPr>
          <w:rFonts w:hAnsi="宋体" w:eastAsia="黑体"/>
          <w:szCs w:val="24"/>
          <w:highlight w:val="none"/>
        </w:rPr>
        <w:fldChar w:fldCharType="end"/>
      </w:r>
    </w:p>
    <w:p w14:paraId="4B57E204">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_Toc19087 </w:instrText>
      </w:r>
      <w:r>
        <w:rPr>
          <w:rFonts w:hAnsi="宋体" w:eastAsia="黑体"/>
          <w:szCs w:val="24"/>
          <w:highlight w:val="none"/>
        </w:rPr>
        <w:fldChar w:fldCharType="separate"/>
      </w:r>
      <w:r>
        <w:rPr>
          <w:rFonts w:hint="eastAsia" w:ascii="黑体" w:hAnsi="黑体"/>
          <w:szCs w:val="24"/>
          <w:highlight w:val="none"/>
        </w:rPr>
        <w:t>12.编写评标报告</w:t>
      </w:r>
      <w:r>
        <w:rPr>
          <w:highlight w:val="none"/>
        </w:rPr>
        <w:tab/>
      </w:r>
      <w:r>
        <w:rPr>
          <w:highlight w:val="none"/>
        </w:rPr>
        <w:fldChar w:fldCharType="begin"/>
      </w:r>
      <w:r>
        <w:rPr>
          <w:highlight w:val="none"/>
        </w:rPr>
        <w:instrText xml:space="preserve"> PAGEREF _Toc19087 \h </w:instrText>
      </w:r>
      <w:r>
        <w:rPr>
          <w:highlight w:val="none"/>
        </w:rPr>
        <w:fldChar w:fldCharType="separate"/>
      </w:r>
      <w:r>
        <w:rPr>
          <w:highlight w:val="none"/>
        </w:rPr>
        <w:t>27</w:t>
      </w:r>
      <w:r>
        <w:rPr>
          <w:highlight w:val="none"/>
        </w:rPr>
        <w:fldChar w:fldCharType="end"/>
      </w:r>
      <w:r>
        <w:rPr>
          <w:rFonts w:hAnsi="宋体" w:eastAsia="黑体"/>
          <w:szCs w:val="24"/>
          <w:highlight w:val="none"/>
        </w:rPr>
        <w:fldChar w:fldCharType="end"/>
      </w:r>
    </w:p>
    <w:p w14:paraId="1284D936">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_Toc14027 </w:instrText>
      </w:r>
      <w:r>
        <w:rPr>
          <w:rFonts w:hAnsi="宋体" w:eastAsia="黑体"/>
          <w:szCs w:val="24"/>
          <w:highlight w:val="none"/>
        </w:rPr>
        <w:fldChar w:fldCharType="separate"/>
      </w:r>
      <w:r>
        <w:rPr>
          <w:rFonts w:hint="eastAsia" w:ascii="黑体" w:hAnsi="黑体"/>
          <w:szCs w:val="24"/>
          <w:highlight w:val="none"/>
        </w:rPr>
        <w:t>13.停止评审</w:t>
      </w:r>
      <w:r>
        <w:rPr>
          <w:highlight w:val="none"/>
        </w:rPr>
        <w:tab/>
      </w:r>
      <w:r>
        <w:rPr>
          <w:highlight w:val="none"/>
        </w:rPr>
        <w:fldChar w:fldCharType="begin"/>
      </w:r>
      <w:r>
        <w:rPr>
          <w:highlight w:val="none"/>
        </w:rPr>
        <w:instrText xml:space="preserve"> PAGEREF _Toc14027 \h </w:instrText>
      </w:r>
      <w:r>
        <w:rPr>
          <w:highlight w:val="none"/>
        </w:rPr>
        <w:fldChar w:fldCharType="separate"/>
      </w:r>
      <w:r>
        <w:rPr>
          <w:highlight w:val="none"/>
        </w:rPr>
        <w:t>27</w:t>
      </w:r>
      <w:r>
        <w:rPr>
          <w:highlight w:val="none"/>
        </w:rPr>
        <w:fldChar w:fldCharType="end"/>
      </w:r>
      <w:r>
        <w:rPr>
          <w:rFonts w:hAnsi="宋体" w:eastAsia="黑体"/>
          <w:szCs w:val="24"/>
          <w:highlight w:val="none"/>
        </w:rPr>
        <w:fldChar w:fldCharType="end"/>
      </w:r>
    </w:p>
    <w:p w14:paraId="6CBF6235">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_Toc17902 </w:instrText>
      </w:r>
      <w:r>
        <w:rPr>
          <w:rFonts w:hAnsi="宋体" w:eastAsia="黑体"/>
          <w:szCs w:val="24"/>
          <w:highlight w:val="none"/>
        </w:rPr>
        <w:fldChar w:fldCharType="separate"/>
      </w:r>
      <w:r>
        <w:rPr>
          <w:rFonts w:hint="eastAsia" w:ascii="黑体" w:hAnsi="黑体"/>
          <w:szCs w:val="24"/>
          <w:highlight w:val="none"/>
        </w:rPr>
        <w:t>14.磋商终止</w:t>
      </w:r>
      <w:r>
        <w:rPr>
          <w:highlight w:val="none"/>
        </w:rPr>
        <w:tab/>
      </w:r>
      <w:r>
        <w:rPr>
          <w:highlight w:val="none"/>
        </w:rPr>
        <w:fldChar w:fldCharType="begin"/>
      </w:r>
      <w:r>
        <w:rPr>
          <w:highlight w:val="none"/>
        </w:rPr>
        <w:instrText xml:space="preserve"> PAGEREF _Toc17902 \h </w:instrText>
      </w:r>
      <w:r>
        <w:rPr>
          <w:highlight w:val="none"/>
        </w:rPr>
        <w:fldChar w:fldCharType="separate"/>
      </w:r>
      <w:r>
        <w:rPr>
          <w:highlight w:val="none"/>
        </w:rPr>
        <w:t>27</w:t>
      </w:r>
      <w:r>
        <w:rPr>
          <w:highlight w:val="none"/>
        </w:rPr>
        <w:fldChar w:fldCharType="end"/>
      </w:r>
      <w:r>
        <w:rPr>
          <w:rFonts w:hAnsi="宋体" w:eastAsia="黑体"/>
          <w:szCs w:val="24"/>
          <w:highlight w:val="none"/>
        </w:rPr>
        <w:fldChar w:fldCharType="end"/>
      </w:r>
    </w:p>
    <w:p w14:paraId="430819B1">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_Toc3189 </w:instrText>
      </w:r>
      <w:r>
        <w:rPr>
          <w:rFonts w:hAnsi="宋体" w:eastAsia="黑体"/>
          <w:szCs w:val="24"/>
          <w:highlight w:val="none"/>
        </w:rPr>
        <w:fldChar w:fldCharType="separate"/>
      </w:r>
      <w:r>
        <w:rPr>
          <w:rFonts w:hint="eastAsia" w:ascii="黑体" w:hAnsi="黑体"/>
          <w:szCs w:val="24"/>
          <w:highlight w:val="none"/>
        </w:rPr>
        <w:t>15.重新评审</w:t>
      </w:r>
      <w:r>
        <w:rPr>
          <w:highlight w:val="none"/>
        </w:rPr>
        <w:tab/>
      </w:r>
      <w:r>
        <w:rPr>
          <w:highlight w:val="none"/>
        </w:rPr>
        <w:fldChar w:fldCharType="begin"/>
      </w:r>
      <w:r>
        <w:rPr>
          <w:highlight w:val="none"/>
        </w:rPr>
        <w:instrText xml:space="preserve"> PAGEREF _Toc3189 \h </w:instrText>
      </w:r>
      <w:r>
        <w:rPr>
          <w:highlight w:val="none"/>
        </w:rPr>
        <w:fldChar w:fldCharType="separate"/>
      </w:r>
      <w:r>
        <w:rPr>
          <w:highlight w:val="none"/>
        </w:rPr>
        <w:t>27</w:t>
      </w:r>
      <w:r>
        <w:rPr>
          <w:highlight w:val="none"/>
        </w:rPr>
        <w:fldChar w:fldCharType="end"/>
      </w:r>
      <w:r>
        <w:rPr>
          <w:rFonts w:hAnsi="宋体" w:eastAsia="黑体"/>
          <w:szCs w:val="24"/>
          <w:highlight w:val="none"/>
        </w:rPr>
        <w:fldChar w:fldCharType="end"/>
      </w:r>
    </w:p>
    <w:p w14:paraId="4665D3A6">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_Toc20157 </w:instrText>
      </w:r>
      <w:r>
        <w:rPr>
          <w:rFonts w:hAnsi="宋体" w:eastAsia="黑体"/>
          <w:szCs w:val="24"/>
          <w:highlight w:val="none"/>
        </w:rPr>
        <w:fldChar w:fldCharType="separate"/>
      </w:r>
      <w:r>
        <w:rPr>
          <w:rFonts w:hint="eastAsia"/>
          <w:highlight w:val="none"/>
        </w:rPr>
        <w:t>附表1 资格审查表</w:t>
      </w:r>
      <w:r>
        <w:rPr>
          <w:highlight w:val="none"/>
        </w:rPr>
        <w:tab/>
      </w:r>
      <w:r>
        <w:rPr>
          <w:highlight w:val="none"/>
        </w:rPr>
        <w:fldChar w:fldCharType="begin"/>
      </w:r>
      <w:r>
        <w:rPr>
          <w:highlight w:val="none"/>
        </w:rPr>
        <w:instrText xml:space="preserve"> PAGEREF _Toc20157 \h </w:instrText>
      </w:r>
      <w:r>
        <w:rPr>
          <w:highlight w:val="none"/>
        </w:rPr>
        <w:fldChar w:fldCharType="separate"/>
      </w:r>
      <w:r>
        <w:rPr>
          <w:highlight w:val="none"/>
        </w:rPr>
        <w:t>28</w:t>
      </w:r>
      <w:r>
        <w:rPr>
          <w:highlight w:val="none"/>
        </w:rPr>
        <w:fldChar w:fldCharType="end"/>
      </w:r>
      <w:r>
        <w:rPr>
          <w:rFonts w:hAnsi="宋体" w:eastAsia="黑体"/>
          <w:szCs w:val="24"/>
          <w:highlight w:val="none"/>
        </w:rPr>
        <w:fldChar w:fldCharType="end"/>
      </w:r>
    </w:p>
    <w:p w14:paraId="3CC7E2B5">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_Toc12604 </w:instrText>
      </w:r>
      <w:r>
        <w:rPr>
          <w:rFonts w:hAnsi="宋体" w:eastAsia="黑体"/>
          <w:szCs w:val="24"/>
          <w:highlight w:val="none"/>
        </w:rPr>
        <w:fldChar w:fldCharType="separate"/>
      </w:r>
      <w:r>
        <w:rPr>
          <w:rFonts w:hint="eastAsia"/>
          <w:highlight w:val="none"/>
        </w:rPr>
        <w:t>附表2符合性审查表</w:t>
      </w:r>
      <w:r>
        <w:rPr>
          <w:highlight w:val="none"/>
        </w:rPr>
        <w:tab/>
      </w:r>
      <w:r>
        <w:rPr>
          <w:highlight w:val="none"/>
        </w:rPr>
        <w:fldChar w:fldCharType="begin"/>
      </w:r>
      <w:r>
        <w:rPr>
          <w:highlight w:val="none"/>
        </w:rPr>
        <w:instrText xml:space="preserve"> PAGEREF _Toc12604 \h </w:instrText>
      </w:r>
      <w:r>
        <w:rPr>
          <w:highlight w:val="none"/>
        </w:rPr>
        <w:fldChar w:fldCharType="separate"/>
      </w:r>
      <w:r>
        <w:rPr>
          <w:highlight w:val="none"/>
        </w:rPr>
        <w:t>29</w:t>
      </w:r>
      <w:r>
        <w:rPr>
          <w:highlight w:val="none"/>
        </w:rPr>
        <w:fldChar w:fldCharType="end"/>
      </w:r>
      <w:r>
        <w:rPr>
          <w:rFonts w:hAnsi="宋体" w:eastAsia="黑体"/>
          <w:szCs w:val="24"/>
          <w:highlight w:val="none"/>
        </w:rPr>
        <w:fldChar w:fldCharType="end"/>
      </w:r>
    </w:p>
    <w:p w14:paraId="21060477">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_Toc3307 </w:instrText>
      </w:r>
      <w:r>
        <w:rPr>
          <w:rFonts w:hAnsi="宋体" w:eastAsia="黑体"/>
          <w:szCs w:val="24"/>
          <w:highlight w:val="none"/>
        </w:rPr>
        <w:fldChar w:fldCharType="separate"/>
      </w:r>
      <w:r>
        <w:rPr>
          <w:rFonts w:hint="eastAsia"/>
          <w:bCs/>
          <w:highlight w:val="none"/>
        </w:rPr>
        <w:t>附表3评审方法及标准表</w:t>
      </w:r>
      <w:r>
        <w:rPr>
          <w:highlight w:val="none"/>
        </w:rPr>
        <w:tab/>
      </w:r>
      <w:r>
        <w:rPr>
          <w:highlight w:val="none"/>
        </w:rPr>
        <w:fldChar w:fldCharType="begin"/>
      </w:r>
      <w:r>
        <w:rPr>
          <w:highlight w:val="none"/>
        </w:rPr>
        <w:instrText xml:space="preserve"> PAGEREF _Toc3307 \h </w:instrText>
      </w:r>
      <w:r>
        <w:rPr>
          <w:highlight w:val="none"/>
        </w:rPr>
        <w:fldChar w:fldCharType="separate"/>
      </w:r>
      <w:r>
        <w:rPr>
          <w:highlight w:val="none"/>
        </w:rPr>
        <w:t>30</w:t>
      </w:r>
      <w:r>
        <w:rPr>
          <w:highlight w:val="none"/>
        </w:rPr>
        <w:fldChar w:fldCharType="end"/>
      </w:r>
      <w:r>
        <w:rPr>
          <w:rFonts w:hAnsi="宋体" w:eastAsia="黑体"/>
          <w:szCs w:val="24"/>
          <w:highlight w:val="none"/>
        </w:rPr>
        <w:fldChar w:fldCharType="end"/>
      </w:r>
    </w:p>
    <w:p w14:paraId="31AB879D">
      <w:pPr>
        <w:pStyle w:val="37"/>
        <w:tabs>
          <w:tab w:val="right" w:leader="dot" w:pos="9072"/>
          <w:tab w:val="clear" w:pos="993"/>
          <w:tab w:val="clear" w:pos="9060"/>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_Toc12998 </w:instrText>
      </w:r>
      <w:r>
        <w:rPr>
          <w:rFonts w:hAnsi="宋体" w:eastAsia="黑体"/>
          <w:szCs w:val="24"/>
          <w:highlight w:val="none"/>
        </w:rPr>
        <w:fldChar w:fldCharType="separate"/>
      </w:r>
      <w:r>
        <w:rPr>
          <w:rFonts w:hint="eastAsia" w:ascii="黑体" w:hAnsi="黑体" w:eastAsia="黑体"/>
          <w:szCs w:val="32"/>
          <w:highlight w:val="none"/>
        </w:rPr>
        <w:t>第四章 采购需求</w:t>
      </w:r>
      <w:r>
        <w:rPr>
          <w:highlight w:val="none"/>
        </w:rPr>
        <w:tab/>
      </w:r>
      <w:r>
        <w:rPr>
          <w:highlight w:val="none"/>
        </w:rPr>
        <w:fldChar w:fldCharType="begin"/>
      </w:r>
      <w:r>
        <w:rPr>
          <w:highlight w:val="none"/>
        </w:rPr>
        <w:instrText xml:space="preserve"> PAGEREF _Toc12998 \h </w:instrText>
      </w:r>
      <w:r>
        <w:rPr>
          <w:highlight w:val="none"/>
        </w:rPr>
        <w:fldChar w:fldCharType="separate"/>
      </w:r>
      <w:r>
        <w:rPr>
          <w:highlight w:val="none"/>
        </w:rPr>
        <w:t>32</w:t>
      </w:r>
      <w:r>
        <w:rPr>
          <w:highlight w:val="none"/>
        </w:rPr>
        <w:fldChar w:fldCharType="end"/>
      </w:r>
      <w:r>
        <w:rPr>
          <w:rFonts w:hAnsi="宋体" w:eastAsia="黑体"/>
          <w:szCs w:val="24"/>
          <w:highlight w:val="none"/>
        </w:rPr>
        <w:fldChar w:fldCharType="end"/>
      </w:r>
    </w:p>
    <w:p w14:paraId="2EED7CFE">
      <w:pPr>
        <w:pStyle w:val="37"/>
        <w:tabs>
          <w:tab w:val="right" w:leader="dot" w:pos="9072"/>
          <w:tab w:val="clear" w:pos="993"/>
          <w:tab w:val="clear" w:pos="9060"/>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_Toc3889 </w:instrText>
      </w:r>
      <w:r>
        <w:rPr>
          <w:rFonts w:hAnsi="宋体" w:eastAsia="黑体"/>
          <w:szCs w:val="24"/>
          <w:highlight w:val="none"/>
        </w:rPr>
        <w:fldChar w:fldCharType="separate"/>
      </w:r>
      <w:r>
        <w:rPr>
          <w:rFonts w:hint="eastAsia" w:ascii="黑体" w:hAnsi="黑体" w:eastAsia="黑体"/>
          <w:szCs w:val="32"/>
          <w:highlight w:val="none"/>
        </w:rPr>
        <w:t>第五章  合同草案条款</w:t>
      </w:r>
      <w:r>
        <w:rPr>
          <w:highlight w:val="none"/>
        </w:rPr>
        <w:tab/>
      </w:r>
      <w:r>
        <w:rPr>
          <w:highlight w:val="none"/>
        </w:rPr>
        <w:fldChar w:fldCharType="begin"/>
      </w:r>
      <w:r>
        <w:rPr>
          <w:highlight w:val="none"/>
        </w:rPr>
        <w:instrText xml:space="preserve"> PAGEREF _Toc3889 \h </w:instrText>
      </w:r>
      <w:r>
        <w:rPr>
          <w:highlight w:val="none"/>
        </w:rPr>
        <w:fldChar w:fldCharType="separate"/>
      </w:r>
      <w:r>
        <w:rPr>
          <w:highlight w:val="none"/>
        </w:rPr>
        <w:t>39</w:t>
      </w:r>
      <w:r>
        <w:rPr>
          <w:highlight w:val="none"/>
        </w:rPr>
        <w:fldChar w:fldCharType="end"/>
      </w:r>
      <w:r>
        <w:rPr>
          <w:rFonts w:hAnsi="宋体" w:eastAsia="黑体"/>
          <w:szCs w:val="24"/>
          <w:highlight w:val="none"/>
        </w:rPr>
        <w:fldChar w:fldCharType="end"/>
      </w:r>
    </w:p>
    <w:p w14:paraId="41F9711B">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_Toc26092 </w:instrText>
      </w:r>
      <w:r>
        <w:rPr>
          <w:rFonts w:hAnsi="宋体" w:eastAsia="黑体"/>
          <w:szCs w:val="24"/>
          <w:highlight w:val="none"/>
        </w:rPr>
        <w:fldChar w:fldCharType="separate"/>
      </w:r>
      <w:r>
        <w:rPr>
          <w:rFonts w:hint="eastAsia" w:ascii="Arial" w:hAnsi="Arial"/>
          <w:bCs/>
          <w:szCs w:val="30"/>
          <w:highlight w:val="none"/>
        </w:rPr>
        <w:t>第一节 政府采购合同协议书</w:t>
      </w:r>
      <w:r>
        <w:rPr>
          <w:highlight w:val="none"/>
        </w:rPr>
        <w:tab/>
      </w:r>
      <w:r>
        <w:rPr>
          <w:highlight w:val="none"/>
        </w:rPr>
        <w:fldChar w:fldCharType="begin"/>
      </w:r>
      <w:r>
        <w:rPr>
          <w:highlight w:val="none"/>
        </w:rPr>
        <w:instrText xml:space="preserve"> PAGEREF _Toc26092 \h </w:instrText>
      </w:r>
      <w:r>
        <w:rPr>
          <w:highlight w:val="none"/>
        </w:rPr>
        <w:fldChar w:fldCharType="separate"/>
      </w:r>
      <w:r>
        <w:rPr>
          <w:highlight w:val="none"/>
        </w:rPr>
        <w:t>39</w:t>
      </w:r>
      <w:r>
        <w:rPr>
          <w:highlight w:val="none"/>
        </w:rPr>
        <w:fldChar w:fldCharType="end"/>
      </w:r>
      <w:r>
        <w:rPr>
          <w:rFonts w:hAnsi="宋体" w:eastAsia="黑体"/>
          <w:szCs w:val="24"/>
          <w:highlight w:val="none"/>
        </w:rPr>
        <w:fldChar w:fldCharType="end"/>
      </w:r>
    </w:p>
    <w:p w14:paraId="2D8FE845">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_Toc23549 </w:instrText>
      </w:r>
      <w:r>
        <w:rPr>
          <w:rFonts w:hAnsi="宋体" w:eastAsia="黑体"/>
          <w:szCs w:val="24"/>
          <w:highlight w:val="none"/>
        </w:rPr>
        <w:fldChar w:fldCharType="separate"/>
      </w:r>
      <w:r>
        <w:rPr>
          <w:rFonts w:ascii="Arial" w:hAnsi="Arial"/>
          <w:bCs/>
          <w:szCs w:val="30"/>
          <w:highlight w:val="none"/>
        </w:rPr>
        <w:t>第二节</w:t>
      </w:r>
      <w:r>
        <w:rPr>
          <w:rFonts w:hint="eastAsia" w:ascii="Arial" w:hAnsi="Arial"/>
          <w:bCs/>
          <w:szCs w:val="30"/>
          <w:highlight w:val="none"/>
        </w:rPr>
        <w:t xml:space="preserve"> </w:t>
      </w:r>
      <w:r>
        <w:rPr>
          <w:rFonts w:ascii="Arial" w:hAnsi="Arial"/>
          <w:bCs/>
          <w:szCs w:val="30"/>
          <w:highlight w:val="none"/>
        </w:rPr>
        <w:t>政府采购合同通用条款</w:t>
      </w:r>
      <w:r>
        <w:rPr>
          <w:highlight w:val="none"/>
        </w:rPr>
        <w:tab/>
      </w:r>
      <w:r>
        <w:rPr>
          <w:highlight w:val="none"/>
        </w:rPr>
        <w:fldChar w:fldCharType="begin"/>
      </w:r>
      <w:r>
        <w:rPr>
          <w:highlight w:val="none"/>
        </w:rPr>
        <w:instrText xml:space="preserve"> PAGEREF _Toc23549 \h </w:instrText>
      </w:r>
      <w:r>
        <w:rPr>
          <w:highlight w:val="none"/>
        </w:rPr>
        <w:fldChar w:fldCharType="separate"/>
      </w:r>
      <w:r>
        <w:rPr>
          <w:highlight w:val="none"/>
        </w:rPr>
        <w:t>41</w:t>
      </w:r>
      <w:r>
        <w:rPr>
          <w:highlight w:val="none"/>
        </w:rPr>
        <w:fldChar w:fldCharType="end"/>
      </w:r>
      <w:r>
        <w:rPr>
          <w:rFonts w:hAnsi="宋体" w:eastAsia="黑体"/>
          <w:szCs w:val="24"/>
          <w:highlight w:val="none"/>
        </w:rPr>
        <w:fldChar w:fldCharType="end"/>
      </w:r>
    </w:p>
    <w:p w14:paraId="5803DD94">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_Toc4209 </w:instrText>
      </w:r>
      <w:r>
        <w:rPr>
          <w:rFonts w:hAnsi="宋体" w:eastAsia="黑体"/>
          <w:szCs w:val="24"/>
          <w:highlight w:val="none"/>
        </w:rPr>
        <w:fldChar w:fldCharType="separate"/>
      </w:r>
      <w:r>
        <w:rPr>
          <w:rFonts w:ascii="Arial" w:hAnsi="Arial"/>
          <w:bCs/>
          <w:szCs w:val="30"/>
          <w:highlight w:val="none"/>
        </w:rPr>
        <w:t>第三节</w:t>
      </w:r>
      <w:r>
        <w:rPr>
          <w:rFonts w:hint="eastAsia" w:ascii="Arial" w:hAnsi="Arial"/>
          <w:bCs/>
          <w:szCs w:val="30"/>
          <w:highlight w:val="none"/>
        </w:rPr>
        <w:t xml:space="preserve"> </w:t>
      </w:r>
      <w:r>
        <w:rPr>
          <w:rFonts w:ascii="Arial" w:hAnsi="Arial"/>
          <w:bCs/>
          <w:szCs w:val="30"/>
          <w:highlight w:val="none"/>
        </w:rPr>
        <w:t>政府采购合同专用条款</w:t>
      </w:r>
      <w:r>
        <w:rPr>
          <w:highlight w:val="none"/>
        </w:rPr>
        <w:tab/>
      </w:r>
      <w:r>
        <w:rPr>
          <w:highlight w:val="none"/>
        </w:rPr>
        <w:fldChar w:fldCharType="begin"/>
      </w:r>
      <w:r>
        <w:rPr>
          <w:highlight w:val="none"/>
        </w:rPr>
        <w:instrText xml:space="preserve"> PAGEREF _Toc4209 \h </w:instrText>
      </w:r>
      <w:r>
        <w:rPr>
          <w:highlight w:val="none"/>
        </w:rPr>
        <w:fldChar w:fldCharType="separate"/>
      </w:r>
      <w:r>
        <w:rPr>
          <w:highlight w:val="none"/>
        </w:rPr>
        <w:t>47</w:t>
      </w:r>
      <w:r>
        <w:rPr>
          <w:highlight w:val="none"/>
        </w:rPr>
        <w:fldChar w:fldCharType="end"/>
      </w:r>
      <w:r>
        <w:rPr>
          <w:rFonts w:hAnsi="宋体" w:eastAsia="黑体"/>
          <w:szCs w:val="24"/>
          <w:highlight w:val="none"/>
        </w:rPr>
        <w:fldChar w:fldCharType="end"/>
      </w:r>
    </w:p>
    <w:p w14:paraId="22E886DE">
      <w:pPr>
        <w:pStyle w:val="37"/>
        <w:tabs>
          <w:tab w:val="right" w:leader="dot" w:pos="9072"/>
          <w:tab w:val="clear" w:pos="993"/>
          <w:tab w:val="clear" w:pos="9060"/>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_Toc24268 </w:instrText>
      </w:r>
      <w:r>
        <w:rPr>
          <w:rFonts w:hAnsi="宋体" w:eastAsia="黑体"/>
          <w:szCs w:val="24"/>
          <w:highlight w:val="none"/>
        </w:rPr>
        <w:fldChar w:fldCharType="separate"/>
      </w:r>
      <w:r>
        <w:rPr>
          <w:rFonts w:hint="eastAsia" w:ascii="黑体" w:hAnsi="黑体" w:eastAsia="黑体"/>
          <w:szCs w:val="32"/>
          <w:highlight w:val="none"/>
        </w:rPr>
        <w:t>第六章 响应文件组成</w:t>
      </w:r>
      <w:r>
        <w:rPr>
          <w:highlight w:val="none"/>
        </w:rPr>
        <w:tab/>
      </w:r>
      <w:r>
        <w:rPr>
          <w:highlight w:val="none"/>
        </w:rPr>
        <w:fldChar w:fldCharType="begin"/>
      </w:r>
      <w:r>
        <w:rPr>
          <w:highlight w:val="none"/>
        </w:rPr>
        <w:instrText xml:space="preserve"> PAGEREF _Toc24268 \h </w:instrText>
      </w:r>
      <w:r>
        <w:rPr>
          <w:highlight w:val="none"/>
        </w:rPr>
        <w:fldChar w:fldCharType="separate"/>
      </w:r>
      <w:r>
        <w:rPr>
          <w:highlight w:val="none"/>
        </w:rPr>
        <w:t>48</w:t>
      </w:r>
      <w:r>
        <w:rPr>
          <w:highlight w:val="none"/>
        </w:rPr>
        <w:fldChar w:fldCharType="end"/>
      </w:r>
      <w:r>
        <w:rPr>
          <w:rFonts w:hAnsi="宋体" w:eastAsia="黑体"/>
          <w:szCs w:val="24"/>
          <w:highlight w:val="none"/>
        </w:rPr>
        <w:fldChar w:fldCharType="end"/>
      </w:r>
    </w:p>
    <w:p w14:paraId="11DCA45F">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_Toc24965 </w:instrText>
      </w:r>
      <w:r>
        <w:rPr>
          <w:rFonts w:hAnsi="宋体" w:eastAsia="黑体"/>
          <w:szCs w:val="24"/>
          <w:highlight w:val="none"/>
        </w:rPr>
        <w:fldChar w:fldCharType="separate"/>
      </w:r>
      <w:r>
        <w:rPr>
          <w:rFonts w:hint="eastAsia" w:ascii="黑体" w:hAnsi="黑体" w:eastAsia="黑体"/>
          <w:szCs w:val="21"/>
          <w:highlight w:val="none"/>
        </w:rPr>
        <w:t>索引表 符合性审查索引表</w:t>
      </w:r>
      <w:r>
        <w:rPr>
          <w:highlight w:val="none"/>
        </w:rPr>
        <w:tab/>
      </w:r>
      <w:r>
        <w:rPr>
          <w:highlight w:val="none"/>
        </w:rPr>
        <w:fldChar w:fldCharType="begin"/>
      </w:r>
      <w:r>
        <w:rPr>
          <w:highlight w:val="none"/>
        </w:rPr>
        <w:instrText xml:space="preserve"> PAGEREF _Toc24965 \h </w:instrText>
      </w:r>
      <w:r>
        <w:rPr>
          <w:highlight w:val="none"/>
        </w:rPr>
        <w:fldChar w:fldCharType="separate"/>
      </w:r>
      <w:r>
        <w:rPr>
          <w:highlight w:val="none"/>
        </w:rPr>
        <w:t>50</w:t>
      </w:r>
      <w:r>
        <w:rPr>
          <w:highlight w:val="none"/>
        </w:rPr>
        <w:fldChar w:fldCharType="end"/>
      </w:r>
      <w:r>
        <w:rPr>
          <w:rFonts w:hAnsi="宋体" w:eastAsia="黑体"/>
          <w:szCs w:val="24"/>
          <w:highlight w:val="none"/>
        </w:rPr>
        <w:fldChar w:fldCharType="end"/>
      </w:r>
    </w:p>
    <w:p w14:paraId="1408378B">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_Toc15662 </w:instrText>
      </w:r>
      <w:r>
        <w:rPr>
          <w:rFonts w:hAnsi="宋体" w:eastAsia="黑体"/>
          <w:szCs w:val="24"/>
          <w:highlight w:val="none"/>
        </w:rPr>
        <w:fldChar w:fldCharType="separate"/>
      </w:r>
      <w:r>
        <w:rPr>
          <w:rFonts w:hint="eastAsia" w:ascii="黑体" w:hAnsi="黑体" w:eastAsia="黑体"/>
          <w:szCs w:val="28"/>
          <w:highlight w:val="none"/>
        </w:rPr>
        <w:t>一、磋商响应声明(格式)</w:t>
      </w:r>
      <w:r>
        <w:rPr>
          <w:highlight w:val="none"/>
        </w:rPr>
        <w:tab/>
      </w:r>
      <w:r>
        <w:rPr>
          <w:highlight w:val="none"/>
        </w:rPr>
        <w:fldChar w:fldCharType="begin"/>
      </w:r>
      <w:r>
        <w:rPr>
          <w:highlight w:val="none"/>
        </w:rPr>
        <w:instrText xml:space="preserve"> PAGEREF _Toc15662 \h </w:instrText>
      </w:r>
      <w:r>
        <w:rPr>
          <w:highlight w:val="none"/>
        </w:rPr>
        <w:fldChar w:fldCharType="separate"/>
      </w:r>
      <w:r>
        <w:rPr>
          <w:highlight w:val="none"/>
        </w:rPr>
        <w:t>51</w:t>
      </w:r>
      <w:r>
        <w:rPr>
          <w:highlight w:val="none"/>
        </w:rPr>
        <w:fldChar w:fldCharType="end"/>
      </w:r>
      <w:r>
        <w:rPr>
          <w:rFonts w:hAnsi="宋体" w:eastAsia="黑体"/>
          <w:szCs w:val="24"/>
          <w:highlight w:val="none"/>
        </w:rPr>
        <w:fldChar w:fldCharType="end"/>
      </w:r>
    </w:p>
    <w:p w14:paraId="22C1B21C">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_Toc14121 </w:instrText>
      </w:r>
      <w:r>
        <w:rPr>
          <w:rFonts w:hAnsi="宋体" w:eastAsia="黑体"/>
          <w:szCs w:val="24"/>
          <w:highlight w:val="none"/>
        </w:rPr>
        <w:fldChar w:fldCharType="separate"/>
      </w:r>
      <w:r>
        <w:rPr>
          <w:rFonts w:hint="eastAsia" w:ascii="黑体" w:hAnsi="黑体" w:eastAsia="黑体"/>
          <w:szCs w:val="28"/>
          <w:highlight w:val="none"/>
        </w:rPr>
        <w:t>二、法定代表人（单位负责人）身份证明(格式)</w:t>
      </w:r>
      <w:r>
        <w:rPr>
          <w:highlight w:val="none"/>
        </w:rPr>
        <w:tab/>
      </w:r>
      <w:r>
        <w:rPr>
          <w:highlight w:val="none"/>
        </w:rPr>
        <w:fldChar w:fldCharType="begin"/>
      </w:r>
      <w:r>
        <w:rPr>
          <w:highlight w:val="none"/>
        </w:rPr>
        <w:instrText xml:space="preserve"> PAGEREF _Toc14121 \h </w:instrText>
      </w:r>
      <w:r>
        <w:rPr>
          <w:highlight w:val="none"/>
        </w:rPr>
        <w:fldChar w:fldCharType="separate"/>
      </w:r>
      <w:r>
        <w:rPr>
          <w:highlight w:val="none"/>
        </w:rPr>
        <w:t>52</w:t>
      </w:r>
      <w:r>
        <w:rPr>
          <w:highlight w:val="none"/>
        </w:rPr>
        <w:fldChar w:fldCharType="end"/>
      </w:r>
      <w:r>
        <w:rPr>
          <w:rFonts w:hAnsi="宋体" w:eastAsia="黑体"/>
          <w:szCs w:val="24"/>
          <w:highlight w:val="none"/>
        </w:rPr>
        <w:fldChar w:fldCharType="end"/>
      </w:r>
    </w:p>
    <w:p w14:paraId="6A4BCB5D">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_Toc14599 </w:instrText>
      </w:r>
      <w:r>
        <w:rPr>
          <w:rFonts w:hAnsi="宋体" w:eastAsia="黑体"/>
          <w:szCs w:val="24"/>
          <w:highlight w:val="none"/>
        </w:rPr>
        <w:fldChar w:fldCharType="separate"/>
      </w:r>
      <w:r>
        <w:rPr>
          <w:rFonts w:hint="eastAsia" w:ascii="黑体" w:hAnsi="黑体" w:eastAsia="黑体"/>
          <w:szCs w:val="28"/>
          <w:highlight w:val="none"/>
        </w:rPr>
        <w:t>三、授权委托书(格式)</w:t>
      </w:r>
      <w:r>
        <w:rPr>
          <w:highlight w:val="none"/>
        </w:rPr>
        <w:tab/>
      </w:r>
      <w:r>
        <w:rPr>
          <w:highlight w:val="none"/>
        </w:rPr>
        <w:fldChar w:fldCharType="begin"/>
      </w:r>
      <w:r>
        <w:rPr>
          <w:highlight w:val="none"/>
        </w:rPr>
        <w:instrText xml:space="preserve"> PAGEREF _Toc14599 \h </w:instrText>
      </w:r>
      <w:r>
        <w:rPr>
          <w:highlight w:val="none"/>
        </w:rPr>
        <w:fldChar w:fldCharType="separate"/>
      </w:r>
      <w:r>
        <w:rPr>
          <w:highlight w:val="none"/>
        </w:rPr>
        <w:t>53</w:t>
      </w:r>
      <w:r>
        <w:rPr>
          <w:highlight w:val="none"/>
        </w:rPr>
        <w:fldChar w:fldCharType="end"/>
      </w:r>
      <w:r>
        <w:rPr>
          <w:rFonts w:hAnsi="宋体" w:eastAsia="黑体"/>
          <w:szCs w:val="24"/>
          <w:highlight w:val="none"/>
        </w:rPr>
        <w:fldChar w:fldCharType="end"/>
      </w:r>
    </w:p>
    <w:p w14:paraId="6B9096EB">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_Toc24562 </w:instrText>
      </w:r>
      <w:r>
        <w:rPr>
          <w:rFonts w:hAnsi="宋体" w:eastAsia="黑体"/>
          <w:szCs w:val="24"/>
          <w:highlight w:val="none"/>
        </w:rPr>
        <w:fldChar w:fldCharType="separate"/>
      </w:r>
      <w:r>
        <w:rPr>
          <w:rFonts w:hint="eastAsia" w:ascii="黑体" w:hAnsi="黑体" w:eastAsia="黑体"/>
          <w:szCs w:val="28"/>
          <w:highlight w:val="none"/>
        </w:rPr>
        <w:t>四、保证金</w:t>
      </w:r>
      <w:r>
        <w:rPr>
          <w:highlight w:val="none"/>
        </w:rPr>
        <w:tab/>
      </w:r>
      <w:r>
        <w:rPr>
          <w:highlight w:val="none"/>
        </w:rPr>
        <w:fldChar w:fldCharType="begin"/>
      </w:r>
      <w:r>
        <w:rPr>
          <w:highlight w:val="none"/>
        </w:rPr>
        <w:instrText xml:space="preserve"> PAGEREF _Toc24562 \h </w:instrText>
      </w:r>
      <w:r>
        <w:rPr>
          <w:highlight w:val="none"/>
        </w:rPr>
        <w:fldChar w:fldCharType="separate"/>
      </w:r>
      <w:r>
        <w:rPr>
          <w:highlight w:val="none"/>
        </w:rPr>
        <w:t>54</w:t>
      </w:r>
      <w:r>
        <w:rPr>
          <w:highlight w:val="none"/>
        </w:rPr>
        <w:fldChar w:fldCharType="end"/>
      </w:r>
      <w:r>
        <w:rPr>
          <w:rFonts w:hAnsi="宋体" w:eastAsia="黑体"/>
          <w:szCs w:val="24"/>
          <w:highlight w:val="none"/>
        </w:rPr>
        <w:fldChar w:fldCharType="end"/>
      </w:r>
    </w:p>
    <w:p w14:paraId="3D71808D">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_Toc12752 </w:instrText>
      </w:r>
      <w:r>
        <w:rPr>
          <w:rFonts w:hAnsi="宋体" w:eastAsia="黑体"/>
          <w:szCs w:val="24"/>
          <w:highlight w:val="none"/>
        </w:rPr>
        <w:fldChar w:fldCharType="separate"/>
      </w:r>
      <w:r>
        <w:rPr>
          <w:rFonts w:hint="eastAsia" w:ascii="宋体" w:hAnsi="宋体"/>
          <w:szCs w:val="21"/>
          <w:highlight w:val="none"/>
        </w:rPr>
        <w:t>附件4</w:t>
      </w:r>
      <w:r>
        <w:rPr>
          <w:rFonts w:hint="eastAsia" w:ascii="宋体" w:hAnsi="宋体"/>
          <w:bCs/>
          <w:szCs w:val="21"/>
          <w:highlight w:val="none"/>
        </w:rPr>
        <w:t>-</w:t>
      </w:r>
      <w:r>
        <w:rPr>
          <w:rFonts w:hint="eastAsia" w:ascii="宋体" w:hAnsi="宋体"/>
          <w:szCs w:val="21"/>
          <w:highlight w:val="none"/>
        </w:rPr>
        <w:t>1保函（格式）</w:t>
      </w:r>
      <w:r>
        <w:rPr>
          <w:highlight w:val="none"/>
        </w:rPr>
        <w:tab/>
      </w:r>
      <w:r>
        <w:rPr>
          <w:highlight w:val="none"/>
        </w:rPr>
        <w:fldChar w:fldCharType="begin"/>
      </w:r>
      <w:r>
        <w:rPr>
          <w:highlight w:val="none"/>
        </w:rPr>
        <w:instrText xml:space="preserve"> PAGEREF _Toc12752 \h </w:instrText>
      </w:r>
      <w:r>
        <w:rPr>
          <w:highlight w:val="none"/>
        </w:rPr>
        <w:fldChar w:fldCharType="separate"/>
      </w:r>
      <w:r>
        <w:rPr>
          <w:highlight w:val="none"/>
        </w:rPr>
        <w:t>54</w:t>
      </w:r>
      <w:r>
        <w:rPr>
          <w:highlight w:val="none"/>
        </w:rPr>
        <w:fldChar w:fldCharType="end"/>
      </w:r>
      <w:r>
        <w:rPr>
          <w:rFonts w:hAnsi="宋体" w:eastAsia="黑体"/>
          <w:szCs w:val="24"/>
          <w:highlight w:val="none"/>
        </w:rPr>
        <w:fldChar w:fldCharType="end"/>
      </w:r>
    </w:p>
    <w:p w14:paraId="0A60AA58">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_Toc17351 </w:instrText>
      </w:r>
      <w:r>
        <w:rPr>
          <w:rFonts w:hAnsi="宋体" w:eastAsia="黑体"/>
          <w:szCs w:val="24"/>
          <w:highlight w:val="none"/>
        </w:rPr>
        <w:fldChar w:fldCharType="separate"/>
      </w:r>
      <w:r>
        <w:rPr>
          <w:rFonts w:hint="eastAsia" w:ascii="黑体" w:hAnsi="黑体" w:eastAsia="黑体"/>
          <w:szCs w:val="28"/>
          <w:highlight w:val="none"/>
        </w:rPr>
        <w:t>五、报价表及报价文件(格式)</w:t>
      </w:r>
      <w:r>
        <w:rPr>
          <w:highlight w:val="none"/>
        </w:rPr>
        <w:tab/>
      </w:r>
      <w:r>
        <w:rPr>
          <w:highlight w:val="none"/>
        </w:rPr>
        <w:fldChar w:fldCharType="begin"/>
      </w:r>
      <w:r>
        <w:rPr>
          <w:highlight w:val="none"/>
        </w:rPr>
        <w:instrText xml:space="preserve"> PAGEREF _Toc17351 \h </w:instrText>
      </w:r>
      <w:r>
        <w:rPr>
          <w:highlight w:val="none"/>
        </w:rPr>
        <w:fldChar w:fldCharType="separate"/>
      </w:r>
      <w:r>
        <w:rPr>
          <w:highlight w:val="none"/>
        </w:rPr>
        <w:t>55</w:t>
      </w:r>
      <w:r>
        <w:rPr>
          <w:highlight w:val="none"/>
        </w:rPr>
        <w:fldChar w:fldCharType="end"/>
      </w:r>
      <w:r>
        <w:rPr>
          <w:rFonts w:hAnsi="宋体" w:eastAsia="黑体"/>
          <w:szCs w:val="24"/>
          <w:highlight w:val="none"/>
        </w:rPr>
        <w:fldChar w:fldCharType="end"/>
      </w:r>
    </w:p>
    <w:p w14:paraId="793969F6">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_Toc9442 </w:instrText>
      </w:r>
      <w:r>
        <w:rPr>
          <w:rFonts w:hAnsi="宋体" w:eastAsia="黑体"/>
          <w:szCs w:val="24"/>
          <w:highlight w:val="none"/>
        </w:rPr>
        <w:fldChar w:fldCharType="separate"/>
      </w:r>
      <w:r>
        <w:rPr>
          <w:rFonts w:hint="eastAsia" w:ascii="宋体" w:hAnsi="宋体"/>
          <w:szCs w:val="21"/>
          <w:highlight w:val="none"/>
        </w:rPr>
        <w:t>附件5-1 报价表</w:t>
      </w:r>
      <w:r>
        <w:rPr>
          <w:highlight w:val="none"/>
        </w:rPr>
        <w:tab/>
      </w:r>
      <w:r>
        <w:rPr>
          <w:highlight w:val="none"/>
        </w:rPr>
        <w:fldChar w:fldCharType="begin"/>
      </w:r>
      <w:r>
        <w:rPr>
          <w:highlight w:val="none"/>
        </w:rPr>
        <w:instrText xml:space="preserve"> PAGEREF _Toc9442 \h </w:instrText>
      </w:r>
      <w:r>
        <w:rPr>
          <w:highlight w:val="none"/>
        </w:rPr>
        <w:fldChar w:fldCharType="separate"/>
      </w:r>
      <w:r>
        <w:rPr>
          <w:highlight w:val="none"/>
        </w:rPr>
        <w:t>55</w:t>
      </w:r>
      <w:r>
        <w:rPr>
          <w:highlight w:val="none"/>
        </w:rPr>
        <w:fldChar w:fldCharType="end"/>
      </w:r>
      <w:r>
        <w:rPr>
          <w:rFonts w:hAnsi="宋体" w:eastAsia="黑体"/>
          <w:szCs w:val="24"/>
          <w:highlight w:val="none"/>
        </w:rPr>
        <w:fldChar w:fldCharType="end"/>
      </w:r>
    </w:p>
    <w:p w14:paraId="73BBD21C">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_Toc29567 </w:instrText>
      </w:r>
      <w:r>
        <w:rPr>
          <w:rFonts w:hAnsi="宋体" w:eastAsia="黑体"/>
          <w:szCs w:val="24"/>
          <w:highlight w:val="none"/>
        </w:rPr>
        <w:fldChar w:fldCharType="separate"/>
      </w:r>
      <w:r>
        <w:rPr>
          <w:rFonts w:hint="eastAsia" w:ascii="宋体" w:hAnsi="宋体"/>
          <w:szCs w:val="21"/>
          <w:highlight w:val="none"/>
        </w:rPr>
        <w:t>附件5-2分项报价说明</w:t>
      </w:r>
      <w:r>
        <w:rPr>
          <w:highlight w:val="none"/>
        </w:rPr>
        <w:tab/>
      </w:r>
      <w:r>
        <w:rPr>
          <w:highlight w:val="none"/>
        </w:rPr>
        <w:fldChar w:fldCharType="begin"/>
      </w:r>
      <w:r>
        <w:rPr>
          <w:highlight w:val="none"/>
        </w:rPr>
        <w:instrText xml:space="preserve"> PAGEREF _Toc29567 \h </w:instrText>
      </w:r>
      <w:r>
        <w:rPr>
          <w:highlight w:val="none"/>
        </w:rPr>
        <w:fldChar w:fldCharType="separate"/>
      </w:r>
      <w:r>
        <w:rPr>
          <w:highlight w:val="none"/>
        </w:rPr>
        <w:t>56</w:t>
      </w:r>
      <w:r>
        <w:rPr>
          <w:highlight w:val="none"/>
        </w:rPr>
        <w:fldChar w:fldCharType="end"/>
      </w:r>
      <w:r>
        <w:rPr>
          <w:rFonts w:hAnsi="宋体" w:eastAsia="黑体"/>
          <w:szCs w:val="24"/>
          <w:highlight w:val="none"/>
        </w:rPr>
        <w:fldChar w:fldCharType="end"/>
      </w:r>
    </w:p>
    <w:p w14:paraId="70250C6B">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_Toc19728 </w:instrText>
      </w:r>
      <w:r>
        <w:rPr>
          <w:rFonts w:hAnsi="宋体" w:eastAsia="黑体"/>
          <w:szCs w:val="24"/>
          <w:highlight w:val="none"/>
        </w:rPr>
        <w:fldChar w:fldCharType="separate"/>
      </w:r>
      <w:r>
        <w:rPr>
          <w:rFonts w:hint="eastAsia" w:ascii="宋体" w:hAnsi="宋体" w:cs="宋体"/>
          <w:bCs/>
          <w:szCs w:val="21"/>
          <w:highlight w:val="none"/>
        </w:rPr>
        <w:t>附件5-3</w:t>
      </w:r>
      <w:r>
        <w:rPr>
          <w:rFonts w:hint="eastAsia" w:ascii="宋体" w:hAnsi="宋体"/>
          <w:bCs/>
          <w:spacing w:val="-2"/>
          <w:position w:val="-3"/>
          <w:szCs w:val="21"/>
          <w:highlight w:val="none"/>
        </w:rPr>
        <w:t>分</w:t>
      </w:r>
      <w:r>
        <w:rPr>
          <w:rFonts w:hint="eastAsia" w:ascii="宋体" w:hAnsi="宋体"/>
          <w:bCs/>
          <w:position w:val="-3"/>
          <w:szCs w:val="21"/>
          <w:highlight w:val="none"/>
        </w:rPr>
        <w:t>项</w:t>
      </w:r>
      <w:r>
        <w:rPr>
          <w:rFonts w:hint="eastAsia" w:ascii="宋体" w:hAnsi="宋体"/>
          <w:bCs/>
          <w:spacing w:val="-2"/>
          <w:position w:val="-3"/>
          <w:szCs w:val="21"/>
          <w:highlight w:val="none"/>
        </w:rPr>
        <w:t>报</w:t>
      </w:r>
      <w:r>
        <w:rPr>
          <w:rFonts w:hint="eastAsia" w:ascii="宋体" w:hAnsi="宋体"/>
          <w:bCs/>
          <w:position w:val="-3"/>
          <w:szCs w:val="21"/>
          <w:highlight w:val="none"/>
        </w:rPr>
        <w:t>价明细表（表格样式供参考，供应商可自行调整表格内容）</w:t>
      </w:r>
      <w:r>
        <w:rPr>
          <w:highlight w:val="none"/>
        </w:rPr>
        <w:tab/>
      </w:r>
      <w:r>
        <w:rPr>
          <w:highlight w:val="none"/>
        </w:rPr>
        <w:fldChar w:fldCharType="begin"/>
      </w:r>
      <w:r>
        <w:rPr>
          <w:highlight w:val="none"/>
        </w:rPr>
        <w:instrText xml:space="preserve"> PAGEREF _Toc19728 \h </w:instrText>
      </w:r>
      <w:r>
        <w:rPr>
          <w:highlight w:val="none"/>
        </w:rPr>
        <w:fldChar w:fldCharType="separate"/>
      </w:r>
      <w:r>
        <w:rPr>
          <w:highlight w:val="none"/>
        </w:rPr>
        <w:t>56</w:t>
      </w:r>
      <w:r>
        <w:rPr>
          <w:highlight w:val="none"/>
        </w:rPr>
        <w:fldChar w:fldCharType="end"/>
      </w:r>
      <w:r>
        <w:rPr>
          <w:rFonts w:hAnsi="宋体" w:eastAsia="黑体"/>
          <w:szCs w:val="24"/>
          <w:highlight w:val="none"/>
        </w:rPr>
        <w:fldChar w:fldCharType="end"/>
      </w:r>
    </w:p>
    <w:p w14:paraId="1BA90D77">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_Toc24210 </w:instrText>
      </w:r>
      <w:r>
        <w:rPr>
          <w:rFonts w:hAnsi="宋体" w:eastAsia="黑体"/>
          <w:szCs w:val="24"/>
          <w:highlight w:val="none"/>
        </w:rPr>
        <w:fldChar w:fldCharType="separate"/>
      </w:r>
      <w:r>
        <w:rPr>
          <w:rFonts w:hint="eastAsia" w:ascii="黑体" w:hAnsi="黑体" w:eastAsia="黑体"/>
          <w:szCs w:val="28"/>
          <w:highlight w:val="none"/>
        </w:rPr>
        <w:t>六、采购需求的响应</w:t>
      </w:r>
      <w:r>
        <w:rPr>
          <w:highlight w:val="none"/>
        </w:rPr>
        <w:tab/>
      </w:r>
      <w:r>
        <w:rPr>
          <w:highlight w:val="none"/>
        </w:rPr>
        <w:fldChar w:fldCharType="begin"/>
      </w:r>
      <w:r>
        <w:rPr>
          <w:highlight w:val="none"/>
        </w:rPr>
        <w:instrText xml:space="preserve"> PAGEREF _Toc24210 \h </w:instrText>
      </w:r>
      <w:r>
        <w:rPr>
          <w:highlight w:val="none"/>
        </w:rPr>
        <w:fldChar w:fldCharType="separate"/>
      </w:r>
      <w:r>
        <w:rPr>
          <w:highlight w:val="none"/>
        </w:rPr>
        <w:t>57</w:t>
      </w:r>
      <w:r>
        <w:rPr>
          <w:highlight w:val="none"/>
        </w:rPr>
        <w:fldChar w:fldCharType="end"/>
      </w:r>
      <w:r>
        <w:rPr>
          <w:rFonts w:hAnsi="宋体" w:eastAsia="黑体"/>
          <w:szCs w:val="24"/>
          <w:highlight w:val="none"/>
        </w:rPr>
        <w:fldChar w:fldCharType="end"/>
      </w:r>
    </w:p>
    <w:p w14:paraId="463C4D28">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_Toc17437 </w:instrText>
      </w:r>
      <w:r>
        <w:rPr>
          <w:rFonts w:hAnsi="宋体" w:eastAsia="黑体"/>
          <w:szCs w:val="24"/>
          <w:highlight w:val="none"/>
        </w:rPr>
        <w:fldChar w:fldCharType="separate"/>
      </w:r>
      <w:r>
        <w:rPr>
          <w:rFonts w:hint="eastAsia" w:ascii="宋体" w:hAnsi="宋体"/>
          <w:szCs w:val="21"/>
          <w:highlight w:val="none"/>
        </w:rPr>
        <w:t>附件6-1 响应-览表</w:t>
      </w:r>
      <w:r>
        <w:rPr>
          <w:highlight w:val="none"/>
        </w:rPr>
        <w:tab/>
      </w:r>
      <w:r>
        <w:rPr>
          <w:highlight w:val="none"/>
        </w:rPr>
        <w:fldChar w:fldCharType="begin"/>
      </w:r>
      <w:r>
        <w:rPr>
          <w:highlight w:val="none"/>
        </w:rPr>
        <w:instrText xml:space="preserve"> PAGEREF _Toc17437 \h </w:instrText>
      </w:r>
      <w:r>
        <w:rPr>
          <w:highlight w:val="none"/>
        </w:rPr>
        <w:fldChar w:fldCharType="separate"/>
      </w:r>
      <w:r>
        <w:rPr>
          <w:highlight w:val="none"/>
        </w:rPr>
        <w:t>58</w:t>
      </w:r>
      <w:r>
        <w:rPr>
          <w:highlight w:val="none"/>
        </w:rPr>
        <w:fldChar w:fldCharType="end"/>
      </w:r>
      <w:r>
        <w:rPr>
          <w:rFonts w:hAnsi="宋体" w:eastAsia="黑体"/>
          <w:szCs w:val="24"/>
          <w:highlight w:val="none"/>
        </w:rPr>
        <w:fldChar w:fldCharType="end"/>
      </w:r>
    </w:p>
    <w:p w14:paraId="2483C24D">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_Toc10043 </w:instrText>
      </w:r>
      <w:r>
        <w:rPr>
          <w:rFonts w:hAnsi="宋体" w:eastAsia="黑体"/>
          <w:szCs w:val="24"/>
          <w:highlight w:val="none"/>
        </w:rPr>
        <w:fldChar w:fldCharType="separate"/>
      </w:r>
      <w:r>
        <w:rPr>
          <w:rFonts w:hint="eastAsia" w:ascii="黑体" w:hAnsi="黑体" w:eastAsia="黑体"/>
          <w:szCs w:val="28"/>
          <w:highlight w:val="none"/>
        </w:rPr>
        <w:t>七、合同条款偏离表</w:t>
      </w:r>
      <w:r>
        <w:rPr>
          <w:highlight w:val="none"/>
        </w:rPr>
        <w:tab/>
      </w:r>
      <w:r>
        <w:rPr>
          <w:highlight w:val="none"/>
        </w:rPr>
        <w:fldChar w:fldCharType="begin"/>
      </w:r>
      <w:r>
        <w:rPr>
          <w:highlight w:val="none"/>
        </w:rPr>
        <w:instrText xml:space="preserve"> PAGEREF _Toc10043 \h </w:instrText>
      </w:r>
      <w:r>
        <w:rPr>
          <w:highlight w:val="none"/>
        </w:rPr>
        <w:fldChar w:fldCharType="separate"/>
      </w:r>
      <w:r>
        <w:rPr>
          <w:highlight w:val="none"/>
        </w:rPr>
        <w:t>59</w:t>
      </w:r>
      <w:r>
        <w:rPr>
          <w:highlight w:val="none"/>
        </w:rPr>
        <w:fldChar w:fldCharType="end"/>
      </w:r>
      <w:r>
        <w:rPr>
          <w:rFonts w:hAnsi="宋体" w:eastAsia="黑体"/>
          <w:szCs w:val="24"/>
          <w:highlight w:val="none"/>
        </w:rPr>
        <w:fldChar w:fldCharType="end"/>
      </w:r>
    </w:p>
    <w:p w14:paraId="106E8FDD">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_Toc23758 </w:instrText>
      </w:r>
      <w:r>
        <w:rPr>
          <w:rFonts w:hAnsi="宋体" w:eastAsia="黑体"/>
          <w:szCs w:val="24"/>
          <w:highlight w:val="none"/>
        </w:rPr>
        <w:fldChar w:fldCharType="separate"/>
      </w:r>
      <w:r>
        <w:rPr>
          <w:rFonts w:hint="eastAsia" w:ascii="黑体" w:eastAsia="黑体"/>
          <w:szCs w:val="28"/>
          <w:highlight w:val="none"/>
        </w:rPr>
        <w:t>八、采购需求偏离表</w:t>
      </w:r>
      <w:r>
        <w:rPr>
          <w:highlight w:val="none"/>
        </w:rPr>
        <w:tab/>
      </w:r>
      <w:r>
        <w:rPr>
          <w:highlight w:val="none"/>
        </w:rPr>
        <w:fldChar w:fldCharType="begin"/>
      </w:r>
      <w:r>
        <w:rPr>
          <w:highlight w:val="none"/>
        </w:rPr>
        <w:instrText xml:space="preserve"> PAGEREF _Toc23758 \h </w:instrText>
      </w:r>
      <w:r>
        <w:rPr>
          <w:highlight w:val="none"/>
        </w:rPr>
        <w:fldChar w:fldCharType="separate"/>
      </w:r>
      <w:r>
        <w:rPr>
          <w:highlight w:val="none"/>
        </w:rPr>
        <w:t>60</w:t>
      </w:r>
      <w:r>
        <w:rPr>
          <w:highlight w:val="none"/>
        </w:rPr>
        <w:fldChar w:fldCharType="end"/>
      </w:r>
      <w:r>
        <w:rPr>
          <w:rFonts w:hAnsi="宋体" w:eastAsia="黑体"/>
          <w:szCs w:val="24"/>
          <w:highlight w:val="none"/>
        </w:rPr>
        <w:fldChar w:fldCharType="end"/>
      </w:r>
    </w:p>
    <w:p w14:paraId="030C4B0E">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_Toc4285 </w:instrText>
      </w:r>
      <w:r>
        <w:rPr>
          <w:rFonts w:hAnsi="宋体" w:eastAsia="黑体"/>
          <w:szCs w:val="24"/>
          <w:highlight w:val="none"/>
        </w:rPr>
        <w:fldChar w:fldCharType="separate"/>
      </w:r>
      <w:r>
        <w:rPr>
          <w:rFonts w:hint="eastAsia" w:ascii="黑体" w:hAnsi="黑体" w:eastAsia="黑体"/>
          <w:szCs w:val="28"/>
          <w:highlight w:val="none"/>
        </w:rPr>
        <w:t>九、享受政府采购政策的证明资料</w:t>
      </w:r>
      <w:r>
        <w:rPr>
          <w:highlight w:val="none"/>
        </w:rPr>
        <w:tab/>
      </w:r>
      <w:r>
        <w:rPr>
          <w:highlight w:val="none"/>
        </w:rPr>
        <w:fldChar w:fldCharType="begin"/>
      </w:r>
      <w:r>
        <w:rPr>
          <w:highlight w:val="none"/>
        </w:rPr>
        <w:instrText xml:space="preserve"> PAGEREF _Toc4285 \h </w:instrText>
      </w:r>
      <w:r>
        <w:rPr>
          <w:highlight w:val="none"/>
        </w:rPr>
        <w:fldChar w:fldCharType="separate"/>
      </w:r>
      <w:r>
        <w:rPr>
          <w:highlight w:val="none"/>
        </w:rPr>
        <w:t>61</w:t>
      </w:r>
      <w:r>
        <w:rPr>
          <w:highlight w:val="none"/>
        </w:rPr>
        <w:fldChar w:fldCharType="end"/>
      </w:r>
      <w:r>
        <w:rPr>
          <w:rFonts w:hAnsi="宋体" w:eastAsia="黑体"/>
          <w:szCs w:val="24"/>
          <w:highlight w:val="none"/>
        </w:rPr>
        <w:fldChar w:fldCharType="end"/>
      </w:r>
    </w:p>
    <w:p w14:paraId="2CFA5E06">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_Toc25259 </w:instrText>
      </w:r>
      <w:r>
        <w:rPr>
          <w:rFonts w:hAnsi="宋体" w:eastAsia="黑体"/>
          <w:szCs w:val="24"/>
          <w:highlight w:val="none"/>
        </w:rPr>
        <w:fldChar w:fldCharType="separate"/>
      </w:r>
      <w:r>
        <w:rPr>
          <w:rFonts w:hint="eastAsia" w:ascii="宋体" w:hAnsi="宋体"/>
          <w:szCs w:val="21"/>
          <w:highlight w:val="none"/>
        </w:rPr>
        <w:t>附件9-1中小企业声明函(服务)</w:t>
      </w:r>
      <w:r>
        <w:rPr>
          <w:highlight w:val="none"/>
        </w:rPr>
        <w:tab/>
      </w:r>
      <w:r>
        <w:rPr>
          <w:highlight w:val="none"/>
        </w:rPr>
        <w:fldChar w:fldCharType="begin"/>
      </w:r>
      <w:r>
        <w:rPr>
          <w:highlight w:val="none"/>
        </w:rPr>
        <w:instrText xml:space="preserve"> PAGEREF _Toc25259 \h </w:instrText>
      </w:r>
      <w:r>
        <w:rPr>
          <w:highlight w:val="none"/>
        </w:rPr>
        <w:fldChar w:fldCharType="separate"/>
      </w:r>
      <w:r>
        <w:rPr>
          <w:highlight w:val="none"/>
        </w:rPr>
        <w:t>61</w:t>
      </w:r>
      <w:r>
        <w:rPr>
          <w:highlight w:val="none"/>
        </w:rPr>
        <w:fldChar w:fldCharType="end"/>
      </w:r>
      <w:r>
        <w:rPr>
          <w:rFonts w:hAnsi="宋体" w:eastAsia="黑体"/>
          <w:szCs w:val="24"/>
          <w:highlight w:val="none"/>
        </w:rPr>
        <w:fldChar w:fldCharType="end"/>
      </w:r>
    </w:p>
    <w:p w14:paraId="67C18239">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_Toc8353 </w:instrText>
      </w:r>
      <w:r>
        <w:rPr>
          <w:rFonts w:hAnsi="宋体" w:eastAsia="黑体"/>
          <w:szCs w:val="24"/>
          <w:highlight w:val="none"/>
        </w:rPr>
        <w:fldChar w:fldCharType="separate"/>
      </w:r>
      <w:r>
        <w:rPr>
          <w:rFonts w:hint="eastAsia" w:ascii="宋体" w:hAnsi="宋体" w:cs="宋体"/>
          <w:spacing w:val="6"/>
          <w:kern w:val="0"/>
          <w:highlight w:val="none"/>
        </w:rPr>
        <w:t>附件9-2</w:t>
      </w:r>
      <w:r>
        <w:rPr>
          <w:rFonts w:hint="eastAsia" w:ascii="宋体" w:hAnsi="宋体"/>
          <w:spacing w:val="6"/>
          <w:highlight w:val="none"/>
        </w:rPr>
        <w:t>残疾人福利性单位声明函</w:t>
      </w:r>
      <w:r>
        <w:rPr>
          <w:highlight w:val="none"/>
        </w:rPr>
        <w:tab/>
      </w:r>
      <w:r>
        <w:rPr>
          <w:highlight w:val="none"/>
        </w:rPr>
        <w:fldChar w:fldCharType="begin"/>
      </w:r>
      <w:r>
        <w:rPr>
          <w:highlight w:val="none"/>
        </w:rPr>
        <w:instrText xml:space="preserve"> PAGEREF _Toc8353 \h </w:instrText>
      </w:r>
      <w:r>
        <w:rPr>
          <w:highlight w:val="none"/>
        </w:rPr>
        <w:fldChar w:fldCharType="separate"/>
      </w:r>
      <w:r>
        <w:rPr>
          <w:highlight w:val="none"/>
        </w:rPr>
        <w:t>63</w:t>
      </w:r>
      <w:r>
        <w:rPr>
          <w:highlight w:val="none"/>
        </w:rPr>
        <w:fldChar w:fldCharType="end"/>
      </w:r>
      <w:r>
        <w:rPr>
          <w:rFonts w:hAnsi="宋体" w:eastAsia="黑体"/>
          <w:szCs w:val="24"/>
          <w:highlight w:val="none"/>
        </w:rPr>
        <w:fldChar w:fldCharType="end"/>
      </w:r>
    </w:p>
    <w:p w14:paraId="45D771AE">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_Toc5292 </w:instrText>
      </w:r>
      <w:r>
        <w:rPr>
          <w:rFonts w:hAnsi="宋体" w:eastAsia="黑体"/>
          <w:szCs w:val="24"/>
          <w:highlight w:val="none"/>
        </w:rPr>
        <w:fldChar w:fldCharType="separate"/>
      </w:r>
      <w:r>
        <w:rPr>
          <w:rFonts w:hint="eastAsia" w:ascii="宋体" w:hAnsi="宋体" w:cs="宋体"/>
          <w:kern w:val="0"/>
          <w:szCs w:val="21"/>
          <w:highlight w:val="none"/>
        </w:rPr>
        <w:t>附件9-3</w:t>
      </w:r>
      <w:r>
        <w:rPr>
          <w:rFonts w:hint="eastAsia" w:ascii="宋体" w:hAnsi="宋体"/>
          <w:szCs w:val="21"/>
          <w:highlight w:val="none"/>
        </w:rPr>
        <w:t>监狱企业证明资料</w:t>
      </w:r>
      <w:r>
        <w:rPr>
          <w:highlight w:val="none"/>
        </w:rPr>
        <w:tab/>
      </w:r>
      <w:r>
        <w:rPr>
          <w:highlight w:val="none"/>
        </w:rPr>
        <w:fldChar w:fldCharType="begin"/>
      </w:r>
      <w:r>
        <w:rPr>
          <w:highlight w:val="none"/>
        </w:rPr>
        <w:instrText xml:space="preserve"> PAGEREF _Toc5292 \h </w:instrText>
      </w:r>
      <w:r>
        <w:rPr>
          <w:highlight w:val="none"/>
        </w:rPr>
        <w:fldChar w:fldCharType="separate"/>
      </w:r>
      <w:r>
        <w:rPr>
          <w:highlight w:val="none"/>
        </w:rPr>
        <w:t>64</w:t>
      </w:r>
      <w:r>
        <w:rPr>
          <w:highlight w:val="none"/>
        </w:rPr>
        <w:fldChar w:fldCharType="end"/>
      </w:r>
      <w:r>
        <w:rPr>
          <w:rFonts w:hAnsi="宋体" w:eastAsia="黑体"/>
          <w:szCs w:val="24"/>
          <w:highlight w:val="none"/>
        </w:rPr>
        <w:fldChar w:fldCharType="end"/>
      </w:r>
    </w:p>
    <w:p w14:paraId="0A5A21E7">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_Toc4913 </w:instrText>
      </w:r>
      <w:r>
        <w:rPr>
          <w:rFonts w:hAnsi="宋体" w:eastAsia="黑体"/>
          <w:szCs w:val="24"/>
          <w:highlight w:val="none"/>
        </w:rPr>
        <w:fldChar w:fldCharType="separate"/>
      </w:r>
      <w:r>
        <w:rPr>
          <w:rFonts w:hint="eastAsia" w:ascii="宋体" w:hAnsi="宋体" w:cs="宋体"/>
          <w:spacing w:val="6"/>
          <w:kern w:val="0"/>
          <w:szCs w:val="21"/>
          <w:highlight w:val="none"/>
        </w:rPr>
        <w:t xml:space="preserve">附件9-4 </w:t>
      </w:r>
      <w:r>
        <w:rPr>
          <w:rFonts w:hint="eastAsia" w:ascii="宋体" w:hAnsi="宋体"/>
          <w:szCs w:val="21"/>
          <w:highlight w:val="none"/>
        </w:rPr>
        <w:t>强制采购或者优先采购产品的证明材料</w:t>
      </w:r>
      <w:r>
        <w:rPr>
          <w:highlight w:val="none"/>
        </w:rPr>
        <w:tab/>
      </w:r>
      <w:r>
        <w:rPr>
          <w:highlight w:val="none"/>
        </w:rPr>
        <w:fldChar w:fldCharType="begin"/>
      </w:r>
      <w:r>
        <w:rPr>
          <w:highlight w:val="none"/>
        </w:rPr>
        <w:instrText xml:space="preserve"> PAGEREF _Toc4913 \h </w:instrText>
      </w:r>
      <w:r>
        <w:rPr>
          <w:highlight w:val="none"/>
        </w:rPr>
        <w:fldChar w:fldCharType="separate"/>
      </w:r>
      <w:r>
        <w:rPr>
          <w:highlight w:val="none"/>
        </w:rPr>
        <w:t>65</w:t>
      </w:r>
      <w:r>
        <w:rPr>
          <w:highlight w:val="none"/>
        </w:rPr>
        <w:fldChar w:fldCharType="end"/>
      </w:r>
      <w:r>
        <w:rPr>
          <w:rFonts w:hAnsi="宋体" w:eastAsia="黑体"/>
          <w:szCs w:val="24"/>
          <w:highlight w:val="none"/>
        </w:rPr>
        <w:fldChar w:fldCharType="end"/>
      </w:r>
    </w:p>
    <w:p w14:paraId="36D7881D">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_Toc6756 </w:instrText>
      </w:r>
      <w:r>
        <w:rPr>
          <w:rFonts w:hAnsi="宋体" w:eastAsia="黑体"/>
          <w:szCs w:val="24"/>
          <w:highlight w:val="none"/>
        </w:rPr>
        <w:fldChar w:fldCharType="separate"/>
      </w:r>
      <w:r>
        <w:rPr>
          <w:rFonts w:hint="eastAsia" w:ascii="黑体" w:hAnsi="黑体" w:eastAsia="黑体" w:cs="宋体"/>
          <w:spacing w:val="6"/>
          <w:kern w:val="0"/>
          <w:szCs w:val="21"/>
          <w:highlight w:val="none"/>
        </w:rPr>
        <w:t xml:space="preserve">附件9-5 </w:t>
      </w:r>
      <w:r>
        <w:rPr>
          <w:rFonts w:hint="eastAsia" w:ascii="黑体" w:hAnsi="黑体" w:eastAsia="黑体"/>
          <w:szCs w:val="21"/>
          <w:highlight w:val="none"/>
        </w:rPr>
        <w:t>联合体协议书（格式）</w:t>
      </w:r>
      <w:r>
        <w:rPr>
          <w:highlight w:val="none"/>
        </w:rPr>
        <w:tab/>
      </w:r>
      <w:r>
        <w:rPr>
          <w:highlight w:val="none"/>
        </w:rPr>
        <w:fldChar w:fldCharType="begin"/>
      </w:r>
      <w:r>
        <w:rPr>
          <w:highlight w:val="none"/>
        </w:rPr>
        <w:instrText xml:space="preserve"> PAGEREF _Toc6756 \h </w:instrText>
      </w:r>
      <w:r>
        <w:rPr>
          <w:highlight w:val="none"/>
        </w:rPr>
        <w:fldChar w:fldCharType="separate"/>
      </w:r>
      <w:r>
        <w:rPr>
          <w:highlight w:val="none"/>
        </w:rPr>
        <w:t>67</w:t>
      </w:r>
      <w:r>
        <w:rPr>
          <w:highlight w:val="none"/>
        </w:rPr>
        <w:fldChar w:fldCharType="end"/>
      </w:r>
      <w:r>
        <w:rPr>
          <w:rFonts w:hAnsi="宋体" w:eastAsia="黑体"/>
          <w:szCs w:val="24"/>
          <w:highlight w:val="none"/>
        </w:rPr>
        <w:fldChar w:fldCharType="end"/>
      </w:r>
    </w:p>
    <w:p w14:paraId="14EC6DD3">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_Toc1144 </w:instrText>
      </w:r>
      <w:r>
        <w:rPr>
          <w:rFonts w:hAnsi="宋体" w:eastAsia="黑体"/>
          <w:szCs w:val="24"/>
          <w:highlight w:val="none"/>
        </w:rPr>
        <w:fldChar w:fldCharType="separate"/>
      </w:r>
      <w:r>
        <w:rPr>
          <w:rFonts w:hint="eastAsia" w:ascii="黑体" w:hAnsi="黑体" w:eastAsia="黑体" w:cs="宋体"/>
          <w:spacing w:val="6"/>
          <w:kern w:val="0"/>
          <w:szCs w:val="21"/>
          <w:highlight w:val="none"/>
        </w:rPr>
        <w:t>附件9-6</w:t>
      </w:r>
      <w:r>
        <w:rPr>
          <w:rFonts w:hint="eastAsia" w:ascii="黑体" w:hAnsi="黑体" w:eastAsia="黑体"/>
          <w:szCs w:val="21"/>
          <w:highlight w:val="none"/>
        </w:rPr>
        <w:t>分包意向协议书</w:t>
      </w:r>
      <w:r>
        <w:rPr>
          <w:highlight w:val="none"/>
        </w:rPr>
        <w:tab/>
      </w:r>
      <w:r>
        <w:rPr>
          <w:highlight w:val="none"/>
        </w:rPr>
        <w:fldChar w:fldCharType="begin"/>
      </w:r>
      <w:r>
        <w:rPr>
          <w:highlight w:val="none"/>
        </w:rPr>
        <w:instrText xml:space="preserve"> PAGEREF _Toc1144 \h </w:instrText>
      </w:r>
      <w:r>
        <w:rPr>
          <w:highlight w:val="none"/>
        </w:rPr>
        <w:fldChar w:fldCharType="separate"/>
      </w:r>
      <w:r>
        <w:rPr>
          <w:highlight w:val="none"/>
        </w:rPr>
        <w:t>68</w:t>
      </w:r>
      <w:r>
        <w:rPr>
          <w:highlight w:val="none"/>
        </w:rPr>
        <w:fldChar w:fldCharType="end"/>
      </w:r>
      <w:r>
        <w:rPr>
          <w:rFonts w:hAnsi="宋体" w:eastAsia="黑体"/>
          <w:szCs w:val="24"/>
          <w:highlight w:val="none"/>
        </w:rPr>
        <w:fldChar w:fldCharType="end"/>
      </w:r>
    </w:p>
    <w:p w14:paraId="4F1EE5B2">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_Toc28517 </w:instrText>
      </w:r>
      <w:r>
        <w:rPr>
          <w:rFonts w:hAnsi="宋体" w:eastAsia="黑体"/>
          <w:szCs w:val="24"/>
          <w:highlight w:val="none"/>
        </w:rPr>
        <w:fldChar w:fldCharType="separate"/>
      </w:r>
      <w:r>
        <w:rPr>
          <w:rFonts w:hint="eastAsia" w:ascii="黑体" w:hAnsi="黑体" w:eastAsia="黑体"/>
          <w:szCs w:val="28"/>
          <w:highlight w:val="none"/>
        </w:rPr>
        <w:t>十、供应商提供的资格证明材料</w:t>
      </w:r>
      <w:r>
        <w:rPr>
          <w:highlight w:val="none"/>
        </w:rPr>
        <w:tab/>
      </w:r>
      <w:r>
        <w:rPr>
          <w:highlight w:val="none"/>
        </w:rPr>
        <w:fldChar w:fldCharType="begin"/>
      </w:r>
      <w:r>
        <w:rPr>
          <w:highlight w:val="none"/>
        </w:rPr>
        <w:instrText xml:space="preserve"> PAGEREF _Toc28517 \h </w:instrText>
      </w:r>
      <w:r>
        <w:rPr>
          <w:highlight w:val="none"/>
        </w:rPr>
        <w:fldChar w:fldCharType="separate"/>
      </w:r>
      <w:r>
        <w:rPr>
          <w:highlight w:val="none"/>
        </w:rPr>
        <w:t>69</w:t>
      </w:r>
      <w:r>
        <w:rPr>
          <w:highlight w:val="none"/>
        </w:rPr>
        <w:fldChar w:fldCharType="end"/>
      </w:r>
      <w:r>
        <w:rPr>
          <w:rFonts w:hAnsi="宋体" w:eastAsia="黑体"/>
          <w:szCs w:val="24"/>
          <w:highlight w:val="none"/>
        </w:rPr>
        <w:fldChar w:fldCharType="end"/>
      </w:r>
    </w:p>
    <w:p w14:paraId="55C36C06">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_Toc31373 </w:instrText>
      </w:r>
      <w:r>
        <w:rPr>
          <w:rFonts w:hAnsi="宋体" w:eastAsia="黑体"/>
          <w:szCs w:val="24"/>
          <w:highlight w:val="none"/>
        </w:rPr>
        <w:fldChar w:fldCharType="separate"/>
      </w:r>
      <w:r>
        <w:rPr>
          <w:rFonts w:hint="eastAsia" w:ascii="黑体" w:hAnsi="黑体" w:eastAsia="黑体"/>
          <w:szCs w:val="21"/>
          <w:highlight w:val="none"/>
        </w:rPr>
        <w:t>附件10-1 法人或者其他组织的营业执照等主体资格证明文件，自然人的身份证明</w:t>
      </w:r>
      <w:r>
        <w:rPr>
          <w:highlight w:val="none"/>
        </w:rPr>
        <w:tab/>
      </w:r>
      <w:r>
        <w:rPr>
          <w:highlight w:val="none"/>
        </w:rPr>
        <w:fldChar w:fldCharType="begin"/>
      </w:r>
      <w:r>
        <w:rPr>
          <w:highlight w:val="none"/>
        </w:rPr>
        <w:instrText xml:space="preserve"> PAGEREF _Toc31373 \h </w:instrText>
      </w:r>
      <w:r>
        <w:rPr>
          <w:highlight w:val="none"/>
        </w:rPr>
        <w:fldChar w:fldCharType="separate"/>
      </w:r>
      <w:r>
        <w:rPr>
          <w:highlight w:val="none"/>
        </w:rPr>
        <w:t>69</w:t>
      </w:r>
      <w:r>
        <w:rPr>
          <w:highlight w:val="none"/>
        </w:rPr>
        <w:fldChar w:fldCharType="end"/>
      </w:r>
      <w:r>
        <w:rPr>
          <w:rFonts w:hAnsi="宋体" w:eastAsia="黑体"/>
          <w:szCs w:val="24"/>
          <w:highlight w:val="none"/>
        </w:rPr>
        <w:fldChar w:fldCharType="end"/>
      </w:r>
    </w:p>
    <w:p w14:paraId="707ECFD6">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_Toc24314 </w:instrText>
      </w:r>
      <w:r>
        <w:rPr>
          <w:rFonts w:hAnsi="宋体" w:eastAsia="黑体"/>
          <w:szCs w:val="24"/>
          <w:highlight w:val="none"/>
        </w:rPr>
        <w:fldChar w:fldCharType="separate"/>
      </w:r>
      <w:r>
        <w:rPr>
          <w:rFonts w:hint="eastAsia" w:ascii="黑体" w:hAnsi="黑体" w:eastAsia="黑体"/>
          <w:szCs w:val="21"/>
          <w:highlight w:val="none"/>
        </w:rPr>
        <w:t>附件10-2湖南省政府采购供应商资格承诺函(格式)</w:t>
      </w:r>
      <w:r>
        <w:rPr>
          <w:highlight w:val="none"/>
        </w:rPr>
        <w:tab/>
      </w:r>
      <w:r>
        <w:rPr>
          <w:highlight w:val="none"/>
        </w:rPr>
        <w:fldChar w:fldCharType="begin"/>
      </w:r>
      <w:r>
        <w:rPr>
          <w:highlight w:val="none"/>
        </w:rPr>
        <w:instrText xml:space="preserve"> PAGEREF _Toc24314 \h </w:instrText>
      </w:r>
      <w:r>
        <w:rPr>
          <w:highlight w:val="none"/>
        </w:rPr>
        <w:fldChar w:fldCharType="separate"/>
      </w:r>
      <w:r>
        <w:rPr>
          <w:highlight w:val="none"/>
        </w:rPr>
        <w:t>70</w:t>
      </w:r>
      <w:r>
        <w:rPr>
          <w:highlight w:val="none"/>
        </w:rPr>
        <w:fldChar w:fldCharType="end"/>
      </w:r>
      <w:r>
        <w:rPr>
          <w:rFonts w:hAnsi="宋体" w:eastAsia="黑体"/>
          <w:szCs w:val="24"/>
          <w:highlight w:val="none"/>
        </w:rPr>
        <w:fldChar w:fldCharType="end"/>
      </w:r>
    </w:p>
    <w:p w14:paraId="7FAB612C">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_Toc8952 </w:instrText>
      </w:r>
      <w:r>
        <w:rPr>
          <w:rFonts w:hAnsi="宋体" w:eastAsia="黑体"/>
          <w:szCs w:val="24"/>
          <w:highlight w:val="none"/>
        </w:rPr>
        <w:fldChar w:fldCharType="separate"/>
      </w:r>
      <w:r>
        <w:rPr>
          <w:rFonts w:hint="eastAsia" w:ascii="黑体" w:hAnsi="黑体" w:eastAsia="黑体"/>
          <w:szCs w:val="21"/>
          <w:highlight w:val="none"/>
        </w:rPr>
        <w:t>附件10-3 符合特定资格条件证明材料复印件或者情况说明</w:t>
      </w:r>
      <w:r>
        <w:rPr>
          <w:highlight w:val="none"/>
        </w:rPr>
        <w:tab/>
      </w:r>
      <w:r>
        <w:rPr>
          <w:highlight w:val="none"/>
        </w:rPr>
        <w:fldChar w:fldCharType="begin"/>
      </w:r>
      <w:r>
        <w:rPr>
          <w:highlight w:val="none"/>
        </w:rPr>
        <w:instrText xml:space="preserve"> PAGEREF _Toc8952 \h </w:instrText>
      </w:r>
      <w:r>
        <w:rPr>
          <w:highlight w:val="none"/>
        </w:rPr>
        <w:fldChar w:fldCharType="separate"/>
      </w:r>
      <w:r>
        <w:rPr>
          <w:highlight w:val="none"/>
        </w:rPr>
        <w:t>71</w:t>
      </w:r>
      <w:r>
        <w:rPr>
          <w:highlight w:val="none"/>
        </w:rPr>
        <w:fldChar w:fldCharType="end"/>
      </w:r>
      <w:r>
        <w:rPr>
          <w:rFonts w:hAnsi="宋体" w:eastAsia="黑体"/>
          <w:szCs w:val="24"/>
          <w:highlight w:val="none"/>
        </w:rPr>
        <w:fldChar w:fldCharType="end"/>
      </w:r>
    </w:p>
    <w:p w14:paraId="4EE0199B">
      <w:pPr>
        <w:pStyle w:val="29"/>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_Toc14945 </w:instrText>
      </w:r>
      <w:r>
        <w:rPr>
          <w:rFonts w:hAnsi="宋体" w:eastAsia="黑体"/>
          <w:szCs w:val="24"/>
          <w:highlight w:val="none"/>
        </w:rPr>
        <w:fldChar w:fldCharType="separate"/>
      </w:r>
      <w:r>
        <w:rPr>
          <w:rFonts w:hint="eastAsia" w:ascii="黑体" w:hAnsi="黑体" w:eastAsia="黑体"/>
          <w:szCs w:val="21"/>
          <w:highlight w:val="none"/>
        </w:rPr>
        <w:t>附件10-4 符合预留采购份额的证明文件</w:t>
      </w:r>
      <w:r>
        <w:rPr>
          <w:highlight w:val="none"/>
        </w:rPr>
        <w:tab/>
      </w:r>
      <w:r>
        <w:rPr>
          <w:highlight w:val="none"/>
        </w:rPr>
        <w:fldChar w:fldCharType="begin"/>
      </w:r>
      <w:r>
        <w:rPr>
          <w:highlight w:val="none"/>
        </w:rPr>
        <w:instrText xml:space="preserve"> PAGEREF _Toc14945 \h </w:instrText>
      </w:r>
      <w:r>
        <w:rPr>
          <w:highlight w:val="none"/>
        </w:rPr>
        <w:fldChar w:fldCharType="separate"/>
      </w:r>
      <w:r>
        <w:rPr>
          <w:highlight w:val="none"/>
        </w:rPr>
        <w:t>71</w:t>
      </w:r>
      <w:r>
        <w:rPr>
          <w:highlight w:val="none"/>
        </w:rPr>
        <w:fldChar w:fldCharType="end"/>
      </w:r>
      <w:r>
        <w:rPr>
          <w:rFonts w:hAnsi="宋体" w:eastAsia="黑体"/>
          <w:szCs w:val="24"/>
          <w:highlight w:val="none"/>
        </w:rPr>
        <w:fldChar w:fldCharType="end"/>
      </w:r>
    </w:p>
    <w:p w14:paraId="48D35562">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_Toc25707 </w:instrText>
      </w:r>
      <w:r>
        <w:rPr>
          <w:rFonts w:hAnsi="宋体" w:eastAsia="黑体"/>
          <w:szCs w:val="24"/>
          <w:highlight w:val="none"/>
        </w:rPr>
        <w:fldChar w:fldCharType="separate"/>
      </w:r>
      <w:r>
        <w:rPr>
          <w:rFonts w:hint="eastAsia" w:ascii="黑体" w:hAnsi="黑体"/>
          <w:szCs w:val="21"/>
          <w:highlight w:val="none"/>
        </w:rPr>
        <w:t>附页1《中小企业声明函》</w:t>
      </w:r>
      <w:r>
        <w:rPr>
          <w:highlight w:val="none"/>
        </w:rPr>
        <w:tab/>
      </w:r>
      <w:r>
        <w:rPr>
          <w:highlight w:val="none"/>
        </w:rPr>
        <w:fldChar w:fldCharType="begin"/>
      </w:r>
      <w:r>
        <w:rPr>
          <w:highlight w:val="none"/>
        </w:rPr>
        <w:instrText xml:space="preserve"> PAGEREF _Toc25707 \h </w:instrText>
      </w:r>
      <w:r>
        <w:rPr>
          <w:highlight w:val="none"/>
        </w:rPr>
        <w:fldChar w:fldCharType="separate"/>
      </w:r>
      <w:r>
        <w:rPr>
          <w:highlight w:val="none"/>
        </w:rPr>
        <w:t>71</w:t>
      </w:r>
      <w:r>
        <w:rPr>
          <w:highlight w:val="none"/>
        </w:rPr>
        <w:fldChar w:fldCharType="end"/>
      </w:r>
      <w:r>
        <w:rPr>
          <w:rFonts w:hAnsi="宋体" w:eastAsia="黑体"/>
          <w:szCs w:val="24"/>
          <w:highlight w:val="none"/>
        </w:rPr>
        <w:fldChar w:fldCharType="end"/>
      </w:r>
    </w:p>
    <w:p w14:paraId="6AC0DEC2">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_Toc1582 </w:instrText>
      </w:r>
      <w:r>
        <w:rPr>
          <w:rFonts w:hAnsi="宋体" w:eastAsia="黑体"/>
          <w:szCs w:val="24"/>
          <w:highlight w:val="none"/>
        </w:rPr>
        <w:fldChar w:fldCharType="separate"/>
      </w:r>
      <w:r>
        <w:rPr>
          <w:rFonts w:hint="eastAsia" w:ascii="黑体" w:hAnsi="黑体"/>
          <w:szCs w:val="21"/>
          <w:highlight w:val="none"/>
        </w:rPr>
        <w:t>附页2 联合体协议书（格式）</w:t>
      </w:r>
      <w:r>
        <w:rPr>
          <w:highlight w:val="none"/>
        </w:rPr>
        <w:tab/>
      </w:r>
      <w:r>
        <w:rPr>
          <w:highlight w:val="none"/>
        </w:rPr>
        <w:fldChar w:fldCharType="begin"/>
      </w:r>
      <w:r>
        <w:rPr>
          <w:highlight w:val="none"/>
        </w:rPr>
        <w:instrText xml:space="preserve"> PAGEREF _Toc1582 \h </w:instrText>
      </w:r>
      <w:r>
        <w:rPr>
          <w:highlight w:val="none"/>
        </w:rPr>
        <w:fldChar w:fldCharType="separate"/>
      </w:r>
      <w:r>
        <w:rPr>
          <w:highlight w:val="none"/>
        </w:rPr>
        <w:t>71</w:t>
      </w:r>
      <w:r>
        <w:rPr>
          <w:highlight w:val="none"/>
        </w:rPr>
        <w:fldChar w:fldCharType="end"/>
      </w:r>
      <w:r>
        <w:rPr>
          <w:rFonts w:hAnsi="宋体" w:eastAsia="黑体"/>
          <w:szCs w:val="24"/>
          <w:highlight w:val="none"/>
        </w:rPr>
        <w:fldChar w:fldCharType="end"/>
      </w:r>
    </w:p>
    <w:p w14:paraId="08DF408F">
      <w:pPr>
        <w:pStyle w:val="38"/>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_Toc12078 </w:instrText>
      </w:r>
      <w:r>
        <w:rPr>
          <w:rFonts w:hAnsi="宋体" w:eastAsia="黑体"/>
          <w:szCs w:val="24"/>
          <w:highlight w:val="none"/>
        </w:rPr>
        <w:fldChar w:fldCharType="separate"/>
      </w:r>
      <w:r>
        <w:rPr>
          <w:rFonts w:hint="eastAsia" w:ascii="黑体" w:hAnsi="黑体"/>
          <w:szCs w:val="21"/>
          <w:highlight w:val="none"/>
        </w:rPr>
        <w:t>附页3分包意向协议书</w:t>
      </w:r>
      <w:r>
        <w:rPr>
          <w:highlight w:val="none"/>
        </w:rPr>
        <w:tab/>
      </w:r>
      <w:r>
        <w:rPr>
          <w:highlight w:val="none"/>
        </w:rPr>
        <w:fldChar w:fldCharType="begin"/>
      </w:r>
      <w:r>
        <w:rPr>
          <w:highlight w:val="none"/>
        </w:rPr>
        <w:instrText xml:space="preserve"> PAGEREF _Toc12078 \h </w:instrText>
      </w:r>
      <w:r>
        <w:rPr>
          <w:highlight w:val="none"/>
        </w:rPr>
        <w:fldChar w:fldCharType="separate"/>
      </w:r>
      <w:r>
        <w:rPr>
          <w:highlight w:val="none"/>
        </w:rPr>
        <w:t>71</w:t>
      </w:r>
      <w:r>
        <w:rPr>
          <w:highlight w:val="none"/>
        </w:rPr>
        <w:fldChar w:fldCharType="end"/>
      </w:r>
      <w:r>
        <w:rPr>
          <w:rFonts w:hAnsi="宋体" w:eastAsia="黑体"/>
          <w:szCs w:val="24"/>
          <w:highlight w:val="none"/>
        </w:rPr>
        <w:fldChar w:fldCharType="end"/>
      </w:r>
    </w:p>
    <w:p w14:paraId="1E37C753">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_Toc32646 </w:instrText>
      </w:r>
      <w:r>
        <w:rPr>
          <w:rFonts w:hAnsi="宋体" w:eastAsia="黑体"/>
          <w:szCs w:val="24"/>
          <w:highlight w:val="none"/>
        </w:rPr>
        <w:fldChar w:fldCharType="separate"/>
      </w:r>
      <w:r>
        <w:rPr>
          <w:rFonts w:hint="eastAsia" w:ascii="黑体" w:hAnsi="黑体" w:eastAsia="黑体"/>
          <w:szCs w:val="28"/>
          <w:highlight w:val="none"/>
        </w:rPr>
        <w:t>十一、响应标的符合磋商文件规定的证明文件</w:t>
      </w:r>
      <w:r>
        <w:rPr>
          <w:highlight w:val="none"/>
        </w:rPr>
        <w:tab/>
      </w:r>
      <w:r>
        <w:rPr>
          <w:highlight w:val="none"/>
        </w:rPr>
        <w:fldChar w:fldCharType="begin"/>
      </w:r>
      <w:r>
        <w:rPr>
          <w:highlight w:val="none"/>
        </w:rPr>
        <w:instrText xml:space="preserve"> PAGEREF _Toc32646 \h </w:instrText>
      </w:r>
      <w:r>
        <w:rPr>
          <w:highlight w:val="none"/>
        </w:rPr>
        <w:fldChar w:fldCharType="separate"/>
      </w:r>
      <w:r>
        <w:rPr>
          <w:highlight w:val="none"/>
        </w:rPr>
        <w:t>72</w:t>
      </w:r>
      <w:r>
        <w:rPr>
          <w:highlight w:val="none"/>
        </w:rPr>
        <w:fldChar w:fldCharType="end"/>
      </w:r>
      <w:r>
        <w:rPr>
          <w:rFonts w:hAnsi="宋体" w:eastAsia="黑体"/>
          <w:szCs w:val="24"/>
          <w:highlight w:val="none"/>
        </w:rPr>
        <w:fldChar w:fldCharType="end"/>
      </w:r>
    </w:p>
    <w:p w14:paraId="336C037B">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_Toc2534 </w:instrText>
      </w:r>
      <w:r>
        <w:rPr>
          <w:rFonts w:hAnsi="宋体" w:eastAsia="黑体"/>
          <w:szCs w:val="24"/>
          <w:highlight w:val="none"/>
        </w:rPr>
        <w:fldChar w:fldCharType="separate"/>
      </w:r>
      <w:r>
        <w:rPr>
          <w:rFonts w:hint="eastAsia"/>
          <w:highlight w:val="none"/>
        </w:rPr>
        <w:t>十二、供应商认为需提供的其他资料</w:t>
      </w:r>
      <w:r>
        <w:rPr>
          <w:highlight w:val="none"/>
        </w:rPr>
        <w:tab/>
      </w:r>
      <w:r>
        <w:rPr>
          <w:highlight w:val="none"/>
        </w:rPr>
        <w:fldChar w:fldCharType="begin"/>
      </w:r>
      <w:r>
        <w:rPr>
          <w:highlight w:val="none"/>
        </w:rPr>
        <w:instrText xml:space="preserve"> PAGEREF _Toc2534 \h </w:instrText>
      </w:r>
      <w:r>
        <w:rPr>
          <w:highlight w:val="none"/>
        </w:rPr>
        <w:fldChar w:fldCharType="separate"/>
      </w:r>
      <w:r>
        <w:rPr>
          <w:highlight w:val="none"/>
        </w:rPr>
        <w:t>73</w:t>
      </w:r>
      <w:r>
        <w:rPr>
          <w:highlight w:val="none"/>
        </w:rPr>
        <w:fldChar w:fldCharType="end"/>
      </w:r>
      <w:r>
        <w:rPr>
          <w:rFonts w:hAnsi="宋体" w:eastAsia="黑体"/>
          <w:szCs w:val="24"/>
          <w:highlight w:val="none"/>
        </w:rPr>
        <w:fldChar w:fldCharType="end"/>
      </w:r>
    </w:p>
    <w:p w14:paraId="79F07B68">
      <w:pPr>
        <w:pStyle w:val="26"/>
        <w:tabs>
          <w:tab w:val="right" w:leader="dot" w:pos="9072"/>
        </w:tabs>
        <w:rPr>
          <w:highlight w:val="none"/>
        </w:rPr>
      </w:pPr>
      <w:r>
        <w:rPr>
          <w:rFonts w:hAnsi="宋体" w:eastAsia="黑体"/>
          <w:szCs w:val="24"/>
          <w:highlight w:val="none"/>
        </w:rPr>
        <w:fldChar w:fldCharType="begin"/>
      </w:r>
      <w:r>
        <w:rPr>
          <w:rFonts w:hAnsi="宋体" w:eastAsia="黑体"/>
          <w:szCs w:val="24"/>
          <w:highlight w:val="none"/>
        </w:rPr>
        <w:instrText xml:space="preserve"> HYPERLINK \l _Toc8259 </w:instrText>
      </w:r>
      <w:r>
        <w:rPr>
          <w:rFonts w:hAnsi="宋体" w:eastAsia="黑体"/>
          <w:szCs w:val="24"/>
          <w:highlight w:val="none"/>
        </w:rPr>
        <w:fldChar w:fldCharType="separate"/>
      </w:r>
      <w:r>
        <w:rPr>
          <w:rFonts w:hint="eastAsia" w:ascii="黑体" w:hAnsi="黑体" w:eastAsia="黑体" w:cs="Times New Roman"/>
          <w:bCs/>
          <w:szCs w:val="28"/>
          <w:highlight w:val="none"/>
        </w:rPr>
        <w:t>十三、最终报价</w:t>
      </w:r>
      <w:r>
        <w:rPr>
          <w:highlight w:val="none"/>
        </w:rPr>
        <w:tab/>
      </w:r>
      <w:r>
        <w:rPr>
          <w:highlight w:val="none"/>
        </w:rPr>
        <w:fldChar w:fldCharType="begin"/>
      </w:r>
      <w:r>
        <w:rPr>
          <w:highlight w:val="none"/>
        </w:rPr>
        <w:instrText xml:space="preserve"> PAGEREF _Toc8259 \h </w:instrText>
      </w:r>
      <w:r>
        <w:rPr>
          <w:highlight w:val="none"/>
        </w:rPr>
        <w:fldChar w:fldCharType="separate"/>
      </w:r>
      <w:r>
        <w:rPr>
          <w:highlight w:val="none"/>
        </w:rPr>
        <w:t>74</w:t>
      </w:r>
      <w:r>
        <w:rPr>
          <w:highlight w:val="none"/>
        </w:rPr>
        <w:fldChar w:fldCharType="end"/>
      </w:r>
      <w:r>
        <w:rPr>
          <w:rFonts w:hAnsi="宋体" w:eastAsia="黑体"/>
          <w:szCs w:val="24"/>
          <w:highlight w:val="none"/>
        </w:rPr>
        <w:fldChar w:fldCharType="end"/>
      </w:r>
    </w:p>
    <w:p w14:paraId="045482C8">
      <w:pPr>
        <w:pStyle w:val="7"/>
        <w:jc w:val="center"/>
        <w:rPr>
          <w:rFonts w:hint="eastAsia" w:ascii="黑体" w:hAnsi="黑体" w:eastAsia="黑体"/>
          <w:sz w:val="32"/>
          <w:szCs w:val="32"/>
          <w:highlight w:val="none"/>
        </w:rPr>
      </w:pPr>
      <w:r>
        <w:rPr>
          <w:rFonts w:hAnsi="宋体" w:eastAsia="黑体"/>
          <w:szCs w:val="24"/>
          <w:highlight w:val="none"/>
        </w:rPr>
        <w:fldChar w:fldCharType="end"/>
      </w:r>
      <w:bookmarkStart w:id="0" w:name="_Toc28132"/>
      <w:bookmarkStart w:id="1" w:name="_Toc485"/>
      <w:bookmarkStart w:id="2" w:name="_Toc24135"/>
      <w:bookmarkStart w:id="3" w:name="_Toc13936"/>
      <w:r>
        <w:rPr>
          <w:rFonts w:hAnsi="宋体"/>
          <w:szCs w:val="24"/>
          <w:highlight w:val="none"/>
        </w:rPr>
        <w:br w:type="page"/>
      </w:r>
      <w:r>
        <w:rPr>
          <w:rFonts w:hint="eastAsia" w:ascii="黑体" w:hAnsi="黑体" w:eastAsia="黑体"/>
          <w:sz w:val="32"/>
          <w:szCs w:val="32"/>
          <w:highlight w:val="none"/>
        </w:rPr>
        <w:t>第一章 磋商邀请</w:t>
      </w:r>
      <w:bookmarkEnd w:id="0"/>
      <w:bookmarkEnd w:id="1"/>
      <w:bookmarkEnd w:id="2"/>
      <w:bookmarkEnd w:id="3"/>
    </w:p>
    <w:p w14:paraId="6C42FF7D">
      <w:pPr>
        <w:spacing w:line="360" w:lineRule="auto"/>
        <w:rPr>
          <w:rFonts w:hint="eastAsia" w:ascii="宋体" w:hAnsi="宋体" w:cs="宋体"/>
          <w:kern w:val="0"/>
          <w:sz w:val="32"/>
          <w:szCs w:val="32"/>
          <w:highlight w:val="none"/>
        </w:rPr>
      </w:pPr>
      <w:bookmarkStart w:id="4" w:name="_Toc22201065"/>
    </w:p>
    <w:p w14:paraId="331AD784">
      <w:pPr>
        <w:keepNext/>
        <w:keepLines/>
        <w:adjustRightInd w:val="0"/>
        <w:snapToGrid w:val="0"/>
        <w:spacing w:line="360" w:lineRule="auto"/>
        <w:outlineLvl w:val="1"/>
        <w:rPr>
          <w:rFonts w:ascii="Arial" w:hAnsi="Arial"/>
          <w:b/>
          <w:bCs/>
          <w:sz w:val="24"/>
          <w:szCs w:val="32"/>
          <w:highlight w:val="none"/>
        </w:rPr>
      </w:pPr>
      <w:bookmarkStart w:id="5" w:name="_Toc11280"/>
      <w:bookmarkStart w:id="6" w:name="_Toc3172"/>
      <w:bookmarkStart w:id="7" w:name="_Toc5988"/>
      <w:bookmarkStart w:id="8" w:name="_Toc121730171"/>
      <w:bookmarkStart w:id="9" w:name="_Toc18616"/>
      <w:bookmarkStart w:id="10" w:name="_Hlk133418974"/>
      <w:r>
        <w:rPr>
          <w:rFonts w:hint="eastAsia" w:ascii="Arial" w:hAnsi="Arial"/>
          <w:b/>
          <w:bCs/>
          <w:sz w:val="24"/>
          <w:szCs w:val="32"/>
          <w:highlight w:val="none"/>
        </w:rPr>
        <w:t>一、采购项目基本信息</w:t>
      </w:r>
      <w:bookmarkEnd w:id="5"/>
      <w:bookmarkEnd w:id="6"/>
      <w:bookmarkEnd w:id="7"/>
      <w:bookmarkEnd w:id="8"/>
      <w:bookmarkEnd w:id="9"/>
    </w:p>
    <w:p w14:paraId="0B7367F9">
      <w:pPr>
        <w:adjustRightInd w:val="0"/>
        <w:snapToGrid w:val="0"/>
        <w:spacing w:line="360" w:lineRule="auto"/>
        <w:ind w:firstLine="420" w:firstLineChars="200"/>
        <w:rPr>
          <w:rFonts w:hint="eastAsia" w:ascii="宋体" w:hAnsi="宋体" w:eastAsia="宋体"/>
          <w:szCs w:val="21"/>
          <w:highlight w:val="none"/>
          <w:lang w:eastAsia="zh-CN"/>
        </w:rPr>
      </w:pPr>
      <w:r>
        <w:rPr>
          <w:rFonts w:hint="eastAsia" w:ascii="宋体" w:hAnsi="宋体"/>
          <w:szCs w:val="21"/>
          <w:highlight w:val="none"/>
        </w:rPr>
        <w:t>1、采购项目名称：</w:t>
      </w:r>
      <w:r>
        <w:rPr>
          <w:rFonts w:hint="eastAsia" w:ascii="宋体" w:hAnsi="宋体"/>
          <w:szCs w:val="21"/>
          <w:highlight w:val="none"/>
          <w:lang w:eastAsia="zh-CN"/>
        </w:rPr>
        <w:t>湖南省重点污染源自动监控系统运维服务项目</w:t>
      </w:r>
    </w:p>
    <w:p w14:paraId="34904EF9">
      <w:pPr>
        <w:adjustRightInd w:val="0"/>
        <w:snapToGrid w:val="0"/>
        <w:spacing w:line="360" w:lineRule="auto"/>
        <w:ind w:firstLine="420" w:firstLineChars="200"/>
        <w:rPr>
          <w:rFonts w:hint="eastAsia" w:ascii="宋体" w:hAnsi="宋体" w:eastAsia="宋体"/>
          <w:szCs w:val="21"/>
          <w:highlight w:val="none"/>
          <w:lang w:val="en-US" w:eastAsia="zh-CN"/>
        </w:rPr>
      </w:pPr>
      <w:r>
        <w:rPr>
          <w:rFonts w:hint="eastAsia" w:ascii="宋体" w:hAnsi="宋体"/>
          <w:szCs w:val="21"/>
          <w:highlight w:val="none"/>
        </w:rPr>
        <w:t>2、采购计划编号：</w:t>
      </w:r>
      <w:r>
        <w:rPr>
          <w:rFonts w:hint="eastAsia" w:ascii="宋体" w:hAnsi="宋体"/>
          <w:szCs w:val="21"/>
          <w:highlight w:val="none"/>
          <w:lang w:eastAsia="zh-CN"/>
        </w:rPr>
        <w:t>CGXM2026430000003764</w:t>
      </w:r>
    </w:p>
    <w:p w14:paraId="6A805F68">
      <w:pPr>
        <w:adjustRightInd w:val="0"/>
        <w:snapToGrid w:val="0"/>
        <w:spacing w:line="360" w:lineRule="auto"/>
        <w:ind w:firstLine="420" w:firstLineChars="200"/>
        <w:rPr>
          <w:rFonts w:hint="eastAsia" w:ascii="宋体" w:hAnsi="宋体" w:eastAsia="宋体"/>
          <w:szCs w:val="21"/>
          <w:highlight w:val="none"/>
          <w:lang w:eastAsia="zh-CN"/>
        </w:rPr>
      </w:pPr>
      <w:r>
        <w:rPr>
          <w:rFonts w:hint="eastAsia" w:ascii="宋体" w:hAnsi="宋体"/>
          <w:szCs w:val="21"/>
          <w:highlight w:val="none"/>
        </w:rPr>
        <w:t>3、委托代理编号：</w:t>
      </w:r>
      <w:r>
        <w:rPr>
          <w:rFonts w:hint="eastAsia" w:ascii="宋体" w:hAnsi="宋体"/>
          <w:szCs w:val="21"/>
          <w:highlight w:val="none"/>
          <w:lang w:eastAsia="zh-CN"/>
        </w:rPr>
        <w:t>CSGS-2026ZC003</w:t>
      </w:r>
    </w:p>
    <w:p w14:paraId="68F82695">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4、采购项目预算：</w:t>
      </w:r>
      <w:r>
        <w:rPr>
          <w:rFonts w:hint="eastAsia" w:ascii="宋体" w:hAnsi="宋体"/>
          <w:highlight w:val="none"/>
          <w:lang w:eastAsia="zh-CN"/>
        </w:rPr>
        <w:t>936000.00</w:t>
      </w:r>
      <w:r>
        <w:rPr>
          <w:rFonts w:hint="eastAsia" w:ascii="宋体" w:hAnsi="宋体"/>
          <w:szCs w:val="21"/>
          <w:highlight w:val="none"/>
        </w:rPr>
        <w:t>元人民币</w:t>
      </w:r>
    </w:p>
    <w:p w14:paraId="0F89B5ED">
      <w:pPr>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ascii="宋体" w:hAnsi="宋体" w:eastAsia="宋体" w:cs="Times New Roman"/>
          <w:color w:val="auto"/>
          <w:szCs w:val="21"/>
          <w:highlight w:val="none"/>
        </w:rPr>
      </w:pPr>
      <w:r>
        <w:rPr>
          <w:rFonts w:hint="eastAsia" w:ascii="宋体" w:hAnsi="宋体" w:eastAsia="宋体" w:cs="宋体"/>
          <w:color w:val="auto"/>
          <w:szCs w:val="21"/>
          <w:highlight w:val="none"/>
        </w:rPr>
        <w:t>■</w:t>
      </w:r>
      <w:r>
        <w:rPr>
          <w:rFonts w:hint="eastAsia" w:ascii="宋体" w:hAnsi="宋体" w:eastAsia="宋体" w:cs="Times New Roman"/>
          <w:color w:val="auto"/>
          <w:szCs w:val="21"/>
          <w:highlight w:val="none"/>
        </w:rPr>
        <w:t>支付预付款，预付款比例：</w:t>
      </w:r>
      <w:r>
        <w:rPr>
          <w:rFonts w:hint="eastAsia" w:ascii="宋体" w:hAnsi="宋体" w:cs="Times New Roman"/>
          <w:color w:val="auto"/>
          <w:szCs w:val="21"/>
          <w:highlight w:val="none"/>
          <w:u w:val="single"/>
          <w:lang w:val="en-US" w:eastAsia="zh-CN"/>
        </w:rPr>
        <w:t>70</w:t>
      </w:r>
      <w:r>
        <w:rPr>
          <w:rFonts w:hint="eastAsia" w:ascii="宋体" w:hAnsi="宋体" w:eastAsia="宋体" w:cs="Times New Roman"/>
          <w:color w:val="auto"/>
          <w:szCs w:val="21"/>
          <w:highlight w:val="none"/>
        </w:rPr>
        <w:t>%</w:t>
      </w:r>
    </w:p>
    <w:p w14:paraId="2C978A65">
      <w:pPr>
        <w:numPr>
          <w:ilvl w:val="0"/>
          <w:numId w:val="2"/>
        </w:num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本项目对应的中小企业划分标准所属行业：</w:t>
      </w:r>
      <w:r>
        <w:rPr>
          <w:rFonts w:hint="eastAsia" w:ascii="宋体" w:hAnsi="宋体"/>
          <w:b/>
          <w:bCs/>
          <w:szCs w:val="21"/>
          <w:highlight w:val="none"/>
          <w:lang w:eastAsia="zh-CN"/>
        </w:rPr>
        <w:t>软件和信息技术服务业</w:t>
      </w:r>
      <w:r>
        <w:rPr>
          <w:rFonts w:hint="eastAsia" w:ascii="宋体" w:hAnsi="宋体"/>
          <w:szCs w:val="21"/>
          <w:highlight w:val="none"/>
        </w:rPr>
        <w:t>。</w:t>
      </w:r>
    </w:p>
    <w:p w14:paraId="672AC1D9">
      <w:pPr>
        <w:numPr>
          <w:ilvl w:val="0"/>
          <w:numId w:val="2"/>
        </w:num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评审办法：□最低价法 ■综合评分法</w:t>
      </w:r>
    </w:p>
    <w:p w14:paraId="399A12D5">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7、合同定价方式：■固定总价□固定单价 □成本补偿 □绩效激励</w:t>
      </w:r>
    </w:p>
    <w:p w14:paraId="1A094CE7">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8、合同履行期限：</w:t>
      </w:r>
      <w:r>
        <w:rPr>
          <w:rFonts w:hint="eastAsia" w:ascii="宋体" w:hAnsi="宋体"/>
          <w:szCs w:val="21"/>
          <w:highlight w:val="none"/>
          <w:lang w:eastAsia="zh-CN"/>
        </w:rPr>
        <w:t>合同签订之日起至2027年10月31日</w:t>
      </w:r>
      <w:r>
        <w:rPr>
          <w:rFonts w:hint="eastAsia" w:ascii="宋体" w:hAnsi="宋体"/>
          <w:szCs w:val="21"/>
          <w:highlight w:val="none"/>
        </w:rPr>
        <w:t>。</w:t>
      </w:r>
    </w:p>
    <w:p w14:paraId="5C721DF6">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9、本项目分阶段要求供应商提供以下保证：</w:t>
      </w:r>
    </w:p>
    <w:p w14:paraId="03C942E0">
      <w:pPr>
        <w:adjustRightInd w:val="0"/>
        <w:snapToGrid w:val="0"/>
        <w:spacing w:line="360" w:lineRule="auto"/>
        <w:ind w:firstLine="630" w:firstLineChars="300"/>
        <w:rPr>
          <w:rFonts w:hint="eastAsia" w:ascii="宋体" w:hAnsi="宋体"/>
          <w:szCs w:val="21"/>
          <w:highlight w:val="none"/>
        </w:rPr>
      </w:pPr>
      <w:r>
        <w:rPr>
          <w:rFonts w:hint="eastAsia" w:ascii="宋体" w:hAnsi="宋体"/>
          <w:szCs w:val="21"/>
          <w:highlight w:val="none"/>
        </w:rPr>
        <w:sym w:font="Wingdings 2" w:char="00A3"/>
      </w:r>
      <w:r>
        <w:rPr>
          <w:rFonts w:hint="eastAsia" w:ascii="宋体" w:hAnsi="宋体"/>
          <w:szCs w:val="21"/>
          <w:highlight w:val="none"/>
        </w:rPr>
        <w:t>磋商保证金：采购项目预算的%</w:t>
      </w:r>
    </w:p>
    <w:p w14:paraId="0527C3C4">
      <w:pPr>
        <w:adjustRightInd w:val="0"/>
        <w:snapToGrid w:val="0"/>
        <w:spacing w:line="360" w:lineRule="auto"/>
        <w:ind w:firstLine="630" w:firstLineChars="300"/>
        <w:rPr>
          <w:rFonts w:hint="eastAsia" w:ascii="宋体" w:hAnsi="宋体"/>
          <w:szCs w:val="21"/>
          <w:highlight w:val="none"/>
        </w:rPr>
      </w:pPr>
      <w:r>
        <w:rPr>
          <w:rFonts w:hint="eastAsia" w:ascii="宋体" w:hAnsi="宋体"/>
          <w:szCs w:val="21"/>
          <w:highlight w:val="none"/>
        </w:rPr>
        <w:sym w:font="Wingdings 2" w:char="00A3"/>
      </w:r>
      <w:r>
        <w:rPr>
          <w:rFonts w:hint="eastAsia" w:ascii="宋体" w:hAnsi="宋体"/>
          <w:szCs w:val="21"/>
          <w:highlight w:val="none"/>
        </w:rPr>
        <w:t xml:space="preserve">履约保证金：成交金额的%； </w:t>
      </w:r>
      <w:r>
        <w:rPr>
          <w:rFonts w:hint="eastAsia" w:ascii="宋体" w:hAnsi="宋体"/>
          <w:szCs w:val="21"/>
          <w:highlight w:val="none"/>
        </w:rPr>
        <w:tab/>
      </w:r>
    </w:p>
    <w:p w14:paraId="3380ABDC">
      <w:pPr>
        <w:adjustRightInd w:val="0"/>
        <w:snapToGrid w:val="0"/>
        <w:spacing w:line="360" w:lineRule="auto"/>
        <w:ind w:firstLine="630" w:firstLineChars="300"/>
        <w:rPr>
          <w:rFonts w:hint="eastAsia" w:ascii="宋体" w:hAnsi="宋体"/>
          <w:szCs w:val="21"/>
          <w:highlight w:val="none"/>
        </w:rPr>
      </w:pPr>
      <w:r>
        <w:rPr>
          <w:rFonts w:hint="eastAsia" w:ascii="宋体" w:hAnsi="宋体"/>
          <w:szCs w:val="21"/>
          <w:highlight w:val="none"/>
        </w:rPr>
        <w:t>□预付款保证金：预付款的%；</w:t>
      </w:r>
    </w:p>
    <w:p w14:paraId="18760AA6">
      <w:pPr>
        <w:adjustRightInd w:val="0"/>
        <w:snapToGrid w:val="0"/>
        <w:spacing w:line="360" w:lineRule="auto"/>
        <w:ind w:firstLine="630" w:firstLineChars="300"/>
        <w:rPr>
          <w:rFonts w:hint="eastAsia" w:ascii="宋体" w:hAnsi="宋体"/>
          <w:szCs w:val="21"/>
          <w:highlight w:val="none"/>
        </w:rPr>
      </w:pPr>
      <w:r>
        <w:rPr>
          <w:rFonts w:hint="eastAsia" w:ascii="宋体" w:hAnsi="宋体"/>
          <w:szCs w:val="21"/>
          <w:highlight w:val="none"/>
        </w:rPr>
        <w:sym w:font="Wingdings 2" w:char="00A3"/>
      </w:r>
      <w:r>
        <w:rPr>
          <w:rFonts w:hint="eastAsia" w:ascii="宋体" w:hAnsi="宋体"/>
          <w:szCs w:val="21"/>
          <w:highlight w:val="none"/>
        </w:rPr>
        <w:t>质量保证金：合同金额的%；</w:t>
      </w:r>
    </w:p>
    <w:p w14:paraId="2707AC0E">
      <w:pPr>
        <w:keepNext/>
        <w:keepLines/>
        <w:adjustRightInd w:val="0"/>
        <w:snapToGrid w:val="0"/>
        <w:spacing w:line="360" w:lineRule="auto"/>
        <w:outlineLvl w:val="1"/>
        <w:rPr>
          <w:rFonts w:ascii="Arial" w:hAnsi="Arial"/>
          <w:b/>
          <w:bCs/>
          <w:sz w:val="24"/>
          <w:szCs w:val="32"/>
          <w:highlight w:val="none"/>
        </w:rPr>
      </w:pPr>
      <w:bookmarkStart w:id="11" w:name="_Toc2547"/>
      <w:bookmarkStart w:id="12" w:name="_Toc18261"/>
      <w:bookmarkStart w:id="13" w:name="_Toc121730172"/>
      <w:bookmarkStart w:id="14" w:name="_Toc30817"/>
      <w:bookmarkStart w:id="15" w:name="_Toc24266"/>
      <w:r>
        <w:rPr>
          <w:rFonts w:hint="eastAsia" w:ascii="Arial" w:hAnsi="Arial"/>
          <w:b/>
          <w:bCs/>
          <w:sz w:val="24"/>
          <w:szCs w:val="32"/>
          <w:highlight w:val="none"/>
        </w:rPr>
        <w:t>二、采购人的采购需求</w:t>
      </w:r>
      <w:bookmarkEnd w:id="11"/>
      <w:bookmarkEnd w:id="12"/>
      <w:bookmarkEnd w:id="13"/>
      <w:bookmarkEnd w:id="14"/>
      <w:bookmarkEnd w:id="15"/>
    </w:p>
    <w:tbl>
      <w:tblPr>
        <w:tblStyle w:val="48"/>
        <w:tblW w:w="95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203"/>
        <w:gridCol w:w="2730"/>
        <w:gridCol w:w="1583"/>
        <w:gridCol w:w="649"/>
        <w:gridCol w:w="1227"/>
        <w:gridCol w:w="720"/>
        <w:gridCol w:w="750"/>
      </w:tblGrid>
      <w:tr w14:paraId="682A9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669" w:type="dxa"/>
            <w:tcBorders>
              <w:right w:val="single" w:color="auto" w:sz="4" w:space="0"/>
            </w:tcBorders>
            <w:noWrap/>
            <w:vAlign w:val="center"/>
          </w:tcPr>
          <w:p w14:paraId="6ED3F422">
            <w:pPr>
              <w:jc w:val="center"/>
              <w:rPr>
                <w:rFonts w:hint="eastAsia" w:ascii="宋体" w:hAnsi="宋体"/>
                <w:highlight w:val="none"/>
              </w:rPr>
            </w:pPr>
            <w:r>
              <w:rPr>
                <w:rFonts w:hint="eastAsia" w:ascii="宋体" w:hAnsi="宋体"/>
                <w:highlight w:val="none"/>
              </w:rPr>
              <w:t>包号</w:t>
            </w:r>
          </w:p>
        </w:tc>
        <w:tc>
          <w:tcPr>
            <w:tcW w:w="1203" w:type="dxa"/>
            <w:tcBorders>
              <w:left w:val="single" w:color="auto" w:sz="4" w:space="0"/>
            </w:tcBorders>
            <w:noWrap/>
            <w:vAlign w:val="center"/>
          </w:tcPr>
          <w:p w14:paraId="302E50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highlight w:val="none"/>
              </w:rPr>
            </w:pPr>
            <w:r>
              <w:rPr>
                <w:rFonts w:hint="eastAsia" w:ascii="宋体" w:hAnsi="宋体"/>
                <w:color w:val="auto"/>
                <w:highlight w:val="none"/>
              </w:rPr>
              <w:t>最高限价（元）</w:t>
            </w:r>
          </w:p>
        </w:tc>
        <w:tc>
          <w:tcPr>
            <w:tcW w:w="2730" w:type="dxa"/>
            <w:noWrap/>
            <w:vAlign w:val="center"/>
          </w:tcPr>
          <w:p w14:paraId="0A0760FC">
            <w:pPr>
              <w:jc w:val="center"/>
              <w:rPr>
                <w:rFonts w:hint="eastAsia" w:ascii="宋体" w:hAnsi="宋体"/>
                <w:highlight w:val="none"/>
              </w:rPr>
            </w:pPr>
            <w:r>
              <w:rPr>
                <w:rFonts w:hint="eastAsia" w:ascii="宋体" w:hAnsi="宋体"/>
                <w:highlight w:val="none"/>
              </w:rPr>
              <w:t>标的名称</w:t>
            </w:r>
          </w:p>
        </w:tc>
        <w:tc>
          <w:tcPr>
            <w:tcW w:w="1583" w:type="dxa"/>
            <w:noWrap/>
            <w:vAlign w:val="center"/>
          </w:tcPr>
          <w:p w14:paraId="758E3AC3">
            <w:pPr>
              <w:jc w:val="center"/>
              <w:rPr>
                <w:rFonts w:hint="eastAsia" w:ascii="宋体" w:hAnsi="宋体"/>
                <w:highlight w:val="none"/>
              </w:rPr>
            </w:pPr>
            <w:r>
              <w:rPr>
                <w:rFonts w:hint="eastAsia" w:ascii="宋体" w:hAnsi="宋体"/>
                <w:highlight w:val="none"/>
              </w:rPr>
              <w:t>简要技术需求或服务要求</w:t>
            </w:r>
          </w:p>
        </w:tc>
        <w:tc>
          <w:tcPr>
            <w:tcW w:w="649" w:type="dxa"/>
            <w:noWrap/>
            <w:vAlign w:val="center"/>
          </w:tcPr>
          <w:p w14:paraId="69181EA9">
            <w:pPr>
              <w:jc w:val="center"/>
              <w:rPr>
                <w:rFonts w:hint="eastAsia" w:ascii="宋体" w:hAnsi="宋体"/>
                <w:highlight w:val="none"/>
              </w:rPr>
            </w:pPr>
            <w:r>
              <w:rPr>
                <w:rFonts w:hint="eastAsia" w:ascii="宋体" w:hAnsi="宋体"/>
                <w:highlight w:val="none"/>
              </w:rPr>
              <w:t>数量</w:t>
            </w:r>
          </w:p>
        </w:tc>
        <w:tc>
          <w:tcPr>
            <w:tcW w:w="1227" w:type="dxa"/>
            <w:tcBorders>
              <w:right w:val="single" w:color="auto" w:sz="4" w:space="0"/>
            </w:tcBorders>
            <w:noWrap/>
            <w:vAlign w:val="center"/>
          </w:tcPr>
          <w:p w14:paraId="62A340F5">
            <w:pPr>
              <w:jc w:val="center"/>
              <w:rPr>
                <w:rFonts w:hint="eastAsia" w:ascii="宋体" w:hAnsi="宋体"/>
                <w:highlight w:val="none"/>
              </w:rPr>
            </w:pPr>
            <w:r>
              <w:rPr>
                <w:rFonts w:hint="eastAsia" w:ascii="宋体" w:hAnsi="宋体"/>
                <w:highlight w:val="none"/>
              </w:rPr>
              <w:t>标的预算（元）</w:t>
            </w:r>
          </w:p>
        </w:tc>
        <w:tc>
          <w:tcPr>
            <w:tcW w:w="720" w:type="dxa"/>
            <w:tcBorders>
              <w:left w:val="single" w:color="auto" w:sz="4" w:space="0"/>
              <w:right w:val="single" w:color="auto" w:sz="4" w:space="0"/>
            </w:tcBorders>
            <w:noWrap/>
            <w:vAlign w:val="center"/>
          </w:tcPr>
          <w:p w14:paraId="79A1FB60">
            <w:pPr>
              <w:jc w:val="center"/>
              <w:rPr>
                <w:rFonts w:hint="eastAsia" w:ascii="宋体" w:hAnsi="宋体"/>
                <w:highlight w:val="none"/>
              </w:rPr>
            </w:pPr>
            <w:r>
              <w:rPr>
                <w:rFonts w:hint="eastAsia" w:ascii="宋体" w:hAnsi="宋体"/>
                <w:highlight w:val="none"/>
              </w:rPr>
              <w:t>节能产品</w:t>
            </w:r>
          </w:p>
        </w:tc>
        <w:tc>
          <w:tcPr>
            <w:tcW w:w="750" w:type="dxa"/>
            <w:tcBorders>
              <w:left w:val="single" w:color="auto" w:sz="4" w:space="0"/>
            </w:tcBorders>
            <w:noWrap/>
            <w:vAlign w:val="center"/>
          </w:tcPr>
          <w:p w14:paraId="69EFAAEE">
            <w:pPr>
              <w:jc w:val="center"/>
              <w:rPr>
                <w:rFonts w:hint="eastAsia" w:ascii="宋体" w:hAnsi="宋体"/>
                <w:highlight w:val="none"/>
              </w:rPr>
            </w:pPr>
            <w:r>
              <w:rPr>
                <w:rFonts w:hint="eastAsia" w:ascii="宋体" w:hAnsi="宋体"/>
                <w:highlight w:val="none"/>
              </w:rPr>
              <w:t>进口产品</w:t>
            </w:r>
          </w:p>
        </w:tc>
      </w:tr>
      <w:tr w14:paraId="5223F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69" w:type="dxa"/>
            <w:tcBorders>
              <w:right w:val="single" w:color="auto" w:sz="4" w:space="0"/>
            </w:tcBorders>
            <w:noWrap/>
            <w:vAlign w:val="center"/>
          </w:tcPr>
          <w:p w14:paraId="4090E02B">
            <w:pPr>
              <w:jc w:val="center"/>
              <w:rPr>
                <w:rFonts w:hint="eastAsia" w:ascii="宋体" w:hAnsi="宋体"/>
                <w:highlight w:val="none"/>
              </w:rPr>
            </w:pPr>
            <w:r>
              <w:rPr>
                <w:rFonts w:hint="eastAsia" w:ascii="宋体" w:hAnsi="宋体"/>
                <w:highlight w:val="none"/>
              </w:rPr>
              <w:t>1</w:t>
            </w:r>
          </w:p>
        </w:tc>
        <w:tc>
          <w:tcPr>
            <w:tcW w:w="1203" w:type="dxa"/>
            <w:tcBorders>
              <w:left w:val="single" w:color="auto" w:sz="4" w:space="0"/>
            </w:tcBorders>
            <w:noWrap/>
            <w:vAlign w:val="center"/>
          </w:tcPr>
          <w:p w14:paraId="00D78C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sz w:val="24"/>
                <w:highlight w:val="none"/>
              </w:rPr>
            </w:pPr>
            <w:r>
              <w:rPr>
                <w:rFonts w:hint="eastAsia" w:ascii="宋体" w:hAnsi="宋体"/>
                <w:color w:val="auto"/>
                <w:szCs w:val="21"/>
                <w:highlight w:val="none"/>
                <w:lang w:val="en-US" w:eastAsia="zh-CN"/>
              </w:rPr>
              <w:t>926000.00</w:t>
            </w:r>
          </w:p>
        </w:tc>
        <w:tc>
          <w:tcPr>
            <w:tcW w:w="2730" w:type="dxa"/>
            <w:noWrap/>
            <w:vAlign w:val="center"/>
          </w:tcPr>
          <w:p w14:paraId="14F406FD">
            <w:pPr>
              <w:jc w:val="center"/>
              <w:rPr>
                <w:rFonts w:hint="eastAsia" w:ascii="宋体" w:hAnsi="宋体" w:eastAsia="宋体"/>
                <w:highlight w:val="none"/>
                <w:lang w:eastAsia="zh-CN"/>
              </w:rPr>
            </w:pPr>
            <w:r>
              <w:rPr>
                <w:rFonts w:hint="eastAsia" w:ascii="宋体" w:hAnsi="宋体"/>
                <w:szCs w:val="21"/>
                <w:highlight w:val="none"/>
                <w:lang w:eastAsia="zh-CN"/>
              </w:rPr>
              <w:t>湖南省重点污染源自动监控系统运维服务项目</w:t>
            </w:r>
          </w:p>
        </w:tc>
        <w:tc>
          <w:tcPr>
            <w:tcW w:w="1583" w:type="dxa"/>
            <w:noWrap/>
            <w:vAlign w:val="center"/>
          </w:tcPr>
          <w:p w14:paraId="6FDC079D">
            <w:pPr>
              <w:jc w:val="center"/>
              <w:rPr>
                <w:rFonts w:hint="eastAsia" w:ascii="宋体" w:hAnsi="宋体"/>
                <w:highlight w:val="none"/>
              </w:rPr>
            </w:pPr>
            <w:r>
              <w:rPr>
                <w:rFonts w:hint="eastAsia" w:ascii="宋体" w:hAnsi="宋体"/>
                <w:highlight w:val="none"/>
              </w:rPr>
              <w:t>详见磋商文件采购人需求</w:t>
            </w:r>
          </w:p>
        </w:tc>
        <w:tc>
          <w:tcPr>
            <w:tcW w:w="649" w:type="dxa"/>
            <w:noWrap/>
            <w:vAlign w:val="center"/>
          </w:tcPr>
          <w:p w14:paraId="7229BC04">
            <w:pPr>
              <w:jc w:val="center"/>
              <w:rPr>
                <w:rFonts w:hint="eastAsia" w:ascii="宋体" w:hAnsi="宋体"/>
                <w:highlight w:val="none"/>
              </w:rPr>
            </w:pPr>
            <w:r>
              <w:rPr>
                <w:rFonts w:hint="eastAsia" w:ascii="宋体" w:hAnsi="宋体"/>
                <w:highlight w:val="none"/>
              </w:rPr>
              <w:t>1项</w:t>
            </w:r>
          </w:p>
        </w:tc>
        <w:tc>
          <w:tcPr>
            <w:tcW w:w="1227" w:type="dxa"/>
            <w:tcBorders>
              <w:right w:val="single" w:color="auto" w:sz="4" w:space="0"/>
            </w:tcBorders>
            <w:noWrap/>
            <w:vAlign w:val="center"/>
          </w:tcPr>
          <w:p w14:paraId="6B4C940E">
            <w:pPr>
              <w:jc w:val="center"/>
              <w:rPr>
                <w:rFonts w:hint="eastAsia" w:ascii="宋体" w:hAnsi="宋体"/>
                <w:highlight w:val="none"/>
              </w:rPr>
            </w:pPr>
            <w:r>
              <w:rPr>
                <w:rFonts w:hint="eastAsia" w:ascii="宋体" w:hAnsi="宋体"/>
                <w:highlight w:val="none"/>
              </w:rPr>
              <w:t>936000.00</w:t>
            </w:r>
          </w:p>
        </w:tc>
        <w:tc>
          <w:tcPr>
            <w:tcW w:w="720" w:type="dxa"/>
            <w:tcBorders>
              <w:left w:val="single" w:color="auto" w:sz="4" w:space="0"/>
              <w:right w:val="single" w:color="auto" w:sz="4" w:space="0"/>
            </w:tcBorders>
            <w:noWrap/>
            <w:vAlign w:val="center"/>
          </w:tcPr>
          <w:p w14:paraId="7BF7AAE3">
            <w:pPr>
              <w:ind w:left="57"/>
              <w:jc w:val="center"/>
              <w:rPr>
                <w:rFonts w:hint="eastAsia" w:ascii="宋体" w:hAnsi="宋体"/>
                <w:highlight w:val="none"/>
              </w:rPr>
            </w:pPr>
            <w:r>
              <w:rPr>
                <w:rFonts w:hint="eastAsia" w:ascii="宋体" w:hAnsi="宋体"/>
                <w:szCs w:val="21"/>
                <w:highlight w:val="none"/>
              </w:rPr>
              <w:t>□</w:t>
            </w:r>
          </w:p>
        </w:tc>
        <w:tc>
          <w:tcPr>
            <w:tcW w:w="750" w:type="dxa"/>
            <w:tcBorders>
              <w:left w:val="single" w:color="auto" w:sz="4" w:space="0"/>
            </w:tcBorders>
            <w:noWrap/>
            <w:vAlign w:val="center"/>
          </w:tcPr>
          <w:p w14:paraId="23EE603D">
            <w:pPr>
              <w:ind w:left="57"/>
              <w:jc w:val="center"/>
              <w:rPr>
                <w:rFonts w:hint="eastAsia" w:ascii="宋体" w:hAnsi="宋体"/>
                <w:highlight w:val="none"/>
              </w:rPr>
            </w:pPr>
            <w:r>
              <w:rPr>
                <w:rFonts w:hint="eastAsia" w:ascii="宋体" w:hAnsi="宋体"/>
                <w:szCs w:val="21"/>
                <w:highlight w:val="none"/>
              </w:rPr>
              <w:t>□</w:t>
            </w:r>
          </w:p>
        </w:tc>
      </w:tr>
    </w:tbl>
    <w:p w14:paraId="58C67F5D">
      <w:pPr>
        <w:spacing w:line="360" w:lineRule="auto"/>
        <w:rPr>
          <w:highlight w:val="none"/>
        </w:rPr>
      </w:pPr>
    </w:p>
    <w:p w14:paraId="24C0E380">
      <w:pPr>
        <w:keepNext/>
        <w:keepLines/>
        <w:adjustRightInd w:val="0"/>
        <w:snapToGrid w:val="0"/>
        <w:spacing w:line="360" w:lineRule="auto"/>
        <w:outlineLvl w:val="1"/>
        <w:rPr>
          <w:rFonts w:ascii="Arial" w:hAnsi="Arial"/>
          <w:b/>
          <w:bCs/>
          <w:sz w:val="24"/>
          <w:szCs w:val="32"/>
          <w:highlight w:val="none"/>
        </w:rPr>
      </w:pPr>
      <w:bookmarkStart w:id="16" w:name="_Toc6153"/>
      <w:bookmarkStart w:id="17" w:name="_Toc13397"/>
      <w:bookmarkStart w:id="18" w:name="_Toc121730173"/>
      <w:bookmarkStart w:id="19" w:name="_Toc4105"/>
      <w:bookmarkStart w:id="20" w:name="_Toc45"/>
      <w:r>
        <w:rPr>
          <w:rFonts w:hint="eastAsia" w:ascii="Arial" w:hAnsi="Arial"/>
          <w:b/>
          <w:bCs/>
          <w:sz w:val="24"/>
          <w:szCs w:val="32"/>
          <w:highlight w:val="none"/>
        </w:rPr>
        <w:t>三、采购项目需落实的政府采购政策</w:t>
      </w:r>
      <w:bookmarkEnd w:id="16"/>
      <w:bookmarkEnd w:id="17"/>
      <w:bookmarkEnd w:id="18"/>
      <w:bookmarkEnd w:id="19"/>
      <w:bookmarkEnd w:id="20"/>
    </w:p>
    <w:p w14:paraId="0A559AD5">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1、优先采购：节能产品、环境标志产品享受加分或价格折扣（本项目不适用）。</w:t>
      </w:r>
    </w:p>
    <w:p w14:paraId="6F612493">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2、支持中小企业：政府采购促进中小企业发展（包括政府采购支持监狱企业发展、政府采购促进残疾人就业）。</w:t>
      </w:r>
    </w:p>
    <w:p w14:paraId="2A28DD52">
      <w:pPr>
        <w:keepNext/>
        <w:keepLines/>
        <w:adjustRightInd w:val="0"/>
        <w:snapToGrid w:val="0"/>
        <w:spacing w:line="360" w:lineRule="auto"/>
        <w:outlineLvl w:val="1"/>
        <w:rPr>
          <w:rFonts w:ascii="Arial" w:hAnsi="Arial"/>
          <w:b/>
          <w:bCs/>
          <w:sz w:val="24"/>
          <w:szCs w:val="32"/>
          <w:highlight w:val="none"/>
        </w:rPr>
      </w:pPr>
      <w:bookmarkStart w:id="21" w:name="_Toc14723"/>
      <w:bookmarkStart w:id="22" w:name="_Toc9143"/>
      <w:bookmarkStart w:id="23" w:name="_Toc25761"/>
      <w:bookmarkStart w:id="24" w:name="_Toc121730174"/>
      <w:bookmarkStart w:id="25" w:name="_Toc31476"/>
      <w:r>
        <w:rPr>
          <w:rFonts w:hint="eastAsia" w:ascii="Arial" w:hAnsi="Arial"/>
          <w:b/>
          <w:bCs/>
          <w:sz w:val="24"/>
          <w:szCs w:val="32"/>
          <w:highlight w:val="none"/>
        </w:rPr>
        <w:t>四、供应人的资格要求：</w:t>
      </w:r>
      <w:bookmarkEnd w:id="21"/>
      <w:bookmarkEnd w:id="22"/>
      <w:bookmarkEnd w:id="23"/>
      <w:bookmarkEnd w:id="24"/>
      <w:bookmarkEnd w:id="25"/>
    </w:p>
    <w:p w14:paraId="6C2E5FFE">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1、供应商的基本资格条件：供应商必须是在中华人民共和国境内注册登记的法人、其他组织或者自然人，且应当符合《政府采购法》第二十二条第一款的规定。</w:t>
      </w:r>
    </w:p>
    <w:p w14:paraId="3D6CC2E3">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2、落实政府采购政策需满足的资格要求：</w:t>
      </w:r>
    </w:p>
    <w:p w14:paraId="2D1FDA74">
      <w:pPr>
        <w:adjustRightInd w:val="0"/>
        <w:snapToGrid w:val="0"/>
        <w:spacing w:line="360" w:lineRule="auto"/>
        <w:ind w:firstLine="420" w:firstLineChars="200"/>
        <w:rPr>
          <w:rFonts w:hint="eastAsia" w:ascii="宋体" w:hAnsi="宋体"/>
          <w:szCs w:val="21"/>
          <w:highlight w:val="none"/>
        </w:rPr>
      </w:pPr>
      <w:r>
        <w:rPr>
          <w:rFonts w:hint="eastAsia" w:ascii="宋体" w:hAnsi="宋体" w:eastAsia="宋体" w:cs="宋体"/>
          <w:szCs w:val="21"/>
          <w:highlight w:val="none"/>
          <w:lang w:eastAsia="zh-CN"/>
        </w:rPr>
        <w:t>■</w:t>
      </w:r>
      <w:r>
        <w:rPr>
          <w:rFonts w:hint="eastAsia" w:ascii="宋体" w:hAnsi="宋体"/>
          <w:szCs w:val="21"/>
          <w:highlight w:val="none"/>
        </w:rPr>
        <w:t>专门面向：</w:t>
      </w:r>
      <w:r>
        <w:rPr>
          <w:rFonts w:hint="eastAsia" w:ascii="宋体" w:hAnsi="宋体" w:eastAsia="宋体" w:cs="宋体"/>
          <w:szCs w:val="21"/>
          <w:highlight w:val="none"/>
          <w:lang w:eastAsia="zh-CN"/>
        </w:rPr>
        <w:t>■</w:t>
      </w:r>
      <w:r>
        <w:rPr>
          <w:rFonts w:hint="eastAsia" w:ascii="宋体" w:hAnsi="宋体"/>
          <w:szCs w:val="21"/>
          <w:highlight w:val="none"/>
        </w:rPr>
        <w:t>中小企业 □小微企业 □监狱企业 □福利性单位</w:t>
      </w:r>
    </w:p>
    <w:p w14:paraId="157FD570">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□强制分包：大型企业应将采购份额的%分包给中小企业。</w:t>
      </w:r>
    </w:p>
    <w:p w14:paraId="6888C65E">
      <w:pPr>
        <w:adjustRightInd w:val="0"/>
        <w:snapToGrid w:val="0"/>
        <w:spacing w:line="360" w:lineRule="auto"/>
        <w:ind w:firstLine="420" w:firstLineChars="200"/>
        <w:rPr>
          <w:rFonts w:hint="eastAsia" w:ascii="宋体" w:hAnsi="宋体"/>
          <w:szCs w:val="21"/>
          <w:highlight w:val="none"/>
        </w:rPr>
      </w:pPr>
      <w:bookmarkStart w:id="26" w:name="OLE_LINK1"/>
      <w:r>
        <w:rPr>
          <w:rFonts w:hint="eastAsia" w:ascii="宋体" w:hAnsi="宋体"/>
          <w:szCs w:val="21"/>
          <w:highlight w:val="none"/>
        </w:rPr>
        <w:t>3、本项目的特定资格要求：本项目专门面向中小企业采购，供应商须提供《中小企业声明函》；监狱企业、残疾人福利性单位视同小型、微型企业，需提供《残疾人福利性单位声明函》或《监狱企业证明资料》。</w:t>
      </w:r>
    </w:p>
    <w:bookmarkEnd w:id="26"/>
    <w:p w14:paraId="04025B13">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4、单位负责人为同一人或者存在直接控股、管理关系的不同供应商，不得参加同一合同项下的政府采购活动。</w:t>
      </w:r>
    </w:p>
    <w:p w14:paraId="4F592B67">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5、为本采购项目提供整体设计、规范编制或者项目管理、监理、检测等服务的，不得再参加此项目的其他采购活动。</w:t>
      </w:r>
    </w:p>
    <w:p w14:paraId="33FBE70E">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6、列入失信被执行人、重大税收违法失信主体名单、政府采购严重违法失信行为记录名单的，拒绝其参与政府采购活动。</w:t>
      </w:r>
    </w:p>
    <w:p w14:paraId="5A9E8E88">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7、联合体磋商。本次采购</w:t>
      </w:r>
      <w:r>
        <w:rPr>
          <w:rFonts w:hint="eastAsia" w:ascii="宋体" w:hAnsi="宋体"/>
          <w:szCs w:val="21"/>
          <w:highlight w:val="none"/>
          <w:u w:val="single"/>
        </w:rPr>
        <w:t>不接受</w:t>
      </w:r>
      <w:r>
        <w:rPr>
          <w:rFonts w:hint="eastAsia" w:ascii="宋体" w:hAnsi="宋体"/>
          <w:szCs w:val="21"/>
          <w:highlight w:val="none"/>
        </w:rPr>
        <w:t>联合体磋商。</w:t>
      </w:r>
      <w:bookmarkStart w:id="577" w:name="_GoBack"/>
      <w:bookmarkEnd w:id="577"/>
    </w:p>
    <w:p w14:paraId="1AC41E70">
      <w:pPr>
        <w:keepNext/>
        <w:keepLines/>
        <w:adjustRightInd w:val="0"/>
        <w:snapToGrid w:val="0"/>
        <w:spacing w:line="360" w:lineRule="auto"/>
        <w:outlineLvl w:val="1"/>
        <w:rPr>
          <w:rFonts w:ascii="Arial" w:hAnsi="Arial"/>
          <w:b/>
          <w:bCs/>
          <w:sz w:val="24"/>
          <w:szCs w:val="32"/>
          <w:highlight w:val="none"/>
        </w:rPr>
      </w:pPr>
      <w:bookmarkStart w:id="27" w:name="_Toc23759"/>
      <w:bookmarkStart w:id="28" w:name="_Toc10059"/>
      <w:bookmarkStart w:id="29" w:name="_Toc6241"/>
      <w:bookmarkStart w:id="30" w:name="_Toc121730175"/>
      <w:bookmarkStart w:id="31" w:name="_Toc4544"/>
      <w:r>
        <w:rPr>
          <w:rFonts w:hint="eastAsia" w:ascii="Arial" w:hAnsi="Arial"/>
          <w:b/>
          <w:bCs/>
          <w:sz w:val="24"/>
          <w:szCs w:val="32"/>
          <w:highlight w:val="none"/>
        </w:rPr>
        <w:t>五、获取磋商文件的时间、期限、地点及方式</w:t>
      </w:r>
      <w:bookmarkEnd w:id="27"/>
      <w:bookmarkEnd w:id="28"/>
      <w:bookmarkEnd w:id="29"/>
      <w:bookmarkEnd w:id="30"/>
      <w:bookmarkEnd w:id="31"/>
    </w:p>
    <w:p w14:paraId="276B7EF0">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eastAsia="宋体" w:cs="Times New Roman"/>
          <w:color w:val="auto"/>
          <w:szCs w:val="21"/>
          <w:highlight w:val="none"/>
        </w:rPr>
      </w:pPr>
      <w:bookmarkStart w:id="32" w:name="_Toc11450"/>
      <w:bookmarkStart w:id="33" w:name="_Toc121730176"/>
      <w:bookmarkStart w:id="34" w:name="_Toc26266"/>
      <w:bookmarkStart w:id="35" w:name="_Toc26857"/>
      <w:r>
        <w:rPr>
          <w:rFonts w:hint="eastAsia" w:ascii="宋体" w:hAnsi="宋体" w:eastAsia="宋体" w:cs="Times New Roman"/>
          <w:color w:val="auto"/>
          <w:szCs w:val="21"/>
          <w:highlight w:val="none"/>
        </w:rPr>
        <w:t>有意参加者，于</w:t>
      </w:r>
      <w:r>
        <w:rPr>
          <w:rFonts w:hint="eastAsia" w:ascii="宋体" w:hAnsi="宋体" w:eastAsia="宋体" w:cs="宋体"/>
          <w:color w:val="auto"/>
          <w:szCs w:val="21"/>
          <w:highlight w:val="none"/>
          <w:u w:val="single"/>
          <w:lang w:eastAsia="zh-CN"/>
        </w:rPr>
        <w:t>2026年</w:t>
      </w:r>
      <w:r>
        <w:rPr>
          <w:rFonts w:hint="eastAsia" w:ascii="宋体" w:hAnsi="宋体" w:eastAsia="宋体" w:cs="宋体"/>
          <w:color w:val="auto"/>
          <w:szCs w:val="21"/>
          <w:highlight w:val="none"/>
          <w:u w:val="single"/>
          <w:lang w:val="en-US" w:eastAsia="zh-CN"/>
        </w:rPr>
        <w:t>10</w:t>
      </w:r>
      <w:r>
        <w:rPr>
          <w:rFonts w:hint="eastAsia" w:ascii="宋体" w:hAnsi="宋体" w:eastAsia="宋体" w:cs="宋体"/>
          <w:color w:val="auto"/>
          <w:szCs w:val="21"/>
          <w:highlight w:val="none"/>
          <w:u w:val="single"/>
          <w:lang w:eastAsia="zh-CN"/>
        </w:rPr>
        <w:t>月</w:t>
      </w:r>
      <w:r>
        <w:rPr>
          <w:rFonts w:hint="eastAsia" w:ascii="宋体" w:hAnsi="宋体" w:cs="宋体"/>
          <w:color w:val="auto"/>
          <w:szCs w:val="21"/>
          <w:highlight w:val="none"/>
          <w:u w:val="single"/>
          <w:lang w:val="en-US" w:eastAsia="zh-CN"/>
        </w:rPr>
        <w:t>15</w:t>
      </w:r>
      <w:r>
        <w:rPr>
          <w:rFonts w:hint="eastAsia" w:ascii="宋体" w:hAnsi="宋体" w:eastAsia="宋体" w:cs="宋体"/>
          <w:color w:val="auto"/>
          <w:szCs w:val="21"/>
          <w:highlight w:val="none"/>
          <w:u w:val="single"/>
        </w:rPr>
        <w:t>日</w:t>
      </w:r>
      <w:r>
        <w:rPr>
          <w:rFonts w:hint="eastAsia" w:ascii="宋体" w:hAnsi="宋体" w:eastAsia="宋体" w:cs="宋体"/>
          <w:color w:val="auto"/>
          <w:szCs w:val="21"/>
          <w:highlight w:val="none"/>
        </w:rPr>
        <w:t>至</w:t>
      </w:r>
      <w:r>
        <w:rPr>
          <w:rFonts w:hint="eastAsia" w:ascii="宋体" w:hAnsi="宋体" w:eastAsia="宋体" w:cs="宋体"/>
          <w:color w:val="auto"/>
          <w:szCs w:val="21"/>
          <w:highlight w:val="none"/>
          <w:u w:val="single"/>
          <w:lang w:eastAsia="zh-CN"/>
        </w:rPr>
        <w:t>2026年</w:t>
      </w:r>
      <w:r>
        <w:rPr>
          <w:rFonts w:hint="eastAsia" w:ascii="宋体" w:hAnsi="宋体" w:eastAsia="宋体" w:cs="宋体"/>
          <w:color w:val="auto"/>
          <w:szCs w:val="21"/>
          <w:highlight w:val="none"/>
          <w:u w:val="single"/>
          <w:lang w:val="en-US" w:eastAsia="zh-CN"/>
        </w:rPr>
        <w:t>10</w:t>
      </w:r>
      <w:r>
        <w:rPr>
          <w:rFonts w:hint="eastAsia" w:ascii="宋体" w:hAnsi="宋体" w:eastAsia="宋体" w:cs="宋体"/>
          <w:color w:val="auto"/>
          <w:szCs w:val="21"/>
          <w:highlight w:val="none"/>
          <w:u w:val="single"/>
          <w:lang w:eastAsia="zh-CN"/>
        </w:rPr>
        <w:t>月</w:t>
      </w:r>
      <w:r>
        <w:rPr>
          <w:rFonts w:hint="eastAsia" w:ascii="宋体" w:hAnsi="宋体" w:cs="宋体"/>
          <w:color w:val="auto"/>
          <w:szCs w:val="21"/>
          <w:highlight w:val="none"/>
          <w:u w:val="single"/>
          <w:lang w:val="en-US" w:eastAsia="zh-CN"/>
        </w:rPr>
        <w:t>22</w:t>
      </w:r>
      <w:r>
        <w:rPr>
          <w:rFonts w:hint="eastAsia" w:ascii="宋体" w:hAnsi="宋体" w:eastAsia="宋体" w:cs="宋体"/>
          <w:color w:val="auto"/>
          <w:szCs w:val="21"/>
          <w:highlight w:val="none"/>
          <w:u w:val="single"/>
        </w:rPr>
        <w:t>日</w:t>
      </w:r>
      <w:r>
        <w:rPr>
          <w:rFonts w:hint="eastAsia" w:ascii="宋体" w:hAnsi="宋体" w:eastAsia="宋体" w:cs="宋体"/>
          <w:color w:val="auto"/>
          <w:szCs w:val="21"/>
          <w:highlight w:val="none"/>
        </w:rPr>
        <w:t>，每天上午</w:t>
      </w:r>
      <w:r>
        <w:rPr>
          <w:rFonts w:hint="eastAsia" w:ascii="宋体" w:hAnsi="宋体" w:eastAsia="宋体" w:cs="宋体"/>
          <w:color w:val="auto"/>
          <w:szCs w:val="21"/>
          <w:highlight w:val="none"/>
          <w:u w:val="single"/>
        </w:rPr>
        <w:t>8:00</w:t>
      </w:r>
      <w:r>
        <w:rPr>
          <w:rFonts w:hint="eastAsia" w:ascii="宋体" w:hAnsi="宋体" w:eastAsia="宋体" w:cs="宋体"/>
          <w:color w:val="auto"/>
          <w:szCs w:val="21"/>
          <w:highlight w:val="none"/>
        </w:rPr>
        <w:t>至</w:t>
      </w:r>
      <w:r>
        <w:rPr>
          <w:rFonts w:hint="eastAsia" w:ascii="宋体" w:hAnsi="宋体" w:eastAsia="宋体" w:cs="宋体"/>
          <w:color w:val="auto"/>
          <w:szCs w:val="21"/>
          <w:highlight w:val="none"/>
          <w:u w:val="single"/>
        </w:rPr>
        <w:t>12:00</w:t>
      </w:r>
      <w:r>
        <w:rPr>
          <w:rFonts w:hint="eastAsia" w:ascii="宋体" w:hAnsi="宋体" w:eastAsia="宋体" w:cs="宋体"/>
          <w:color w:val="auto"/>
          <w:szCs w:val="21"/>
          <w:highlight w:val="none"/>
        </w:rPr>
        <w:t>，下午</w:t>
      </w:r>
      <w:r>
        <w:rPr>
          <w:rFonts w:hint="eastAsia" w:ascii="宋体" w:hAnsi="宋体" w:eastAsia="宋体" w:cs="宋体"/>
          <w:color w:val="auto"/>
          <w:szCs w:val="21"/>
          <w:highlight w:val="none"/>
          <w:u w:val="single"/>
        </w:rPr>
        <w:t>14:30</w:t>
      </w:r>
      <w:r>
        <w:rPr>
          <w:rFonts w:hint="eastAsia" w:ascii="宋体" w:hAnsi="宋体" w:eastAsia="宋体" w:cs="宋体"/>
          <w:color w:val="auto"/>
          <w:szCs w:val="21"/>
          <w:highlight w:val="none"/>
        </w:rPr>
        <w:t>至</w:t>
      </w:r>
      <w:r>
        <w:rPr>
          <w:rFonts w:hint="eastAsia" w:ascii="宋体" w:hAnsi="宋体" w:eastAsia="宋体" w:cs="宋体"/>
          <w:color w:val="auto"/>
          <w:szCs w:val="21"/>
          <w:highlight w:val="none"/>
          <w:u w:val="single"/>
        </w:rPr>
        <w:t>17:30</w:t>
      </w:r>
      <w:r>
        <w:rPr>
          <w:rFonts w:hint="eastAsia" w:ascii="宋体" w:hAnsi="宋体" w:eastAsia="宋体" w:cs="宋体"/>
          <w:color w:val="auto"/>
          <w:szCs w:val="21"/>
          <w:highlight w:val="none"/>
        </w:rPr>
        <w:t>（北京时间，</w:t>
      </w:r>
      <w:r>
        <w:rPr>
          <w:rFonts w:ascii="宋体" w:hAnsi="宋体" w:eastAsia="宋体" w:cs="宋体"/>
          <w:color w:val="auto"/>
          <w:szCs w:val="21"/>
          <w:highlight w:val="none"/>
        </w:rPr>
        <w:t>法定节假日</w:t>
      </w:r>
      <w:r>
        <w:rPr>
          <w:rFonts w:hint="eastAsia" w:ascii="宋体" w:hAnsi="宋体" w:eastAsia="宋体" w:cs="宋体"/>
          <w:color w:val="auto"/>
          <w:szCs w:val="21"/>
          <w:highlight w:val="none"/>
        </w:rPr>
        <w:t>除外）</w:t>
      </w:r>
      <w:r>
        <w:rPr>
          <w:rFonts w:hint="eastAsia" w:ascii="宋体" w:hAnsi="宋体" w:eastAsia="宋体" w:cs="Times New Roman"/>
          <w:color w:val="auto"/>
          <w:szCs w:val="21"/>
          <w:highlight w:val="none"/>
          <w:lang w:eastAsia="zh-CN"/>
        </w:rPr>
        <w:t>持加盖单位公章的营业执照、法定代表人身份证明或者授权委托书(附法定代表人身份证明)及本人身份证原件</w:t>
      </w:r>
      <w:r>
        <w:rPr>
          <w:rFonts w:hint="eastAsia" w:ascii="宋体" w:hAnsi="宋体" w:eastAsia="宋体" w:cs="Times New Roman"/>
          <w:color w:val="auto"/>
          <w:szCs w:val="21"/>
          <w:highlight w:val="none"/>
        </w:rPr>
        <w:t>在长沙广厦建设工程招标代理有限公司【地址：长沙市万家丽北路星雅美辰1号栋（山东商会大厦）8楼809室】获取招标文件。</w:t>
      </w:r>
    </w:p>
    <w:p w14:paraId="1904C274">
      <w:pPr>
        <w:keepNext/>
        <w:keepLines/>
        <w:adjustRightInd w:val="0"/>
        <w:snapToGrid w:val="0"/>
        <w:spacing w:line="360" w:lineRule="auto"/>
        <w:outlineLvl w:val="1"/>
        <w:rPr>
          <w:rFonts w:ascii="Arial" w:hAnsi="Arial"/>
          <w:b/>
          <w:bCs/>
          <w:color w:val="auto"/>
          <w:sz w:val="24"/>
          <w:szCs w:val="32"/>
          <w:highlight w:val="none"/>
        </w:rPr>
      </w:pPr>
      <w:bookmarkStart w:id="36" w:name="_Toc3946"/>
      <w:r>
        <w:rPr>
          <w:rFonts w:hint="eastAsia" w:ascii="Arial" w:hAnsi="Arial"/>
          <w:b/>
          <w:bCs/>
          <w:color w:val="auto"/>
          <w:sz w:val="24"/>
          <w:szCs w:val="32"/>
          <w:highlight w:val="none"/>
        </w:rPr>
        <w:t>六、响应文件开启时间及地点</w:t>
      </w:r>
      <w:bookmarkEnd w:id="32"/>
      <w:bookmarkEnd w:id="33"/>
      <w:bookmarkEnd w:id="34"/>
      <w:bookmarkEnd w:id="35"/>
      <w:bookmarkEnd w:id="36"/>
    </w:p>
    <w:p w14:paraId="65EFAAD3">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eastAsia="宋体" w:cs="Times New Roman"/>
          <w:color w:val="auto"/>
          <w:szCs w:val="21"/>
          <w:highlight w:val="none"/>
        </w:rPr>
      </w:pPr>
      <w:bookmarkStart w:id="37" w:name="_Toc121730177"/>
      <w:bookmarkStart w:id="38" w:name="_Toc2385"/>
      <w:bookmarkStart w:id="39" w:name="_Toc9133"/>
      <w:bookmarkStart w:id="40" w:name="_Toc18153"/>
      <w:r>
        <w:rPr>
          <w:rFonts w:hint="eastAsia" w:ascii="宋体" w:hAnsi="宋体" w:eastAsia="宋体" w:cs="Times New Roman"/>
          <w:color w:val="auto"/>
          <w:szCs w:val="21"/>
          <w:highlight w:val="none"/>
        </w:rPr>
        <w:t>1、提交响应文件的截止时间：</w:t>
      </w:r>
      <w:r>
        <w:rPr>
          <w:rFonts w:hint="eastAsia" w:ascii="宋体" w:hAnsi="宋体" w:eastAsia="宋体" w:cs="宋体"/>
          <w:color w:val="auto"/>
          <w:szCs w:val="21"/>
          <w:highlight w:val="none"/>
          <w:u w:val="single"/>
          <w:lang w:eastAsia="zh-CN"/>
        </w:rPr>
        <w:t>2026年</w:t>
      </w:r>
      <w:r>
        <w:rPr>
          <w:rFonts w:hint="eastAsia" w:ascii="宋体" w:hAnsi="宋体" w:eastAsia="宋体" w:cs="宋体"/>
          <w:color w:val="auto"/>
          <w:szCs w:val="21"/>
          <w:highlight w:val="none"/>
          <w:u w:val="single"/>
          <w:lang w:val="en-US" w:eastAsia="zh-CN"/>
        </w:rPr>
        <w:t>10</w:t>
      </w:r>
      <w:r>
        <w:rPr>
          <w:rFonts w:hint="eastAsia" w:ascii="宋体" w:hAnsi="宋体" w:eastAsia="宋体" w:cs="宋体"/>
          <w:color w:val="auto"/>
          <w:szCs w:val="21"/>
          <w:highlight w:val="none"/>
          <w:u w:val="single"/>
          <w:lang w:eastAsia="zh-CN"/>
        </w:rPr>
        <w:t>月</w:t>
      </w:r>
      <w:r>
        <w:rPr>
          <w:rFonts w:hint="eastAsia" w:ascii="宋体" w:hAnsi="宋体" w:cs="宋体"/>
          <w:color w:val="auto"/>
          <w:szCs w:val="21"/>
          <w:highlight w:val="none"/>
          <w:u w:val="single"/>
          <w:lang w:val="en-US" w:eastAsia="zh-CN"/>
        </w:rPr>
        <w:t>26</w:t>
      </w:r>
      <w:r>
        <w:rPr>
          <w:rFonts w:hint="eastAsia" w:ascii="宋体" w:hAnsi="宋体" w:eastAsia="宋体" w:cs="宋体"/>
          <w:color w:val="auto"/>
          <w:szCs w:val="21"/>
          <w:highlight w:val="none"/>
          <w:u w:val="single"/>
        </w:rPr>
        <w:t>日</w:t>
      </w:r>
      <w:r>
        <w:rPr>
          <w:rFonts w:hint="eastAsia" w:ascii="宋体" w:hAnsi="宋体" w:cs="宋体"/>
          <w:color w:val="auto"/>
          <w:szCs w:val="21"/>
          <w:highlight w:val="none"/>
          <w:u w:val="single"/>
          <w:lang w:val="en-US" w:eastAsia="zh-CN"/>
        </w:rPr>
        <w:t>14</w:t>
      </w:r>
      <w:r>
        <w:rPr>
          <w:rFonts w:hint="eastAsia" w:ascii="宋体" w:hAnsi="宋体" w:eastAsia="宋体" w:cs="Times New Roman"/>
          <w:color w:val="auto"/>
          <w:szCs w:val="21"/>
          <w:highlight w:val="none"/>
          <w:u w:val="single"/>
          <w:lang w:val="en-US" w:eastAsia="zh-CN"/>
        </w:rPr>
        <w:t>：</w:t>
      </w:r>
      <w:r>
        <w:rPr>
          <w:rFonts w:hint="eastAsia" w:ascii="宋体" w:hAnsi="宋体" w:cs="Times New Roman"/>
          <w:color w:val="auto"/>
          <w:szCs w:val="21"/>
          <w:highlight w:val="none"/>
          <w:u w:val="single"/>
          <w:lang w:val="en-US" w:eastAsia="zh-CN"/>
        </w:rPr>
        <w:t>0</w:t>
      </w:r>
      <w:r>
        <w:rPr>
          <w:rFonts w:hint="eastAsia" w:ascii="宋体" w:hAnsi="宋体" w:eastAsia="宋体" w:cs="Times New Roman"/>
          <w:color w:val="auto"/>
          <w:szCs w:val="21"/>
          <w:highlight w:val="none"/>
          <w:u w:val="single"/>
          <w:lang w:val="en-US" w:eastAsia="zh-CN"/>
        </w:rPr>
        <w:t>0</w:t>
      </w:r>
      <w:r>
        <w:rPr>
          <w:rFonts w:hint="eastAsia" w:ascii="宋体" w:hAnsi="宋体" w:eastAsia="宋体" w:cs="Times New Roman"/>
          <w:color w:val="auto"/>
          <w:szCs w:val="21"/>
          <w:highlight w:val="none"/>
        </w:rPr>
        <w:t>（北京时间）</w:t>
      </w:r>
    </w:p>
    <w:p w14:paraId="12EF7EF5">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2、提交响应文件地点：长沙广厦建设工程招标代理有限公司【地址：长沙市万家丽北路星雅美辰1号栋（山东商会大厦）8楼809室】</w:t>
      </w:r>
    </w:p>
    <w:p w14:paraId="2B074E3C">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3、开标时间：</w:t>
      </w:r>
      <w:r>
        <w:rPr>
          <w:rFonts w:hint="eastAsia" w:ascii="宋体" w:hAnsi="宋体" w:eastAsia="宋体" w:cs="宋体"/>
          <w:color w:val="auto"/>
          <w:szCs w:val="21"/>
          <w:highlight w:val="none"/>
          <w:u w:val="single"/>
          <w:lang w:eastAsia="zh-CN"/>
        </w:rPr>
        <w:t>2026年</w:t>
      </w:r>
      <w:r>
        <w:rPr>
          <w:rFonts w:hint="eastAsia" w:ascii="宋体" w:hAnsi="宋体" w:eastAsia="宋体" w:cs="宋体"/>
          <w:color w:val="auto"/>
          <w:szCs w:val="21"/>
          <w:highlight w:val="none"/>
          <w:u w:val="single"/>
          <w:lang w:val="en-US" w:eastAsia="zh-CN"/>
        </w:rPr>
        <w:t>10</w:t>
      </w:r>
      <w:r>
        <w:rPr>
          <w:rFonts w:hint="eastAsia" w:ascii="宋体" w:hAnsi="宋体" w:eastAsia="宋体" w:cs="宋体"/>
          <w:color w:val="auto"/>
          <w:szCs w:val="21"/>
          <w:highlight w:val="none"/>
          <w:u w:val="single"/>
          <w:lang w:eastAsia="zh-CN"/>
        </w:rPr>
        <w:t>月</w:t>
      </w:r>
      <w:r>
        <w:rPr>
          <w:rFonts w:hint="eastAsia" w:ascii="宋体" w:hAnsi="宋体" w:cs="宋体"/>
          <w:color w:val="auto"/>
          <w:szCs w:val="21"/>
          <w:highlight w:val="none"/>
          <w:u w:val="single"/>
          <w:lang w:val="en-US" w:eastAsia="zh-CN"/>
        </w:rPr>
        <w:t>26</w:t>
      </w:r>
      <w:r>
        <w:rPr>
          <w:rFonts w:hint="eastAsia" w:ascii="宋体" w:hAnsi="宋体" w:eastAsia="宋体" w:cs="宋体"/>
          <w:color w:val="auto"/>
          <w:szCs w:val="21"/>
          <w:highlight w:val="none"/>
          <w:u w:val="single"/>
        </w:rPr>
        <w:t>日</w:t>
      </w:r>
      <w:r>
        <w:rPr>
          <w:rFonts w:hint="eastAsia" w:ascii="宋体" w:hAnsi="宋体" w:cs="宋体"/>
          <w:color w:val="auto"/>
          <w:szCs w:val="21"/>
          <w:highlight w:val="none"/>
          <w:u w:val="single"/>
          <w:lang w:val="en-US" w:eastAsia="zh-CN"/>
        </w:rPr>
        <w:t>14</w:t>
      </w:r>
      <w:r>
        <w:rPr>
          <w:rFonts w:hint="eastAsia" w:ascii="宋体" w:hAnsi="宋体" w:eastAsia="宋体" w:cs="Times New Roman"/>
          <w:color w:val="auto"/>
          <w:szCs w:val="21"/>
          <w:highlight w:val="none"/>
          <w:u w:val="single"/>
          <w:lang w:val="en-US" w:eastAsia="zh-CN"/>
        </w:rPr>
        <w:t>：</w:t>
      </w:r>
      <w:r>
        <w:rPr>
          <w:rFonts w:hint="eastAsia" w:ascii="宋体" w:hAnsi="宋体" w:cs="Times New Roman"/>
          <w:color w:val="auto"/>
          <w:szCs w:val="21"/>
          <w:highlight w:val="none"/>
          <w:u w:val="single"/>
          <w:lang w:val="en-US" w:eastAsia="zh-CN"/>
        </w:rPr>
        <w:t>0</w:t>
      </w:r>
      <w:r>
        <w:rPr>
          <w:rFonts w:hint="eastAsia" w:ascii="宋体" w:hAnsi="宋体" w:eastAsia="宋体" w:cs="Times New Roman"/>
          <w:color w:val="auto"/>
          <w:szCs w:val="21"/>
          <w:highlight w:val="none"/>
          <w:u w:val="single"/>
          <w:lang w:val="en-US" w:eastAsia="zh-CN"/>
        </w:rPr>
        <w:t>0</w:t>
      </w:r>
      <w:r>
        <w:rPr>
          <w:rFonts w:hint="eastAsia" w:ascii="宋体" w:hAnsi="宋体" w:eastAsia="宋体" w:cs="Times New Roman"/>
          <w:color w:val="auto"/>
          <w:szCs w:val="21"/>
          <w:highlight w:val="none"/>
        </w:rPr>
        <w:t>（北京时间）</w:t>
      </w:r>
    </w:p>
    <w:p w14:paraId="6BC511AF">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4、开标地点：长沙广厦建设工程招标代理有限公司【地址：长沙市万家丽北路星雅美辰1号栋（山东商会大厦）8楼809室】</w:t>
      </w:r>
    </w:p>
    <w:p w14:paraId="4E7F5075">
      <w:pPr>
        <w:keepNext/>
        <w:keepLines/>
        <w:adjustRightInd w:val="0"/>
        <w:snapToGrid w:val="0"/>
        <w:spacing w:line="360" w:lineRule="auto"/>
        <w:outlineLvl w:val="1"/>
        <w:rPr>
          <w:rFonts w:ascii="Arial" w:hAnsi="Arial"/>
          <w:b/>
          <w:bCs/>
          <w:sz w:val="24"/>
          <w:szCs w:val="32"/>
          <w:highlight w:val="none"/>
        </w:rPr>
      </w:pPr>
      <w:bookmarkStart w:id="41" w:name="_Toc12903"/>
      <w:r>
        <w:rPr>
          <w:rFonts w:hint="eastAsia" w:ascii="Arial" w:hAnsi="Arial"/>
          <w:b/>
          <w:bCs/>
          <w:sz w:val="24"/>
          <w:szCs w:val="32"/>
          <w:highlight w:val="none"/>
        </w:rPr>
        <w:t>七、公告期限</w:t>
      </w:r>
      <w:bookmarkEnd w:id="37"/>
      <w:bookmarkEnd w:id="38"/>
      <w:bookmarkEnd w:id="39"/>
      <w:bookmarkEnd w:id="40"/>
      <w:bookmarkEnd w:id="41"/>
    </w:p>
    <w:p w14:paraId="600C095A">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1、本采购公告在中国湖南政府采购网（www.ccgp-hunan.gov.cn）发布。公告期限从本采购公告发布之日起5个工作日。</w:t>
      </w:r>
    </w:p>
    <w:p w14:paraId="449181A5">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2、在其他媒体发布的采购公告，公告内容以本采购公告指定媒体发布的公告为准；公告期限自本采购公告指定媒体最先发布公告之日起算。</w:t>
      </w:r>
    </w:p>
    <w:p w14:paraId="67FB3556">
      <w:pPr>
        <w:keepNext/>
        <w:keepLines/>
        <w:adjustRightInd w:val="0"/>
        <w:snapToGrid w:val="0"/>
        <w:spacing w:line="360" w:lineRule="auto"/>
        <w:outlineLvl w:val="1"/>
        <w:rPr>
          <w:rFonts w:ascii="Arial" w:hAnsi="Arial"/>
          <w:b/>
          <w:bCs/>
          <w:sz w:val="24"/>
          <w:szCs w:val="32"/>
          <w:highlight w:val="none"/>
        </w:rPr>
      </w:pPr>
      <w:bookmarkStart w:id="42" w:name="_Toc121730178"/>
      <w:bookmarkStart w:id="43" w:name="_Toc13912"/>
      <w:bookmarkStart w:id="44" w:name="_Toc3682"/>
      <w:bookmarkStart w:id="45" w:name="_Toc23440"/>
      <w:bookmarkStart w:id="46" w:name="_Toc17745"/>
      <w:r>
        <w:rPr>
          <w:rFonts w:hint="eastAsia" w:ascii="Arial" w:hAnsi="Arial"/>
          <w:b/>
          <w:bCs/>
          <w:sz w:val="24"/>
          <w:szCs w:val="32"/>
          <w:highlight w:val="none"/>
        </w:rPr>
        <w:t>八、询问及质疑</w:t>
      </w:r>
      <w:bookmarkEnd w:id="42"/>
      <w:bookmarkEnd w:id="43"/>
      <w:bookmarkEnd w:id="44"/>
      <w:bookmarkEnd w:id="45"/>
      <w:bookmarkEnd w:id="46"/>
    </w:p>
    <w:p w14:paraId="71E3C774">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1、供应商对政府采购活动事项如有疑问的，可以向采购人、采购代理机构提出询问。采购人、采购代理机构将在3个工作日内作出答复。</w:t>
      </w:r>
    </w:p>
    <w:p w14:paraId="06A3B930">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潜在供应商认为采购文件或采购公告使自己的合法权益受到损害的，可以在收到采购文件之日或采购公告期限届满之日起7个工作日内，按《湖南省财政厅关于印发＜政府采购质疑答复和投诉处理操作规程＞的通知》(湘财购〔2024〕67号)规定，以纸质书面形式向采购人、采购代理机构提出质疑。</w:t>
      </w:r>
    </w:p>
    <w:p w14:paraId="18ADD1C4">
      <w:pPr>
        <w:adjustRightInd w:val="0"/>
        <w:snapToGrid w:val="0"/>
        <w:spacing w:line="360" w:lineRule="auto"/>
        <w:ind w:firstLine="420" w:firstLineChars="200"/>
        <w:rPr>
          <w:rFonts w:hint="eastAsia" w:ascii="宋体" w:hAnsi="宋体"/>
          <w:szCs w:val="21"/>
          <w:highlight w:val="none"/>
        </w:rPr>
      </w:pPr>
    </w:p>
    <w:p w14:paraId="217A4857">
      <w:pPr>
        <w:keepNext/>
        <w:keepLines/>
        <w:adjustRightInd w:val="0"/>
        <w:snapToGrid w:val="0"/>
        <w:spacing w:line="360" w:lineRule="auto"/>
        <w:outlineLvl w:val="1"/>
        <w:rPr>
          <w:rFonts w:ascii="Arial" w:hAnsi="Arial"/>
          <w:b/>
          <w:bCs/>
          <w:sz w:val="24"/>
          <w:szCs w:val="32"/>
          <w:highlight w:val="none"/>
        </w:rPr>
      </w:pPr>
      <w:bookmarkStart w:id="47" w:name="_Toc121730179"/>
      <w:bookmarkStart w:id="48" w:name="_Toc10755"/>
      <w:bookmarkStart w:id="49" w:name="_Toc32042"/>
      <w:bookmarkStart w:id="50" w:name="_Toc11089"/>
      <w:bookmarkStart w:id="51" w:name="_Toc12143"/>
      <w:r>
        <w:rPr>
          <w:rFonts w:hint="eastAsia" w:ascii="Arial" w:hAnsi="Arial"/>
          <w:b/>
          <w:bCs/>
          <w:sz w:val="24"/>
          <w:szCs w:val="32"/>
          <w:highlight w:val="none"/>
        </w:rPr>
        <w:t>九、响应说明</w:t>
      </w:r>
      <w:bookmarkEnd w:id="47"/>
      <w:bookmarkEnd w:id="48"/>
      <w:bookmarkEnd w:id="49"/>
      <w:bookmarkEnd w:id="50"/>
      <w:bookmarkEnd w:id="51"/>
    </w:p>
    <w:p w14:paraId="42BC2CCE">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 xml:space="preserve">1、本公告选项：■表示选择，□表示未选择。 </w:t>
      </w:r>
    </w:p>
    <w:p w14:paraId="5895FCB8">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2、供应商参与政府采购活动，无需向采购人、代理机构、交易平台缴纳任何费用</w:t>
      </w:r>
    </w:p>
    <w:p w14:paraId="73726BB2">
      <w:pPr>
        <w:spacing w:line="360" w:lineRule="auto"/>
        <w:rPr>
          <w:highlight w:val="none"/>
        </w:rPr>
      </w:pPr>
    </w:p>
    <w:bookmarkEnd w:id="10"/>
    <w:p w14:paraId="77B3C6C3">
      <w:pPr>
        <w:keepNext/>
        <w:keepLines/>
        <w:pageBreakBefore w:val="0"/>
        <w:widowControl w:val="0"/>
        <w:kinsoku/>
        <w:wordWrap/>
        <w:overflowPunct/>
        <w:topLinePunct w:val="0"/>
        <w:autoSpaceDE/>
        <w:autoSpaceDN/>
        <w:bidi w:val="0"/>
        <w:adjustRightInd w:val="0"/>
        <w:snapToGrid w:val="0"/>
        <w:spacing w:line="360" w:lineRule="auto"/>
        <w:textAlignment w:val="auto"/>
        <w:outlineLvl w:val="1"/>
        <w:rPr>
          <w:rFonts w:ascii="Arial" w:hAnsi="Arial" w:eastAsia="宋体" w:cs="Times New Roman"/>
          <w:b/>
          <w:bCs/>
          <w:color w:val="auto"/>
          <w:sz w:val="24"/>
          <w:szCs w:val="32"/>
          <w:highlight w:val="none"/>
        </w:rPr>
      </w:pPr>
      <w:bookmarkStart w:id="52" w:name="_Toc29110"/>
      <w:bookmarkStart w:id="53" w:name="_Toc121730180"/>
      <w:bookmarkStart w:id="54" w:name="_Toc1738"/>
      <w:r>
        <w:rPr>
          <w:rFonts w:hint="eastAsia" w:ascii="Arial" w:hAnsi="Arial" w:eastAsia="宋体" w:cs="Times New Roman"/>
          <w:b/>
          <w:bCs/>
          <w:color w:val="auto"/>
          <w:sz w:val="24"/>
          <w:szCs w:val="32"/>
          <w:highlight w:val="none"/>
        </w:rPr>
        <w:t>十、采购项目联系人姓名和电话</w:t>
      </w:r>
      <w:bookmarkEnd w:id="52"/>
      <w:bookmarkEnd w:id="53"/>
      <w:bookmarkEnd w:id="54"/>
    </w:p>
    <w:p w14:paraId="00CB5D90">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rPr>
        <w:t>联系人姓名：</w:t>
      </w:r>
      <w:r>
        <w:rPr>
          <w:rFonts w:hint="eastAsia" w:ascii="宋体" w:hAnsi="宋体" w:cs="Times New Roman"/>
          <w:color w:val="auto"/>
          <w:szCs w:val="21"/>
          <w:highlight w:val="none"/>
          <w:lang w:val="en-US" w:eastAsia="zh-CN"/>
        </w:rPr>
        <w:t>廖名燕</w:t>
      </w:r>
    </w:p>
    <w:p w14:paraId="0BEE038D">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rPr>
        <w:t>电话：</w:t>
      </w:r>
      <w:r>
        <w:rPr>
          <w:rFonts w:hint="eastAsia" w:ascii="宋体" w:hAnsi="宋体" w:eastAsia="宋体" w:cs="Times New Roman"/>
          <w:color w:val="auto"/>
          <w:szCs w:val="21"/>
          <w:highlight w:val="none"/>
          <w:lang w:val="en-US" w:eastAsia="zh-CN"/>
        </w:rPr>
        <w:t>15707325054</w:t>
      </w:r>
    </w:p>
    <w:p w14:paraId="44FF9596">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eastAsia="宋体" w:cs="Times New Roman"/>
          <w:color w:val="auto"/>
          <w:szCs w:val="21"/>
          <w:highlight w:val="none"/>
        </w:rPr>
      </w:pPr>
    </w:p>
    <w:p w14:paraId="632C619D">
      <w:pPr>
        <w:keepNext/>
        <w:keepLines/>
        <w:pageBreakBefore w:val="0"/>
        <w:widowControl w:val="0"/>
        <w:kinsoku/>
        <w:wordWrap/>
        <w:overflowPunct/>
        <w:topLinePunct w:val="0"/>
        <w:autoSpaceDE/>
        <w:autoSpaceDN/>
        <w:bidi w:val="0"/>
        <w:adjustRightInd w:val="0"/>
        <w:snapToGrid w:val="0"/>
        <w:spacing w:line="360" w:lineRule="auto"/>
        <w:textAlignment w:val="auto"/>
        <w:outlineLvl w:val="1"/>
        <w:rPr>
          <w:rFonts w:ascii="Arial" w:hAnsi="Arial" w:eastAsia="宋体" w:cs="Times New Roman"/>
          <w:b/>
          <w:bCs/>
          <w:color w:val="auto"/>
          <w:sz w:val="24"/>
          <w:szCs w:val="32"/>
          <w:highlight w:val="none"/>
        </w:rPr>
      </w:pPr>
      <w:bookmarkStart w:id="55" w:name="_Toc121730181"/>
      <w:bookmarkStart w:id="56" w:name="_Toc3470"/>
      <w:bookmarkStart w:id="57" w:name="_Toc25977"/>
      <w:r>
        <w:rPr>
          <w:rFonts w:hint="eastAsia" w:ascii="Arial" w:hAnsi="Arial" w:eastAsia="宋体" w:cs="Times New Roman"/>
          <w:b/>
          <w:bCs/>
          <w:color w:val="auto"/>
          <w:sz w:val="24"/>
          <w:szCs w:val="32"/>
          <w:highlight w:val="none"/>
        </w:rPr>
        <w:t>十一、采购人、采购代理机构的名称、地址和联系电话</w:t>
      </w:r>
      <w:bookmarkEnd w:id="55"/>
      <w:bookmarkEnd w:id="56"/>
      <w:bookmarkEnd w:id="57"/>
    </w:p>
    <w:p w14:paraId="3FCC00F9">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eastAsia="宋体" w:cs="宋体"/>
          <w:b/>
          <w:color w:val="auto"/>
          <w:szCs w:val="21"/>
          <w:highlight w:val="none"/>
        </w:rPr>
      </w:pPr>
      <w:r>
        <w:rPr>
          <w:rFonts w:hint="eastAsia" w:ascii="宋体" w:hAnsi="宋体" w:eastAsia="宋体" w:cs="宋体"/>
          <w:color w:val="auto"/>
          <w:szCs w:val="21"/>
          <w:highlight w:val="none"/>
        </w:rPr>
        <w:t>1.采购人信息</w:t>
      </w:r>
    </w:p>
    <w:p w14:paraId="75353881">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名    称：</w:t>
      </w:r>
      <w:r>
        <w:rPr>
          <w:rFonts w:hint="eastAsia" w:ascii="宋体" w:hAnsi="宋体" w:eastAsia="宋体" w:cs="Times New Roman"/>
          <w:color w:val="auto"/>
          <w:szCs w:val="21"/>
          <w:highlight w:val="none"/>
          <w:lang w:eastAsia="zh-CN"/>
        </w:rPr>
        <w:t>湖南省环境应急与事故调查中心</w:t>
      </w:r>
    </w:p>
    <w:p w14:paraId="6A2600AF">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地    址：</w:t>
      </w:r>
      <w:r>
        <w:rPr>
          <w:rFonts w:hint="eastAsia" w:ascii="宋体" w:hAnsi="宋体" w:eastAsia="宋体" w:cs="Times New Roman"/>
          <w:color w:val="auto"/>
          <w:szCs w:val="21"/>
          <w:highlight w:val="none"/>
          <w:lang w:eastAsia="zh-CN"/>
        </w:rPr>
        <w:t>湖南省长沙市万家丽路3段118号</w:t>
      </w:r>
    </w:p>
    <w:p w14:paraId="2B5FCFCE">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联 系 人：</w:t>
      </w:r>
      <w:r>
        <w:rPr>
          <w:rFonts w:hint="eastAsia" w:ascii="宋体" w:hAnsi="宋体" w:eastAsia="宋体" w:cs="Times New Roman"/>
          <w:color w:val="auto"/>
          <w:szCs w:val="21"/>
          <w:highlight w:val="none"/>
          <w:lang w:val="en-US" w:eastAsia="zh-CN"/>
        </w:rPr>
        <w:t>黄先生</w:t>
      </w:r>
    </w:p>
    <w:p w14:paraId="0BD83D95">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邮 </w:t>
      </w:r>
      <w:r>
        <w:rPr>
          <w:rFonts w:ascii="宋体" w:hAnsi="宋体" w:eastAsia="宋体" w:cs="Times New Roman"/>
          <w:color w:val="auto"/>
          <w:szCs w:val="21"/>
          <w:highlight w:val="none"/>
        </w:rPr>
        <w:t xml:space="preserve">   </w:t>
      </w:r>
      <w:r>
        <w:rPr>
          <w:rFonts w:hint="eastAsia" w:ascii="宋体" w:hAnsi="宋体" w:eastAsia="宋体" w:cs="Times New Roman"/>
          <w:color w:val="auto"/>
          <w:szCs w:val="21"/>
          <w:highlight w:val="none"/>
        </w:rPr>
        <w:t>编：</w:t>
      </w:r>
      <w:r>
        <w:rPr>
          <w:rFonts w:ascii="宋体" w:hAnsi="宋体" w:eastAsia="宋体" w:cs="Times New Roman"/>
          <w:color w:val="auto"/>
          <w:szCs w:val="21"/>
          <w:highlight w:val="none"/>
        </w:rPr>
        <w:t>410000</w:t>
      </w:r>
    </w:p>
    <w:p w14:paraId="417545FA">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联系方式：</w:t>
      </w:r>
      <w:r>
        <w:rPr>
          <w:rFonts w:hint="eastAsia" w:ascii="宋体" w:hAnsi="宋体" w:cs="Times New Roman"/>
          <w:bCs/>
          <w:color w:val="auto"/>
          <w:szCs w:val="21"/>
          <w:highlight w:val="none"/>
          <w:lang w:eastAsia="zh-CN"/>
        </w:rPr>
        <w:t>0731-85698105</w:t>
      </w:r>
    </w:p>
    <w:p w14:paraId="37819204">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电子邮箱：/</w:t>
      </w:r>
    </w:p>
    <w:p w14:paraId="61202B08">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p>
    <w:p w14:paraId="1727A269">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eastAsia="宋体" w:cs="宋体"/>
          <w:b/>
          <w:color w:val="auto"/>
          <w:szCs w:val="21"/>
          <w:highlight w:val="none"/>
        </w:rPr>
      </w:pPr>
      <w:r>
        <w:rPr>
          <w:rFonts w:hint="eastAsia" w:ascii="宋体" w:hAnsi="宋体" w:eastAsia="宋体" w:cs="宋体"/>
          <w:color w:val="auto"/>
          <w:szCs w:val="21"/>
          <w:highlight w:val="none"/>
        </w:rPr>
        <w:t>2.采购代理机构信息</w:t>
      </w:r>
    </w:p>
    <w:p w14:paraId="75C35136">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名    称：</w:t>
      </w:r>
      <w:r>
        <w:rPr>
          <w:rFonts w:hint="eastAsia" w:ascii="宋体" w:hAnsi="宋体" w:eastAsia="宋体" w:cs="Times New Roman"/>
          <w:color w:val="auto"/>
          <w:szCs w:val="21"/>
          <w:highlight w:val="none"/>
          <w:lang w:eastAsia="zh-CN"/>
        </w:rPr>
        <w:t>长沙广厦建设工程招标代理有限公司</w:t>
      </w:r>
    </w:p>
    <w:p w14:paraId="21D2D1EF">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地  址：长沙市万家丽北路星雅美辰1号栋（山东商会大厦）8楼809室</w:t>
      </w:r>
    </w:p>
    <w:p w14:paraId="30F105F1">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联系人：</w:t>
      </w:r>
      <w:r>
        <w:rPr>
          <w:rFonts w:hint="eastAsia" w:ascii="宋体" w:hAnsi="宋体" w:cs="Times New Roman"/>
          <w:color w:val="auto"/>
          <w:szCs w:val="21"/>
          <w:highlight w:val="none"/>
          <w:lang w:val="en-US" w:eastAsia="zh-CN"/>
        </w:rPr>
        <w:t>廖名燕</w:t>
      </w:r>
    </w:p>
    <w:p w14:paraId="1528F774">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rPr>
        <w:t xml:space="preserve">邮 </w:t>
      </w:r>
      <w:r>
        <w:rPr>
          <w:rFonts w:ascii="宋体" w:hAnsi="宋体" w:eastAsia="宋体" w:cs="Times New Roman"/>
          <w:color w:val="auto"/>
          <w:szCs w:val="21"/>
          <w:highlight w:val="none"/>
        </w:rPr>
        <w:t xml:space="preserve">   </w:t>
      </w:r>
      <w:r>
        <w:rPr>
          <w:rFonts w:hint="eastAsia" w:ascii="宋体" w:hAnsi="宋体" w:eastAsia="宋体" w:cs="Times New Roman"/>
          <w:color w:val="auto"/>
          <w:szCs w:val="21"/>
          <w:highlight w:val="none"/>
        </w:rPr>
        <w:t>编：</w:t>
      </w:r>
      <w:r>
        <w:rPr>
          <w:rFonts w:hint="eastAsia" w:ascii="宋体" w:hAnsi="宋体" w:eastAsia="宋体" w:cs="Times New Roman"/>
          <w:color w:val="auto"/>
          <w:szCs w:val="21"/>
          <w:highlight w:val="none"/>
          <w:lang w:val="en-US" w:eastAsia="zh-CN"/>
        </w:rPr>
        <w:t>410100</w:t>
      </w:r>
    </w:p>
    <w:p w14:paraId="6D1DE3AE">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rPr>
        <w:t>电话：</w:t>
      </w:r>
      <w:r>
        <w:rPr>
          <w:rFonts w:hint="eastAsia" w:ascii="宋体" w:hAnsi="宋体" w:eastAsia="宋体" w:cs="Times New Roman"/>
          <w:color w:val="auto"/>
          <w:szCs w:val="21"/>
          <w:highlight w:val="none"/>
          <w:lang w:val="en-US" w:eastAsia="zh-CN"/>
        </w:rPr>
        <w:t>15707325054</w:t>
      </w:r>
    </w:p>
    <w:p w14:paraId="6FACD3B0">
      <w:pPr>
        <w:ind w:firstLine="420" w:firstLineChars="200"/>
        <w:rPr>
          <w:rFonts w:hint="eastAsia" w:ascii="宋体" w:hAnsi="宋体" w:cs="宋体"/>
          <w:kern w:val="0"/>
          <w:szCs w:val="21"/>
          <w:highlight w:val="none"/>
        </w:rPr>
      </w:pPr>
      <w:r>
        <w:rPr>
          <w:rFonts w:hint="eastAsia" w:ascii="宋体" w:hAnsi="宋体" w:eastAsia="宋体" w:cs="Times New Roman"/>
          <w:color w:val="auto"/>
          <w:szCs w:val="21"/>
          <w:highlight w:val="none"/>
        </w:rPr>
        <w:t>电子邮箱：</w:t>
      </w:r>
      <w:r>
        <w:rPr>
          <w:rFonts w:hint="eastAsia" w:ascii="宋体" w:hAnsi="宋体" w:eastAsia="宋体" w:cs="Times New Roman"/>
          <w:color w:val="auto"/>
          <w:szCs w:val="21"/>
          <w:highlight w:val="none"/>
          <w:lang w:val="en-US" w:eastAsia="zh-CN"/>
        </w:rPr>
        <w:t>1835927674</w:t>
      </w:r>
      <w:r>
        <w:rPr>
          <w:rFonts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qq</w:t>
      </w:r>
      <w:r>
        <w:rPr>
          <w:rFonts w:ascii="宋体" w:hAnsi="宋体" w:eastAsia="宋体" w:cs="Times New Roman"/>
          <w:color w:val="auto"/>
          <w:szCs w:val="21"/>
          <w:highlight w:val="none"/>
        </w:rPr>
        <w:t>.</w:t>
      </w:r>
      <w:r>
        <w:rPr>
          <w:rFonts w:hint="eastAsia" w:ascii="宋体" w:hAnsi="宋体" w:eastAsia="宋体" w:cs="Times New Roman"/>
          <w:color w:val="auto"/>
          <w:szCs w:val="21"/>
          <w:highlight w:val="none"/>
        </w:rPr>
        <w:t>com</w:t>
      </w:r>
    </w:p>
    <w:p w14:paraId="3682A2F8">
      <w:pPr>
        <w:spacing w:line="360" w:lineRule="auto"/>
        <w:ind w:firstLine="420"/>
        <w:jc w:val="center"/>
        <w:outlineLvl w:val="0"/>
        <w:rPr>
          <w:rFonts w:hint="eastAsia" w:ascii="黑体" w:hAnsi="黑体" w:eastAsia="黑体"/>
          <w:sz w:val="32"/>
          <w:szCs w:val="32"/>
          <w:highlight w:val="none"/>
        </w:rPr>
      </w:pPr>
      <w:r>
        <w:rPr>
          <w:szCs w:val="21"/>
          <w:highlight w:val="none"/>
        </w:rPr>
        <w:br w:type="page"/>
      </w:r>
      <w:bookmarkEnd w:id="4"/>
      <w:bookmarkStart w:id="58" w:name="_Toc24024"/>
      <w:bookmarkStart w:id="59" w:name="_Toc392"/>
      <w:bookmarkStart w:id="60" w:name="_Toc7275"/>
      <w:bookmarkStart w:id="61" w:name="_Toc8304"/>
      <w:r>
        <w:rPr>
          <w:rFonts w:hint="eastAsia" w:ascii="黑体" w:hAnsi="黑体" w:eastAsia="黑体"/>
          <w:b/>
          <w:bCs/>
          <w:sz w:val="32"/>
          <w:szCs w:val="32"/>
          <w:highlight w:val="none"/>
        </w:rPr>
        <w:t>第二章 磋商须知</w:t>
      </w:r>
      <w:bookmarkEnd w:id="58"/>
      <w:bookmarkEnd w:id="59"/>
      <w:bookmarkEnd w:id="60"/>
      <w:bookmarkEnd w:id="61"/>
    </w:p>
    <w:p w14:paraId="5C57A578">
      <w:pPr>
        <w:pStyle w:val="8"/>
        <w:adjustRightInd w:val="0"/>
        <w:snapToGrid w:val="0"/>
        <w:spacing w:before="120" w:beforeLines="50"/>
        <w:jc w:val="center"/>
        <w:rPr>
          <w:rFonts w:hint="eastAsia" w:ascii="黑体" w:hAnsi="黑体" w:eastAsia="黑体"/>
          <w:sz w:val="28"/>
          <w:szCs w:val="28"/>
          <w:highlight w:val="none"/>
        </w:rPr>
      </w:pPr>
      <w:bookmarkStart w:id="62" w:name="_Toc13341"/>
      <w:bookmarkStart w:id="63" w:name="_Toc10934"/>
      <w:bookmarkStart w:id="64" w:name="_Toc29494"/>
      <w:bookmarkStart w:id="65" w:name="_Toc16794"/>
      <w:r>
        <w:rPr>
          <w:rFonts w:hint="eastAsia" w:ascii="黑体" w:hAnsi="黑体" w:eastAsia="黑体"/>
          <w:sz w:val="28"/>
          <w:szCs w:val="28"/>
          <w:highlight w:val="none"/>
        </w:rPr>
        <w:t>第一节 磋商须知前附表</w:t>
      </w:r>
      <w:bookmarkEnd w:id="62"/>
      <w:bookmarkEnd w:id="63"/>
      <w:bookmarkEnd w:id="64"/>
      <w:bookmarkEnd w:id="65"/>
    </w:p>
    <w:tbl>
      <w:tblPr>
        <w:tblStyle w:val="48"/>
        <w:tblW w:w="944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25"/>
        <w:gridCol w:w="2366"/>
        <w:gridCol w:w="5856"/>
      </w:tblGrid>
      <w:tr w14:paraId="7F0C08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tblHeader/>
          <w:jc w:val="center"/>
        </w:trPr>
        <w:tc>
          <w:tcPr>
            <w:tcW w:w="1225" w:type="dxa"/>
            <w:vAlign w:val="center"/>
          </w:tcPr>
          <w:p w14:paraId="051BA8AD">
            <w:pPr>
              <w:adjustRightInd w:val="0"/>
              <w:snapToGrid w:val="0"/>
              <w:spacing w:before="120" w:beforeLines="50"/>
              <w:jc w:val="center"/>
              <w:rPr>
                <w:rFonts w:hint="eastAsia" w:ascii="宋体" w:hAnsi="宋体"/>
                <w:b/>
                <w:szCs w:val="21"/>
                <w:highlight w:val="none"/>
              </w:rPr>
            </w:pPr>
            <w:r>
              <w:rPr>
                <w:rFonts w:hint="eastAsia" w:ascii="宋体" w:hAnsi="宋体"/>
                <w:b/>
                <w:szCs w:val="21"/>
                <w:highlight w:val="none"/>
              </w:rPr>
              <w:t>条款号</w:t>
            </w:r>
          </w:p>
        </w:tc>
        <w:tc>
          <w:tcPr>
            <w:tcW w:w="2366" w:type="dxa"/>
            <w:vAlign w:val="center"/>
          </w:tcPr>
          <w:p w14:paraId="6124245E">
            <w:pPr>
              <w:adjustRightInd w:val="0"/>
              <w:snapToGrid w:val="0"/>
              <w:spacing w:before="120" w:beforeLines="50"/>
              <w:jc w:val="center"/>
              <w:rPr>
                <w:rFonts w:hint="eastAsia" w:ascii="宋体" w:hAnsi="宋体"/>
                <w:b/>
                <w:szCs w:val="21"/>
                <w:highlight w:val="none"/>
              </w:rPr>
            </w:pPr>
            <w:r>
              <w:rPr>
                <w:rFonts w:hint="eastAsia" w:ascii="宋体" w:hAnsi="宋体"/>
                <w:b/>
                <w:szCs w:val="21"/>
                <w:highlight w:val="none"/>
              </w:rPr>
              <w:t>条款名称</w:t>
            </w:r>
          </w:p>
        </w:tc>
        <w:tc>
          <w:tcPr>
            <w:tcW w:w="5856" w:type="dxa"/>
            <w:vAlign w:val="center"/>
          </w:tcPr>
          <w:p w14:paraId="73B731B9">
            <w:pPr>
              <w:adjustRightInd w:val="0"/>
              <w:snapToGrid w:val="0"/>
              <w:spacing w:before="120" w:beforeLines="50"/>
              <w:jc w:val="center"/>
              <w:rPr>
                <w:rFonts w:hint="eastAsia" w:ascii="宋体" w:hAnsi="宋体"/>
                <w:b/>
                <w:szCs w:val="21"/>
                <w:highlight w:val="none"/>
              </w:rPr>
            </w:pPr>
            <w:r>
              <w:rPr>
                <w:rFonts w:hint="eastAsia" w:ascii="宋体" w:hAnsi="宋体"/>
                <w:b/>
                <w:szCs w:val="21"/>
                <w:highlight w:val="none"/>
              </w:rPr>
              <w:t>编列内容规定</w:t>
            </w:r>
          </w:p>
        </w:tc>
      </w:tr>
      <w:tr w14:paraId="394574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447" w:type="dxa"/>
            <w:gridSpan w:val="3"/>
            <w:vAlign w:val="center"/>
          </w:tcPr>
          <w:p w14:paraId="305CEEA8">
            <w:pPr>
              <w:adjustRightInd w:val="0"/>
              <w:snapToGrid w:val="0"/>
              <w:spacing w:before="50"/>
              <w:rPr>
                <w:rFonts w:hint="eastAsia" w:ascii="宋体" w:hAnsi="宋体"/>
                <w:szCs w:val="21"/>
                <w:highlight w:val="none"/>
              </w:rPr>
            </w:pPr>
            <w:r>
              <w:rPr>
                <w:rFonts w:hint="eastAsia" w:ascii="宋体" w:hAnsi="宋体"/>
                <w:b/>
                <w:szCs w:val="21"/>
                <w:highlight w:val="none"/>
              </w:rPr>
              <w:t>一、说明</w:t>
            </w:r>
          </w:p>
        </w:tc>
      </w:tr>
      <w:tr w14:paraId="1D3C64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225" w:type="dxa"/>
            <w:vAlign w:val="center"/>
          </w:tcPr>
          <w:p w14:paraId="3334A124">
            <w:pPr>
              <w:adjustRightInd w:val="0"/>
              <w:snapToGrid w:val="0"/>
              <w:spacing w:before="50"/>
              <w:jc w:val="center"/>
              <w:rPr>
                <w:rFonts w:hint="eastAsia" w:ascii="宋体" w:hAnsi="宋体"/>
                <w:szCs w:val="21"/>
                <w:highlight w:val="none"/>
              </w:rPr>
            </w:pPr>
            <w:r>
              <w:rPr>
                <w:rFonts w:hint="eastAsia" w:ascii="宋体" w:hAnsi="宋体"/>
                <w:szCs w:val="21"/>
                <w:highlight w:val="none"/>
              </w:rPr>
              <w:t>第1.1款</w:t>
            </w:r>
          </w:p>
        </w:tc>
        <w:tc>
          <w:tcPr>
            <w:tcW w:w="2366" w:type="dxa"/>
            <w:vAlign w:val="center"/>
          </w:tcPr>
          <w:p w14:paraId="284322DA">
            <w:pPr>
              <w:adjustRightInd w:val="0"/>
              <w:snapToGrid w:val="0"/>
              <w:spacing w:before="50"/>
              <w:rPr>
                <w:rFonts w:hint="eastAsia" w:ascii="宋体" w:hAnsi="宋体"/>
                <w:szCs w:val="21"/>
                <w:highlight w:val="none"/>
              </w:rPr>
            </w:pPr>
            <w:r>
              <w:rPr>
                <w:rFonts w:hint="eastAsia" w:ascii="宋体" w:hAnsi="宋体"/>
                <w:szCs w:val="21"/>
                <w:highlight w:val="none"/>
              </w:rPr>
              <w:t>采购项目</w:t>
            </w:r>
          </w:p>
        </w:tc>
        <w:tc>
          <w:tcPr>
            <w:tcW w:w="5856" w:type="dxa"/>
            <w:vAlign w:val="center"/>
          </w:tcPr>
          <w:p w14:paraId="24C050F4">
            <w:pPr>
              <w:adjustRightInd w:val="0"/>
              <w:snapToGrid w:val="0"/>
              <w:spacing w:before="50"/>
              <w:rPr>
                <w:rFonts w:hint="eastAsia" w:ascii="宋体" w:hAnsi="宋体" w:eastAsia="宋体"/>
                <w:szCs w:val="21"/>
                <w:highlight w:val="none"/>
                <w:lang w:eastAsia="zh-CN"/>
              </w:rPr>
            </w:pPr>
            <w:r>
              <w:rPr>
                <w:rFonts w:hint="eastAsia" w:ascii="宋体" w:hAnsi="宋体"/>
                <w:szCs w:val="21"/>
                <w:highlight w:val="none"/>
                <w:lang w:eastAsia="zh-CN"/>
              </w:rPr>
              <w:t>湖南省重点污染源自动监控系统运维服务项目</w:t>
            </w:r>
          </w:p>
        </w:tc>
      </w:tr>
      <w:tr w14:paraId="3E1CCE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225" w:type="dxa"/>
            <w:vAlign w:val="center"/>
          </w:tcPr>
          <w:p w14:paraId="264B761E">
            <w:pPr>
              <w:adjustRightInd w:val="0"/>
              <w:snapToGrid w:val="0"/>
              <w:spacing w:before="50"/>
              <w:jc w:val="center"/>
              <w:rPr>
                <w:rFonts w:hint="eastAsia" w:ascii="宋体" w:hAnsi="宋体"/>
                <w:szCs w:val="21"/>
                <w:highlight w:val="none"/>
              </w:rPr>
            </w:pPr>
            <w:r>
              <w:rPr>
                <w:rFonts w:hint="eastAsia" w:ascii="宋体" w:hAnsi="宋体"/>
                <w:szCs w:val="21"/>
                <w:highlight w:val="none"/>
              </w:rPr>
              <w:t>第1.2款</w:t>
            </w:r>
          </w:p>
        </w:tc>
        <w:tc>
          <w:tcPr>
            <w:tcW w:w="2366" w:type="dxa"/>
            <w:vAlign w:val="center"/>
          </w:tcPr>
          <w:p w14:paraId="5A4AC865">
            <w:pPr>
              <w:rPr>
                <w:highlight w:val="none"/>
              </w:rPr>
            </w:pPr>
            <w:r>
              <w:rPr>
                <w:rFonts w:hint="eastAsia" w:ascii="宋体" w:hAnsi="宋体"/>
                <w:szCs w:val="21"/>
                <w:highlight w:val="none"/>
              </w:rPr>
              <w:t>预留采购份额</w:t>
            </w:r>
          </w:p>
        </w:tc>
        <w:tc>
          <w:tcPr>
            <w:tcW w:w="5856" w:type="dxa"/>
            <w:vAlign w:val="center"/>
          </w:tcPr>
          <w:p w14:paraId="55549893">
            <w:pPr>
              <w:adjustRightInd w:val="0"/>
              <w:snapToGrid w:val="0"/>
              <w:spacing w:before="50"/>
              <w:rPr>
                <w:rFonts w:hint="eastAsia" w:ascii="宋体" w:hAnsi="宋体"/>
                <w:szCs w:val="21"/>
                <w:highlight w:val="none"/>
              </w:rPr>
            </w:pPr>
            <w:r>
              <w:rPr>
                <w:rFonts w:hint="eastAsia" w:ascii="宋体" w:hAnsi="宋体"/>
                <w:szCs w:val="21"/>
                <w:highlight w:val="none"/>
              </w:rPr>
              <w:t>■  预留采购份额</w:t>
            </w:r>
          </w:p>
          <w:p w14:paraId="7996A7D6">
            <w:pPr>
              <w:adjustRightInd w:val="0"/>
              <w:snapToGrid w:val="0"/>
              <w:spacing w:before="50"/>
              <w:rPr>
                <w:rFonts w:hint="eastAsia" w:ascii="宋体" w:hAnsi="宋体"/>
                <w:szCs w:val="21"/>
                <w:highlight w:val="none"/>
              </w:rPr>
            </w:pPr>
            <w:r>
              <w:rPr>
                <w:rFonts w:hint="eastAsia" w:ascii="宋体" w:hAnsi="宋体"/>
                <w:szCs w:val="21"/>
                <w:highlight w:val="none"/>
              </w:rPr>
              <w:t>□非预留采购份额</w:t>
            </w:r>
          </w:p>
        </w:tc>
      </w:tr>
      <w:tr w14:paraId="50609B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225" w:type="dxa"/>
            <w:vAlign w:val="center"/>
          </w:tcPr>
          <w:p w14:paraId="7479A758">
            <w:pPr>
              <w:adjustRightInd w:val="0"/>
              <w:snapToGrid w:val="0"/>
              <w:spacing w:before="50"/>
              <w:jc w:val="center"/>
              <w:rPr>
                <w:rFonts w:hint="eastAsia" w:ascii="宋体" w:hAnsi="宋体"/>
                <w:szCs w:val="21"/>
                <w:highlight w:val="none"/>
              </w:rPr>
            </w:pPr>
            <w:r>
              <w:rPr>
                <w:rFonts w:hint="eastAsia" w:ascii="宋体" w:hAnsi="宋体"/>
                <w:szCs w:val="21"/>
                <w:highlight w:val="none"/>
              </w:rPr>
              <w:t>第2.1款</w:t>
            </w:r>
          </w:p>
        </w:tc>
        <w:tc>
          <w:tcPr>
            <w:tcW w:w="2366" w:type="dxa"/>
            <w:vAlign w:val="center"/>
          </w:tcPr>
          <w:p w14:paraId="19E8628C">
            <w:pPr>
              <w:adjustRightInd w:val="0"/>
              <w:snapToGrid w:val="0"/>
              <w:spacing w:before="50"/>
              <w:jc w:val="center"/>
              <w:rPr>
                <w:rFonts w:hint="eastAsia" w:ascii="宋体" w:hAnsi="宋体"/>
                <w:szCs w:val="21"/>
                <w:highlight w:val="none"/>
              </w:rPr>
            </w:pPr>
            <w:r>
              <w:rPr>
                <w:rFonts w:hint="eastAsia" w:ascii="宋体" w:hAnsi="宋体"/>
                <w:szCs w:val="21"/>
                <w:highlight w:val="none"/>
              </w:rPr>
              <w:t>采购项目联系人姓名和电话</w:t>
            </w:r>
          </w:p>
        </w:tc>
        <w:tc>
          <w:tcPr>
            <w:tcW w:w="5856" w:type="dxa"/>
            <w:vAlign w:val="center"/>
          </w:tcPr>
          <w:p w14:paraId="146C1806">
            <w:pPr>
              <w:adjustRightInd w:val="0"/>
              <w:snapToGrid w:val="0"/>
              <w:spacing w:before="50"/>
              <w:rPr>
                <w:rFonts w:hint="eastAsia" w:ascii="宋体" w:hAnsi="宋体" w:eastAsia="宋体"/>
                <w:szCs w:val="21"/>
                <w:highlight w:val="none"/>
                <w:lang w:eastAsia="zh-CN"/>
              </w:rPr>
            </w:pPr>
            <w:r>
              <w:rPr>
                <w:rFonts w:hint="eastAsia" w:ascii="宋体" w:hAnsi="宋体"/>
                <w:szCs w:val="21"/>
                <w:highlight w:val="none"/>
              </w:rPr>
              <w:t>联系人姓名：</w:t>
            </w:r>
            <w:r>
              <w:rPr>
                <w:rFonts w:hint="eastAsia" w:ascii="宋体" w:hAnsi="宋体"/>
                <w:szCs w:val="21"/>
                <w:highlight w:val="none"/>
                <w:lang w:eastAsia="zh-CN"/>
              </w:rPr>
              <w:t>廖名燕</w:t>
            </w:r>
          </w:p>
          <w:p w14:paraId="67B1CB4F">
            <w:pPr>
              <w:adjustRightInd w:val="0"/>
              <w:snapToGrid w:val="0"/>
              <w:spacing w:before="50"/>
              <w:rPr>
                <w:rFonts w:hint="eastAsia" w:ascii="宋体" w:hAnsi="宋体"/>
                <w:szCs w:val="21"/>
                <w:highlight w:val="none"/>
              </w:rPr>
            </w:pPr>
            <w:r>
              <w:rPr>
                <w:rFonts w:hint="eastAsia" w:ascii="宋体" w:hAnsi="宋体"/>
                <w:szCs w:val="21"/>
                <w:highlight w:val="none"/>
              </w:rPr>
              <w:t>电话：15707325054</w:t>
            </w:r>
          </w:p>
        </w:tc>
      </w:tr>
      <w:tr w14:paraId="5D5CCB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225" w:type="dxa"/>
            <w:vAlign w:val="center"/>
          </w:tcPr>
          <w:p w14:paraId="53328440">
            <w:pPr>
              <w:adjustRightInd w:val="0"/>
              <w:snapToGrid w:val="0"/>
              <w:spacing w:before="50"/>
              <w:jc w:val="center"/>
              <w:rPr>
                <w:rFonts w:hint="eastAsia" w:ascii="宋体" w:hAnsi="宋体"/>
                <w:szCs w:val="21"/>
                <w:highlight w:val="none"/>
              </w:rPr>
            </w:pPr>
            <w:r>
              <w:rPr>
                <w:rFonts w:hint="eastAsia" w:ascii="宋体" w:hAnsi="宋体"/>
                <w:szCs w:val="21"/>
                <w:highlight w:val="none"/>
              </w:rPr>
              <w:t>第2.2款</w:t>
            </w:r>
          </w:p>
        </w:tc>
        <w:tc>
          <w:tcPr>
            <w:tcW w:w="2366" w:type="dxa"/>
            <w:vAlign w:val="center"/>
          </w:tcPr>
          <w:p w14:paraId="48E76A41">
            <w:pPr>
              <w:adjustRightInd w:val="0"/>
              <w:snapToGrid w:val="0"/>
              <w:jc w:val="left"/>
              <w:rPr>
                <w:rFonts w:hint="eastAsia" w:ascii="宋体" w:hAnsi="宋体"/>
                <w:szCs w:val="21"/>
                <w:highlight w:val="none"/>
              </w:rPr>
            </w:pPr>
            <w:r>
              <w:rPr>
                <w:rFonts w:hint="eastAsia" w:ascii="宋体" w:hAnsi="宋体"/>
                <w:szCs w:val="21"/>
                <w:highlight w:val="none"/>
              </w:rPr>
              <w:t>采购人名称、地址、电话、联系人</w:t>
            </w:r>
          </w:p>
        </w:tc>
        <w:tc>
          <w:tcPr>
            <w:tcW w:w="5856" w:type="dxa"/>
            <w:vAlign w:val="center"/>
          </w:tcPr>
          <w:p w14:paraId="6C807542">
            <w:pPr>
              <w:adjustRightInd w:val="0"/>
              <w:snapToGrid w:val="0"/>
              <w:jc w:val="left"/>
              <w:rPr>
                <w:rFonts w:hint="eastAsia" w:ascii="宋体" w:hAnsi="宋体"/>
                <w:szCs w:val="21"/>
                <w:highlight w:val="none"/>
              </w:rPr>
            </w:pPr>
            <w:r>
              <w:rPr>
                <w:rFonts w:hint="eastAsia" w:ascii="宋体" w:hAnsi="宋体"/>
                <w:szCs w:val="21"/>
                <w:highlight w:val="none"/>
              </w:rPr>
              <w:t>名    称：湖南省环境应急与事故调查中心</w:t>
            </w:r>
          </w:p>
          <w:p w14:paraId="4D4DACCB">
            <w:pPr>
              <w:adjustRightInd w:val="0"/>
              <w:snapToGrid w:val="0"/>
              <w:jc w:val="left"/>
              <w:rPr>
                <w:rFonts w:hint="eastAsia" w:ascii="宋体" w:hAnsi="宋体"/>
                <w:szCs w:val="21"/>
                <w:highlight w:val="none"/>
              </w:rPr>
            </w:pPr>
            <w:r>
              <w:rPr>
                <w:rFonts w:hint="eastAsia" w:ascii="宋体" w:hAnsi="宋体"/>
                <w:szCs w:val="21"/>
                <w:highlight w:val="none"/>
              </w:rPr>
              <w:t>地    址：湖南省长沙市万家丽路3段118号</w:t>
            </w:r>
          </w:p>
          <w:p w14:paraId="1BA3B82F">
            <w:pPr>
              <w:adjustRightInd w:val="0"/>
              <w:snapToGrid w:val="0"/>
              <w:jc w:val="left"/>
              <w:rPr>
                <w:rFonts w:hint="eastAsia" w:ascii="宋体" w:hAnsi="宋体"/>
                <w:szCs w:val="21"/>
                <w:highlight w:val="none"/>
              </w:rPr>
            </w:pPr>
            <w:r>
              <w:rPr>
                <w:rFonts w:hint="eastAsia" w:ascii="宋体" w:hAnsi="宋体"/>
                <w:szCs w:val="21"/>
                <w:highlight w:val="none"/>
              </w:rPr>
              <w:t>联 系 人：黄先生</w:t>
            </w:r>
          </w:p>
          <w:p w14:paraId="3F6EEF2C">
            <w:pPr>
              <w:adjustRightInd w:val="0"/>
              <w:snapToGrid w:val="0"/>
              <w:jc w:val="left"/>
              <w:rPr>
                <w:rFonts w:hint="eastAsia" w:ascii="宋体" w:hAnsi="宋体"/>
                <w:szCs w:val="21"/>
                <w:highlight w:val="none"/>
              </w:rPr>
            </w:pPr>
            <w:r>
              <w:rPr>
                <w:rFonts w:hint="eastAsia" w:ascii="宋体" w:hAnsi="宋体"/>
                <w:szCs w:val="21"/>
                <w:highlight w:val="none"/>
              </w:rPr>
              <w:t>邮    编：410000</w:t>
            </w:r>
          </w:p>
          <w:p w14:paraId="1F3D0D58">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rPr>
              <w:t>联系方式：</w:t>
            </w:r>
            <w:r>
              <w:rPr>
                <w:rFonts w:hint="eastAsia" w:ascii="宋体" w:hAnsi="宋体"/>
                <w:szCs w:val="21"/>
                <w:highlight w:val="none"/>
                <w:lang w:eastAsia="zh-CN"/>
              </w:rPr>
              <w:t>0731-85698105</w:t>
            </w:r>
          </w:p>
          <w:p w14:paraId="434CFD4D">
            <w:pPr>
              <w:adjustRightInd w:val="0"/>
              <w:snapToGrid w:val="0"/>
              <w:jc w:val="left"/>
              <w:rPr>
                <w:rFonts w:hint="eastAsia" w:ascii="宋体" w:hAnsi="宋体"/>
                <w:szCs w:val="21"/>
                <w:highlight w:val="none"/>
              </w:rPr>
            </w:pPr>
            <w:r>
              <w:rPr>
                <w:rFonts w:hint="eastAsia" w:ascii="宋体" w:hAnsi="宋体"/>
                <w:szCs w:val="21"/>
                <w:highlight w:val="none"/>
              </w:rPr>
              <w:t>电子邮箱：/</w:t>
            </w:r>
          </w:p>
        </w:tc>
      </w:tr>
      <w:tr w14:paraId="28E45E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225" w:type="dxa"/>
            <w:vAlign w:val="center"/>
          </w:tcPr>
          <w:p w14:paraId="3044A579">
            <w:pPr>
              <w:adjustRightInd w:val="0"/>
              <w:snapToGrid w:val="0"/>
              <w:spacing w:before="50"/>
              <w:jc w:val="center"/>
              <w:rPr>
                <w:rFonts w:hint="eastAsia" w:ascii="宋体" w:hAnsi="宋体"/>
                <w:szCs w:val="21"/>
                <w:highlight w:val="none"/>
              </w:rPr>
            </w:pPr>
            <w:r>
              <w:rPr>
                <w:rFonts w:hint="eastAsia" w:ascii="宋体" w:hAnsi="宋体"/>
                <w:szCs w:val="21"/>
                <w:highlight w:val="none"/>
              </w:rPr>
              <w:t>第2.3款</w:t>
            </w:r>
          </w:p>
        </w:tc>
        <w:tc>
          <w:tcPr>
            <w:tcW w:w="2366" w:type="dxa"/>
            <w:vAlign w:val="center"/>
          </w:tcPr>
          <w:p w14:paraId="1F1E0396">
            <w:pPr>
              <w:adjustRightInd w:val="0"/>
              <w:snapToGrid w:val="0"/>
              <w:spacing w:before="50"/>
              <w:jc w:val="center"/>
              <w:rPr>
                <w:highlight w:val="none"/>
              </w:rPr>
            </w:pPr>
            <w:r>
              <w:rPr>
                <w:rFonts w:hint="eastAsia"/>
                <w:highlight w:val="none"/>
              </w:rPr>
              <w:t>采购代理机构名称、地址、电话、联系人</w:t>
            </w:r>
          </w:p>
        </w:tc>
        <w:tc>
          <w:tcPr>
            <w:tcW w:w="5856" w:type="dxa"/>
            <w:vAlign w:val="center"/>
          </w:tcPr>
          <w:p w14:paraId="33AF2169">
            <w:pPr>
              <w:rPr>
                <w:rFonts w:hint="eastAsia" w:ascii="宋体" w:hAnsi="宋体" w:cs="宋体"/>
                <w:highlight w:val="none"/>
              </w:rPr>
            </w:pPr>
            <w:r>
              <w:rPr>
                <w:rFonts w:hint="eastAsia" w:ascii="宋体" w:hAnsi="宋体" w:cs="宋体"/>
                <w:highlight w:val="none"/>
              </w:rPr>
              <w:t>名    称：长沙广厦建设工程招标代理有限公司</w:t>
            </w:r>
          </w:p>
          <w:p w14:paraId="7F0E89C0">
            <w:pPr>
              <w:rPr>
                <w:rFonts w:hint="eastAsia" w:ascii="宋体" w:hAnsi="宋体" w:cs="宋体"/>
                <w:highlight w:val="none"/>
              </w:rPr>
            </w:pPr>
            <w:r>
              <w:rPr>
                <w:rFonts w:hint="eastAsia" w:ascii="宋体" w:hAnsi="宋体" w:cs="宋体"/>
                <w:highlight w:val="none"/>
              </w:rPr>
              <w:t>地  址：长沙市万家丽北路星雅美辰1号栋（山东商会大厦）8楼809室</w:t>
            </w:r>
          </w:p>
          <w:p w14:paraId="2C04F7D3">
            <w:pPr>
              <w:rPr>
                <w:rFonts w:hint="eastAsia" w:ascii="宋体" w:hAnsi="宋体" w:eastAsia="宋体" w:cs="宋体"/>
                <w:highlight w:val="none"/>
                <w:lang w:eastAsia="zh-CN"/>
              </w:rPr>
            </w:pPr>
            <w:r>
              <w:rPr>
                <w:rFonts w:hint="eastAsia" w:ascii="宋体" w:hAnsi="宋体" w:cs="宋体"/>
                <w:highlight w:val="none"/>
              </w:rPr>
              <w:t>联系人：</w:t>
            </w:r>
            <w:r>
              <w:rPr>
                <w:rFonts w:hint="eastAsia" w:ascii="宋体" w:hAnsi="宋体" w:cs="宋体"/>
                <w:highlight w:val="none"/>
                <w:lang w:eastAsia="zh-CN"/>
              </w:rPr>
              <w:t>廖名燕</w:t>
            </w:r>
          </w:p>
          <w:p w14:paraId="4BBD5FBF">
            <w:pPr>
              <w:rPr>
                <w:rFonts w:hint="eastAsia" w:ascii="宋体" w:hAnsi="宋体" w:cs="宋体"/>
                <w:highlight w:val="none"/>
              </w:rPr>
            </w:pPr>
            <w:r>
              <w:rPr>
                <w:rFonts w:hint="eastAsia" w:ascii="宋体" w:hAnsi="宋体" w:cs="宋体"/>
                <w:highlight w:val="none"/>
              </w:rPr>
              <w:t>邮    编：410100</w:t>
            </w:r>
          </w:p>
          <w:p w14:paraId="7655FD86">
            <w:pPr>
              <w:rPr>
                <w:rFonts w:hint="eastAsia" w:ascii="宋体" w:hAnsi="宋体" w:cs="宋体"/>
                <w:highlight w:val="none"/>
              </w:rPr>
            </w:pPr>
            <w:r>
              <w:rPr>
                <w:rFonts w:hint="eastAsia" w:ascii="宋体" w:hAnsi="宋体" w:cs="宋体"/>
                <w:highlight w:val="none"/>
              </w:rPr>
              <w:t>电话：15707325054</w:t>
            </w:r>
          </w:p>
          <w:p w14:paraId="1ED86520">
            <w:pPr>
              <w:rPr>
                <w:rFonts w:hint="eastAsia" w:ascii="宋体" w:hAnsi="宋体" w:cs="宋体"/>
                <w:highlight w:val="none"/>
              </w:rPr>
            </w:pPr>
            <w:r>
              <w:rPr>
                <w:rFonts w:hint="eastAsia" w:ascii="宋体" w:hAnsi="宋体" w:cs="宋体"/>
                <w:highlight w:val="none"/>
              </w:rPr>
              <w:t>电子邮箱：1835927674@qq.com</w:t>
            </w:r>
          </w:p>
        </w:tc>
      </w:tr>
      <w:tr w14:paraId="70EA85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3" w:hRule="atLeast"/>
          <w:jc w:val="center"/>
        </w:trPr>
        <w:tc>
          <w:tcPr>
            <w:tcW w:w="1225" w:type="dxa"/>
            <w:tcBorders>
              <w:bottom w:val="single" w:color="auto" w:sz="4" w:space="0"/>
            </w:tcBorders>
            <w:vAlign w:val="center"/>
          </w:tcPr>
          <w:p w14:paraId="0355C342">
            <w:pPr>
              <w:adjustRightInd w:val="0"/>
              <w:snapToGrid w:val="0"/>
              <w:spacing w:before="50"/>
              <w:jc w:val="center"/>
              <w:rPr>
                <w:rFonts w:hint="eastAsia" w:ascii="宋体" w:hAnsi="宋体"/>
                <w:szCs w:val="21"/>
                <w:highlight w:val="none"/>
              </w:rPr>
            </w:pPr>
            <w:r>
              <w:rPr>
                <w:rFonts w:hint="eastAsia" w:ascii="宋体" w:hAnsi="宋体"/>
                <w:szCs w:val="21"/>
                <w:highlight w:val="none"/>
              </w:rPr>
              <w:t>第3.1款</w:t>
            </w:r>
          </w:p>
        </w:tc>
        <w:tc>
          <w:tcPr>
            <w:tcW w:w="2366" w:type="dxa"/>
            <w:vAlign w:val="center"/>
          </w:tcPr>
          <w:p w14:paraId="20432FBE">
            <w:pPr>
              <w:adjustRightInd w:val="0"/>
              <w:snapToGrid w:val="0"/>
              <w:spacing w:before="50"/>
              <w:jc w:val="center"/>
              <w:rPr>
                <w:highlight w:val="none"/>
              </w:rPr>
            </w:pPr>
            <w:r>
              <w:rPr>
                <w:rFonts w:hint="eastAsia"/>
                <w:highlight w:val="none"/>
              </w:rPr>
              <w:t>供应商资格条件</w:t>
            </w:r>
          </w:p>
        </w:tc>
        <w:tc>
          <w:tcPr>
            <w:tcW w:w="5856" w:type="dxa"/>
            <w:vAlign w:val="center"/>
          </w:tcPr>
          <w:p w14:paraId="771ACF5A">
            <w:pPr>
              <w:adjustRightInd w:val="0"/>
              <w:snapToGrid w:val="0"/>
              <w:jc w:val="left"/>
              <w:rPr>
                <w:rFonts w:hint="eastAsia" w:ascii="宋体" w:hAnsi="宋体"/>
                <w:szCs w:val="21"/>
                <w:highlight w:val="none"/>
              </w:rPr>
            </w:pPr>
            <w:r>
              <w:rPr>
                <w:rFonts w:hint="eastAsia" w:ascii="宋体" w:hAnsi="宋体"/>
                <w:szCs w:val="21"/>
                <w:highlight w:val="none"/>
              </w:rPr>
              <w:t>1、供应商基本资格条件：供应商必须是在中华人民共和国境内注册登记的法人、其他组织或者自然人，且应当符合《政府采购法》第二十二条第一款的规定</w:t>
            </w:r>
            <w:r>
              <w:rPr>
                <w:rFonts w:hint="eastAsia" w:ascii="宋体" w:hAnsi="宋体"/>
                <w:szCs w:val="21"/>
                <w:highlight w:val="none"/>
                <w:lang w:eastAsia="zh-CN"/>
              </w:rPr>
              <w:t>。</w:t>
            </w:r>
            <w:r>
              <w:rPr>
                <w:rFonts w:hint="eastAsia" w:ascii="宋体" w:hAnsi="宋体"/>
                <w:szCs w:val="21"/>
                <w:highlight w:val="none"/>
              </w:rPr>
              <w:t>即：</w:t>
            </w:r>
          </w:p>
          <w:p w14:paraId="3B671E34">
            <w:pPr>
              <w:adjustRightInd w:val="0"/>
              <w:snapToGrid w:val="0"/>
              <w:jc w:val="left"/>
              <w:rPr>
                <w:rFonts w:hint="eastAsia" w:ascii="宋体" w:hAnsi="宋体"/>
                <w:szCs w:val="21"/>
                <w:highlight w:val="none"/>
              </w:rPr>
            </w:pPr>
            <w:r>
              <w:rPr>
                <w:rFonts w:hint="eastAsia" w:ascii="宋体" w:hAnsi="宋体"/>
                <w:szCs w:val="21"/>
                <w:highlight w:val="none"/>
              </w:rPr>
              <w:t>（1）具有独立承担民事责任的能力；</w:t>
            </w:r>
          </w:p>
          <w:p w14:paraId="4F73A70D">
            <w:pPr>
              <w:adjustRightInd w:val="0"/>
              <w:snapToGrid w:val="0"/>
              <w:jc w:val="left"/>
              <w:rPr>
                <w:rFonts w:hint="eastAsia" w:ascii="宋体" w:hAnsi="宋体"/>
                <w:szCs w:val="21"/>
                <w:highlight w:val="none"/>
              </w:rPr>
            </w:pPr>
            <w:r>
              <w:rPr>
                <w:rFonts w:hint="eastAsia" w:ascii="宋体" w:hAnsi="宋体"/>
                <w:szCs w:val="21"/>
                <w:highlight w:val="none"/>
              </w:rPr>
              <w:t>（2）具有良好的商业信誉和健全的财务会计制度；</w:t>
            </w:r>
          </w:p>
          <w:p w14:paraId="2FE3A38C">
            <w:pPr>
              <w:adjustRightInd w:val="0"/>
              <w:snapToGrid w:val="0"/>
              <w:jc w:val="left"/>
              <w:rPr>
                <w:rFonts w:hint="eastAsia" w:ascii="宋体" w:hAnsi="宋体"/>
                <w:szCs w:val="21"/>
                <w:highlight w:val="none"/>
              </w:rPr>
            </w:pPr>
            <w:r>
              <w:rPr>
                <w:rFonts w:hint="eastAsia" w:ascii="宋体" w:hAnsi="宋体"/>
                <w:szCs w:val="21"/>
                <w:highlight w:val="none"/>
              </w:rPr>
              <w:t>（3）具有履行合同所必需的设备和专业技术能力；</w:t>
            </w:r>
          </w:p>
          <w:p w14:paraId="570DAE33">
            <w:pPr>
              <w:adjustRightInd w:val="0"/>
              <w:snapToGrid w:val="0"/>
              <w:jc w:val="left"/>
              <w:rPr>
                <w:rFonts w:hint="eastAsia" w:ascii="宋体" w:hAnsi="宋体"/>
                <w:szCs w:val="21"/>
                <w:highlight w:val="none"/>
              </w:rPr>
            </w:pPr>
            <w:r>
              <w:rPr>
                <w:rFonts w:hint="eastAsia" w:ascii="宋体" w:hAnsi="宋体"/>
                <w:szCs w:val="21"/>
                <w:highlight w:val="none"/>
              </w:rPr>
              <w:t>（4）有依法缴纳税收和社会保障资金的良好记录。</w:t>
            </w:r>
          </w:p>
          <w:p w14:paraId="3499E1A8">
            <w:pPr>
              <w:adjustRightInd w:val="0"/>
              <w:snapToGrid w:val="0"/>
              <w:jc w:val="left"/>
              <w:rPr>
                <w:rFonts w:hint="eastAsia" w:ascii="宋体" w:hAnsi="宋体"/>
                <w:szCs w:val="21"/>
                <w:highlight w:val="none"/>
              </w:rPr>
            </w:pPr>
            <w:r>
              <w:rPr>
                <w:rFonts w:hint="eastAsia" w:ascii="宋体" w:hAnsi="宋体"/>
                <w:szCs w:val="21"/>
                <w:highlight w:val="none"/>
              </w:rPr>
              <w:t>（5）参加政府采购活动前三年内，在经营活动中没有重大违法记录。</w:t>
            </w:r>
          </w:p>
          <w:p w14:paraId="614F5A7A">
            <w:pPr>
              <w:adjustRightInd w:val="0"/>
              <w:snapToGrid w:val="0"/>
              <w:jc w:val="left"/>
              <w:rPr>
                <w:rFonts w:hint="eastAsia" w:ascii="宋体" w:hAnsi="宋体"/>
                <w:szCs w:val="21"/>
                <w:highlight w:val="none"/>
              </w:rPr>
            </w:pPr>
            <w:r>
              <w:rPr>
                <w:rFonts w:hint="eastAsia" w:ascii="宋体" w:hAnsi="宋体"/>
                <w:szCs w:val="21"/>
                <w:highlight w:val="none"/>
              </w:rPr>
              <w:t>（6）法律、行政法规规定的其他条件。</w:t>
            </w:r>
          </w:p>
          <w:p w14:paraId="6FDC40DC">
            <w:pPr>
              <w:adjustRightInd w:val="0"/>
              <w:snapToGrid w:val="0"/>
              <w:jc w:val="left"/>
              <w:rPr>
                <w:rFonts w:hint="eastAsia" w:ascii="宋体" w:hAnsi="宋体"/>
                <w:szCs w:val="21"/>
                <w:highlight w:val="none"/>
              </w:rPr>
            </w:pPr>
            <w:r>
              <w:rPr>
                <w:rFonts w:hint="eastAsia" w:ascii="宋体" w:hAnsi="宋体"/>
                <w:szCs w:val="21"/>
                <w:highlight w:val="none"/>
              </w:rPr>
              <w:t>2、供应商特定资格条件：本项目专门面向中小企业采购，供应商须提供《中小企业声明函》；监狱企业、残疾人福利性单位视同小型、微型企业，需提供《残疾人福利性单位声明函》或《监狱企业证明资料》。</w:t>
            </w:r>
          </w:p>
          <w:p w14:paraId="55A776FB">
            <w:pPr>
              <w:adjustRightInd w:val="0"/>
              <w:snapToGrid w:val="0"/>
              <w:jc w:val="left"/>
              <w:rPr>
                <w:rFonts w:hint="eastAsia" w:ascii="宋体" w:hAnsi="宋体"/>
                <w:szCs w:val="21"/>
                <w:highlight w:val="none"/>
              </w:rPr>
            </w:pPr>
            <w:r>
              <w:rPr>
                <w:rFonts w:hint="eastAsia" w:ascii="宋体" w:hAnsi="宋体"/>
                <w:szCs w:val="21"/>
                <w:highlight w:val="none"/>
              </w:rPr>
              <w:t>3、单位负责人为同一人或者存在直接控股、管理关系的不同投标人，不得参加同一合同项下的政府采购活动。</w:t>
            </w:r>
          </w:p>
          <w:p w14:paraId="71626211">
            <w:pPr>
              <w:adjustRightInd w:val="0"/>
              <w:snapToGrid w:val="0"/>
              <w:jc w:val="left"/>
              <w:rPr>
                <w:rFonts w:hint="eastAsia" w:ascii="宋体" w:hAnsi="宋体"/>
                <w:szCs w:val="21"/>
                <w:highlight w:val="none"/>
              </w:rPr>
            </w:pPr>
            <w:r>
              <w:rPr>
                <w:rFonts w:hint="eastAsia" w:ascii="宋体" w:hAnsi="宋体"/>
                <w:szCs w:val="21"/>
                <w:highlight w:val="none"/>
              </w:rPr>
              <w:t>4、为本采购项目提供整体设计、规范编制或者项目管理、监理、检测等服务的，不得再参加此项目的其他招标采购活动。</w:t>
            </w:r>
          </w:p>
          <w:p w14:paraId="4CABD582">
            <w:pPr>
              <w:adjustRightInd w:val="0"/>
              <w:snapToGrid w:val="0"/>
              <w:jc w:val="left"/>
              <w:rPr>
                <w:rFonts w:hint="eastAsia" w:ascii="宋体" w:hAnsi="宋体"/>
                <w:szCs w:val="21"/>
                <w:highlight w:val="none"/>
              </w:rPr>
            </w:pPr>
            <w:r>
              <w:rPr>
                <w:rFonts w:hint="eastAsia" w:ascii="宋体" w:hAnsi="宋体"/>
                <w:szCs w:val="21"/>
                <w:highlight w:val="none"/>
              </w:rPr>
              <w:t>5、列入失信被执行人、重大税收违法案件当事人名单，列入政府采购严重违法失信行为记录名单的，拒绝其参与政府采购活动。</w:t>
            </w:r>
          </w:p>
        </w:tc>
      </w:tr>
      <w:tr w14:paraId="1521EC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3" w:hRule="atLeast"/>
          <w:jc w:val="center"/>
        </w:trPr>
        <w:tc>
          <w:tcPr>
            <w:tcW w:w="1225" w:type="dxa"/>
            <w:tcBorders>
              <w:bottom w:val="single" w:color="auto" w:sz="4" w:space="0"/>
            </w:tcBorders>
            <w:vAlign w:val="center"/>
          </w:tcPr>
          <w:p w14:paraId="33B59937">
            <w:pPr>
              <w:adjustRightInd w:val="0"/>
              <w:snapToGrid w:val="0"/>
              <w:spacing w:before="50"/>
              <w:jc w:val="center"/>
              <w:rPr>
                <w:rFonts w:hint="eastAsia" w:ascii="宋体" w:hAnsi="宋体"/>
                <w:szCs w:val="21"/>
                <w:highlight w:val="none"/>
              </w:rPr>
            </w:pPr>
            <w:r>
              <w:rPr>
                <w:rFonts w:hint="eastAsia" w:ascii="宋体" w:hAnsi="宋体"/>
                <w:szCs w:val="21"/>
                <w:highlight w:val="none"/>
              </w:rPr>
              <w:t>第3.2款</w:t>
            </w:r>
          </w:p>
        </w:tc>
        <w:tc>
          <w:tcPr>
            <w:tcW w:w="2366" w:type="dxa"/>
            <w:vAlign w:val="center"/>
          </w:tcPr>
          <w:p w14:paraId="6A667300">
            <w:pPr>
              <w:adjustRightInd w:val="0"/>
              <w:snapToGrid w:val="0"/>
              <w:spacing w:before="50"/>
              <w:jc w:val="center"/>
              <w:rPr>
                <w:highlight w:val="none"/>
              </w:rPr>
            </w:pPr>
            <w:r>
              <w:rPr>
                <w:rFonts w:hint="eastAsia"/>
                <w:highlight w:val="none"/>
              </w:rPr>
              <w:t>是否接受联合体形式</w:t>
            </w:r>
          </w:p>
        </w:tc>
        <w:tc>
          <w:tcPr>
            <w:tcW w:w="5856" w:type="dxa"/>
            <w:vAlign w:val="center"/>
          </w:tcPr>
          <w:p w14:paraId="5D4E246F">
            <w:pPr>
              <w:adjustRightInd w:val="0"/>
              <w:snapToGrid w:val="0"/>
              <w:spacing w:line="240" w:lineRule="atLeast"/>
              <w:rPr>
                <w:rFonts w:hint="eastAsia" w:ascii="宋体" w:hAnsi="宋体"/>
                <w:szCs w:val="21"/>
                <w:highlight w:val="none"/>
              </w:rPr>
            </w:pPr>
            <w:r>
              <w:rPr>
                <w:rFonts w:hint="eastAsia" w:ascii="宋体" w:hAnsi="宋体"/>
                <w:szCs w:val="21"/>
                <w:highlight w:val="none"/>
              </w:rPr>
              <w:t>■ 不接受</w:t>
            </w:r>
          </w:p>
          <w:p w14:paraId="586405B1">
            <w:pPr>
              <w:adjustRightInd w:val="0"/>
              <w:snapToGrid w:val="0"/>
              <w:spacing w:before="50"/>
              <w:rPr>
                <w:rFonts w:hint="eastAsia" w:ascii="宋体" w:hAnsi="宋体"/>
                <w:szCs w:val="21"/>
                <w:highlight w:val="none"/>
              </w:rPr>
            </w:pPr>
            <w:r>
              <w:rPr>
                <w:rFonts w:hint="eastAsia" w:ascii="宋体" w:hAnsi="宋体"/>
                <w:szCs w:val="21"/>
                <w:highlight w:val="none"/>
              </w:rPr>
              <w:t>□ 接受</w:t>
            </w:r>
          </w:p>
        </w:tc>
      </w:tr>
      <w:tr w14:paraId="483E9C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3" w:hRule="atLeast"/>
          <w:jc w:val="center"/>
        </w:trPr>
        <w:tc>
          <w:tcPr>
            <w:tcW w:w="1225" w:type="dxa"/>
            <w:tcBorders>
              <w:bottom w:val="single" w:color="auto" w:sz="4" w:space="0"/>
            </w:tcBorders>
            <w:vAlign w:val="center"/>
          </w:tcPr>
          <w:p w14:paraId="4081C1C1">
            <w:pPr>
              <w:adjustRightInd w:val="0"/>
              <w:snapToGrid w:val="0"/>
              <w:spacing w:before="50"/>
              <w:jc w:val="center"/>
              <w:rPr>
                <w:rFonts w:hint="eastAsia" w:ascii="宋体" w:hAnsi="宋体"/>
                <w:szCs w:val="21"/>
                <w:highlight w:val="none"/>
              </w:rPr>
            </w:pPr>
            <w:r>
              <w:rPr>
                <w:rFonts w:hint="eastAsia" w:ascii="宋体" w:hAnsi="宋体"/>
                <w:szCs w:val="21"/>
                <w:highlight w:val="none"/>
              </w:rPr>
              <w:t>第3.3款</w:t>
            </w:r>
          </w:p>
        </w:tc>
        <w:tc>
          <w:tcPr>
            <w:tcW w:w="2366" w:type="dxa"/>
            <w:vAlign w:val="center"/>
          </w:tcPr>
          <w:p w14:paraId="7F16FF0F">
            <w:pPr>
              <w:adjustRightInd w:val="0"/>
              <w:snapToGrid w:val="0"/>
              <w:spacing w:before="50"/>
              <w:jc w:val="center"/>
              <w:rPr>
                <w:rFonts w:hint="eastAsia" w:ascii="宋体" w:hAnsi="宋体"/>
                <w:szCs w:val="21"/>
                <w:highlight w:val="none"/>
              </w:rPr>
            </w:pPr>
            <w:r>
              <w:rPr>
                <w:rFonts w:hint="eastAsia" w:ascii="宋体" w:hAnsi="宋体"/>
                <w:szCs w:val="21"/>
                <w:highlight w:val="none"/>
              </w:rPr>
              <w:t>供应商的邀请方式</w:t>
            </w:r>
          </w:p>
        </w:tc>
        <w:tc>
          <w:tcPr>
            <w:tcW w:w="5856" w:type="dxa"/>
            <w:vAlign w:val="center"/>
          </w:tcPr>
          <w:p w14:paraId="3ECAF925">
            <w:pPr>
              <w:adjustRightInd w:val="0"/>
              <w:snapToGrid w:val="0"/>
              <w:spacing w:before="50"/>
              <w:rPr>
                <w:rFonts w:hint="eastAsia" w:ascii="宋体" w:hAnsi="宋体"/>
                <w:szCs w:val="21"/>
                <w:highlight w:val="none"/>
              </w:rPr>
            </w:pPr>
            <w:r>
              <w:rPr>
                <w:rFonts w:hint="eastAsia" w:ascii="宋体" w:hAnsi="宋体"/>
                <w:szCs w:val="21"/>
                <w:highlight w:val="none"/>
              </w:rPr>
              <w:t>公告邀请</w:t>
            </w:r>
          </w:p>
        </w:tc>
      </w:tr>
      <w:tr w14:paraId="065AAB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225" w:type="dxa"/>
            <w:vAlign w:val="center"/>
          </w:tcPr>
          <w:p w14:paraId="743756F7">
            <w:pPr>
              <w:adjustRightInd w:val="0"/>
              <w:snapToGrid w:val="0"/>
              <w:spacing w:before="50"/>
              <w:jc w:val="center"/>
              <w:rPr>
                <w:rFonts w:hint="eastAsia" w:ascii="宋体" w:hAnsi="宋体"/>
                <w:szCs w:val="21"/>
                <w:highlight w:val="none"/>
              </w:rPr>
            </w:pPr>
            <w:r>
              <w:rPr>
                <w:rFonts w:hint="eastAsia" w:ascii="宋体" w:hAnsi="宋体"/>
                <w:szCs w:val="21"/>
                <w:highlight w:val="none"/>
              </w:rPr>
              <w:t>第5.1款</w:t>
            </w:r>
          </w:p>
        </w:tc>
        <w:tc>
          <w:tcPr>
            <w:tcW w:w="2366" w:type="dxa"/>
            <w:vAlign w:val="center"/>
          </w:tcPr>
          <w:p w14:paraId="0A5BD57E">
            <w:pPr>
              <w:adjustRightInd w:val="0"/>
              <w:snapToGrid w:val="0"/>
              <w:spacing w:before="50"/>
              <w:jc w:val="center"/>
              <w:rPr>
                <w:highlight w:val="none"/>
              </w:rPr>
            </w:pPr>
            <w:r>
              <w:rPr>
                <w:rFonts w:hint="eastAsia"/>
                <w:highlight w:val="none"/>
              </w:rPr>
              <w:t>现场勘察</w:t>
            </w:r>
          </w:p>
        </w:tc>
        <w:tc>
          <w:tcPr>
            <w:tcW w:w="5856" w:type="dxa"/>
            <w:vAlign w:val="center"/>
          </w:tcPr>
          <w:p w14:paraId="004032BA">
            <w:pPr>
              <w:adjustRightInd w:val="0"/>
              <w:snapToGrid w:val="0"/>
              <w:spacing w:line="240" w:lineRule="atLeast"/>
              <w:rPr>
                <w:rFonts w:hint="eastAsia" w:ascii="宋体" w:hAnsi="宋体"/>
                <w:szCs w:val="21"/>
                <w:highlight w:val="none"/>
              </w:rPr>
            </w:pPr>
            <w:r>
              <w:rPr>
                <w:rFonts w:hint="eastAsia" w:ascii="宋体" w:hAnsi="宋体"/>
                <w:szCs w:val="21"/>
                <w:highlight w:val="none"/>
              </w:rPr>
              <w:t>■ 采购人不组织</w:t>
            </w:r>
          </w:p>
          <w:p w14:paraId="7D8C1479">
            <w:pPr>
              <w:adjustRightInd w:val="0"/>
              <w:snapToGrid w:val="0"/>
              <w:spacing w:before="50"/>
              <w:rPr>
                <w:rFonts w:hint="eastAsia" w:ascii="宋体" w:hAnsi="宋体"/>
                <w:szCs w:val="21"/>
                <w:highlight w:val="none"/>
              </w:rPr>
            </w:pPr>
            <w:r>
              <w:rPr>
                <w:rFonts w:hint="eastAsia" w:ascii="宋体" w:hAnsi="宋体"/>
                <w:szCs w:val="21"/>
                <w:highlight w:val="none"/>
              </w:rPr>
              <w:t>□ 采购人组织，时间：地点：联系人：</w:t>
            </w:r>
          </w:p>
        </w:tc>
      </w:tr>
      <w:tr w14:paraId="0944B6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447" w:type="dxa"/>
            <w:gridSpan w:val="3"/>
            <w:vAlign w:val="center"/>
          </w:tcPr>
          <w:p w14:paraId="71735482">
            <w:pPr>
              <w:adjustRightInd w:val="0"/>
              <w:snapToGrid w:val="0"/>
              <w:spacing w:before="50"/>
              <w:rPr>
                <w:rFonts w:hint="eastAsia" w:ascii="宋体" w:hAnsi="宋体"/>
                <w:b/>
                <w:szCs w:val="21"/>
                <w:highlight w:val="none"/>
              </w:rPr>
            </w:pPr>
            <w:r>
              <w:rPr>
                <w:rFonts w:hint="eastAsia" w:ascii="宋体" w:hAnsi="宋体"/>
                <w:b/>
                <w:szCs w:val="21"/>
                <w:highlight w:val="none"/>
              </w:rPr>
              <w:t>二、磋商文件</w:t>
            </w:r>
          </w:p>
        </w:tc>
      </w:tr>
      <w:tr w14:paraId="2B21F8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225" w:type="dxa"/>
            <w:vAlign w:val="center"/>
          </w:tcPr>
          <w:p w14:paraId="18A989C3">
            <w:pPr>
              <w:adjustRightInd w:val="0"/>
              <w:snapToGrid w:val="0"/>
              <w:spacing w:before="50"/>
              <w:jc w:val="center"/>
              <w:rPr>
                <w:rFonts w:hint="eastAsia" w:ascii="宋体" w:hAnsi="宋体"/>
                <w:szCs w:val="21"/>
                <w:highlight w:val="none"/>
              </w:rPr>
            </w:pPr>
            <w:r>
              <w:rPr>
                <w:rFonts w:hint="eastAsia" w:ascii="宋体" w:hAnsi="宋体"/>
                <w:szCs w:val="21"/>
                <w:highlight w:val="none"/>
              </w:rPr>
              <w:t>第6.3款</w:t>
            </w:r>
          </w:p>
        </w:tc>
        <w:tc>
          <w:tcPr>
            <w:tcW w:w="2366" w:type="dxa"/>
            <w:vAlign w:val="center"/>
          </w:tcPr>
          <w:p w14:paraId="61899BC7">
            <w:pPr>
              <w:adjustRightInd w:val="0"/>
              <w:snapToGrid w:val="0"/>
              <w:spacing w:before="50"/>
              <w:jc w:val="center"/>
              <w:rPr>
                <w:rFonts w:hint="eastAsia" w:ascii="宋体" w:hAnsi="宋体"/>
                <w:szCs w:val="21"/>
                <w:highlight w:val="none"/>
              </w:rPr>
            </w:pPr>
            <w:r>
              <w:rPr>
                <w:rFonts w:hint="eastAsia" w:ascii="宋体" w:hAnsi="宋体"/>
                <w:bCs/>
                <w:szCs w:val="21"/>
                <w:highlight w:val="none"/>
              </w:rPr>
              <w:t>磋商文件的实质性变动内容</w:t>
            </w:r>
          </w:p>
        </w:tc>
        <w:tc>
          <w:tcPr>
            <w:tcW w:w="5856" w:type="dxa"/>
            <w:vAlign w:val="center"/>
          </w:tcPr>
          <w:p w14:paraId="1E872C37">
            <w:pPr>
              <w:adjustRightInd w:val="0"/>
              <w:snapToGrid w:val="0"/>
              <w:spacing w:before="50"/>
              <w:rPr>
                <w:rFonts w:hint="eastAsia" w:ascii="宋体" w:hAnsi="宋体"/>
                <w:szCs w:val="21"/>
                <w:highlight w:val="none"/>
              </w:rPr>
            </w:pPr>
            <w:r>
              <w:rPr>
                <w:rFonts w:hint="eastAsia" w:ascii="宋体" w:hAnsi="宋体"/>
                <w:szCs w:val="21"/>
                <w:highlight w:val="none"/>
              </w:rPr>
              <w:t>第四章采购需求及第五章合同草案条款</w:t>
            </w:r>
          </w:p>
        </w:tc>
      </w:tr>
      <w:tr w14:paraId="21A7D5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 w:hRule="atLeast"/>
          <w:jc w:val="center"/>
        </w:trPr>
        <w:tc>
          <w:tcPr>
            <w:tcW w:w="9447" w:type="dxa"/>
            <w:gridSpan w:val="3"/>
            <w:vAlign w:val="center"/>
          </w:tcPr>
          <w:p w14:paraId="249F5403">
            <w:pPr>
              <w:adjustRightInd w:val="0"/>
              <w:snapToGrid w:val="0"/>
              <w:spacing w:before="50"/>
              <w:rPr>
                <w:rFonts w:hint="eastAsia" w:ascii="宋体" w:hAnsi="宋体"/>
                <w:szCs w:val="21"/>
                <w:highlight w:val="none"/>
              </w:rPr>
            </w:pPr>
            <w:r>
              <w:rPr>
                <w:rFonts w:hint="eastAsia" w:ascii="宋体" w:hAnsi="宋体"/>
                <w:b/>
                <w:szCs w:val="21"/>
                <w:highlight w:val="none"/>
              </w:rPr>
              <w:t>三、响应文件</w:t>
            </w:r>
          </w:p>
        </w:tc>
      </w:tr>
      <w:tr w14:paraId="1DEB78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 w:hRule="atLeast"/>
          <w:jc w:val="center"/>
        </w:trPr>
        <w:tc>
          <w:tcPr>
            <w:tcW w:w="1225" w:type="dxa"/>
            <w:vAlign w:val="center"/>
          </w:tcPr>
          <w:p w14:paraId="1587CD7F">
            <w:pPr>
              <w:adjustRightInd w:val="0"/>
              <w:snapToGrid w:val="0"/>
              <w:spacing w:before="50"/>
              <w:jc w:val="center"/>
              <w:rPr>
                <w:rFonts w:hint="eastAsia" w:ascii="宋体" w:hAnsi="宋体"/>
                <w:szCs w:val="21"/>
                <w:highlight w:val="none"/>
              </w:rPr>
            </w:pPr>
            <w:r>
              <w:rPr>
                <w:rFonts w:hint="eastAsia" w:ascii="宋体" w:hAnsi="宋体"/>
                <w:szCs w:val="21"/>
                <w:highlight w:val="none"/>
              </w:rPr>
              <w:t>第10.1款</w:t>
            </w:r>
          </w:p>
        </w:tc>
        <w:tc>
          <w:tcPr>
            <w:tcW w:w="2366" w:type="dxa"/>
            <w:vAlign w:val="center"/>
          </w:tcPr>
          <w:p w14:paraId="7A24B8D8">
            <w:pPr>
              <w:adjustRightInd w:val="0"/>
              <w:snapToGrid w:val="0"/>
              <w:spacing w:before="50"/>
              <w:jc w:val="center"/>
              <w:rPr>
                <w:rFonts w:hint="eastAsia" w:ascii="宋体" w:hAnsi="宋体"/>
                <w:szCs w:val="21"/>
                <w:highlight w:val="none"/>
              </w:rPr>
            </w:pPr>
            <w:r>
              <w:rPr>
                <w:rFonts w:hint="eastAsia" w:ascii="宋体" w:hAnsi="宋体"/>
                <w:szCs w:val="21"/>
                <w:highlight w:val="none"/>
              </w:rPr>
              <w:t>资格证明文件</w:t>
            </w:r>
          </w:p>
        </w:tc>
        <w:tc>
          <w:tcPr>
            <w:tcW w:w="5856" w:type="dxa"/>
            <w:vAlign w:val="center"/>
          </w:tcPr>
          <w:p w14:paraId="45DDCC09">
            <w:pPr>
              <w:adjustRightInd w:val="0"/>
              <w:snapToGrid w:val="0"/>
              <w:jc w:val="left"/>
              <w:rPr>
                <w:rFonts w:hint="eastAsia" w:ascii="宋体" w:hAnsi="宋体"/>
                <w:szCs w:val="21"/>
                <w:highlight w:val="none"/>
              </w:rPr>
            </w:pPr>
            <w:r>
              <w:rPr>
                <w:rFonts w:hint="eastAsia" w:ascii="宋体" w:hAnsi="宋体"/>
                <w:szCs w:val="21"/>
                <w:highlight w:val="none"/>
              </w:rPr>
              <w:t>1、提供以下资格证明文件：</w:t>
            </w:r>
          </w:p>
          <w:p w14:paraId="13367E4C">
            <w:pPr>
              <w:adjustRightInd w:val="0"/>
              <w:snapToGrid w:val="0"/>
              <w:ind w:firstLine="420" w:firstLineChars="200"/>
              <w:jc w:val="left"/>
              <w:rPr>
                <w:rFonts w:hint="eastAsia" w:ascii="宋体" w:hAnsi="宋体"/>
                <w:szCs w:val="21"/>
                <w:highlight w:val="none"/>
              </w:rPr>
            </w:pPr>
            <w:r>
              <w:rPr>
                <w:rFonts w:hint="eastAsia" w:ascii="宋体" w:hAnsi="宋体"/>
                <w:szCs w:val="21"/>
                <w:highlight w:val="none"/>
              </w:rPr>
              <w:t>（1）供应商为营利法人的，应提交营业执照的复印件；供应商为依法允许经营的事业单位的，应提交事业单位法人证书复印件；供应商为社会团体法人的，应提交法人登记证书；供应商为非法人组织的，应提交依法登记证书复印件；供应商为自然人的，应提交自然人的身份证明复印件；</w:t>
            </w:r>
          </w:p>
          <w:p w14:paraId="01309110">
            <w:pPr>
              <w:adjustRightInd w:val="0"/>
              <w:snapToGrid w:val="0"/>
              <w:ind w:firstLine="420" w:firstLineChars="200"/>
              <w:jc w:val="left"/>
              <w:rPr>
                <w:rFonts w:hint="eastAsia" w:ascii="宋体" w:hAnsi="宋体"/>
                <w:szCs w:val="21"/>
                <w:highlight w:val="none"/>
              </w:rPr>
            </w:pPr>
            <w:r>
              <w:rPr>
                <w:rFonts w:hint="eastAsia" w:ascii="宋体" w:hAnsi="宋体"/>
                <w:szCs w:val="21"/>
                <w:highlight w:val="none"/>
              </w:rPr>
              <w:t>（2）法人提交法定代表人身份证明原件或者法定代表人授权委托书原件并附法定代表人身份证明原件，自然人提交身份证复印件；</w:t>
            </w:r>
          </w:p>
          <w:p w14:paraId="228F9F68">
            <w:pPr>
              <w:adjustRightInd w:val="0"/>
              <w:snapToGrid w:val="0"/>
              <w:ind w:firstLine="420" w:firstLineChars="200"/>
              <w:jc w:val="left"/>
              <w:rPr>
                <w:rFonts w:hint="eastAsia" w:ascii="宋体" w:hAnsi="宋体"/>
                <w:szCs w:val="21"/>
                <w:highlight w:val="none"/>
              </w:rPr>
            </w:pPr>
            <w:r>
              <w:rPr>
                <w:rFonts w:hint="eastAsia" w:ascii="宋体" w:hAnsi="宋体"/>
                <w:szCs w:val="21"/>
                <w:highlight w:val="none"/>
              </w:rPr>
              <w:t>（3）</w:t>
            </w:r>
            <w:r>
              <w:rPr>
                <w:rFonts w:ascii="宋体" w:hAnsi="宋体"/>
                <w:szCs w:val="21"/>
                <w:highlight w:val="none"/>
              </w:rPr>
              <w:t>湖南省政府采购供应商资格承诺函</w:t>
            </w:r>
            <w:r>
              <w:rPr>
                <w:rFonts w:hint="eastAsia" w:ascii="宋体" w:hAnsi="宋体"/>
                <w:szCs w:val="21"/>
                <w:highlight w:val="none"/>
              </w:rPr>
              <w:t>；</w:t>
            </w:r>
          </w:p>
          <w:p w14:paraId="556B75E9">
            <w:pPr>
              <w:adjustRightInd w:val="0"/>
              <w:snapToGrid w:val="0"/>
              <w:ind w:firstLine="420" w:firstLineChars="200"/>
              <w:jc w:val="left"/>
              <w:rPr>
                <w:rFonts w:hint="eastAsia" w:ascii="宋体" w:hAnsi="宋体"/>
                <w:szCs w:val="21"/>
                <w:highlight w:val="none"/>
              </w:rPr>
            </w:pPr>
            <w:r>
              <w:rPr>
                <w:rFonts w:hint="eastAsia" w:ascii="宋体" w:hAnsi="宋体"/>
                <w:szCs w:val="21"/>
                <w:highlight w:val="none"/>
              </w:rPr>
              <w:t>（4）信用记录查询</w:t>
            </w:r>
            <w:r>
              <w:rPr>
                <w:rFonts w:hint="eastAsia" w:ascii="宋体" w:hAnsi="宋体"/>
                <w:highlight w:val="none"/>
              </w:rPr>
              <w:t>无</w:t>
            </w:r>
            <w:r>
              <w:rPr>
                <w:rFonts w:hint="eastAsia" w:ascii="宋体" w:hAnsi="宋体"/>
                <w:szCs w:val="21"/>
                <w:highlight w:val="none"/>
              </w:rPr>
              <w:t>不良信用记录。</w:t>
            </w:r>
          </w:p>
          <w:p w14:paraId="08D3F443">
            <w:pPr>
              <w:adjustRightInd w:val="0"/>
              <w:snapToGrid w:val="0"/>
              <w:jc w:val="left"/>
              <w:rPr>
                <w:rFonts w:hint="eastAsia" w:ascii="宋体" w:hAnsi="宋体"/>
                <w:szCs w:val="21"/>
                <w:highlight w:val="none"/>
              </w:rPr>
            </w:pPr>
            <w:r>
              <w:rPr>
                <w:rFonts w:hint="eastAsia" w:ascii="宋体" w:hAnsi="宋体"/>
                <w:szCs w:val="21"/>
                <w:highlight w:val="none"/>
              </w:rPr>
              <w:t>2、其他说明：</w:t>
            </w:r>
          </w:p>
          <w:p w14:paraId="086298DA">
            <w:pPr>
              <w:adjustRightInd w:val="0"/>
              <w:snapToGrid w:val="0"/>
              <w:ind w:firstLine="420" w:firstLineChars="200"/>
              <w:jc w:val="left"/>
              <w:rPr>
                <w:rFonts w:hint="eastAsia" w:ascii="宋体" w:hAnsi="宋体"/>
                <w:szCs w:val="21"/>
                <w:highlight w:val="none"/>
              </w:rPr>
            </w:pPr>
            <w:r>
              <w:rPr>
                <w:rFonts w:hint="eastAsia" w:ascii="宋体" w:hAnsi="宋体"/>
                <w:szCs w:val="21"/>
                <w:highlight w:val="none"/>
              </w:rPr>
              <w:t>除不具备独立承担民事责任能力的机构、组织、个人外供应商为其他组织、自然人参与本项目磋商的，凡竞争性磋商文件格式中要求为“法定代表人”签署的，由组织负责人、自然人签署，视同有效，满足竞争性磋商文件要求；</w:t>
            </w:r>
          </w:p>
        </w:tc>
      </w:tr>
      <w:tr w14:paraId="2E0CD9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 w:hRule="atLeast"/>
          <w:jc w:val="center"/>
        </w:trPr>
        <w:tc>
          <w:tcPr>
            <w:tcW w:w="1225" w:type="dxa"/>
            <w:vAlign w:val="center"/>
          </w:tcPr>
          <w:p w14:paraId="7CDED786">
            <w:pPr>
              <w:adjustRightInd w:val="0"/>
              <w:snapToGrid w:val="0"/>
              <w:spacing w:before="50"/>
              <w:jc w:val="center"/>
              <w:rPr>
                <w:rFonts w:hint="eastAsia" w:ascii="宋体" w:hAnsi="宋体"/>
                <w:szCs w:val="21"/>
                <w:highlight w:val="none"/>
              </w:rPr>
            </w:pPr>
            <w:r>
              <w:rPr>
                <w:rFonts w:hint="eastAsia" w:ascii="宋体" w:hAnsi="宋体"/>
                <w:szCs w:val="21"/>
                <w:highlight w:val="none"/>
              </w:rPr>
              <w:t>第10.1（3）项</w:t>
            </w:r>
          </w:p>
        </w:tc>
        <w:tc>
          <w:tcPr>
            <w:tcW w:w="2366" w:type="dxa"/>
            <w:vAlign w:val="center"/>
          </w:tcPr>
          <w:p w14:paraId="1C61A40D">
            <w:pPr>
              <w:adjustRightInd w:val="0"/>
              <w:snapToGrid w:val="0"/>
              <w:spacing w:before="50"/>
              <w:jc w:val="center"/>
              <w:rPr>
                <w:rFonts w:hint="eastAsia" w:ascii="宋体" w:hAnsi="宋体"/>
                <w:szCs w:val="21"/>
                <w:highlight w:val="none"/>
              </w:rPr>
            </w:pPr>
            <w:r>
              <w:rPr>
                <w:rFonts w:hint="eastAsia" w:ascii="宋体" w:hAnsi="宋体"/>
                <w:szCs w:val="21"/>
                <w:highlight w:val="none"/>
              </w:rPr>
              <w:t>特定资格条件证明材料</w:t>
            </w:r>
          </w:p>
        </w:tc>
        <w:tc>
          <w:tcPr>
            <w:tcW w:w="5856" w:type="dxa"/>
            <w:vAlign w:val="center"/>
          </w:tcPr>
          <w:p w14:paraId="22BCB162">
            <w:pPr>
              <w:adjustRightInd w:val="0"/>
              <w:snapToGrid w:val="0"/>
              <w:jc w:val="left"/>
              <w:rPr>
                <w:rFonts w:hint="eastAsia" w:ascii="宋体" w:hAnsi="宋体"/>
                <w:szCs w:val="21"/>
                <w:highlight w:val="none"/>
              </w:rPr>
            </w:pPr>
            <w:r>
              <w:rPr>
                <w:rFonts w:hint="eastAsia" w:ascii="宋体" w:hAnsi="宋体"/>
                <w:szCs w:val="21"/>
                <w:highlight w:val="none"/>
              </w:rPr>
              <w:t>本项目专门面向中小企业采购，供应商须提供《中小企业声明函》；监狱企业、残疾人福利性单位视同小型、微型企业，需提供《残疾人福利性单位声明函》或《监狱企业证明资料》。</w:t>
            </w:r>
          </w:p>
        </w:tc>
      </w:tr>
      <w:tr w14:paraId="24C075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 w:hRule="atLeast"/>
          <w:jc w:val="center"/>
        </w:trPr>
        <w:tc>
          <w:tcPr>
            <w:tcW w:w="1225" w:type="dxa"/>
            <w:vAlign w:val="center"/>
          </w:tcPr>
          <w:p w14:paraId="1E3B1FA2">
            <w:pPr>
              <w:adjustRightInd w:val="0"/>
              <w:snapToGrid w:val="0"/>
              <w:spacing w:before="50"/>
              <w:jc w:val="center"/>
              <w:rPr>
                <w:rFonts w:hint="eastAsia" w:ascii="宋体" w:hAnsi="宋体"/>
                <w:szCs w:val="21"/>
                <w:highlight w:val="none"/>
              </w:rPr>
            </w:pPr>
            <w:r>
              <w:rPr>
                <w:rFonts w:hint="eastAsia" w:ascii="宋体" w:hAnsi="宋体"/>
                <w:szCs w:val="21"/>
                <w:highlight w:val="none"/>
              </w:rPr>
              <w:t>第10.3款</w:t>
            </w:r>
          </w:p>
        </w:tc>
        <w:tc>
          <w:tcPr>
            <w:tcW w:w="2366" w:type="dxa"/>
            <w:vAlign w:val="center"/>
          </w:tcPr>
          <w:p w14:paraId="1850BC5B">
            <w:pPr>
              <w:adjustRightInd w:val="0"/>
              <w:snapToGrid w:val="0"/>
              <w:spacing w:before="50"/>
              <w:jc w:val="center"/>
              <w:rPr>
                <w:rFonts w:hint="eastAsia" w:ascii="宋体" w:hAnsi="宋体"/>
                <w:szCs w:val="21"/>
                <w:highlight w:val="none"/>
              </w:rPr>
            </w:pPr>
            <w:r>
              <w:rPr>
                <w:rFonts w:hint="eastAsia" w:ascii="宋体" w:hAnsi="宋体"/>
                <w:szCs w:val="21"/>
                <w:highlight w:val="none"/>
              </w:rPr>
              <w:t>预留采购份额的证明文件</w:t>
            </w:r>
          </w:p>
        </w:tc>
        <w:tc>
          <w:tcPr>
            <w:tcW w:w="5856" w:type="dxa"/>
            <w:vAlign w:val="center"/>
          </w:tcPr>
          <w:p w14:paraId="768AB574">
            <w:pPr>
              <w:adjustRightInd w:val="0"/>
              <w:snapToGrid w:val="0"/>
              <w:spacing w:line="400" w:lineRule="exact"/>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 非预留</w:t>
            </w:r>
          </w:p>
          <w:p w14:paraId="6A09480D">
            <w:pPr>
              <w:adjustRightInd w:val="0"/>
              <w:snapToGrid w:val="0"/>
              <w:spacing w:line="240" w:lineRule="atLeast"/>
              <w:rPr>
                <w:highlight w:val="none"/>
              </w:rPr>
            </w:pPr>
            <w:r>
              <w:rPr>
                <w:rFonts w:hint="eastAsia" w:ascii="宋体" w:hAnsi="宋体" w:eastAsia="宋体" w:cs="宋体"/>
                <w:color w:val="000000"/>
                <w:szCs w:val="21"/>
                <w:highlight w:val="none"/>
              </w:rPr>
              <w:t>■ 预留；应提供以下资料：</w:t>
            </w:r>
            <w:r>
              <w:rPr>
                <w:rFonts w:hint="eastAsia" w:ascii="宋体" w:hAnsi="宋体" w:eastAsia="宋体" w:cs="宋体"/>
                <w:color w:val="000000"/>
                <w:szCs w:val="21"/>
                <w:highlight w:val="none"/>
                <w:lang w:val="en-US" w:eastAsia="zh-CN"/>
              </w:rPr>
              <w:t>本项目</w:t>
            </w:r>
            <w:r>
              <w:rPr>
                <w:rFonts w:hint="eastAsia" w:ascii="宋体" w:hAnsi="宋体" w:eastAsia="宋体" w:cs="宋体"/>
                <w:color w:val="000000"/>
                <w:szCs w:val="21"/>
                <w:highlight w:val="none"/>
                <w:lang w:eastAsia="zh-CN"/>
              </w:rPr>
              <w:t>专门面向中小企业采购，供应商须提供《中小企业声明函》；监狱企业、残疾人福利性单位视同小型、微型企业，需提供《残疾人福利性单位声明函》或《监狱企业证明资料》</w:t>
            </w:r>
            <w:r>
              <w:rPr>
                <w:rFonts w:hint="eastAsia" w:ascii="宋体" w:hAnsi="宋体" w:eastAsia="宋体" w:cs="宋体"/>
                <w:color w:val="000000"/>
                <w:szCs w:val="21"/>
                <w:highlight w:val="none"/>
              </w:rPr>
              <w:t>。</w:t>
            </w:r>
          </w:p>
        </w:tc>
      </w:tr>
      <w:tr w14:paraId="200218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25" w:type="dxa"/>
            <w:vAlign w:val="center"/>
          </w:tcPr>
          <w:p w14:paraId="0E475433">
            <w:pPr>
              <w:adjustRightInd w:val="0"/>
              <w:snapToGrid w:val="0"/>
              <w:spacing w:before="50"/>
              <w:jc w:val="center"/>
              <w:rPr>
                <w:rFonts w:hint="eastAsia" w:ascii="宋体" w:hAnsi="宋体"/>
                <w:szCs w:val="21"/>
                <w:highlight w:val="none"/>
              </w:rPr>
            </w:pPr>
            <w:r>
              <w:rPr>
                <w:rFonts w:hint="eastAsia" w:ascii="宋体" w:hAnsi="宋体"/>
                <w:szCs w:val="21"/>
                <w:highlight w:val="none"/>
              </w:rPr>
              <w:t>第11.3款</w:t>
            </w:r>
          </w:p>
        </w:tc>
        <w:tc>
          <w:tcPr>
            <w:tcW w:w="2366" w:type="dxa"/>
            <w:vAlign w:val="center"/>
          </w:tcPr>
          <w:p w14:paraId="34765D07">
            <w:pPr>
              <w:adjustRightInd w:val="0"/>
              <w:snapToGrid w:val="0"/>
              <w:spacing w:before="50"/>
              <w:jc w:val="center"/>
              <w:rPr>
                <w:rFonts w:hint="eastAsia" w:ascii="宋体" w:hAnsi="宋体"/>
                <w:szCs w:val="21"/>
                <w:highlight w:val="none"/>
              </w:rPr>
            </w:pPr>
            <w:r>
              <w:rPr>
                <w:rFonts w:hint="eastAsia" w:ascii="宋体" w:hAnsi="宋体"/>
                <w:szCs w:val="21"/>
                <w:highlight w:val="none"/>
              </w:rPr>
              <w:t>采购项目预算</w:t>
            </w:r>
          </w:p>
        </w:tc>
        <w:tc>
          <w:tcPr>
            <w:tcW w:w="5856" w:type="dxa"/>
            <w:vAlign w:val="center"/>
          </w:tcPr>
          <w:p w14:paraId="07E35CCA">
            <w:pPr>
              <w:adjustRightInd w:val="0"/>
              <w:snapToGrid w:val="0"/>
              <w:spacing w:before="50"/>
              <w:jc w:val="left"/>
              <w:rPr>
                <w:rFonts w:hint="eastAsia" w:ascii="宋体" w:hAnsi="宋体" w:eastAsia="宋体"/>
                <w:szCs w:val="21"/>
                <w:highlight w:val="none"/>
                <w:lang w:val="en-US" w:eastAsia="zh-CN"/>
              </w:rPr>
            </w:pPr>
            <w:r>
              <w:rPr>
                <w:rFonts w:hint="eastAsia" w:ascii="宋体" w:hAnsi="宋体"/>
                <w:szCs w:val="21"/>
                <w:highlight w:val="none"/>
              </w:rPr>
              <w:t>预算金额：</w:t>
            </w:r>
            <w:r>
              <w:rPr>
                <w:rFonts w:hint="eastAsia" w:ascii="宋体" w:hAnsi="宋体"/>
                <w:highlight w:val="none"/>
                <w:lang w:eastAsia="zh-CN"/>
              </w:rPr>
              <w:t>936000.00</w:t>
            </w:r>
            <w:r>
              <w:rPr>
                <w:rFonts w:hint="eastAsia" w:ascii="宋体" w:hAnsi="宋体"/>
                <w:szCs w:val="21"/>
                <w:highlight w:val="none"/>
              </w:rPr>
              <w:t>元；最高限价</w:t>
            </w:r>
            <w:r>
              <w:rPr>
                <w:rFonts w:hint="eastAsia" w:ascii="宋体" w:hAnsi="宋体"/>
                <w:szCs w:val="21"/>
                <w:highlight w:val="none"/>
                <w:lang w:eastAsia="zh-CN"/>
              </w:rPr>
              <w:t>9</w:t>
            </w:r>
            <w:r>
              <w:rPr>
                <w:rFonts w:hint="eastAsia" w:ascii="宋体" w:hAnsi="宋体"/>
                <w:szCs w:val="21"/>
                <w:highlight w:val="none"/>
                <w:lang w:val="en-US" w:eastAsia="zh-CN"/>
              </w:rPr>
              <w:t>2</w:t>
            </w:r>
            <w:r>
              <w:rPr>
                <w:rFonts w:hint="eastAsia" w:ascii="宋体" w:hAnsi="宋体"/>
                <w:szCs w:val="21"/>
                <w:highlight w:val="none"/>
                <w:lang w:eastAsia="zh-CN"/>
              </w:rPr>
              <w:t>6000.00</w:t>
            </w:r>
            <w:r>
              <w:rPr>
                <w:rFonts w:hint="eastAsia" w:ascii="宋体" w:hAnsi="宋体"/>
                <w:szCs w:val="21"/>
                <w:highlight w:val="none"/>
              </w:rPr>
              <w:t>元</w:t>
            </w:r>
            <w:r>
              <w:rPr>
                <w:rFonts w:hint="eastAsia" w:ascii="宋体" w:hAnsi="宋体"/>
                <w:szCs w:val="21"/>
                <w:highlight w:val="none"/>
                <w:lang w:eastAsia="zh-CN"/>
              </w:rPr>
              <w:t>。</w:t>
            </w:r>
          </w:p>
        </w:tc>
      </w:tr>
      <w:tr w14:paraId="069833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 w:hRule="atLeast"/>
          <w:jc w:val="center"/>
        </w:trPr>
        <w:tc>
          <w:tcPr>
            <w:tcW w:w="1225" w:type="dxa"/>
            <w:vAlign w:val="center"/>
          </w:tcPr>
          <w:p w14:paraId="3AB15B2A">
            <w:pPr>
              <w:adjustRightInd w:val="0"/>
              <w:snapToGrid w:val="0"/>
              <w:spacing w:before="50"/>
              <w:jc w:val="center"/>
              <w:rPr>
                <w:rFonts w:hint="eastAsia" w:ascii="宋体" w:hAnsi="宋体"/>
                <w:szCs w:val="21"/>
                <w:highlight w:val="none"/>
              </w:rPr>
            </w:pPr>
            <w:r>
              <w:rPr>
                <w:rFonts w:hint="eastAsia" w:ascii="宋体" w:hAnsi="宋体"/>
                <w:szCs w:val="21"/>
                <w:highlight w:val="none"/>
              </w:rPr>
              <w:t>第11.6款</w:t>
            </w:r>
          </w:p>
        </w:tc>
        <w:tc>
          <w:tcPr>
            <w:tcW w:w="2366" w:type="dxa"/>
            <w:vAlign w:val="center"/>
          </w:tcPr>
          <w:p w14:paraId="44A96399">
            <w:pPr>
              <w:adjustRightInd w:val="0"/>
              <w:snapToGrid w:val="0"/>
              <w:spacing w:before="50"/>
              <w:jc w:val="center"/>
              <w:rPr>
                <w:rFonts w:hint="eastAsia" w:ascii="宋体" w:hAnsi="宋体"/>
                <w:szCs w:val="21"/>
                <w:highlight w:val="none"/>
              </w:rPr>
            </w:pPr>
            <w:r>
              <w:rPr>
                <w:rFonts w:hint="eastAsia" w:ascii="宋体" w:hAnsi="宋体"/>
                <w:szCs w:val="21"/>
                <w:highlight w:val="none"/>
              </w:rPr>
              <w:t>报价的其他要求</w:t>
            </w:r>
          </w:p>
        </w:tc>
        <w:tc>
          <w:tcPr>
            <w:tcW w:w="5856" w:type="dxa"/>
            <w:vAlign w:val="center"/>
          </w:tcPr>
          <w:p w14:paraId="37489572">
            <w:pPr>
              <w:adjustRightInd w:val="0"/>
              <w:snapToGrid w:val="0"/>
              <w:spacing w:before="50"/>
              <w:jc w:val="left"/>
              <w:rPr>
                <w:rFonts w:hint="eastAsia" w:ascii="宋体" w:hAnsi="宋体"/>
                <w:szCs w:val="21"/>
                <w:highlight w:val="none"/>
              </w:rPr>
            </w:pPr>
            <w:r>
              <w:rPr>
                <w:rFonts w:hint="eastAsia" w:ascii="宋体" w:hAnsi="宋体"/>
                <w:szCs w:val="21"/>
                <w:highlight w:val="none"/>
              </w:rPr>
              <w:t>供应商报价不得超过最高限价，否则在评标时将视为无效响应。</w:t>
            </w:r>
          </w:p>
        </w:tc>
      </w:tr>
      <w:tr w14:paraId="445334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1225" w:type="dxa"/>
            <w:vAlign w:val="center"/>
          </w:tcPr>
          <w:p w14:paraId="4610E11C">
            <w:pPr>
              <w:adjustRightInd w:val="0"/>
              <w:snapToGrid w:val="0"/>
              <w:spacing w:before="50"/>
              <w:jc w:val="center"/>
              <w:rPr>
                <w:rFonts w:hint="eastAsia" w:ascii="宋体" w:hAnsi="宋体"/>
                <w:szCs w:val="21"/>
                <w:highlight w:val="none"/>
              </w:rPr>
            </w:pPr>
            <w:r>
              <w:rPr>
                <w:rFonts w:hint="eastAsia" w:ascii="宋体" w:hAnsi="宋体"/>
                <w:szCs w:val="21"/>
                <w:highlight w:val="none"/>
              </w:rPr>
              <w:t>第12.1款</w:t>
            </w:r>
          </w:p>
        </w:tc>
        <w:tc>
          <w:tcPr>
            <w:tcW w:w="2366" w:type="dxa"/>
            <w:vAlign w:val="center"/>
          </w:tcPr>
          <w:p w14:paraId="1FE7EB7F">
            <w:pPr>
              <w:adjustRightInd w:val="0"/>
              <w:snapToGrid w:val="0"/>
              <w:spacing w:before="50"/>
              <w:jc w:val="center"/>
              <w:rPr>
                <w:rFonts w:hint="eastAsia" w:ascii="宋体" w:hAnsi="宋体"/>
                <w:szCs w:val="21"/>
                <w:highlight w:val="none"/>
              </w:rPr>
            </w:pPr>
            <w:r>
              <w:rPr>
                <w:rFonts w:hint="eastAsia" w:ascii="宋体" w:hAnsi="宋体"/>
                <w:szCs w:val="21"/>
                <w:highlight w:val="none"/>
              </w:rPr>
              <w:t>保证金</w:t>
            </w:r>
          </w:p>
        </w:tc>
        <w:tc>
          <w:tcPr>
            <w:tcW w:w="5856" w:type="dxa"/>
            <w:vAlign w:val="center"/>
          </w:tcPr>
          <w:p w14:paraId="01F4E9D5">
            <w:pPr>
              <w:spacing w:line="240" w:lineRule="atLeast"/>
              <w:rPr>
                <w:rFonts w:hint="eastAsia" w:ascii="宋体" w:hAnsi="宋体"/>
                <w:bCs/>
                <w:szCs w:val="21"/>
                <w:highlight w:val="none"/>
              </w:rPr>
            </w:pPr>
            <w:r>
              <w:rPr>
                <w:rFonts w:hint="eastAsia" w:ascii="宋体" w:hAnsi="宋体"/>
                <w:bCs/>
                <w:szCs w:val="21"/>
                <w:highlight w:val="none"/>
              </w:rPr>
              <w:t>■不要求提供</w:t>
            </w:r>
          </w:p>
          <w:p w14:paraId="629E5D3E">
            <w:pPr>
              <w:spacing w:line="240" w:lineRule="atLeast"/>
              <w:rPr>
                <w:rFonts w:hint="eastAsia" w:ascii="宋体" w:hAnsi="宋体"/>
                <w:bCs/>
                <w:szCs w:val="21"/>
                <w:highlight w:val="none"/>
              </w:rPr>
            </w:pPr>
            <w:r>
              <w:rPr>
                <w:rFonts w:hint="eastAsia" w:ascii="宋体" w:hAnsi="宋体"/>
                <w:bCs/>
                <w:szCs w:val="21"/>
                <w:highlight w:val="none"/>
              </w:rPr>
              <w:t>□要求提供</w:t>
            </w:r>
          </w:p>
        </w:tc>
      </w:tr>
      <w:tr w14:paraId="5ABB1E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225" w:type="dxa"/>
            <w:vAlign w:val="center"/>
          </w:tcPr>
          <w:p w14:paraId="511E3656">
            <w:pPr>
              <w:adjustRightInd w:val="0"/>
              <w:snapToGrid w:val="0"/>
              <w:spacing w:before="50"/>
              <w:jc w:val="center"/>
              <w:rPr>
                <w:rFonts w:hint="eastAsia" w:ascii="宋体" w:hAnsi="宋体"/>
                <w:szCs w:val="21"/>
                <w:highlight w:val="none"/>
              </w:rPr>
            </w:pPr>
            <w:r>
              <w:rPr>
                <w:rFonts w:hint="eastAsia" w:ascii="宋体" w:hAnsi="宋体"/>
                <w:szCs w:val="21"/>
                <w:highlight w:val="none"/>
              </w:rPr>
              <w:t>第13.1款</w:t>
            </w:r>
          </w:p>
        </w:tc>
        <w:tc>
          <w:tcPr>
            <w:tcW w:w="2366" w:type="dxa"/>
            <w:vAlign w:val="center"/>
          </w:tcPr>
          <w:p w14:paraId="6AE9C566">
            <w:pPr>
              <w:adjustRightInd w:val="0"/>
              <w:snapToGrid w:val="0"/>
              <w:spacing w:before="50"/>
              <w:jc w:val="center"/>
              <w:rPr>
                <w:rFonts w:hint="eastAsia" w:ascii="宋体" w:hAnsi="宋体"/>
                <w:szCs w:val="21"/>
                <w:highlight w:val="none"/>
              </w:rPr>
            </w:pPr>
            <w:r>
              <w:rPr>
                <w:rFonts w:hint="eastAsia" w:ascii="宋体" w:hAnsi="宋体"/>
                <w:szCs w:val="21"/>
                <w:highlight w:val="none"/>
              </w:rPr>
              <w:t>响应文件有效期</w:t>
            </w:r>
          </w:p>
        </w:tc>
        <w:tc>
          <w:tcPr>
            <w:tcW w:w="5856" w:type="dxa"/>
            <w:vAlign w:val="center"/>
          </w:tcPr>
          <w:p w14:paraId="787D60E3">
            <w:pPr>
              <w:adjustRightInd w:val="0"/>
              <w:snapToGrid w:val="0"/>
              <w:spacing w:line="240" w:lineRule="atLeast"/>
              <w:rPr>
                <w:rFonts w:hint="eastAsia" w:ascii="宋体" w:hAnsi="宋体"/>
                <w:bCs/>
                <w:szCs w:val="21"/>
                <w:highlight w:val="none"/>
              </w:rPr>
            </w:pPr>
            <w:r>
              <w:rPr>
                <w:rFonts w:hint="eastAsia" w:ascii="宋体" w:hAnsi="宋体"/>
                <w:szCs w:val="21"/>
                <w:highlight w:val="none"/>
                <w:u w:val="single"/>
              </w:rPr>
              <w:t>90</w:t>
            </w:r>
            <w:r>
              <w:rPr>
                <w:rFonts w:hint="eastAsia" w:ascii="宋体" w:hAnsi="宋体"/>
                <w:szCs w:val="21"/>
                <w:highlight w:val="none"/>
              </w:rPr>
              <w:t>日（日历日）</w:t>
            </w:r>
          </w:p>
        </w:tc>
      </w:tr>
      <w:tr w14:paraId="048992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225" w:type="dxa"/>
            <w:vAlign w:val="center"/>
          </w:tcPr>
          <w:p w14:paraId="3E46DB25">
            <w:pPr>
              <w:adjustRightInd w:val="0"/>
              <w:snapToGrid w:val="0"/>
              <w:spacing w:before="50"/>
              <w:jc w:val="center"/>
              <w:rPr>
                <w:rFonts w:hint="eastAsia" w:ascii="宋体" w:hAnsi="宋体"/>
                <w:szCs w:val="21"/>
                <w:highlight w:val="none"/>
              </w:rPr>
            </w:pPr>
            <w:r>
              <w:rPr>
                <w:rFonts w:hint="eastAsia" w:ascii="宋体" w:hAnsi="宋体"/>
                <w:szCs w:val="21"/>
                <w:highlight w:val="none"/>
              </w:rPr>
              <w:t>第14.1款</w:t>
            </w:r>
          </w:p>
        </w:tc>
        <w:tc>
          <w:tcPr>
            <w:tcW w:w="2366" w:type="dxa"/>
            <w:vAlign w:val="center"/>
          </w:tcPr>
          <w:p w14:paraId="153D5520">
            <w:pPr>
              <w:adjustRightInd w:val="0"/>
              <w:snapToGrid w:val="0"/>
              <w:spacing w:before="50"/>
              <w:jc w:val="center"/>
              <w:rPr>
                <w:rFonts w:hint="eastAsia" w:ascii="宋体" w:hAnsi="宋体"/>
                <w:szCs w:val="21"/>
                <w:highlight w:val="none"/>
              </w:rPr>
            </w:pPr>
            <w:r>
              <w:rPr>
                <w:rFonts w:hint="eastAsia" w:ascii="宋体" w:hAnsi="宋体"/>
                <w:szCs w:val="21"/>
                <w:highlight w:val="none"/>
              </w:rPr>
              <w:t>分包</w:t>
            </w:r>
          </w:p>
        </w:tc>
        <w:tc>
          <w:tcPr>
            <w:tcW w:w="5856" w:type="dxa"/>
            <w:vAlign w:val="center"/>
          </w:tcPr>
          <w:p w14:paraId="3641B317">
            <w:pPr>
              <w:adjustRightInd w:val="0"/>
              <w:snapToGrid w:val="0"/>
              <w:jc w:val="left"/>
              <w:rPr>
                <w:rFonts w:hint="eastAsia" w:ascii="宋体" w:hAnsi="宋体"/>
                <w:szCs w:val="21"/>
                <w:highlight w:val="none"/>
              </w:rPr>
            </w:pPr>
            <w:r>
              <w:rPr>
                <w:rFonts w:hint="eastAsia" w:ascii="宋体" w:hAnsi="宋体"/>
                <w:bCs/>
                <w:szCs w:val="21"/>
                <w:highlight w:val="none"/>
              </w:rPr>
              <w:t>□</w:t>
            </w:r>
            <w:r>
              <w:rPr>
                <w:rFonts w:hint="eastAsia" w:ascii="宋体" w:hAnsi="宋体"/>
                <w:szCs w:val="21"/>
                <w:highlight w:val="none"/>
              </w:rPr>
              <w:t>采购项目允许分包。</w:t>
            </w:r>
          </w:p>
          <w:p w14:paraId="5A19E95A">
            <w:pPr>
              <w:adjustRightInd w:val="0"/>
              <w:snapToGrid w:val="0"/>
              <w:spacing w:before="50"/>
              <w:rPr>
                <w:rFonts w:hint="eastAsia" w:ascii="宋体" w:hAnsi="宋体"/>
                <w:bCs/>
                <w:szCs w:val="21"/>
                <w:highlight w:val="none"/>
              </w:rPr>
            </w:pPr>
            <w:r>
              <w:rPr>
                <w:rFonts w:hint="eastAsia" w:ascii="宋体" w:hAnsi="宋体"/>
                <w:szCs w:val="21"/>
                <w:highlight w:val="none"/>
              </w:rPr>
              <w:t>■采购项目不允许分包。</w:t>
            </w:r>
          </w:p>
        </w:tc>
      </w:tr>
      <w:tr w14:paraId="1AB423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225" w:type="dxa"/>
            <w:vAlign w:val="center"/>
          </w:tcPr>
          <w:p w14:paraId="26CE7650">
            <w:pPr>
              <w:adjustRightInd w:val="0"/>
              <w:snapToGrid w:val="0"/>
              <w:spacing w:before="50"/>
              <w:jc w:val="center"/>
              <w:rPr>
                <w:rFonts w:hint="eastAsia" w:ascii="宋体" w:hAnsi="宋体"/>
                <w:szCs w:val="21"/>
                <w:highlight w:val="none"/>
              </w:rPr>
            </w:pPr>
            <w:r>
              <w:rPr>
                <w:rFonts w:hint="eastAsia" w:ascii="宋体" w:hAnsi="宋体"/>
                <w:szCs w:val="21"/>
                <w:highlight w:val="none"/>
              </w:rPr>
              <w:t>第15.2款</w:t>
            </w:r>
          </w:p>
        </w:tc>
        <w:tc>
          <w:tcPr>
            <w:tcW w:w="2366" w:type="dxa"/>
            <w:vAlign w:val="center"/>
          </w:tcPr>
          <w:p w14:paraId="7C9073C4">
            <w:pPr>
              <w:adjustRightInd w:val="0"/>
              <w:snapToGrid w:val="0"/>
              <w:spacing w:before="50"/>
              <w:jc w:val="center"/>
              <w:rPr>
                <w:rFonts w:hint="eastAsia" w:ascii="宋体" w:hAnsi="宋体"/>
                <w:szCs w:val="21"/>
                <w:highlight w:val="none"/>
              </w:rPr>
            </w:pPr>
            <w:r>
              <w:rPr>
                <w:rFonts w:hint="eastAsia" w:ascii="宋体" w:hAnsi="宋体"/>
                <w:szCs w:val="21"/>
                <w:highlight w:val="none"/>
              </w:rPr>
              <w:t>响应文件副本份数</w:t>
            </w:r>
          </w:p>
        </w:tc>
        <w:tc>
          <w:tcPr>
            <w:tcW w:w="5856" w:type="dxa"/>
            <w:vAlign w:val="center"/>
          </w:tcPr>
          <w:p w14:paraId="636CF5B7">
            <w:pPr>
              <w:adjustRightInd w:val="0"/>
              <w:snapToGrid w:val="0"/>
              <w:spacing w:before="50"/>
              <w:jc w:val="left"/>
              <w:rPr>
                <w:rFonts w:hint="eastAsia" w:ascii="宋体" w:hAnsi="宋体"/>
                <w:szCs w:val="21"/>
                <w:highlight w:val="none"/>
              </w:rPr>
            </w:pPr>
            <w:r>
              <w:rPr>
                <w:rFonts w:hint="eastAsia" w:ascii="宋体" w:hAnsi="宋体"/>
                <w:szCs w:val="21"/>
                <w:highlight w:val="none"/>
              </w:rPr>
              <w:t>正本1份，副本2份、电子档1份（电子档为正本盖章后PDF版扫描件）随纸质文件一并密封提交。</w:t>
            </w:r>
          </w:p>
        </w:tc>
      </w:tr>
      <w:tr w14:paraId="2F3C51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 w:hRule="atLeast"/>
          <w:jc w:val="center"/>
        </w:trPr>
        <w:tc>
          <w:tcPr>
            <w:tcW w:w="9447" w:type="dxa"/>
            <w:gridSpan w:val="3"/>
            <w:vAlign w:val="center"/>
          </w:tcPr>
          <w:p w14:paraId="46A39E81">
            <w:pPr>
              <w:adjustRightInd w:val="0"/>
              <w:snapToGrid w:val="0"/>
              <w:spacing w:before="50"/>
              <w:rPr>
                <w:rFonts w:hint="eastAsia" w:ascii="宋体" w:hAnsi="宋体"/>
                <w:b/>
                <w:bCs/>
                <w:szCs w:val="21"/>
                <w:highlight w:val="none"/>
              </w:rPr>
            </w:pPr>
            <w:r>
              <w:rPr>
                <w:rFonts w:hint="eastAsia" w:ascii="宋体" w:hAnsi="宋体"/>
                <w:b/>
                <w:szCs w:val="21"/>
                <w:highlight w:val="none"/>
              </w:rPr>
              <w:t>四、响应文件的递交</w:t>
            </w:r>
          </w:p>
        </w:tc>
      </w:tr>
      <w:tr w14:paraId="5A6F5B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 w:hRule="atLeast"/>
          <w:jc w:val="center"/>
        </w:trPr>
        <w:tc>
          <w:tcPr>
            <w:tcW w:w="1225" w:type="dxa"/>
            <w:vAlign w:val="center"/>
          </w:tcPr>
          <w:p w14:paraId="5B1E92EA">
            <w:pPr>
              <w:adjustRightInd w:val="0"/>
              <w:snapToGrid w:val="0"/>
              <w:spacing w:before="50"/>
              <w:jc w:val="center"/>
              <w:rPr>
                <w:rFonts w:hint="eastAsia" w:ascii="宋体" w:hAnsi="宋体"/>
                <w:szCs w:val="21"/>
                <w:highlight w:val="none"/>
              </w:rPr>
            </w:pPr>
            <w:r>
              <w:rPr>
                <w:rFonts w:hint="eastAsia" w:ascii="宋体" w:hAnsi="宋体"/>
                <w:szCs w:val="21"/>
                <w:highlight w:val="none"/>
              </w:rPr>
              <w:t>第16.2款</w:t>
            </w:r>
          </w:p>
        </w:tc>
        <w:tc>
          <w:tcPr>
            <w:tcW w:w="2366" w:type="dxa"/>
            <w:vAlign w:val="center"/>
          </w:tcPr>
          <w:p w14:paraId="61B78885">
            <w:pPr>
              <w:adjustRightInd w:val="0"/>
              <w:snapToGrid w:val="0"/>
              <w:spacing w:before="50"/>
              <w:jc w:val="center"/>
              <w:rPr>
                <w:rFonts w:hint="eastAsia" w:ascii="宋体" w:hAnsi="宋体"/>
                <w:szCs w:val="21"/>
                <w:highlight w:val="none"/>
              </w:rPr>
            </w:pPr>
            <w:r>
              <w:rPr>
                <w:rFonts w:hint="eastAsia" w:ascii="宋体" w:hAnsi="宋体"/>
                <w:szCs w:val="21"/>
                <w:highlight w:val="none"/>
              </w:rPr>
              <w:t>封套上应载明的信息</w:t>
            </w:r>
          </w:p>
        </w:tc>
        <w:tc>
          <w:tcPr>
            <w:tcW w:w="5856" w:type="dxa"/>
            <w:vAlign w:val="center"/>
          </w:tcPr>
          <w:p w14:paraId="3045EFDB">
            <w:pPr>
              <w:adjustRightInd w:val="0"/>
              <w:snapToGrid w:val="0"/>
              <w:spacing w:line="400" w:lineRule="exac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u w:val="single"/>
              </w:rPr>
              <w:t xml:space="preserve">                             </w:t>
            </w:r>
            <w:r>
              <w:rPr>
                <w:rFonts w:hint="eastAsia" w:ascii="宋体" w:hAnsi="宋体" w:eastAsia="宋体" w:cs="Times New Roman"/>
                <w:color w:val="000000"/>
                <w:szCs w:val="21"/>
                <w:highlight w:val="none"/>
              </w:rPr>
              <w:t>（项目名称）响应文件</w:t>
            </w:r>
          </w:p>
          <w:p w14:paraId="08700C37">
            <w:pPr>
              <w:adjustRightInd w:val="0"/>
              <w:snapToGrid w:val="0"/>
              <w:spacing w:line="400" w:lineRule="exac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政府采购编号：</w:t>
            </w:r>
            <w:r>
              <w:rPr>
                <w:rFonts w:hint="eastAsia" w:ascii="宋体" w:hAnsi="宋体" w:eastAsia="宋体" w:cs="Times New Roman"/>
                <w:color w:val="000000"/>
                <w:szCs w:val="21"/>
                <w:highlight w:val="none"/>
                <w:u w:val="single"/>
              </w:rPr>
              <w:t xml:space="preserve">                 </w:t>
            </w:r>
          </w:p>
          <w:p w14:paraId="39F232B9">
            <w:pPr>
              <w:adjustRightInd w:val="0"/>
              <w:snapToGrid w:val="0"/>
              <w:spacing w:line="400" w:lineRule="exac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供应商名称：</w:t>
            </w:r>
            <w:r>
              <w:rPr>
                <w:rFonts w:hint="eastAsia" w:ascii="宋体" w:hAnsi="宋体" w:eastAsia="宋体" w:cs="Times New Roman"/>
                <w:color w:val="000000"/>
                <w:szCs w:val="21"/>
                <w:highlight w:val="none"/>
                <w:u w:val="single"/>
              </w:rPr>
              <w:t xml:space="preserve">                 </w:t>
            </w:r>
          </w:p>
          <w:p w14:paraId="447BE2F3">
            <w:pPr>
              <w:adjustRightInd w:val="0"/>
              <w:snapToGrid w:val="0"/>
              <w:rPr>
                <w:rFonts w:hint="eastAsia" w:ascii="宋体" w:hAnsi="宋体"/>
                <w:szCs w:val="21"/>
                <w:highlight w:val="none"/>
              </w:rPr>
            </w:pPr>
            <w:r>
              <w:rPr>
                <w:rFonts w:hint="eastAsia" w:ascii="宋体" w:hAnsi="宋体" w:eastAsia="宋体" w:cs="Times New Roman"/>
                <w:color w:val="000000"/>
                <w:szCs w:val="21"/>
                <w:highlight w:val="none"/>
              </w:rPr>
              <w:t>在</w:t>
            </w:r>
            <w:r>
              <w:rPr>
                <w:rFonts w:hint="eastAsia" w:ascii="宋体" w:hAnsi="宋体" w:eastAsia="宋体" w:cs="Times New Roman"/>
                <w:color w:val="000000"/>
                <w:szCs w:val="21"/>
                <w:highlight w:val="none"/>
                <w:u w:val="single"/>
              </w:rPr>
              <w:t xml:space="preserve">    年   月   </w:t>
            </w:r>
            <w:r>
              <w:rPr>
                <w:rFonts w:hint="eastAsia" w:ascii="宋体" w:hAnsi="宋体" w:eastAsia="宋体" w:cs="Times New Roman"/>
                <w:color w:val="000000"/>
                <w:szCs w:val="21"/>
                <w:highlight w:val="none"/>
              </w:rPr>
              <w:t>日</w:t>
            </w:r>
            <w:r>
              <w:rPr>
                <w:rFonts w:hint="eastAsia" w:ascii="宋体" w:hAnsi="宋体" w:eastAsia="宋体" w:cs="Times New Roman"/>
                <w:color w:val="000000"/>
                <w:szCs w:val="21"/>
                <w:highlight w:val="none"/>
                <w:u w:val="single"/>
              </w:rPr>
              <w:t xml:space="preserve">   </w:t>
            </w:r>
            <w:r>
              <w:rPr>
                <w:rFonts w:hint="eastAsia" w:ascii="宋体" w:hAnsi="宋体" w:eastAsia="宋体" w:cs="Times New Roman"/>
                <w:color w:val="000000"/>
                <w:szCs w:val="21"/>
                <w:highlight w:val="none"/>
              </w:rPr>
              <w:t>时</w:t>
            </w:r>
            <w:r>
              <w:rPr>
                <w:rFonts w:hint="eastAsia" w:ascii="宋体" w:hAnsi="宋体" w:eastAsia="宋体" w:cs="Times New Roman"/>
                <w:color w:val="000000"/>
                <w:szCs w:val="21"/>
                <w:highlight w:val="none"/>
                <w:u w:val="single"/>
              </w:rPr>
              <w:t xml:space="preserve">   </w:t>
            </w:r>
            <w:r>
              <w:rPr>
                <w:rFonts w:hint="eastAsia" w:ascii="宋体" w:hAnsi="宋体" w:eastAsia="宋体" w:cs="Times New Roman"/>
                <w:color w:val="000000"/>
                <w:szCs w:val="21"/>
                <w:highlight w:val="none"/>
              </w:rPr>
              <w:t>分之前不得启封</w:t>
            </w:r>
          </w:p>
        </w:tc>
      </w:tr>
      <w:tr w14:paraId="77E034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225" w:type="dxa"/>
            <w:vAlign w:val="center"/>
          </w:tcPr>
          <w:p w14:paraId="66F3859D">
            <w:pPr>
              <w:adjustRightInd w:val="0"/>
              <w:snapToGrid w:val="0"/>
              <w:spacing w:before="50"/>
              <w:jc w:val="center"/>
              <w:rPr>
                <w:rFonts w:hint="eastAsia" w:ascii="宋体" w:hAnsi="宋体"/>
                <w:szCs w:val="21"/>
                <w:highlight w:val="none"/>
              </w:rPr>
            </w:pPr>
            <w:r>
              <w:rPr>
                <w:rFonts w:hint="eastAsia" w:ascii="宋体" w:hAnsi="宋体"/>
                <w:szCs w:val="21"/>
                <w:highlight w:val="none"/>
              </w:rPr>
              <w:t>第18.1款</w:t>
            </w:r>
          </w:p>
        </w:tc>
        <w:tc>
          <w:tcPr>
            <w:tcW w:w="2366" w:type="dxa"/>
            <w:vAlign w:val="center"/>
          </w:tcPr>
          <w:p w14:paraId="78F5205F">
            <w:pPr>
              <w:adjustRightInd w:val="0"/>
              <w:snapToGrid w:val="0"/>
              <w:spacing w:before="50"/>
              <w:jc w:val="center"/>
              <w:rPr>
                <w:rFonts w:hint="eastAsia" w:ascii="宋体" w:hAnsi="宋体"/>
                <w:szCs w:val="21"/>
                <w:highlight w:val="none"/>
              </w:rPr>
            </w:pPr>
            <w:r>
              <w:rPr>
                <w:rFonts w:hint="eastAsia" w:ascii="宋体" w:hAnsi="宋体"/>
                <w:szCs w:val="21"/>
                <w:highlight w:val="none"/>
              </w:rPr>
              <w:t>响应文件的递交时间和地点</w:t>
            </w:r>
          </w:p>
        </w:tc>
        <w:tc>
          <w:tcPr>
            <w:tcW w:w="5856" w:type="dxa"/>
            <w:vAlign w:val="center"/>
          </w:tcPr>
          <w:p w14:paraId="4A71A188">
            <w:pPr>
              <w:adjustRightInd w:val="0"/>
              <w:snapToGrid w:val="0"/>
              <w:spacing w:before="50"/>
              <w:rPr>
                <w:rFonts w:hint="eastAsia" w:ascii="宋体" w:hAnsi="宋体"/>
                <w:b/>
                <w:bCs/>
                <w:szCs w:val="21"/>
                <w:highlight w:val="none"/>
              </w:rPr>
            </w:pPr>
            <w:r>
              <w:rPr>
                <w:rFonts w:hint="eastAsia" w:ascii="宋体" w:hAnsi="宋体"/>
                <w:color w:val="000000"/>
                <w:szCs w:val="21"/>
                <w:highlight w:val="none"/>
              </w:rPr>
              <w:t>详见第一章磋商邀请</w:t>
            </w:r>
          </w:p>
        </w:tc>
      </w:tr>
      <w:tr w14:paraId="5D8962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447" w:type="dxa"/>
            <w:gridSpan w:val="3"/>
            <w:vAlign w:val="center"/>
          </w:tcPr>
          <w:p w14:paraId="00B279B7">
            <w:pPr>
              <w:adjustRightInd w:val="0"/>
              <w:snapToGrid w:val="0"/>
              <w:spacing w:before="50"/>
              <w:rPr>
                <w:rFonts w:hint="eastAsia" w:ascii="宋体" w:hAnsi="宋体"/>
                <w:b/>
                <w:bCs/>
                <w:szCs w:val="21"/>
                <w:highlight w:val="none"/>
              </w:rPr>
            </w:pPr>
            <w:r>
              <w:rPr>
                <w:rFonts w:hint="eastAsia" w:ascii="宋体" w:hAnsi="宋体"/>
                <w:b/>
                <w:bCs/>
                <w:szCs w:val="21"/>
                <w:highlight w:val="none"/>
              </w:rPr>
              <w:t>五、响应文件的评审与磋商</w:t>
            </w:r>
          </w:p>
        </w:tc>
      </w:tr>
      <w:tr w14:paraId="6E9DA9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225" w:type="dxa"/>
            <w:vAlign w:val="center"/>
          </w:tcPr>
          <w:p w14:paraId="14399526">
            <w:pPr>
              <w:adjustRightInd w:val="0"/>
              <w:snapToGrid w:val="0"/>
              <w:spacing w:before="50"/>
              <w:jc w:val="center"/>
              <w:rPr>
                <w:rFonts w:hint="eastAsia" w:ascii="宋体" w:hAnsi="宋体"/>
                <w:szCs w:val="21"/>
                <w:highlight w:val="none"/>
              </w:rPr>
            </w:pPr>
            <w:r>
              <w:rPr>
                <w:rFonts w:hint="eastAsia" w:ascii="宋体" w:hAnsi="宋体"/>
                <w:szCs w:val="21"/>
                <w:highlight w:val="none"/>
              </w:rPr>
              <w:t>第22.4款</w:t>
            </w:r>
          </w:p>
        </w:tc>
        <w:tc>
          <w:tcPr>
            <w:tcW w:w="2366" w:type="dxa"/>
            <w:vAlign w:val="center"/>
          </w:tcPr>
          <w:p w14:paraId="175DEB81">
            <w:pPr>
              <w:adjustRightInd w:val="0"/>
              <w:snapToGrid w:val="0"/>
              <w:spacing w:before="50"/>
              <w:jc w:val="center"/>
              <w:rPr>
                <w:rFonts w:hint="eastAsia" w:ascii="宋体" w:hAnsi="宋体"/>
                <w:szCs w:val="21"/>
                <w:highlight w:val="none"/>
              </w:rPr>
            </w:pPr>
            <w:r>
              <w:rPr>
                <w:rFonts w:hint="eastAsia" w:ascii="宋体" w:hAnsi="宋体"/>
                <w:szCs w:val="21"/>
                <w:highlight w:val="none"/>
              </w:rPr>
              <w:t>磋商文件规定的实质性要求和条件</w:t>
            </w:r>
          </w:p>
        </w:tc>
        <w:tc>
          <w:tcPr>
            <w:tcW w:w="5856" w:type="dxa"/>
            <w:vAlign w:val="center"/>
          </w:tcPr>
          <w:p w14:paraId="3792E839">
            <w:pPr>
              <w:adjustRightInd w:val="0"/>
              <w:snapToGrid w:val="0"/>
              <w:spacing w:before="50"/>
              <w:rPr>
                <w:rFonts w:hint="eastAsia" w:ascii="宋体" w:hAnsi="宋体"/>
                <w:bCs/>
                <w:szCs w:val="21"/>
                <w:highlight w:val="none"/>
              </w:rPr>
            </w:pPr>
            <w:r>
              <w:rPr>
                <w:rFonts w:hint="eastAsia" w:ascii="宋体" w:hAnsi="宋体"/>
                <w:bCs/>
                <w:color w:val="000000"/>
                <w:szCs w:val="21"/>
                <w:highlight w:val="none"/>
              </w:rPr>
              <w:t>第四章采购需求</w:t>
            </w:r>
          </w:p>
        </w:tc>
      </w:tr>
      <w:tr w14:paraId="7083F2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225" w:type="dxa"/>
            <w:vAlign w:val="center"/>
          </w:tcPr>
          <w:p w14:paraId="727264A5">
            <w:pPr>
              <w:adjustRightInd w:val="0"/>
              <w:snapToGrid w:val="0"/>
              <w:spacing w:before="50"/>
              <w:jc w:val="center"/>
              <w:rPr>
                <w:rFonts w:hint="eastAsia" w:ascii="宋体" w:hAnsi="宋体"/>
                <w:szCs w:val="21"/>
                <w:highlight w:val="none"/>
              </w:rPr>
            </w:pPr>
            <w:r>
              <w:rPr>
                <w:rFonts w:hint="eastAsia" w:ascii="宋体" w:hAnsi="宋体"/>
                <w:szCs w:val="21"/>
                <w:highlight w:val="none"/>
              </w:rPr>
              <w:t>第23.2款</w:t>
            </w:r>
          </w:p>
        </w:tc>
        <w:tc>
          <w:tcPr>
            <w:tcW w:w="2366" w:type="dxa"/>
            <w:vAlign w:val="center"/>
          </w:tcPr>
          <w:p w14:paraId="0F4DF7EC">
            <w:pPr>
              <w:adjustRightInd w:val="0"/>
              <w:snapToGrid w:val="0"/>
              <w:spacing w:before="50"/>
              <w:jc w:val="center"/>
              <w:rPr>
                <w:rFonts w:hint="eastAsia" w:ascii="宋体" w:hAnsi="宋体"/>
                <w:szCs w:val="21"/>
                <w:highlight w:val="none"/>
              </w:rPr>
            </w:pPr>
            <w:r>
              <w:rPr>
                <w:rFonts w:hint="eastAsia" w:ascii="宋体" w:hAnsi="宋体"/>
                <w:szCs w:val="21"/>
                <w:highlight w:val="none"/>
              </w:rPr>
              <w:t>最后报价的算术修正</w:t>
            </w:r>
          </w:p>
        </w:tc>
        <w:tc>
          <w:tcPr>
            <w:tcW w:w="5856" w:type="dxa"/>
            <w:vAlign w:val="center"/>
          </w:tcPr>
          <w:p w14:paraId="6CA542F5">
            <w:pPr>
              <w:adjustRightInd w:val="0"/>
              <w:snapToGrid w:val="0"/>
              <w:spacing w:before="50"/>
              <w:rPr>
                <w:rFonts w:hint="eastAsia" w:ascii="宋体" w:hAnsi="宋体"/>
                <w:b/>
                <w:bCs/>
                <w:szCs w:val="21"/>
                <w:highlight w:val="none"/>
              </w:rPr>
            </w:pPr>
            <w:r>
              <w:rPr>
                <w:rFonts w:hint="eastAsia" w:ascii="宋体" w:hAnsi="宋体"/>
                <w:szCs w:val="21"/>
                <w:highlight w:val="none"/>
              </w:rPr>
              <w:t>最后报价的大写金额和小写金额不一致的，以大写金额为准；总价金额与按分项报价汇总金额不一致的，以分项报价金额计算结果为准；分项报价金额小数点有明显错位的，应以总价为准，并修改分项报价。</w:t>
            </w:r>
          </w:p>
        </w:tc>
      </w:tr>
      <w:tr w14:paraId="5792C6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8" w:hRule="atLeast"/>
          <w:jc w:val="center"/>
        </w:trPr>
        <w:tc>
          <w:tcPr>
            <w:tcW w:w="9447" w:type="dxa"/>
            <w:gridSpan w:val="3"/>
            <w:vAlign w:val="center"/>
          </w:tcPr>
          <w:p w14:paraId="533E5724">
            <w:pPr>
              <w:adjustRightInd w:val="0"/>
              <w:snapToGrid w:val="0"/>
              <w:spacing w:before="50"/>
              <w:rPr>
                <w:rFonts w:hint="eastAsia" w:ascii="宋体" w:hAnsi="宋体"/>
                <w:szCs w:val="21"/>
                <w:highlight w:val="none"/>
              </w:rPr>
            </w:pPr>
            <w:r>
              <w:rPr>
                <w:rFonts w:hint="eastAsia" w:ascii="宋体" w:hAnsi="宋体"/>
                <w:b/>
                <w:szCs w:val="21"/>
                <w:highlight w:val="none"/>
              </w:rPr>
              <w:t>六、成交结果信息公布与供应商质疑</w:t>
            </w:r>
          </w:p>
        </w:tc>
      </w:tr>
      <w:tr w14:paraId="69937B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225" w:type="dxa"/>
            <w:vAlign w:val="center"/>
          </w:tcPr>
          <w:p w14:paraId="0E969557">
            <w:pPr>
              <w:adjustRightInd w:val="0"/>
              <w:snapToGrid w:val="0"/>
              <w:spacing w:before="50"/>
              <w:jc w:val="center"/>
              <w:rPr>
                <w:rFonts w:hint="eastAsia" w:ascii="宋体" w:hAnsi="宋体"/>
                <w:szCs w:val="21"/>
                <w:highlight w:val="none"/>
              </w:rPr>
            </w:pPr>
            <w:r>
              <w:rPr>
                <w:rFonts w:hint="eastAsia" w:ascii="宋体" w:hAnsi="宋体"/>
                <w:szCs w:val="21"/>
                <w:highlight w:val="none"/>
              </w:rPr>
              <w:t>第32.1款</w:t>
            </w:r>
          </w:p>
        </w:tc>
        <w:tc>
          <w:tcPr>
            <w:tcW w:w="2366" w:type="dxa"/>
            <w:vAlign w:val="center"/>
          </w:tcPr>
          <w:p w14:paraId="1B126B70">
            <w:pPr>
              <w:adjustRightInd w:val="0"/>
              <w:snapToGrid w:val="0"/>
              <w:spacing w:before="50"/>
              <w:jc w:val="center"/>
              <w:rPr>
                <w:rFonts w:hint="eastAsia" w:ascii="宋体" w:hAnsi="宋体"/>
                <w:szCs w:val="21"/>
                <w:highlight w:val="none"/>
              </w:rPr>
            </w:pPr>
            <w:r>
              <w:rPr>
                <w:rFonts w:hint="eastAsia" w:ascii="宋体" w:hAnsi="宋体"/>
                <w:szCs w:val="21"/>
                <w:highlight w:val="none"/>
              </w:rPr>
              <w:t>财政部门指定的媒体</w:t>
            </w:r>
          </w:p>
        </w:tc>
        <w:tc>
          <w:tcPr>
            <w:tcW w:w="5856" w:type="dxa"/>
            <w:vAlign w:val="center"/>
          </w:tcPr>
          <w:p w14:paraId="4A6BADB4">
            <w:pPr>
              <w:adjustRightInd w:val="0"/>
              <w:snapToGrid w:val="0"/>
              <w:spacing w:before="50"/>
              <w:rPr>
                <w:rFonts w:hint="eastAsia" w:ascii="宋体" w:hAnsi="宋体"/>
                <w:szCs w:val="21"/>
                <w:highlight w:val="none"/>
                <w:u w:val="single"/>
              </w:rPr>
            </w:pPr>
            <w:r>
              <w:rPr>
                <w:rFonts w:ascii="宋体" w:hAnsi="宋体" w:cs="宋体"/>
                <w:highlight w:val="none"/>
              </w:rPr>
              <w:t>中国湖南政府采购网（</w:t>
            </w:r>
            <w:r>
              <w:rPr>
                <w:highlight w:val="none"/>
              </w:rPr>
              <w:fldChar w:fldCharType="begin"/>
            </w:r>
            <w:r>
              <w:rPr>
                <w:highlight w:val="none"/>
              </w:rPr>
              <w:instrText xml:space="preserve"> HYPERLINK "http://www.ccgp-hunan.gov.cn/" \h </w:instrText>
            </w:r>
            <w:r>
              <w:rPr>
                <w:highlight w:val="none"/>
              </w:rPr>
              <w:fldChar w:fldCharType="separate"/>
            </w:r>
            <w:r>
              <w:rPr>
                <w:rFonts w:ascii="宋体" w:hAnsi="宋体" w:cs="宋体"/>
                <w:highlight w:val="none"/>
                <w:u w:val="single"/>
              </w:rPr>
              <w:t>www.ccgp-hunan.gov.cn</w:t>
            </w:r>
            <w:r>
              <w:rPr>
                <w:rFonts w:ascii="宋体" w:hAnsi="宋体" w:cs="宋体"/>
                <w:highlight w:val="none"/>
                <w:u w:val="single"/>
              </w:rPr>
              <w:fldChar w:fldCharType="end"/>
            </w:r>
            <w:r>
              <w:rPr>
                <w:rFonts w:ascii="宋体" w:hAnsi="宋体" w:cs="宋体"/>
                <w:highlight w:val="none"/>
              </w:rPr>
              <w:t>）</w:t>
            </w:r>
          </w:p>
        </w:tc>
      </w:tr>
      <w:tr w14:paraId="4602DC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225" w:type="dxa"/>
            <w:vAlign w:val="center"/>
          </w:tcPr>
          <w:p w14:paraId="76456F20">
            <w:pPr>
              <w:adjustRightInd w:val="0"/>
              <w:snapToGrid w:val="0"/>
              <w:spacing w:before="50"/>
              <w:jc w:val="center"/>
              <w:rPr>
                <w:rFonts w:hint="eastAsia" w:ascii="宋体" w:hAnsi="宋体"/>
                <w:szCs w:val="21"/>
                <w:highlight w:val="none"/>
              </w:rPr>
            </w:pPr>
            <w:r>
              <w:rPr>
                <w:rFonts w:hint="eastAsia" w:ascii="宋体" w:hAnsi="宋体"/>
                <w:szCs w:val="21"/>
                <w:highlight w:val="none"/>
              </w:rPr>
              <w:t>第34.3款</w:t>
            </w:r>
          </w:p>
        </w:tc>
        <w:tc>
          <w:tcPr>
            <w:tcW w:w="2366" w:type="dxa"/>
            <w:vAlign w:val="center"/>
          </w:tcPr>
          <w:p w14:paraId="361965D3">
            <w:pPr>
              <w:adjustRightInd w:val="0"/>
              <w:snapToGrid w:val="0"/>
              <w:spacing w:before="50"/>
              <w:jc w:val="center"/>
              <w:rPr>
                <w:rFonts w:hint="eastAsia" w:ascii="宋体" w:hAnsi="宋体"/>
                <w:szCs w:val="21"/>
                <w:highlight w:val="none"/>
              </w:rPr>
            </w:pPr>
            <w:r>
              <w:rPr>
                <w:rFonts w:hint="eastAsia" w:ascii="宋体" w:hAnsi="宋体"/>
                <w:szCs w:val="21"/>
                <w:highlight w:val="none"/>
              </w:rPr>
              <w:t>履约担保</w:t>
            </w:r>
          </w:p>
        </w:tc>
        <w:tc>
          <w:tcPr>
            <w:tcW w:w="5856" w:type="dxa"/>
            <w:vAlign w:val="center"/>
          </w:tcPr>
          <w:p w14:paraId="11D3E654">
            <w:pPr>
              <w:adjustRightInd w:val="0"/>
              <w:snapToGrid w:val="0"/>
              <w:spacing w:before="50"/>
              <w:rPr>
                <w:rFonts w:hint="eastAsia" w:ascii="宋体" w:hAnsi="宋体"/>
                <w:szCs w:val="21"/>
                <w:highlight w:val="none"/>
              </w:rPr>
            </w:pPr>
            <w:r>
              <w:rPr>
                <w:rFonts w:hint="eastAsia" w:ascii="宋体" w:hAnsi="宋体"/>
                <w:szCs w:val="21"/>
                <w:highlight w:val="none"/>
              </w:rPr>
              <w:t>无需提供</w:t>
            </w:r>
          </w:p>
        </w:tc>
      </w:tr>
      <w:tr w14:paraId="017058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447" w:type="dxa"/>
            <w:gridSpan w:val="3"/>
            <w:vAlign w:val="center"/>
          </w:tcPr>
          <w:p w14:paraId="02C6E335">
            <w:pPr>
              <w:adjustRightInd w:val="0"/>
              <w:snapToGrid w:val="0"/>
              <w:spacing w:before="50"/>
              <w:rPr>
                <w:rFonts w:hint="eastAsia" w:ascii="宋体" w:hAnsi="宋体"/>
                <w:b/>
                <w:szCs w:val="21"/>
                <w:highlight w:val="none"/>
              </w:rPr>
            </w:pPr>
            <w:r>
              <w:rPr>
                <w:rFonts w:hint="eastAsia" w:ascii="宋体" w:hAnsi="宋体"/>
                <w:b/>
                <w:szCs w:val="21"/>
                <w:highlight w:val="none"/>
              </w:rPr>
              <w:t>七、政府采购政策</w:t>
            </w:r>
          </w:p>
        </w:tc>
      </w:tr>
      <w:tr w14:paraId="7E59E0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1225" w:type="dxa"/>
            <w:vAlign w:val="center"/>
          </w:tcPr>
          <w:p w14:paraId="51B6370C">
            <w:pPr>
              <w:adjustRightInd w:val="0"/>
              <w:snapToGrid w:val="0"/>
              <w:spacing w:before="50"/>
              <w:jc w:val="center"/>
              <w:rPr>
                <w:rFonts w:hint="eastAsia" w:ascii="宋体" w:hAnsi="宋体"/>
                <w:szCs w:val="21"/>
                <w:highlight w:val="none"/>
              </w:rPr>
            </w:pPr>
            <w:r>
              <w:rPr>
                <w:rFonts w:hint="eastAsia" w:ascii="宋体" w:hAnsi="宋体"/>
                <w:szCs w:val="21"/>
                <w:highlight w:val="none"/>
              </w:rPr>
              <w:t>第37.1款</w:t>
            </w:r>
          </w:p>
        </w:tc>
        <w:tc>
          <w:tcPr>
            <w:tcW w:w="2366" w:type="dxa"/>
            <w:tcBorders>
              <w:bottom w:val="single" w:color="auto" w:sz="4" w:space="0"/>
            </w:tcBorders>
            <w:vAlign w:val="center"/>
          </w:tcPr>
          <w:p w14:paraId="56AE6EB7">
            <w:pPr>
              <w:adjustRightInd w:val="0"/>
              <w:snapToGrid w:val="0"/>
              <w:spacing w:before="50"/>
              <w:jc w:val="center"/>
              <w:rPr>
                <w:rFonts w:hint="eastAsia" w:ascii="宋体" w:hAnsi="宋体"/>
                <w:szCs w:val="21"/>
                <w:highlight w:val="none"/>
              </w:rPr>
            </w:pPr>
            <w:r>
              <w:rPr>
                <w:rFonts w:hint="eastAsia" w:ascii="宋体" w:hAnsi="宋体"/>
                <w:szCs w:val="21"/>
                <w:highlight w:val="none"/>
              </w:rPr>
              <w:t>预留份额的实施措施及相关要求</w:t>
            </w:r>
          </w:p>
        </w:tc>
        <w:tc>
          <w:tcPr>
            <w:tcW w:w="5856" w:type="dxa"/>
            <w:tcBorders>
              <w:bottom w:val="single" w:color="auto" w:sz="4" w:space="0"/>
            </w:tcBorders>
            <w:vAlign w:val="center"/>
          </w:tcPr>
          <w:p w14:paraId="4CFADA6D">
            <w:pPr>
              <w:adjustRightInd w:val="0"/>
              <w:snapToGrid w:val="0"/>
              <w:jc w:val="left"/>
              <w:rPr>
                <w:rFonts w:hint="eastAsia" w:ascii="宋体" w:hAnsi="宋体"/>
                <w:szCs w:val="21"/>
                <w:highlight w:val="none"/>
              </w:rPr>
            </w:pPr>
            <w:r>
              <w:rPr>
                <w:rFonts w:hint="eastAsia" w:ascii="宋体" w:hAnsi="宋体" w:eastAsia="宋体" w:cs="宋体"/>
                <w:szCs w:val="21"/>
                <w:highlight w:val="none"/>
                <w:lang w:eastAsia="zh-CN"/>
              </w:rPr>
              <w:t>■</w:t>
            </w:r>
            <w:r>
              <w:rPr>
                <w:rFonts w:hint="eastAsia" w:ascii="宋体" w:hAnsi="宋体"/>
                <w:szCs w:val="21"/>
                <w:highlight w:val="none"/>
              </w:rPr>
              <w:t>专门面向中小企业采购；</w:t>
            </w:r>
          </w:p>
          <w:p w14:paraId="79637EE4">
            <w:pPr>
              <w:adjustRightInd w:val="0"/>
              <w:snapToGrid w:val="0"/>
              <w:jc w:val="left"/>
              <w:rPr>
                <w:rFonts w:hint="eastAsia" w:ascii="宋体" w:hAnsi="宋体"/>
                <w:szCs w:val="21"/>
                <w:highlight w:val="none"/>
              </w:rPr>
            </w:pPr>
            <w:r>
              <w:rPr>
                <w:rFonts w:hint="eastAsia" w:ascii="宋体" w:hAnsi="宋体"/>
                <w:szCs w:val="21"/>
                <w:highlight w:val="none"/>
              </w:rPr>
              <w:t>□ 专门面向小型、微型企业采购；</w:t>
            </w:r>
          </w:p>
          <w:p w14:paraId="1CB6C3C7">
            <w:pPr>
              <w:adjustRightInd w:val="0"/>
              <w:snapToGrid w:val="0"/>
              <w:jc w:val="left"/>
              <w:rPr>
                <w:rFonts w:hint="eastAsia" w:ascii="宋体" w:hAnsi="宋体"/>
                <w:szCs w:val="21"/>
                <w:highlight w:val="none"/>
              </w:rPr>
            </w:pPr>
            <w:r>
              <w:rPr>
                <w:rFonts w:hint="eastAsia" w:ascii="宋体" w:hAnsi="宋体"/>
                <w:szCs w:val="21"/>
                <w:highlight w:val="none"/>
              </w:rPr>
              <w:t>□要求供应商以联合体形式参加采购活动，且联合体中中小企业承担的部分达到一定比例，比例为；</w:t>
            </w:r>
          </w:p>
          <w:p w14:paraId="3039289E">
            <w:pPr>
              <w:adjustRightInd w:val="0"/>
              <w:snapToGrid w:val="0"/>
              <w:spacing w:before="50"/>
              <w:rPr>
                <w:rFonts w:hint="eastAsia" w:ascii="宋体" w:hAnsi="宋体"/>
                <w:szCs w:val="21"/>
                <w:highlight w:val="none"/>
              </w:rPr>
            </w:pPr>
            <w:r>
              <w:rPr>
                <w:rFonts w:hint="eastAsia" w:ascii="宋体" w:hAnsi="宋体"/>
                <w:szCs w:val="21"/>
                <w:highlight w:val="none"/>
              </w:rPr>
              <w:t>□ 要求获得采购合同的供应商将采购项目中的一定比例分包给一家或者多家中小企业，比例为。</w:t>
            </w:r>
          </w:p>
          <w:p w14:paraId="732BDDD3">
            <w:pPr>
              <w:adjustRightInd w:val="0"/>
              <w:snapToGrid w:val="0"/>
              <w:spacing w:before="50"/>
              <w:rPr>
                <w:rFonts w:hint="eastAsia" w:ascii="宋体" w:hAnsi="宋体"/>
                <w:szCs w:val="21"/>
                <w:highlight w:val="none"/>
              </w:rPr>
            </w:pPr>
            <w:r>
              <w:rPr>
                <w:rFonts w:hint="eastAsia" w:ascii="宋体" w:hAnsi="宋体"/>
                <w:szCs w:val="21"/>
                <w:highlight w:val="none"/>
              </w:rPr>
              <w:t>（组成联合体或者接受分包合同的中小企业与联合体内其他企业、分包企业之间不得存在直接控股、管理关系。）</w:t>
            </w:r>
          </w:p>
        </w:tc>
      </w:tr>
      <w:tr w14:paraId="503101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225" w:type="dxa"/>
            <w:vAlign w:val="center"/>
          </w:tcPr>
          <w:p w14:paraId="45A44F31">
            <w:pPr>
              <w:adjustRightInd w:val="0"/>
              <w:snapToGrid w:val="0"/>
              <w:spacing w:before="50"/>
              <w:jc w:val="center"/>
              <w:rPr>
                <w:rFonts w:hint="eastAsia" w:ascii="宋体" w:hAnsi="宋体"/>
                <w:szCs w:val="21"/>
                <w:highlight w:val="none"/>
              </w:rPr>
            </w:pPr>
            <w:r>
              <w:rPr>
                <w:rFonts w:hint="eastAsia" w:ascii="宋体" w:hAnsi="宋体"/>
                <w:szCs w:val="21"/>
                <w:highlight w:val="none"/>
              </w:rPr>
              <w:t>第40.1（3）项</w:t>
            </w:r>
          </w:p>
        </w:tc>
        <w:tc>
          <w:tcPr>
            <w:tcW w:w="2366" w:type="dxa"/>
            <w:vAlign w:val="center"/>
          </w:tcPr>
          <w:p w14:paraId="5C8BFC10">
            <w:pPr>
              <w:adjustRightInd w:val="0"/>
              <w:snapToGrid w:val="0"/>
              <w:spacing w:before="50"/>
              <w:jc w:val="center"/>
              <w:rPr>
                <w:rFonts w:hint="eastAsia" w:ascii="宋体" w:hAnsi="宋体"/>
                <w:szCs w:val="21"/>
                <w:highlight w:val="none"/>
              </w:rPr>
            </w:pPr>
            <w:r>
              <w:rPr>
                <w:rFonts w:hint="eastAsia" w:ascii="宋体" w:hAnsi="宋体"/>
                <w:szCs w:val="21"/>
                <w:highlight w:val="none"/>
              </w:rPr>
              <w:t>采购标的对应的中小企业划分标准所属行业</w:t>
            </w:r>
          </w:p>
        </w:tc>
        <w:tc>
          <w:tcPr>
            <w:tcW w:w="5856" w:type="dxa"/>
            <w:vAlign w:val="center"/>
          </w:tcPr>
          <w:p w14:paraId="24F0D0A0">
            <w:pPr>
              <w:rPr>
                <w:rFonts w:hint="eastAsia" w:ascii="宋体" w:hAnsi="宋体"/>
                <w:szCs w:val="21"/>
                <w:highlight w:val="none"/>
              </w:rPr>
            </w:pPr>
            <w:r>
              <w:rPr>
                <w:rFonts w:hint="eastAsia" w:ascii="宋体" w:hAnsi="宋体" w:cs="宋体"/>
                <w:highlight w:val="none"/>
                <w:lang w:eastAsia="zh-CN"/>
              </w:rPr>
              <w:t>软件和信息技术服务业</w:t>
            </w:r>
            <w:r>
              <w:rPr>
                <w:rFonts w:hint="eastAsia" w:ascii="宋体" w:hAnsi="宋体" w:cs="宋体"/>
                <w:highlight w:val="none"/>
              </w:rPr>
              <w:t>。</w:t>
            </w:r>
          </w:p>
        </w:tc>
      </w:tr>
      <w:tr w14:paraId="6514A2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225" w:type="dxa"/>
            <w:vAlign w:val="center"/>
          </w:tcPr>
          <w:p w14:paraId="31B6243A">
            <w:pPr>
              <w:adjustRightInd w:val="0"/>
              <w:snapToGrid w:val="0"/>
              <w:spacing w:before="50"/>
              <w:jc w:val="center"/>
              <w:rPr>
                <w:rFonts w:hint="eastAsia" w:ascii="宋体" w:hAnsi="宋体"/>
                <w:szCs w:val="21"/>
                <w:highlight w:val="none"/>
              </w:rPr>
            </w:pPr>
            <w:r>
              <w:rPr>
                <w:rFonts w:hint="eastAsia" w:ascii="宋体" w:hAnsi="宋体"/>
                <w:szCs w:val="21"/>
                <w:highlight w:val="none"/>
              </w:rPr>
              <w:t>第41.1款</w:t>
            </w:r>
          </w:p>
        </w:tc>
        <w:tc>
          <w:tcPr>
            <w:tcW w:w="2366" w:type="dxa"/>
            <w:vAlign w:val="center"/>
          </w:tcPr>
          <w:p w14:paraId="7590A1F5">
            <w:pPr>
              <w:adjustRightInd w:val="0"/>
              <w:snapToGrid w:val="0"/>
              <w:spacing w:before="50"/>
              <w:jc w:val="center"/>
              <w:rPr>
                <w:rFonts w:hint="eastAsia" w:ascii="宋体" w:hAnsi="宋体"/>
                <w:szCs w:val="21"/>
                <w:highlight w:val="none"/>
              </w:rPr>
            </w:pPr>
            <w:r>
              <w:rPr>
                <w:rFonts w:hint="eastAsia" w:ascii="宋体" w:hAnsi="宋体"/>
                <w:szCs w:val="21"/>
                <w:highlight w:val="none"/>
              </w:rPr>
              <w:t>进口产品</w:t>
            </w:r>
          </w:p>
        </w:tc>
        <w:tc>
          <w:tcPr>
            <w:tcW w:w="5856" w:type="dxa"/>
            <w:vAlign w:val="center"/>
          </w:tcPr>
          <w:p w14:paraId="1E14BC56">
            <w:pPr>
              <w:adjustRightInd w:val="0"/>
              <w:snapToGrid w:val="0"/>
              <w:spacing w:line="240" w:lineRule="atLeast"/>
              <w:rPr>
                <w:rFonts w:hint="eastAsia" w:ascii="宋体" w:hAnsi="宋体"/>
                <w:szCs w:val="21"/>
                <w:highlight w:val="none"/>
              </w:rPr>
            </w:pPr>
            <w:r>
              <w:rPr>
                <w:rFonts w:ascii="宋体" w:hAnsi="宋体" w:cs="宋体"/>
                <w:highlight w:val="none"/>
              </w:rPr>
              <w:t>■</w:t>
            </w:r>
            <w:r>
              <w:rPr>
                <w:rFonts w:hint="eastAsia" w:ascii="宋体" w:hAnsi="宋体"/>
                <w:szCs w:val="21"/>
                <w:highlight w:val="none"/>
              </w:rPr>
              <w:t>本项目拒绝采购进口产品</w:t>
            </w:r>
          </w:p>
          <w:p w14:paraId="31493C11">
            <w:pPr>
              <w:adjustRightInd w:val="0"/>
              <w:snapToGrid w:val="0"/>
              <w:spacing w:before="50"/>
              <w:rPr>
                <w:rFonts w:hint="eastAsia" w:ascii="宋体" w:hAnsi="宋体"/>
                <w:szCs w:val="21"/>
                <w:highlight w:val="none"/>
              </w:rPr>
            </w:pPr>
            <w:r>
              <w:rPr>
                <w:rFonts w:hint="eastAsia" w:ascii="宋体" w:hAnsi="宋体"/>
                <w:szCs w:val="21"/>
                <w:highlight w:val="none"/>
              </w:rPr>
              <w:t>□本项目已经财政部门审核同意购买进口产品</w:t>
            </w:r>
          </w:p>
        </w:tc>
      </w:tr>
      <w:tr w14:paraId="334514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447" w:type="dxa"/>
            <w:gridSpan w:val="3"/>
            <w:vAlign w:val="center"/>
          </w:tcPr>
          <w:p w14:paraId="77053F9F">
            <w:pPr>
              <w:adjustRightInd w:val="0"/>
              <w:snapToGrid w:val="0"/>
              <w:spacing w:before="50"/>
              <w:rPr>
                <w:rFonts w:hint="eastAsia" w:ascii="宋体" w:hAnsi="宋体"/>
                <w:b/>
                <w:szCs w:val="21"/>
                <w:highlight w:val="none"/>
              </w:rPr>
            </w:pPr>
            <w:r>
              <w:rPr>
                <w:rFonts w:hint="eastAsia" w:ascii="宋体" w:hAnsi="宋体"/>
                <w:b/>
                <w:szCs w:val="21"/>
                <w:highlight w:val="none"/>
              </w:rPr>
              <w:t>八、其他规定</w:t>
            </w:r>
          </w:p>
        </w:tc>
      </w:tr>
      <w:tr w14:paraId="0D0E29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225" w:type="dxa"/>
            <w:vAlign w:val="center"/>
          </w:tcPr>
          <w:p w14:paraId="24D56E63">
            <w:pPr>
              <w:adjustRightInd w:val="0"/>
              <w:snapToGrid w:val="0"/>
              <w:spacing w:before="50"/>
              <w:jc w:val="center"/>
              <w:rPr>
                <w:rFonts w:hint="eastAsia" w:ascii="宋体" w:hAnsi="宋体"/>
                <w:szCs w:val="21"/>
                <w:highlight w:val="none"/>
              </w:rPr>
            </w:pPr>
            <w:r>
              <w:rPr>
                <w:rFonts w:hint="eastAsia" w:ascii="宋体" w:hAnsi="宋体"/>
                <w:szCs w:val="21"/>
                <w:highlight w:val="none"/>
              </w:rPr>
              <w:t>第43.1款</w:t>
            </w:r>
          </w:p>
        </w:tc>
        <w:tc>
          <w:tcPr>
            <w:tcW w:w="2366" w:type="dxa"/>
            <w:vAlign w:val="center"/>
          </w:tcPr>
          <w:p w14:paraId="79D6F2E2">
            <w:pPr>
              <w:adjustRightInd w:val="0"/>
              <w:snapToGrid w:val="0"/>
              <w:spacing w:before="50"/>
              <w:jc w:val="center"/>
              <w:rPr>
                <w:rFonts w:hint="eastAsia" w:ascii="宋体" w:hAnsi="宋体"/>
                <w:szCs w:val="21"/>
                <w:highlight w:val="none"/>
              </w:rPr>
            </w:pPr>
            <w:r>
              <w:rPr>
                <w:rFonts w:hint="eastAsia" w:ascii="宋体" w:hAnsi="宋体"/>
                <w:szCs w:val="21"/>
                <w:highlight w:val="none"/>
              </w:rPr>
              <w:t>代理服务费</w:t>
            </w:r>
          </w:p>
        </w:tc>
        <w:tc>
          <w:tcPr>
            <w:tcW w:w="5856" w:type="dxa"/>
            <w:vAlign w:val="center"/>
          </w:tcPr>
          <w:p w14:paraId="73480B6E">
            <w:pPr>
              <w:adjustRightInd w:val="0"/>
              <w:snapToGrid w:val="0"/>
              <w:rPr>
                <w:rFonts w:hint="eastAsia" w:ascii="宋体" w:hAnsi="宋体"/>
                <w:szCs w:val="21"/>
                <w:highlight w:val="none"/>
                <w:u w:val="single"/>
              </w:rPr>
            </w:pPr>
            <w:r>
              <w:rPr>
                <w:rFonts w:hint="eastAsia" w:ascii="宋体" w:hAnsi="宋体" w:eastAsia="宋体" w:cs="Times New Roman"/>
                <w:color w:val="000000"/>
                <w:szCs w:val="21"/>
                <w:highlight w:val="none"/>
              </w:rPr>
              <w:t>招标代理服务收费标准按委托代理协议约定为：按本项目采购代理委托合同约定，在</w:t>
            </w:r>
            <w:r>
              <w:rPr>
                <w:rFonts w:hint="eastAsia" w:ascii="宋体" w:hAnsi="宋体" w:eastAsia="宋体" w:cs="Times New Roman"/>
                <w:color w:val="000000"/>
                <w:szCs w:val="21"/>
                <w:highlight w:val="none"/>
                <w:lang w:val="en-US" w:eastAsia="zh-CN"/>
              </w:rPr>
              <w:t>项目完成后由采购人向采购代理机构</w:t>
            </w:r>
            <w:r>
              <w:rPr>
                <w:rFonts w:hint="eastAsia" w:ascii="宋体" w:hAnsi="宋体" w:eastAsia="宋体" w:cs="Times New Roman"/>
                <w:color w:val="000000"/>
                <w:szCs w:val="21"/>
                <w:highlight w:val="none"/>
              </w:rPr>
              <w:t>一次性付清。</w:t>
            </w:r>
          </w:p>
        </w:tc>
      </w:tr>
      <w:tr w14:paraId="43A6E1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225" w:type="dxa"/>
            <w:vAlign w:val="center"/>
          </w:tcPr>
          <w:p w14:paraId="2C462C0F">
            <w:pPr>
              <w:adjustRightInd w:val="0"/>
              <w:snapToGrid w:val="0"/>
              <w:spacing w:before="50"/>
              <w:jc w:val="center"/>
              <w:rPr>
                <w:rFonts w:hint="eastAsia" w:ascii="宋体" w:hAnsi="宋体"/>
                <w:szCs w:val="21"/>
                <w:highlight w:val="none"/>
              </w:rPr>
            </w:pPr>
            <w:r>
              <w:rPr>
                <w:rFonts w:hint="eastAsia" w:ascii="宋体" w:hAnsi="宋体"/>
                <w:szCs w:val="21"/>
                <w:highlight w:val="none"/>
              </w:rPr>
              <w:t>第44.1款</w:t>
            </w:r>
          </w:p>
        </w:tc>
        <w:tc>
          <w:tcPr>
            <w:tcW w:w="2366" w:type="dxa"/>
            <w:vAlign w:val="center"/>
          </w:tcPr>
          <w:p w14:paraId="3C18118A">
            <w:pPr>
              <w:adjustRightInd w:val="0"/>
              <w:snapToGrid w:val="0"/>
              <w:spacing w:before="50"/>
              <w:jc w:val="center"/>
              <w:rPr>
                <w:rFonts w:hint="eastAsia" w:ascii="宋体" w:hAnsi="宋体"/>
                <w:szCs w:val="21"/>
                <w:highlight w:val="none"/>
              </w:rPr>
            </w:pPr>
            <w:r>
              <w:rPr>
                <w:rFonts w:hint="eastAsia" w:ascii="宋体" w:hAnsi="宋体"/>
                <w:szCs w:val="21"/>
                <w:highlight w:val="none"/>
              </w:rPr>
              <w:t>其他规定</w:t>
            </w:r>
          </w:p>
        </w:tc>
        <w:tc>
          <w:tcPr>
            <w:tcW w:w="5856" w:type="dxa"/>
            <w:vAlign w:val="center"/>
          </w:tcPr>
          <w:p w14:paraId="3B4FBAAA">
            <w:pPr>
              <w:adjustRightInd w:val="0"/>
              <w:snapToGrid w:val="0"/>
              <w:spacing w:before="50"/>
              <w:rPr>
                <w:rFonts w:hint="eastAsia" w:ascii="宋体" w:hAnsi="宋体"/>
                <w:szCs w:val="21"/>
                <w:highlight w:val="none"/>
              </w:rPr>
            </w:pPr>
            <w:r>
              <w:rPr>
                <w:rFonts w:hint="eastAsia" w:ascii="宋体" w:hAnsi="宋体"/>
                <w:szCs w:val="21"/>
                <w:highlight w:val="none"/>
              </w:rPr>
              <w:t>根据《湖南省财政厅关于做好政府采购有关信用主体标识码登记及在政府采购活动中查询使用信用记录有关问题的通知》湘财购[2017]2号文要求，对列入失信被执行人、重大税收违法案件当事人名单、政府采购严重违法失信行为记录名单及其他不符合《中华人民共和国政府采购法》第二十二条规定条件的供应商，应当拒绝其参与政府采购活动。</w:t>
            </w:r>
          </w:p>
          <w:p w14:paraId="7D7347A1">
            <w:pPr>
              <w:adjustRightInd w:val="0"/>
              <w:snapToGrid w:val="0"/>
              <w:spacing w:before="50"/>
              <w:rPr>
                <w:rFonts w:hint="eastAsia" w:ascii="宋体" w:hAnsi="宋体"/>
                <w:szCs w:val="21"/>
                <w:highlight w:val="none"/>
              </w:rPr>
            </w:pPr>
            <w:r>
              <w:rPr>
                <w:rFonts w:hint="eastAsia" w:ascii="宋体" w:hAnsi="宋体"/>
                <w:szCs w:val="21"/>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2D53DE83">
            <w:pPr>
              <w:adjustRightInd w:val="0"/>
              <w:snapToGrid w:val="0"/>
              <w:spacing w:before="50"/>
              <w:rPr>
                <w:rFonts w:hint="eastAsia" w:ascii="宋体" w:hAnsi="宋体"/>
                <w:szCs w:val="21"/>
                <w:highlight w:val="none"/>
              </w:rPr>
            </w:pPr>
            <w:r>
              <w:rPr>
                <w:rFonts w:hint="eastAsia" w:ascii="宋体" w:hAnsi="宋体"/>
                <w:szCs w:val="21"/>
                <w:highlight w:val="none"/>
              </w:rPr>
              <w:t>信用信息查询的查询渠道：“信用中国”网站（www.creditchina.gov.cn）、中国政府采购网（www.ccgp.gov.cn）。</w:t>
            </w:r>
          </w:p>
          <w:p w14:paraId="6C9499E3">
            <w:pPr>
              <w:adjustRightInd w:val="0"/>
              <w:snapToGrid w:val="0"/>
              <w:spacing w:before="50"/>
              <w:rPr>
                <w:rFonts w:hint="eastAsia" w:ascii="宋体" w:hAnsi="宋体"/>
                <w:szCs w:val="21"/>
                <w:highlight w:val="none"/>
              </w:rPr>
            </w:pPr>
            <w:r>
              <w:rPr>
                <w:rFonts w:hint="eastAsia" w:ascii="宋体" w:hAnsi="宋体"/>
                <w:szCs w:val="21"/>
                <w:highlight w:val="none"/>
              </w:rPr>
              <w:t>信用信息查询的截止时点：至本项目首次响应文件的提交截止时间止。</w:t>
            </w:r>
          </w:p>
          <w:p w14:paraId="17AC7067">
            <w:pPr>
              <w:adjustRightInd w:val="0"/>
              <w:snapToGrid w:val="0"/>
              <w:spacing w:before="50"/>
              <w:rPr>
                <w:rFonts w:hint="eastAsia" w:ascii="宋体" w:hAnsi="宋体"/>
                <w:szCs w:val="21"/>
                <w:highlight w:val="none"/>
              </w:rPr>
            </w:pPr>
            <w:r>
              <w:rPr>
                <w:rFonts w:hint="eastAsia" w:ascii="宋体" w:hAnsi="宋体"/>
                <w:szCs w:val="21"/>
                <w:highlight w:val="none"/>
              </w:rPr>
              <w:t>信用信息查询记录的具体方式：由采购人或采购代理机构在规定的查询渠道进行查询。</w:t>
            </w:r>
          </w:p>
          <w:p w14:paraId="165F9F87">
            <w:pPr>
              <w:adjustRightInd w:val="0"/>
              <w:snapToGrid w:val="0"/>
              <w:spacing w:before="50"/>
              <w:rPr>
                <w:rFonts w:hint="eastAsia" w:ascii="宋体" w:hAnsi="宋体"/>
                <w:szCs w:val="21"/>
                <w:highlight w:val="none"/>
              </w:rPr>
            </w:pPr>
            <w:r>
              <w:rPr>
                <w:rFonts w:hint="eastAsia" w:ascii="宋体" w:hAnsi="宋体"/>
                <w:szCs w:val="21"/>
                <w:highlight w:val="none"/>
              </w:rPr>
              <w:t>信用信息查询记录证据留存的具体方式：查询记录的网上打印件。</w:t>
            </w:r>
          </w:p>
          <w:p w14:paraId="02A833F4">
            <w:pPr>
              <w:adjustRightInd w:val="0"/>
              <w:snapToGrid w:val="0"/>
              <w:spacing w:before="50"/>
              <w:rPr>
                <w:rFonts w:hint="eastAsia" w:ascii="宋体" w:hAnsi="宋体"/>
                <w:szCs w:val="21"/>
                <w:highlight w:val="none"/>
              </w:rPr>
            </w:pPr>
            <w:r>
              <w:rPr>
                <w:rFonts w:hint="eastAsia" w:ascii="宋体" w:hAnsi="宋体"/>
                <w:szCs w:val="21"/>
                <w:highlight w:val="none"/>
              </w:rPr>
              <w:t>信用信息的使用规则：留存备查。</w:t>
            </w:r>
          </w:p>
        </w:tc>
      </w:tr>
    </w:tbl>
    <w:p w14:paraId="5C18070F">
      <w:pPr>
        <w:adjustRightInd w:val="0"/>
        <w:snapToGrid w:val="0"/>
        <w:spacing w:line="360" w:lineRule="auto"/>
        <w:rPr>
          <w:rFonts w:hint="eastAsia" w:ascii="宋体" w:hAnsi="宋体"/>
          <w:b/>
          <w:bCs/>
          <w:szCs w:val="21"/>
          <w:highlight w:val="none"/>
        </w:rPr>
      </w:pPr>
    </w:p>
    <w:p w14:paraId="56193B80">
      <w:pPr>
        <w:pStyle w:val="8"/>
        <w:keepNext w:val="0"/>
        <w:keepLines w:val="0"/>
        <w:adjustRightInd w:val="0"/>
        <w:snapToGrid w:val="0"/>
        <w:spacing w:before="120" w:beforeLines="50"/>
        <w:jc w:val="center"/>
        <w:rPr>
          <w:rFonts w:hint="eastAsia" w:ascii="黑体" w:hAnsi="黑体" w:eastAsia="黑体"/>
          <w:sz w:val="32"/>
          <w:highlight w:val="none"/>
        </w:rPr>
      </w:pPr>
      <w:r>
        <w:rPr>
          <w:highlight w:val="none"/>
        </w:rPr>
        <w:br w:type="page"/>
      </w:r>
      <w:bookmarkStart w:id="66" w:name="_Toc29982"/>
      <w:bookmarkStart w:id="67" w:name="_Toc31463"/>
      <w:bookmarkStart w:id="68" w:name="_Toc16907"/>
      <w:bookmarkStart w:id="69" w:name="_Toc24142"/>
      <w:r>
        <w:rPr>
          <w:rFonts w:hint="eastAsia" w:ascii="黑体" w:hAnsi="黑体" w:eastAsia="黑体"/>
          <w:sz w:val="32"/>
          <w:highlight w:val="none"/>
        </w:rPr>
        <w:t>第二节 磋商须知正文</w:t>
      </w:r>
      <w:bookmarkEnd w:id="66"/>
      <w:bookmarkEnd w:id="67"/>
      <w:bookmarkEnd w:id="68"/>
      <w:bookmarkEnd w:id="69"/>
    </w:p>
    <w:p w14:paraId="6FE75F65">
      <w:pPr>
        <w:pStyle w:val="9"/>
        <w:keepNext w:val="0"/>
        <w:keepLines w:val="0"/>
        <w:adjustRightInd w:val="0"/>
        <w:snapToGrid w:val="0"/>
        <w:spacing w:before="120" w:beforeLines="50" w:after="0" w:line="360" w:lineRule="auto"/>
        <w:jc w:val="center"/>
        <w:rPr>
          <w:rFonts w:hint="eastAsia" w:ascii="黑体" w:hAnsi="黑体" w:eastAsia="黑体"/>
          <w:sz w:val="28"/>
          <w:szCs w:val="28"/>
          <w:highlight w:val="none"/>
        </w:rPr>
      </w:pPr>
      <w:bookmarkStart w:id="70" w:name="_Toc10364"/>
      <w:bookmarkStart w:id="71" w:name="_Toc21974"/>
      <w:bookmarkStart w:id="72" w:name="_Toc994"/>
      <w:bookmarkStart w:id="73" w:name="_Toc14118"/>
      <w:r>
        <w:rPr>
          <w:rFonts w:hint="eastAsia" w:ascii="黑体" w:hAnsi="黑体" w:eastAsia="黑体"/>
          <w:sz w:val="28"/>
          <w:szCs w:val="28"/>
          <w:highlight w:val="none"/>
        </w:rPr>
        <w:t>一、说明</w:t>
      </w:r>
      <w:bookmarkEnd w:id="70"/>
      <w:bookmarkEnd w:id="71"/>
      <w:bookmarkEnd w:id="72"/>
      <w:bookmarkEnd w:id="73"/>
    </w:p>
    <w:p w14:paraId="7381E81B">
      <w:pPr>
        <w:pStyle w:val="10"/>
        <w:keepNext w:val="0"/>
        <w:keepLines w:val="0"/>
        <w:adjustRightInd w:val="0"/>
        <w:snapToGrid w:val="0"/>
        <w:spacing w:before="0" w:after="0" w:line="360" w:lineRule="auto"/>
        <w:rPr>
          <w:rFonts w:hint="eastAsia" w:ascii="黑体" w:hAnsi="黑体"/>
          <w:sz w:val="24"/>
          <w:szCs w:val="24"/>
          <w:highlight w:val="none"/>
        </w:rPr>
      </w:pPr>
      <w:bookmarkStart w:id="74" w:name="_Toc12421"/>
      <w:bookmarkStart w:id="75" w:name="_Toc18051"/>
      <w:bookmarkStart w:id="76" w:name="_Toc9608"/>
      <w:bookmarkStart w:id="77" w:name="_Toc27733"/>
      <w:r>
        <w:rPr>
          <w:rFonts w:hint="eastAsia" w:ascii="黑体" w:hAnsi="黑体"/>
          <w:sz w:val="24"/>
          <w:szCs w:val="24"/>
          <w:highlight w:val="none"/>
        </w:rPr>
        <w:t>1.适用范围</w:t>
      </w:r>
      <w:bookmarkEnd w:id="74"/>
      <w:bookmarkEnd w:id="75"/>
      <w:bookmarkEnd w:id="76"/>
      <w:bookmarkEnd w:id="77"/>
    </w:p>
    <w:p w14:paraId="2128090B">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1.1本竞争性磋商文件仅适用于本章第一节“磋商须知前附表”（以下简称</w:t>
      </w:r>
      <w:r>
        <w:rPr>
          <w:rFonts w:hint="eastAsia" w:ascii="宋体" w:hAnsi="宋体"/>
          <w:b/>
          <w:szCs w:val="21"/>
          <w:highlight w:val="none"/>
        </w:rPr>
        <w:t>【磋商须知前附表】</w:t>
      </w:r>
      <w:r>
        <w:rPr>
          <w:rFonts w:hint="eastAsia" w:ascii="宋体" w:hAnsi="宋体"/>
          <w:szCs w:val="21"/>
          <w:highlight w:val="none"/>
        </w:rPr>
        <w:t>）中所叙述的采购项目。</w:t>
      </w:r>
    </w:p>
    <w:p w14:paraId="791B0034">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1.2</w:t>
      </w:r>
      <w:r>
        <w:rPr>
          <w:rFonts w:hint="eastAsia" w:ascii="宋体" w:hAnsi="宋体"/>
          <w:b/>
          <w:szCs w:val="21"/>
          <w:highlight w:val="none"/>
        </w:rPr>
        <w:t>【磋商须知前附表】</w:t>
      </w:r>
      <w:r>
        <w:rPr>
          <w:rFonts w:hint="eastAsia" w:ascii="宋体" w:hAnsi="宋体"/>
          <w:szCs w:val="21"/>
          <w:highlight w:val="none"/>
        </w:rPr>
        <w:t>规定采购项目或者采购包属于“预留采购份额”的，供应商应当符合本章第37.1款规定，否则将被拒绝。</w:t>
      </w:r>
    </w:p>
    <w:p w14:paraId="70A1470A">
      <w:pPr>
        <w:pStyle w:val="10"/>
        <w:keepNext w:val="0"/>
        <w:keepLines w:val="0"/>
        <w:adjustRightInd w:val="0"/>
        <w:snapToGrid w:val="0"/>
        <w:spacing w:before="0" w:after="0" w:line="360" w:lineRule="auto"/>
        <w:rPr>
          <w:rFonts w:hint="eastAsia" w:ascii="黑体" w:hAnsi="黑体"/>
          <w:sz w:val="24"/>
          <w:szCs w:val="24"/>
          <w:highlight w:val="none"/>
        </w:rPr>
      </w:pPr>
      <w:bookmarkStart w:id="78" w:name="_Toc18038"/>
      <w:bookmarkStart w:id="79" w:name="_Toc13411"/>
      <w:bookmarkStart w:id="80" w:name="_Toc21343"/>
      <w:bookmarkStart w:id="81" w:name="_Toc29828"/>
      <w:r>
        <w:rPr>
          <w:rFonts w:hint="eastAsia" w:ascii="黑体" w:hAnsi="黑体"/>
          <w:sz w:val="24"/>
          <w:szCs w:val="24"/>
          <w:highlight w:val="none"/>
        </w:rPr>
        <w:t>2.定义</w:t>
      </w:r>
      <w:bookmarkEnd w:id="78"/>
      <w:bookmarkEnd w:id="79"/>
      <w:bookmarkEnd w:id="80"/>
      <w:bookmarkEnd w:id="81"/>
    </w:p>
    <w:p w14:paraId="22D3D1DD">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2.1采购人名称、地址、电话、联系人见</w:t>
      </w:r>
      <w:r>
        <w:rPr>
          <w:rFonts w:hint="eastAsia" w:ascii="宋体" w:hAnsi="宋体"/>
          <w:b/>
          <w:szCs w:val="21"/>
          <w:highlight w:val="none"/>
        </w:rPr>
        <w:t>【磋商须知前附表】</w:t>
      </w:r>
      <w:r>
        <w:rPr>
          <w:rFonts w:hint="eastAsia" w:ascii="宋体" w:hAnsi="宋体"/>
          <w:szCs w:val="21"/>
          <w:highlight w:val="none"/>
        </w:rPr>
        <w:t>。</w:t>
      </w:r>
    </w:p>
    <w:p w14:paraId="0C37CE78">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2.2采购代理机构名称、地址、电话、联系人见</w:t>
      </w:r>
      <w:r>
        <w:rPr>
          <w:rFonts w:hint="eastAsia" w:ascii="宋体" w:hAnsi="宋体"/>
          <w:b/>
          <w:szCs w:val="21"/>
          <w:highlight w:val="none"/>
        </w:rPr>
        <w:t>【磋商须知前附表】。</w:t>
      </w:r>
    </w:p>
    <w:p w14:paraId="1CFE6E77">
      <w:pPr>
        <w:adjustRightInd w:val="0"/>
        <w:snapToGrid w:val="0"/>
        <w:spacing w:line="360" w:lineRule="auto"/>
        <w:ind w:firstLine="420" w:firstLineChars="200"/>
        <w:jc w:val="left"/>
        <w:rPr>
          <w:rFonts w:hint="eastAsia" w:ascii="宋体" w:hAnsi="宋体" w:cs="宋体"/>
          <w:kern w:val="0"/>
          <w:szCs w:val="21"/>
          <w:highlight w:val="none"/>
          <w:lang w:val="zh-CN"/>
        </w:rPr>
      </w:pPr>
      <w:r>
        <w:rPr>
          <w:rFonts w:hint="eastAsia" w:ascii="宋体" w:hAnsi="宋体"/>
          <w:szCs w:val="21"/>
          <w:highlight w:val="none"/>
        </w:rPr>
        <w:t>2.3供应商是指响应磋商文件要求、参加竞争性磋商采购的法人、其他组织或者自然人</w:t>
      </w:r>
      <w:r>
        <w:rPr>
          <w:rFonts w:hint="eastAsia" w:ascii="宋体" w:hAnsi="宋体"/>
          <w:b/>
          <w:szCs w:val="21"/>
          <w:highlight w:val="none"/>
        </w:rPr>
        <w:t>。</w:t>
      </w:r>
    </w:p>
    <w:p w14:paraId="0FE9838E">
      <w:pPr>
        <w:pStyle w:val="10"/>
        <w:keepNext w:val="0"/>
        <w:keepLines w:val="0"/>
        <w:adjustRightInd w:val="0"/>
        <w:snapToGrid w:val="0"/>
        <w:spacing w:before="0" w:after="0" w:line="360" w:lineRule="auto"/>
        <w:rPr>
          <w:rFonts w:hint="eastAsia" w:ascii="黑体" w:hAnsi="黑体"/>
          <w:sz w:val="24"/>
          <w:szCs w:val="24"/>
          <w:highlight w:val="none"/>
        </w:rPr>
      </w:pPr>
      <w:bookmarkStart w:id="82" w:name="_Toc6613"/>
      <w:bookmarkStart w:id="83" w:name="_Toc28537"/>
      <w:bookmarkStart w:id="84" w:name="_Toc32090"/>
      <w:bookmarkStart w:id="85" w:name="_Toc32035"/>
      <w:r>
        <w:rPr>
          <w:rFonts w:hint="eastAsia" w:ascii="黑体" w:hAnsi="黑体"/>
          <w:sz w:val="24"/>
          <w:szCs w:val="24"/>
          <w:highlight w:val="none"/>
        </w:rPr>
        <w:t>3.供应商的资格要求</w:t>
      </w:r>
      <w:bookmarkEnd w:id="82"/>
      <w:bookmarkEnd w:id="83"/>
      <w:bookmarkEnd w:id="84"/>
      <w:bookmarkEnd w:id="85"/>
    </w:p>
    <w:p w14:paraId="48758ECA">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3.1供应商应当符合</w:t>
      </w:r>
      <w:r>
        <w:rPr>
          <w:rFonts w:hint="eastAsia" w:ascii="宋体" w:hAnsi="宋体"/>
          <w:b/>
          <w:szCs w:val="21"/>
          <w:highlight w:val="none"/>
        </w:rPr>
        <w:t>【磋商须知前附表】</w:t>
      </w:r>
      <w:r>
        <w:rPr>
          <w:rFonts w:hint="eastAsia" w:ascii="宋体" w:hAnsi="宋体"/>
          <w:szCs w:val="21"/>
          <w:highlight w:val="none"/>
        </w:rPr>
        <w:t>规定的供应商资格条件。</w:t>
      </w:r>
    </w:p>
    <w:p w14:paraId="0A43ED3A">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3.2</w:t>
      </w:r>
      <w:r>
        <w:rPr>
          <w:rFonts w:hint="eastAsia" w:ascii="宋体" w:hAnsi="宋体"/>
          <w:b/>
          <w:szCs w:val="21"/>
          <w:highlight w:val="none"/>
        </w:rPr>
        <w:t>【磋商须知前附表】</w:t>
      </w:r>
      <w:r>
        <w:rPr>
          <w:rFonts w:hint="eastAsia" w:ascii="宋体" w:hAnsi="宋体"/>
          <w:szCs w:val="21"/>
          <w:highlight w:val="none"/>
        </w:rPr>
        <w:t>规定接受联合体形式的，供应商除应符合本章第3.1</w:t>
      </w:r>
      <w:r>
        <w:rPr>
          <w:rFonts w:hint="eastAsia" w:ascii="宋体" w:hAnsi="宋体" w:cs="宋体"/>
          <w:kern w:val="0"/>
          <w:szCs w:val="21"/>
          <w:highlight w:val="none"/>
          <w:lang w:val="zh-CN"/>
        </w:rPr>
        <w:t>款</w:t>
      </w:r>
      <w:r>
        <w:rPr>
          <w:rFonts w:hint="eastAsia" w:ascii="宋体" w:hAnsi="宋体"/>
          <w:szCs w:val="21"/>
          <w:highlight w:val="none"/>
        </w:rPr>
        <w:t xml:space="preserve">规定外，还应遵守以下规定： </w:t>
      </w:r>
    </w:p>
    <w:p w14:paraId="54943B0D">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（l）联合体中有同类资质的供应商按照联合体分工承担相同工作的，应当按照资质等级较低的供应商确定资质等级。</w:t>
      </w:r>
    </w:p>
    <w:p w14:paraId="2D4B3420">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（2）联合体各方应按磋商文件提供的格式签订联合体协议书，明确联合体牵头人和各方的权利义务、合同工作量比例；</w:t>
      </w:r>
    </w:p>
    <w:p w14:paraId="6F4DC658">
      <w:pPr>
        <w:adjustRightInd w:val="0"/>
        <w:snapToGrid w:val="0"/>
        <w:spacing w:line="360" w:lineRule="auto"/>
        <w:ind w:firstLine="420" w:firstLineChars="200"/>
        <w:jc w:val="left"/>
        <w:rPr>
          <w:rFonts w:hint="eastAsia" w:ascii="宋体" w:hAnsi="宋体" w:cs="宋体"/>
          <w:kern w:val="0"/>
          <w:szCs w:val="21"/>
          <w:highlight w:val="none"/>
          <w:lang w:val="zh-CN"/>
        </w:rPr>
      </w:pPr>
      <w:r>
        <w:rPr>
          <w:rFonts w:hint="eastAsia" w:ascii="宋体" w:hAnsi="宋体"/>
          <w:szCs w:val="21"/>
          <w:highlight w:val="none"/>
        </w:rPr>
        <w:t>（3）联合体各方签订联合体协议书后，</w:t>
      </w:r>
      <w:r>
        <w:rPr>
          <w:rFonts w:hint="eastAsia" w:ascii="宋体" w:hAnsi="宋体" w:cs="宋体"/>
          <w:kern w:val="0"/>
          <w:szCs w:val="21"/>
          <w:highlight w:val="none"/>
          <w:lang w:val="zh-CN"/>
        </w:rPr>
        <w:t>不得再单独参加或者与其他供应商组成新的联合体参加同一合同项下的采购活动。</w:t>
      </w:r>
    </w:p>
    <w:p w14:paraId="64B64EFC">
      <w:pPr>
        <w:adjustRightInd w:val="0"/>
        <w:snapToGrid w:val="0"/>
        <w:spacing w:line="360" w:lineRule="auto"/>
        <w:ind w:firstLine="420" w:firstLineChars="200"/>
        <w:jc w:val="left"/>
        <w:rPr>
          <w:rFonts w:hint="eastAsia" w:ascii="宋体" w:hAnsi="宋体" w:cs="宋体"/>
          <w:kern w:val="0"/>
          <w:szCs w:val="21"/>
          <w:highlight w:val="none"/>
          <w:lang w:val="zh-CN"/>
        </w:rPr>
      </w:pPr>
      <w:r>
        <w:rPr>
          <w:rFonts w:hint="eastAsia" w:ascii="宋体" w:hAnsi="宋体" w:cs="宋体"/>
          <w:kern w:val="0"/>
          <w:szCs w:val="21"/>
          <w:highlight w:val="none"/>
          <w:lang w:val="zh-CN"/>
        </w:rPr>
        <w:t>3.3采购人、采购代理机构通过发布公告、从省级以上财政部门建立的供应商库中随机抽取或者采购人和评审专家分别书面推荐的方式邀请不少于3家符合相应资格条件的供应商参与竞争性磋商采购活动。</w:t>
      </w:r>
      <w:r>
        <w:rPr>
          <w:rFonts w:hint="eastAsia" w:ascii="宋体" w:hAnsi="宋体" w:cs="宋体"/>
          <w:kern w:val="0"/>
          <w:szCs w:val="21"/>
          <w:highlight w:val="none"/>
        </w:rPr>
        <w:t>本项目</w:t>
      </w:r>
      <w:r>
        <w:rPr>
          <w:rFonts w:hint="eastAsia" w:ascii="宋体" w:hAnsi="宋体" w:cs="宋体"/>
          <w:kern w:val="0"/>
          <w:szCs w:val="21"/>
          <w:highlight w:val="none"/>
          <w:lang w:val="zh-CN"/>
        </w:rPr>
        <w:t>供应商邀请方式见</w:t>
      </w:r>
      <w:r>
        <w:rPr>
          <w:rFonts w:hint="eastAsia" w:ascii="宋体" w:hAnsi="宋体"/>
          <w:b/>
          <w:szCs w:val="21"/>
          <w:highlight w:val="none"/>
        </w:rPr>
        <w:t>【磋商须知前附表】。</w:t>
      </w:r>
    </w:p>
    <w:p w14:paraId="1C54604E">
      <w:pPr>
        <w:pStyle w:val="10"/>
        <w:keepNext w:val="0"/>
        <w:keepLines w:val="0"/>
        <w:adjustRightInd w:val="0"/>
        <w:snapToGrid w:val="0"/>
        <w:spacing w:before="0" w:after="0" w:line="360" w:lineRule="auto"/>
        <w:rPr>
          <w:rFonts w:hint="eastAsia" w:ascii="黑体" w:hAnsi="黑体"/>
          <w:sz w:val="24"/>
          <w:szCs w:val="24"/>
          <w:highlight w:val="none"/>
        </w:rPr>
      </w:pPr>
      <w:bookmarkStart w:id="86" w:name="_Toc1555"/>
      <w:bookmarkStart w:id="87" w:name="_Toc31694"/>
      <w:bookmarkStart w:id="88" w:name="_Toc1915"/>
      <w:bookmarkStart w:id="89" w:name="_Toc13197"/>
      <w:r>
        <w:rPr>
          <w:rFonts w:hint="eastAsia" w:ascii="黑体" w:hAnsi="黑体"/>
          <w:sz w:val="24"/>
          <w:szCs w:val="24"/>
          <w:highlight w:val="none"/>
        </w:rPr>
        <w:t>4.参与磋商的费用</w:t>
      </w:r>
      <w:bookmarkEnd w:id="86"/>
      <w:bookmarkEnd w:id="87"/>
      <w:bookmarkEnd w:id="88"/>
      <w:bookmarkEnd w:id="89"/>
    </w:p>
    <w:p w14:paraId="71612C73">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4.1无论磋商的结果如何，供应商应自行承担所有与竞争性磋商采购活动有关的全部费用。</w:t>
      </w:r>
    </w:p>
    <w:p w14:paraId="0EA7C7F1">
      <w:pPr>
        <w:pStyle w:val="10"/>
        <w:keepNext w:val="0"/>
        <w:keepLines w:val="0"/>
        <w:adjustRightInd w:val="0"/>
        <w:snapToGrid w:val="0"/>
        <w:spacing w:before="0" w:after="0" w:line="360" w:lineRule="auto"/>
        <w:rPr>
          <w:rFonts w:hint="eastAsia" w:ascii="黑体" w:hAnsi="黑体"/>
          <w:sz w:val="24"/>
          <w:szCs w:val="24"/>
          <w:highlight w:val="none"/>
        </w:rPr>
      </w:pPr>
      <w:bookmarkStart w:id="90" w:name="_Toc92"/>
      <w:bookmarkStart w:id="91" w:name="_Toc30000"/>
      <w:bookmarkStart w:id="92" w:name="_Toc11297"/>
      <w:bookmarkStart w:id="93" w:name="_Toc8963"/>
      <w:r>
        <w:rPr>
          <w:rFonts w:hint="eastAsia" w:ascii="黑体" w:hAnsi="黑体"/>
          <w:sz w:val="24"/>
          <w:szCs w:val="24"/>
          <w:highlight w:val="none"/>
        </w:rPr>
        <w:t>5.现场勘察</w:t>
      </w:r>
      <w:bookmarkEnd w:id="90"/>
      <w:bookmarkEnd w:id="91"/>
      <w:bookmarkEnd w:id="92"/>
      <w:bookmarkEnd w:id="93"/>
    </w:p>
    <w:p w14:paraId="453170D8">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5.1供应商应按</w:t>
      </w:r>
      <w:r>
        <w:rPr>
          <w:rFonts w:hint="eastAsia" w:ascii="宋体" w:hAnsi="宋体"/>
          <w:b/>
          <w:szCs w:val="21"/>
          <w:highlight w:val="none"/>
        </w:rPr>
        <w:t>【磋商须知前附表】</w:t>
      </w:r>
      <w:r>
        <w:rPr>
          <w:rFonts w:hint="eastAsia" w:hAnsi="宋体"/>
          <w:highlight w:val="none"/>
        </w:rPr>
        <w:t>中规定</w:t>
      </w:r>
      <w:r>
        <w:rPr>
          <w:rFonts w:hint="eastAsia" w:ascii="宋体" w:hAnsi="宋体"/>
          <w:szCs w:val="21"/>
          <w:highlight w:val="none"/>
        </w:rPr>
        <w:t>对采购项目现场和周围环境的现场考察。</w:t>
      </w:r>
    </w:p>
    <w:p w14:paraId="10BE4598">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5.2勘察现场的费用由供应商自己承担，勘察期间所发生的人身伤害及财产损失由供应商自己负责。</w:t>
      </w:r>
    </w:p>
    <w:p w14:paraId="06690E55">
      <w:pPr>
        <w:adjustRightInd w:val="0"/>
        <w:snapToGrid w:val="0"/>
        <w:spacing w:line="360" w:lineRule="auto"/>
        <w:ind w:firstLine="420" w:firstLineChars="200"/>
        <w:jc w:val="left"/>
        <w:rPr>
          <w:rFonts w:hint="eastAsia" w:ascii="宋体" w:hAnsi="宋体"/>
          <w:b/>
          <w:szCs w:val="21"/>
          <w:highlight w:val="none"/>
        </w:rPr>
      </w:pPr>
      <w:r>
        <w:rPr>
          <w:rFonts w:hint="eastAsia" w:ascii="宋体" w:hAnsi="宋体"/>
          <w:szCs w:val="21"/>
          <w:highlight w:val="none"/>
        </w:rPr>
        <w:t>5.3采购人不对供应商据此而做出的推论、理解和结论负责。一旦成交，供应商不得以任何借口，而提出额外补偿，或者延长合同期限的要求。</w:t>
      </w:r>
    </w:p>
    <w:p w14:paraId="5F95E2A4">
      <w:pPr>
        <w:pStyle w:val="8"/>
        <w:keepNext w:val="0"/>
        <w:keepLines w:val="0"/>
        <w:adjustRightInd w:val="0"/>
        <w:snapToGrid w:val="0"/>
        <w:jc w:val="center"/>
        <w:rPr>
          <w:rFonts w:hint="eastAsia" w:ascii="黑体" w:hAnsi="黑体" w:eastAsia="黑体"/>
          <w:sz w:val="28"/>
          <w:szCs w:val="28"/>
          <w:highlight w:val="none"/>
        </w:rPr>
      </w:pPr>
      <w:bookmarkStart w:id="94" w:name="_Toc15543"/>
      <w:bookmarkStart w:id="95" w:name="_Toc10161"/>
      <w:bookmarkStart w:id="96" w:name="_Toc21118"/>
      <w:bookmarkStart w:id="97" w:name="_Toc25872"/>
      <w:r>
        <w:rPr>
          <w:rFonts w:hint="eastAsia" w:ascii="黑体" w:hAnsi="黑体" w:eastAsia="黑体"/>
          <w:sz w:val="28"/>
          <w:szCs w:val="28"/>
          <w:highlight w:val="none"/>
        </w:rPr>
        <w:t>二、磋商文件</w:t>
      </w:r>
      <w:bookmarkEnd w:id="94"/>
      <w:bookmarkEnd w:id="95"/>
      <w:bookmarkEnd w:id="96"/>
      <w:bookmarkEnd w:id="97"/>
    </w:p>
    <w:p w14:paraId="01592CA6">
      <w:pPr>
        <w:pStyle w:val="10"/>
        <w:keepNext w:val="0"/>
        <w:keepLines w:val="0"/>
        <w:adjustRightInd w:val="0"/>
        <w:snapToGrid w:val="0"/>
        <w:spacing w:before="0" w:after="0" w:line="360" w:lineRule="auto"/>
        <w:rPr>
          <w:rFonts w:hint="eastAsia" w:ascii="黑体" w:hAnsi="黑体"/>
          <w:sz w:val="24"/>
          <w:szCs w:val="24"/>
          <w:highlight w:val="none"/>
        </w:rPr>
      </w:pPr>
      <w:bookmarkStart w:id="98" w:name="_Toc30816"/>
      <w:bookmarkStart w:id="99" w:name="_Toc26472"/>
      <w:bookmarkStart w:id="100" w:name="_Toc17867"/>
      <w:bookmarkStart w:id="101" w:name="_Toc3269"/>
      <w:r>
        <w:rPr>
          <w:rFonts w:hint="eastAsia" w:ascii="黑体" w:hAnsi="黑体"/>
          <w:sz w:val="24"/>
          <w:szCs w:val="24"/>
          <w:highlight w:val="none"/>
        </w:rPr>
        <w:t>6.磋商文件的组成</w:t>
      </w:r>
      <w:bookmarkEnd w:id="98"/>
      <w:bookmarkEnd w:id="99"/>
      <w:bookmarkEnd w:id="100"/>
      <w:bookmarkEnd w:id="101"/>
    </w:p>
    <w:p w14:paraId="3162320E">
      <w:pPr>
        <w:pStyle w:val="30"/>
        <w:adjustRightInd w:val="0"/>
        <w:snapToGrid w:val="0"/>
        <w:spacing w:line="360" w:lineRule="auto"/>
        <w:ind w:firstLine="420" w:firstLineChars="200"/>
        <w:rPr>
          <w:rFonts w:hint="eastAsia" w:hAnsi="宋体"/>
          <w:highlight w:val="none"/>
        </w:rPr>
      </w:pPr>
      <w:r>
        <w:rPr>
          <w:rFonts w:hint="eastAsia" w:hAnsi="宋体"/>
          <w:highlight w:val="none"/>
        </w:rPr>
        <w:t>6.1磋商文件由下列文件组成：</w:t>
      </w:r>
    </w:p>
    <w:p w14:paraId="68E63A09">
      <w:pPr>
        <w:pStyle w:val="30"/>
        <w:adjustRightInd w:val="0"/>
        <w:snapToGrid w:val="0"/>
        <w:spacing w:line="360" w:lineRule="auto"/>
        <w:ind w:firstLine="420" w:firstLineChars="200"/>
        <w:rPr>
          <w:rFonts w:hint="eastAsia" w:hAnsi="宋体"/>
          <w:highlight w:val="none"/>
        </w:rPr>
      </w:pPr>
      <w:r>
        <w:rPr>
          <w:rFonts w:hint="eastAsia" w:hAnsi="宋体"/>
          <w:highlight w:val="none"/>
        </w:rPr>
        <w:t>第一章采购邀请</w:t>
      </w:r>
    </w:p>
    <w:p w14:paraId="4A54D514">
      <w:pPr>
        <w:pStyle w:val="30"/>
        <w:adjustRightInd w:val="0"/>
        <w:snapToGrid w:val="0"/>
        <w:spacing w:line="360" w:lineRule="auto"/>
        <w:ind w:firstLine="420" w:firstLineChars="200"/>
        <w:rPr>
          <w:rFonts w:hint="eastAsia" w:hAnsi="宋体"/>
          <w:highlight w:val="none"/>
        </w:rPr>
      </w:pPr>
      <w:r>
        <w:rPr>
          <w:rFonts w:hint="eastAsia" w:hAnsi="宋体"/>
          <w:highlight w:val="none"/>
        </w:rPr>
        <w:t>第二章 磋商须知</w:t>
      </w:r>
    </w:p>
    <w:p w14:paraId="0167C5FA">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第三章 资格审查及评审方法及标准</w:t>
      </w:r>
    </w:p>
    <w:p w14:paraId="6DC408D8">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 xml:space="preserve">第四章 </w:t>
      </w:r>
      <w:r>
        <w:rPr>
          <w:rFonts w:hint="eastAsia" w:hAnsi="宋体"/>
          <w:highlight w:val="none"/>
        </w:rPr>
        <w:t>采购需求</w:t>
      </w:r>
    </w:p>
    <w:p w14:paraId="6638D7A8">
      <w:pPr>
        <w:pStyle w:val="30"/>
        <w:adjustRightInd w:val="0"/>
        <w:snapToGrid w:val="0"/>
        <w:spacing w:line="360" w:lineRule="auto"/>
        <w:ind w:firstLine="420" w:firstLineChars="200"/>
        <w:rPr>
          <w:rFonts w:hint="eastAsia" w:hAnsi="宋体"/>
          <w:highlight w:val="none"/>
        </w:rPr>
      </w:pPr>
      <w:r>
        <w:rPr>
          <w:rFonts w:hint="eastAsia" w:hAnsi="宋体"/>
          <w:highlight w:val="none"/>
        </w:rPr>
        <w:t>第五章 合同草案条款</w:t>
      </w:r>
    </w:p>
    <w:p w14:paraId="48121B08">
      <w:pPr>
        <w:pStyle w:val="30"/>
        <w:adjustRightInd w:val="0"/>
        <w:snapToGrid w:val="0"/>
        <w:spacing w:line="360" w:lineRule="auto"/>
        <w:ind w:firstLine="420" w:firstLineChars="200"/>
        <w:rPr>
          <w:rFonts w:hint="eastAsia" w:hAnsi="宋体"/>
          <w:highlight w:val="none"/>
        </w:rPr>
      </w:pPr>
      <w:r>
        <w:rPr>
          <w:rFonts w:hint="eastAsia" w:hAnsi="宋体"/>
          <w:highlight w:val="none"/>
        </w:rPr>
        <w:t>第六章响应文件组成</w:t>
      </w:r>
    </w:p>
    <w:p w14:paraId="1A6F493C">
      <w:pPr>
        <w:pStyle w:val="30"/>
        <w:adjustRightInd w:val="0"/>
        <w:snapToGrid w:val="0"/>
        <w:spacing w:line="360" w:lineRule="auto"/>
        <w:ind w:firstLine="420" w:firstLineChars="200"/>
        <w:rPr>
          <w:rFonts w:hint="eastAsia" w:hAnsi="宋体" w:cs="宋体"/>
          <w:kern w:val="0"/>
          <w:highlight w:val="none"/>
        </w:rPr>
      </w:pPr>
      <w:r>
        <w:rPr>
          <w:rFonts w:hint="eastAsia"/>
          <w:highlight w:val="none"/>
        </w:rPr>
        <w:t>6.2</w:t>
      </w:r>
      <w:r>
        <w:rPr>
          <w:rFonts w:hint="eastAsia" w:hAnsi="宋体" w:cs="宋体"/>
          <w:kern w:val="0"/>
          <w:highlight w:val="none"/>
        </w:rPr>
        <w:t>采购人、采购代理机构或者磋商小组在提交首次响应文件截止之日前对已发出的磋商文件进行的澄清或者修改，构成磋商文件的组成部分。</w:t>
      </w:r>
    </w:p>
    <w:p w14:paraId="795A25A2">
      <w:pPr>
        <w:pStyle w:val="30"/>
        <w:adjustRightInd w:val="0"/>
        <w:snapToGrid w:val="0"/>
        <w:spacing w:line="360" w:lineRule="auto"/>
        <w:ind w:firstLine="420" w:firstLineChars="200"/>
        <w:rPr>
          <w:highlight w:val="none"/>
        </w:rPr>
      </w:pPr>
      <w:r>
        <w:rPr>
          <w:rFonts w:hint="eastAsia" w:hAnsi="宋体" w:cs="宋体"/>
          <w:kern w:val="0"/>
          <w:highlight w:val="none"/>
        </w:rPr>
        <w:t>6.3磋商过程中可能实质性变动的内容见</w:t>
      </w:r>
      <w:r>
        <w:rPr>
          <w:rFonts w:hint="eastAsia" w:hAnsi="宋体"/>
          <w:b/>
          <w:highlight w:val="none"/>
        </w:rPr>
        <w:t>【磋商须知前附表】</w:t>
      </w:r>
      <w:r>
        <w:rPr>
          <w:rFonts w:hint="eastAsia" w:hAnsi="宋体" w:cs="宋体"/>
          <w:kern w:val="0"/>
          <w:highlight w:val="none"/>
        </w:rPr>
        <w:t>。对磋商文件作出的实质性变动是磋商文件的有效组成部分。</w:t>
      </w:r>
    </w:p>
    <w:p w14:paraId="5BF49371">
      <w:pPr>
        <w:pStyle w:val="30"/>
        <w:adjustRightInd w:val="0"/>
        <w:snapToGrid w:val="0"/>
        <w:spacing w:line="360" w:lineRule="auto"/>
        <w:ind w:firstLine="420" w:firstLineChars="200"/>
        <w:rPr>
          <w:rFonts w:hint="eastAsia" w:hAnsi="宋体"/>
          <w:highlight w:val="none"/>
        </w:rPr>
      </w:pPr>
      <w:r>
        <w:rPr>
          <w:rFonts w:hint="eastAsia"/>
          <w:highlight w:val="none"/>
        </w:rPr>
        <w:t>6.4</w:t>
      </w:r>
      <w:r>
        <w:rPr>
          <w:rFonts w:hint="eastAsia" w:hAnsi="宋体"/>
          <w:highlight w:val="none"/>
        </w:rPr>
        <w:t>供应商应仔细阅读</w:t>
      </w:r>
      <w:r>
        <w:rPr>
          <w:rFonts w:hint="eastAsia" w:hAnsi="宋体"/>
          <w:bCs/>
          <w:highlight w:val="none"/>
        </w:rPr>
        <w:t>磋商</w:t>
      </w:r>
      <w:r>
        <w:rPr>
          <w:rFonts w:hint="eastAsia" w:hAnsi="宋体"/>
          <w:highlight w:val="none"/>
        </w:rPr>
        <w:t>文件的全部内容，按照</w:t>
      </w:r>
      <w:r>
        <w:rPr>
          <w:rFonts w:hint="eastAsia" w:hAnsi="宋体"/>
          <w:bCs/>
          <w:highlight w:val="none"/>
        </w:rPr>
        <w:t>磋商</w:t>
      </w:r>
      <w:r>
        <w:rPr>
          <w:rFonts w:hint="eastAsia" w:hAnsi="宋体"/>
          <w:highlight w:val="none"/>
        </w:rPr>
        <w:t>文件要求编制</w:t>
      </w:r>
      <w:r>
        <w:rPr>
          <w:rFonts w:hint="eastAsia"/>
          <w:highlight w:val="none"/>
        </w:rPr>
        <w:t>响应</w:t>
      </w:r>
      <w:r>
        <w:rPr>
          <w:rFonts w:hint="eastAsia" w:hAnsi="宋体"/>
          <w:highlight w:val="none"/>
        </w:rPr>
        <w:t>文件。任何对</w:t>
      </w:r>
      <w:r>
        <w:rPr>
          <w:rFonts w:hint="eastAsia" w:hAnsi="宋体"/>
          <w:bCs/>
          <w:highlight w:val="none"/>
        </w:rPr>
        <w:t>磋商</w:t>
      </w:r>
      <w:r>
        <w:rPr>
          <w:rFonts w:hint="eastAsia" w:hAnsi="宋体"/>
          <w:highlight w:val="none"/>
        </w:rPr>
        <w:t>文件的忽略或者误解不能作为</w:t>
      </w:r>
      <w:r>
        <w:rPr>
          <w:rFonts w:hint="eastAsia"/>
          <w:highlight w:val="none"/>
        </w:rPr>
        <w:t>响应</w:t>
      </w:r>
      <w:r>
        <w:rPr>
          <w:rFonts w:hint="eastAsia" w:hAnsi="宋体"/>
          <w:highlight w:val="none"/>
        </w:rPr>
        <w:t>文件存在缺陷或者瑕疵的理由，其风险由供应商承担。</w:t>
      </w:r>
    </w:p>
    <w:p w14:paraId="50323770">
      <w:pPr>
        <w:pStyle w:val="10"/>
        <w:keepNext w:val="0"/>
        <w:keepLines w:val="0"/>
        <w:adjustRightInd w:val="0"/>
        <w:snapToGrid w:val="0"/>
        <w:spacing w:before="0" w:after="0" w:line="360" w:lineRule="auto"/>
        <w:rPr>
          <w:rFonts w:hint="eastAsia" w:ascii="黑体" w:hAnsi="黑体"/>
          <w:sz w:val="24"/>
          <w:szCs w:val="24"/>
          <w:highlight w:val="none"/>
        </w:rPr>
      </w:pPr>
      <w:bookmarkStart w:id="102" w:name="_Toc23573"/>
      <w:bookmarkStart w:id="103" w:name="_Toc18092"/>
      <w:bookmarkStart w:id="104" w:name="_Toc4415"/>
      <w:bookmarkStart w:id="105" w:name="_Toc11933"/>
      <w:r>
        <w:rPr>
          <w:rFonts w:hint="eastAsia" w:ascii="黑体" w:hAnsi="黑体"/>
          <w:sz w:val="24"/>
          <w:szCs w:val="24"/>
          <w:highlight w:val="none"/>
        </w:rPr>
        <w:t>7.磋商文件的澄清</w:t>
      </w:r>
      <w:r>
        <w:rPr>
          <w:rFonts w:hint="eastAsia" w:ascii="黑体" w:hAnsi="黑体"/>
          <w:kern w:val="0"/>
          <w:sz w:val="24"/>
          <w:szCs w:val="24"/>
          <w:highlight w:val="none"/>
          <w:lang w:val="zh-CN"/>
        </w:rPr>
        <w:t>或者</w:t>
      </w:r>
      <w:r>
        <w:rPr>
          <w:rFonts w:hint="eastAsia" w:ascii="黑体" w:hAnsi="黑体"/>
          <w:sz w:val="24"/>
          <w:szCs w:val="24"/>
          <w:highlight w:val="none"/>
        </w:rPr>
        <w:t>修改</w:t>
      </w:r>
      <w:bookmarkEnd w:id="102"/>
      <w:bookmarkEnd w:id="103"/>
      <w:bookmarkEnd w:id="104"/>
      <w:bookmarkEnd w:id="105"/>
    </w:p>
    <w:p w14:paraId="5DB8E26C">
      <w:pPr>
        <w:adjustRightInd w:val="0"/>
        <w:snapToGrid w:val="0"/>
        <w:spacing w:line="360" w:lineRule="auto"/>
        <w:ind w:right="-105" w:rightChars="-50" w:firstLine="420" w:firstLineChars="200"/>
        <w:rPr>
          <w:rFonts w:hint="eastAsia" w:ascii="宋体" w:hAnsi="宋体" w:cs="宋体"/>
          <w:kern w:val="0"/>
          <w:szCs w:val="21"/>
          <w:highlight w:val="none"/>
        </w:rPr>
      </w:pPr>
      <w:r>
        <w:rPr>
          <w:rFonts w:hint="eastAsia" w:ascii="宋体" w:hAnsi="宋体"/>
          <w:szCs w:val="21"/>
          <w:highlight w:val="none"/>
        </w:rPr>
        <w:t>7.1在</w:t>
      </w:r>
      <w:r>
        <w:rPr>
          <w:rFonts w:hint="eastAsia" w:ascii="宋体" w:hAnsi="宋体" w:cs="宋体"/>
          <w:kern w:val="0"/>
          <w:szCs w:val="21"/>
          <w:highlight w:val="none"/>
        </w:rPr>
        <w:t>提交首次响应文件截止之日前，采购人、采购代理机构可以对已发出的磋商文件进行必要的澄清或者修改。</w:t>
      </w:r>
    </w:p>
    <w:p w14:paraId="25E0DEE2">
      <w:pPr>
        <w:adjustRightInd w:val="0"/>
        <w:snapToGrid w:val="0"/>
        <w:spacing w:line="360" w:lineRule="auto"/>
        <w:ind w:right="-105" w:rightChars="-50" w:firstLine="420" w:firstLineChars="200"/>
        <w:rPr>
          <w:rFonts w:hint="eastAsia" w:ascii="宋体" w:hAnsi="宋体" w:cs="宋体"/>
          <w:kern w:val="0"/>
          <w:szCs w:val="21"/>
          <w:highlight w:val="none"/>
        </w:rPr>
      </w:pPr>
      <w:r>
        <w:rPr>
          <w:rFonts w:hint="eastAsia" w:ascii="宋体" w:hAnsi="宋体"/>
          <w:szCs w:val="21"/>
          <w:highlight w:val="none"/>
        </w:rPr>
        <w:t>7.2</w:t>
      </w:r>
      <w:r>
        <w:rPr>
          <w:rFonts w:hint="eastAsia" w:ascii="宋体" w:hAnsi="宋体" w:cs="宋体"/>
          <w:kern w:val="0"/>
          <w:szCs w:val="21"/>
          <w:highlight w:val="none"/>
        </w:rPr>
        <w:t>澄清或者修改的内容可能影响响应文件编制的，采购人、采购代理机构应当在提交首次响应文件截止之日5日前，以书面形式通知所有获取磋商文件的供应商，不足5日的，顺延供应商提交首次响应文件截止时间。</w:t>
      </w:r>
    </w:p>
    <w:p w14:paraId="3AE27B0C">
      <w:pPr>
        <w:pStyle w:val="8"/>
        <w:keepNext w:val="0"/>
        <w:keepLines w:val="0"/>
        <w:adjustRightInd w:val="0"/>
        <w:snapToGrid w:val="0"/>
        <w:jc w:val="center"/>
        <w:rPr>
          <w:rFonts w:hint="eastAsia" w:ascii="黑体" w:hAnsi="黑体" w:eastAsia="黑体"/>
          <w:sz w:val="28"/>
          <w:szCs w:val="28"/>
          <w:highlight w:val="none"/>
        </w:rPr>
      </w:pPr>
      <w:bookmarkStart w:id="106" w:name="_Toc32526"/>
      <w:bookmarkStart w:id="107" w:name="_Toc4122"/>
      <w:bookmarkStart w:id="108" w:name="_Toc20233"/>
      <w:bookmarkStart w:id="109" w:name="_Toc16735"/>
      <w:r>
        <w:rPr>
          <w:rFonts w:hint="eastAsia" w:ascii="黑体" w:hAnsi="黑体" w:eastAsia="黑体"/>
          <w:sz w:val="28"/>
          <w:szCs w:val="28"/>
          <w:highlight w:val="none"/>
        </w:rPr>
        <w:t>三、响应文件</w:t>
      </w:r>
      <w:bookmarkEnd w:id="106"/>
      <w:bookmarkEnd w:id="107"/>
      <w:bookmarkEnd w:id="108"/>
      <w:bookmarkEnd w:id="109"/>
    </w:p>
    <w:p w14:paraId="106FEAB7">
      <w:pPr>
        <w:pStyle w:val="10"/>
        <w:keepNext w:val="0"/>
        <w:keepLines w:val="0"/>
        <w:adjustRightInd w:val="0"/>
        <w:snapToGrid w:val="0"/>
        <w:spacing w:before="0" w:after="0" w:line="360" w:lineRule="auto"/>
        <w:rPr>
          <w:rFonts w:hint="eastAsia" w:ascii="黑体" w:hAnsi="黑体"/>
          <w:sz w:val="24"/>
          <w:szCs w:val="24"/>
          <w:highlight w:val="none"/>
        </w:rPr>
      </w:pPr>
      <w:bookmarkStart w:id="110" w:name="_Toc16590"/>
      <w:bookmarkStart w:id="111" w:name="_Toc11536"/>
      <w:bookmarkStart w:id="112" w:name="_Toc5802"/>
      <w:bookmarkStart w:id="113" w:name="_Toc741"/>
      <w:r>
        <w:rPr>
          <w:rFonts w:hint="eastAsia" w:ascii="黑体" w:hAnsi="黑体"/>
          <w:sz w:val="24"/>
          <w:szCs w:val="24"/>
          <w:highlight w:val="none"/>
        </w:rPr>
        <w:t>8.一般要求</w:t>
      </w:r>
      <w:bookmarkEnd w:id="110"/>
      <w:bookmarkEnd w:id="111"/>
      <w:bookmarkEnd w:id="112"/>
      <w:bookmarkEnd w:id="113"/>
    </w:p>
    <w:p w14:paraId="091F44E1">
      <w:pPr>
        <w:adjustRightInd w:val="0"/>
        <w:snapToGrid w:val="0"/>
        <w:spacing w:line="360" w:lineRule="auto"/>
        <w:ind w:firstLine="420" w:firstLineChars="200"/>
        <w:rPr>
          <w:rFonts w:hint="eastAsia" w:ascii="宋体" w:hAnsi="宋体"/>
          <w:bCs/>
          <w:szCs w:val="21"/>
          <w:highlight w:val="none"/>
        </w:rPr>
      </w:pPr>
      <w:r>
        <w:rPr>
          <w:rFonts w:hint="eastAsia" w:ascii="宋体" w:hAnsi="宋体"/>
          <w:bCs/>
          <w:szCs w:val="21"/>
          <w:highlight w:val="none"/>
        </w:rPr>
        <w:t>8.1供应商应仔细阅读磋商文件的所有内容，按磋商文件的要求编制响应文件，并保证所提供的全部资料的真实性，以使其响应文件对磋商文件做出实质性的响应。</w:t>
      </w:r>
    </w:p>
    <w:p w14:paraId="265D46BF">
      <w:pPr>
        <w:adjustRightInd w:val="0"/>
        <w:snapToGrid w:val="0"/>
        <w:spacing w:line="360" w:lineRule="auto"/>
        <w:ind w:firstLine="420" w:firstLineChars="200"/>
        <w:rPr>
          <w:rFonts w:hint="eastAsia" w:ascii="宋体" w:hAnsi="宋体"/>
          <w:bCs/>
          <w:szCs w:val="21"/>
          <w:highlight w:val="none"/>
        </w:rPr>
      </w:pPr>
      <w:r>
        <w:rPr>
          <w:rFonts w:hint="eastAsia" w:ascii="宋体" w:hAnsi="宋体"/>
          <w:bCs/>
          <w:szCs w:val="21"/>
          <w:highlight w:val="none"/>
        </w:rPr>
        <w:t>8.2</w:t>
      </w:r>
      <w:r>
        <w:rPr>
          <w:rFonts w:hint="eastAsia" w:ascii="宋体" w:hAnsi="宋体"/>
          <w:szCs w:val="21"/>
          <w:highlight w:val="none"/>
        </w:rPr>
        <w:t>供应商提交的响应文件及供应商与采购人或者采购代理机构、磋商小组就有关磋商的所有来往函电均使用中文。供应商可以提交其它语言的资料，但应附中文注释，在有差异时以中文为准。</w:t>
      </w:r>
    </w:p>
    <w:p w14:paraId="4CE2AB59">
      <w:pPr>
        <w:pStyle w:val="30"/>
        <w:adjustRightInd w:val="0"/>
        <w:snapToGrid w:val="0"/>
        <w:spacing w:line="360" w:lineRule="auto"/>
        <w:ind w:firstLine="420" w:firstLineChars="200"/>
        <w:rPr>
          <w:rFonts w:hint="eastAsia" w:hAnsi="宋体"/>
          <w:highlight w:val="none"/>
        </w:rPr>
      </w:pPr>
      <w:r>
        <w:rPr>
          <w:rFonts w:hint="eastAsia" w:hAnsi="宋体"/>
          <w:bCs/>
          <w:highlight w:val="none"/>
        </w:rPr>
        <w:t>8.3</w:t>
      </w:r>
      <w:r>
        <w:rPr>
          <w:rFonts w:hint="eastAsia" w:hAnsi="宋体"/>
          <w:highlight w:val="none"/>
        </w:rPr>
        <w:t>计量单位应使用我国法定计量单位，未列明时应默认为我国法定计量单位。</w:t>
      </w:r>
    </w:p>
    <w:p w14:paraId="5B81F4EF">
      <w:pPr>
        <w:pStyle w:val="30"/>
        <w:adjustRightInd w:val="0"/>
        <w:snapToGrid w:val="0"/>
        <w:spacing w:line="360" w:lineRule="auto"/>
        <w:ind w:firstLine="420" w:firstLineChars="200"/>
        <w:rPr>
          <w:rFonts w:hint="eastAsia" w:hAnsi="宋体"/>
          <w:highlight w:val="none"/>
        </w:rPr>
      </w:pPr>
      <w:r>
        <w:rPr>
          <w:rFonts w:hint="eastAsia" w:hAnsi="宋体"/>
          <w:highlight w:val="none"/>
        </w:rPr>
        <w:t>8.4响应文件应采用书面形式，电报、传真、电子邮件形式的响应文件概不接受。</w:t>
      </w:r>
    </w:p>
    <w:p w14:paraId="57ED7532">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8.5供应商应按磋商文件中提供的响应文件格式填写。</w:t>
      </w:r>
    </w:p>
    <w:p w14:paraId="356424F3">
      <w:pPr>
        <w:pStyle w:val="10"/>
        <w:keepNext w:val="0"/>
        <w:keepLines w:val="0"/>
        <w:adjustRightInd w:val="0"/>
        <w:snapToGrid w:val="0"/>
        <w:spacing w:before="0" w:after="0" w:line="360" w:lineRule="auto"/>
        <w:rPr>
          <w:rFonts w:hint="eastAsia" w:ascii="黑体" w:hAnsi="黑体"/>
          <w:sz w:val="24"/>
          <w:szCs w:val="24"/>
          <w:highlight w:val="none"/>
        </w:rPr>
      </w:pPr>
      <w:bookmarkStart w:id="114" w:name="_Toc26569"/>
      <w:bookmarkStart w:id="115" w:name="_Toc547"/>
      <w:bookmarkStart w:id="116" w:name="_Toc19146"/>
      <w:bookmarkStart w:id="117" w:name="_Toc9972"/>
      <w:r>
        <w:rPr>
          <w:rFonts w:hint="eastAsia" w:ascii="黑体" w:hAnsi="黑体"/>
          <w:sz w:val="24"/>
          <w:szCs w:val="24"/>
          <w:highlight w:val="none"/>
        </w:rPr>
        <w:t>9.响应文件的组成</w:t>
      </w:r>
      <w:bookmarkEnd w:id="114"/>
      <w:bookmarkEnd w:id="115"/>
      <w:bookmarkEnd w:id="116"/>
      <w:bookmarkEnd w:id="117"/>
    </w:p>
    <w:p w14:paraId="1E52F78B">
      <w:pPr>
        <w:adjustRightInd w:val="0"/>
        <w:snapToGrid w:val="0"/>
        <w:spacing w:line="360" w:lineRule="auto"/>
        <w:ind w:firstLine="420" w:firstLineChars="200"/>
        <w:rPr>
          <w:rFonts w:hint="eastAsia" w:ascii="宋体" w:hAnsi="宋体"/>
          <w:bCs/>
          <w:szCs w:val="21"/>
          <w:highlight w:val="none"/>
        </w:rPr>
      </w:pPr>
      <w:r>
        <w:rPr>
          <w:rFonts w:hint="eastAsia" w:ascii="宋体" w:hAnsi="宋体"/>
          <w:bCs/>
          <w:szCs w:val="21"/>
          <w:highlight w:val="none"/>
        </w:rPr>
        <w:t>9.1响应文件包括下列内容：</w:t>
      </w:r>
    </w:p>
    <w:p w14:paraId="5EFC8CAD">
      <w:pPr>
        <w:tabs>
          <w:tab w:val="left" w:pos="753"/>
        </w:tabs>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（1）磋商响应声明(格式)</w:t>
      </w:r>
    </w:p>
    <w:p w14:paraId="6FA1086C">
      <w:pPr>
        <w:tabs>
          <w:tab w:val="left" w:pos="753"/>
        </w:tabs>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（2）法定代表人（单位负责人）身份证明(格式)</w:t>
      </w:r>
    </w:p>
    <w:p w14:paraId="162FE528">
      <w:pPr>
        <w:tabs>
          <w:tab w:val="left" w:pos="753"/>
        </w:tabs>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（3）授权委托书(格式)</w:t>
      </w:r>
    </w:p>
    <w:p w14:paraId="177164C2">
      <w:pPr>
        <w:tabs>
          <w:tab w:val="left" w:pos="753"/>
        </w:tabs>
        <w:adjustRightInd w:val="0"/>
        <w:snapToGrid w:val="0"/>
        <w:spacing w:line="360" w:lineRule="auto"/>
        <w:ind w:firstLine="420" w:firstLineChars="200"/>
        <w:rPr>
          <w:rFonts w:ascii="宋体"/>
          <w:szCs w:val="21"/>
          <w:highlight w:val="none"/>
        </w:rPr>
      </w:pPr>
      <w:r>
        <w:rPr>
          <w:rFonts w:hint="eastAsia" w:ascii="宋体" w:hAnsi="宋体"/>
          <w:szCs w:val="21"/>
          <w:highlight w:val="none"/>
        </w:rPr>
        <w:t>（4）保证金</w:t>
      </w:r>
    </w:p>
    <w:p w14:paraId="31D2021F">
      <w:pPr>
        <w:tabs>
          <w:tab w:val="left" w:pos="753"/>
        </w:tabs>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（5）报价表及报价文件(格式)</w:t>
      </w:r>
    </w:p>
    <w:p w14:paraId="7116D11D">
      <w:pPr>
        <w:tabs>
          <w:tab w:val="left" w:pos="753"/>
        </w:tabs>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（6）采购需求的响应</w:t>
      </w:r>
    </w:p>
    <w:p w14:paraId="51D87EC4">
      <w:pPr>
        <w:tabs>
          <w:tab w:val="left" w:pos="753"/>
        </w:tabs>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（7）合同条款偏离表</w:t>
      </w:r>
    </w:p>
    <w:p w14:paraId="64EC5C70">
      <w:pPr>
        <w:tabs>
          <w:tab w:val="left" w:pos="753"/>
        </w:tabs>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（8）采购需求偏离表</w:t>
      </w:r>
    </w:p>
    <w:p w14:paraId="2E05510E">
      <w:pPr>
        <w:tabs>
          <w:tab w:val="left" w:pos="753"/>
        </w:tabs>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（9）享受政府采购政策的证明资料</w:t>
      </w:r>
    </w:p>
    <w:p w14:paraId="7BE60B2A">
      <w:pPr>
        <w:tabs>
          <w:tab w:val="left" w:pos="753"/>
        </w:tabs>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（10）</w:t>
      </w:r>
      <w:r>
        <w:rPr>
          <w:rFonts w:hint="eastAsia" w:ascii="宋体" w:hAnsi="宋体"/>
          <w:kern w:val="32"/>
          <w:szCs w:val="21"/>
          <w:highlight w:val="none"/>
        </w:rPr>
        <w:t>供应商提供的资格证明材料</w:t>
      </w:r>
    </w:p>
    <w:p w14:paraId="58E06537">
      <w:pPr>
        <w:tabs>
          <w:tab w:val="left" w:pos="753"/>
        </w:tabs>
        <w:adjustRightInd w:val="0"/>
        <w:snapToGrid w:val="0"/>
        <w:spacing w:line="360" w:lineRule="auto"/>
        <w:ind w:firstLine="420" w:firstLineChars="200"/>
        <w:rPr>
          <w:rFonts w:hint="eastAsia" w:ascii="宋体" w:hAnsi="宋体"/>
          <w:kern w:val="32"/>
          <w:szCs w:val="21"/>
          <w:highlight w:val="none"/>
        </w:rPr>
      </w:pPr>
      <w:r>
        <w:rPr>
          <w:rFonts w:hint="eastAsia" w:ascii="宋体" w:hAnsi="宋体"/>
          <w:szCs w:val="21"/>
          <w:highlight w:val="none"/>
        </w:rPr>
        <w:t>（11）响应标的符合磋商文件规定的证明文件</w:t>
      </w:r>
    </w:p>
    <w:p w14:paraId="0DDB3B3D">
      <w:pPr>
        <w:tabs>
          <w:tab w:val="left" w:pos="753"/>
        </w:tabs>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（12）供应商认为需要提供的其他资料</w:t>
      </w:r>
    </w:p>
    <w:p w14:paraId="4CB19C24">
      <w:pPr>
        <w:adjustRightInd w:val="0"/>
        <w:snapToGrid w:val="0"/>
        <w:spacing w:line="360" w:lineRule="auto"/>
        <w:ind w:firstLine="420" w:firstLineChars="200"/>
        <w:rPr>
          <w:rFonts w:hint="eastAsia" w:hAnsi="宋体"/>
          <w:highlight w:val="none"/>
        </w:rPr>
      </w:pPr>
      <w:r>
        <w:rPr>
          <w:rFonts w:hint="eastAsia" w:ascii="宋体" w:hAnsi="宋体"/>
          <w:highlight w:val="none"/>
        </w:rPr>
        <w:t>9.2在磋商过程中，</w:t>
      </w:r>
      <w:r>
        <w:rPr>
          <w:rFonts w:hint="eastAsia" w:ascii="宋体" w:hAnsi="宋体"/>
          <w:szCs w:val="21"/>
          <w:highlight w:val="none"/>
        </w:rPr>
        <w:t>供应商</w:t>
      </w:r>
      <w:r>
        <w:rPr>
          <w:rFonts w:hint="eastAsia" w:ascii="宋体" w:hAnsi="宋体"/>
          <w:highlight w:val="none"/>
        </w:rPr>
        <w:t>根据</w:t>
      </w:r>
      <w:r>
        <w:rPr>
          <w:rFonts w:hint="eastAsia" w:ascii="宋体" w:hAnsi="宋体" w:cs="宋体"/>
          <w:kern w:val="0"/>
          <w:szCs w:val="21"/>
          <w:highlight w:val="none"/>
        </w:rPr>
        <w:t>磋商小组</w:t>
      </w:r>
      <w:r>
        <w:rPr>
          <w:rFonts w:hint="eastAsia" w:ascii="宋体" w:hAnsi="宋体"/>
          <w:bCs/>
          <w:szCs w:val="21"/>
          <w:highlight w:val="none"/>
        </w:rPr>
        <w:t>书面形式要求</w:t>
      </w:r>
      <w:r>
        <w:rPr>
          <w:rFonts w:hint="eastAsia" w:ascii="宋体" w:hAnsi="宋体" w:cs="宋体"/>
          <w:kern w:val="0"/>
          <w:szCs w:val="21"/>
          <w:highlight w:val="none"/>
        </w:rPr>
        <w:t>提交的</w:t>
      </w:r>
      <w:r>
        <w:rPr>
          <w:rFonts w:hint="eastAsia" w:hAnsi="宋体"/>
          <w:highlight w:val="none"/>
        </w:rPr>
        <w:t>最后报价(或者</w:t>
      </w:r>
      <w:r>
        <w:rPr>
          <w:rFonts w:hint="eastAsia" w:ascii="宋体" w:hAnsi="宋体"/>
          <w:bCs/>
          <w:szCs w:val="21"/>
          <w:highlight w:val="none"/>
        </w:rPr>
        <w:t>重</w:t>
      </w:r>
      <w:r>
        <w:rPr>
          <w:rFonts w:hint="eastAsia" w:ascii="宋体" w:hAnsi="宋体" w:cs="宋体"/>
          <w:kern w:val="0"/>
          <w:szCs w:val="21"/>
          <w:highlight w:val="none"/>
        </w:rPr>
        <w:t>新提交的响应文件和</w:t>
      </w:r>
      <w:r>
        <w:rPr>
          <w:rFonts w:hint="eastAsia" w:hAnsi="宋体"/>
          <w:highlight w:val="none"/>
        </w:rPr>
        <w:t>最后报价)是</w:t>
      </w:r>
      <w:r>
        <w:rPr>
          <w:rFonts w:hint="eastAsia" w:ascii="宋体" w:hAnsi="宋体"/>
          <w:szCs w:val="21"/>
          <w:highlight w:val="none"/>
        </w:rPr>
        <w:t>响应文件</w:t>
      </w:r>
      <w:r>
        <w:rPr>
          <w:rFonts w:hint="eastAsia" w:hAnsi="宋体"/>
          <w:highlight w:val="none"/>
        </w:rPr>
        <w:t>的有效组成部分。</w:t>
      </w:r>
    </w:p>
    <w:p w14:paraId="7B1C26BB">
      <w:pPr>
        <w:adjustRightInd w:val="0"/>
        <w:snapToGrid w:val="0"/>
        <w:spacing w:line="360" w:lineRule="auto"/>
        <w:ind w:firstLine="420" w:firstLineChars="200"/>
        <w:rPr>
          <w:rFonts w:hint="eastAsia" w:ascii="宋体" w:hAnsi="宋体"/>
          <w:szCs w:val="21"/>
          <w:highlight w:val="none"/>
        </w:rPr>
      </w:pPr>
      <w:r>
        <w:rPr>
          <w:rFonts w:hint="eastAsia" w:ascii="宋体" w:hAnsi="宋体"/>
          <w:highlight w:val="none"/>
        </w:rPr>
        <w:t>9.3</w:t>
      </w:r>
      <w:r>
        <w:rPr>
          <w:rFonts w:hint="eastAsia" w:ascii="宋体" w:hAnsi="宋体"/>
          <w:szCs w:val="21"/>
          <w:highlight w:val="none"/>
        </w:rPr>
        <w:t>根据《政府采购法》第四十二条的规定，供应商无论成交与否，其响应文件不予退还。</w:t>
      </w:r>
    </w:p>
    <w:p w14:paraId="5F1FB0A2">
      <w:pPr>
        <w:pStyle w:val="10"/>
        <w:spacing w:before="0" w:after="0" w:line="360" w:lineRule="auto"/>
        <w:rPr>
          <w:rFonts w:hint="eastAsia" w:ascii="黑体" w:hAnsi="黑体"/>
          <w:sz w:val="24"/>
          <w:szCs w:val="24"/>
          <w:highlight w:val="none"/>
        </w:rPr>
      </w:pPr>
      <w:bookmarkStart w:id="118" w:name="_Toc15445"/>
      <w:bookmarkStart w:id="119" w:name="_Toc28389"/>
      <w:bookmarkStart w:id="120" w:name="_Toc19333"/>
      <w:bookmarkStart w:id="121" w:name="_Toc3266"/>
      <w:r>
        <w:rPr>
          <w:rFonts w:hint="eastAsia" w:ascii="黑体" w:hAnsi="黑体"/>
          <w:sz w:val="24"/>
          <w:szCs w:val="24"/>
          <w:highlight w:val="none"/>
        </w:rPr>
        <w:t>10.供应商的资格证明文件（未进行资格预审的）</w:t>
      </w:r>
      <w:bookmarkEnd w:id="118"/>
      <w:bookmarkEnd w:id="119"/>
      <w:bookmarkEnd w:id="120"/>
      <w:bookmarkEnd w:id="121"/>
    </w:p>
    <w:p w14:paraId="0577C232">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10.1</w:t>
      </w:r>
      <w:r>
        <w:rPr>
          <w:rFonts w:hint="eastAsia" w:ascii="宋体" w:hAnsi="宋体"/>
          <w:szCs w:val="21"/>
          <w:highlight w:val="none"/>
        </w:rPr>
        <w:t>除</w:t>
      </w:r>
      <w:r>
        <w:rPr>
          <w:rFonts w:hint="eastAsia" w:ascii="宋体" w:hAnsi="宋体"/>
          <w:b/>
          <w:szCs w:val="21"/>
          <w:highlight w:val="none"/>
        </w:rPr>
        <w:t>【磋商须知前附表】</w:t>
      </w:r>
      <w:r>
        <w:rPr>
          <w:rFonts w:hint="eastAsia" w:ascii="宋体" w:hAnsi="宋体"/>
          <w:szCs w:val="21"/>
          <w:highlight w:val="none"/>
        </w:rPr>
        <w:t>另有规</w:t>
      </w:r>
      <w:r>
        <w:rPr>
          <w:rFonts w:hint="eastAsia" w:ascii="宋体" w:hAnsi="宋体"/>
          <w:highlight w:val="none"/>
        </w:rPr>
        <w:t>定外，供应商应按下列规定提供资格证明文件。</w:t>
      </w:r>
    </w:p>
    <w:p w14:paraId="50FE90A4">
      <w:pPr>
        <w:adjustRightInd w:val="0"/>
        <w:snapToGrid w:val="0"/>
        <w:spacing w:line="360" w:lineRule="auto"/>
        <w:ind w:firstLine="420" w:firstLineChars="200"/>
        <w:rPr>
          <w:rFonts w:hint="eastAsia" w:ascii="宋体" w:hAnsi="宋体"/>
          <w:b/>
          <w:highlight w:val="none"/>
        </w:rPr>
      </w:pPr>
      <w:r>
        <w:rPr>
          <w:rFonts w:hint="eastAsia" w:ascii="宋体" w:hAnsi="宋体"/>
          <w:highlight w:val="none"/>
        </w:rPr>
        <w:t>（1）</w:t>
      </w:r>
      <w:r>
        <w:rPr>
          <w:rFonts w:hint="eastAsia" w:ascii="宋体" w:hAnsi="宋体"/>
          <w:b/>
          <w:highlight w:val="none"/>
        </w:rPr>
        <w:t>湖南省政府采购供应商资格承诺函(格式)</w:t>
      </w:r>
    </w:p>
    <w:p w14:paraId="384B5B75">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（2）</w:t>
      </w:r>
      <w:r>
        <w:rPr>
          <w:rFonts w:hint="eastAsia" w:ascii="宋体" w:hAnsi="宋体"/>
          <w:b/>
          <w:highlight w:val="none"/>
        </w:rPr>
        <w:t>法人或者其他组织的营业执照等主体资格证明文件，自然人的身份证明</w:t>
      </w:r>
      <w:r>
        <w:rPr>
          <w:rFonts w:hint="eastAsia" w:ascii="宋体" w:hAnsi="宋体"/>
          <w:highlight w:val="none"/>
        </w:rPr>
        <w:t>：供应商为法人的，应提交营业执照的复印件；供应商为非法人组织的，应提交依法登记证书复印件；</w:t>
      </w:r>
      <w:r>
        <w:rPr>
          <w:rFonts w:hint="eastAsia" w:ascii="宋体" w:hAnsi="宋体"/>
          <w:szCs w:val="21"/>
          <w:highlight w:val="none"/>
        </w:rPr>
        <w:t>供应商为个体工商户的，应提交个体工商户营业执照复印件；</w:t>
      </w:r>
      <w:r>
        <w:rPr>
          <w:rFonts w:hint="eastAsia" w:ascii="宋体" w:hAnsi="宋体"/>
          <w:highlight w:val="none"/>
        </w:rPr>
        <w:t>供应商为自然人的，应提交自然人的身份证明复印件。</w:t>
      </w:r>
    </w:p>
    <w:p w14:paraId="394FB7D9">
      <w:pPr>
        <w:adjustRightInd w:val="0"/>
        <w:snapToGrid w:val="0"/>
        <w:spacing w:line="360" w:lineRule="auto"/>
        <w:ind w:firstLine="420" w:firstLineChars="200"/>
        <w:rPr>
          <w:rFonts w:hint="eastAsia" w:ascii="宋体" w:hAnsi="宋体"/>
          <w:szCs w:val="21"/>
          <w:highlight w:val="none"/>
        </w:rPr>
      </w:pPr>
      <w:r>
        <w:rPr>
          <w:rFonts w:hint="eastAsia" w:ascii="宋体" w:hAnsi="宋体"/>
          <w:highlight w:val="none"/>
        </w:rPr>
        <w:t>（3）</w:t>
      </w:r>
      <w:r>
        <w:rPr>
          <w:rFonts w:hint="eastAsia" w:ascii="宋体" w:hAnsi="宋体"/>
          <w:b/>
          <w:highlight w:val="none"/>
        </w:rPr>
        <w:t>符合特定资格条件证明材料复印件或者情况说明原件</w:t>
      </w:r>
      <w:r>
        <w:rPr>
          <w:rFonts w:hint="eastAsia" w:ascii="宋体" w:hAnsi="宋体"/>
          <w:highlight w:val="none"/>
        </w:rPr>
        <w:t>。</w:t>
      </w:r>
      <w:r>
        <w:rPr>
          <w:rFonts w:hint="eastAsia" w:ascii="宋体" w:hAnsi="宋体"/>
          <w:szCs w:val="21"/>
          <w:highlight w:val="none"/>
        </w:rPr>
        <w:t>详见</w:t>
      </w:r>
      <w:r>
        <w:rPr>
          <w:rFonts w:hint="eastAsia" w:ascii="宋体" w:hAnsi="宋体"/>
          <w:b/>
          <w:szCs w:val="21"/>
          <w:highlight w:val="none"/>
        </w:rPr>
        <w:t>【磋商须知前附表】</w:t>
      </w:r>
      <w:r>
        <w:rPr>
          <w:rFonts w:hint="eastAsia" w:ascii="宋体" w:hAnsi="宋体"/>
          <w:szCs w:val="21"/>
          <w:highlight w:val="none"/>
        </w:rPr>
        <w:t>。</w:t>
      </w:r>
    </w:p>
    <w:p w14:paraId="1DBCDE09">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10.2供应商为联合体形式的，除应提交联合协议(格式)外，参加联合体的各方均应提交上款资格证明材料。</w:t>
      </w:r>
    </w:p>
    <w:p w14:paraId="3B209D4D">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10.3本章第1.2款规定采购项目或者采购包属于“预留采购份额”的，供应商应提供与本章第37.1款规定对应的证明文件。详见</w:t>
      </w:r>
      <w:r>
        <w:rPr>
          <w:rFonts w:hint="eastAsia" w:ascii="宋体" w:hAnsi="宋体"/>
          <w:b/>
          <w:highlight w:val="none"/>
        </w:rPr>
        <w:t>【磋商须知前附表】。</w:t>
      </w:r>
    </w:p>
    <w:p w14:paraId="0F9ED154">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10.4上述供应商的资格证明文件均应为有效文件并加盖供应商单位章，并按磋商文件规定签署。</w:t>
      </w:r>
    </w:p>
    <w:p w14:paraId="482A8EF4">
      <w:pPr>
        <w:pStyle w:val="10"/>
        <w:keepNext w:val="0"/>
        <w:keepLines w:val="0"/>
        <w:adjustRightInd w:val="0"/>
        <w:snapToGrid w:val="0"/>
        <w:spacing w:before="0" w:after="0" w:line="360" w:lineRule="auto"/>
        <w:rPr>
          <w:rFonts w:hint="eastAsia" w:ascii="黑体" w:hAnsi="黑体"/>
          <w:sz w:val="24"/>
          <w:szCs w:val="24"/>
          <w:highlight w:val="none"/>
        </w:rPr>
      </w:pPr>
      <w:bookmarkStart w:id="122" w:name="_Toc16541"/>
      <w:bookmarkStart w:id="123" w:name="_Toc32535"/>
      <w:bookmarkStart w:id="124" w:name="_Toc38786717"/>
      <w:bookmarkStart w:id="125" w:name="_Toc36"/>
      <w:bookmarkStart w:id="126" w:name="_Toc3386"/>
      <w:r>
        <w:rPr>
          <w:rFonts w:hint="eastAsia" w:ascii="黑体" w:hAnsi="黑体"/>
          <w:sz w:val="24"/>
          <w:szCs w:val="24"/>
          <w:highlight w:val="none"/>
        </w:rPr>
        <w:t>10.供应商的资格证明文件（已进行资格预审的）</w:t>
      </w:r>
      <w:bookmarkEnd w:id="122"/>
      <w:bookmarkEnd w:id="123"/>
      <w:bookmarkEnd w:id="124"/>
      <w:bookmarkEnd w:id="125"/>
      <w:bookmarkEnd w:id="126"/>
    </w:p>
    <w:p w14:paraId="2491197D">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highlight w:val="none"/>
        </w:rPr>
        <w:t>10.1被邀请的供应商在提交首次响应文件前，其资格条件发生变化，影响或者可能影响资格条件的，应随响应文件提供更新或者补充的资格证明资料，以证实其各项条件仍能继续满足本章第3.1款规定的供应商资格条件要求。</w:t>
      </w:r>
    </w:p>
    <w:p w14:paraId="5F8D149A">
      <w:pPr>
        <w:pStyle w:val="10"/>
        <w:keepNext w:val="0"/>
        <w:keepLines w:val="0"/>
        <w:adjustRightInd w:val="0"/>
        <w:snapToGrid w:val="0"/>
        <w:spacing w:before="0" w:after="0" w:line="360" w:lineRule="auto"/>
        <w:rPr>
          <w:rFonts w:hint="eastAsia" w:ascii="黑体" w:hAnsi="黑体"/>
          <w:sz w:val="24"/>
          <w:szCs w:val="24"/>
          <w:highlight w:val="none"/>
        </w:rPr>
      </w:pPr>
      <w:bookmarkStart w:id="127" w:name="_Toc2597"/>
      <w:bookmarkStart w:id="128" w:name="_Toc23694"/>
      <w:bookmarkStart w:id="129" w:name="_Toc5669"/>
      <w:bookmarkStart w:id="130" w:name="_Toc25815"/>
      <w:r>
        <w:rPr>
          <w:rFonts w:hint="eastAsia" w:ascii="黑体" w:hAnsi="黑体"/>
          <w:sz w:val="24"/>
          <w:szCs w:val="24"/>
          <w:highlight w:val="none"/>
        </w:rPr>
        <w:t>11.报价要求</w:t>
      </w:r>
      <w:bookmarkEnd w:id="127"/>
      <w:bookmarkEnd w:id="128"/>
      <w:bookmarkEnd w:id="129"/>
      <w:bookmarkEnd w:id="130"/>
    </w:p>
    <w:p w14:paraId="0DF3581C">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11.1供应商应当根据磋商文件第四章采购需求逐一报价；磋商文件第三章提供第三节“工程量清单”的，供应商应按其要求填写相应表格。</w:t>
      </w:r>
    </w:p>
    <w:p w14:paraId="5B515A28">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11.2在报价表、分项报价表填写报价时应注意下列要求：</w:t>
      </w:r>
    </w:p>
    <w:p w14:paraId="7D42F577">
      <w:pPr>
        <w:pStyle w:val="30"/>
        <w:adjustRightInd w:val="0"/>
        <w:snapToGrid w:val="0"/>
        <w:spacing w:line="360" w:lineRule="auto"/>
        <w:ind w:firstLine="420" w:firstLineChars="200"/>
        <w:rPr>
          <w:rFonts w:hint="eastAsia" w:hAnsi="宋体"/>
          <w:highlight w:val="none"/>
        </w:rPr>
      </w:pPr>
      <w:r>
        <w:rPr>
          <w:rFonts w:hint="eastAsia" w:hAnsi="宋体"/>
          <w:highlight w:val="none"/>
        </w:rPr>
        <w:t>（1）采购需求要求的安装、调试、培训、售后服务及其它附加服务的费用。</w:t>
      </w:r>
    </w:p>
    <w:p w14:paraId="62D62BE0">
      <w:pPr>
        <w:pStyle w:val="30"/>
        <w:adjustRightInd w:val="0"/>
        <w:snapToGrid w:val="0"/>
        <w:spacing w:line="360" w:lineRule="auto"/>
        <w:ind w:firstLine="420" w:firstLineChars="200"/>
        <w:rPr>
          <w:rFonts w:hint="eastAsia" w:hAnsi="宋体"/>
          <w:highlight w:val="none"/>
        </w:rPr>
      </w:pPr>
      <w:r>
        <w:rPr>
          <w:rFonts w:hint="eastAsia" w:hAnsi="宋体"/>
          <w:highlight w:val="none"/>
        </w:rPr>
        <w:t>（2）所有根据合同或者其它原因应由供应商交纳和支付的税款和费用。</w:t>
      </w:r>
    </w:p>
    <w:p w14:paraId="1EF071F8">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（3）磋商文件指定交货地点的运输、保险、装卸费。</w:t>
      </w:r>
    </w:p>
    <w:p w14:paraId="42E524B1">
      <w:pPr>
        <w:adjustRightInd w:val="0"/>
        <w:snapToGrid w:val="0"/>
        <w:spacing w:line="360" w:lineRule="auto"/>
        <w:ind w:firstLine="420" w:firstLineChars="200"/>
        <w:rPr>
          <w:rFonts w:hint="eastAsia" w:ascii="宋体" w:hAnsi="宋体"/>
          <w:szCs w:val="21"/>
          <w:highlight w:val="none"/>
        </w:rPr>
      </w:pPr>
      <w:r>
        <w:rPr>
          <w:rFonts w:hint="eastAsia" w:ascii="宋体" w:hAnsi="宋体"/>
          <w:highlight w:val="none"/>
        </w:rPr>
        <w:t>（4）实行工程量清单报价的，供应商提交最后报价应与已标价工程量清单总报价一致。</w:t>
      </w:r>
    </w:p>
    <w:p w14:paraId="08F7A809">
      <w:pPr>
        <w:pStyle w:val="98"/>
        <w:widowControl w:val="0"/>
        <w:adjustRightInd w:val="0"/>
        <w:snapToGrid w:val="0"/>
        <w:spacing w:line="360" w:lineRule="auto"/>
        <w:ind w:firstLine="420" w:firstLineChars="200"/>
        <w:rPr>
          <w:rFonts w:hint="eastAsia" w:ascii="宋体" w:hAnsi="宋体"/>
          <w:highlight w:val="none"/>
        </w:rPr>
      </w:pPr>
      <w:r>
        <w:rPr>
          <w:rFonts w:hint="eastAsia" w:ascii="宋体" w:hAnsi="宋体"/>
          <w:highlight w:val="none"/>
        </w:rPr>
        <w:t>11.3</w:t>
      </w:r>
      <w:r>
        <w:rPr>
          <w:rFonts w:hint="eastAsia" w:ascii="宋体" w:hAnsi="宋体" w:cs="宋体"/>
          <w:highlight w:val="none"/>
          <w:lang w:val="zh-CN"/>
        </w:rPr>
        <w:t>供应商</w:t>
      </w:r>
      <w:r>
        <w:rPr>
          <w:rFonts w:hint="eastAsia" w:ascii="宋体" w:hAnsi="宋体"/>
          <w:highlight w:val="none"/>
        </w:rPr>
        <w:t>的最后报价不得超过采购项目预算，采购项目预算见</w:t>
      </w:r>
      <w:r>
        <w:rPr>
          <w:rFonts w:hint="eastAsia" w:ascii="宋体" w:hAnsi="宋体"/>
          <w:b/>
          <w:highlight w:val="none"/>
        </w:rPr>
        <w:t>【磋商须知前附表】</w:t>
      </w:r>
      <w:r>
        <w:rPr>
          <w:rFonts w:hint="eastAsia" w:ascii="宋体" w:hAnsi="宋体"/>
          <w:highlight w:val="none"/>
        </w:rPr>
        <w:t>。</w:t>
      </w:r>
    </w:p>
    <w:p w14:paraId="559DEFD6">
      <w:pPr>
        <w:pStyle w:val="30"/>
        <w:adjustRightInd w:val="0"/>
        <w:snapToGrid w:val="0"/>
        <w:spacing w:line="360" w:lineRule="auto"/>
        <w:ind w:firstLine="420" w:firstLineChars="200"/>
        <w:rPr>
          <w:rFonts w:hint="eastAsia" w:hAnsi="宋体"/>
          <w:highlight w:val="none"/>
        </w:rPr>
      </w:pPr>
      <w:r>
        <w:rPr>
          <w:rFonts w:hint="eastAsia" w:hAnsi="宋体"/>
          <w:highlight w:val="none"/>
        </w:rPr>
        <w:t>11.4供应商提交的最后报价在合同执行过程中是固定不变的，不得以任何理由予以变更。以可变动价格提交的报价将被认为是非实质响应而被拒绝。</w:t>
      </w:r>
    </w:p>
    <w:p w14:paraId="71D18F0A">
      <w:pP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11.5采购人不接受供应商给予的赠品、回扣或者与采购无关的其他商品、服务。</w:t>
      </w:r>
    </w:p>
    <w:p w14:paraId="78BE9DDE">
      <w:pPr>
        <w:pStyle w:val="30"/>
        <w:adjustRightInd w:val="0"/>
        <w:snapToGrid w:val="0"/>
        <w:spacing w:line="360" w:lineRule="auto"/>
        <w:ind w:firstLine="420" w:firstLineChars="200"/>
        <w:rPr>
          <w:rFonts w:hint="eastAsia" w:hAnsi="宋体"/>
          <w:highlight w:val="none"/>
        </w:rPr>
      </w:pPr>
      <w:r>
        <w:rPr>
          <w:rFonts w:hint="eastAsia" w:hAnsi="宋体"/>
          <w:highlight w:val="none"/>
        </w:rPr>
        <w:t>11.6报价的其他要求见</w:t>
      </w:r>
      <w:r>
        <w:rPr>
          <w:rFonts w:hint="eastAsia" w:hAnsi="宋体"/>
          <w:b/>
          <w:highlight w:val="none"/>
        </w:rPr>
        <w:t>【磋商须知前附表】</w:t>
      </w:r>
      <w:r>
        <w:rPr>
          <w:rFonts w:hint="eastAsia" w:hAnsi="宋体"/>
          <w:highlight w:val="none"/>
        </w:rPr>
        <w:t>。</w:t>
      </w:r>
    </w:p>
    <w:p w14:paraId="5A69804F">
      <w:pPr>
        <w:pStyle w:val="10"/>
        <w:keepNext w:val="0"/>
        <w:keepLines w:val="0"/>
        <w:adjustRightInd w:val="0"/>
        <w:snapToGrid w:val="0"/>
        <w:spacing w:before="0" w:after="0" w:line="360" w:lineRule="auto"/>
        <w:rPr>
          <w:rFonts w:hint="eastAsia" w:ascii="黑体" w:hAnsi="黑体"/>
          <w:sz w:val="24"/>
          <w:szCs w:val="24"/>
          <w:highlight w:val="none"/>
        </w:rPr>
      </w:pPr>
      <w:bookmarkStart w:id="131" w:name="_Toc31242"/>
      <w:bookmarkStart w:id="132" w:name="_Toc12633"/>
      <w:bookmarkStart w:id="133" w:name="_Toc2339"/>
      <w:bookmarkStart w:id="134" w:name="_Toc30195"/>
      <w:r>
        <w:rPr>
          <w:rFonts w:hint="eastAsia" w:ascii="黑体" w:hAnsi="黑体"/>
          <w:sz w:val="24"/>
          <w:szCs w:val="24"/>
          <w:highlight w:val="none"/>
        </w:rPr>
        <w:t>12.保证金</w:t>
      </w:r>
      <w:bookmarkEnd w:id="131"/>
      <w:bookmarkEnd w:id="132"/>
      <w:bookmarkEnd w:id="133"/>
      <w:bookmarkEnd w:id="134"/>
    </w:p>
    <w:p w14:paraId="50CBEF19">
      <w:pPr>
        <w:pStyle w:val="30"/>
        <w:adjustRightInd w:val="0"/>
        <w:snapToGrid w:val="0"/>
        <w:spacing w:line="360" w:lineRule="auto"/>
        <w:ind w:firstLine="420" w:firstLineChars="200"/>
        <w:rPr>
          <w:rFonts w:hint="eastAsia" w:hAnsi="宋体"/>
          <w:bCs/>
          <w:highlight w:val="none"/>
        </w:rPr>
      </w:pPr>
      <w:r>
        <w:rPr>
          <w:rFonts w:hint="eastAsia" w:hAnsi="宋体"/>
          <w:highlight w:val="none"/>
        </w:rPr>
        <w:t>12.1</w:t>
      </w:r>
      <w:r>
        <w:rPr>
          <w:rFonts w:hint="eastAsia" w:hAnsi="宋体"/>
          <w:bCs/>
          <w:highlight w:val="none"/>
        </w:rPr>
        <w:t>磋商文件要求供应商提交保证金的，供应商应按</w:t>
      </w:r>
      <w:r>
        <w:rPr>
          <w:rFonts w:hint="eastAsia" w:hAnsi="宋体"/>
          <w:b/>
          <w:bCs/>
          <w:highlight w:val="none"/>
        </w:rPr>
        <w:t>【磋商须知前附表】</w:t>
      </w:r>
      <w:r>
        <w:rPr>
          <w:rFonts w:hint="eastAsia" w:hAnsi="宋体"/>
          <w:bCs/>
          <w:highlight w:val="none"/>
        </w:rPr>
        <w:t>规定，在提交响应文件的截止时间前提交保证金。保证金有效期应当与响应文件有效期一致。</w:t>
      </w:r>
    </w:p>
    <w:p w14:paraId="5DFA6F94">
      <w:pPr>
        <w:adjustRightInd w:val="0"/>
        <w:snapToGrid w:val="0"/>
        <w:spacing w:line="360" w:lineRule="auto"/>
        <w:ind w:firstLine="420" w:firstLineChars="200"/>
        <w:rPr>
          <w:rFonts w:hint="eastAsia" w:ascii="宋体" w:hAnsi="宋体"/>
          <w:b/>
          <w:szCs w:val="21"/>
          <w:highlight w:val="none"/>
        </w:rPr>
      </w:pPr>
      <w:r>
        <w:rPr>
          <w:rFonts w:hint="eastAsia" w:ascii="宋体" w:hAnsi="宋体"/>
          <w:szCs w:val="21"/>
          <w:highlight w:val="none"/>
        </w:rPr>
        <w:t>12.2</w:t>
      </w:r>
      <w:r>
        <w:rPr>
          <w:rFonts w:hint="eastAsia" w:ascii="宋体" w:hAnsi="宋体" w:cs="宋体"/>
          <w:kern w:val="0"/>
          <w:szCs w:val="21"/>
          <w:highlight w:val="none"/>
          <w:lang w:val="zh-CN"/>
        </w:rPr>
        <w:t>供应商为联合体的，可以由联合体中的一方或者共同交纳保证金，其交纳的保证金，对联合体各方均具有约束力。</w:t>
      </w:r>
    </w:p>
    <w:p w14:paraId="2E3DB29F">
      <w:pPr>
        <w:pStyle w:val="30"/>
        <w:tabs>
          <w:tab w:val="left" w:pos="6300"/>
        </w:tabs>
        <w:adjustRightInd w:val="0"/>
        <w:snapToGrid w:val="0"/>
        <w:spacing w:line="360" w:lineRule="auto"/>
        <w:ind w:firstLine="420" w:firstLineChars="200"/>
        <w:rPr>
          <w:rFonts w:hint="eastAsia" w:hAnsi="宋体"/>
          <w:highlight w:val="none"/>
        </w:rPr>
      </w:pPr>
      <w:r>
        <w:rPr>
          <w:rFonts w:hint="eastAsia" w:hAnsi="宋体"/>
          <w:highlight w:val="none"/>
        </w:rPr>
        <w:t>12.3采购人、采购代理机构在成交通知书发出后5个工作日内退还未成交供应商的保证金；在采购合同签定后5个工作日内退还成交供应商的保证金，但因供应商自身原因导致无法及时退还的除外。</w:t>
      </w:r>
    </w:p>
    <w:p w14:paraId="671C8DA4">
      <w:pPr>
        <w:pStyle w:val="30"/>
        <w:adjustRightInd w:val="0"/>
        <w:snapToGrid w:val="0"/>
        <w:spacing w:line="360" w:lineRule="auto"/>
        <w:ind w:firstLine="420" w:firstLineChars="200"/>
        <w:rPr>
          <w:kern w:val="0"/>
          <w:highlight w:val="none"/>
        </w:rPr>
      </w:pPr>
      <w:r>
        <w:rPr>
          <w:rFonts w:hint="eastAsia"/>
          <w:highlight w:val="none"/>
        </w:rPr>
        <w:t>12.4</w:t>
      </w:r>
      <w:r>
        <w:rPr>
          <w:rFonts w:hint="eastAsia"/>
          <w:kern w:val="0"/>
          <w:highlight w:val="none"/>
        </w:rPr>
        <w:t>有下列情形之一的，保证金不予退还，并上缴本级财政国库：</w:t>
      </w:r>
    </w:p>
    <w:p w14:paraId="60A7ECA7">
      <w:pPr>
        <w:pStyle w:val="30"/>
        <w:adjustRightInd w:val="0"/>
        <w:snapToGrid w:val="0"/>
        <w:spacing w:line="360" w:lineRule="auto"/>
        <w:ind w:firstLine="420" w:firstLineChars="200"/>
        <w:rPr>
          <w:rFonts w:hint="eastAsia" w:hAnsi="宋体"/>
          <w:highlight w:val="none"/>
        </w:rPr>
      </w:pPr>
      <w:r>
        <w:rPr>
          <w:rFonts w:hint="eastAsia" w:hAnsi="宋体"/>
          <w:highlight w:val="none"/>
        </w:rPr>
        <w:t>（1）供应商在提交响应文件截止时间后撤回响应文件的；</w:t>
      </w:r>
    </w:p>
    <w:p w14:paraId="6D74D793">
      <w:pPr>
        <w:pStyle w:val="30"/>
        <w:adjustRightInd w:val="0"/>
        <w:snapToGrid w:val="0"/>
        <w:spacing w:line="360" w:lineRule="auto"/>
        <w:ind w:firstLine="420" w:firstLineChars="200"/>
        <w:rPr>
          <w:rFonts w:hint="eastAsia" w:hAnsi="宋体"/>
          <w:highlight w:val="none"/>
        </w:rPr>
      </w:pPr>
      <w:r>
        <w:rPr>
          <w:rFonts w:hint="eastAsia" w:hAnsi="宋体"/>
          <w:highlight w:val="none"/>
        </w:rPr>
        <w:t>（2）供应商在响应文件中提供虚假材料的；</w:t>
      </w:r>
    </w:p>
    <w:p w14:paraId="69FBE9FA">
      <w:pPr>
        <w:pStyle w:val="30"/>
        <w:adjustRightInd w:val="0"/>
        <w:snapToGrid w:val="0"/>
        <w:spacing w:line="360" w:lineRule="auto"/>
        <w:ind w:firstLine="420" w:firstLineChars="200"/>
        <w:rPr>
          <w:rFonts w:hint="eastAsia" w:hAnsi="宋体"/>
          <w:highlight w:val="none"/>
        </w:rPr>
      </w:pPr>
      <w:r>
        <w:rPr>
          <w:rFonts w:hint="eastAsia" w:hAnsi="宋体"/>
          <w:highlight w:val="none"/>
        </w:rPr>
        <w:t>（3）除因不可抗力或者磋商文件认可的情形以外，成交供应商不与采购人签订合同的；</w:t>
      </w:r>
    </w:p>
    <w:p w14:paraId="7ED7968F">
      <w:pPr>
        <w:pStyle w:val="30"/>
        <w:adjustRightInd w:val="0"/>
        <w:snapToGrid w:val="0"/>
        <w:spacing w:line="360" w:lineRule="auto"/>
        <w:ind w:firstLine="420" w:firstLineChars="200"/>
        <w:rPr>
          <w:rFonts w:hint="eastAsia" w:hAnsi="宋体"/>
          <w:highlight w:val="none"/>
        </w:rPr>
      </w:pPr>
      <w:r>
        <w:rPr>
          <w:rFonts w:hint="eastAsia" w:hAnsi="宋体"/>
          <w:highlight w:val="none"/>
        </w:rPr>
        <w:t>（4）供应商与采购人、其他供应商或者采购代理机构恶意串通的；</w:t>
      </w:r>
    </w:p>
    <w:p w14:paraId="79BB6671">
      <w:pPr>
        <w:pStyle w:val="30"/>
        <w:adjustRightInd w:val="0"/>
        <w:snapToGrid w:val="0"/>
        <w:spacing w:line="360" w:lineRule="auto"/>
        <w:ind w:firstLine="420" w:firstLineChars="200"/>
        <w:rPr>
          <w:rFonts w:hint="eastAsia" w:hAnsi="宋体"/>
          <w:highlight w:val="none"/>
        </w:rPr>
      </w:pPr>
      <w:r>
        <w:rPr>
          <w:rFonts w:hint="eastAsia" w:hAnsi="宋体"/>
          <w:highlight w:val="none"/>
        </w:rPr>
        <w:t>（5）磋商文件规定的其他情形。</w:t>
      </w:r>
    </w:p>
    <w:p w14:paraId="5CD3D216">
      <w:pPr>
        <w:pStyle w:val="10"/>
        <w:keepNext w:val="0"/>
        <w:keepLines w:val="0"/>
        <w:adjustRightInd w:val="0"/>
        <w:snapToGrid w:val="0"/>
        <w:spacing w:before="0" w:after="0" w:line="360" w:lineRule="auto"/>
        <w:rPr>
          <w:rFonts w:hint="eastAsia" w:ascii="黑体" w:hAnsi="黑体"/>
          <w:sz w:val="24"/>
          <w:szCs w:val="24"/>
          <w:highlight w:val="none"/>
        </w:rPr>
      </w:pPr>
      <w:bookmarkStart w:id="135" w:name="_Toc23115"/>
      <w:bookmarkStart w:id="136" w:name="_Toc27621"/>
      <w:bookmarkStart w:id="137" w:name="_Toc13691"/>
      <w:bookmarkStart w:id="138" w:name="_Toc12500"/>
      <w:r>
        <w:rPr>
          <w:rFonts w:hint="eastAsia" w:ascii="黑体" w:hAnsi="黑体"/>
          <w:sz w:val="24"/>
          <w:szCs w:val="24"/>
          <w:highlight w:val="none"/>
        </w:rPr>
        <w:t>13.响应文件有效期</w:t>
      </w:r>
      <w:bookmarkEnd w:id="135"/>
      <w:bookmarkEnd w:id="136"/>
      <w:bookmarkEnd w:id="137"/>
      <w:bookmarkEnd w:id="138"/>
    </w:p>
    <w:p w14:paraId="45D5F451">
      <w:pPr>
        <w:adjustRightInd w:val="0"/>
        <w:snapToGrid w:val="0"/>
        <w:spacing w:line="360" w:lineRule="auto"/>
        <w:ind w:firstLine="420" w:firstLineChars="200"/>
        <w:jc w:val="left"/>
        <w:rPr>
          <w:rFonts w:hint="eastAsia" w:hAnsi="宋体"/>
          <w:highlight w:val="none"/>
        </w:rPr>
      </w:pPr>
      <w:r>
        <w:rPr>
          <w:rFonts w:hint="eastAsia" w:ascii="宋体" w:hAnsi="宋体"/>
          <w:highlight w:val="none"/>
        </w:rPr>
        <w:t>13.1响应文件</w:t>
      </w:r>
      <w:r>
        <w:rPr>
          <w:rFonts w:hint="eastAsia" w:ascii="宋体" w:hAnsi="宋体"/>
          <w:szCs w:val="21"/>
          <w:highlight w:val="none"/>
        </w:rPr>
        <w:t>有效期见</w:t>
      </w:r>
      <w:r>
        <w:rPr>
          <w:rFonts w:hint="eastAsia" w:hAnsi="宋体"/>
          <w:b/>
          <w:bCs/>
          <w:highlight w:val="none"/>
        </w:rPr>
        <w:t>【磋商须知前附表】</w:t>
      </w:r>
      <w:r>
        <w:rPr>
          <w:rFonts w:hint="eastAsia" w:ascii="宋体" w:hAnsi="宋体"/>
          <w:szCs w:val="21"/>
          <w:highlight w:val="none"/>
        </w:rPr>
        <w:t>，在此期间</w:t>
      </w:r>
      <w:r>
        <w:rPr>
          <w:rFonts w:hint="eastAsia" w:ascii="宋体" w:hAnsi="宋体"/>
          <w:highlight w:val="none"/>
        </w:rPr>
        <w:t>响应</w:t>
      </w:r>
      <w:r>
        <w:rPr>
          <w:rFonts w:hint="eastAsia" w:ascii="宋体" w:hAnsi="宋体"/>
          <w:szCs w:val="21"/>
          <w:highlight w:val="none"/>
        </w:rPr>
        <w:t>文件对供应商具有法律约束力，</w:t>
      </w:r>
      <w:r>
        <w:rPr>
          <w:rFonts w:hint="eastAsia" w:ascii="宋体" w:hAnsi="宋体" w:cs="Arial"/>
          <w:highlight w:val="none"/>
        </w:rPr>
        <w:t>从</w:t>
      </w:r>
      <w:r>
        <w:rPr>
          <w:rFonts w:hint="eastAsia" w:ascii="宋体" w:hAnsi="宋体" w:cs="宋体"/>
          <w:kern w:val="0"/>
          <w:szCs w:val="21"/>
          <w:highlight w:val="none"/>
        </w:rPr>
        <w:t>提交首次响应文件截止时间</w:t>
      </w:r>
      <w:r>
        <w:rPr>
          <w:rFonts w:hint="eastAsia" w:hAnsi="宋体"/>
          <w:highlight w:val="none"/>
        </w:rPr>
        <w:t>之日</w:t>
      </w:r>
      <w:r>
        <w:rPr>
          <w:rFonts w:hint="eastAsia" w:hAnsi="宋体" w:cs="Arial"/>
          <w:highlight w:val="none"/>
        </w:rPr>
        <w:t>起计算。</w:t>
      </w:r>
      <w:r>
        <w:rPr>
          <w:rFonts w:hint="eastAsia" w:hAnsi="宋体"/>
          <w:highlight w:val="none"/>
        </w:rPr>
        <w:t>响应文件有效期不足的将被视为</w:t>
      </w:r>
      <w:r>
        <w:rPr>
          <w:rFonts w:hint="eastAsia" w:hAnsi="宋体"/>
          <w:b/>
          <w:highlight w:val="none"/>
        </w:rPr>
        <w:t>无效响应</w:t>
      </w:r>
      <w:r>
        <w:rPr>
          <w:rFonts w:hint="eastAsia" w:hAnsi="宋体"/>
          <w:highlight w:val="none"/>
        </w:rPr>
        <w:t>。</w:t>
      </w:r>
    </w:p>
    <w:p w14:paraId="54CA5E02">
      <w:pPr>
        <w:pStyle w:val="10"/>
        <w:keepNext w:val="0"/>
        <w:keepLines w:val="0"/>
        <w:adjustRightInd w:val="0"/>
        <w:snapToGrid w:val="0"/>
        <w:spacing w:before="0" w:after="0" w:line="360" w:lineRule="auto"/>
        <w:rPr>
          <w:rFonts w:hint="eastAsia" w:ascii="黑体" w:hAnsi="黑体"/>
          <w:sz w:val="24"/>
          <w:szCs w:val="24"/>
          <w:highlight w:val="none"/>
        </w:rPr>
      </w:pPr>
      <w:bookmarkStart w:id="139" w:name="_Toc8594"/>
      <w:bookmarkStart w:id="140" w:name="_Toc10382"/>
      <w:bookmarkStart w:id="141" w:name="_Toc29483"/>
      <w:bookmarkStart w:id="142" w:name="_Toc825"/>
      <w:r>
        <w:rPr>
          <w:rFonts w:hint="eastAsia" w:ascii="黑体" w:hAnsi="黑体"/>
          <w:sz w:val="24"/>
          <w:szCs w:val="24"/>
          <w:highlight w:val="none"/>
        </w:rPr>
        <w:t>14.分包</w:t>
      </w:r>
      <w:bookmarkEnd w:id="139"/>
      <w:bookmarkEnd w:id="140"/>
      <w:bookmarkEnd w:id="141"/>
      <w:bookmarkEnd w:id="142"/>
    </w:p>
    <w:p w14:paraId="2F09F586">
      <w:pP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14.1</w:t>
      </w:r>
      <w:r>
        <w:rPr>
          <w:rFonts w:hint="eastAsia" w:hAnsi="宋体"/>
          <w:b/>
          <w:bCs/>
          <w:highlight w:val="none"/>
        </w:rPr>
        <w:t>【磋商须知前附表】</w:t>
      </w:r>
      <w:r>
        <w:rPr>
          <w:rFonts w:hint="eastAsia" w:ascii="宋体" w:hAnsi="宋体"/>
          <w:highlight w:val="none"/>
        </w:rPr>
        <w:t>规定供应商可以采用分包方式履行合同的，成交供应商可以依法采取分包方式履行合同，并在响应文件中提供分包方案，且分包供应商不得再次分包。</w:t>
      </w:r>
    </w:p>
    <w:p w14:paraId="494512B9">
      <w:pP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14.2政府采购合同分包履行的，成交</w:t>
      </w:r>
      <w:r>
        <w:rPr>
          <w:rFonts w:hint="eastAsia" w:ascii="宋体" w:hAnsi="宋体"/>
          <w:szCs w:val="21"/>
          <w:highlight w:val="none"/>
        </w:rPr>
        <w:t>供应商</w:t>
      </w:r>
      <w:r>
        <w:rPr>
          <w:rFonts w:hint="eastAsia" w:ascii="宋体" w:hAnsi="宋体"/>
          <w:highlight w:val="none"/>
        </w:rPr>
        <w:t>应当就采购项目和分包项目向采购人负责，分包供应商就分包项目承担责任。</w:t>
      </w:r>
    </w:p>
    <w:p w14:paraId="6CC02CF8">
      <w:pP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14.3不符合磋商文件中有关分包规定的，其</w:t>
      </w:r>
      <w:r>
        <w:rPr>
          <w:rFonts w:hint="eastAsia" w:hAnsi="宋体"/>
          <w:b/>
          <w:highlight w:val="none"/>
        </w:rPr>
        <w:t>响应无效</w:t>
      </w:r>
      <w:r>
        <w:rPr>
          <w:rFonts w:hint="eastAsia" w:ascii="宋体" w:hAnsi="宋体"/>
          <w:highlight w:val="none"/>
        </w:rPr>
        <w:t>。</w:t>
      </w:r>
    </w:p>
    <w:p w14:paraId="37960844">
      <w:pPr>
        <w:pStyle w:val="10"/>
        <w:keepNext w:val="0"/>
        <w:keepLines w:val="0"/>
        <w:adjustRightInd w:val="0"/>
        <w:snapToGrid w:val="0"/>
        <w:spacing w:before="0" w:after="0" w:line="360" w:lineRule="auto"/>
        <w:rPr>
          <w:rFonts w:hint="eastAsia" w:ascii="黑体" w:hAnsi="黑体"/>
          <w:sz w:val="24"/>
          <w:szCs w:val="24"/>
          <w:highlight w:val="none"/>
        </w:rPr>
      </w:pPr>
      <w:bookmarkStart w:id="143" w:name="_Toc1597"/>
      <w:bookmarkStart w:id="144" w:name="_Toc9027"/>
      <w:bookmarkStart w:id="145" w:name="_Toc24673"/>
      <w:bookmarkStart w:id="146" w:name="_Toc7820"/>
      <w:r>
        <w:rPr>
          <w:rFonts w:hint="eastAsia" w:ascii="黑体" w:hAnsi="黑体"/>
          <w:sz w:val="24"/>
          <w:szCs w:val="24"/>
          <w:highlight w:val="none"/>
        </w:rPr>
        <w:t>15.响应文件的签署及规定</w:t>
      </w:r>
      <w:bookmarkEnd w:id="143"/>
      <w:bookmarkEnd w:id="144"/>
      <w:bookmarkEnd w:id="145"/>
      <w:bookmarkEnd w:id="146"/>
    </w:p>
    <w:p w14:paraId="1EEF3576">
      <w:pPr>
        <w:pStyle w:val="30"/>
        <w:adjustRightInd w:val="0"/>
        <w:snapToGrid w:val="0"/>
        <w:spacing w:line="360" w:lineRule="auto"/>
        <w:ind w:firstLine="420" w:firstLineChars="200"/>
        <w:rPr>
          <w:rFonts w:hint="eastAsia" w:hAnsi="宋体"/>
          <w:highlight w:val="none"/>
        </w:rPr>
      </w:pPr>
      <w:r>
        <w:rPr>
          <w:rFonts w:hint="eastAsia" w:hAnsi="宋体"/>
          <w:highlight w:val="none"/>
        </w:rPr>
        <w:t>15.1响应文件正本应打印或者用不褪色的材料书写，并由供应商和供应商代表按照磋商文件规定在响应文件规定签署的位置签署、盖章。供应商代表可为供应商的法定代表人(非法人组织为负责人、个体工商户为负责人，以下统称单位负责人)；供应商代表不是供应商的法定代表人（单位负责人）的，应提供法定代表人（单位负责人）授权委托书。供应商为自然人的，应当由本人签字并附身份证明。响应文件的副本可以是正本文件的复印件。响应文件的正本与副本应分别装订成册，并编制目录。</w:t>
      </w:r>
    </w:p>
    <w:p w14:paraId="2026E631">
      <w:pPr>
        <w:pStyle w:val="30"/>
        <w:adjustRightInd w:val="0"/>
        <w:snapToGrid w:val="0"/>
        <w:spacing w:line="360" w:lineRule="auto"/>
        <w:ind w:firstLine="420" w:firstLineChars="200"/>
        <w:rPr>
          <w:rFonts w:hint="eastAsia" w:hAnsi="宋体"/>
          <w:highlight w:val="none"/>
        </w:rPr>
      </w:pPr>
      <w:r>
        <w:rPr>
          <w:rFonts w:hint="eastAsia" w:hAnsi="宋体"/>
          <w:highlight w:val="none"/>
        </w:rPr>
        <w:t>15.2响应文件正本一份，副本份数见</w:t>
      </w:r>
      <w:r>
        <w:rPr>
          <w:rFonts w:hint="eastAsia" w:hAnsi="宋体"/>
          <w:b/>
          <w:highlight w:val="none"/>
        </w:rPr>
        <w:t>【磋商须知前附表】</w:t>
      </w:r>
      <w:r>
        <w:rPr>
          <w:rFonts w:hint="eastAsia" w:hAnsi="宋体"/>
          <w:highlight w:val="none"/>
        </w:rPr>
        <w:t>；响应文件电子文档（U盘或者光盘形式）：1份</w:t>
      </w:r>
      <w:r>
        <w:rPr>
          <w:rFonts w:hint="eastAsia" w:hAnsi="宋体"/>
          <w:b/>
          <w:highlight w:val="none"/>
        </w:rPr>
        <w:t>。</w:t>
      </w:r>
      <w:r>
        <w:rPr>
          <w:rFonts w:hint="eastAsia" w:hAnsi="宋体"/>
          <w:highlight w:val="none"/>
        </w:rPr>
        <w:t>纸质响应文件须清楚地注明“正本”或者“副本”的字样。若副本和正本不一致或者电子版文件和纸质正本文件不一致时，以纸质正本文件为准。响应文件的正本与副本应分别装订成册，并编制目录。响应文件的副本可为正本的复印件。</w:t>
      </w:r>
    </w:p>
    <w:p w14:paraId="0BAC5883">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15.3</w:t>
      </w:r>
      <w:r>
        <w:rPr>
          <w:rFonts w:hint="eastAsia" w:hAnsi="宋体"/>
          <w:highlight w:val="none"/>
        </w:rPr>
        <w:t>响应文件任何加行、涂改、增删等改动，改动之处应加盖供应商单位公章或者由供应商代表签字。否则，将导致</w:t>
      </w:r>
      <w:r>
        <w:rPr>
          <w:rFonts w:hint="eastAsia" w:hAnsi="宋体"/>
          <w:b/>
          <w:highlight w:val="none"/>
        </w:rPr>
        <w:t>响应文件无效。</w:t>
      </w:r>
    </w:p>
    <w:p w14:paraId="6093D879">
      <w:pPr>
        <w:pStyle w:val="30"/>
        <w:adjustRightInd w:val="0"/>
        <w:snapToGrid w:val="0"/>
        <w:spacing w:line="360" w:lineRule="auto"/>
        <w:ind w:firstLine="420" w:firstLineChars="200"/>
        <w:rPr>
          <w:rFonts w:hint="eastAsia" w:hAnsi="宋体"/>
          <w:highlight w:val="none"/>
        </w:rPr>
      </w:pPr>
      <w:r>
        <w:rPr>
          <w:rFonts w:hint="eastAsia" w:hAnsi="宋体"/>
          <w:highlight w:val="none"/>
        </w:rPr>
        <w:t>15.4在磋商过程中，供应商按磋商文件规定和磋商小组要求重新提交的响应文件或者</w:t>
      </w:r>
      <w:r>
        <w:rPr>
          <w:rFonts w:hint="eastAsia" w:hAnsi="宋体" w:cs="宋体"/>
          <w:kern w:val="0"/>
          <w:highlight w:val="none"/>
        </w:rPr>
        <w:t>提交的</w:t>
      </w:r>
      <w:r>
        <w:rPr>
          <w:rFonts w:hint="eastAsia" w:hAnsi="宋体"/>
          <w:highlight w:val="none"/>
        </w:rPr>
        <w:t>最后报价，可打印或者用不褪色材料书写，并经供应商代表签字</w:t>
      </w:r>
      <w:r>
        <w:rPr>
          <w:rFonts w:hint="eastAsia" w:hAnsi="宋体" w:cs="宋体"/>
          <w:kern w:val="0"/>
          <w:highlight w:val="none"/>
        </w:rPr>
        <w:t>或者加盖供应商单位公章</w:t>
      </w:r>
      <w:r>
        <w:rPr>
          <w:rFonts w:hint="eastAsia" w:hAnsi="宋体"/>
          <w:highlight w:val="none"/>
        </w:rPr>
        <w:t>。否则，将导致</w:t>
      </w:r>
      <w:r>
        <w:rPr>
          <w:rFonts w:hint="eastAsia" w:hAnsi="宋体"/>
          <w:b/>
          <w:highlight w:val="none"/>
        </w:rPr>
        <w:t>响应文件无效</w:t>
      </w:r>
      <w:r>
        <w:rPr>
          <w:rFonts w:hint="eastAsia" w:hAnsi="宋体"/>
          <w:highlight w:val="none"/>
        </w:rPr>
        <w:t>。</w:t>
      </w:r>
    </w:p>
    <w:p w14:paraId="4B4BCD7F">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15.5为便于采购文件保存，</w:t>
      </w:r>
      <w:r>
        <w:rPr>
          <w:rFonts w:hint="eastAsia" w:hAnsi="宋体"/>
          <w:highlight w:val="none"/>
        </w:rPr>
        <w:t>响应文件</w:t>
      </w:r>
      <w:r>
        <w:rPr>
          <w:rFonts w:hint="eastAsia" w:ascii="宋体" w:hAnsi="宋体"/>
          <w:szCs w:val="21"/>
          <w:highlight w:val="none"/>
        </w:rPr>
        <w:t>电子文档建议为PDF格式，内容与纸质</w:t>
      </w:r>
      <w:r>
        <w:rPr>
          <w:rFonts w:hint="eastAsia" w:hAnsi="宋体"/>
          <w:highlight w:val="none"/>
        </w:rPr>
        <w:t>响应文件</w:t>
      </w:r>
      <w:r>
        <w:rPr>
          <w:rFonts w:hint="eastAsia" w:ascii="宋体" w:hAnsi="宋体"/>
          <w:szCs w:val="21"/>
          <w:highlight w:val="none"/>
        </w:rPr>
        <w:t>正本一致。</w:t>
      </w:r>
    </w:p>
    <w:p w14:paraId="46B93FB6">
      <w:pPr>
        <w:pStyle w:val="9"/>
        <w:keepNext w:val="0"/>
        <w:keepLines w:val="0"/>
        <w:adjustRightInd w:val="0"/>
        <w:snapToGrid w:val="0"/>
        <w:spacing w:before="0" w:after="0" w:line="360" w:lineRule="auto"/>
        <w:jc w:val="center"/>
        <w:rPr>
          <w:rFonts w:hint="eastAsia" w:ascii="黑体" w:hAnsi="黑体" w:eastAsia="黑体"/>
          <w:sz w:val="28"/>
          <w:szCs w:val="28"/>
          <w:highlight w:val="none"/>
        </w:rPr>
      </w:pPr>
      <w:bookmarkStart w:id="147" w:name="_Toc32133"/>
      <w:bookmarkStart w:id="148" w:name="_Toc22365"/>
      <w:bookmarkStart w:id="149" w:name="_Toc13092"/>
      <w:bookmarkStart w:id="150" w:name="_Toc9729"/>
      <w:r>
        <w:rPr>
          <w:rFonts w:hint="eastAsia" w:ascii="黑体" w:hAnsi="黑体" w:eastAsia="黑体"/>
          <w:sz w:val="28"/>
          <w:szCs w:val="28"/>
          <w:highlight w:val="none"/>
        </w:rPr>
        <w:t>四、响应文件的递交</w:t>
      </w:r>
      <w:bookmarkEnd w:id="147"/>
      <w:bookmarkEnd w:id="148"/>
      <w:bookmarkEnd w:id="149"/>
      <w:bookmarkEnd w:id="150"/>
    </w:p>
    <w:p w14:paraId="2BD3E3F9">
      <w:pPr>
        <w:pStyle w:val="10"/>
        <w:keepNext w:val="0"/>
        <w:keepLines w:val="0"/>
        <w:adjustRightInd w:val="0"/>
        <w:snapToGrid w:val="0"/>
        <w:spacing w:before="0" w:after="0" w:line="360" w:lineRule="auto"/>
        <w:rPr>
          <w:rFonts w:hint="eastAsia" w:ascii="黑体" w:hAnsi="黑体"/>
          <w:sz w:val="24"/>
          <w:szCs w:val="24"/>
          <w:highlight w:val="none"/>
        </w:rPr>
      </w:pPr>
      <w:bookmarkStart w:id="151" w:name="_Toc8033"/>
      <w:bookmarkStart w:id="152" w:name="_Toc4233"/>
      <w:bookmarkStart w:id="153" w:name="_Toc23173"/>
      <w:bookmarkStart w:id="154" w:name="_Toc24333"/>
      <w:r>
        <w:rPr>
          <w:rFonts w:hint="eastAsia" w:ascii="黑体" w:hAnsi="黑体"/>
          <w:sz w:val="24"/>
          <w:szCs w:val="24"/>
          <w:highlight w:val="none"/>
        </w:rPr>
        <w:t>16.响应文件的密封和标记</w:t>
      </w:r>
      <w:bookmarkEnd w:id="151"/>
      <w:bookmarkEnd w:id="152"/>
      <w:bookmarkEnd w:id="153"/>
      <w:bookmarkEnd w:id="154"/>
    </w:p>
    <w:p w14:paraId="47AB9001">
      <w:pPr>
        <w:pStyle w:val="30"/>
        <w:adjustRightInd w:val="0"/>
        <w:snapToGrid w:val="0"/>
        <w:spacing w:line="360" w:lineRule="auto"/>
        <w:ind w:firstLine="420" w:firstLineChars="200"/>
        <w:rPr>
          <w:rFonts w:hint="eastAsia" w:hAnsi="宋体"/>
          <w:highlight w:val="none"/>
        </w:rPr>
      </w:pPr>
      <w:r>
        <w:rPr>
          <w:rFonts w:hint="eastAsia" w:hAnsi="宋体"/>
          <w:highlight w:val="none"/>
        </w:rPr>
        <w:t>16.1响应文件应密封包装，以保证其响应文件信息在提交首次响应文件截止时间前不被透露。</w:t>
      </w:r>
    </w:p>
    <w:p w14:paraId="52EAD24C">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16.2响应文件封套上应写明的内容见</w:t>
      </w:r>
      <w:r>
        <w:rPr>
          <w:rFonts w:hint="eastAsia" w:ascii="宋体" w:hAnsi="宋体"/>
          <w:b/>
          <w:szCs w:val="21"/>
          <w:highlight w:val="none"/>
        </w:rPr>
        <w:t>【</w:t>
      </w:r>
      <w:r>
        <w:rPr>
          <w:rFonts w:hint="eastAsia" w:hAnsi="宋体"/>
          <w:b/>
          <w:highlight w:val="none"/>
        </w:rPr>
        <w:t>磋商</w:t>
      </w:r>
      <w:r>
        <w:rPr>
          <w:rFonts w:hint="eastAsia" w:ascii="宋体" w:hAnsi="宋体"/>
          <w:b/>
          <w:szCs w:val="21"/>
          <w:highlight w:val="none"/>
        </w:rPr>
        <w:t>须知前附表】。</w:t>
      </w:r>
    </w:p>
    <w:p w14:paraId="77CF35D2">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16.3响应文件如果未按本章第</w:t>
      </w:r>
      <w:r>
        <w:rPr>
          <w:rFonts w:hint="eastAsia" w:ascii="宋体" w:hAnsi="宋体"/>
          <w:highlight w:val="none"/>
        </w:rPr>
        <w:t>16.1款</w:t>
      </w:r>
      <w:r>
        <w:rPr>
          <w:rFonts w:hint="eastAsia" w:ascii="宋体" w:hAnsi="宋体"/>
          <w:szCs w:val="21"/>
          <w:highlight w:val="none"/>
        </w:rPr>
        <w:t>规定密封，采购人、采购代理机构将拒绝接收。</w:t>
      </w:r>
    </w:p>
    <w:p w14:paraId="1DD95F2C">
      <w:pPr>
        <w:pStyle w:val="10"/>
        <w:keepNext w:val="0"/>
        <w:keepLines w:val="0"/>
        <w:adjustRightInd w:val="0"/>
        <w:snapToGrid w:val="0"/>
        <w:spacing w:before="0" w:after="0" w:line="360" w:lineRule="auto"/>
        <w:rPr>
          <w:rFonts w:hint="eastAsia" w:ascii="黑体" w:hAnsi="黑体"/>
          <w:sz w:val="24"/>
          <w:szCs w:val="24"/>
          <w:highlight w:val="none"/>
        </w:rPr>
      </w:pPr>
      <w:bookmarkStart w:id="155" w:name="_Toc10831"/>
      <w:bookmarkStart w:id="156" w:name="_Toc10972"/>
      <w:bookmarkStart w:id="157" w:name="_Toc22186"/>
      <w:bookmarkStart w:id="158" w:name="_Toc6587"/>
      <w:r>
        <w:rPr>
          <w:rFonts w:hint="eastAsia" w:ascii="黑体" w:hAnsi="黑体"/>
          <w:sz w:val="24"/>
          <w:szCs w:val="24"/>
          <w:highlight w:val="none"/>
        </w:rPr>
        <w:t>17.响应文件的</w:t>
      </w:r>
      <w:r>
        <w:rPr>
          <w:rFonts w:hint="eastAsia" w:ascii="黑体" w:hAnsi="黑体" w:cs="宋体"/>
          <w:kern w:val="0"/>
          <w:sz w:val="24"/>
          <w:szCs w:val="24"/>
          <w:highlight w:val="none"/>
          <w:lang w:val="zh-CN"/>
        </w:rPr>
        <w:t>补充、修改或者撤回</w:t>
      </w:r>
      <w:bookmarkEnd w:id="155"/>
      <w:bookmarkEnd w:id="156"/>
      <w:bookmarkEnd w:id="157"/>
      <w:bookmarkEnd w:id="158"/>
    </w:p>
    <w:p w14:paraId="038D6C79">
      <w:pPr>
        <w:pStyle w:val="30"/>
        <w:adjustRightInd w:val="0"/>
        <w:snapToGrid w:val="0"/>
        <w:spacing w:line="360" w:lineRule="auto"/>
        <w:ind w:firstLine="420" w:firstLineChars="200"/>
        <w:rPr>
          <w:rFonts w:hint="eastAsia" w:hAnsi="宋体"/>
          <w:highlight w:val="none"/>
        </w:rPr>
      </w:pPr>
      <w:r>
        <w:rPr>
          <w:rFonts w:hint="eastAsia" w:hAnsi="宋体"/>
          <w:highlight w:val="none"/>
        </w:rPr>
        <w:t>17.1</w:t>
      </w:r>
      <w:r>
        <w:rPr>
          <w:rFonts w:hint="eastAsia" w:hAnsi="宋体" w:cs="宋体"/>
          <w:kern w:val="0"/>
          <w:highlight w:val="none"/>
        </w:rPr>
        <w:t>供应商在提交首次响应文件截止时间前，可以对所提交的首次响应文件进行补充、修改或者撤回，并书面通知采购人、采购代理机构。</w:t>
      </w:r>
      <w:r>
        <w:rPr>
          <w:rFonts w:hint="eastAsia" w:hAnsi="宋体"/>
          <w:highlight w:val="none"/>
        </w:rPr>
        <w:t>该通知应加盖供应商单位公章或者由供应商代表签字。</w:t>
      </w:r>
    </w:p>
    <w:p w14:paraId="49588FB0">
      <w:pPr>
        <w:pStyle w:val="30"/>
        <w:adjustRightInd w:val="0"/>
        <w:snapToGrid w:val="0"/>
        <w:spacing w:line="360" w:lineRule="auto"/>
        <w:ind w:firstLine="420" w:firstLineChars="200"/>
        <w:rPr>
          <w:rFonts w:hint="eastAsia" w:hAnsi="宋体"/>
          <w:highlight w:val="none"/>
        </w:rPr>
      </w:pPr>
      <w:r>
        <w:rPr>
          <w:rFonts w:hint="eastAsia" w:hAnsi="宋体"/>
          <w:highlight w:val="none"/>
        </w:rPr>
        <w:t>17.2</w:t>
      </w:r>
      <w:r>
        <w:rPr>
          <w:rFonts w:hint="eastAsia" w:hAnsi="宋体" w:cs="宋体"/>
          <w:kern w:val="0"/>
          <w:highlight w:val="none"/>
          <w:lang w:val="zh-CN"/>
        </w:rPr>
        <w:t>补充、修改的内容与响应文件不一致时，以补充、修改的内容为准。</w:t>
      </w:r>
    </w:p>
    <w:p w14:paraId="7649D4B0">
      <w:pPr>
        <w:pStyle w:val="10"/>
        <w:keepNext w:val="0"/>
        <w:keepLines w:val="0"/>
        <w:adjustRightInd w:val="0"/>
        <w:snapToGrid w:val="0"/>
        <w:spacing w:before="0" w:after="0" w:line="360" w:lineRule="auto"/>
        <w:rPr>
          <w:rFonts w:hint="eastAsia" w:ascii="黑体" w:hAnsi="黑体"/>
          <w:sz w:val="24"/>
          <w:szCs w:val="24"/>
          <w:highlight w:val="none"/>
        </w:rPr>
      </w:pPr>
      <w:bookmarkStart w:id="159" w:name="_Toc24195"/>
      <w:bookmarkStart w:id="160" w:name="_Toc31568"/>
      <w:bookmarkStart w:id="161" w:name="_Toc14490"/>
      <w:bookmarkStart w:id="162" w:name="_Toc6602"/>
      <w:r>
        <w:rPr>
          <w:rFonts w:hint="eastAsia" w:ascii="黑体" w:hAnsi="黑体"/>
          <w:sz w:val="24"/>
          <w:szCs w:val="24"/>
          <w:highlight w:val="none"/>
        </w:rPr>
        <w:t>18.响应文件的递交与接收</w:t>
      </w:r>
      <w:bookmarkEnd w:id="159"/>
      <w:bookmarkEnd w:id="160"/>
      <w:bookmarkEnd w:id="161"/>
      <w:bookmarkEnd w:id="162"/>
    </w:p>
    <w:p w14:paraId="129FAEE4">
      <w:pPr>
        <w:adjustRightInd w:val="0"/>
        <w:snapToGrid w:val="0"/>
        <w:spacing w:line="360" w:lineRule="auto"/>
        <w:ind w:firstLine="420" w:firstLineChars="200"/>
        <w:rPr>
          <w:rFonts w:hint="eastAsia" w:hAnsi="宋体" w:cs="宋体"/>
          <w:kern w:val="0"/>
          <w:highlight w:val="none"/>
        </w:rPr>
      </w:pPr>
      <w:r>
        <w:rPr>
          <w:rFonts w:hint="eastAsia" w:ascii="宋体" w:hAnsi="宋体"/>
          <w:szCs w:val="21"/>
          <w:highlight w:val="none"/>
        </w:rPr>
        <w:t>18.1供应商应在</w:t>
      </w:r>
      <w:r>
        <w:rPr>
          <w:rFonts w:hint="eastAsia" w:ascii="宋体" w:hAnsi="宋体"/>
          <w:b/>
          <w:szCs w:val="21"/>
          <w:highlight w:val="none"/>
        </w:rPr>
        <w:t>【</w:t>
      </w:r>
      <w:r>
        <w:rPr>
          <w:rFonts w:hint="eastAsia" w:hAnsi="宋体"/>
          <w:b/>
          <w:highlight w:val="none"/>
        </w:rPr>
        <w:t>磋商</w:t>
      </w:r>
      <w:r>
        <w:rPr>
          <w:rFonts w:hint="eastAsia" w:ascii="宋体" w:hAnsi="宋体"/>
          <w:b/>
          <w:szCs w:val="21"/>
          <w:highlight w:val="none"/>
        </w:rPr>
        <w:t>须知前附表】</w:t>
      </w:r>
      <w:r>
        <w:rPr>
          <w:rFonts w:hint="eastAsia" w:hAnsi="宋体"/>
          <w:highlight w:val="none"/>
        </w:rPr>
        <w:t>规定的</w:t>
      </w:r>
      <w:r>
        <w:rPr>
          <w:rFonts w:hint="eastAsia" w:ascii="宋体" w:hAnsi="宋体" w:cs="宋体"/>
          <w:kern w:val="0"/>
          <w:szCs w:val="21"/>
          <w:highlight w:val="none"/>
        </w:rPr>
        <w:t>时间和</w:t>
      </w:r>
      <w:r>
        <w:rPr>
          <w:rFonts w:hint="eastAsia" w:ascii="宋体" w:hAnsi="宋体"/>
          <w:szCs w:val="21"/>
          <w:highlight w:val="none"/>
        </w:rPr>
        <w:t>地点提交响应文件。</w:t>
      </w:r>
      <w:r>
        <w:rPr>
          <w:rFonts w:hint="eastAsia" w:hAnsi="宋体" w:cs="宋体"/>
          <w:kern w:val="0"/>
          <w:highlight w:val="none"/>
        </w:rPr>
        <w:t>采购人、采购代理机构拒收逾期送达的响应文件。</w:t>
      </w:r>
    </w:p>
    <w:p w14:paraId="73973BFB">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18.2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55616DC4">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（1）项目名称、采购代理编号；</w:t>
      </w:r>
    </w:p>
    <w:p w14:paraId="71BED1FD">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（2）供应商名称；</w:t>
      </w:r>
    </w:p>
    <w:p w14:paraId="69D262F0">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（3）响应文件送达时间、地址；</w:t>
      </w:r>
    </w:p>
    <w:p w14:paraId="2789A338">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（4）响应文件密封情况；</w:t>
      </w:r>
    </w:p>
    <w:p w14:paraId="1F9EC020">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（5）采购人、采购代理机构名称；</w:t>
      </w:r>
    </w:p>
    <w:p w14:paraId="665AA3EE">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（6）采购人、采购代理机构接收人签字。</w:t>
      </w:r>
    </w:p>
    <w:p w14:paraId="4D28E556">
      <w:pPr>
        <w:pStyle w:val="30"/>
        <w:adjustRightInd w:val="0"/>
        <w:snapToGrid w:val="0"/>
        <w:spacing w:line="360" w:lineRule="auto"/>
        <w:ind w:firstLine="420" w:firstLineChars="200"/>
        <w:rPr>
          <w:rFonts w:hint="eastAsia" w:hAnsi="宋体"/>
          <w:highlight w:val="none"/>
        </w:rPr>
      </w:pPr>
      <w:r>
        <w:rPr>
          <w:rFonts w:hint="eastAsia" w:hAnsi="宋体"/>
          <w:highlight w:val="none"/>
        </w:rPr>
        <w:t>18.3采购人、</w:t>
      </w:r>
      <w:r>
        <w:rPr>
          <w:rFonts w:hint="eastAsia" w:hAnsi="宋体"/>
          <w:bCs/>
          <w:highlight w:val="none"/>
        </w:rPr>
        <w:t>采购代理机构</w:t>
      </w:r>
      <w:r>
        <w:rPr>
          <w:rFonts w:hint="eastAsia" w:hAnsi="宋体"/>
          <w:highlight w:val="none"/>
        </w:rPr>
        <w:t>在按本章第26.7款规定公布供应商的最后报价前，不公开供应商的技术资料、价格和其他信息。</w:t>
      </w:r>
    </w:p>
    <w:p w14:paraId="0263E619">
      <w:pPr>
        <w:pStyle w:val="9"/>
        <w:keepNext w:val="0"/>
        <w:keepLines w:val="0"/>
        <w:adjustRightInd w:val="0"/>
        <w:snapToGrid w:val="0"/>
        <w:spacing w:before="0" w:after="0" w:line="360" w:lineRule="auto"/>
        <w:jc w:val="center"/>
        <w:rPr>
          <w:rFonts w:hint="eastAsia" w:ascii="黑体" w:hAnsi="黑体" w:eastAsia="黑体"/>
          <w:sz w:val="28"/>
          <w:szCs w:val="28"/>
          <w:highlight w:val="none"/>
        </w:rPr>
      </w:pPr>
      <w:bookmarkStart w:id="163" w:name="_Toc26225"/>
      <w:bookmarkStart w:id="164" w:name="_Toc32571"/>
      <w:bookmarkStart w:id="165" w:name="_Toc21344"/>
      <w:bookmarkStart w:id="166" w:name="_Toc23506"/>
      <w:r>
        <w:rPr>
          <w:rFonts w:hint="eastAsia" w:ascii="黑体" w:hAnsi="黑体" w:eastAsia="黑体"/>
          <w:sz w:val="28"/>
          <w:szCs w:val="28"/>
          <w:highlight w:val="none"/>
        </w:rPr>
        <w:t>五、响应文件的评审与磋商</w:t>
      </w:r>
      <w:bookmarkEnd w:id="163"/>
      <w:bookmarkEnd w:id="164"/>
      <w:bookmarkEnd w:id="165"/>
      <w:bookmarkEnd w:id="166"/>
    </w:p>
    <w:p w14:paraId="43DF14DD">
      <w:pPr>
        <w:pStyle w:val="10"/>
        <w:keepNext w:val="0"/>
        <w:keepLines w:val="0"/>
        <w:adjustRightInd w:val="0"/>
        <w:snapToGrid w:val="0"/>
        <w:spacing w:before="0" w:after="0" w:line="360" w:lineRule="auto"/>
        <w:rPr>
          <w:rFonts w:hint="eastAsia" w:ascii="黑体" w:hAnsi="黑体"/>
          <w:sz w:val="24"/>
          <w:szCs w:val="24"/>
          <w:highlight w:val="none"/>
        </w:rPr>
      </w:pPr>
      <w:bookmarkStart w:id="167" w:name="_Toc20398"/>
      <w:bookmarkStart w:id="168" w:name="_Toc32693"/>
      <w:bookmarkStart w:id="169" w:name="_Toc7610"/>
      <w:bookmarkStart w:id="170" w:name="_Toc28735"/>
      <w:r>
        <w:rPr>
          <w:rFonts w:hint="eastAsia" w:ascii="黑体" w:hAnsi="黑体"/>
          <w:sz w:val="24"/>
          <w:szCs w:val="24"/>
          <w:highlight w:val="none"/>
        </w:rPr>
        <w:t>19.资格审查</w:t>
      </w:r>
      <w:bookmarkEnd w:id="167"/>
      <w:bookmarkEnd w:id="168"/>
      <w:bookmarkEnd w:id="169"/>
      <w:bookmarkEnd w:id="170"/>
    </w:p>
    <w:p w14:paraId="2327BC11">
      <w:pPr>
        <w:adjustRightInd w:val="0"/>
        <w:snapToGrid w:val="0"/>
        <w:spacing w:line="360" w:lineRule="auto"/>
        <w:ind w:firstLine="420" w:firstLineChars="200"/>
        <w:rPr>
          <w:highlight w:val="none"/>
        </w:rPr>
      </w:pPr>
      <w:r>
        <w:rPr>
          <w:rFonts w:hint="eastAsia"/>
          <w:highlight w:val="none"/>
        </w:rPr>
        <w:t>19.1 采购人、采购代理机构依法按照第三章“资格审查及评审方法及标准”规定组织资格审查。</w:t>
      </w:r>
    </w:p>
    <w:p w14:paraId="6FFBBB4E">
      <w:pPr>
        <w:pStyle w:val="10"/>
        <w:keepNext w:val="0"/>
        <w:keepLines w:val="0"/>
        <w:adjustRightInd w:val="0"/>
        <w:snapToGrid w:val="0"/>
        <w:spacing w:before="0" w:after="0" w:line="360" w:lineRule="auto"/>
        <w:rPr>
          <w:rFonts w:hint="eastAsia" w:ascii="黑体" w:hAnsi="黑体"/>
          <w:sz w:val="24"/>
          <w:szCs w:val="24"/>
          <w:highlight w:val="none"/>
        </w:rPr>
      </w:pPr>
      <w:bookmarkStart w:id="171" w:name="_Toc20766"/>
      <w:bookmarkStart w:id="172" w:name="_Toc29104"/>
      <w:bookmarkStart w:id="173" w:name="_Toc7253"/>
      <w:bookmarkStart w:id="174" w:name="_Toc5284"/>
      <w:r>
        <w:rPr>
          <w:rFonts w:hint="eastAsia" w:ascii="黑体" w:hAnsi="黑体"/>
          <w:sz w:val="24"/>
          <w:szCs w:val="24"/>
          <w:highlight w:val="none"/>
        </w:rPr>
        <w:t>20.磋商小组</w:t>
      </w:r>
      <w:bookmarkEnd w:id="171"/>
      <w:bookmarkEnd w:id="172"/>
      <w:bookmarkEnd w:id="173"/>
      <w:bookmarkEnd w:id="174"/>
    </w:p>
    <w:p w14:paraId="1C08EBAA">
      <w:pPr>
        <w:adjustRightInd w:val="0"/>
        <w:snapToGrid w:val="0"/>
        <w:spacing w:line="360" w:lineRule="auto"/>
        <w:ind w:firstLine="420"/>
        <w:jc w:val="left"/>
        <w:rPr>
          <w:rFonts w:hint="eastAsia" w:ascii="宋体" w:hAnsi="宋体"/>
          <w:bCs/>
          <w:szCs w:val="21"/>
          <w:highlight w:val="none"/>
        </w:rPr>
      </w:pPr>
      <w:r>
        <w:rPr>
          <w:rFonts w:hint="eastAsia" w:ascii="宋体" w:hAnsi="宋体"/>
          <w:bCs/>
          <w:szCs w:val="21"/>
          <w:highlight w:val="none"/>
        </w:rPr>
        <w:t>20.1磋商小组由采购人代表和评审专家组成。</w:t>
      </w:r>
    </w:p>
    <w:p w14:paraId="39F54B42">
      <w:pPr>
        <w:adjustRightInd w:val="0"/>
        <w:snapToGrid w:val="0"/>
        <w:spacing w:line="360" w:lineRule="auto"/>
        <w:ind w:firstLine="420"/>
        <w:jc w:val="left"/>
        <w:rPr>
          <w:rFonts w:hint="eastAsia" w:ascii="宋体" w:hAnsi="宋体"/>
          <w:szCs w:val="21"/>
          <w:highlight w:val="none"/>
        </w:rPr>
      </w:pPr>
      <w:r>
        <w:rPr>
          <w:rFonts w:hint="eastAsia" w:ascii="宋体" w:hAnsi="宋体"/>
          <w:bCs/>
          <w:szCs w:val="21"/>
          <w:highlight w:val="none"/>
        </w:rPr>
        <w:t>20.2磋商小组</w:t>
      </w:r>
      <w:r>
        <w:rPr>
          <w:rFonts w:ascii="宋体" w:hAnsi="宋体"/>
          <w:szCs w:val="21"/>
          <w:highlight w:val="none"/>
        </w:rPr>
        <w:t>成员有下列情形之一的，应当回避：</w:t>
      </w:r>
    </w:p>
    <w:p w14:paraId="5F07603A">
      <w:pPr>
        <w:adjustRightInd w:val="0"/>
        <w:snapToGrid w:val="0"/>
        <w:spacing w:line="360" w:lineRule="auto"/>
        <w:ind w:firstLine="420"/>
        <w:jc w:val="left"/>
        <w:rPr>
          <w:szCs w:val="21"/>
          <w:highlight w:val="none"/>
        </w:rPr>
      </w:pPr>
      <w:r>
        <w:rPr>
          <w:rFonts w:ascii="宋体" w:hAnsi="宋体"/>
          <w:szCs w:val="21"/>
          <w:highlight w:val="none"/>
        </w:rPr>
        <w:t>（1）参加采购活动前 3 年内与供应商存在劳动关系</w:t>
      </w:r>
      <w:r>
        <w:rPr>
          <w:rFonts w:hint="eastAsia" w:ascii="宋体" w:hAnsi="宋体"/>
          <w:szCs w:val="21"/>
          <w:highlight w:val="none"/>
        </w:rPr>
        <w:t>；</w:t>
      </w:r>
    </w:p>
    <w:p w14:paraId="2A53818C">
      <w:pPr>
        <w:adjustRightInd w:val="0"/>
        <w:snapToGrid w:val="0"/>
        <w:spacing w:line="360" w:lineRule="auto"/>
        <w:ind w:firstLine="420"/>
        <w:jc w:val="left"/>
        <w:rPr>
          <w:szCs w:val="21"/>
          <w:highlight w:val="none"/>
        </w:rPr>
      </w:pPr>
      <w:r>
        <w:rPr>
          <w:rFonts w:ascii="宋体" w:hAnsi="宋体"/>
          <w:szCs w:val="21"/>
          <w:highlight w:val="none"/>
        </w:rPr>
        <w:t>（2）参加采购活动前 3 年内担任供应商的董事、监事；</w:t>
      </w:r>
    </w:p>
    <w:p w14:paraId="42EB464E">
      <w:pPr>
        <w:adjustRightInd w:val="0"/>
        <w:snapToGrid w:val="0"/>
        <w:spacing w:line="360" w:lineRule="auto"/>
        <w:ind w:firstLine="420"/>
        <w:jc w:val="left"/>
        <w:rPr>
          <w:szCs w:val="21"/>
          <w:highlight w:val="none"/>
        </w:rPr>
      </w:pPr>
      <w:r>
        <w:rPr>
          <w:rFonts w:ascii="宋体" w:hAnsi="宋体"/>
          <w:szCs w:val="21"/>
          <w:highlight w:val="none"/>
        </w:rPr>
        <w:t>（3）参加采购活动前 3 年内是供应商的控股股东或者实际控制人；</w:t>
      </w:r>
    </w:p>
    <w:p w14:paraId="024BFD0A">
      <w:pPr>
        <w:adjustRightInd w:val="0"/>
        <w:snapToGrid w:val="0"/>
        <w:spacing w:line="360" w:lineRule="auto"/>
        <w:ind w:firstLine="420"/>
        <w:jc w:val="left"/>
        <w:rPr>
          <w:szCs w:val="21"/>
          <w:highlight w:val="none"/>
        </w:rPr>
      </w:pPr>
      <w:r>
        <w:rPr>
          <w:rFonts w:ascii="宋体" w:hAnsi="宋体"/>
          <w:szCs w:val="21"/>
          <w:highlight w:val="none"/>
        </w:rPr>
        <w:t>（4）与供应商的法定代表人或者负责人有夫妻、直系血亲、三代以内旁系血亲或者近姻亲关系；</w:t>
      </w:r>
    </w:p>
    <w:p w14:paraId="34F85EB4">
      <w:pPr>
        <w:adjustRightInd w:val="0"/>
        <w:snapToGrid w:val="0"/>
        <w:spacing w:line="360" w:lineRule="auto"/>
        <w:ind w:firstLine="420"/>
        <w:jc w:val="left"/>
        <w:rPr>
          <w:rFonts w:hint="eastAsia" w:ascii="宋体" w:hAnsi="宋体"/>
          <w:szCs w:val="21"/>
          <w:highlight w:val="none"/>
        </w:rPr>
      </w:pPr>
      <w:r>
        <w:rPr>
          <w:rFonts w:ascii="宋体" w:hAnsi="宋体"/>
          <w:szCs w:val="21"/>
          <w:highlight w:val="none"/>
        </w:rPr>
        <w:t>（5）与供应商有其他可能影响政府采购活动公平、公正进行的关系。</w:t>
      </w:r>
    </w:p>
    <w:p w14:paraId="17340234">
      <w:pPr>
        <w:adjustRightInd w:val="0"/>
        <w:snapToGrid w:val="0"/>
        <w:spacing w:line="360" w:lineRule="auto"/>
        <w:ind w:firstLine="420"/>
        <w:jc w:val="left"/>
        <w:rPr>
          <w:szCs w:val="21"/>
          <w:highlight w:val="none"/>
        </w:rPr>
      </w:pPr>
      <w:r>
        <w:rPr>
          <w:rFonts w:hint="eastAsia" w:ascii="宋体" w:hAnsi="宋体"/>
          <w:szCs w:val="21"/>
          <w:highlight w:val="none"/>
        </w:rPr>
        <w:t>20</w:t>
      </w:r>
      <w:r>
        <w:rPr>
          <w:rFonts w:ascii="宋体" w:hAnsi="宋体"/>
          <w:szCs w:val="21"/>
          <w:highlight w:val="none"/>
        </w:rPr>
        <w:t>.</w:t>
      </w:r>
      <w:r>
        <w:rPr>
          <w:rFonts w:hint="eastAsia" w:ascii="宋体" w:hAnsi="宋体"/>
          <w:szCs w:val="21"/>
          <w:highlight w:val="none"/>
        </w:rPr>
        <w:t>3磋商小组成员应当按照客观、公正、审慎的原则，根据磋商文件规定的评审程序、评审方法和评审标准进行独立评审。</w:t>
      </w:r>
    </w:p>
    <w:p w14:paraId="075B8E18">
      <w:pPr>
        <w:pStyle w:val="10"/>
        <w:keepNext w:val="0"/>
        <w:keepLines w:val="0"/>
        <w:adjustRightInd w:val="0"/>
        <w:snapToGrid w:val="0"/>
        <w:spacing w:before="0" w:after="0" w:line="360" w:lineRule="auto"/>
        <w:rPr>
          <w:rFonts w:hint="eastAsia" w:ascii="黑体" w:hAnsi="黑体"/>
          <w:sz w:val="24"/>
          <w:szCs w:val="24"/>
          <w:highlight w:val="none"/>
        </w:rPr>
      </w:pPr>
      <w:bookmarkStart w:id="175" w:name="_Toc19058"/>
      <w:bookmarkStart w:id="176" w:name="_Toc25612"/>
      <w:bookmarkStart w:id="177" w:name="_Toc31749"/>
      <w:bookmarkStart w:id="178" w:name="_Toc20638"/>
      <w:r>
        <w:rPr>
          <w:rFonts w:hint="eastAsia" w:ascii="黑体" w:hAnsi="黑体"/>
          <w:sz w:val="24"/>
          <w:szCs w:val="24"/>
          <w:highlight w:val="none"/>
        </w:rPr>
        <w:t>21.磋商程序</w:t>
      </w:r>
      <w:bookmarkEnd w:id="175"/>
      <w:bookmarkEnd w:id="176"/>
      <w:bookmarkEnd w:id="177"/>
      <w:bookmarkEnd w:id="178"/>
    </w:p>
    <w:p w14:paraId="5504A785">
      <w:pPr>
        <w:adjustRightInd w:val="0"/>
        <w:snapToGrid w:val="0"/>
        <w:spacing w:line="360" w:lineRule="auto"/>
        <w:ind w:firstLine="420"/>
        <w:jc w:val="left"/>
        <w:rPr>
          <w:rFonts w:hint="eastAsia" w:ascii="宋体" w:hAnsi="宋体"/>
          <w:bCs/>
          <w:szCs w:val="21"/>
          <w:highlight w:val="none"/>
        </w:rPr>
      </w:pPr>
      <w:r>
        <w:rPr>
          <w:rFonts w:hint="eastAsia" w:ascii="宋体" w:hAnsi="宋体" w:cs="宋体"/>
          <w:kern w:val="0"/>
          <w:szCs w:val="21"/>
          <w:highlight w:val="none"/>
        </w:rPr>
        <w:t>21.1</w:t>
      </w:r>
      <w:r>
        <w:rPr>
          <w:rFonts w:hint="eastAsia" w:ascii="宋体" w:hAnsi="宋体"/>
          <w:bCs/>
          <w:szCs w:val="21"/>
          <w:highlight w:val="none"/>
        </w:rPr>
        <w:t>磋商程序：响应文件初步审查、澄清、磋商、最后报价、综合评审。</w:t>
      </w:r>
    </w:p>
    <w:p w14:paraId="2515CF71">
      <w:pPr>
        <w:pStyle w:val="10"/>
        <w:keepNext w:val="0"/>
        <w:keepLines w:val="0"/>
        <w:adjustRightInd w:val="0"/>
        <w:snapToGrid w:val="0"/>
        <w:spacing w:before="0" w:after="0" w:line="360" w:lineRule="auto"/>
        <w:rPr>
          <w:rFonts w:hint="eastAsia" w:ascii="黑体" w:hAnsi="黑体"/>
          <w:sz w:val="24"/>
          <w:szCs w:val="24"/>
          <w:highlight w:val="none"/>
        </w:rPr>
      </w:pPr>
      <w:bookmarkStart w:id="179" w:name="_Toc9104"/>
      <w:bookmarkStart w:id="180" w:name="_Toc7436"/>
      <w:bookmarkStart w:id="181" w:name="_Toc27859"/>
      <w:bookmarkStart w:id="182" w:name="_Toc14902"/>
      <w:r>
        <w:rPr>
          <w:rFonts w:hint="eastAsia" w:ascii="黑体" w:hAnsi="黑体"/>
          <w:sz w:val="24"/>
          <w:szCs w:val="24"/>
          <w:highlight w:val="none"/>
        </w:rPr>
        <w:t>22.响应文件初步审查</w:t>
      </w:r>
      <w:bookmarkEnd w:id="179"/>
      <w:bookmarkEnd w:id="180"/>
      <w:bookmarkEnd w:id="181"/>
      <w:bookmarkEnd w:id="182"/>
    </w:p>
    <w:p w14:paraId="497857DD">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22.1磋商小组应当对供应商提交的首次响应文件进行初步审查，包括响应文件的有效性、完整性和响应程度。除磋商文件规定的在磋商过程中可能实质性变动的技术、服务要求以及合同草案条款外，首次提交的响应文件有下列情况之一，按无效响应处理，磋商小组应当告知有关供应商。</w:t>
      </w:r>
    </w:p>
    <w:p w14:paraId="0207A486">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（1）未按照磋商文件规定要求签署、盖章的；</w:t>
      </w:r>
    </w:p>
    <w:p w14:paraId="3AE8B4B4">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（2）响应有效期不足的；</w:t>
      </w:r>
    </w:p>
    <w:p w14:paraId="47251075">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（3）磋商报价（首次报价、最后报价）超过磋商文件中规定的预算金额或者最高限价的；</w:t>
      </w:r>
    </w:p>
    <w:p w14:paraId="58694A2B">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（4）不满足磋商文件规定的实质性要求和条件的；</w:t>
      </w:r>
    </w:p>
    <w:p w14:paraId="7A2936F7">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（5）法律、法规和磋商文件规定的其他响应无效情形。</w:t>
      </w:r>
    </w:p>
    <w:p w14:paraId="71A92D87">
      <w:pPr>
        <w:tabs>
          <w:tab w:val="left" w:pos="735"/>
          <w:tab w:val="left" w:pos="7560"/>
          <w:tab w:val="left" w:pos="7740"/>
          <w:tab w:val="left" w:pos="7920"/>
        </w:tabs>
        <w:adjustRightInd w:val="0"/>
        <w:snapToGrid w:val="0"/>
        <w:spacing w:line="360" w:lineRule="auto"/>
        <w:ind w:right="300" w:rightChars="143" w:firstLine="420" w:firstLineChars="200"/>
        <w:rPr>
          <w:rFonts w:hint="eastAsia" w:ascii="宋体" w:hAnsi="宋体"/>
          <w:szCs w:val="21"/>
          <w:highlight w:val="none"/>
        </w:rPr>
      </w:pPr>
      <w:r>
        <w:rPr>
          <w:rFonts w:hint="eastAsia" w:ascii="宋体" w:hAnsi="宋体" w:cs="宋体"/>
          <w:kern w:val="0"/>
          <w:szCs w:val="21"/>
          <w:highlight w:val="none"/>
        </w:rPr>
        <w:t>22.2响应文件按无效处理的，磋商小组应拒绝其参与磋商，但属于磋商文件规定的在磋商过程中可能实质性变动的技术、服务要求以及合同草案条款除外。</w:t>
      </w:r>
    </w:p>
    <w:p w14:paraId="6C5A577F">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22.4磋商文件规定的实质性要求和条件见【</w:t>
      </w:r>
      <w:r>
        <w:rPr>
          <w:rFonts w:hint="eastAsia" w:ascii="宋体" w:hAnsi="宋体" w:cs="宋体"/>
          <w:b/>
          <w:kern w:val="0"/>
          <w:szCs w:val="21"/>
          <w:highlight w:val="none"/>
        </w:rPr>
        <w:t>磋商须知前附表</w:t>
      </w:r>
      <w:r>
        <w:rPr>
          <w:rFonts w:hint="eastAsia" w:ascii="宋体" w:hAnsi="宋体" w:cs="宋体"/>
          <w:kern w:val="0"/>
          <w:szCs w:val="21"/>
          <w:highlight w:val="none"/>
        </w:rPr>
        <w:t>】。</w:t>
      </w:r>
    </w:p>
    <w:p w14:paraId="4A2DEAE5">
      <w:pPr>
        <w:pStyle w:val="10"/>
        <w:keepNext w:val="0"/>
        <w:keepLines w:val="0"/>
        <w:adjustRightInd w:val="0"/>
        <w:snapToGrid w:val="0"/>
        <w:spacing w:before="0" w:after="0" w:line="360" w:lineRule="auto"/>
        <w:rPr>
          <w:rFonts w:hint="eastAsia" w:ascii="黑体" w:hAnsi="黑体"/>
          <w:sz w:val="24"/>
          <w:szCs w:val="24"/>
          <w:highlight w:val="none"/>
        </w:rPr>
      </w:pPr>
      <w:bookmarkStart w:id="183" w:name="_Toc18600"/>
      <w:bookmarkStart w:id="184" w:name="_Toc22677"/>
      <w:bookmarkStart w:id="185" w:name="_Toc16146"/>
      <w:bookmarkStart w:id="186" w:name="_Toc23904"/>
      <w:r>
        <w:rPr>
          <w:rFonts w:hint="eastAsia" w:ascii="黑体" w:hAnsi="黑体"/>
          <w:sz w:val="24"/>
          <w:szCs w:val="24"/>
          <w:highlight w:val="none"/>
        </w:rPr>
        <w:t>23.澄清</w:t>
      </w:r>
      <w:bookmarkEnd w:id="183"/>
      <w:bookmarkEnd w:id="184"/>
      <w:bookmarkEnd w:id="185"/>
      <w:bookmarkEnd w:id="186"/>
    </w:p>
    <w:p w14:paraId="7C4F8035">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23.1磋商小组在对响应文件(包括</w:t>
      </w:r>
      <w:r>
        <w:rPr>
          <w:rFonts w:hint="eastAsia" w:hAnsi="宋体" w:cs="宋体"/>
          <w:kern w:val="0"/>
          <w:highlight w:val="none"/>
        </w:rPr>
        <w:t>首次提交的</w:t>
      </w:r>
      <w:r>
        <w:rPr>
          <w:rFonts w:hint="eastAsia" w:ascii="宋体" w:hAnsi="宋体" w:cs="宋体"/>
          <w:kern w:val="0"/>
          <w:szCs w:val="21"/>
          <w:highlight w:val="none"/>
        </w:rPr>
        <w:t>响应文件、重新提交的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磋商文件的范围或者改变响应文件的实质性内容。</w:t>
      </w:r>
    </w:p>
    <w:p w14:paraId="2BD4CA9F">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23.2最后报价如有算术错误的，磋商小组按</w:t>
      </w:r>
      <w:r>
        <w:rPr>
          <w:rFonts w:hint="eastAsia" w:ascii="宋体" w:hAnsi="宋体" w:cs="宋体"/>
          <w:b/>
          <w:kern w:val="0"/>
          <w:szCs w:val="21"/>
          <w:highlight w:val="none"/>
        </w:rPr>
        <w:t>【磋商须知前附表】</w:t>
      </w:r>
      <w:r>
        <w:rPr>
          <w:rFonts w:hint="eastAsia" w:ascii="宋体" w:hAnsi="宋体" w:cs="宋体"/>
          <w:kern w:val="0"/>
          <w:szCs w:val="21"/>
          <w:highlight w:val="none"/>
        </w:rPr>
        <w:t>规定对报价进行修正，修正的价格经供应商书面确认，并由供应商代表签字或者加盖单位章确认后产生约束力，供应商不接受修正价格的，按响应文件无效处理。</w:t>
      </w:r>
    </w:p>
    <w:p w14:paraId="37450256">
      <w:pPr>
        <w:pStyle w:val="10"/>
        <w:keepNext w:val="0"/>
        <w:keepLines w:val="0"/>
        <w:adjustRightInd w:val="0"/>
        <w:snapToGrid w:val="0"/>
        <w:spacing w:before="0" w:after="0" w:line="360" w:lineRule="auto"/>
        <w:rPr>
          <w:rFonts w:hint="eastAsia" w:ascii="黑体" w:hAnsi="黑体"/>
          <w:sz w:val="24"/>
          <w:szCs w:val="24"/>
          <w:highlight w:val="none"/>
        </w:rPr>
      </w:pPr>
      <w:bookmarkStart w:id="187" w:name="_Toc15683"/>
      <w:bookmarkStart w:id="188" w:name="_Toc20901"/>
      <w:bookmarkStart w:id="189" w:name="_Toc20700"/>
      <w:bookmarkStart w:id="190" w:name="_Toc4308"/>
      <w:r>
        <w:rPr>
          <w:rFonts w:hint="eastAsia" w:ascii="黑体" w:hAnsi="黑体"/>
          <w:sz w:val="24"/>
          <w:szCs w:val="24"/>
          <w:highlight w:val="none"/>
        </w:rPr>
        <w:t>24.磋商</w:t>
      </w:r>
      <w:bookmarkEnd w:id="187"/>
      <w:bookmarkEnd w:id="188"/>
      <w:bookmarkEnd w:id="189"/>
      <w:bookmarkEnd w:id="190"/>
    </w:p>
    <w:p w14:paraId="68567306">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bCs/>
          <w:szCs w:val="21"/>
          <w:highlight w:val="none"/>
        </w:rPr>
        <w:t>24.1初步审查结束后，</w:t>
      </w:r>
      <w:r>
        <w:rPr>
          <w:rFonts w:hint="eastAsia" w:ascii="宋体" w:hAnsi="宋体" w:cs="宋体"/>
          <w:kern w:val="0"/>
          <w:szCs w:val="21"/>
          <w:highlight w:val="none"/>
        </w:rPr>
        <w:t>磋商小组所有成员集中与单一供应商分别进行磋商，并给予所有参加磋商的供应商平等的磋商机会。供应商应派其代表参加磋商。</w:t>
      </w:r>
    </w:p>
    <w:p w14:paraId="16925111">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bCs/>
          <w:szCs w:val="21"/>
          <w:highlight w:val="none"/>
        </w:rPr>
        <w:t>24.2</w:t>
      </w:r>
      <w:r>
        <w:rPr>
          <w:rFonts w:hint="eastAsia" w:ascii="宋体" w:hAnsi="宋体" w:cs="宋体"/>
          <w:kern w:val="0"/>
          <w:szCs w:val="21"/>
          <w:highlight w:val="none"/>
        </w:rPr>
        <w:t>在磋商过程中，磋商小组可以根据磋商文件规定和磋商情况实质性变动技术、服务要求以及合同草案条款，但不得变动磋商文件中的其他内容。实质性变动的内容，须经采购人代表确认。</w:t>
      </w:r>
    </w:p>
    <w:p w14:paraId="52E04FA6">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24.3对磋商文件作出的实质性变动是磋商文件的有效组成部分，磋商小组应当及时以书面形式同时通知所有参加磋商的供应商。</w:t>
      </w:r>
    </w:p>
    <w:p w14:paraId="661741D4">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24.4供应商应当按照磋商文件的变动情况和磋商小组的要求重新提交响应文件，重新提交的响应文件应当对磋商小组书面通知提出的要求和条件作出明确响应，并由供应商代表签字或者加盖供应商单位公章。</w:t>
      </w:r>
    </w:p>
    <w:p w14:paraId="6B1BF809">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24.5磋商结束后，供应商按磋商小组要求重新提交的响应文件，不满足磋商文件实质性要求（包括实质性变动的技术、服务要求以及合同草案条款）的，按无效响应处理。</w:t>
      </w:r>
    </w:p>
    <w:p w14:paraId="0A648CB3">
      <w:pPr>
        <w:pStyle w:val="10"/>
        <w:keepNext w:val="0"/>
        <w:keepLines w:val="0"/>
        <w:adjustRightInd w:val="0"/>
        <w:snapToGrid w:val="0"/>
        <w:spacing w:before="0" w:after="0" w:line="360" w:lineRule="auto"/>
        <w:rPr>
          <w:rFonts w:hint="eastAsia" w:ascii="黑体" w:hAnsi="黑体" w:cs="宋体"/>
          <w:kern w:val="0"/>
          <w:sz w:val="24"/>
          <w:szCs w:val="24"/>
          <w:highlight w:val="none"/>
        </w:rPr>
      </w:pPr>
      <w:bookmarkStart w:id="191" w:name="_Toc4983"/>
      <w:bookmarkStart w:id="192" w:name="_Toc31778"/>
      <w:bookmarkStart w:id="193" w:name="_Toc10903"/>
      <w:bookmarkStart w:id="194" w:name="_Toc18390"/>
      <w:r>
        <w:rPr>
          <w:rFonts w:hint="eastAsia" w:ascii="黑体" w:hAnsi="黑体"/>
          <w:sz w:val="24"/>
          <w:szCs w:val="24"/>
          <w:highlight w:val="none"/>
        </w:rPr>
        <w:t>25.退出磋商</w:t>
      </w:r>
      <w:bookmarkEnd w:id="191"/>
      <w:bookmarkEnd w:id="192"/>
      <w:bookmarkEnd w:id="193"/>
      <w:bookmarkEnd w:id="194"/>
    </w:p>
    <w:p w14:paraId="79418378">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25.1供应商在提交最后报价之前，可以根据磋商情况退出磋商，</w:t>
      </w:r>
      <w:r>
        <w:rPr>
          <w:rFonts w:hint="eastAsia" w:ascii="宋体" w:hAnsi="宋体" w:cs="宋体"/>
          <w:kern w:val="0"/>
          <w:highlight w:val="none"/>
        </w:rPr>
        <w:t>并书面通知采购人、采购代理机构或者磋商小组。</w:t>
      </w:r>
      <w:r>
        <w:rPr>
          <w:rFonts w:hint="eastAsia" w:ascii="宋体" w:hAnsi="宋体"/>
          <w:highlight w:val="none"/>
        </w:rPr>
        <w:t>该通知由供应商代表签字。采购人、</w:t>
      </w:r>
      <w:r>
        <w:rPr>
          <w:rFonts w:hint="eastAsia" w:ascii="宋体" w:hAnsi="宋体" w:cs="宋体"/>
          <w:kern w:val="0"/>
          <w:szCs w:val="21"/>
          <w:highlight w:val="none"/>
        </w:rPr>
        <w:t>采购代理机构</w:t>
      </w:r>
      <w:r>
        <w:rPr>
          <w:rFonts w:hint="eastAsia" w:ascii="宋体" w:hAnsi="宋体" w:cs="宋体"/>
          <w:kern w:val="0"/>
          <w:highlight w:val="none"/>
        </w:rPr>
        <w:t>按</w:t>
      </w:r>
      <w:r>
        <w:rPr>
          <w:rFonts w:hint="eastAsia" w:ascii="宋体" w:hAnsi="宋体" w:cs="宋体"/>
          <w:kern w:val="0"/>
          <w:szCs w:val="21"/>
          <w:highlight w:val="none"/>
        </w:rPr>
        <w:t>本章第</w:t>
      </w:r>
      <w:r>
        <w:rPr>
          <w:rFonts w:hint="eastAsia" w:ascii="宋体" w:hAnsi="宋体"/>
          <w:highlight w:val="none"/>
        </w:rPr>
        <w:t>11.4</w:t>
      </w:r>
      <w:r>
        <w:rPr>
          <w:rFonts w:hint="eastAsia" w:ascii="宋体" w:hAnsi="宋体" w:cs="宋体"/>
          <w:kern w:val="0"/>
          <w:szCs w:val="21"/>
          <w:highlight w:val="none"/>
          <w:lang w:val="zh-CN"/>
        </w:rPr>
        <w:t>款</w:t>
      </w:r>
      <w:r>
        <w:rPr>
          <w:rFonts w:hint="eastAsia" w:ascii="宋体" w:hAnsi="宋体"/>
          <w:highlight w:val="none"/>
        </w:rPr>
        <w:t>规定</w:t>
      </w:r>
      <w:r>
        <w:rPr>
          <w:rFonts w:hint="eastAsia" w:ascii="宋体" w:hAnsi="宋体" w:cs="宋体"/>
          <w:kern w:val="0"/>
          <w:szCs w:val="21"/>
          <w:highlight w:val="none"/>
        </w:rPr>
        <w:t>退还退出磋商的供应商的保证金。</w:t>
      </w:r>
    </w:p>
    <w:p w14:paraId="2142889E">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25.2供应商参与磋商，但未提交最后报价又未按前款规定退出磋商的，保证金不予退还。</w:t>
      </w:r>
    </w:p>
    <w:p w14:paraId="39D7DBCE">
      <w:pPr>
        <w:pStyle w:val="10"/>
        <w:keepNext w:val="0"/>
        <w:keepLines w:val="0"/>
        <w:adjustRightInd w:val="0"/>
        <w:snapToGrid w:val="0"/>
        <w:spacing w:before="0" w:after="0" w:line="360" w:lineRule="auto"/>
        <w:rPr>
          <w:rFonts w:hint="eastAsia" w:ascii="黑体" w:hAnsi="黑体"/>
          <w:sz w:val="24"/>
          <w:szCs w:val="24"/>
          <w:highlight w:val="none"/>
        </w:rPr>
      </w:pPr>
      <w:bookmarkStart w:id="195" w:name="_Toc20146"/>
      <w:bookmarkStart w:id="196" w:name="_Toc6430"/>
      <w:bookmarkStart w:id="197" w:name="_Toc13838"/>
      <w:bookmarkStart w:id="198" w:name="_Toc17118"/>
      <w:r>
        <w:rPr>
          <w:rFonts w:hint="eastAsia" w:ascii="黑体" w:hAnsi="黑体"/>
          <w:sz w:val="24"/>
          <w:szCs w:val="24"/>
          <w:highlight w:val="none"/>
        </w:rPr>
        <w:t>26.最后报价</w:t>
      </w:r>
      <w:bookmarkEnd w:id="195"/>
      <w:bookmarkEnd w:id="196"/>
      <w:bookmarkEnd w:id="197"/>
      <w:bookmarkEnd w:id="198"/>
    </w:p>
    <w:p w14:paraId="071E412B">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26.1响应文件（包括重新提交的响应文件）按无效处理的，磋商小组不得要求其提交最后报价，也不得接受其提交的最后报价。</w:t>
      </w:r>
    </w:p>
    <w:p w14:paraId="0434C7F9">
      <w:pP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26.2磋商文件能够详细列明采购需求的技术、服务要求的，磋商结束后，磋商小组应当要求所有供应商在规定时间内提交最后报价。</w:t>
      </w:r>
    </w:p>
    <w:p w14:paraId="6CD55129">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26.3磋商文件不能详细列明采购需求的技术、服务要求，需经磋商由供应商提供最终设计方案或者解决方案的，磋商结束后，磋商小组应当按照少数服从多数的原则投票推荐3家以上供应商的设计方案或者解决方案，并要求其在规定时间内提交最后报价。</w:t>
      </w:r>
    </w:p>
    <w:p w14:paraId="4AA225B1">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26.4最后报价是供应商响应文件的有效组成部分，由供应商代表签字或者加盖供应商单位公章。</w:t>
      </w:r>
    </w:p>
    <w:p w14:paraId="16F45E0C">
      <w:pP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26.5符合下列情形的项目，提交最后报价的供应商可以为2家。</w:t>
      </w:r>
    </w:p>
    <w:p w14:paraId="35FE19D1">
      <w:pP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（1）市场竞争不充分的科研项目，以及需要扶持的科技成果转化项目；</w:t>
      </w:r>
    </w:p>
    <w:p w14:paraId="72C9398E">
      <w:pP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（2）政府购买服务项目（含政府和社会资本合作项目）。</w:t>
      </w:r>
    </w:p>
    <w:p w14:paraId="605EC0BF">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26.6下列情形，磋商小组可以直接要求响应文件满足磋商文件全部实质性要求的供应商提交最后报价。</w:t>
      </w:r>
    </w:p>
    <w:p w14:paraId="67198184">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（1）磋商文件未明确可能实质性变动的；</w:t>
      </w:r>
    </w:p>
    <w:p w14:paraId="51AC4E2B">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（2）磋商文件明确可能实质性变动，但磋商小组对供应商提交的首次响应文件的有效性、完整性和响应程度进行审查后，认为磋商文件不需发生实质性变动的。</w:t>
      </w:r>
    </w:p>
    <w:p w14:paraId="0AC451C8">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26.7磋商小组应召集所有提交最后报价的供应商，逐一</w:t>
      </w:r>
      <w:r>
        <w:rPr>
          <w:rFonts w:hint="eastAsia" w:ascii="宋体" w:hAnsi="宋体"/>
          <w:bCs/>
          <w:szCs w:val="21"/>
          <w:highlight w:val="none"/>
        </w:rPr>
        <w:t>公布</w:t>
      </w:r>
      <w:r>
        <w:rPr>
          <w:rFonts w:hint="eastAsia" w:ascii="宋体" w:hAnsi="宋体" w:cs="宋体"/>
          <w:kern w:val="0"/>
          <w:szCs w:val="21"/>
          <w:highlight w:val="none"/>
          <w:lang w:val="zh-CN"/>
        </w:rPr>
        <w:t>供应商的</w:t>
      </w:r>
      <w:r>
        <w:rPr>
          <w:rFonts w:hint="eastAsia" w:ascii="宋体" w:hAnsi="宋体"/>
          <w:bCs/>
          <w:szCs w:val="21"/>
          <w:highlight w:val="none"/>
        </w:rPr>
        <w:t>最</w:t>
      </w:r>
      <w:r>
        <w:rPr>
          <w:rFonts w:hint="eastAsia" w:ascii="宋体" w:hAnsi="宋体" w:cs="宋体"/>
          <w:kern w:val="0"/>
          <w:szCs w:val="21"/>
          <w:highlight w:val="none"/>
          <w:lang w:val="zh-CN"/>
        </w:rPr>
        <w:t>后</w:t>
      </w:r>
      <w:r>
        <w:rPr>
          <w:rFonts w:hint="eastAsia" w:ascii="宋体" w:hAnsi="宋体"/>
          <w:bCs/>
          <w:szCs w:val="21"/>
          <w:highlight w:val="none"/>
        </w:rPr>
        <w:t>报价</w:t>
      </w:r>
      <w:r>
        <w:rPr>
          <w:rFonts w:hint="eastAsia" w:ascii="宋体" w:hAnsi="宋体" w:cs="宋体"/>
          <w:kern w:val="0"/>
          <w:szCs w:val="21"/>
          <w:highlight w:val="none"/>
        </w:rPr>
        <w:t>，由采购人、采购代理机构负责记录，并由供应商代表签字确认后随采购文件一并存档。</w:t>
      </w:r>
    </w:p>
    <w:p w14:paraId="298B07FB">
      <w:pPr>
        <w:pStyle w:val="10"/>
        <w:keepNext w:val="0"/>
        <w:keepLines w:val="0"/>
        <w:adjustRightInd w:val="0"/>
        <w:snapToGrid w:val="0"/>
        <w:spacing w:before="0" w:after="0" w:line="360" w:lineRule="auto"/>
        <w:rPr>
          <w:rFonts w:hint="eastAsia" w:ascii="黑体" w:hAnsi="黑体" w:cs="宋体"/>
          <w:kern w:val="0"/>
          <w:sz w:val="24"/>
          <w:szCs w:val="24"/>
          <w:highlight w:val="none"/>
        </w:rPr>
      </w:pPr>
      <w:bookmarkStart w:id="199" w:name="_Toc28778"/>
      <w:bookmarkStart w:id="200" w:name="_Toc15010"/>
      <w:bookmarkStart w:id="201" w:name="_Toc11387"/>
      <w:bookmarkStart w:id="202" w:name="_Toc17137"/>
      <w:r>
        <w:rPr>
          <w:rFonts w:hint="eastAsia" w:ascii="黑体" w:hAnsi="黑体"/>
          <w:sz w:val="24"/>
          <w:szCs w:val="24"/>
          <w:highlight w:val="none"/>
        </w:rPr>
        <w:t>27.综合评审</w:t>
      </w:r>
      <w:bookmarkEnd w:id="199"/>
      <w:bookmarkEnd w:id="200"/>
      <w:bookmarkEnd w:id="201"/>
      <w:bookmarkEnd w:id="202"/>
    </w:p>
    <w:p w14:paraId="6D3CEC7B">
      <w:pPr>
        <w:adjustRightInd w:val="0"/>
        <w:snapToGrid w:val="0"/>
        <w:spacing w:line="360" w:lineRule="auto"/>
        <w:ind w:firstLine="420" w:firstLineChars="200"/>
        <w:jc w:val="left"/>
        <w:rPr>
          <w:rFonts w:hint="eastAsia" w:ascii="宋体" w:hAnsi="宋体" w:cs="宋体"/>
          <w:kern w:val="0"/>
          <w:szCs w:val="21"/>
          <w:highlight w:val="none"/>
        </w:rPr>
      </w:pPr>
      <w:r>
        <w:rPr>
          <w:rFonts w:hint="eastAsia" w:ascii="宋体" w:hAnsi="宋体"/>
          <w:bCs/>
          <w:szCs w:val="21"/>
          <w:highlight w:val="none"/>
        </w:rPr>
        <w:t>27．1</w:t>
      </w:r>
      <w:r>
        <w:rPr>
          <w:rFonts w:hint="eastAsia" w:ascii="宋体" w:hAnsi="宋体" w:cs="宋体"/>
          <w:kern w:val="0"/>
          <w:szCs w:val="21"/>
          <w:highlight w:val="none"/>
        </w:rPr>
        <w:t>经磋商确定最终采购需求和提交最后报价的供应商后，由磋商小组采用综合评分法对提交最后报价的供应商响应文件和最后报价进行综合评分。</w:t>
      </w:r>
    </w:p>
    <w:p w14:paraId="6C071712">
      <w:pPr>
        <w:adjustRightInd w:val="0"/>
        <w:snapToGrid w:val="0"/>
        <w:spacing w:line="360" w:lineRule="auto"/>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27.2 评审办法及标准见第三章“资格审查及评审方法及标准”。</w:t>
      </w:r>
    </w:p>
    <w:p w14:paraId="4C57A8CD">
      <w:pPr>
        <w:pStyle w:val="10"/>
        <w:keepNext w:val="0"/>
        <w:keepLines w:val="0"/>
        <w:adjustRightInd w:val="0"/>
        <w:snapToGrid w:val="0"/>
        <w:spacing w:before="0" w:after="0" w:line="360" w:lineRule="auto"/>
        <w:rPr>
          <w:rFonts w:hint="eastAsia" w:ascii="黑体" w:hAnsi="黑体"/>
          <w:sz w:val="24"/>
          <w:szCs w:val="24"/>
          <w:highlight w:val="none"/>
        </w:rPr>
      </w:pPr>
      <w:bookmarkStart w:id="203" w:name="_Toc38115948"/>
      <w:bookmarkStart w:id="204" w:name="_Toc27367"/>
      <w:bookmarkStart w:id="205" w:name="_Toc16113"/>
      <w:bookmarkStart w:id="206" w:name="_Toc9516"/>
      <w:bookmarkStart w:id="207" w:name="_Toc12704"/>
      <w:r>
        <w:rPr>
          <w:rFonts w:hint="eastAsia" w:ascii="黑体" w:hAnsi="黑体"/>
          <w:sz w:val="24"/>
          <w:szCs w:val="24"/>
          <w:highlight w:val="none"/>
        </w:rPr>
        <w:t>28.</w:t>
      </w:r>
      <w:bookmarkEnd w:id="203"/>
      <w:r>
        <w:rPr>
          <w:rFonts w:hint="eastAsia" w:ascii="黑体" w:hAnsi="黑体"/>
          <w:sz w:val="24"/>
          <w:szCs w:val="24"/>
          <w:highlight w:val="none"/>
        </w:rPr>
        <w:t>推荐成交候选供应商</w:t>
      </w:r>
      <w:bookmarkEnd w:id="204"/>
      <w:bookmarkEnd w:id="205"/>
      <w:bookmarkEnd w:id="206"/>
      <w:bookmarkEnd w:id="207"/>
    </w:p>
    <w:p w14:paraId="39293AC9">
      <w:pP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28.1磋商小组应当按照综合评分由高到低的顺序推荐3名以上成交候选供应商，并编写评审报告。市场竞争不充分的科研项目、需要扶持的科技成果转化项目，以及政府购买服务项目(含政府和社会资本合作项目)，成交候选供应商可以为2家。</w:t>
      </w:r>
    </w:p>
    <w:p w14:paraId="02D27433">
      <w:pPr>
        <w:pStyle w:val="10"/>
        <w:keepNext w:val="0"/>
        <w:keepLines w:val="0"/>
        <w:adjustRightInd w:val="0"/>
        <w:snapToGrid w:val="0"/>
        <w:spacing w:before="0" w:after="0" w:line="360" w:lineRule="auto"/>
        <w:rPr>
          <w:rFonts w:hint="eastAsia" w:ascii="黑体" w:hAnsi="黑体"/>
          <w:sz w:val="24"/>
          <w:szCs w:val="24"/>
          <w:highlight w:val="none"/>
        </w:rPr>
      </w:pPr>
      <w:bookmarkStart w:id="208" w:name="_Toc30004"/>
      <w:bookmarkStart w:id="209" w:name="_Toc18282"/>
      <w:bookmarkStart w:id="210" w:name="_Toc28297"/>
      <w:bookmarkStart w:id="211" w:name="_Toc10723"/>
      <w:r>
        <w:rPr>
          <w:rFonts w:hint="eastAsia" w:ascii="黑体" w:hAnsi="黑体"/>
          <w:sz w:val="24"/>
          <w:szCs w:val="24"/>
          <w:highlight w:val="none"/>
        </w:rPr>
        <w:t>29.确定成交供应商</w:t>
      </w:r>
      <w:bookmarkEnd w:id="208"/>
      <w:bookmarkEnd w:id="209"/>
      <w:bookmarkEnd w:id="210"/>
      <w:bookmarkEnd w:id="211"/>
    </w:p>
    <w:p w14:paraId="0F0E60C1">
      <w:pPr>
        <w:adjustRightInd w:val="0"/>
        <w:snapToGrid w:val="0"/>
        <w:spacing w:line="360" w:lineRule="auto"/>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29.1采购代理机构应当在评审结束后2个工作日内将评审报告送采购人确认。</w:t>
      </w:r>
    </w:p>
    <w:p w14:paraId="61BDF1FC">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29.2采购人应当在收到评审报告后5个工作日内，从评审报告提出的成交候选供应商中，按照排序由高到低的原则确定成交供应商，也可以书面授权磋商小组直接确定成交供应商。</w:t>
      </w:r>
    </w:p>
    <w:p w14:paraId="6E9D69C7">
      <w:pPr>
        <w:pStyle w:val="10"/>
        <w:keepNext w:val="0"/>
        <w:keepLines w:val="0"/>
        <w:adjustRightInd w:val="0"/>
        <w:snapToGrid w:val="0"/>
        <w:spacing w:before="0" w:after="0" w:line="360" w:lineRule="auto"/>
        <w:rPr>
          <w:rFonts w:hint="eastAsia" w:ascii="黑体" w:hAnsi="黑体"/>
          <w:sz w:val="24"/>
          <w:szCs w:val="24"/>
          <w:highlight w:val="none"/>
        </w:rPr>
      </w:pPr>
      <w:bookmarkStart w:id="212" w:name="_Toc3555"/>
      <w:bookmarkStart w:id="213" w:name="_Toc11482"/>
      <w:bookmarkStart w:id="214" w:name="_Toc16497"/>
      <w:bookmarkStart w:id="215" w:name="_Toc1255"/>
      <w:r>
        <w:rPr>
          <w:rFonts w:hint="eastAsia" w:ascii="黑体" w:hAnsi="黑体"/>
          <w:sz w:val="24"/>
          <w:szCs w:val="24"/>
          <w:highlight w:val="none"/>
        </w:rPr>
        <w:t>30.保密</w:t>
      </w:r>
      <w:bookmarkEnd w:id="212"/>
      <w:bookmarkEnd w:id="213"/>
      <w:bookmarkEnd w:id="214"/>
      <w:bookmarkEnd w:id="215"/>
    </w:p>
    <w:p w14:paraId="6BA5BEFC">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30.1磋商小组成员以及与评审工作有关的人员不得泄露评审情况以及评审过程中获悉的国家秘密、商业秘密。</w:t>
      </w:r>
    </w:p>
    <w:p w14:paraId="0CD0A40F">
      <w:pPr>
        <w:pStyle w:val="10"/>
        <w:keepNext w:val="0"/>
        <w:keepLines w:val="0"/>
        <w:spacing w:before="0" w:after="0" w:line="360" w:lineRule="auto"/>
        <w:rPr>
          <w:rFonts w:hint="eastAsia" w:ascii="黑体" w:hAnsi="黑体"/>
          <w:sz w:val="24"/>
          <w:szCs w:val="24"/>
          <w:highlight w:val="none"/>
        </w:rPr>
      </w:pPr>
      <w:bookmarkStart w:id="216" w:name="_Toc23264"/>
      <w:bookmarkStart w:id="217" w:name="_Toc19100"/>
      <w:bookmarkStart w:id="218" w:name="_Toc31602"/>
      <w:bookmarkStart w:id="219" w:name="_Toc11851"/>
      <w:r>
        <w:rPr>
          <w:rFonts w:hint="eastAsia" w:ascii="黑体" w:hAnsi="黑体"/>
          <w:sz w:val="24"/>
          <w:szCs w:val="24"/>
          <w:highlight w:val="none"/>
        </w:rPr>
        <w:t>31.公平竞争</w:t>
      </w:r>
      <w:bookmarkEnd w:id="216"/>
      <w:bookmarkEnd w:id="217"/>
      <w:bookmarkEnd w:id="218"/>
      <w:bookmarkEnd w:id="219"/>
    </w:p>
    <w:p w14:paraId="2BB30F9C">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31.1在磋商过程中发现供应商有不遵循公平竞争的原则，恶意串通，妨碍其他供应商的竞争行为，损害采购人或者其他供应商的合法权益的，磋商小组应当认定其响应无效，并书面报告本级财政部门。</w:t>
      </w:r>
    </w:p>
    <w:p w14:paraId="5831482E">
      <w:pPr>
        <w:pStyle w:val="9"/>
        <w:keepNext w:val="0"/>
        <w:keepLines w:val="0"/>
        <w:adjustRightInd w:val="0"/>
        <w:snapToGrid w:val="0"/>
        <w:spacing w:before="0" w:after="0" w:line="360" w:lineRule="auto"/>
        <w:jc w:val="center"/>
        <w:rPr>
          <w:rFonts w:hint="eastAsia" w:ascii="黑体" w:hAnsi="黑体" w:eastAsia="黑体"/>
          <w:sz w:val="28"/>
          <w:szCs w:val="28"/>
          <w:highlight w:val="none"/>
        </w:rPr>
      </w:pPr>
      <w:bookmarkStart w:id="220" w:name="_Toc13662"/>
      <w:bookmarkStart w:id="221" w:name="_Toc6243"/>
      <w:bookmarkStart w:id="222" w:name="_Toc6357"/>
      <w:bookmarkStart w:id="223" w:name="_Toc12133"/>
      <w:r>
        <w:rPr>
          <w:rFonts w:hint="eastAsia" w:ascii="黑体" w:hAnsi="黑体" w:eastAsia="黑体"/>
          <w:sz w:val="28"/>
          <w:szCs w:val="28"/>
          <w:highlight w:val="none"/>
        </w:rPr>
        <w:t>六、成交结果信息公布与授予合同</w:t>
      </w:r>
      <w:bookmarkEnd w:id="220"/>
      <w:bookmarkEnd w:id="221"/>
      <w:bookmarkEnd w:id="222"/>
      <w:bookmarkEnd w:id="223"/>
    </w:p>
    <w:p w14:paraId="4D187AFB">
      <w:pPr>
        <w:pStyle w:val="10"/>
        <w:keepNext w:val="0"/>
        <w:keepLines w:val="0"/>
        <w:adjustRightInd w:val="0"/>
        <w:snapToGrid w:val="0"/>
        <w:spacing w:before="0" w:after="0" w:line="360" w:lineRule="auto"/>
        <w:rPr>
          <w:rFonts w:hint="eastAsia" w:ascii="黑体" w:hAnsi="黑体"/>
          <w:sz w:val="24"/>
          <w:szCs w:val="24"/>
          <w:highlight w:val="none"/>
        </w:rPr>
      </w:pPr>
      <w:bookmarkStart w:id="224" w:name="_Toc14708"/>
      <w:bookmarkStart w:id="225" w:name="_Toc25164"/>
      <w:bookmarkStart w:id="226" w:name="_Toc14822"/>
      <w:bookmarkStart w:id="227" w:name="_Toc24703"/>
      <w:r>
        <w:rPr>
          <w:rFonts w:hint="eastAsia" w:ascii="黑体" w:hAnsi="黑体"/>
          <w:sz w:val="24"/>
          <w:szCs w:val="24"/>
          <w:highlight w:val="none"/>
        </w:rPr>
        <w:t>32.成交信息的公布与成交通知书</w:t>
      </w:r>
      <w:bookmarkEnd w:id="224"/>
      <w:bookmarkEnd w:id="225"/>
      <w:bookmarkEnd w:id="226"/>
      <w:bookmarkEnd w:id="227"/>
    </w:p>
    <w:p w14:paraId="64A59FB2">
      <w:pPr>
        <w:pStyle w:val="30"/>
        <w:adjustRightInd w:val="0"/>
        <w:snapToGrid w:val="0"/>
        <w:spacing w:line="360" w:lineRule="auto"/>
        <w:ind w:firstLine="420" w:firstLineChars="200"/>
        <w:rPr>
          <w:rFonts w:hint="eastAsia" w:hAnsi="宋体"/>
          <w:highlight w:val="none"/>
        </w:rPr>
      </w:pPr>
      <w:r>
        <w:rPr>
          <w:rFonts w:hint="eastAsia" w:hAnsi="宋体"/>
          <w:highlight w:val="none"/>
        </w:rPr>
        <w:t>32.1采购人、采购代理机构应当自采购人确定成交供应商之日起2个工作日内，发出成交通知书，并在</w:t>
      </w:r>
      <w:r>
        <w:rPr>
          <w:rFonts w:hint="eastAsia" w:hAnsi="宋体"/>
          <w:b/>
          <w:highlight w:val="none"/>
        </w:rPr>
        <w:t>【磋商须知前附表】</w:t>
      </w:r>
      <w:r>
        <w:rPr>
          <w:rFonts w:hint="eastAsia" w:hAnsi="宋体"/>
          <w:highlight w:val="none"/>
        </w:rPr>
        <w:t>指定媒体上公告成交结果，成交供应商的《中小企业声明函》随成交结果同时公告，成交结果公告期限为１个工作日。</w:t>
      </w:r>
    </w:p>
    <w:p w14:paraId="2C022A8A">
      <w:pPr>
        <w:pStyle w:val="30"/>
        <w:adjustRightInd w:val="0"/>
        <w:snapToGrid w:val="0"/>
        <w:spacing w:line="360" w:lineRule="auto"/>
        <w:ind w:firstLine="420" w:firstLineChars="200"/>
        <w:rPr>
          <w:rFonts w:hint="eastAsia" w:hAnsi="宋体"/>
          <w:highlight w:val="none"/>
        </w:rPr>
      </w:pPr>
      <w:r>
        <w:rPr>
          <w:rFonts w:hint="eastAsia" w:hAnsi="宋体"/>
          <w:highlight w:val="none"/>
        </w:rPr>
        <w:t>32.2成交供应商确定后，采购人、采购代理机构将以书面形式向成交供应商发出成交通知书。成交通知书对采购人和成交供应商具有同等法律效力。</w:t>
      </w:r>
    </w:p>
    <w:p w14:paraId="190179D4">
      <w:pPr>
        <w:pStyle w:val="30"/>
        <w:adjustRightInd w:val="0"/>
        <w:snapToGrid w:val="0"/>
        <w:spacing w:line="360" w:lineRule="auto"/>
        <w:ind w:firstLine="420" w:firstLineChars="200"/>
        <w:rPr>
          <w:rFonts w:hint="eastAsia" w:hAnsi="宋体"/>
          <w:highlight w:val="none"/>
        </w:rPr>
      </w:pPr>
      <w:r>
        <w:rPr>
          <w:rFonts w:hint="eastAsia" w:hAnsi="宋体"/>
          <w:highlight w:val="none"/>
        </w:rPr>
        <w:t>32.3成交通知书是合同文件的组成部分。</w:t>
      </w:r>
    </w:p>
    <w:p w14:paraId="78A42F0B">
      <w:pPr>
        <w:pStyle w:val="10"/>
        <w:keepNext w:val="0"/>
        <w:keepLines w:val="0"/>
        <w:adjustRightInd w:val="0"/>
        <w:snapToGrid w:val="0"/>
        <w:spacing w:before="0" w:after="0" w:line="360" w:lineRule="auto"/>
        <w:rPr>
          <w:rFonts w:hint="eastAsia" w:ascii="黑体" w:hAnsi="黑体"/>
          <w:sz w:val="24"/>
          <w:szCs w:val="24"/>
          <w:highlight w:val="none"/>
        </w:rPr>
      </w:pPr>
      <w:bookmarkStart w:id="228" w:name="_Toc1479"/>
      <w:bookmarkStart w:id="229" w:name="_Toc10930"/>
      <w:bookmarkStart w:id="230" w:name="_Toc347"/>
      <w:bookmarkStart w:id="231" w:name="_Toc4999"/>
      <w:r>
        <w:rPr>
          <w:rFonts w:hint="eastAsia" w:ascii="黑体" w:hAnsi="黑体"/>
          <w:sz w:val="24"/>
          <w:szCs w:val="24"/>
          <w:highlight w:val="none"/>
        </w:rPr>
        <w:t>33.询问及质疑</w:t>
      </w:r>
      <w:bookmarkEnd w:id="228"/>
      <w:bookmarkEnd w:id="229"/>
      <w:bookmarkEnd w:id="230"/>
      <w:bookmarkEnd w:id="231"/>
    </w:p>
    <w:p w14:paraId="62CDA8E3">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33.1供应商对政府采购活动事项有疑问的，可以向采购人、采购代理机构提出询问。</w:t>
      </w:r>
    </w:p>
    <w:p w14:paraId="2F33E7FA">
      <w:pPr>
        <w:adjustRightInd w:val="0"/>
        <w:snapToGrid w:val="0"/>
        <w:spacing w:line="360" w:lineRule="auto"/>
        <w:ind w:firstLine="420" w:firstLineChars="200"/>
        <w:jc w:val="left"/>
        <w:rPr>
          <w:rFonts w:hint="eastAsia" w:hAnsi="宋体"/>
          <w:highlight w:val="none"/>
        </w:rPr>
      </w:pPr>
      <w:r>
        <w:rPr>
          <w:rFonts w:hint="eastAsia" w:ascii="宋体" w:hAnsi="宋体"/>
          <w:szCs w:val="21"/>
          <w:highlight w:val="none"/>
        </w:rPr>
        <w:t>33.2供应商若认为磋商文件、采购过程和成交结果使自己的权益受到损害，可以按法律、规章及《湖南省财政厅关于印发＜政府采购质疑答复和投诉处理操作规程＞的通知》(湘财购〔2024〕67号)文件规定向采购人、采购代理机构提出质疑。</w:t>
      </w:r>
    </w:p>
    <w:p w14:paraId="21FC3A6E">
      <w:pPr>
        <w:pStyle w:val="10"/>
        <w:keepNext w:val="0"/>
        <w:keepLines w:val="0"/>
        <w:adjustRightInd w:val="0"/>
        <w:snapToGrid w:val="0"/>
        <w:spacing w:before="0" w:after="0" w:line="360" w:lineRule="auto"/>
        <w:rPr>
          <w:rFonts w:hint="eastAsia" w:ascii="黑体" w:hAnsi="黑体"/>
          <w:sz w:val="24"/>
          <w:szCs w:val="24"/>
          <w:highlight w:val="none"/>
        </w:rPr>
      </w:pPr>
      <w:bookmarkStart w:id="232" w:name="_Toc6388"/>
      <w:bookmarkStart w:id="233" w:name="_Toc1177"/>
      <w:bookmarkStart w:id="234" w:name="_Toc20013"/>
      <w:bookmarkStart w:id="235" w:name="_Toc30187"/>
      <w:r>
        <w:rPr>
          <w:rFonts w:hint="eastAsia" w:ascii="黑体" w:hAnsi="黑体"/>
          <w:sz w:val="24"/>
          <w:szCs w:val="24"/>
          <w:highlight w:val="none"/>
        </w:rPr>
        <w:t>34.履约担保</w:t>
      </w:r>
      <w:bookmarkEnd w:id="232"/>
      <w:bookmarkEnd w:id="233"/>
      <w:bookmarkEnd w:id="234"/>
      <w:bookmarkEnd w:id="235"/>
    </w:p>
    <w:p w14:paraId="5A73081B">
      <w:pPr>
        <w:tabs>
          <w:tab w:val="left" w:pos="7560"/>
          <w:tab w:val="left" w:pos="7740"/>
          <w:tab w:val="left" w:pos="7920"/>
        </w:tabs>
        <w:autoSpaceDN w:val="0"/>
        <w:adjustRightInd w:val="0"/>
        <w:snapToGrid w:val="0"/>
        <w:spacing w:line="360" w:lineRule="auto"/>
        <w:ind w:firstLine="420" w:firstLineChars="200"/>
        <w:rPr>
          <w:rFonts w:hint="eastAsia" w:ascii="宋体" w:hAnsi="宋体"/>
          <w:szCs w:val="21"/>
          <w:highlight w:val="none"/>
        </w:rPr>
      </w:pPr>
      <w:r>
        <w:rPr>
          <w:rFonts w:hint="eastAsia" w:ascii="宋体" w:hAnsi="宋体" w:cs="宋体"/>
          <w:kern w:val="0"/>
          <w:szCs w:val="21"/>
          <w:highlight w:val="none"/>
        </w:rPr>
        <w:t>34.1</w:t>
      </w:r>
      <w:r>
        <w:rPr>
          <w:rFonts w:hint="eastAsia" w:ascii="宋体" w:hAnsi="宋体"/>
          <w:szCs w:val="21"/>
          <w:highlight w:val="none"/>
        </w:rPr>
        <w:t>磋商文件要求成交供应商向采购人提交履约担保的，成交供应商应按照</w:t>
      </w:r>
      <w:r>
        <w:rPr>
          <w:rFonts w:hint="eastAsia" w:ascii="宋体" w:hAnsi="宋体"/>
          <w:b/>
          <w:szCs w:val="21"/>
          <w:highlight w:val="none"/>
        </w:rPr>
        <w:t>【磋商须知前附表】</w:t>
      </w:r>
      <w:r>
        <w:rPr>
          <w:rFonts w:hint="eastAsia" w:ascii="宋体" w:hAnsi="宋体"/>
          <w:szCs w:val="21"/>
          <w:highlight w:val="none"/>
        </w:rPr>
        <w:t>的规定提交。联合体成交的，履约担保由联合体各方或者联合体中牵头人的名义提交。</w:t>
      </w:r>
    </w:p>
    <w:p w14:paraId="6357DBED">
      <w:pPr>
        <w:pStyle w:val="30"/>
        <w:adjustRightInd w:val="0"/>
        <w:snapToGrid w:val="0"/>
        <w:spacing w:line="360" w:lineRule="auto"/>
        <w:ind w:firstLine="420" w:firstLineChars="200"/>
        <w:rPr>
          <w:rFonts w:hint="eastAsia" w:hAnsi="宋体"/>
          <w:highlight w:val="none"/>
        </w:rPr>
      </w:pPr>
      <w:r>
        <w:rPr>
          <w:rFonts w:hint="eastAsia" w:hAnsi="宋体"/>
          <w:highlight w:val="none"/>
        </w:rPr>
        <w:t>34.2成交供应商</w:t>
      </w:r>
      <w:r>
        <w:rPr>
          <w:rFonts w:hint="eastAsia" w:hAnsi="宋体"/>
          <w:spacing w:val="4"/>
          <w:highlight w:val="none"/>
        </w:rPr>
        <w:t>没有按照本章第34.1</w:t>
      </w:r>
      <w:r>
        <w:rPr>
          <w:rFonts w:hint="eastAsia" w:hAnsi="宋体" w:cs="宋体"/>
          <w:kern w:val="0"/>
          <w:highlight w:val="none"/>
          <w:lang w:val="zh-CN"/>
        </w:rPr>
        <w:t>款</w:t>
      </w:r>
      <w:r>
        <w:rPr>
          <w:rFonts w:hint="eastAsia" w:hAnsi="宋体"/>
          <w:spacing w:val="4"/>
          <w:highlight w:val="none"/>
        </w:rPr>
        <w:t>规定</w:t>
      </w:r>
      <w:r>
        <w:rPr>
          <w:rFonts w:hint="eastAsia" w:hAnsi="宋体"/>
          <w:highlight w:val="none"/>
        </w:rPr>
        <w:t>提交履约担保的</w:t>
      </w:r>
      <w:r>
        <w:rPr>
          <w:rFonts w:hint="eastAsia" w:hAnsi="宋体"/>
          <w:spacing w:val="4"/>
          <w:highlight w:val="none"/>
        </w:rPr>
        <w:t>，视为放弃</w:t>
      </w:r>
      <w:r>
        <w:rPr>
          <w:rFonts w:hint="eastAsia" w:hAnsi="宋体"/>
          <w:highlight w:val="none"/>
        </w:rPr>
        <w:t>成交资格</w:t>
      </w:r>
      <w:r>
        <w:rPr>
          <w:rFonts w:hint="eastAsia" w:hAnsi="宋体"/>
          <w:spacing w:val="4"/>
          <w:highlight w:val="none"/>
        </w:rPr>
        <w:t>，</w:t>
      </w:r>
      <w:r>
        <w:rPr>
          <w:rFonts w:hint="eastAsia" w:hAnsi="宋体"/>
          <w:spacing w:val="2"/>
          <w:highlight w:val="none"/>
        </w:rPr>
        <w:t>其保证金不予退还。</w:t>
      </w:r>
    </w:p>
    <w:p w14:paraId="09E7C518">
      <w:pPr>
        <w:pStyle w:val="10"/>
        <w:keepNext w:val="0"/>
        <w:keepLines w:val="0"/>
        <w:adjustRightInd w:val="0"/>
        <w:snapToGrid w:val="0"/>
        <w:spacing w:before="0" w:after="0" w:line="360" w:lineRule="auto"/>
        <w:rPr>
          <w:rFonts w:hint="eastAsia" w:ascii="黑体" w:hAnsi="黑体"/>
          <w:sz w:val="24"/>
          <w:szCs w:val="24"/>
          <w:highlight w:val="none"/>
        </w:rPr>
      </w:pPr>
      <w:bookmarkStart w:id="236" w:name="_Toc17845"/>
      <w:bookmarkStart w:id="237" w:name="_Toc21687"/>
      <w:bookmarkStart w:id="238" w:name="_Toc6277"/>
      <w:bookmarkStart w:id="239" w:name="_Toc12568"/>
      <w:r>
        <w:rPr>
          <w:rFonts w:hint="eastAsia" w:ascii="黑体" w:hAnsi="黑体"/>
          <w:sz w:val="24"/>
          <w:szCs w:val="24"/>
          <w:highlight w:val="none"/>
        </w:rPr>
        <w:t>35.签订合同</w:t>
      </w:r>
      <w:bookmarkEnd w:id="236"/>
      <w:bookmarkEnd w:id="237"/>
      <w:bookmarkEnd w:id="238"/>
      <w:bookmarkEnd w:id="239"/>
    </w:p>
    <w:p w14:paraId="0AA7EE7C">
      <w:pPr>
        <w:pStyle w:val="30"/>
        <w:adjustRightInd w:val="0"/>
        <w:snapToGrid w:val="0"/>
        <w:spacing w:line="360" w:lineRule="auto"/>
        <w:ind w:firstLine="420" w:firstLineChars="200"/>
        <w:rPr>
          <w:rFonts w:hint="eastAsia" w:hAnsi="宋体"/>
          <w:highlight w:val="none"/>
        </w:rPr>
      </w:pPr>
      <w:r>
        <w:rPr>
          <w:rFonts w:hint="eastAsia" w:hAnsi="宋体"/>
          <w:highlight w:val="none"/>
        </w:rPr>
        <w:t>35.1磋商文件、成交供应商的响应文件及其补充的响应文件等均为签订政府采购合同的依据。</w:t>
      </w:r>
    </w:p>
    <w:p w14:paraId="6A3E2EA1">
      <w:pPr>
        <w:pStyle w:val="30"/>
        <w:adjustRightInd w:val="0"/>
        <w:snapToGrid w:val="0"/>
        <w:spacing w:line="360" w:lineRule="auto"/>
        <w:ind w:firstLine="420" w:firstLineChars="200"/>
        <w:rPr>
          <w:rFonts w:hint="eastAsia" w:hAnsi="宋体"/>
          <w:highlight w:val="none"/>
        </w:rPr>
      </w:pPr>
      <w:r>
        <w:rPr>
          <w:rFonts w:hint="eastAsia" w:hAnsi="宋体"/>
          <w:highlight w:val="none"/>
        </w:rPr>
        <w:t>35.2成交供应商应当在成交通知书发出之日起30日内与采购人签订政府采购合同。</w:t>
      </w:r>
    </w:p>
    <w:p w14:paraId="10208A1E">
      <w:pPr>
        <w:pStyle w:val="30"/>
        <w:adjustRightInd w:val="0"/>
        <w:snapToGrid w:val="0"/>
        <w:spacing w:line="360" w:lineRule="auto"/>
        <w:ind w:firstLine="420" w:firstLineChars="200"/>
        <w:rPr>
          <w:rFonts w:hint="eastAsia" w:hAnsi="宋体"/>
          <w:highlight w:val="none"/>
        </w:rPr>
      </w:pPr>
      <w:r>
        <w:rPr>
          <w:rFonts w:hint="eastAsia" w:hAnsi="宋体"/>
          <w:highlight w:val="none"/>
        </w:rPr>
        <w:t>35.3成交供应商应当按照合同约定履行义务。成交供应商不得向他人转让成交项目，也不得将成交项目分包后分别向他人转让。</w:t>
      </w:r>
    </w:p>
    <w:p w14:paraId="057555EF">
      <w:pPr>
        <w:pStyle w:val="10"/>
        <w:spacing w:before="0" w:after="0" w:line="360" w:lineRule="auto"/>
        <w:rPr>
          <w:rFonts w:hint="eastAsia" w:ascii="黑体" w:hAnsi="黑体"/>
          <w:sz w:val="24"/>
          <w:szCs w:val="24"/>
          <w:highlight w:val="none"/>
        </w:rPr>
      </w:pPr>
      <w:bookmarkStart w:id="240" w:name="_Toc31737"/>
      <w:bookmarkStart w:id="241" w:name="_Toc18566"/>
      <w:bookmarkStart w:id="242" w:name="_Toc6326"/>
      <w:bookmarkStart w:id="243" w:name="_Toc23258"/>
      <w:r>
        <w:rPr>
          <w:rFonts w:hint="eastAsia" w:ascii="黑体" w:hAnsi="黑体"/>
          <w:sz w:val="24"/>
          <w:szCs w:val="24"/>
          <w:highlight w:val="none"/>
        </w:rPr>
        <w:t>36.禁止行为</w:t>
      </w:r>
      <w:bookmarkEnd w:id="240"/>
      <w:bookmarkEnd w:id="241"/>
      <w:bookmarkEnd w:id="242"/>
      <w:bookmarkEnd w:id="243"/>
    </w:p>
    <w:p w14:paraId="4FD31CCE">
      <w:pPr>
        <w:pStyle w:val="30"/>
        <w:adjustRightInd w:val="0"/>
        <w:snapToGrid w:val="0"/>
        <w:spacing w:line="360" w:lineRule="auto"/>
        <w:ind w:firstLine="420" w:firstLineChars="200"/>
        <w:rPr>
          <w:rFonts w:hint="eastAsia" w:hAnsi="宋体"/>
          <w:highlight w:val="none"/>
        </w:rPr>
      </w:pPr>
      <w:r>
        <w:rPr>
          <w:rFonts w:hint="eastAsia" w:hAnsi="宋体"/>
          <w:highlight w:val="none"/>
        </w:rPr>
        <w:t>36.1 供应商不得与采购人、采购代理机构、其他供应商恶意串通；不得向采购人、采购代理机构或者磋商小组成员行贿或者提供其他不正当利益；不得提供虚假材料谋取成交；不得以任何方式干扰、影响采购工作。</w:t>
      </w:r>
    </w:p>
    <w:p w14:paraId="62B6B28C">
      <w:pPr>
        <w:pStyle w:val="30"/>
        <w:adjustRightInd w:val="0"/>
        <w:snapToGrid w:val="0"/>
        <w:spacing w:line="360" w:lineRule="auto"/>
        <w:ind w:firstLine="420" w:firstLineChars="200"/>
        <w:rPr>
          <w:rFonts w:hint="eastAsia" w:hAnsi="宋体"/>
          <w:highlight w:val="none"/>
        </w:rPr>
      </w:pPr>
      <w:r>
        <w:rPr>
          <w:rFonts w:hint="eastAsia" w:hAnsi="宋体"/>
          <w:highlight w:val="none"/>
        </w:rPr>
        <w:t>36.2成交供应商有下列情形之一的，责令限期改正，情节严重的，列入不良行为记录名单，在1至3年内禁止参加政府采购活动，并予以通报：</w:t>
      </w:r>
    </w:p>
    <w:p w14:paraId="0EB7EB33">
      <w:pPr>
        <w:pStyle w:val="30"/>
        <w:adjustRightInd w:val="0"/>
        <w:snapToGrid w:val="0"/>
        <w:spacing w:line="360" w:lineRule="auto"/>
        <w:ind w:firstLine="420" w:firstLineChars="200"/>
        <w:rPr>
          <w:rFonts w:hint="eastAsia" w:hAnsi="宋体"/>
          <w:highlight w:val="none"/>
        </w:rPr>
      </w:pPr>
      <w:r>
        <w:rPr>
          <w:rFonts w:hint="eastAsia" w:hAnsi="宋体"/>
          <w:highlight w:val="none"/>
        </w:rPr>
        <w:t>（1）成交后无正当理由不与采购人签订合同的；</w:t>
      </w:r>
    </w:p>
    <w:p w14:paraId="7166574C">
      <w:pPr>
        <w:pStyle w:val="30"/>
        <w:adjustRightInd w:val="0"/>
        <w:snapToGrid w:val="0"/>
        <w:spacing w:line="360" w:lineRule="auto"/>
        <w:ind w:firstLine="420" w:firstLineChars="200"/>
        <w:rPr>
          <w:rFonts w:hint="eastAsia" w:hAnsi="宋体"/>
          <w:highlight w:val="none"/>
        </w:rPr>
      </w:pPr>
      <w:r>
        <w:rPr>
          <w:rFonts w:hint="eastAsia" w:hAnsi="宋体"/>
          <w:highlight w:val="none"/>
        </w:rPr>
        <w:t>（2）未按照磋商文件确定的事项签订政府采购合同，或者与采购人另行订立背离合同实质性内容的协议的；</w:t>
      </w:r>
    </w:p>
    <w:p w14:paraId="54F4BFC7">
      <w:pPr>
        <w:pStyle w:val="30"/>
        <w:adjustRightInd w:val="0"/>
        <w:snapToGrid w:val="0"/>
        <w:spacing w:line="360" w:lineRule="auto"/>
        <w:ind w:firstLine="420" w:firstLineChars="200"/>
        <w:rPr>
          <w:rFonts w:hint="eastAsia" w:hAnsi="宋体"/>
          <w:highlight w:val="none"/>
        </w:rPr>
      </w:pPr>
      <w:r>
        <w:rPr>
          <w:rFonts w:hint="eastAsia" w:hAnsi="宋体"/>
          <w:highlight w:val="none"/>
        </w:rPr>
        <w:t>（3）拒绝履行合同义务的；</w:t>
      </w:r>
    </w:p>
    <w:p w14:paraId="2D8F7344">
      <w:pPr>
        <w:pStyle w:val="30"/>
        <w:adjustRightInd w:val="0"/>
        <w:snapToGrid w:val="0"/>
        <w:spacing w:line="360" w:lineRule="auto"/>
        <w:ind w:firstLine="420" w:firstLineChars="200"/>
        <w:rPr>
          <w:rFonts w:hint="eastAsia" w:hAnsi="宋体" w:cs="宋体"/>
          <w:kern w:val="0"/>
          <w:highlight w:val="none"/>
        </w:rPr>
      </w:pPr>
      <w:r>
        <w:rPr>
          <w:rFonts w:hint="eastAsia" w:hAnsi="宋体"/>
          <w:highlight w:val="none"/>
        </w:rPr>
        <w:t>（4）</w:t>
      </w:r>
      <w:r>
        <w:rPr>
          <w:rFonts w:hint="eastAsia" w:hAnsi="宋体" w:cs="宋体"/>
          <w:kern w:val="0"/>
          <w:highlight w:val="none"/>
        </w:rPr>
        <w:t>违反法律、规章、规范性文件规定的。</w:t>
      </w:r>
    </w:p>
    <w:p w14:paraId="2125E8A4">
      <w:pPr>
        <w:pStyle w:val="9"/>
        <w:keepNext w:val="0"/>
        <w:keepLines w:val="0"/>
        <w:adjustRightInd w:val="0"/>
        <w:snapToGrid w:val="0"/>
        <w:spacing w:before="0" w:after="0" w:line="360" w:lineRule="auto"/>
        <w:jc w:val="center"/>
        <w:rPr>
          <w:rFonts w:hint="eastAsia" w:ascii="黑体" w:hAnsi="黑体" w:eastAsia="黑体"/>
          <w:sz w:val="28"/>
          <w:szCs w:val="28"/>
          <w:highlight w:val="none"/>
        </w:rPr>
      </w:pPr>
      <w:bookmarkStart w:id="244" w:name="_Toc27982"/>
      <w:bookmarkStart w:id="245" w:name="_Toc20517"/>
      <w:bookmarkStart w:id="246" w:name="_Toc22201076"/>
      <w:bookmarkStart w:id="247" w:name="_Toc7793"/>
      <w:bookmarkStart w:id="248" w:name="_Toc11138"/>
      <w:r>
        <w:rPr>
          <w:rFonts w:hint="eastAsia" w:ascii="黑体" w:hAnsi="黑体" w:eastAsia="黑体"/>
          <w:sz w:val="28"/>
          <w:szCs w:val="28"/>
          <w:highlight w:val="none"/>
        </w:rPr>
        <w:t>七、政府采购政策</w:t>
      </w:r>
      <w:bookmarkEnd w:id="244"/>
      <w:bookmarkEnd w:id="245"/>
      <w:bookmarkEnd w:id="246"/>
      <w:bookmarkEnd w:id="247"/>
      <w:bookmarkEnd w:id="248"/>
    </w:p>
    <w:p w14:paraId="1B74BAA2">
      <w:pPr>
        <w:pStyle w:val="10"/>
        <w:keepNext w:val="0"/>
        <w:keepLines w:val="0"/>
        <w:adjustRightInd w:val="0"/>
        <w:snapToGrid w:val="0"/>
        <w:spacing w:before="0" w:after="0" w:line="360" w:lineRule="auto"/>
        <w:rPr>
          <w:rFonts w:hint="eastAsia" w:ascii="黑体" w:hAnsi="黑体"/>
          <w:sz w:val="24"/>
          <w:szCs w:val="24"/>
          <w:highlight w:val="none"/>
        </w:rPr>
      </w:pPr>
      <w:bookmarkStart w:id="249" w:name="_Toc25928"/>
      <w:bookmarkStart w:id="250" w:name="_Toc3544"/>
      <w:bookmarkStart w:id="251" w:name="_Toc2375"/>
      <w:bookmarkStart w:id="252" w:name="_Toc9160"/>
      <w:r>
        <w:rPr>
          <w:rFonts w:hint="eastAsia" w:ascii="黑体" w:hAnsi="黑体"/>
          <w:sz w:val="24"/>
          <w:szCs w:val="24"/>
          <w:highlight w:val="none"/>
        </w:rPr>
        <w:t>37.预留采购份额</w:t>
      </w:r>
      <w:bookmarkEnd w:id="249"/>
      <w:bookmarkEnd w:id="250"/>
      <w:bookmarkEnd w:id="251"/>
      <w:bookmarkEnd w:id="252"/>
    </w:p>
    <w:p w14:paraId="45D5A713">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37.1本章第1.2款规定采购项目或者采购包属于“预留采购份额”的，预留份额的实施措施及相关要求见</w:t>
      </w:r>
      <w:r>
        <w:rPr>
          <w:rFonts w:hint="eastAsia" w:ascii="宋体" w:hAnsi="宋体"/>
          <w:b/>
          <w:szCs w:val="21"/>
          <w:highlight w:val="none"/>
        </w:rPr>
        <w:t>【磋商须知前附表】</w:t>
      </w:r>
      <w:r>
        <w:rPr>
          <w:rFonts w:hint="eastAsia" w:ascii="宋体" w:hAnsi="宋体"/>
          <w:szCs w:val="21"/>
          <w:highlight w:val="none"/>
        </w:rPr>
        <w:t>。</w:t>
      </w:r>
    </w:p>
    <w:p w14:paraId="215CDCEE">
      <w:pPr>
        <w:pStyle w:val="10"/>
        <w:keepNext w:val="0"/>
        <w:keepLines w:val="0"/>
        <w:adjustRightInd w:val="0"/>
        <w:snapToGrid w:val="0"/>
        <w:spacing w:before="0" w:after="0" w:line="360" w:lineRule="auto"/>
        <w:rPr>
          <w:rFonts w:hint="eastAsia" w:ascii="黑体" w:hAnsi="黑体"/>
          <w:sz w:val="24"/>
          <w:szCs w:val="24"/>
          <w:highlight w:val="none"/>
        </w:rPr>
      </w:pPr>
      <w:bookmarkStart w:id="253" w:name="_Toc22013"/>
      <w:bookmarkStart w:id="254" w:name="_Toc5437"/>
      <w:bookmarkStart w:id="255" w:name="_Toc19426"/>
      <w:bookmarkStart w:id="256" w:name="_Toc20304"/>
      <w:r>
        <w:rPr>
          <w:rFonts w:hint="eastAsia" w:ascii="黑体" w:hAnsi="黑体"/>
          <w:sz w:val="24"/>
          <w:szCs w:val="24"/>
          <w:highlight w:val="none"/>
        </w:rPr>
        <w:t>38.强制采购</w:t>
      </w:r>
      <w:bookmarkEnd w:id="253"/>
      <w:bookmarkEnd w:id="254"/>
      <w:bookmarkEnd w:id="255"/>
      <w:bookmarkEnd w:id="256"/>
    </w:p>
    <w:p w14:paraId="075462FF">
      <w:pPr>
        <w:adjustRightInd w:val="0"/>
        <w:snapToGrid w:val="0"/>
        <w:spacing w:line="360" w:lineRule="auto"/>
        <w:ind w:firstLine="420" w:firstLineChars="200"/>
        <w:jc w:val="left"/>
        <w:rPr>
          <w:rFonts w:hint="eastAsia" w:ascii="宋体" w:hAnsi="宋体" w:cs="宋体"/>
          <w:kern w:val="0"/>
          <w:highlight w:val="none"/>
        </w:rPr>
      </w:pPr>
      <w:r>
        <w:rPr>
          <w:rFonts w:hint="eastAsia" w:ascii="宋体" w:hAnsi="宋体" w:cs="宋体"/>
          <w:kern w:val="0"/>
          <w:highlight w:val="none"/>
        </w:rPr>
        <w:t>38.1纳入财政部会同国务院有关部门发布的节能产品政府采购品目清单（品目清单中标注</w:t>
      </w:r>
      <w:r>
        <w:rPr>
          <w:rFonts w:hint="eastAsia" w:ascii="宋体" w:hAnsi="宋体" w:cs="宋体"/>
          <w:kern w:val="0"/>
          <w:highlight w:val="none"/>
        </w:rPr>
        <w:sym w:font="Wingdings" w:char="F0AB"/>
      </w:r>
      <w:r>
        <w:rPr>
          <w:rFonts w:hint="eastAsia" w:ascii="宋体" w:hAnsi="宋体" w:cs="宋体"/>
          <w:kern w:val="0"/>
          <w:highlight w:val="none"/>
        </w:rPr>
        <w:t>符号产品），实施政府强制采购的，供应商提供的产品不符合强制采购规定，其</w:t>
      </w:r>
      <w:r>
        <w:rPr>
          <w:rFonts w:hint="eastAsia" w:ascii="宋体" w:hAnsi="宋体" w:cs="宋体"/>
          <w:b/>
          <w:kern w:val="0"/>
          <w:highlight w:val="none"/>
        </w:rPr>
        <w:t>响应</w:t>
      </w:r>
      <w:r>
        <w:rPr>
          <w:rFonts w:hint="eastAsia" w:ascii="宋体" w:hAnsi="宋体" w:cs="宋体"/>
          <w:b/>
          <w:kern w:val="0"/>
          <w:szCs w:val="21"/>
          <w:highlight w:val="none"/>
        </w:rPr>
        <w:t>无效</w:t>
      </w:r>
      <w:r>
        <w:rPr>
          <w:rFonts w:hint="eastAsia" w:ascii="宋体" w:hAnsi="宋体" w:cs="宋体"/>
          <w:kern w:val="0"/>
          <w:highlight w:val="none"/>
        </w:rPr>
        <w:t>。</w:t>
      </w:r>
    </w:p>
    <w:p w14:paraId="7BF00772">
      <w:pPr>
        <w:pStyle w:val="10"/>
        <w:keepNext w:val="0"/>
        <w:keepLines w:val="0"/>
        <w:adjustRightInd w:val="0"/>
        <w:snapToGrid w:val="0"/>
        <w:spacing w:before="0" w:after="0" w:line="360" w:lineRule="auto"/>
        <w:rPr>
          <w:rFonts w:hint="eastAsia" w:ascii="黑体" w:hAnsi="黑体"/>
          <w:sz w:val="24"/>
          <w:szCs w:val="24"/>
          <w:highlight w:val="none"/>
        </w:rPr>
      </w:pPr>
      <w:bookmarkStart w:id="257" w:name="_Toc24466"/>
      <w:bookmarkStart w:id="258" w:name="_Toc11573"/>
      <w:bookmarkStart w:id="259" w:name="_Toc22249"/>
      <w:bookmarkStart w:id="260" w:name="_Toc3898"/>
      <w:r>
        <w:rPr>
          <w:rFonts w:hint="eastAsia" w:ascii="黑体" w:hAnsi="黑体"/>
          <w:sz w:val="24"/>
          <w:szCs w:val="24"/>
          <w:highlight w:val="none"/>
        </w:rPr>
        <w:t>39.优先采购</w:t>
      </w:r>
      <w:bookmarkEnd w:id="257"/>
      <w:bookmarkEnd w:id="258"/>
      <w:bookmarkEnd w:id="259"/>
      <w:bookmarkEnd w:id="260"/>
    </w:p>
    <w:p w14:paraId="229C1D47">
      <w:pP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39.1对</w:t>
      </w:r>
      <w:r>
        <w:rPr>
          <w:rFonts w:hint="eastAsia" w:ascii="宋体" w:hAnsi="宋体"/>
          <w:szCs w:val="21"/>
          <w:highlight w:val="none"/>
        </w:rPr>
        <w:t>纳入财政部会同国务院有关部门发布的节能产品(未</w:t>
      </w:r>
      <w:r>
        <w:rPr>
          <w:rFonts w:hint="eastAsia" w:ascii="宋体" w:hAnsi="宋体" w:cs="宋体"/>
          <w:kern w:val="0"/>
          <w:highlight w:val="none"/>
        </w:rPr>
        <w:t>标注</w:t>
      </w:r>
      <w:r>
        <w:rPr>
          <w:rFonts w:hint="eastAsia" w:ascii="宋体" w:hAnsi="宋体" w:cs="宋体"/>
          <w:kern w:val="0"/>
          <w:highlight w:val="none"/>
        </w:rPr>
        <w:sym w:font="Wingdings" w:char="F0AB"/>
      </w:r>
      <w:r>
        <w:rPr>
          <w:rFonts w:hint="eastAsia" w:ascii="宋体" w:hAnsi="宋体" w:cs="宋体"/>
          <w:kern w:val="0"/>
          <w:highlight w:val="none"/>
        </w:rPr>
        <w:t>符号产品</w:t>
      </w:r>
      <w:r>
        <w:rPr>
          <w:rFonts w:hint="eastAsia" w:ascii="宋体" w:hAnsi="宋体"/>
          <w:szCs w:val="21"/>
          <w:highlight w:val="none"/>
        </w:rPr>
        <w:t>)、环境标志产品政府采购品目清单，实施政府优先采购的，评审时按“第三章 资格审查及评审方法及标准”规定给予价格折扣；</w:t>
      </w:r>
    </w:p>
    <w:p w14:paraId="626472E1">
      <w:pP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39.2对纳入湖南省财政厅等有关部门发布的湖南省两型产品政府采购目录，实施政府优先采购的，评审时按</w:t>
      </w:r>
      <w:r>
        <w:rPr>
          <w:rFonts w:hint="eastAsia" w:ascii="宋体" w:hAnsi="宋体"/>
          <w:szCs w:val="21"/>
          <w:highlight w:val="none"/>
        </w:rPr>
        <w:t>“第三章 资格审查及评审方法及标准”规定</w:t>
      </w:r>
      <w:r>
        <w:rPr>
          <w:rFonts w:hint="eastAsia" w:ascii="宋体" w:hAnsi="宋体"/>
          <w:highlight w:val="none"/>
        </w:rPr>
        <w:t>给予价格折扣。</w:t>
      </w:r>
    </w:p>
    <w:p w14:paraId="60E93F0E">
      <w:pPr>
        <w:pStyle w:val="10"/>
        <w:keepNext w:val="0"/>
        <w:keepLines w:val="0"/>
        <w:adjustRightInd w:val="0"/>
        <w:snapToGrid w:val="0"/>
        <w:spacing w:before="0" w:after="0" w:line="360" w:lineRule="auto"/>
        <w:rPr>
          <w:rFonts w:hint="eastAsia" w:ascii="黑体" w:hAnsi="黑体"/>
          <w:sz w:val="24"/>
          <w:szCs w:val="24"/>
          <w:highlight w:val="none"/>
        </w:rPr>
      </w:pPr>
      <w:bookmarkStart w:id="261" w:name="_Toc14074"/>
      <w:bookmarkStart w:id="262" w:name="_Toc19447"/>
      <w:bookmarkStart w:id="263" w:name="_Toc26821"/>
      <w:bookmarkStart w:id="264" w:name="_Toc20758"/>
      <w:r>
        <w:rPr>
          <w:rFonts w:hint="eastAsia" w:ascii="黑体" w:hAnsi="黑体"/>
          <w:sz w:val="24"/>
          <w:szCs w:val="24"/>
          <w:highlight w:val="none"/>
        </w:rPr>
        <w:t>40.价格评审优惠</w:t>
      </w:r>
      <w:bookmarkEnd w:id="261"/>
      <w:bookmarkEnd w:id="262"/>
      <w:bookmarkEnd w:id="263"/>
      <w:bookmarkEnd w:id="264"/>
    </w:p>
    <w:p w14:paraId="2554C90A">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highlight w:val="none"/>
        </w:rPr>
        <w:t>40.1</w:t>
      </w:r>
      <w:r>
        <w:rPr>
          <w:rFonts w:hint="eastAsia" w:ascii="宋体" w:hAnsi="宋体"/>
          <w:szCs w:val="21"/>
          <w:highlight w:val="none"/>
        </w:rPr>
        <w:t>本章第1.2款规定采购项目或者采购包属于“非预留采购份额”的，价格评审优惠如下：</w:t>
      </w:r>
    </w:p>
    <w:p w14:paraId="1C4A2BFB">
      <w:pPr>
        <w:adjustRightInd w:val="0"/>
        <w:snapToGrid w:val="0"/>
        <w:spacing w:line="360" w:lineRule="auto"/>
        <w:ind w:firstLine="420" w:firstLineChars="200"/>
        <w:jc w:val="left"/>
        <w:rPr>
          <w:rFonts w:hint="eastAsia" w:ascii="宋体" w:hAnsi="宋体"/>
          <w:highlight w:val="none"/>
        </w:rPr>
      </w:pPr>
      <w:r>
        <w:rPr>
          <w:rFonts w:hint="eastAsia" w:ascii="宋体" w:hAnsi="宋体"/>
          <w:szCs w:val="21"/>
          <w:highlight w:val="none"/>
        </w:rPr>
        <w:t>（1）符合磋商文件规定的供应商（小型、微型企业），</w:t>
      </w:r>
      <w:r>
        <w:rPr>
          <w:rFonts w:hint="eastAsia" w:ascii="宋体" w:hAnsi="宋体"/>
          <w:highlight w:val="none"/>
        </w:rPr>
        <w:t>最后报价按“第三章 资格审查及评审方法及标准”规定给予价格折扣，用扣除后的价格参与评审；</w:t>
      </w:r>
    </w:p>
    <w:p w14:paraId="66BB1848">
      <w:pPr>
        <w:adjustRightInd w:val="0"/>
        <w:snapToGrid w:val="0"/>
        <w:spacing w:line="360" w:lineRule="auto"/>
        <w:ind w:firstLine="420" w:firstLineChars="200"/>
        <w:jc w:val="left"/>
        <w:rPr>
          <w:rFonts w:hint="eastAsia" w:ascii="宋体" w:hAnsi="宋体"/>
          <w:bCs/>
          <w:szCs w:val="21"/>
          <w:highlight w:val="none"/>
        </w:rPr>
      </w:pPr>
      <w:r>
        <w:rPr>
          <w:rFonts w:hint="eastAsia" w:ascii="宋体" w:hAnsi="宋体"/>
          <w:highlight w:val="none"/>
        </w:rPr>
        <w:t>（2）磋商文件接受大中型企业与小型、微型企业组成联合体或者允许大中型企业向一家或者多家小型、微型企业分包的采购项目或者采购包，对于联合协议或者分包意向协议约定小型、微型企业的合同份额占到合同总金额30%以上的，该联合体或大中型企业最后报价按“第三章 资格审查及评审方法及标准”规定给予价格折扣，用扣除后的价格参与评审。</w:t>
      </w:r>
      <w:r>
        <w:rPr>
          <w:rFonts w:hint="eastAsia" w:ascii="宋体" w:hAnsi="宋体"/>
          <w:bCs/>
          <w:szCs w:val="21"/>
          <w:highlight w:val="none"/>
        </w:rPr>
        <w:t>组成联合体或者接受分包的小微企业与联合体内其他企业、分包企业之间存在直接控股、管理关系的，不享受价格扣除优惠政策。</w:t>
      </w:r>
    </w:p>
    <w:p w14:paraId="2709D701">
      <w:pPr>
        <w:adjustRightInd w:val="0"/>
        <w:snapToGrid w:val="0"/>
        <w:spacing w:line="360" w:lineRule="auto"/>
        <w:ind w:firstLine="420" w:firstLineChars="200"/>
        <w:jc w:val="left"/>
        <w:rPr>
          <w:rFonts w:hint="eastAsia" w:ascii="宋体" w:hAnsi="宋体"/>
          <w:b/>
          <w:highlight w:val="none"/>
        </w:rPr>
      </w:pPr>
      <w:r>
        <w:rPr>
          <w:rFonts w:hint="eastAsia" w:ascii="宋体" w:hAnsi="宋体"/>
          <w:bCs/>
          <w:szCs w:val="21"/>
          <w:highlight w:val="none"/>
        </w:rPr>
        <w:t>40.2本章第37.1款规定采购项目或者采购包属于“预留采购份额”，且专门面向中小企业采购的，小型、微型企业，或者接受中型企业与小型、微型企业组成联合体，或者允许中型企业向一家或者多家小型、微型企业分包的，其价格评审优惠按上款规定执行。</w:t>
      </w:r>
    </w:p>
    <w:p w14:paraId="6FA399CC">
      <w:pPr>
        <w:pStyle w:val="10"/>
        <w:keepNext w:val="0"/>
        <w:keepLines w:val="0"/>
        <w:adjustRightInd w:val="0"/>
        <w:snapToGrid w:val="0"/>
        <w:spacing w:before="0" w:after="0" w:line="360" w:lineRule="auto"/>
        <w:rPr>
          <w:rFonts w:hint="eastAsia" w:ascii="黑体" w:hAnsi="黑体"/>
          <w:sz w:val="24"/>
          <w:szCs w:val="24"/>
          <w:highlight w:val="none"/>
        </w:rPr>
      </w:pPr>
      <w:bookmarkStart w:id="265" w:name="_Toc8123"/>
      <w:bookmarkStart w:id="266" w:name="_Toc17836"/>
      <w:bookmarkStart w:id="267" w:name="_Toc3086"/>
      <w:bookmarkStart w:id="268" w:name="_Toc30882"/>
      <w:r>
        <w:rPr>
          <w:rFonts w:hint="eastAsia" w:ascii="黑体" w:hAnsi="黑体"/>
          <w:sz w:val="24"/>
          <w:szCs w:val="24"/>
          <w:highlight w:val="none"/>
        </w:rPr>
        <w:t>41.政府采购政策其他规定</w:t>
      </w:r>
      <w:bookmarkEnd w:id="265"/>
      <w:bookmarkEnd w:id="266"/>
      <w:bookmarkEnd w:id="267"/>
      <w:bookmarkEnd w:id="268"/>
    </w:p>
    <w:p w14:paraId="2411AB7C">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41.1中型企业、小型企业和微型企业类型按照《关于印发＜政府采购促进中小企业发展办法＞的通知》(财库[2020]46号)和《关于印发中小企业划型标准规定的通知》（工信部联企业〔2011〕300号）规定认定。</w:t>
      </w:r>
    </w:p>
    <w:p w14:paraId="73B25F56">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highlight w:val="none"/>
        </w:rPr>
        <w:t>41.2监狱企业、残</w:t>
      </w:r>
      <w:r>
        <w:rPr>
          <w:rFonts w:hint="eastAsia" w:ascii="宋体" w:hAnsi="宋体"/>
          <w:szCs w:val="21"/>
          <w:highlight w:val="none"/>
        </w:rPr>
        <w:t>疾人福利性单位以及个体工商户视同小型、微型企业，享受预留采购份额、价格扣除等促进中小企业发展的政府采购政策。监狱企业、残疾人福利性单位以及个体工商户属于小型、微型企业的，不重复享受扶持政策。</w:t>
      </w:r>
    </w:p>
    <w:p w14:paraId="49F007F7">
      <w:pP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41.3以联合体形式参加政府采购活动，联合体各方均为中小企业的，联合体视同中小企业。其中，联合体各方均为小微企业的，联合体视同小微企业。</w:t>
      </w:r>
    </w:p>
    <w:p w14:paraId="0A73F03B">
      <w:pP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41.4组成联合体或者接受分包合同的中小企业与联合体内其他企业、分包企业之间不得存在直接控股、管理关系。</w:t>
      </w:r>
    </w:p>
    <w:p w14:paraId="1D7E952B">
      <w:pP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41.5供应商提供的产品取得两个及以上优先采购产品认证的，评审时只有其中一项产品能够享受优先采购优惠（供应商自行选择，并在响应文件中并填报相关信息及数据）。</w:t>
      </w:r>
    </w:p>
    <w:p w14:paraId="38A2772B">
      <w:pP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41.6“价格评审优惠”可以与同时属于“节能产品”、“环境标志产品”中的一项“优先采购”累加计算。</w:t>
      </w:r>
    </w:p>
    <w:p w14:paraId="298A9440">
      <w:pPr>
        <w:pStyle w:val="10"/>
        <w:keepNext w:val="0"/>
        <w:keepLines w:val="0"/>
        <w:adjustRightInd w:val="0"/>
        <w:snapToGrid w:val="0"/>
        <w:spacing w:before="0" w:after="0" w:line="360" w:lineRule="auto"/>
        <w:rPr>
          <w:rFonts w:hint="eastAsia" w:ascii="黑体" w:hAnsi="黑体"/>
          <w:sz w:val="24"/>
          <w:szCs w:val="24"/>
          <w:highlight w:val="none"/>
        </w:rPr>
      </w:pPr>
      <w:bookmarkStart w:id="269" w:name="_Toc24829"/>
      <w:bookmarkStart w:id="270" w:name="_Toc4743"/>
      <w:bookmarkStart w:id="271" w:name="_Toc649"/>
      <w:bookmarkStart w:id="272" w:name="_Toc23255846"/>
      <w:bookmarkStart w:id="273" w:name="_Toc8273"/>
      <w:bookmarkStart w:id="274" w:name="_Toc23243979"/>
      <w:r>
        <w:rPr>
          <w:rFonts w:hint="eastAsia" w:ascii="黑体" w:hAnsi="黑体"/>
          <w:sz w:val="24"/>
          <w:szCs w:val="24"/>
          <w:highlight w:val="none"/>
        </w:rPr>
        <w:t>42.供应商应提供的政府采购政策证明资料</w:t>
      </w:r>
      <w:bookmarkEnd w:id="269"/>
      <w:bookmarkEnd w:id="270"/>
      <w:bookmarkEnd w:id="271"/>
      <w:bookmarkEnd w:id="272"/>
      <w:bookmarkEnd w:id="273"/>
      <w:bookmarkEnd w:id="274"/>
    </w:p>
    <w:p w14:paraId="05ADE978">
      <w:pP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42.1符合本章第37条、第38条、第39条、第40条规定的，供应商应在响应文件中提供相关证明资料。</w:t>
      </w:r>
    </w:p>
    <w:p w14:paraId="680575E8">
      <w:pP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（1）节能产品、环境标志产品：提供国家确定的认证机构出具的、处于有效期之内的节能产品、环境标志产品认证证书（复印件）。</w:t>
      </w:r>
    </w:p>
    <w:p w14:paraId="34D354CC">
      <w:pP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（2）两型产品：提供《湖南省两型产品政府采购目录》（最新一期）文件首页和产品所在页（截图）。</w:t>
      </w:r>
    </w:p>
    <w:p w14:paraId="0B1830C9">
      <w:pP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（3）中小企业：按《关于印发＜政府采购促进中小企业发展办法＞的通知》(财库[2020]46号) 文件规定，提供《中小企业声明函》（格式）。磋商文件要求或接受联合体形式，或者要求或允许分包的，还应当提供联合协议或者分包意向协议。《中小企业声明函》（格式）中采购标的对应的中小企业划分标准所属行业见</w:t>
      </w:r>
      <w:r>
        <w:rPr>
          <w:rFonts w:hint="eastAsia" w:ascii="宋体" w:hAnsi="宋体"/>
          <w:b/>
          <w:highlight w:val="none"/>
        </w:rPr>
        <w:t>【磋商须知前附表】</w:t>
      </w:r>
      <w:r>
        <w:rPr>
          <w:rFonts w:hint="eastAsia" w:ascii="宋体" w:hAnsi="宋体"/>
          <w:highlight w:val="none"/>
        </w:rPr>
        <w:t>。</w:t>
      </w:r>
    </w:p>
    <w:p w14:paraId="22EFF5C9">
      <w:pP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（4）监狱企业：按《关于政府采购支持监狱企业发展有关问题的通知》(财库〔2014〕68号)文件规定提供证明文件（复印件）。</w:t>
      </w:r>
    </w:p>
    <w:p w14:paraId="6B38BAF1">
      <w:pP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（5）残疾人福利性单位：按《关于促进残疾人就业政府采购政策的通知》(财库〔2017〕141号)文件规定提供《残疾人福利性单位声明函》（格式）。</w:t>
      </w:r>
    </w:p>
    <w:p w14:paraId="2A43C9F1">
      <w:pPr>
        <w:pStyle w:val="10"/>
        <w:keepNext w:val="0"/>
        <w:keepLines w:val="0"/>
        <w:adjustRightInd w:val="0"/>
        <w:snapToGrid w:val="0"/>
        <w:spacing w:before="0" w:after="0" w:line="360" w:lineRule="auto"/>
        <w:rPr>
          <w:rFonts w:hint="eastAsia" w:ascii="黑体" w:hAnsi="黑体"/>
          <w:sz w:val="24"/>
          <w:szCs w:val="24"/>
          <w:highlight w:val="none"/>
        </w:rPr>
      </w:pPr>
      <w:bookmarkStart w:id="275" w:name="_Toc7531"/>
      <w:bookmarkStart w:id="276" w:name="_Toc322"/>
      <w:bookmarkStart w:id="277" w:name="_Toc23058"/>
      <w:bookmarkStart w:id="278" w:name="_Toc32071"/>
      <w:r>
        <w:rPr>
          <w:rFonts w:hint="eastAsia" w:ascii="黑体" w:hAnsi="黑体"/>
          <w:sz w:val="24"/>
          <w:szCs w:val="24"/>
          <w:highlight w:val="none"/>
        </w:rPr>
        <w:t>43.进口产品</w:t>
      </w:r>
      <w:bookmarkEnd w:id="275"/>
      <w:bookmarkEnd w:id="276"/>
      <w:bookmarkEnd w:id="277"/>
      <w:bookmarkEnd w:id="278"/>
    </w:p>
    <w:p w14:paraId="3B4F32EF">
      <w:pP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43.1进口产品是指符合《政府采购进口产品管理办法》（财库〔2007〕119号）和《关于政府采购进口产品管理有关问题的通知》（财办库〔2008〕248号）文件规定的产品。除</w:t>
      </w:r>
      <w:r>
        <w:rPr>
          <w:rFonts w:hint="eastAsia" w:ascii="宋体" w:hAnsi="宋体"/>
          <w:b/>
          <w:highlight w:val="none"/>
        </w:rPr>
        <w:t>【磋商须知前附表】</w:t>
      </w:r>
      <w:r>
        <w:rPr>
          <w:rFonts w:hint="eastAsia" w:ascii="宋体" w:hAnsi="宋体"/>
          <w:highlight w:val="none"/>
        </w:rPr>
        <w:t>另有规定外，采购项目拒绝进口产品参加磋商。本款规定同意购买进口产品的，不限制满足磋商文件要求的国内产品参与磋商竞争。</w:t>
      </w:r>
    </w:p>
    <w:p w14:paraId="31342C09">
      <w:pPr>
        <w:pStyle w:val="10"/>
        <w:keepNext w:val="0"/>
        <w:keepLines w:val="0"/>
        <w:adjustRightInd w:val="0"/>
        <w:snapToGrid w:val="0"/>
        <w:spacing w:before="0" w:after="0" w:line="360" w:lineRule="auto"/>
        <w:rPr>
          <w:rFonts w:hint="eastAsia" w:ascii="黑体" w:hAnsi="黑体"/>
          <w:sz w:val="24"/>
          <w:szCs w:val="24"/>
          <w:highlight w:val="none"/>
        </w:rPr>
      </w:pPr>
      <w:bookmarkStart w:id="279" w:name="_Toc7223"/>
      <w:bookmarkStart w:id="280" w:name="_Toc28238"/>
      <w:bookmarkStart w:id="281" w:name="_Toc13555"/>
      <w:bookmarkStart w:id="282" w:name="_Toc26404"/>
      <w:r>
        <w:rPr>
          <w:rFonts w:hint="eastAsia" w:ascii="黑体" w:hAnsi="黑体"/>
          <w:sz w:val="24"/>
          <w:szCs w:val="24"/>
          <w:highlight w:val="none"/>
        </w:rPr>
        <w:t>44. 融资、担保</w:t>
      </w:r>
      <w:bookmarkEnd w:id="279"/>
      <w:bookmarkEnd w:id="280"/>
      <w:bookmarkEnd w:id="281"/>
      <w:bookmarkEnd w:id="282"/>
    </w:p>
    <w:p w14:paraId="066B4F58">
      <w:pPr>
        <w:adjustRightInd w:val="0"/>
        <w:snapToGrid w:val="0"/>
        <w:spacing w:line="360" w:lineRule="auto"/>
        <w:ind w:firstLine="420" w:firstLineChars="200"/>
        <w:jc w:val="left"/>
        <w:rPr>
          <w:rFonts w:hint="eastAsia" w:ascii="宋体" w:hAnsi="宋体"/>
          <w:sz w:val="24"/>
          <w:highlight w:val="none"/>
        </w:rPr>
      </w:pPr>
      <w:r>
        <w:rPr>
          <w:rFonts w:hint="eastAsia" w:ascii="宋体" w:hAnsi="宋体"/>
          <w:highlight w:val="none"/>
        </w:rPr>
        <w:t>44.1供应商有融资、担保需求的，可登陆中国湖南政府采购网查询相关银行、担保机构业务。</w:t>
      </w:r>
    </w:p>
    <w:p w14:paraId="4A1CE91F">
      <w:pPr>
        <w:pStyle w:val="9"/>
        <w:keepNext w:val="0"/>
        <w:keepLines w:val="0"/>
        <w:adjustRightInd w:val="0"/>
        <w:snapToGrid w:val="0"/>
        <w:spacing w:before="0" w:after="0" w:line="360" w:lineRule="auto"/>
        <w:jc w:val="center"/>
        <w:rPr>
          <w:rFonts w:hint="eastAsia" w:ascii="黑体" w:hAnsi="黑体" w:eastAsia="黑体"/>
          <w:sz w:val="28"/>
          <w:szCs w:val="28"/>
          <w:highlight w:val="none"/>
        </w:rPr>
      </w:pPr>
      <w:bookmarkStart w:id="283" w:name="_Toc10587"/>
      <w:bookmarkStart w:id="284" w:name="_Toc3819"/>
      <w:bookmarkStart w:id="285" w:name="_Toc20849"/>
      <w:bookmarkStart w:id="286" w:name="_Toc9592"/>
      <w:r>
        <w:rPr>
          <w:rFonts w:hint="eastAsia" w:ascii="黑体" w:hAnsi="黑体" w:eastAsia="黑体"/>
          <w:sz w:val="28"/>
          <w:szCs w:val="28"/>
          <w:highlight w:val="none"/>
        </w:rPr>
        <w:t>八、其他规定</w:t>
      </w:r>
      <w:bookmarkEnd w:id="283"/>
      <w:bookmarkEnd w:id="284"/>
      <w:bookmarkEnd w:id="285"/>
      <w:bookmarkEnd w:id="286"/>
    </w:p>
    <w:p w14:paraId="26F0941B">
      <w:pPr>
        <w:pStyle w:val="10"/>
        <w:keepNext w:val="0"/>
        <w:keepLines w:val="0"/>
        <w:adjustRightInd w:val="0"/>
        <w:snapToGrid w:val="0"/>
        <w:spacing w:before="0" w:after="0" w:line="360" w:lineRule="auto"/>
        <w:rPr>
          <w:rFonts w:hint="eastAsia" w:ascii="宋体" w:hAnsi="宋体" w:eastAsia="宋体"/>
          <w:sz w:val="24"/>
          <w:szCs w:val="24"/>
          <w:highlight w:val="none"/>
        </w:rPr>
      </w:pPr>
      <w:bookmarkStart w:id="287" w:name="_Toc247"/>
      <w:bookmarkStart w:id="288" w:name="_Toc28498"/>
      <w:bookmarkStart w:id="289" w:name="_Toc26417"/>
      <w:bookmarkStart w:id="290" w:name="_Toc21501"/>
      <w:r>
        <w:rPr>
          <w:rFonts w:hint="eastAsia" w:ascii="宋体" w:hAnsi="宋体" w:eastAsia="宋体"/>
          <w:sz w:val="24"/>
          <w:szCs w:val="24"/>
          <w:highlight w:val="none"/>
        </w:rPr>
        <w:t>45.代理服务费</w:t>
      </w:r>
      <w:bookmarkEnd w:id="287"/>
      <w:bookmarkEnd w:id="288"/>
      <w:bookmarkEnd w:id="289"/>
      <w:bookmarkEnd w:id="290"/>
    </w:p>
    <w:p w14:paraId="61D381B0">
      <w:pPr>
        <w:tabs>
          <w:tab w:val="left" w:pos="420"/>
          <w:tab w:val="left" w:pos="7560"/>
          <w:tab w:val="left" w:pos="7740"/>
          <w:tab w:val="left" w:pos="7920"/>
        </w:tabs>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45.1</w:t>
      </w:r>
      <w:r>
        <w:rPr>
          <w:rFonts w:hint="eastAsia" w:ascii="宋体" w:hAnsi="宋体"/>
          <w:szCs w:val="21"/>
          <w:highlight w:val="none"/>
          <w:lang w:bidi="ar"/>
        </w:rPr>
        <w:t>采购代理机构按</w:t>
      </w:r>
      <w:r>
        <w:rPr>
          <w:rFonts w:hint="eastAsia" w:ascii="宋体" w:hAnsi="宋体"/>
          <w:b/>
          <w:szCs w:val="21"/>
          <w:highlight w:val="none"/>
          <w:lang w:bidi="ar"/>
        </w:rPr>
        <w:t>磋商须知前附表</w:t>
      </w:r>
      <w:r>
        <w:rPr>
          <w:rFonts w:hint="eastAsia" w:ascii="宋体" w:hAnsi="宋体"/>
          <w:szCs w:val="21"/>
          <w:highlight w:val="none"/>
          <w:lang w:bidi="ar"/>
        </w:rPr>
        <w:t>规定收取采购代理服务费。</w:t>
      </w:r>
    </w:p>
    <w:p w14:paraId="72579B5D">
      <w:pPr>
        <w:pStyle w:val="10"/>
        <w:keepNext w:val="0"/>
        <w:keepLines w:val="0"/>
        <w:adjustRightInd w:val="0"/>
        <w:snapToGrid w:val="0"/>
        <w:spacing w:before="0" w:after="0" w:line="360" w:lineRule="auto"/>
        <w:rPr>
          <w:rFonts w:hint="eastAsia" w:ascii="黑体" w:hAnsi="黑体"/>
          <w:sz w:val="24"/>
          <w:szCs w:val="24"/>
          <w:highlight w:val="none"/>
        </w:rPr>
      </w:pPr>
      <w:bookmarkStart w:id="291" w:name="_Toc19561"/>
      <w:bookmarkStart w:id="292" w:name="_Toc32524"/>
      <w:bookmarkStart w:id="293" w:name="_Toc12321"/>
      <w:bookmarkStart w:id="294" w:name="_Toc18954"/>
      <w:r>
        <w:rPr>
          <w:rFonts w:hint="eastAsia" w:ascii="黑体" w:hAnsi="黑体"/>
          <w:sz w:val="24"/>
          <w:szCs w:val="24"/>
          <w:highlight w:val="none"/>
        </w:rPr>
        <w:t>45.其他规定</w:t>
      </w:r>
      <w:bookmarkEnd w:id="291"/>
      <w:bookmarkEnd w:id="292"/>
      <w:bookmarkEnd w:id="293"/>
      <w:bookmarkEnd w:id="294"/>
    </w:p>
    <w:p w14:paraId="61AC4344">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highlight w:val="none"/>
        </w:rPr>
        <w:t>45.1</w:t>
      </w:r>
      <w:r>
        <w:rPr>
          <w:rFonts w:hint="eastAsia" w:ascii="宋体" w:hAnsi="宋体"/>
          <w:szCs w:val="21"/>
          <w:highlight w:val="none"/>
        </w:rPr>
        <w:t>磋商文件</w:t>
      </w:r>
      <w:r>
        <w:rPr>
          <w:rFonts w:hint="eastAsia" w:hAnsi="宋体"/>
          <w:highlight w:val="none"/>
        </w:rPr>
        <w:t>的其他规定</w:t>
      </w:r>
      <w:r>
        <w:rPr>
          <w:rFonts w:hint="eastAsia" w:ascii="宋体" w:hAnsi="宋体"/>
          <w:szCs w:val="21"/>
          <w:highlight w:val="none"/>
        </w:rPr>
        <w:t>见</w:t>
      </w:r>
      <w:r>
        <w:rPr>
          <w:rFonts w:hint="eastAsia" w:ascii="宋体" w:hAnsi="宋体"/>
          <w:b/>
          <w:szCs w:val="21"/>
          <w:highlight w:val="none"/>
        </w:rPr>
        <w:t>【磋商须知前附表】</w:t>
      </w:r>
      <w:r>
        <w:rPr>
          <w:rFonts w:hint="eastAsia" w:ascii="宋体" w:hAnsi="宋体"/>
          <w:szCs w:val="21"/>
          <w:highlight w:val="none"/>
        </w:rPr>
        <w:t>。</w:t>
      </w:r>
    </w:p>
    <w:p w14:paraId="166C6012">
      <w:pPr>
        <w:adjustRightInd w:val="0"/>
        <w:snapToGrid w:val="0"/>
        <w:spacing w:line="360" w:lineRule="auto"/>
        <w:ind w:firstLine="420" w:firstLineChars="200"/>
        <w:jc w:val="left"/>
        <w:rPr>
          <w:rFonts w:hint="eastAsia" w:ascii="宋体" w:hAnsi="宋体"/>
          <w:szCs w:val="21"/>
          <w:highlight w:val="none"/>
        </w:rPr>
      </w:pPr>
      <w:r>
        <w:rPr>
          <w:rFonts w:ascii="宋体" w:hAnsi="宋体"/>
          <w:szCs w:val="21"/>
          <w:highlight w:val="none"/>
        </w:rPr>
        <w:br w:type="page"/>
      </w:r>
    </w:p>
    <w:p w14:paraId="022CE6ED">
      <w:pPr>
        <w:pStyle w:val="7"/>
        <w:adjustRightInd w:val="0"/>
        <w:snapToGrid w:val="0"/>
        <w:spacing w:before="120" w:beforeLines="50" w:line="360" w:lineRule="auto"/>
        <w:rPr>
          <w:rFonts w:hint="eastAsia" w:ascii="黑体" w:hAnsi="黑体" w:eastAsia="黑体"/>
          <w:sz w:val="32"/>
          <w:szCs w:val="32"/>
          <w:highlight w:val="none"/>
        </w:rPr>
      </w:pPr>
      <w:bookmarkStart w:id="295" w:name="_Toc15755"/>
      <w:bookmarkStart w:id="296" w:name="_Toc10080"/>
      <w:bookmarkStart w:id="297" w:name="_Toc21680"/>
      <w:bookmarkStart w:id="298" w:name="_Toc7563"/>
      <w:r>
        <w:rPr>
          <w:rFonts w:hint="eastAsia" w:ascii="黑体" w:hAnsi="黑体" w:eastAsia="黑体"/>
          <w:sz w:val="32"/>
          <w:szCs w:val="32"/>
          <w:highlight w:val="none"/>
        </w:rPr>
        <w:t>第三章 资格审查及评审方法及标准</w:t>
      </w:r>
      <w:bookmarkEnd w:id="295"/>
      <w:bookmarkEnd w:id="296"/>
      <w:bookmarkEnd w:id="297"/>
      <w:bookmarkEnd w:id="298"/>
    </w:p>
    <w:p w14:paraId="52BE0D83">
      <w:pPr>
        <w:pStyle w:val="8"/>
        <w:adjustRightInd w:val="0"/>
        <w:snapToGrid w:val="0"/>
        <w:spacing w:before="120" w:beforeLines="50"/>
        <w:jc w:val="center"/>
        <w:rPr>
          <w:rFonts w:hint="eastAsia" w:ascii="黑体" w:hAnsi="黑体" w:eastAsia="黑体"/>
          <w:sz w:val="28"/>
          <w:szCs w:val="28"/>
          <w:highlight w:val="none"/>
        </w:rPr>
      </w:pPr>
      <w:bookmarkStart w:id="299" w:name="_Toc2871"/>
      <w:bookmarkStart w:id="300" w:name="_Toc12735"/>
      <w:bookmarkStart w:id="301" w:name="_Toc2105"/>
      <w:bookmarkStart w:id="302" w:name="_Toc5727"/>
      <w:r>
        <w:rPr>
          <w:rFonts w:hint="eastAsia" w:ascii="黑体" w:hAnsi="黑体" w:eastAsia="黑体"/>
          <w:sz w:val="28"/>
          <w:szCs w:val="28"/>
          <w:highlight w:val="none"/>
        </w:rPr>
        <w:t>第一节资格审查</w:t>
      </w:r>
      <w:bookmarkEnd w:id="299"/>
      <w:bookmarkEnd w:id="300"/>
      <w:bookmarkEnd w:id="301"/>
      <w:bookmarkEnd w:id="302"/>
    </w:p>
    <w:p w14:paraId="4EA5F0F6">
      <w:pPr>
        <w:pStyle w:val="10"/>
        <w:keepNext w:val="0"/>
        <w:keepLines w:val="0"/>
        <w:adjustRightInd w:val="0"/>
        <w:snapToGrid w:val="0"/>
        <w:spacing w:before="0" w:after="0" w:line="360" w:lineRule="auto"/>
        <w:rPr>
          <w:rFonts w:hint="eastAsia" w:ascii="黑体" w:hAnsi="黑体"/>
          <w:sz w:val="24"/>
          <w:szCs w:val="24"/>
          <w:highlight w:val="none"/>
        </w:rPr>
      </w:pPr>
      <w:bookmarkStart w:id="303" w:name="_Toc31211"/>
      <w:bookmarkStart w:id="304" w:name="_Toc25182"/>
      <w:bookmarkStart w:id="305" w:name="_Toc29870"/>
      <w:bookmarkStart w:id="306" w:name="_Toc27580183"/>
      <w:bookmarkStart w:id="307" w:name="_Toc18289"/>
      <w:bookmarkStart w:id="308" w:name="_Toc22201079"/>
      <w:r>
        <w:rPr>
          <w:rFonts w:hint="eastAsia" w:ascii="黑体" w:hAnsi="黑体"/>
          <w:sz w:val="24"/>
          <w:szCs w:val="24"/>
          <w:highlight w:val="none"/>
        </w:rPr>
        <w:t>1.资格审查主体</w:t>
      </w:r>
      <w:bookmarkEnd w:id="303"/>
      <w:bookmarkEnd w:id="304"/>
      <w:bookmarkEnd w:id="305"/>
      <w:bookmarkEnd w:id="306"/>
      <w:bookmarkEnd w:id="307"/>
      <w:bookmarkEnd w:id="308"/>
    </w:p>
    <w:p w14:paraId="70106090">
      <w:pPr>
        <w:adjustRightInd w:val="0"/>
        <w:snapToGrid w:val="0"/>
        <w:spacing w:line="360" w:lineRule="auto"/>
        <w:ind w:firstLine="417" w:firstLineChars="199"/>
        <w:jc w:val="left"/>
        <w:rPr>
          <w:rFonts w:hint="eastAsia" w:ascii="宋体" w:hAnsi="宋体"/>
          <w:szCs w:val="21"/>
          <w:highlight w:val="none"/>
        </w:rPr>
      </w:pPr>
      <w:r>
        <w:rPr>
          <w:rFonts w:hint="eastAsia" w:ascii="宋体" w:hAnsi="宋体"/>
          <w:szCs w:val="21"/>
          <w:highlight w:val="none"/>
        </w:rPr>
        <w:t>1.1磋商小组负责资格审查。</w:t>
      </w:r>
    </w:p>
    <w:p w14:paraId="6AE9D0DF">
      <w:pPr>
        <w:pStyle w:val="10"/>
        <w:keepNext w:val="0"/>
        <w:keepLines w:val="0"/>
        <w:adjustRightInd w:val="0"/>
        <w:snapToGrid w:val="0"/>
        <w:spacing w:before="0" w:after="0" w:line="360" w:lineRule="auto"/>
        <w:rPr>
          <w:rFonts w:hint="eastAsia" w:ascii="黑体" w:hAnsi="黑体"/>
          <w:sz w:val="24"/>
          <w:szCs w:val="24"/>
          <w:highlight w:val="none"/>
        </w:rPr>
      </w:pPr>
      <w:bookmarkStart w:id="309" w:name="_Toc16444"/>
      <w:bookmarkStart w:id="310" w:name="_Toc22206"/>
      <w:bookmarkStart w:id="311" w:name="_Toc24520"/>
      <w:bookmarkStart w:id="312" w:name="_Toc11741"/>
      <w:bookmarkStart w:id="313" w:name="_Toc27580184"/>
      <w:bookmarkStart w:id="314" w:name="_Toc22201080"/>
      <w:r>
        <w:rPr>
          <w:rFonts w:hint="eastAsia" w:ascii="黑体" w:hAnsi="黑体"/>
          <w:sz w:val="24"/>
          <w:szCs w:val="24"/>
          <w:highlight w:val="none"/>
        </w:rPr>
        <w:t>2.供应商资格审查（</w:t>
      </w:r>
      <w:r>
        <w:rPr>
          <w:rFonts w:hint="eastAsia" w:ascii="黑体" w:hAnsi="黑体"/>
          <w:bCs w:val="0"/>
          <w:sz w:val="24"/>
          <w:szCs w:val="24"/>
          <w:highlight w:val="none"/>
        </w:rPr>
        <w:t>未进行资格预审的</w:t>
      </w:r>
      <w:r>
        <w:rPr>
          <w:rFonts w:hint="eastAsia" w:ascii="黑体" w:hAnsi="黑体"/>
          <w:sz w:val="24"/>
          <w:szCs w:val="24"/>
          <w:highlight w:val="none"/>
        </w:rPr>
        <w:t>）</w:t>
      </w:r>
      <w:bookmarkEnd w:id="309"/>
      <w:bookmarkEnd w:id="310"/>
      <w:bookmarkEnd w:id="311"/>
      <w:bookmarkEnd w:id="312"/>
    </w:p>
    <w:p w14:paraId="52947979">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bCs/>
          <w:szCs w:val="21"/>
          <w:highlight w:val="none"/>
        </w:rPr>
        <w:t>2.1</w:t>
      </w:r>
      <w:r>
        <w:rPr>
          <w:rFonts w:hint="eastAsia" w:ascii="宋体" w:hAnsi="宋体"/>
          <w:szCs w:val="21"/>
          <w:highlight w:val="none"/>
        </w:rPr>
        <w:t>提交首次响应文件截止时间后，磋商小组依法按照本章</w:t>
      </w:r>
      <w:r>
        <w:rPr>
          <w:rFonts w:hint="eastAsia" w:ascii="华文宋体" w:hAnsi="华文宋体" w:eastAsia="华文宋体"/>
          <w:szCs w:val="21"/>
          <w:highlight w:val="none"/>
        </w:rPr>
        <w:t>“</w:t>
      </w:r>
      <w:r>
        <w:rPr>
          <w:rFonts w:hint="eastAsia" w:ascii="宋体" w:hAnsi="宋体"/>
          <w:szCs w:val="21"/>
          <w:highlight w:val="none"/>
        </w:rPr>
        <w:t>资格审查表</w:t>
      </w:r>
      <w:r>
        <w:rPr>
          <w:rFonts w:hint="eastAsia" w:ascii="华文宋体" w:hAnsi="华文宋体" w:eastAsia="华文宋体"/>
          <w:szCs w:val="21"/>
          <w:highlight w:val="none"/>
        </w:rPr>
        <w:t>”所列</w:t>
      </w:r>
      <w:r>
        <w:rPr>
          <w:rFonts w:hint="eastAsia" w:ascii="宋体" w:hAnsi="宋体"/>
          <w:highlight w:val="none"/>
        </w:rPr>
        <w:t>审查项目及</w:t>
      </w:r>
      <w:r>
        <w:rPr>
          <w:rFonts w:hint="eastAsia" w:ascii="华文宋体" w:hAnsi="华文宋体" w:eastAsia="华文宋体"/>
          <w:szCs w:val="21"/>
          <w:highlight w:val="none"/>
        </w:rPr>
        <w:t>审查标准，对供应商</w:t>
      </w:r>
      <w:r>
        <w:rPr>
          <w:rFonts w:hint="eastAsia" w:ascii="宋体" w:hAnsi="宋体"/>
          <w:szCs w:val="21"/>
          <w:highlight w:val="none"/>
        </w:rPr>
        <w:t>进行资格审查，以确定供应商是否具备参加磋商资格。</w:t>
      </w:r>
    </w:p>
    <w:p w14:paraId="05F615B7">
      <w:pPr>
        <w:adjustRightInd w:val="0"/>
        <w:snapToGrid w:val="0"/>
        <w:spacing w:line="360" w:lineRule="auto"/>
        <w:ind w:firstLine="420" w:firstLineChars="200"/>
        <w:jc w:val="left"/>
        <w:rPr>
          <w:rFonts w:hint="eastAsia" w:ascii="宋体" w:hAnsi="宋体"/>
          <w:b/>
          <w:sz w:val="32"/>
          <w:szCs w:val="32"/>
          <w:highlight w:val="none"/>
        </w:rPr>
      </w:pPr>
      <w:r>
        <w:rPr>
          <w:rFonts w:hint="eastAsia" w:ascii="宋体" w:hAnsi="宋体"/>
          <w:szCs w:val="21"/>
          <w:highlight w:val="none"/>
        </w:rPr>
        <w:t>2.2</w:t>
      </w:r>
      <w:r>
        <w:rPr>
          <w:rFonts w:hint="eastAsia" w:ascii="宋体" w:hAnsi="宋体"/>
          <w:highlight w:val="none"/>
        </w:rPr>
        <w:t>信用记录。</w:t>
      </w:r>
      <w:r>
        <w:rPr>
          <w:rFonts w:hint="eastAsia" w:ascii="宋体" w:hAnsi="宋体"/>
          <w:szCs w:val="21"/>
          <w:highlight w:val="none"/>
        </w:rPr>
        <w:t>资格审查时，磋商小组将对供应商信用记录进行甄别。</w:t>
      </w:r>
    </w:p>
    <w:p w14:paraId="0E17DC86">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（1）信用信息查询的查询渠道：信用中国网（www.creditchina.gov.cn）、中国政府采购网（www.ccgp.gov.cn）；</w:t>
      </w:r>
    </w:p>
    <w:p w14:paraId="02F808BD">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2）不良信用记录是指：供应商在“信用中国”网站被列入失信被执行人和重大税收违法案件当事人名单，或在“中国政府采购网”网站被列入政府采购严重违法失信行为记录名单。供应商有上述不良信用记录的，其响应无效，其中，列入政府采购严重违法失信行为记录名单的，按处罚结果执行。</w:t>
      </w:r>
    </w:p>
    <w:p w14:paraId="1D75CCE6">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（3）供应商为联合体形式的，联合体成员存在不良信用记录的，视同联合体存在不良信用记录。</w:t>
      </w:r>
    </w:p>
    <w:p w14:paraId="3D4E4C5D">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（4）信用信息查询记录和证据留存具体方式：磋商小组</w:t>
      </w:r>
      <w:r>
        <w:rPr>
          <w:rFonts w:ascii="宋体" w:hAnsi="宋体"/>
          <w:szCs w:val="21"/>
          <w:highlight w:val="none"/>
        </w:rPr>
        <w:t>将查询网页</w:t>
      </w:r>
      <w:r>
        <w:rPr>
          <w:rFonts w:hint="eastAsia" w:ascii="宋体" w:hAnsi="宋体"/>
          <w:szCs w:val="21"/>
          <w:highlight w:val="none"/>
        </w:rPr>
        <w:t>截图、</w:t>
      </w:r>
      <w:r>
        <w:rPr>
          <w:rFonts w:ascii="宋体" w:hAnsi="宋体"/>
          <w:szCs w:val="21"/>
          <w:highlight w:val="none"/>
        </w:rPr>
        <w:t>打印、签字</w:t>
      </w:r>
      <w:r>
        <w:rPr>
          <w:rFonts w:hint="eastAsia" w:ascii="宋体" w:hAnsi="宋体"/>
          <w:szCs w:val="21"/>
          <w:highlight w:val="none"/>
        </w:rPr>
        <w:t>，作为查询记录和证据，与其他采购文件一并保存。供应商</w:t>
      </w:r>
      <w:r>
        <w:rPr>
          <w:rFonts w:ascii="宋体" w:hAnsi="宋体"/>
          <w:szCs w:val="21"/>
          <w:highlight w:val="none"/>
        </w:rPr>
        <w:t>不良信用记录以</w:t>
      </w:r>
      <w:r>
        <w:rPr>
          <w:rFonts w:hint="eastAsia" w:ascii="宋体" w:hAnsi="宋体"/>
          <w:szCs w:val="21"/>
          <w:highlight w:val="none"/>
        </w:rPr>
        <w:t>磋商小组</w:t>
      </w:r>
      <w:r>
        <w:rPr>
          <w:rFonts w:ascii="宋体" w:hAnsi="宋体"/>
          <w:szCs w:val="21"/>
          <w:highlight w:val="none"/>
        </w:rPr>
        <w:t>查询结果为准</w:t>
      </w:r>
      <w:r>
        <w:rPr>
          <w:rFonts w:hint="eastAsia" w:ascii="宋体" w:hAnsi="宋体"/>
          <w:szCs w:val="21"/>
          <w:highlight w:val="none"/>
        </w:rPr>
        <w:t>。</w:t>
      </w:r>
    </w:p>
    <w:p w14:paraId="17DB31DE">
      <w:pPr>
        <w:pStyle w:val="10"/>
        <w:keepNext w:val="0"/>
        <w:keepLines w:val="0"/>
        <w:adjustRightInd w:val="0"/>
        <w:snapToGrid w:val="0"/>
        <w:spacing w:before="0" w:after="0" w:line="360" w:lineRule="auto"/>
        <w:rPr>
          <w:rFonts w:hint="eastAsia" w:ascii="黑体" w:hAnsi="黑体"/>
          <w:sz w:val="24"/>
          <w:szCs w:val="24"/>
          <w:highlight w:val="none"/>
        </w:rPr>
      </w:pPr>
      <w:bookmarkStart w:id="315" w:name="_Toc3482"/>
      <w:bookmarkStart w:id="316" w:name="_Toc29355"/>
      <w:bookmarkStart w:id="317" w:name="_Toc18751"/>
      <w:bookmarkStart w:id="318" w:name="_Toc2860"/>
      <w:r>
        <w:rPr>
          <w:rFonts w:hint="eastAsia" w:ascii="黑体" w:hAnsi="黑体"/>
          <w:sz w:val="24"/>
          <w:szCs w:val="24"/>
          <w:highlight w:val="none"/>
        </w:rPr>
        <w:t>2.供应商资格审查（已</w:t>
      </w:r>
      <w:r>
        <w:rPr>
          <w:rFonts w:hint="eastAsia" w:ascii="宋体" w:hAnsi="宋体"/>
          <w:bCs w:val="0"/>
          <w:sz w:val="24"/>
          <w:szCs w:val="24"/>
          <w:highlight w:val="none"/>
        </w:rPr>
        <w:t>进行资格预审的</w:t>
      </w:r>
      <w:r>
        <w:rPr>
          <w:rFonts w:hint="eastAsia" w:ascii="黑体" w:hAnsi="黑体"/>
          <w:sz w:val="24"/>
          <w:szCs w:val="24"/>
          <w:highlight w:val="none"/>
        </w:rPr>
        <w:t>）</w:t>
      </w:r>
      <w:bookmarkEnd w:id="315"/>
      <w:bookmarkEnd w:id="316"/>
      <w:bookmarkEnd w:id="317"/>
      <w:bookmarkEnd w:id="318"/>
    </w:p>
    <w:p w14:paraId="6E708784">
      <w:pPr>
        <w:adjustRightInd w:val="0"/>
        <w:snapToGrid w:val="0"/>
        <w:spacing w:line="360" w:lineRule="auto"/>
        <w:ind w:firstLine="420" w:firstLineChars="200"/>
        <w:rPr>
          <w:rFonts w:hint="eastAsia" w:ascii="宋体" w:hAnsi="宋体" w:cs="宋体"/>
          <w:kern w:val="0"/>
          <w:highlight w:val="none"/>
          <w:lang w:val="zh-CN"/>
        </w:rPr>
      </w:pPr>
      <w:r>
        <w:rPr>
          <w:rFonts w:hint="eastAsia" w:ascii="宋体" w:hAnsi="宋体"/>
          <w:highlight w:val="none"/>
        </w:rPr>
        <w:t>2.1供应商若有第二章第</w:t>
      </w:r>
      <w:r>
        <w:rPr>
          <w:rFonts w:ascii="宋体" w:hAnsi="宋体"/>
          <w:highlight w:val="none"/>
        </w:rPr>
        <w:t>10.1</w:t>
      </w:r>
      <w:r>
        <w:rPr>
          <w:rFonts w:hint="eastAsia" w:ascii="宋体" w:hAnsi="宋体"/>
          <w:highlight w:val="none"/>
        </w:rPr>
        <w:t>款规定情形，</w:t>
      </w:r>
      <w:r>
        <w:rPr>
          <w:rFonts w:hint="eastAsia" w:ascii="宋体" w:hAnsi="宋体"/>
          <w:szCs w:val="21"/>
          <w:highlight w:val="none"/>
        </w:rPr>
        <w:t>磋商小组</w:t>
      </w:r>
      <w:r>
        <w:rPr>
          <w:rFonts w:hint="eastAsia" w:ascii="宋体" w:hAnsi="宋体"/>
          <w:highlight w:val="none"/>
        </w:rPr>
        <w:t>按该款规定进行审查。</w:t>
      </w:r>
      <w:r>
        <w:rPr>
          <w:rFonts w:hint="eastAsia" w:ascii="宋体" w:hAnsi="宋体"/>
          <w:szCs w:val="21"/>
          <w:highlight w:val="none"/>
        </w:rPr>
        <w:t>除本</w:t>
      </w:r>
      <w:r>
        <w:rPr>
          <w:rFonts w:hint="eastAsia" w:ascii="宋体" w:hAnsi="宋体" w:cs="宋体"/>
          <w:kern w:val="0"/>
          <w:szCs w:val="21"/>
          <w:highlight w:val="none"/>
          <w:lang w:val="zh-CN"/>
        </w:rPr>
        <w:t>款规定的</w:t>
      </w:r>
      <w:r>
        <w:rPr>
          <w:rFonts w:hint="eastAsia" w:ascii="宋体" w:hAnsi="宋体"/>
          <w:highlight w:val="none"/>
        </w:rPr>
        <w:t>情形外，</w:t>
      </w:r>
      <w:r>
        <w:rPr>
          <w:rFonts w:hint="eastAsia" w:ascii="宋体" w:hAnsi="宋体"/>
          <w:szCs w:val="21"/>
          <w:highlight w:val="none"/>
        </w:rPr>
        <w:t>磋商小组</w:t>
      </w:r>
      <w:r>
        <w:rPr>
          <w:rFonts w:hint="eastAsia" w:hAnsi="宋体"/>
          <w:highlight w:val="none"/>
        </w:rPr>
        <w:t>不再对供应商进行资格审查。</w:t>
      </w:r>
    </w:p>
    <w:bookmarkEnd w:id="313"/>
    <w:bookmarkEnd w:id="314"/>
    <w:p w14:paraId="4D3F0522">
      <w:pPr>
        <w:pStyle w:val="10"/>
        <w:keepNext w:val="0"/>
        <w:keepLines w:val="0"/>
        <w:adjustRightInd w:val="0"/>
        <w:snapToGrid w:val="0"/>
        <w:spacing w:before="0" w:after="0" w:line="360" w:lineRule="auto"/>
        <w:rPr>
          <w:rFonts w:hint="eastAsia" w:ascii="黑体" w:hAnsi="黑体"/>
          <w:sz w:val="24"/>
          <w:szCs w:val="24"/>
          <w:highlight w:val="none"/>
        </w:rPr>
      </w:pPr>
      <w:bookmarkStart w:id="319" w:name="_Toc30117"/>
      <w:bookmarkStart w:id="320" w:name="_Toc22201081"/>
      <w:bookmarkStart w:id="321" w:name="_Toc27580185"/>
      <w:bookmarkStart w:id="322" w:name="_Toc28507"/>
      <w:bookmarkStart w:id="323" w:name="_Toc12547"/>
      <w:bookmarkStart w:id="324" w:name="_Toc22873"/>
      <w:r>
        <w:rPr>
          <w:rFonts w:hint="eastAsia" w:ascii="黑体" w:hAnsi="黑体"/>
          <w:sz w:val="24"/>
          <w:szCs w:val="24"/>
          <w:highlight w:val="none"/>
        </w:rPr>
        <w:t>3.资格审查结果</w:t>
      </w:r>
      <w:bookmarkEnd w:id="319"/>
      <w:bookmarkEnd w:id="320"/>
      <w:bookmarkEnd w:id="321"/>
      <w:bookmarkEnd w:id="322"/>
      <w:bookmarkEnd w:id="323"/>
      <w:bookmarkEnd w:id="324"/>
    </w:p>
    <w:p w14:paraId="12A6E489">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3.1未通过资格审查的磋商小组应当告知其未通过的原因。</w:t>
      </w:r>
    </w:p>
    <w:p w14:paraId="634D4B2B">
      <w:pPr>
        <w:pStyle w:val="8"/>
        <w:adjustRightInd w:val="0"/>
        <w:snapToGrid w:val="0"/>
        <w:jc w:val="center"/>
        <w:rPr>
          <w:rFonts w:hint="eastAsia" w:ascii="黑体" w:hAnsi="黑体" w:eastAsia="黑体"/>
          <w:sz w:val="28"/>
          <w:szCs w:val="28"/>
          <w:highlight w:val="none"/>
        </w:rPr>
      </w:pPr>
      <w:bookmarkStart w:id="325" w:name="_Toc31355"/>
      <w:bookmarkStart w:id="326" w:name="_Toc32245"/>
      <w:bookmarkStart w:id="327" w:name="_Toc27965"/>
      <w:bookmarkStart w:id="328" w:name="_Toc15892"/>
      <w:r>
        <w:rPr>
          <w:rFonts w:hint="eastAsia" w:ascii="黑体" w:hAnsi="黑体" w:eastAsia="黑体"/>
          <w:sz w:val="28"/>
          <w:szCs w:val="28"/>
          <w:highlight w:val="none"/>
        </w:rPr>
        <w:t>第二节评审方法及标准</w:t>
      </w:r>
      <w:bookmarkEnd w:id="325"/>
      <w:bookmarkEnd w:id="326"/>
      <w:bookmarkEnd w:id="327"/>
      <w:bookmarkEnd w:id="328"/>
    </w:p>
    <w:p w14:paraId="49B22DBB">
      <w:pPr>
        <w:pStyle w:val="10"/>
        <w:keepNext w:val="0"/>
        <w:keepLines w:val="0"/>
        <w:adjustRightInd w:val="0"/>
        <w:snapToGrid w:val="0"/>
        <w:spacing w:before="0" w:after="0" w:line="360" w:lineRule="auto"/>
        <w:rPr>
          <w:rFonts w:hint="eastAsia" w:ascii="黑体" w:hAnsi="黑体"/>
          <w:sz w:val="24"/>
          <w:szCs w:val="24"/>
          <w:highlight w:val="none"/>
        </w:rPr>
      </w:pPr>
      <w:bookmarkStart w:id="329" w:name="_Toc10798"/>
      <w:bookmarkStart w:id="330" w:name="_Toc27580187"/>
      <w:bookmarkStart w:id="331" w:name="_Toc24866"/>
      <w:bookmarkStart w:id="332" w:name="_Toc8448"/>
      <w:bookmarkStart w:id="333" w:name="_Toc15878"/>
      <w:bookmarkStart w:id="334" w:name="_Toc23255863"/>
      <w:r>
        <w:rPr>
          <w:rFonts w:hint="eastAsia" w:ascii="黑体" w:hAnsi="黑体"/>
          <w:sz w:val="24"/>
          <w:szCs w:val="24"/>
          <w:highlight w:val="none"/>
        </w:rPr>
        <w:t>5.评审方法</w:t>
      </w:r>
      <w:bookmarkEnd w:id="329"/>
      <w:bookmarkEnd w:id="330"/>
      <w:bookmarkEnd w:id="331"/>
      <w:bookmarkEnd w:id="332"/>
      <w:bookmarkEnd w:id="333"/>
    </w:p>
    <w:p w14:paraId="40B8238F">
      <w:pPr>
        <w:adjustRightInd w:val="0"/>
        <w:snapToGrid w:val="0"/>
        <w:spacing w:line="360" w:lineRule="auto"/>
        <w:ind w:firstLine="420" w:firstLineChars="200"/>
        <w:jc w:val="left"/>
        <w:rPr>
          <w:rFonts w:hint="eastAsia" w:ascii="宋体" w:hAnsi="宋体"/>
          <w:bCs/>
          <w:szCs w:val="21"/>
          <w:highlight w:val="none"/>
        </w:rPr>
      </w:pPr>
      <w:r>
        <w:rPr>
          <w:rFonts w:hint="eastAsia" w:ascii="宋体" w:hAnsi="宋体"/>
          <w:bCs/>
          <w:szCs w:val="21"/>
          <w:highlight w:val="none"/>
        </w:rPr>
        <w:t>5.1经磋商确定最终采购需求和供应商提交最后报价后，由磋商小组采用综合评分法对提交最后报价的供应商的响应文件和最后报价进行综合评分。</w:t>
      </w:r>
    </w:p>
    <w:p w14:paraId="3DADC9FC">
      <w:pPr>
        <w:adjustRightInd w:val="0"/>
        <w:snapToGrid w:val="0"/>
        <w:spacing w:line="360" w:lineRule="auto"/>
        <w:ind w:firstLine="420" w:firstLineChars="200"/>
        <w:jc w:val="left"/>
        <w:rPr>
          <w:rFonts w:hint="eastAsia" w:ascii="宋体" w:hAnsi="宋体"/>
          <w:bCs/>
          <w:szCs w:val="21"/>
          <w:highlight w:val="none"/>
        </w:rPr>
      </w:pPr>
      <w:r>
        <w:rPr>
          <w:rFonts w:hint="eastAsia" w:ascii="宋体" w:hAnsi="宋体"/>
          <w:bCs/>
          <w:szCs w:val="21"/>
          <w:highlight w:val="none"/>
        </w:rPr>
        <w:t>5.2综合评分法，是指响应文件满足磋商文件全部实质性要求且按评审因素的量化指标评审得分最高的供应商为成交候选供应商的评审方法。</w:t>
      </w:r>
    </w:p>
    <w:p w14:paraId="44D95CCB">
      <w:pPr>
        <w:pStyle w:val="10"/>
        <w:keepNext w:val="0"/>
        <w:keepLines w:val="0"/>
        <w:adjustRightInd w:val="0"/>
        <w:snapToGrid w:val="0"/>
        <w:spacing w:before="0" w:after="0" w:line="360" w:lineRule="auto"/>
        <w:rPr>
          <w:rFonts w:hint="eastAsia" w:ascii="黑体" w:hAnsi="黑体"/>
          <w:sz w:val="24"/>
          <w:szCs w:val="24"/>
          <w:highlight w:val="none"/>
        </w:rPr>
      </w:pPr>
      <w:bookmarkStart w:id="335" w:name="_Toc19183"/>
      <w:bookmarkStart w:id="336" w:name="_Toc29352"/>
      <w:bookmarkStart w:id="337" w:name="_Toc24765"/>
      <w:bookmarkStart w:id="338" w:name="_Toc9399"/>
      <w:bookmarkStart w:id="339" w:name="_Toc27580188"/>
      <w:r>
        <w:rPr>
          <w:rFonts w:hint="eastAsia" w:ascii="黑体" w:hAnsi="黑体"/>
          <w:sz w:val="24"/>
          <w:szCs w:val="24"/>
          <w:highlight w:val="none"/>
        </w:rPr>
        <w:t>6.符合性评审</w:t>
      </w:r>
      <w:bookmarkEnd w:id="335"/>
      <w:bookmarkEnd w:id="336"/>
      <w:bookmarkEnd w:id="337"/>
      <w:bookmarkEnd w:id="338"/>
    </w:p>
    <w:p w14:paraId="31CD9894">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6.1响应文件审查。审查标准：本章附表2“符合性审查表”。响应文件的实质性变动内容，根据第二章第24.5款规定，在磋商结束后，对供应商重新提交的响应文件进行审查。</w:t>
      </w:r>
    </w:p>
    <w:p w14:paraId="080F752C">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6.2在磋商过程中发现供应商有不遵循公平竞争的原则，恶意串通，妨碍其他供应商的竞争行为，损害采购人或者其他供应商的合法权益的，磋商小组应当认定其响应无效，并书面报告本级财政部门。</w:t>
      </w:r>
    </w:p>
    <w:p w14:paraId="2CF5B6AA">
      <w:pPr>
        <w:pStyle w:val="10"/>
        <w:adjustRightInd w:val="0"/>
        <w:snapToGrid w:val="0"/>
        <w:spacing w:before="0" w:after="0" w:line="360" w:lineRule="auto"/>
        <w:rPr>
          <w:rFonts w:hint="eastAsia" w:ascii="黑体" w:hAnsi="黑体"/>
          <w:sz w:val="24"/>
          <w:szCs w:val="24"/>
          <w:highlight w:val="none"/>
        </w:rPr>
      </w:pPr>
      <w:bookmarkStart w:id="340" w:name="_Toc31864"/>
      <w:bookmarkStart w:id="341" w:name="_Toc3391"/>
      <w:bookmarkStart w:id="342" w:name="_Toc18945"/>
      <w:bookmarkStart w:id="343" w:name="_Toc5975"/>
      <w:r>
        <w:rPr>
          <w:rFonts w:hint="eastAsia" w:ascii="黑体" w:hAnsi="黑体"/>
          <w:sz w:val="24"/>
          <w:szCs w:val="24"/>
          <w:highlight w:val="none"/>
        </w:rPr>
        <w:t>7.比较与评价</w:t>
      </w:r>
      <w:bookmarkEnd w:id="340"/>
      <w:bookmarkEnd w:id="341"/>
      <w:bookmarkEnd w:id="342"/>
      <w:bookmarkEnd w:id="343"/>
    </w:p>
    <w:p w14:paraId="05FB69A1">
      <w:pPr>
        <w:adjustRightInd w:val="0"/>
        <w:snapToGrid w:val="0"/>
        <w:spacing w:line="360" w:lineRule="auto"/>
        <w:ind w:firstLine="420" w:firstLineChars="200"/>
        <w:jc w:val="left"/>
        <w:rPr>
          <w:rFonts w:hint="eastAsia" w:ascii="宋体" w:hAnsi="宋体"/>
          <w:bCs/>
          <w:szCs w:val="21"/>
          <w:highlight w:val="none"/>
        </w:rPr>
      </w:pPr>
      <w:r>
        <w:rPr>
          <w:rFonts w:hint="eastAsia" w:ascii="宋体" w:hAnsi="宋体"/>
          <w:bCs/>
          <w:szCs w:val="21"/>
          <w:highlight w:val="none"/>
        </w:rPr>
        <w:t>7.1 评审标准：评审因素和标准：本章附表3“评审方法及标准表”。</w:t>
      </w:r>
    </w:p>
    <w:p w14:paraId="3E9F4F95">
      <w:pPr>
        <w:pStyle w:val="10"/>
        <w:keepNext w:val="0"/>
        <w:keepLines w:val="0"/>
        <w:adjustRightInd w:val="0"/>
        <w:snapToGrid w:val="0"/>
        <w:spacing w:before="0" w:after="0" w:line="360" w:lineRule="auto"/>
        <w:rPr>
          <w:rFonts w:hint="eastAsia" w:ascii="黑体" w:hAnsi="黑体"/>
          <w:sz w:val="24"/>
          <w:szCs w:val="24"/>
          <w:highlight w:val="none"/>
        </w:rPr>
      </w:pPr>
      <w:bookmarkStart w:id="344" w:name="_Toc3498"/>
      <w:bookmarkStart w:id="345" w:name="_Toc13328"/>
      <w:bookmarkStart w:id="346" w:name="_Toc24639"/>
      <w:bookmarkStart w:id="347" w:name="_Toc388"/>
      <w:r>
        <w:rPr>
          <w:rFonts w:hint="eastAsia" w:ascii="黑体" w:hAnsi="黑体"/>
          <w:sz w:val="24"/>
          <w:szCs w:val="24"/>
          <w:highlight w:val="none"/>
        </w:rPr>
        <w:t>8.磋商报价评价</w:t>
      </w:r>
      <w:bookmarkEnd w:id="344"/>
      <w:bookmarkEnd w:id="345"/>
      <w:bookmarkEnd w:id="346"/>
      <w:bookmarkEnd w:id="347"/>
    </w:p>
    <w:p w14:paraId="7E2FF36E">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8.1报价评价：价格分应当采用低价优先法计算，即满足磋商文件要求且最后报价最低的报价为磋商基准价，其价格分为满分（报价权重分）。其他供应商的价格分统一按照下列公式计算：</w:t>
      </w:r>
    </w:p>
    <w:p w14:paraId="39209397">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磋商报价得分=（磋商基准价／最后磋商报价）× 报价权重分</w:t>
      </w:r>
    </w:p>
    <w:p w14:paraId="21042A5D">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8.2因算术修正及落实政府采购政策(价格评审优惠)进行价格调整的，以调整后的价格计算磋商基准价和磋商最后报价。</w:t>
      </w:r>
    </w:p>
    <w:p w14:paraId="061E6F7A">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（1）如果有算术错误，最后报价将按第二章第二节第23.2款规定进行算术修正。</w:t>
      </w:r>
    </w:p>
    <w:p w14:paraId="674C7B93">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（2）需落实政府采购政策（价格评审优惠）的，按第二章第二节第40条的相关规定进行价格调整。</w:t>
      </w:r>
    </w:p>
    <w:p w14:paraId="4F6D2C76">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8.3供应商最终报价存在以下情形之一的，磋商小组将启动异常低价响应审查程序，要求其在磋商现场合理的时间内提供项目具体成本测算等与报价合理性相关的书面说明及必要的证明材料，包括但不限于原材料成本、人工成本、制造费用等；供应商不能证明其报价合理性的，磋商小组应当将其作为响应无效处理。</w:t>
      </w:r>
    </w:p>
    <w:p w14:paraId="3F0610FB">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（1）响应报价低于全部通过符合性审查供应商响应报价平均值</w:t>
      </w:r>
      <w:r>
        <w:rPr>
          <w:rFonts w:hint="eastAsia" w:ascii="宋体" w:hAnsi="宋体"/>
          <w:highlight w:val="none"/>
          <w:lang w:val="en-US" w:eastAsia="zh-CN"/>
        </w:rPr>
        <w:t>65</w:t>
      </w:r>
      <w:r>
        <w:rPr>
          <w:rFonts w:hint="eastAsia" w:ascii="宋体" w:hAnsi="宋体"/>
          <w:highlight w:val="none"/>
        </w:rPr>
        <w:t>%的，即响应报价&lt;全部通过符合性审查供应商响应报价平均值×</w:t>
      </w:r>
      <w:r>
        <w:rPr>
          <w:rFonts w:hint="eastAsia" w:ascii="宋体" w:hAnsi="宋体"/>
          <w:highlight w:val="none"/>
          <w:lang w:val="en-US" w:eastAsia="zh-CN"/>
        </w:rPr>
        <w:t>65</w:t>
      </w:r>
      <w:r>
        <w:rPr>
          <w:rFonts w:hint="eastAsia" w:ascii="宋体" w:hAnsi="宋体"/>
          <w:highlight w:val="none"/>
        </w:rPr>
        <w:t>%；</w:t>
      </w:r>
    </w:p>
    <w:p w14:paraId="7BB13409">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（2）响应报价低于通过符合性审查的次低报价供应商响应报价</w:t>
      </w:r>
      <w:r>
        <w:rPr>
          <w:rFonts w:hint="eastAsia" w:ascii="宋体" w:hAnsi="宋体"/>
          <w:highlight w:val="none"/>
          <w:lang w:val="en-US" w:eastAsia="zh-CN"/>
        </w:rPr>
        <w:t>65</w:t>
      </w:r>
      <w:r>
        <w:rPr>
          <w:rFonts w:hint="eastAsia" w:ascii="宋体" w:hAnsi="宋体"/>
          <w:highlight w:val="none"/>
        </w:rPr>
        <w:t>%的，即响应报价&lt;通过符合性审查的次低报价供应商响应报价×</w:t>
      </w:r>
      <w:r>
        <w:rPr>
          <w:rFonts w:hint="eastAsia" w:ascii="宋体" w:hAnsi="宋体"/>
          <w:highlight w:val="none"/>
          <w:lang w:val="en-US" w:eastAsia="zh-CN"/>
        </w:rPr>
        <w:t>65</w:t>
      </w:r>
      <w:r>
        <w:rPr>
          <w:rFonts w:hint="eastAsia" w:ascii="宋体" w:hAnsi="宋体"/>
          <w:highlight w:val="none"/>
        </w:rPr>
        <w:t>%；</w:t>
      </w:r>
    </w:p>
    <w:p w14:paraId="1AD7741C">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（3）响应报价低于采购项目最高限价</w:t>
      </w:r>
      <w:r>
        <w:rPr>
          <w:rFonts w:hint="eastAsia" w:ascii="宋体" w:hAnsi="宋体"/>
          <w:highlight w:val="none"/>
          <w:lang w:val="en-US" w:eastAsia="zh-CN"/>
        </w:rPr>
        <w:t>65</w:t>
      </w:r>
      <w:r>
        <w:rPr>
          <w:rFonts w:hint="eastAsia" w:ascii="宋体" w:hAnsi="宋体"/>
          <w:highlight w:val="none"/>
        </w:rPr>
        <w:t>%的，即响应报价&lt;采购项目最高限价×</w:t>
      </w:r>
      <w:r>
        <w:rPr>
          <w:rFonts w:hint="eastAsia" w:ascii="宋体" w:hAnsi="宋体"/>
          <w:highlight w:val="none"/>
          <w:lang w:val="en-US" w:eastAsia="zh-CN"/>
        </w:rPr>
        <w:t>65</w:t>
      </w:r>
      <w:r>
        <w:rPr>
          <w:rFonts w:hint="eastAsia" w:ascii="宋体" w:hAnsi="宋体"/>
          <w:highlight w:val="none"/>
        </w:rPr>
        <w:t>%；</w:t>
      </w:r>
    </w:p>
    <w:p w14:paraId="22CC8327">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（4）磋商小组基于专业判断，认为供应商报价过低，有可能影响产品质量或者不能诚信履约的其他情形。</w:t>
      </w:r>
    </w:p>
    <w:bookmarkEnd w:id="339"/>
    <w:p w14:paraId="1D556B27">
      <w:pPr>
        <w:pStyle w:val="10"/>
        <w:keepNext w:val="0"/>
        <w:keepLines w:val="0"/>
        <w:adjustRightInd w:val="0"/>
        <w:snapToGrid w:val="0"/>
        <w:spacing w:before="0" w:after="0" w:line="360" w:lineRule="auto"/>
        <w:rPr>
          <w:rFonts w:hint="eastAsia" w:ascii="黑体" w:hAnsi="黑体"/>
          <w:sz w:val="24"/>
          <w:szCs w:val="24"/>
          <w:highlight w:val="none"/>
        </w:rPr>
      </w:pPr>
      <w:bookmarkStart w:id="348" w:name="_Toc2752"/>
      <w:bookmarkStart w:id="349" w:name="_Toc3282"/>
      <w:bookmarkStart w:id="350" w:name="_Toc10563"/>
      <w:bookmarkStart w:id="351" w:name="_Toc27580190"/>
      <w:bookmarkStart w:id="352" w:name="_Toc15412"/>
      <w:r>
        <w:rPr>
          <w:rFonts w:hint="eastAsia" w:ascii="黑体" w:hAnsi="黑体"/>
          <w:sz w:val="24"/>
          <w:szCs w:val="24"/>
          <w:highlight w:val="none"/>
        </w:rPr>
        <w:t>9.技术、商务评价</w:t>
      </w:r>
      <w:bookmarkEnd w:id="348"/>
      <w:bookmarkEnd w:id="349"/>
      <w:bookmarkEnd w:id="350"/>
      <w:bookmarkEnd w:id="351"/>
      <w:bookmarkEnd w:id="352"/>
    </w:p>
    <w:p w14:paraId="76A42481">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9.1技术、商务等评分项响应评分。按</w:t>
      </w:r>
      <w:r>
        <w:rPr>
          <w:rFonts w:hint="eastAsia" w:ascii="宋体" w:hAnsi="宋体"/>
          <w:bCs/>
          <w:szCs w:val="21"/>
          <w:highlight w:val="none"/>
        </w:rPr>
        <w:t>本章</w:t>
      </w:r>
      <w:r>
        <w:rPr>
          <w:rFonts w:hint="eastAsia" w:ascii="宋体" w:hAnsi="宋体"/>
          <w:szCs w:val="21"/>
          <w:highlight w:val="none"/>
        </w:rPr>
        <w:t>附表3“评审方法及标准表”规定的评审因素和标准，对技术、商务等评分项计算得分。</w:t>
      </w:r>
    </w:p>
    <w:p w14:paraId="7B2047E8">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9.2需落实政府采购政策（优先采购）的，按第二章第二节第39条以及本章附表3“评审方法及标准表”的相关规定进行技术、价格、商务项得分(加分)计算。</w:t>
      </w:r>
    </w:p>
    <w:p w14:paraId="573B320A">
      <w:pPr>
        <w:pStyle w:val="10"/>
        <w:adjustRightInd w:val="0"/>
        <w:snapToGrid w:val="0"/>
        <w:spacing w:before="0" w:after="0" w:line="360" w:lineRule="auto"/>
        <w:rPr>
          <w:rFonts w:hint="eastAsia" w:ascii="黑体" w:hAnsi="黑体"/>
          <w:sz w:val="24"/>
          <w:szCs w:val="24"/>
          <w:highlight w:val="none"/>
        </w:rPr>
      </w:pPr>
      <w:bookmarkStart w:id="353" w:name="_Toc16673"/>
      <w:bookmarkStart w:id="354" w:name="_Toc290"/>
      <w:bookmarkStart w:id="355" w:name="_Toc3995"/>
      <w:bookmarkStart w:id="356" w:name="_Toc13296"/>
      <w:r>
        <w:rPr>
          <w:rFonts w:hint="eastAsia" w:ascii="黑体" w:hAnsi="黑体"/>
          <w:sz w:val="24"/>
          <w:szCs w:val="24"/>
          <w:highlight w:val="none"/>
        </w:rPr>
        <w:t>10.评价总得分</w:t>
      </w:r>
      <w:bookmarkEnd w:id="353"/>
      <w:bookmarkEnd w:id="354"/>
      <w:bookmarkEnd w:id="355"/>
      <w:bookmarkEnd w:id="356"/>
    </w:p>
    <w:p w14:paraId="58EB0347">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10.1评价总得分为磋商报价、技术、商务等评分项得分(含优先采购政策加分)之和。</w:t>
      </w:r>
    </w:p>
    <w:p w14:paraId="61EC0343">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评价总得分＝A</w:t>
      </w:r>
      <w:r>
        <w:rPr>
          <w:rFonts w:hint="eastAsia" w:ascii="宋体" w:hAnsi="宋体"/>
          <w:szCs w:val="21"/>
          <w:highlight w:val="none"/>
          <w:vertAlign w:val="subscript"/>
        </w:rPr>
        <w:t>磋商报价得分</w:t>
      </w:r>
      <w:r>
        <w:rPr>
          <w:rFonts w:hint="eastAsia" w:ascii="宋体" w:hAnsi="宋体"/>
          <w:szCs w:val="21"/>
          <w:highlight w:val="none"/>
        </w:rPr>
        <w:t>＋A</w:t>
      </w:r>
      <w:r>
        <w:rPr>
          <w:rFonts w:hint="eastAsia" w:ascii="宋体" w:hAnsi="宋体"/>
          <w:szCs w:val="21"/>
          <w:highlight w:val="none"/>
          <w:vertAlign w:val="subscript"/>
        </w:rPr>
        <w:t>技术项得分</w:t>
      </w:r>
      <w:r>
        <w:rPr>
          <w:rFonts w:hint="eastAsia" w:ascii="宋体" w:hAnsi="宋体"/>
          <w:szCs w:val="21"/>
          <w:highlight w:val="none"/>
        </w:rPr>
        <w:t>＋A</w:t>
      </w:r>
      <w:r>
        <w:rPr>
          <w:rFonts w:hint="eastAsia" w:ascii="宋体" w:hAnsi="宋体"/>
          <w:szCs w:val="21"/>
          <w:highlight w:val="none"/>
          <w:vertAlign w:val="subscript"/>
        </w:rPr>
        <w:t>商务项得分</w:t>
      </w:r>
      <w:r>
        <w:rPr>
          <w:rFonts w:hint="eastAsia" w:ascii="宋体" w:hAnsi="宋体"/>
          <w:szCs w:val="21"/>
          <w:highlight w:val="none"/>
        </w:rPr>
        <w:t>＋A</w:t>
      </w:r>
      <w:r>
        <w:rPr>
          <w:rFonts w:hint="eastAsia" w:ascii="宋体" w:hAnsi="宋体"/>
          <w:szCs w:val="21"/>
          <w:highlight w:val="none"/>
          <w:vertAlign w:val="subscript"/>
        </w:rPr>
        <w:t>优先采购加分</w:t>
      </w:r>
    </w:p>
    <w:p w14:paraId="6F7678BB">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10.2评分分值计算保留小数点后两位，小数点后第三位“四舍五入”。</w:t>
      </w:r>
    </w:p>
    <w:p w14:paraId="06934426">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cs="宋体"/>
          <w:kern w:val="0"/>
          <w:szCs w:val="21"/>
          <w:highlight w:val="none"/>
        </w:rPr>
        <w:t>10.3</w:t>
      </w:r>
      <w:r>
        <w:rPr>
          <w:rFonts w:hint="eastAsia" w:ascii="宋体" w:hAnsi="宋体"/>
          <w:szCs w:val="21"/>
          <w:highlight w:val="none"/>
        </w:rPr>
        <w:t>评审时，磋商小组成员应当独立对满足磋商文件全部实质性要求供应商的响应</w:t>
      </w:r>
      <w:r>
        <w:rPr>
          <w:rFonts w:hint="eastAsia" w:ascii="宋体" w:hAnsi="宋体"/>
          <w:bCs/>
          <w:szCs w:val="21"/>
          <w:highlight w:val="none"/>
        </w:rPr>
        <w:t>文件</w:t>
      </w:r>
      <w:r>
        <w:rPr>
          <w:rFonts w:hint="eastAsia" w:ascii="宋体" w:hAnsi="宋体"/>
          <w:szCs w:val="21"/>
          <w:highlight w:val="none"/>
        </w:rPr>
        <w:t>进行评价、评分，然后汇总每个供应商每项评分因素的得分。每个供应商的最终得分为所有磋商小组成员评分的算术平均值。</w:t>
      </w:r>
    </w:p>
    <w:p w14:paraId="1EB77C1D">
      <w:pPr>
        <w:pStyle w:val="10"/>
        <w:keepNext w:val="0"/>
        <w:keepLines w:val="0"/>
        <w:adjustRightInd w:val="0"/>
        <w:snapToGrid w:val="0"/>
        <w:spacing w:before="0" w:after="0" w:line="360" w:lineRule="auto"/>
        <w:rPr>
          <w:rFonts w:hint="eastAsia" w:ascii="黑体" w:hAnsi="黑体"/>
          <w:sz w:val="24"/>
          <w:szCs w:val="24"/>
          <w:highlight w:val="none"/>
        </w:rPr>
      </w:pPr>
      <w:bookmarkStart w:id="357" w:name="_Toc16896"/>
      <w:bookmarkStart w:id="358" w:name="_Toc7141"/>
      <w:bookmarkStart w:id="359" w:name="_Toc11255"/>
      <w:bookmarkStart w:id="360" w:name="_Toc2030"/>
      <w:bookmarkStart w:id="361" w:name="_Toc27580191"/>
      <w:r>
        <w:rPr>
          <w:rFonts w:hint="eastAsia" w:ascii="黑体" w:hAnsi="黑体"/>
          <w:sz w:val="24"/>
          <w:szCs w:val="24"/>
          <w:highlight w:val="none"/>
        </w:rPr>
        <w:t>11.推荐成交候选供应商</w:t>
      </w:r>
      <w:bookmarkEnd w:id="357"/>
      <w:bookmarkEnd w:id="358"/>
      <w:bookmarkEnd w:id="359"/>
      <w:bookmarkEnd w:id="360"/>
      <w:bookmarkEnd w:id="361"/>
    </w:p>
    <w:p w14:paraId="593EB339">
      <w:pPr>
        <w:adjustRightInd w:val="0"/>
        <w:snapToGrid w:val="0"/>
        <w:spacing w:line="360" w:lineRule="auto"/>
        <w:ind w:firstLine="420" w:firstLineChars="200"/>
        <w:jc w:val="left"/>
        <w:rPr>
          <w:rFonts w:hint="eastAsia" w:ascii="宋体" w:hAnsi="宋体"/>
          <w:bCs/>
          <w:szCs w:val="21"/>
          <w:highlight w:val="none"/>
        </w:rPr>
      </w:pPr>
      <w:r>
        <w:rPr>
          <w:rFonts w:hint="eastAsia" w:ascii="宋体" w:hAnsi="宋体"/>
          <w:bCs/>
          <w:szCs w:val="21"/>
          <w:highlight w:val="none"/>
        </w:rPr>
        <w:t>11.1磋商小组应当根据综合评分情况，按照评审得分由高到低顺序推荐3名以上成交候选供应商，并编写评审报告。符合第二章第二节第</w:t>
      </w:r>
      <w:r>
        <w:rPr>
          <w:rFonts w:ascii="宋体" w:hAnsi="宋体"/>
          <w:bCs/>
          <w:szCs w:val="21"/>
          <w:highlight w:val="none"/>
        </w:rPr>
        <w:t>2</w:t>
      </w:r>
      <w:r>
        <w:rPr>
          <w:rFonts w:hint="eastAsia" w:ascii="宋体" w:hAnsi="宋体"/>
          <w:bCs/>
          <w:szCs w:val="21"/>
          <w:highlight w:val="none"/>
        </w:rPr>
        <w:t>6</w:t>
      </w:r>
      <w:r>
        <w:rPr>
          <w:rFonts w:ascii="宋体" w:hAnsi="宋体"/>
          <w:bCs/>
          <w:szCs w:val="21"/>
          <w:highlight w:val="none"/>
        </w:rPr>
        <w:t>.</w:t>
      </w:r>
      <w:r>
        <w:rPr>
          <w:rFonts w:hint="eastAsia" w:ascii="宋体" w:hAnsi="宋体"/>
          <w:bCs/>
          <w:szCs w:val="21"/>
          <w:highlight w:val="none"/>
        </w:rPr>
        <w:t>5款情形的，可以推荐2家成交候选供应商。评审得分相同的，按照最后报价由低到高的顺序推荐。评审得分且最后报价相同的，按照技术指标优劣顺序推荐。</w:t>
      </w:r>
    </w:p>
    <w:p w14:paraId="23C741D9">
      <w:pPr>
        <w:pStyle w:val="10"/>
        <w:adjustRightInd w:val="0"/>
        <w:snapToGrid w:val="0"/>
        <w:spacing w:before="0" w:after="0" w:line="360" w:lineRule="auto"/>
        <w:rPr>
          <w:rFonts w:hint="eastAsia" w:ascii="黑体" w:hAnsi="黑体"/>
          <w:sz w:val="24"/>
          <w:szCs w:val="24"/>
          <w:highlight w:val="none"/>
        </w:rPr>
      </w:pPr>
      <w:bookmarkStart w:id="362" w:name="_Toc28210"/>
      <w:bookmarkStart w:id="363" w:name="_Toc5311"/>
      <w:bookmarkStart w:id="364" w:name="_Toc29482"/>
      <w:bookmarkStart w:id="365" w:name="_Toc19087"/>
      <w:r>
        <w:rPr>
          <w:rFonts w:hint="eastAsia" w:ascii="黑体" w:hAnsi="黑体"/>
          <w:sz w:val="24"/>
          <w:szCs w:val="24"/>
          <w:highlight w:val="none"/>
        </w:rPr>
        <w:t>12.编写评标报告</w:t>
      </w:r>
      <w:bookmarkEnd w:id="362"/>
      <w:bookmarkEnd w:id="363"/>
      <w:bookmarkEnd w:id="364"/>
      <w:bookmarkEnd w:id="365"/>
    </w:p>
    <w:p w14:paraId="26934364">
      <w:pPr>
        <w:adjustRightInd w:val="0"/>
        <w:snapToGrid w:val="0"/>
        <w:spacing w:line="360" w:lineRule="auto"/>
        <w:ind w:firstLine="420" w:firstLineChars="200"/>
        <w:jc w:val="left"/>
        <w:rPr>
          <w:rFonts w:hint="eastAsia" w:ascii="宋体" w:hAnsi="宋体"/>
          <w:bCs/>
          <w:szCs w:val="21"/>
          <w:highlight w:val="none"/>
        </w:rPr>
      </w:pPr>
      <w:r>
        <w:rPr>
          <w:rFonts w:hint="eastAsia" w:ascii="宋体" w:hAnsi="宋体"/>
          <w:bCs/>
          <w:szCs w:val="21"/>
          <w:highlight w:val="none"/>
        </w:rPr>
        <w:t>12.1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350BE86D">
      <w:pPr>
        <w:pStyle w:val="10"/>
        <w:adjustRightInd w:val="0"/>
        <w:snapToGrid w:val="0"/>
        <w:spacing w:before="0" w:after="0" w:line="360" w:lineRule="auto"/>
        <w:rPr>
          <w:rFonts w:hint="eastAsia" w:ascii="黑体" w:hAnsi="黑体"/>
          <w:sz w:val="24"/>
          <w:szCs w:val="24"/>
          <w:highlight w:val="none"/>
        </w:rPr>
      </w:pPr>
      <w:bookmarkStart w:id="366" w:name="_Toc14027"/>
      <w:bookmarkStart w:id="367" w:name="_Toc1273"/>
      <w:bookmarkStart w:id="368" w:name="_Toc20522"/>
      <w:bookmarkStart w:id="369" w:name="_Toc2592"/>
      <w:r>
        <w:rPr>
          <w:rFonts w:hint="eastAsia" w:ascii="黑体" w:hAnsi="黑体"/>
          <w:sz w:val="24"/>
          <w:szCs w:val="24"/>
          <w:highlight w:val="none"/>
        </w:rPr>
        <w:t>13.停止评审</w:t>
      </w:r>
      <w:bookmarkEnd w:id="366"/>
      <w:bookmarkEnd w:id="367"/>
      <w:bookmarkEnd w:id="368"/>
      <w:bookmarkEnd w:id="369"/>
    </w:p>
    <w:p w14:paraId="2B879CD3">
      <w:pP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13.1磋商文件内容违反国家有关强制性规定的，磋商小组应当停止评审并向采购人、采购代理机构说明情况。</w:t>
      </w:r>
    </w:p>
    <w:p w14:paraId="64D92A59">
      <w:pPr>
        <w:pStyle w:val="10"/>
        <w:adjustRightInd w:val="0"/>
        <w:snapToGrid w:val="0"/>
        <w:spacing w:before="0" w:after="0" w:line="360" w:lineRule="auto"/>
        <w:rPr>
          <w:rFonts w:hint="eastAsia" w:ascii="黑体" w:hAnsi="黑体"/>
          <w:sz w:val="24"/>
          <w:szCs w:val="24"/>
          <w:highlight w:val="none"/>
        </w:rPr>
      </w:pPr>
      <w:bookmarkStart w:id="370" w:name="_Toc17902"/>
      <w:bookmarkStart w:id="371" w:name="_Toc29853"/>
      <w:bookmarkStart w:id="372" w:name="_Toc14127"/>
      <w:bookmarkStart w:id="373" w:name="_Toc28322"/>
      <w:r>
        <w:rPr>
          <w:rFonts w:hint="eastAsia" w:ascii="黑体" w:hAnsi="黑体"/>
          <w:sz w:val="24"/>
          <w:szCs w:val="24"/>
          <w:highlight w:val="none"/>
        </w:rPr>
        <w:t>14.磋商终止</w:t>
      </w:r>
      <w:bookmarkEnd w:id="370"/>
      <w:bookmarkEnd w:id="371"/>
      <w:bookmarkEnd w:id="372"/>
      <w:bookmarkEnd w:id="373"/>
    </w:p>
    <w:p w14:paraId="02B4B335">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14.1 出现下列情形之一的，采购人或者采购代理机构应当终止竞争性磋商采购活动，在财政部指定的媒体上发布项目终止公告并说明原因，重新开展采购活动：</w:t>
      </w:r>
    </w:p>
    <w:p w14:paraId="01F8E463">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（1）因情况变化，不再符合规定的竞争性磋商采购方式适用情形的；</w:t>
      </w:r>
    </w:p>
    <w:p w14:paraId="23E38409">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（2）出现影响采购公正的违法、违规行为的；</w:t>
      </w:r>
    </w:p>
    <w:p w14:paraId="34A0AA11">
      <w:pP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3）除市场竞争不充分的科研项目、需要扶持的科技成果转化项目，以及政府购买服务项目(含政府和社会资本合作项目)外，在采购过程中符合竞争要求的供应商或者报价未超过采购预算的供应商不足3家的，或者提交最后报价的供应商少于3家的；</w:t>
      </w:r>
    </w:p>
    <w:p w14:paraId="4698F09A">
      <w:pPr>
        <w:adjustRightInd w:val="0"/>
        <w:snapToGrid w:val="0"/>
        <w:spacing w:line="360" w:lineRule="auto"/>
        <w:ind w:firstLine="420"/>
        <w:jc w:val="left"/>
        <w:rPr>
          <w:rFonts w:hint="eastAsia" w:ascii="黑体" w:hAnsi="黑体"/>
          <w:sz w:val="24"/>
          <w:highlight w:val="none"/>
        </w:rPr>
      </w:pPr>
      <w:r>
        <w:rPr>
          <w:rFonts w:hint="eastAsia" w:ascii="宋体" w:hAnsi="宋体" w:cs="宋体"/>
          <w:kern w:val="0"/>
          <w:szCs w:val="21"/>
          <w:highlight w:val="none"/>
        </w:rPr>
        <w:t>（4）因重大变故，采购任务取消的。</w:t>
      </w:r>
    </w:p>
    <w:p w14:paraId="5D3482A2">
      <w:pPr>
        <w:pStyle w:val="10"/>
        <w:adjustRightInd w:val="0"/>
        <w:snapToGrid w:val="0"/>
        <w:spacing w:before="0" w:after="0" w:line="360" w:lineRule="auto"/>
        <w:rPr>
          <w:rFonts w:hint="eastAsia" w:ascii="黑体" w:hAnsi="黑体"/>
          <w:sz w:val="24"/>
          <w:szCs w:val="24"/>
          <w:highlight w:val="none"/>
        </w:rPr>
      </w:pPr>
      <w:bookmarkStart w:id="374" w:name="_Toc20509"/>
      <w:bookmarkStart w:id="375" w:name="_Toc7676"/>
      <w:bookmarkStart w:id="376" w:name="_Toc22009"/>
      <w:bookmarkStart w:id="377" w:name="_Toc3189"/>
      <w:r>
        <w:rPr>
          <w:rFonts w:hint="eastAsia" w:ascii="黑体" w:hAnsi="黑体"/>
          <w:sz w:val="24"/>
          <w:szCs w:val="24"/>
          <w:highlight w:val="none"/>
        </w:rPr>
        <w:t>15.重新评审</w:t>
      </w:r>
      <w:bookmarkEnd w:id="374"/>
      <w:bookmarkEnd w:id="375"/>
      <w:bookmarkEnd w:id="376"/>
      <w:bookmarkEnd w:id="377"/>
    </w:p>
    <w:p w14:paraId="7BBA87C8">
      <w:pPr>
        <w:adjustRightInd w:val="0"/>
        <w:snapToGrid w:val="0"/>
        <w:spacing w:line="360" w:lineRule="auto"/>
        <w:ind w:firstLine="420"/>
        <w:jc w:val="left"/>
        <w:rPr>
          <w:rFonts w:hint="eastAsia" w:ascii="宋体" w:hAnsi="宋体"/>
          <w:szCs w:val="21"/>
          <w:highlight w:val="none"/>
        </w:rPr>
      </w:pPr>
      <w:r>
        <w:rPr>
          <w:rFonts w:hint="eastAsia" w:ascii="宋体" w:hAnsi="宋体" w:cs="宋体"/>
          <w:kern w:val="0"/>
          <w:szCs w:val="21"/>
          <w:highlight w:val="none"/>
        </w:rPr>
        <w:t>15.1 除资格性检查认定错误、分值汇总计算错误、分项评分超出评分标准范围、客观分评分不一致、经磋商小组一致认定评分畸高、畸低的情形外，采购人或者采购代理机构不得以任何理由组织重新评审。</w:t>
      </w:r>
    </w:p>
    <w:bookmarkEnd w:id="334"/>
    <w:p w14:paraId="5E3276EE">
      <w:pPr>
        <w:widowControl/>
        <w:jc w:val="left"/>
        <w:rPr>
          <w:rFonts w:ascii="Arial" w:hAnsi="Arial"/>
          <w:b/>
          <w:bCs/>
          <w:sz w:val="24"/>
          <w:szCs w:val="32"/>
          <w:highlight w:val="none"/>
        </w:rPr>
      </w:pPr>
      <w:r>
        <w:rPr>
          <w:highlight w:val="none"/>
        </w:rPr>
        <w:br w:type="page"/>
      </w:r>
    </w:p>
    <w:p w14:paraId="698ED398">
      <w:pPr>
        <w:pStyle w:val="8"/>
        <w:rPr>
          <w:highlight w:val="none"/>
        </w:rPr>
      </w:pPr>
      <w:bookmarkStart w:id="378" w:name="_Toc32021"/>
      <w:bookmarkStart w:id="379" w:name="_Toc14558"/>
      <w:bookmarkStart w:id="380" w:name="_Toc669"/>
      <w:bookmarkStart w:id="381" w:name="_Toc20157"/>
      <w:r>
        <w:rPr>
          <w:rFonts w:hint="eastAsia"/>
          <w:highlight w:val="none"/>
        </w:rPr>
        <w:t>附表1 资格审查表</w:t>
      </w:r>
      <w:bookmarkEnd w:id="378"/>
      <w:bookmarkEnd w:id="379"/>
      <w:bookmarkEnd w:id="380"/>
      <w:bookmarkEnd w:id="381"/>
    </w:p>
    <w:p w14:paraId="2C7E078A">
      <w:pPr>
        <w:adjustRightInd w:val="0"/>
        <w:snapToGrid w:val="0"/>
        <w:spacing w:line="360" w:lineRule="auto"/>
        <w:jc w:val="center"/>
        <w:rPr>
          <w:rFonts w:hint="eastAsia" w:ascii="黑体" w:hAnsi="黑体" w:eastAsia="黑体"/>
          <w:b/>
          <w:sz w:val="28"/>
          <w:szCs w:val="28"/>
          <w:highlight w:val="none"/>
        </w:rPr>
      </w:pPr>
      <w:r>
        <w:rPr>
          <w:rFonts w:ascii="黑体" w:hAnsi="黑体" w:eastAsia="黑体"/>
          <w:b/>
          <w:sz w:val="28"/>
          <w:szCs w:val="28"/>
          <w:highlight w:val="none"/>
        </w:rPr>
        <w:t>资格审查表</w:t>
      </w:r>
    </w:p>
    <w:tbl>
      <w:tblPr>
        <w:tblStyle w:val="48"/>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7"/>
        <w:gridCol w:w="2977"/>
        <w:gridCol w:w="5266"/>
      </w:tblGrid>
      <w:tr w14:paraId="6329F9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817" w:type="dxa"/>
            <w:vAlign w:val="center"/>
          </w:tcPr>
          <w:p w14:paraId="68A0A452">
            <w:pPr>
              <w:adjustRightInd w:val="0"/>
              <w:snapToGrid w:val="0"/>
              <w:jc w:val="center"/>
              <w:rPr>
                <w:rFonts w:hint="eastAsia" w:ascii="宋体" w:hAnsi="宋体" w:cs="宋体"/>
                <w:b/>
                <w:kern w:val="0"/>
                <w:szCs w:val="21"/>
                <w:highlight w:val="none"/>
              </w:rPr>
            </w:pPr>
            <w:r>
              <w:rPr>
                <w:rFonts w:hint="eastAsia" w:ascii="宋体" w:hAnsi="宋体" w:cs="宋体"/>
                <w:b/>
                <w:kern w:val="0"/>
                <w:szCs w:val="21"/>
                <w:highlight w:val="none"/>
              </w:rPr>
              <w:t>序号</w:t>
            </w:r>
          </w:p>
        </w:tc>
        <w:tc>
          <w:tcPr>
            <w:tcW w:w="2977" w:type="dxa"/>
            <w:vAlign w:val="center"/>
          </w:tcPr>
          <w:p w14:paraId="3121DF0A">
            <w:pPr>
              <w:adjustRightInd w:val="0"/>
              <w:snapToGrid w:val="0"/>
              <w:jc w:val="center"/>
              <w:rPr>
                <w:rFonts w:hint="eastAsia" w:ascii="宋体" w:hAnsi="宋体" w:cs="宋体"/>
                <w:b/>
                <w:kern w:val="0"/>
                <w:szCs w:val="21"/>
                <w:highlight w:val="none"/>
              </w:rPr>
            </w:pPr>
            <w:r>
              <w:rPr>
                <w:rFonts w:hint="eastAsia" w:ascii="宋体" w:hAnsi="宋体" w:cs="宋体"/>
                <w:b/>
                <w:kern w:val="0"/>
                <w:szCs w:val="21"/>
                <w:highlight w:val="none"/>
              </w:rPr>
              <w:t>审查项目</w:t>
            </w:r>
          </w:p>
        </w:tc>
        <w:tc>
          <w:tcPr>
            <w:tcW w:w="5266" w:type="dxa"/>
            <w:vAlign w:val="center"/>
          </w:tcPr>
          <w:p w14:paraId="5D43853C">
            <w:pPr>
              <w:adjustRightInd w:val="0"/>
              <w:snapToGrid w:val="0"/>
              <w:jc w:val="center"/>
              <w:rPr>
                <w:rFonts w:hint="eastAsia" w:ascii="宋体" w:hAnsi="宋体" w:cs="宋体"/>
                <w:b/>
                <w:kern w:val="0"/>
                <w:szCs w:val="21"/>
                <w:highlight w:val="none"/>
              </w:rPr>
            </w:pPr>
            <w:r>
              <w:rPr>
                <w:rFonts w:hint="eastAsia" w:ascii="宋体" w:hAnsi="宋体" w:cs="宋体"/>
                <w:b/>
                <w:kern w:val="0"/>
                <w:szCs w:val="21"/>
                <w:highlight w:val="none"/>
              </w:rPr>
              <w:t>审查标准</w:t>
            </w:r>
          </w:p>
        </w:tc>
      </w:tr>
      <w:tr w14:paraId="6BD4FA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39BDD056">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1</w:t>
            </w:r>
          </w:p>
        </w:tc>
        <w:tc>
          <w:tcPr>
            <w:tcW w:w="2977" w:type="dxa"/>
            <w:vAlign w:val="center"/>
          </w:tcPr>
          <w:p w14:paraId="50C5AE10">
            <w:pPr>
              <w:adjustRightInd w:val="0"/>
              <w:snapToGrid w:val="0"/>
              <w:rPr>
                <w:rFonts w:hint="eastAsia" w:ascii="宋体" w:hAnsi="宋体"/>
                <w:szCs w:val="21"/>
                <w:highlight w:val="none"/>
              </w:rPr>
            </w:pPr>
            <w:r>
              <w:rPr>
                <w:rFonts w:hint="eastAsia" w:ascii="宋体" w:hAnsi="宋体"/>
                <w:szCs w:val="21"/>
                <w:highlight w:val="none"/>
              </w:rPr>
              <w:t>法人或者其他组织的营业执照等主体资格证明文件，自然人的身份证明</w:t>
            </w:r>
          </w:p>
        </w:tc>
        <w:tc>
          <w:tcPr>
            <w:tcW w:w="5266" w:type="dxa"/>
            <w:vAlign w:val="center"/>
          </w:tcPr>
          <w:p w14:paraId="049792A5">
            <w:pPr>
              <w:adjustRightInd w:val="0"/>
              <w:snapToGrid w:val="0"/>
              <w:rPr>
                <w:rFonts w:hint="eastAsia" w:ascii="宋体" w:hAnsi="宋体"/>
                <w:szCs w:val="21"/>
                <w:highlight w:val="none"/>
              </w:rPr>
            </w:pPr>
            <w:r>
              <w:rPr>
                <w:rFonts w:hint="eastAsia" w:ascii="宋体" w:hAnsi="宋体"/>
                <w:szCs w:val="21"/>
                <w:highlight w:val="none"/>
              </w:rPr>
              <w:t>1、供应商为营利法人的，应提交营业执照的复印件；</w:t>
            </w:r>
          </w:p>
          <w:p w14:paraId="4AE9700F">
            <w:pPr>
              <w:adjustRightInd w:val="0"/>
              <w:snapToGrid w:val="0"/>
              <w:rPr>
                <w:rFonts w:hint="eastAsia" w:ascii="宋体" w:hAnsi="宋体"/>
                <w:szCs w:val="21"/>
                <w:highlight w:val="none"/>
              </w:rPr>
            </w:pPr>
            <w:r>
              <w:rPr>
                <w:rFonts w:hint="eastAsia" w:ascii="宋体" w:hAnsi="宋体"/>
                <w:szCs w:val="21"/>
                <w:highlight w:val="none"/>
              </w:rPr>
              <w:t>2、供应商为依法允许经营的事业单位的，应提交事业单位法人证书复印件；</w:t>
            </w:r>
          </w:p>
          <w:p w14:paraId="0182FA76">
            <w:pPr>
              <w:adjustRightInd w:val="0"/>
              <w:snapToGrid w:val="0"/>
              <w:rPr>
                <w:rFonts w:hint="eastAsia" w:ascii="宋体" w:hAnsi="宋体"/>
                <w:szCs w:val="21"/>
                <w:highlight w:val="none"/>
              </w:rPr>
            </w:pPr>
            <w:r>
              <w:rPr>
                <w:rFonts w:hint="eastAsia" w:ascii="宋体" w:hAnsi="宋体"/>
                <w:szCs w:val="21"/>
                <w:highlight w:val="none"/>
              </w:rPr>
              <w:t>3、供应商为非法人组织的，应提交依法登记证书复印件；</w:t>
            </w:r>
          </w:p>
          <w:p w14:paraId="182C58E6">
            <w:pPr>
              <w:adjustRightInd w:val="0"/>
              <w:snapToGrid w:val="0"/>
              <w:rPr>
                <w:rFonts w:hint="eastAsia" w:ascii="宋体" w:hAnsi="宋体"/>
                <w:szCs w:val="21"/>
                <w:highlight w:val="none"/>
              </w:rPr>
            </w:pPr>
            <w:r>
              <w:rPr>
                <w:rFonts w:hint="eastAsia" w:ascii="宋体" w:hAnsi="宋体"/>
                <w:szCs w:val="21"/>
                <w:highlight w:val="none"/>
              </w:rPr>
              <w:t>4、供应商为个体工商户的，应提交个体工商户营业执照复印件；</w:t>
            </w:r>
          </w:p>
          <w:p w14:paraId="356A7318">
            <w:pPr>
              <w:adjustRightInd w:val="0"/>
              <w:snapToGrid w:val="0"/>
              <w:rPr>
                <w:rFonts w:hint="eastAsia" w:ascii="宋体" w:hAnsi="宋体"/>
                <w:szCs w:val="21"/>
                <w:highlight w:val="none"/>
              </w:rPr>
            </w:pPr>
            <w:r>
              <w:rPr>
                <w:rFonts w:hint="eastAsia" w:ascii="宋体" w:hAnsi="宋体"/>
                <w:szCs w:val="21"/>
                <w:highlight w:val="none"/>
              </w:rPr>
              <w:t>5、供应商为自然人的，应提交自然人的身份证明复印件。</w:t>
            </w:r>
          </w:p>
        </w:tc>
      </w:tr>
      <w:tr w14:paraId="03B1B9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172B6C8F">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2</w:t>
            </w:r>
          </w:p>
        </w:tc>
        <w:tc>
          <w:tcPr>
            <w:tcW w:w="2977" w:type="dxa"/>
            <w:vAlign w:val="center"/>
          </w:tcPr>
          <w:p w14:paraId="389FC899">
            <w:pPr>
              <w:adjustRightInd w:val="0"/>
              <w:snapToGrid w:val="0"/>
              <w:rPr>
                <w:rFonts w:hint="eastAsia" w:ascii="宋体" w:hAnsi="宋体"/>
                <w:szCs w:val="21"/>
                <w:highlight w:val="none"/>
              </w:rPr>
            </w:pPr>
            <w:r>
              <w:rPr>
                <w:rFonts w:hint="eastAsia" w:ascii="宋体" w:hAnsi="宋体"/>
                <w:szCs w:val="21"/>
                <w:highlight w:val="none"/>
              </w:rPr>
              <w:t>财务状况报告，依法缴纳税收和社会保障资金的相关材料</w:t>
            </w:r>
          </w:p>
        </w:tc>
        <w:tc>
          <w:tcPr>
            <w:tcW w:w="5266" w:type="dxa"/>
            <w:vMerge w:val="restart"/>
            <w:vAlign w:val="center"/>
          </w:tcPr>
          <w:p w14:paraId="52155E5D">
            <w:pPr>
              <w:adjustRightInd w:val="0"/>
              <w:snapToGrid w:val="0"/>
              <w:rPr>
                <w:rFonts w:hint="eastAsia" w:ascii="宋体" w:hAnsi="宋体"/>
                <w:szCs w:val="21"/>
                <w:highlight w:val="none"/>
              </w:rPr>
            </w:pPr>
            <w:r>
              <w:rPr>
                <w:rFonts w:hint="eastAsia" w:ascii="宋体" w:hAnsi="宋体"/>
                <w:szCs w:val="21"/>
                <w:highlight w:val="none"/>
              </w:rPr>
              <w:t>按磋商文件规定提供湖南省政府采购供应商资格承诺函。</w:t>
            </w:r>
          </w:p>
        </w:tc>
      </w:tr>
      <w:tr w14:paraId="2A0239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6E967914">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3</w:t>
            </w:r>
          </w:p>
        </w:tc>
        <w:tc>
          <w:tcPr>
            <w:tcW w:w="2977" w:type="dxa"/>
            <w:vAlign w:val="center"/>
          </w:tcPr>
          <w:p w14:paraId="34F53510">
            <w:pPr>
              <w:adjustRightInd w:val="0"/>
              <w:snapToGrid w:val="0"/>
              <w:rPr>
                <w:rFonts w:hint="eastAsia" w:ascii="宋体" w:hAnsi="宋体"/>
                <w:szCs w:val="21"/>
                <w:highlight w:val="none"/>
              </w:rPr>
            </w:pPr>
            <w:r>
              <w:rPr>
                <w:rFonts w:hint="eastAsia" w:ascii="宋体" w:hAnsi="宋体"/>
                <w:szCs w:val="21"/>
                <w:highlight w:val="none"/>
              </w:rPr>
              <w:t>具备履行合同所必需的设备和专业技术能力的证明材料</w:t>
            </w:r>
          </w:p>
        </w:tc>
        <w:tc>
          <w:tcPr>
            <w:tcW w:w="5266" w:type="dxa"/>
            <w:vMerge w:val="continue"/>
            <w:vAlign w:val="center"/>
          </w:tcPr>
          <w:p w14:paraId="0E49290B">
            <w:pPr>
              <w:adjustRightInd w:val="0"/>
              <w:snapToGrid w:val="0"/>
              <w:rPr>
                <w:rFonts w:hint="eastAsia" w:ascii="宋体" w:hAnsi="宋体"/>
                <w:szCs w:val="21"/>
                <w:highlight w:val="none"/>
              </w:rPr>
            </w:pPr>
          </w:p>
        </w:tc>
      </w:tr>
      <w:tr w14:paraId="4FE68A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27D9D90F">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4</w:t>
            </w:r>
          </w:p>
        </w:tc>
        <w:tc>
          <w:tcPr>
            <w:tcW w:w="2977" w:type="dxa"/>
            <w:vAlign w:val="center"/>
          </w:tcPr>
          <w:p w14:paraId="39DD6A94">
            <w:pPr>
              <w:adjustRightInd w:val="0"/>
              <w:snapToGrid w:val="0"/>
              <w:rPr>
                <w:rFonts w:hint="eastAsia" w:ascii="宋体" w:hAnsi="宋体"/>
                <w:szCs w:val="21"/>
                <w:highlight w:val="none"/>
              </w:rPr>
            </w:pPr>
            <w:r>
              <w:rPr>
                <w:rFonts w:hint="eastAsia" w:ascii="宋体" w:hAnsi="宋体"/>
                <w:szCs w:val="21"/>
                <w:highlight w:val="none"/>
              </w:rPr>
              <w:t>参加政府采购活动前3年内在经营活动中没有重大违法记录的书面声明</w:t>
            </w:r>
          </w:p>
        </w:tc>
        <w:tc>
          <w:tcPr>
            <w:tcW w:w="5266" w:type="dxa"/>
            <w:vMerge w:val="continue"/>
            <w:vAlign w:val="center"/>
          </w:tcPr>
          <w:p w14:paraId="0640AAA0">
            <w:pPr>
              <w:adjustRightInd w:val="0"/>
              <w:snapToGrid w:val="0"/>
              <w:rPr>
                <w:rFonts w:hint="eastAsia" w:ascii="宋体" w:hAnsi="宋体"/>
                <w:szCs w:val="21"/>
                <w:highlight w:val="none"/>
              </w:rPr>
            </w:pPr>
          </w:p>
        </w:tc>
      </w:tr>
      <w:tr w14:paraId="766960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55D9CAC3">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5</w:t>
            </w:r>
          </w:p>
        </w:tc>
        <w:tc>
          <w:tcPr>
            <w:tcW w:w="2977" w:type="dxa"/>
            <w:vAlign w:val="center"/>
          </w:tcPr>
          <w:p w14:paraId="5E961052">
            <w:pPr>
              <w:adjustRightInd w:val="0"/>
              <w:snapToGrid w:val="0"/>
              <w:rPr>
                <w:rFonts w:hint="eastAsia" w:ascii="宋体" w:hAnsi="宋体"/>
                <w:szCs w:val="21"/>
                <w:highlight w:val="none"/>
              </w:rPr>
            </w:pPr>
            <w:r>
              <w:rPr>
                <w:rFonts w:hint="eastAsia" w:ascii="宋体" w:hAnsi="宋体"/>
                <w:szCs w:val="21"/>
                <w:highlight w:val="none"/>
              </w:rPr>
              <w:t>具备法律、行政法规规定的其他条件的证明材料</w:t>
            </w:r>
          </w:p>
        </w:tc>
        <w:tc>
          <w:tcPr>
            <w:tcW w:w="5266" w:type="dxa"/>
            <w:vMerge w:val="continue"/>
            <w:vAlign w:val="center"/>
          </w:tcPr>
          <w:p w14:paraId="4BE50A82">
            <w:pPr>
              <w:adjustRightInd w:val="0"/>
              <w:snapToGrid w:val="0"/>
              <w:rPr>
                <w:rFonts w:hint="eastAsia" w:ascii="宋体" w:hAnsi="宋体"/>
                <w:szCs w:val="21"/>
                <w:highlight w:val="none"/>
              </w:rPr>
            </w:pPr>
          </w:p>
        </w:tc>
      </w:tr>
      <w:tr w14:paraId="136A7A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2FC1F01B">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6</w:t>
            </w:r>
          </w:p>
        </w:tc>
        <w:tc>
          <w:tcPr>
            <w:tcW w:w="2977" w:type="dxa"/>
            <w:vAlign w:val="center"/>
          </w:tcPr>
          <w:p w14:paraId="5B00DFA7">
            <w:pPr>
              <w:adjustRightInd w:val="0"/>
              <w:snapToGrid w:val="0"/>
              <w:rPr>
                <w:rFonts w:hint="eastAsia" w:ascii="宋体" w:hAnsi="宋体"/>
                <w:szCs w:val="21"/>
                <w:highlight w:val="none"/>
              </w:rPr>
            </w:pPr>
            <w:r>
              <w:rPr>
                <w:rFonts w:hint="eastAsia" w:ascii="宋体" w:hAnsi="宋体"/>
                <w:szCs w:val="21"/>
                <w:highlight w:val="none"/>
              </w:rPr>
              <w:t>符合特定资格条件证明材料复印件或者情况说明</w:t>
            </w:r>
          </w:p>
        </w:tc>
        <w:tc>
          <w:tcPr>
            <w:tcW w:w="5266" w:type="dxa"/>
            <w:vAlign w:val="center"/>
          </w:tcPr>
          <w:p w14:paraId="2C02AF36">
            <w:pPr>
              <w:adjustRightInd w:val="0"/>
              <w:snapToGrid w:val="0"/>
              <w:rPr>
                <w:rFonts w:hint="eastAsia" w:ascii="宋体" w:hAnsi="宋体"/>
                <w:szCs w:val="21"/>
                <w:highlight w:val="none"/>
              </w:rPr>
            </w:pPr>
            <w:r>
              <w:rPr>
                <w:rFonts w:hint="eastAsia" w:ascii="宋体" w:hAnsi="宋体"/>
                <w:szCs w:val="21"/>
                <w:highlight w:val="none"/>
              </w:rPr>
              <w:t>提供符合磋商文件规定的特定资格条件的证明材料。</w:t>
            </w:r>
          </w:p>
        </w:tc>
      </w:tr>
      <w:tr w14:paraId="3C22E9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4BA3ED93">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7</w:t>
            </w:r>
          </w:p>
        </w:tc>
        <w:tc>
          <w:tcPr>
            <w:tcW w:w="2977" w:type="dxa"/>
            <w:vAlign w:val="center"/>
          </w:tcPr>
          <w:p w14:paraId="39AB8AA6">
            <w:pPr>
              <w:adjustRightInd w:val="0"/>
              <w:snapToGrid w:val="0"/>
              <w:rPr>
                <w:rFonts w:hint="eastAsia" w:ascii="宋体" w:hAnsi="宋体"/>
                <w:szCs w:val="21"/>
                <w:highlight w:val="none"/>
              </w:rPr>
            </w:pPr>
            <w:r>
              <w:rPr>
                <w:rFonts w:hint="eastAsia" w:ascii="宋体" w:hAnsi="宋体"/>
                <w:szCs w:val="21"/>
                <w:highlight w:val="none"/>
              </w:rPr>
              <w:t>政府采购政策</w:t>
            </w:r>
          </w:p>
        </w:tc>
        <w:tc>
          <w:tcPr>
            <w:tcW w:w="5266" w:type="dxa"/>
            <w:vAlign w:val="center"/>
          </w:tcPr>
          <w:p w14:paraId="0AD5ED81">
            <w:pPr>
              <w:adjustRightInd w:val="0"/>
              <w:snapToGrid w:val="0"/>
              <w:rPr>
                <w:rFonts w:hint="eastAsia" w:ascii="宋体" w:hAnsi="宋体"/>
                <w:szCs w:val="21"/>
                <w:highlight w:val="none"/>
              </w:rPr>
            </w:pPr>
            <w:r>
              <w:rPr>
                <w:rFonts w:hint="eastAsia" w:ascii="宋体" w:hAnsi="宋体"/>
                <w:szCs w:val="21"/>
                <w:highlight w:val="none"/>
              </w:rPr>
              <w:t>属于预留采购份额的，提供磋商文件规定的《中小企业声明函》，要求以联合体形式参加或者合同分包的，还应提供磋商文件规定的联合协议或者分包意向协议。</w:t>
            </w:r>
          </w:p>
        </w:tc>
      </w:tr>
      <w:tr w14:paraId="205AE1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3AFB7EBA">
            <w:pPr>
              <w:adjustRightInd w:val="0"/>
              <w:snapToGrid w:val="0"/>
              <w:jc w:val="center"/>
              <w:rPr>
                <w:rFonts w:hint="eastAsia" w:ascii="宋体" w:hAnsi="宋体"/>
                <w:kern w:val="0"/>
                <w:szCs w:val="21"/>
                <w:highlight w:val="none"/>
              </w:rPr>
            </w:pPr>
            <w:r>
              <w:rPr>
                <w:rFonts w:hint="eastAsia" w:ascii="宋体" w:hAnsi="宋体"/>
                <w:kern w:val="0"/>
                <w:szCs w:val="21"/>
                <w:highlight w:val="none"/>
              </w:rPr>
              <w:t>8</w:t>
            </w:r>
          </w:p>
        </w:tc>
        <w:tc>
          <w:tcPr>
            <w:tcW w:w="2977" w:type="dxa"/>
            <w:vAlign w:val="center"/>
          </w:tcPr>
          <w:p w14:paraId="7FBC9C1D">
            <w:pPr>
              <w:adjustRightInd w:val="0"/>
              <w:snapToGrid w:val="0"/>
              <w:rPr>
                <w:rFonts w:hint="eastAsia" w:ascii="宋体" w:hAnsi="宋体"/>
                <w:szCs w:val="21"/>
                <w:highlight w:val="none"/>
              </w:rPr>
            </w:pPr>
            <w:r>
              <w:rPr>
                <w:rFonts w:hint="eastAsia" w:ascii="宋体" w:hAnsi="宋体"/>
                <w:szCs w:val="21"/>
                <w:highlight w:val="none"/>
              </w:rPr>
              <w:t>限制资格条件</w:t>
            </w:r>
          </w:p>
        </w:tc>
        <w:tc>
          <w:tcPr>
            <w:tcW w:w="5266" w:type="dxa"/>
            <w:vAlign w:val="center"/>
          </w:tcPr>
          <w:p w14:paraId="4E87D7C5">
            <w:pPr>
              <w:adjustRightInd w:val="0"/>
              <w:snapToGrid w:val="0"/>
              <w:rPr>
                <w:rFonts w:hint="eastAsia" w:ascii="宋体" w:hAnsi="宋体"/>
                <w:szCs w:val="21"/>
                <w:highlight w:val="none"/>
              </w:rPr>
            </w:pPr>
            <w:r>
              <w:rPr>
                <w:rFonts w:hint="eastAsia" w:ascii="宋体" w:hAnsi="宋体"/>
                <w:szCs w:val="21"/>
                <w:highlight w:val="none"/>
              </w:rPr>
              <w:t>提供湖南省政府采购供应商资格承诺函(格式) 。供应商之间不存在单位负责人为同一人或者存在直接控股、管理关系情形。未为本项目提供整体设计、规范编制或者项目管理、监理、检测等服务。</w:t>
            </w:r>
          </w:p>
        </w:tc>
      </w:tr>
      <w:tr w14:paraId="12B416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2EA7C0AC">
            <w:pPr>
              <w:adjustRightInd w:val="0"/>
              <w:snapToGrid w:val="0"/>
              <w:jc w:val="center"/>
              <w:rPr>
                <w:rFonts w:hint="eastAsia" w:ascii="宋体" w:hAnsi="宋体"/>
                <w:kern w:val="0"/>
                <w:szCs w:val="21"/>
                <w:highlight w:val="none"/>
              </w:rPr>
            </w:pPr>
            <w:r>
              <w:rPr>
                <w:rFonts w:hint="eastAsia" w:ascii="宋体" w:hAnsi="宋体"/>
                <w:kern w:val="0"/>
                <w:szCs w:val="21"/>
                <w:highlight w:val="none"/>
              </w:rPr>
              <w:t>9</w:t>
            </w:r>
          </w:p>
        </w:tc>
        <w:tc>
          <w:tcPr>
            <w:tcW w:w="2977" w:type="dxa"/>
            <w:vAlign w:val="center"/>
          </w:tcPr>
          <w:p w14:paraId="199807ED">
            <w:pPr>
              <w:adjustRightInd w:val="0"/>
              <w:snapToGrid w:val="0"/>
              <w:rPr>
                <w:rFonts w:hint="eastAsia" w:ascii="宋体" w:hAnsi="宋体"/>
                <w:szCs w:val="21"/>
                <w:highlight w:val="none"/>
              </w:rPr>
            </w:pPr>
            <w:r>
              <w:rPr>
                <w:rFonts w:hint="eastAsia" w:ascii="宋体" w:hAnsi="宋体"/>
                <w:szCs w:val="21"/>
                <w:highlight w:val="none"/>
              </w:rPr>
              <w:t>联合体协议书</w:t>
            </w:r>
          </w:p>
        </w:tc>
        <w:tc>
          <w:tcPr>
            <w:tcW w:w="5266" w:type="dxa"/>
          </w:tcPr>
          <w:p w14:paraId="0D589CD6">
            <w:pPr>
              <w:adjustRightInd w:val="0"/>
              <w:snapToGrid w:val="0"/>
              <w:rPr>
                <w:rFonts w:hint="eastAsia" w:ascii="宋体" w:hAnsi="宋体"/>
                <w:szCs w:val="21"/>
                <w:highlight w:val="none"/>
              </w:rPr>
            </w:pPr>
            <w:r>
              <w:rPr>
                <w:rFonts w:hint="eastAsia" w:ascii="宋体" w:hAnsi="宋体"/>
                <w:szCs w:val="21"/>
                <w:highlight w:val="none"/>
              </w:rPr>
              <w:t>磋商文件接受联合体形式的，提供符合磋商文件规定的联合体协议书及参加联合体的各方资格证明材料。</w:t>
            </w:r>
          </w:p>
        </w:tc>
      </w:tr>
      <w:tr w14:paraId="4921CC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746503CD">
            <w:pPr>
              <w:adjustRightInd w:val="0"/>
              <w:snapToGrid w:val="0"/>
              <w:jc w:val="center"/>
              <w:rPr>
                <w:rFonts w:hint="eastAsia" w:ascii="宋体" w:hAnsi="宋体"/>
                <w:kern w:val="0"/>
                <w:szCs w:val="21"/>
                <w:highlight w:val="none"/>
              </w:rPr>
            </w:pPr>
            <w:r>
              <w:rPr>
                <w:rFonts w:hint="eastAsia" w:ascii="宋体" w:hAnsi="宋体"/>
                <w:kern w:val="0"/>
                <w:szCs w:val="21"/>
                <w:highlight w:val="none"/>
              </w:rPr>
              <w:t>10</w:t>
            </w:r>
          </w:p>
        </w:tc>
        <w:tc>
          <w:tcPr>
            <w:tcW w:w="2977" w:type="dxa"/>
            <w:vAlign w:val="center"/>
          </w:tcPr>
          <w:p w14:paraId="55A0AE2B">
            <w:pPr>
              <w:adjustRightInd w:val="0"/>
              <w:snapToGrid w:val="0"/>
              <w:rPr>
                <w:rFonts w:hint="eastAsia" w:ascii="宋体" w:hAnsi="宋体" w:cs="宋体"/>
                <w:szCs w:val="21"/>
                <w:highlight w:val="none"/>
              </w:rPr>
            </w:pPr>
            <w:r>
              <w:rPr>
                <w:rStyle w:val="99"/>
                <w:rFonts w:hint="default"/>
                <w:color w:val="auto"/>
                <w:sz w:val="21"/>
                <w:szCs w:val="21"/>
                <w:highlight w:val="none"/>
              </w:rPr>
              <w:t>“信用中国”网站和中国政府采购网查询记录</w:t>
            </w:r>
          </w:p>
        </w:tc>
        <w:tc>
          <w:tcPr>
            <w:tcW w:w="5266" w:type="dxa"/>
            <w:vAlign w:val="center"/>
          </w:tcPr>
          <w:p w14:paraId="0F63E161">
            <w:pPr>
              <w:adjustRightInd w:val="0"/>
              <w:snapToGrid w:val="0"/>
              <w:rPr>
                <w:rFonts w:hint="eastAsia" w:ascii="宋体" w:hAnsi="宋体" w:cs="宋体"/>
                <w:szCs w:val="21"/>
                <w:highlight w:val="none"/>
              </w:rPr>
            </w:pPr>
            <w:r>
              <w:rPr>
                <w:rStyle w:val="99"/>
                <w:rFonts w:hint="default"/>
                <w:color w:val="auto"/>
                <w:sz w:val="21"/>
                <w:szCs w:val="21"/>
                <w:highlight w:val="none"/>
              </w:rPr>
              <w:t>供应商未被“信用中国”网站中列入失信被执行人和/或重大税收违法案件当事人名单、未被中国政府采购网列入政府采购严重违法失信行为记录名单。未被财政部门禁止参加政府采购活动的供应商（处罚决定规定的时间和地域范围内）</w:t>
            </w:r>
          </w:p>
        </w:tc>
      </w:tr>
      <w:tr w14:paraId="434C02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1135C264">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11</w:t>
            </w:r>
          </w:p>
        </w:tc>
        <w:tc>
          <w:tcPr>
            <w:tcW w:w="2977" w:type="dxa"/>
            <w:vAlign w:val="center"/>
          </w:tcPr>
          <w:p w14:paraId="5D8405B0">
            <w:pPr>
              <w:adjustRightInd w:val="0"/>
              <w:snapToGrid w:val="0"/>
              <w:rPr>
                <w:rFonts w:hint="eastAsia" w:ascii="宋体" w:hAnsi="宋体"/>
                <w:szCs w:val="21"/>
                <w:highlight w:val="none"/>
              </w:rPr>
            </w:pPr>
            <w:r>
              <w:rPr>
                <w:rFonts w:hint="eastAsia" w:ascii="宋体" w:hAnsi="宋体"/>
                <w:szCs w:val="21"/>
                <w:highlight w:val="none"/>
              </w:rPr>
              <w:t>公平竞争</w:t>
            </w:r>
          </w:p>
        </w:tc>
        <w:tc>
          <w:tcPr>
            <w:tcW w:w="5266" w:type="dxa"/>
            <w:vAlign w:val="center"/>
          </w:tcPr>
          <w:p w14:paraId="6490EFB5">
            <w:pPr>
              <w:adjustRightInd w:val="0"/>
              <w:snapToGrid w:val="0"/>
              <w:rPr>
                <w:rFonts w:hint="eastAsia" w:ascii="宋体" w:hAnsi="宋体"/>
                <w:szCs w:val="21"/>
                <w:highlight w:val="none"/>
              </w:rPr>
            </w:pPr>
            <w:r>
              <w:rPr>
                <w:rFonts w:hint="eastAsia" w:ascii="宋体" w:hAnsi="宋体"/>
                <w:szCs w:val="21"/>
                <w:highlight w:val="none"/>
              </w:rPr>
              <w:t>遵循公平竞争的原则，没有弄虚作假、恶意串通或妨碍其他供应商的竞争行为，损害采购人或者其他供应商的合法权益。</w:t>
            </w:r>
          </w:p>
        </w:tc>
      </w:tr>
      <w:tr w14:paraId="47B97E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744B7BBC">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12</w:t>
            </w:r>
          </w:p>
        </w:tc>
        <w:tc>
          <w:tcPr>
            <w:tcW w:w="2977" w:type="dxa"/>
            <w:vAlign w:val="center"/>
          </w:tcPr>
          <w:p w14:paraId="0818A8A9">
            <w:pPr>
              <w:adjustRightInd w:val="0"/>
              <w:snapToGrid w:val="0"/>
              <w:rPr>
                <w:rFonts w:hint="eastAsia" w:ascii="宋体" w:hAnsi="宋体"/>
                <w:szCs w:val="21"/>
                <w:highlight w:val="none"/>
              </w:rPr>
            </w:pPr>
            <w:r>
              <w:rPr>
                <w:rFonts w:hint="eastAsia" w:ascii="宋体" w:hAnsi="宋体"/>
                <w:szCs w:val="21"/>
                <w:highlight w:val="none"/>
              </w:rPr>
              <w:t>保证金</w:t>
            </w:r>
          </w:p>
        </w:tc>
        <w:tc>
          <w:tcPr>
            <w:tcW w:w="5266" w:type="dxa"/>
            <w:vAlign w:val="center"/>
          </w:tcPr>
          <w:p w14:paraId="1C9DBD08">
            <w:pPr>
              <w:adjustRightInd w:val="0"/>
              <w:snapToGrid w:val="0"/>
              <w:rPr>
                <w:rFonts w:hint="eastAsia" w:ascii="宋体" w:hAnsi="宋体"/>
                <w:szCs w:val="21"/>
                <w:highlight w:val="none"/>
              </w:rPr>
            </w:pPr>
            <w:r>
              <w:rPr>
                <w:rFonts w:hint="eastAsia" w:ascii="宋体" w:hAnsi="宋体"/>
                <w:szCs w:val="21"/>
                <w:highlight w:val="none"/>
              </w:rPr>
              <w:t>按照磋商文件的规定提交保证金（包括形式及金额）</w:t>
            </w:r>
          </w:p>
        </w:tc>
      </w:tr>
      <w:tr w14:paraId="3CDCED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1E62698E">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13</w:t>
            </w:r>
          </w:p>
        </w:tc>
        <w:tc>
          <w:tcPr>
            <w:tcW w:w="2977" w:type="dxa"/>
            <w:vAlign w:val="center"/>
          </w:tcPr>
          <w:p w14:paraId="424ACA4B">
            <w:pPr>
              <w:adjustRightInd w:val="0"/>
              <w:snapToGrid w:val="0"/>
              <w:rPr>
                <w:rFonts w:hint="eastAsia" w:ascii="宋体" w:hAnsi="宋体"/>
                <w:szCs w:val="21"/>
                <w:highlight w:val="none"/>
              </w:rPr>
            </w:pPr>
            <w:r>
              <w:rPr>
                <w:rFonts w:hint="eastAsia" w:ascii="宋体" w:hAnsi="宋体"/>
                <w:szCs w:val="21"/>
                <w:highlight w:val="none"/>
              </w:rPr>
              <w:t>资格证明文件的签署、盖章。</w:t>
            </w:r>
          </w:p>
        </w:tc>
        <w:tc>
          <w:tcPr>
            <w:tcW w:w="5266" w:type="dxa"/>
            <w:vAlign w:val="center"/>
          </w:tcPr>
          <w:p w14:paraId="4560AE85">
            <w:pPr>
              <w:adjustRightInd w:val="0"/>
              <w:snapToGrid w:val="0"/>
              <w:rPr>
                <w:rFonts w:hint="eastAsia" w:ascii="宋体" w:hAnsi="宋体"/>
                <w:szCs w:val="21"/>
                <w:highlight w:val="none"/>
              </w:rPr>
            </w:pPr>
            <w:r>
              <w:rPr>
                <w:rFonts w:hint="eastAsia" w:ascii="宋体" w:hAnsi="宋体"/>
                <w:szCs w:val="21"/>
                <w:highlight w:val="none"/>
              </w:rPr>
              <w:t>符合磋商文件签署、盖章要求。</w:t>
            </w:r>
          </w:p>
        </w:tc>
      </w:tr>
      <w:tr w14:paraId="541501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63B0EBE4">
            <w:pPr>
              <w:adjustRightInd w:val="0"/>
              <w:snapToGrid w:val="0"/>
              <w:jc w:val="center"/>
              <w:rPr>
                <w:rFonts w:hint="eastAsia" w:ascii="宋体" w:hAnsi="宋体" w:cs="宋体"/>
                <w:kern w:val="0"/>
                <w:szCs w:val="21"/>
                <w:highlight w:val="none"/>
              </w:rPr>
            </w:pPr>
            <w:r>
              <w:rPr>
                <w:rFonts w:hint="eastAsia" w:ascii="宋体" w:hAnsi="宋体" w:cs="宋体"/>
                <w:kern w:val="0"/>
                <w:szCs w:val="21"/>
                <w:highlight w:val="none"/>
              </w:rPr>
              <w:t>14</w:t>
            </w:r>
          </w:p>
        </w:tc>
        <w:tc>
          <w:tcPr>
            <w:tcW w:w="2977" w:type="dxa"/>
            <w:vAlign w:val="center"/>
          </w:tcPr>
          <w:p w14:paraId="293CDC00">
            <w:pPr>
              <w:adjustRightInd w:val="0"/>
              <w:snapToGrid w:val="0"/>
              <w:rPr>
                <w:rFonts w:hint="eastAsia" w:ascii="宋体" w:hAnsi="宋体"/>
                <w:szCs w:val="21"/>
                <w:highlight w:val="none"/>
              </w:rPr>
            </w:pPr>
            <w:r>
              <w:rPr>
                <w:rFonts w:hint="eastAsia" w:ascii="宋体" w:hAnsi="宋体"/>
                <w:szCs w:val="21"/>
                <w:highlight w:val="none"/>
              </w:rPr>
              <w:t>授权代表委托书（授权代表参加）</w:t>
            </w:r>
          </w:p>
        </w:tc>
        <w:tc>
          <w:tcPr>
            <w:tcW w:w="5266" w:type="dxa"/>
            <w:vAlign w:val="center"/>
          </w:tcPr>
          <w:p w14:paraId="2F6B68B0">
            <w:pPr>
              <w:adjustRightInd w:val="0"/>
              <w:snapToGrid w:val="0"/>
              <w:rPr>
                <w:rFonts w:hint="eastAsia" w:ascii="宋体" w:hAnsi="宋体"/>
                <w:szCs w:val="21"/>
                <w:highlight w:val="none"/>
              </w:rPr>
            </w:pPr>
            <w:r>
              <w:rPr>
                <w:rFonts w:hint="eastAsia" w:ascii="宋体" w:hAnsi="宋体"/>
                <w:szCs w:val="21"/>
                <w:highlight w:val="none"/>
              </w:rPr>
              <w:t>符合磋商文件签署、盖章要求。</w:t>
            </w:r>
          </w:p>
        </w:tc>
      </w:tr>
      <w:tr w14:paraId="14A03A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4EBEE12C">
            <w:pPr>
              <w:adjustRightInd w:val="0"/>
              <w:snapToGrid w:val="0"/>
              <w:jc w:val="center"/>
              <w:rPr>
                <w:rFonts w:hint="eastAsia" w:ascii="宋体" w:hAnsi="宋体" w:cs="宋体"/>
                <w:kern w:val="0"/>
                <w:szCs w:val="21"/>
                <w:highlight w:val="none"/>
              </w:rPr>
            </w:pPr>
            <w:r>
              <w:rPr>
                <w:rFonts w:ascii="宋体" w:hAnsi="宋体" w:cs="宋体"/>
                <w:kern w:val="0"/>
                <w:szCs w:val="21"/>
                <w:highlight w:val="none"/>
              </w:rPr>
              <w:t>…</w:t>
            </w:r>
          </w:p>
        </w:tc>
        <w:tc>
          <w:tcPr>
            <w:tcW w:w="2977" w:type="dxa"/>
            <w:vAlign w:val="center"/>
          </w:tcPr>
          <w:p w14:paraId="3DE4D231">
            <w:pPr>
              <w:adjustRightInd w:val="0"/>
              <w:snapToGrid w:val="0"/>
              <w:rPr>
                <w:rFonts w:hint="eastAsia" w:ascii="宋体" w:hAnsi="宋体"/>
                <w:szCs w:val="21"/>
                <w:highlight w:val="none"/>
              </w:rPr>
            </w:pPr>
            <w:r>
              <w:rPr>
                <w:rFonts w:ascii="宋体" w:hAnsi="宋体"/>
                <w:szCs w:val="21"/>
                <w:highlight w:val="none"/>
              </w:rPr>
              <w:t>…</w:t>
            </w:r>
          </w:p>
        </w:tc>
        <w:tc>
          <w:tcPr>
            <w:tcW w:w="5266" w:type="dxa"/>
            <w:vAlign w:val="center"/>
          </w:tcPr>
          <w:p w14:paraId="545E6230">
            <w:pPr>
              <w:adjustRightInd w:val="0"/>
              <w:snapToGrid w:val="0"/>
              <w:rPr>
                <w:rFonts w:hint="eastAsia" w:ascii="宋体" w:hAnsi="宋体"/>
                <w:szCs w:val="21"/>
                <w:highlight w:val="none"/>
              </w:rPr>
            </w:pPr>
            <w:r>
              <w:rPr>
                <w:rFonts w:ascii="宋体" w:hAnsi="宋体"/>
                <w:szCs w:val="21"/>
                <w:highlight w:val="none"/>
              </w:rPr>
              <w:t>…</w:t>
            </w:r>
          </w:p>
        </w:tc>
      </w:tr>
      <w:tr w14:paraId="50CE18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1D1F8E1C">
            <w:pPr>
              <w:adjustRightInd w:val="0"/>
              <w:snapToGrid w:val="0"/>
              <w:jc w:val="center"/>
              <w:rPr>
                <w:rFonts w:hint="eastAsia" w:ascii="宋体" w:hAnsi="宋体" w:cs="宋体"/>
                <w:kern w:val="0"/>
                <w:szCs w:val="21"/>
                <w:highlight w:val="none"/>
              </w:rPr>
            </w:pPr>
          </w:p>
        </w:tc>
        <w:tc>
          <w:tcPr>
            <w:tcW w:w="2977" w:type="dxa"/>
          </w:tcPr>
          <w:p w14:paraId="41260758">
            <w:pPr>
              <w:adjustRightInd w:val="0"/>
              <w:snapToGrid w:val="0"/>
              <w:rPr>
                <w:rFonts w:hint="eastAsia" w:ascii="宋体" w:hAnsi="宋体"/>
                <w:szCs w:val="21"/>
                <w:highlight w:val="none"/>
              </w:rPr>
            </w:pPr>
          </w:p>
        </w:tc>
        <w:tc>
          <w:tcPr>
            <w:tcW w:w="5266" w:type="dxa"/>
          </w:tcPr>
          <w:p w14:paraId="1D5C1F3D">
            <w:pPr>
              <w:adjustRightInd w:val="0"/>
              <w:snapToGrid w:val="0"/>
              <w:rPr>
                <w:rFonts w:hint="eastAsia" w:ascii="宋体" w:hAnsi="宋体"/>
                <w:szCs w:val="21"/>
                <w:highlight w:val="none"/>
              </w:rPr>
            </w:pPr>
          </w:p>
        </w:tc>
      </w:tr>
      <w:tr w14:paraId="1C1BA5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4AC245C3">
            <w:pPr>
              <w:adjustRightInd w:val="0"/>
              <w:snapToGrid w:val="0"/>
              <w:jc w:val="center"/>
              <w:rPr>
                <w:rFonts w:hint="eastAsia" w:ascii="宋体" w:hAnsi="宋体" w:cs="宋体"/>
                <w:kern w:val="0"/>
                <w:szCs w:val="21"/>
                <w:highlight w:val="none"/>
              </w:rPr>
            </w:pPr>
          </w:p>
        </w:tc>
        <w:tc>
          <w:tcPr>
            <w:tcW w:w="2977" w:type="dxa"/>
          </w:tcPr>
          <w:p w14:paraId="524701BC">
            <w:pPr>
              <w:adjustRightInd w:val="0"/>
              <w:snapToGrid w:val="0"/>
              <w:rPr>
                <w:rFonts w:hint="eastAsia" w:ascii="宋体" w:hAnsi="宋体"/>
                <w:szCs w:val="21"/>
                <w:highlight w:val="none"/>
              </w:rPr>
            </w:pPr>
          </w:p>
        </w:tc>
        <w:tc>
          <w:tcPr>
            <w:tcW w:w="5266" w:type="dxa"/>
          </w:tcPr>
          <w:p w14:paraId="7AFBB7C7">
            <w:pPr>
              <w:adjustRightInd w:val="0"/>
              <w:snapToGrid w:val="0"/>
              <w:rPr>
                <w:rFonts w:hint="eastAsia" w:ascii="宋体" w:hAnsi="宋体"/>
                <w:szCs w:val="21"/>
                <w:highlight w:val="none"/>
              </w:rPr>
            </w:pPr>
          </w:p>
        </w:tc>
      </w:tr>
      <w:tr w14:paraId="51FD22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2" w:hRule="atLeast"/>
        </w:trPr>
        <w:tc>
          <w:tcPr>
            <w:tcW w:w="817" w:type="dxa"/>
            <w:vAlign w:val="center"/>
          </w:tcPr>
          <w:p w14:paraId="1C88C2FB">
            <w:pPr>
              <w:adjustRightInd w:val="0"/>
              <w:snapToGrid w:val="0"/>
              <w:jc w:val="center"/>
              <w:rPr>
                <w:rFonts w:hint="eastAsia" w:ascii="宋体" w:hAnsi="宋体" w:cs="宋体"/>
                <w:kern w:val="0"/>
                <w:szCs w:val="21"/>
                <w:highlight w:val="none"/>
              </w:rPr>
            </w:pPr>
            <w:r>
              <w:rPr>
                <w:rFonts w:hint="eastAsia" w:ascii="宋体" w:hAnsi="宋体"/>
                <w:kern w:val="0"/>
                <w:szCs w:val="21"/>
                <w:highlight w:val="none"/>
              </w:rPr>
              <w:t>结论</w:t>
            </w:r>
          </w:p>
        </w:tc>
        <w:tc>
          <w:tcPr>
            <w:tcW w:w="8243" w:type="dxa"/>
            <w:gridSpan w:val="2"/>
            <w:vAlign w:val="center"/>
          </w:tcPr>
          <w:p w14:paraId="74984758">
            <w:pPr>
              <w:adjustRightInd w:val="0"/>
              <w:snapToGrid w:val="0"/>
              <w:jc w:val="center"/>
              <w:rPr>
                <w:rFonts w:hint="eastAsia" w:ascii="宋体" w:hAnsi="宋体" w:cs="宋体"/>
                <w:kern w:val="0"/>
                <w:szCs w:val="21"/>
                <w:highlight w:val="none"/>
              </w:rPr>
            </w:pPr>
          </w:p>
        </w:tc>
      </w:tr>
    </w:tbl>
    <w:p w14:paraId="4ABE089E">
      <w:pPr>
        <w:rPr>
          <w:highlight w:val="none"/>
        </w:rPr>
      </w:pPr>
    </w:p>
    <w:p w14:paraId="7C2FD7CB">
      <w:pPr>
        <w:widowControl/>
        <w:jc w:val="left"/>
        <w:rPr>
          <w:rFonts w:hint="eastAsia" w:ascii="黑体" w:hAnsi="黑体" w:eastAsia="黑体"/>
          <w:b/>
          <w:bCs/>
          <w:szCs w:val="21"/>
          <w:highlight w:val="none"/>
        </w:rPr>
      </w:pPr>
    </w:p>
    <w:p w14:paraId="37796FE2">
      <w:pPr>
        <w:pStyle w:val="8"/>
        <w:rPr>
          <w:highlight w:val="none"/>
        </w:rPr>
      </w:pPr>
      <w:bookmarkStart w:id="382" w:name="_Toc12604"/>
      <w:bookmarkStart w:id="383" w:name="_Toc20956"/>
      <w:bookmarkStart w:id="384" w:name="_Toc12540"/>
      <w:bookmarkStart w:id="385" w:name="_Toc15250"/>
      <w:r>
        <w:rPr>
          <w:rFonts w:hint="eastAsia"/>
          <w:highlight w:val="none"/>
        </w:rPr>
        <w:t>附表2符合性审查表</w:t>
      </w:r>
      <w:bookmarkEnd w:id="382"/>
      <w:bookmarkEnd w:id="383"/>
      <w:bookmarkEnd w:id="384"/>
      <w:bookmarkEnd w:id="385"/>
    </w:p>
    <w:p w14:paraId="2FF21016">
      <w:pPr>
        <w:adjustRightInd w:val="0"/>
        <w:snapToGrid w:val="0"/>
        <w:spacing w:before="120" w:beforeLines="50" w:line="360" w:lineRule="auto"/>
        <w:jc w:val="center"/>
        <w:rPr>
          <w:rFonts w:hint="eastAsia" w:ascii="黑体" w:hAnsi="黑体" w:eastAsia="黑体"/>
          <w:b/>
          <w:sz w:val="28"/>
          <w:szCs w:val="28"/>
          <w:highlight w:val="none"/>
        </w:rPr>
      </w:pPr>
      <w:r>
        <w:rPr>
          <w:rFonts w:hint="eastAsia" w:ascii="黑体" w:hAnsi="黑体" w:eastAsia="黑体"/>
          <w:b/>
          <w:sz w:val="28"/>
          <w:szCs w:val="28"/>
          <w:highlight w:val="none"/>
        </w:rPr>
        <w:t>符合性审查表</w:t>
      </w:r>
    </w:p>
    <w:tbl>
      <w:tblPr>
        <w:tblStyle w:val="48"/>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816"/>
        <w:gridCol w:w="2502"/>
        <w:gridCol w:w="2166"/>
        <w:gridCol w:w="3558"/>
      </w:tblGrid>
      <w:tr w14:paraId="547CE7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tcPr>
          <w:p w14:paraId="43234B80">
            <w:pPr>
              <w:adjustRightInd w:val="0"/>
              <w:snapToGrid w:val="0"/>
              <w:spacing w:line="360" w:lineRule="auto"/>
              <w:jc w:val="center"/>
              <w:rPr>
                <w:rFonts w:hint="eastAsia" w:ascii="宋体" w:hAnsi="宋体"/>
                <w:b/>
                <w:szCs w:val="21"/>
                <w:highlight w:val="none"/>
              </w:rPr>
            </w:pPr>
            <w:r>
              <w:rPr>
                <w:rFonts w:hint="eastAsia" w:ascii="宋体" w:hAnsi="宋体" w:cs="宋体"/>
                <w:b/>
                <w:kern w:val="0"/>
                <w:szCs w:val="21"/>
                <w:highlight w:val="none"/>
              </w:rPr>
              <w:t>序号</w:t>
            </w:r>
          </w:p>
        </w:tc>
        <w:tc>
          <w:tcPr>
            <w:tcW w:w="4678" w:type="dxa"/>
            <w:gridSpan w:val="2"/>
          </w:tcPr>
          <w:p w14:paraId="71E7A14D">
            <w:pPr>
              <w:adjustRightInd w:val="0"/>
              <w:snapToGrid w:val="0"/>
              <w:spacing w:line="360" w:lineRule="auto"/>
              <w:jc w:val="center"/>
              <w:rPr>
                <w:rFonts w:hint="eastAsia" w:ascii="宋体" w:hAnsi="宋体"/>
                <w:b/>
                <w:szCs w:val="21"/>
                <w:highlight w:val="none"/>
              </w:rPr>
            </w:pPr>
            <w:r>
              <w:rPr>
                <w:rFonts w:hint="eastAsia" w:ascii="宋体" w:hAnsi="宋体"/>
                <w:b/>
                <w:szCs w:val="21"/>
                <w:highlight w:val="none"/>
              </w:rPr>
              <w:t>审查项目</w:t>
            </w:r>
          </w:p>
        </w:tc>
        <w:tc>
          <w:tcPr>
            <w:tcW w:w="3565" w:type="dxa"/>
          </w:tcPr>
          <w:p w14:paraId="6B9A4991">
            <w:pPr>
              <w:adjustRightInd w:val="0"/>
              <w:snapToGrid w:val="0"/>
              <w:spacing w:line="360" w:lineRule="auto"/>
              <w:jc w:val="center"/>
              <w:rPr>
                <w:rFonts w:hint="eastAsia" w:ascii="宋体" w:hAnsi="宋体"/>
                <w:b/>
                <w:szCs w:val="21"/>
                <w:highlight w:val="none"/>
              </w:rPr>
            </w:pPr>
            <w:r>
              <w:rPr>
                <w:rFonts w:hint="eastAsia" w:ascii="宋体" w:hAnsi="宋体"/>
                <w:b/>
                <w:szCs w:val="21"/>
                <w:highlight w:val="none"/>
              </w:rPr>
              <w:t>审查标准</w:t>
            </w:r>
          </w:p>
        </w:tc>
      </w:tr>
      <w:tr w14:paraId="6B079B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70569AF6">
            <w:pP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1</w:t>
            </w:r>
          </w:p>
        </w:tc>
        <w:tc>
          <w:tcPr>
            <w:tcW w:w="4678" w:type="dxa"/>
            <w:gridSpan w:val="2"/>
            <w:vAlign w:val="center"/>
          </w:tcPr>
          <w:p w14:paraId="172AD68F">
            <w:pPr>
              <w:adjustRightInd w:val="0"/>
              <w:snapToGrid w:val="0"/>
              <w:spacing w:line="360" w:lineRule="auto"/>
              <w:rPr>
                <w:rFonts w:hint="eastAsia" w:ascii="宋体" w:hAnsi="宋体"/>
                <w:szCs w:val="21"/>
                <w:highlight w:val="none"/>
              </w:rPr>
            </w:pPr>
            <w:r>
              <w:rPr>
                <w:rFonts w:hint="eastAsia" w:ascii="宋体" w:hAnsi="宋体"/>
                <w:szCs w:val="21"/>
                <w:highlight w:val="none"/>
              </w:rPr>
              <w:t>响应文件的签署、盖章。</w:t>
            </w:r>
          </w:p>
        </w:tc>
        <w:tc>
          <w:tcPr>
            <w:tcW w:w="3565" w:type="dxa"/>
            <w:vAlign w:val="center"/>
          </w:tcPr>
          <w:p w14:paraId="082AE35B">
            <w:pPr>
              <w:adjustRightInd w:val="0"/>
              <w:snapToGrid w:val="0"/>
              <w:spacing w:line="360" w:lineRule="auto"/>
              <w:rPr>
                <w:rFonts w:hint="eastAsia" w:ascii="宋体" w:hAnsi="宋体"/>
                <w:szCs w:val="21"/>
                <w:highlight w:val="none"/>
              </w:rPr>
            </w:pPr>
          </w:p>
        </w:tc>
      </w:tr>
      <w:tr w14:paraId="03D2B8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02470538">
            <w:pP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2</w:t>
            </w:r>
          </w:p>
        </w:tc>
        <w:tc>
          <w:tcPr>
            <w:tcW w:w="4678" w:type="dxa"/>
            <w:gridSpan w:val="2"/>
            <w:vAlign w:val="center"/>
          </w:tcPr>
          <w:p w14:paraId="0EB4DA34">
            <w:pPr>
              <w:adjustRightInd w:val="0"/>
              <w:snapToGrid w:val="0"/>
              <w:spacing w:line="360" w:lineRule="auto"/>
              <w:rPr>
                <w:highlight w:val="none"/>
              </w:rPr>
            </w:pPr>
            <w:r>
              <w:rPr>
                <w:rFonts w:hint="eastAsia"/>
                <w:highlight w:val="none"/>
              </w:rPr>
              <w:t>响应文件有效期</w:t>
            </w:r>
          </w:p>
        </w:tc>
        <w:tc>
          <w:tcPr>
            <w:tcW w:w="3565" w:type="dxa"/>
            <w:vAlign w:val="center"/>
          </w:tcPr>
          <w:p w14:paraId="4F4D1D18">
            <w:pPr>
              <w:adjustRightInd w:val="0"/>
              <w:snapToGrid w:val="0"/>
              <w:spacing w:line="360" w:lineRule="auto"/>
              <w:rPr>
                <w:highlight w:val="none"/>
              </w:rPr>
            </w:pPr>
            <w:r>
              <w:rPr>
                <w:rFonts w:hint="eastAsia"/>
                <w:highlight w:val="none"/>
              </w:rPr>
              <w:t>响应文件有效期满足磋商文件要求。</w:t>
            </w:r>
          </w:p>
        </w:tc>
      </w:tr>
      <w:tr w14:paraId="44D9AF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7F6F210C">
            <w:pP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3</w:t>
            </w:r>
          </w:p>
        </w:tc>
        <w:tc>
          <w:tcPr>
            <w:tcW w:w="4678" w:type="dxa"/>
            <w:gridSpan w:val="2"/>
            <w:vAlign w:val="center"/>
          </w:tcPr>
          <w:p w14:paraId="520E6A22">
            <w:pPr>
              <w:adjustRightInd w:val="0"/>
              <w:snapToGrid w:val="0"/>
              <w:spacing w:line="360" w:lineRule="auto"/>
              <w:rPr>
                <w:rFonts w:hint="eastAsia" w:ascii="宋体" w:hAnsi="宋体"/>
                <w:szCs w:val="21"/>
                <w:highlight w:val="none"/>
              </w:rPr>
            </w:pPr>
            <w:r>
              <w:rPr>
                <w:rFonts w:hint="eastAsia" w:ascii="宋体" w:hAnsi="宋体"/>
                <w:szCs w:val="21"/>
                <w:highlight w:val="none"/>
              </w:rPr>
              <w:t>磋商报价</w:t>
            </w:r>
          </w:p>
        </w:tc>
        <w:tc>
          <w:tcPr>
            <w:tcW w:w="3565" w:type="dxa"/>
            <w:vAlign w:val="center"/>
          </w:tcPr>
          <w:p w14:paraId="712EA9F0">
            <w:pPr>
              <w:adjustRightInd w:val="0"/>
              <w:snapToGrid w:val="0"/>
              <w:spacing w:line="360" w:lineRule="auto"/>
              <w:rPr>
                <w:rFonts w:hint="eastAsia" w:ascii="宋体" w:hAnsi="宋体"/>
                <w:szCs w:val="21"/>
                <w:highlight w:val="none"/>
              </w:rPr>
            </w:pPr>
            <w:r>
              <w:rPr>
                <w:rFonts w:hint="eastAsia" w:ascii="宋体" w:hAnsi="宋体"/>
                <w:szCs w:val="21"/>
                <w:highlight w:val="none"/>
              </w:rPr>
              <w:t>磋商报价是固定价且未超过预算金额（磋商文件有最高限价的，报价未超过最高限价</w:t>
            </w:r>
            <w:r>
              <w:rPr>
                <w:rFonts w:ascii="宋体" w:hAnsi="宋体"/>
                <w:szCs w:val="21"/>
                <w:highlight w:val="none"/>
              </w:rPr>
              <w:t>）</w:t>
            </w:r>
            <w:r>
              <w:rPr>
                <w:rFonts w:hint="eastAsia" w:ascii="宋体" w:hAnsi="宋体"/>
                <w:szCs w:val="21"/>
                <w:highlight w:val="none"/>
              </w:rPr>
              <w:t>。</w:t>
            </w:r>
          </w:p>
        </w:tc>
      </w:tr>
      <w:tr w14:paraId="4F132B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2" w:hRule="atLeast"/>
        </w:trPr>
        <w:tc>
          <w:tcPr>
            <w:tcW w:w="817" w:type="dxa"/>
            <w:vMerge w:val="restart"/>
            <w:vAlign w:val="center"/>
          </w:tcPr>
          <w:p w14:paraId="6356F5F4">
            <w:pP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4</w:t>
            </w:r>
          </w:p>
        </w:tc>
        <w:tc>
          <w:tcPr>
            <w:tcW w:w="2507" w:type="dxa"/>
            <w:vMerge w:val="restart"/>
            <w:tcBorders>
              <w:right w:val="single" w:color="auto" w:sz="4" w:space="0"/>
            </w:tcBorders>
            <w:vAlign w:val="center"/>
          </w:tcPr>
          <w:p w14:paraId="611228B6">
            <w:pPr>
              <w:adjustRightInd w:val="0"/>
              <w:snapToGrid w:val="0"/>
              <w:spacing w:line="360" w:lineRule="auto"/>
              <w:rPr>
                <w:rFonts w:hint="eastAsia" w:ascii="宋体" w:hAnsi="宋体"/>
                <w:szCs w:val="21"/>
                <w:highlight w:val="none"/>
              </w:rPr>
            </w:pPr>
            <w:r>
              <w:rPr>
                <w:rFonts w:hint="eastAsia" w:ascii="宋体" w:hAnsi="宋体"/>
                <w:szCs w:val="21"/>
                <w:highlight w:val="none"/>
              </w:rPr>
              <w:t>磋商文件的实质性要求</w:t>
            </w:r>
          </w:p>
        </w:tc>
        <w:tc>
          <w:tcPr>
            <w:tcW w:w="2171" w:type="dxa"/>
            <w:tcBorders>
              <w:left w:val="single" w:color="auto" w:sz="4" w:space="0"/>
              <w:bottom w:val="single" w:color="auto" w:sz="4" w:space="0"/>
            </w:tcBorders>
            <w:vAlign w:val="center"/>
          </w:tcPr>
          <w:p w14:paraId="3F08711D">
            <w:pPr>
              <w:adjustRightInd w:val="0"/>
              <w:snapToGrid w:val="0"/>
              <w:spacing w:line="360" w:lineRule="auto"/>
              <w:rPr>
                <w:rFonts w:hint="eastAsia" w:ascii="宋体" w:hAnsi="宋体"/>
                <w:szCs w:val="21"/>
                <w:highlight w:val="none"/>
              </w:rPr>
            </w:pPr>
            <w:r>
              <w:rPr>
                <w:rFonts w:hint="eastAsia" w:ascii="宋体" w:hAnsi="宋体"/>
                <w:szCs w:val="21"/>
                <w:highlight w:val="none"/>
              </w:rPr>
              <w:t>首次响应文件</w:t>
            </w:r>
          </w:p>
        </w:tc>
        <w:tc>
          <w:tcPr>
            <w:tcW w:w="3565" w:type="dxa"/>
            <w:vMerge w:val="restart"/>
            <w:vAlign w:val="center"/>
          </w:tcPr>
          <w:p w14:paraId="5E6E3EF8">
            <w:pPr>
              <w:adjustRightInd w:val="0"/>
              <w:snapToGrid w:val="0"/>
              <w:spacing w:line="360" w:lineRule="auto"/>
              <w:rPr>
                <w:rFonts w:hint="eastAsia" w:ascii="宋体" w:hAnsi="宋体"/>
                <w:szCs w:val="21"/>
                <w:highlight w:val="none"/>
              </w:rPr>
            </w:pPr>
            <w:r>
              <w:rPr>
                <w:rFonts w:hint="eastAsia" w:ascii="宋体" w:hAnsi="宋体"/>
                <w:szCs w:val="21"/>
                <w:highlight w:val="none"/>
              </w:rPr>
              <w:t>满足磋商文件的全部实质性要求。</w:t>
            </w:r>
          </w:p>
        </w:tc>
      </w:tr>
      <w:tr w14:paraId="351A91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42" w:hRule="atLeast"/>
        </w:trPr>
        <w:tc>
          <w:tcPr>
            <w:tcW w:w="817" w:type="dxa"/>
            <w:vMerge w:val="continue"/>
            <w:vAlign w:val="center"/>
          </w:tcPr>
          <w:p w14:paraId="01696D26">
            <w:pPr>
              <w:adjustRightInd w:val="0"/>
              <w:snapToGrid w:val="0"/>
              <w:spacing w:line="360" w:lineRule="auto"/>
              <w:jc w:val="center"/>
              <w:rPr>
                <w:rFonts w:hint="eastAsia" w:ascii="宋体" w:hAnsi="宋体"/>
                <w:szCs w:val="21"/>
                <w:highlight w:val="none"/>
              </w:rPr>
            </w:pPr>
          </w:p>
        </w:tc>
        <w:tc>
          <w:tcPr>
            <w:tcW w:w="2507" w:type="dxa"/>
            <w:vMerge w:val="continue"/>
            <w:tcBorders>
              <w:right w:val="single" w:color="auto" w:sz="4" w:space="0"/>
            </w:tcBorders>
            <w:vAlign w:val="center"/>
          </w:tcPr>
          <w:p w14:paraId="02822145">
            <w:pPr>
              <w:adjustRightInd w:val="0"/>
              <w:snapToGrid w:val="0"/>
              <w:spacing w:line="360" w:lineRule="auto"/>
              <w:rPr>
                <w:rFonts w:hint="eastAsia" w:ascii="宋体" w:hAnsi="宋体"/>
                <w:szCs w:val="21"/>
                <w:highlight w:val="none"/>
              </w:rPr>
            </w:pPr>
          </w:p>
        </w:tc>
        <w:tc>
          <w:tcPr>
            <w:tcW w:w="2171" w:type="dxa"/>
            <w:tcBorders>
              <w:top w:val="single" w:color="auto" w:sz="4" w:space="0"/>
              <w:left w:val="single" w:color="auto" w:sz="4" w:space="0"/>
            </w:tcBorders>
            <w:vAlign w:val="center"/>
          </w:tcPr>
          <w:p w14:paraId="796C4BC5">
            <w:pPr>
              <w:adjustRightInd w:val="0"/>
              <w:snapToGrid w:val="0"/>
              <w:spacing w:line="360" w:lineRule="auto"/>
              <w:rPr>
                <w:rFonts w:hint="eastAsia" w:ascii="宋体" w:hAnsi="宋体"/>
                <w:szCs w:val="21"/>
                <w:highlight w:val="none"/>
              </w:rPr>
            </w:pPr>
            <w:r>
              <w:rPr>
                <w:rFonts w:hint="eastAsia" w:ascii="宋体" w:hAnsi="宋体"/>
                <w:szCs w:val="21"/>
                <w:highlight w:val="none"/>
              </w:rPr>
              <w:t>重新提交的响应文件</w:t>
            </w:r>
          </w:p>
        </w:tc>
        <w:tc>
          <w:tcPr>
            <w:tcW w:w="3565" w:type="dxa"/>
            <w:vMerge w:val="continue"/>
            <w:vAlign w:val="center"/>
          </w:tcPr>
          <w:p w14:paraId="700CEE77">
            <w:pPr>
              <w:adjustRightInd w:val="0"/>
              <w:snapToGrid w:val="0"/>
              <w:spacing w:line="360" w:lineRule="auto"/>
              <w:rPr>
                <w:rFonts w:hint="eastAsia" w:ascii="宋体" w:hAnsi="宋体"/>
                <w:szCs w:val="21"/>
                <w:highlight w:val="none"/>
              </w:rPr>
            </w:pPr>
          </w:p>
        </w:tc>
      </w:tr>
      <w:tr w14:paraId="557467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394D5DE4">
            <w:pP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5</w:t>
            </w:r>
          </w:p>
        </w:tc>
        <w:tc>
          <w:tcPr>
            <w:tcW w:w="4678" w:type="dxa"/>
            <w:gridSpan w:val="2"/>
            <w:vAlign w:val="center"/>
          </w:tcPr>
          <w:p w14:paraId="1E775B27">
            <w:pPr>
              <w:adjustRightInd w:val="0"/>
              <w:snapToGrid w:val="0"/>
              <w:spacing w:line="360" w:lineRule="auto"/>
              <w:rPr>
                <w:highlight w:val="none"/>
              </w:rPr>
            </w:pPr>
            <w:r>
              <w:rPr>
                <w:rFonts w:hint="eastAsia"/>
                <w:highlight w:val="none"/>
              </w:rPr>
              <w:t>最后报价</w:t>
            </w:r>
          </w:p>
        </w:tc>
        <w:tc>
          <w:tcPr>
            <w:tcW w:w="3565" w:type="dxa"/>
            <w:vAlign w:val="center"/>
          </w:tcPr>
          <w:p w14:paraId="730B0618">
            <w:pPr>
              <w:adjustRightInd w:val="0"/>
              <w:snapToGrid w:val="0"/>
              <w:spacing w:line="360" w:lineRule="auto"/>
              <w:rPr>
                <w:highlight w:val="none"/>
              </w:rPr>
            </w:pPr>
            <w:r>
              <w:rPr>
                <w:rFonts w:hint="eastAsia"/>
                <w:highlight w:val="none"/>
              </w:rPr>
              <w:t>按照磋商文件的规定提交最后报价。</w:t>
            </w:r>
          </w:p>
        </w:tc>
      </w:tr>
      <w:tr w14:paraId="7042D3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0DC3E8D7">
            <w:pP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6</w:t>
            </w:r>
          </w:p>
        </w:tc>
        <w:tc>
          <w:tcPr>
            <w:tcW w:w="4678" w:type="dxa"/>
            <w:gridSpan w:val="2"/>
            <w:vAlign w:val="center"/>
          </w:tcPr>
          <w:p w14:paraId="285A5B9B">
            <w:pPr>
              <w:adjustRightInd w:val="0"/>
              <w:snapToGrid w:val="0"/>
              <w:spacing w:line="360" w:lineRule="auto"/>
              <w:rPr>
                <w:highlight w:val="none"/>
              </w:rPr>
            </w:pPr>
            <w:r>
              <w:rPr>
                <w:rFonts w:hint="eastAsia"/>
                <w:highlight w:val="none"/>
              </w:rPr>
              <w:t>其他无效情形</w:t>
            </w:r>
          </w:p>
        </w:tc>
        <w:tc>
          <w:tcPr>
            <w:tcW w:w="3565" w:type="dxa"/>
          </w:tcPr>
          <w:p w14:paraId="1D53CA38">
            <w:pPr>
              <w:adjustRightInd w:val="0"/>
              <w:snapToGrid w:val="0"/>
              <w:spacing w:line="360" w:lineRule="auto"/>
              <w:rPr>
                <w:highlight w:val="none"/>
              </w:rPr>
            </w:pPr>
            <w:r>
              <w:rPr>
                <w:rFonts w:hint="eastAsia"/>
                <w:highlight w:val="none"/>
              </w:rPr>
              <w:t>法律、法规和磋商文件规定的其他无效情形。</w:t>
            </w:r>
          </w:p>
        </w:tc>
      </w:tr>
      <w:tr w14:paraId="085FB3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1382A46A">
            <w:pPr>
              <w:adjustRightInd w:val="0"/>
              <w:snapToGrid w:val="0"/>
              <w:spacing w:line="360" w:lineRule="auto"/>
              <w:jc w:val="center"/>
              <w:rPr>
                <w:rFonts w:hint="eastAsia" w:ascii="宋体" w:hAnsi="宋体"/>
                <w:szCs w:val="21"/>
                <w:highlight w:val="none"/>
              </w:rPr>
            </w:pPr>
            <w:r>
              <w:rPr>
                <w:rFonts w:ascii="宋体" w:hAnsi="宋体"/>
                <w:szCs w:val="21"/>
                <w:highlight w:val="none"/>
              </w:rPr>
              <w:t>…</w:t>
            </w:r>
          </w:p>
        </w:tc>
        <w:tc>
          <w:tcPr>
            <w:tcW w:w="4678" w:type="dxa"/>
            <w:gridSpan w:val="2"/>
            <w:vAlign w:val="center"/>
          </w:tcPr>
          <w:p w14:paraId="75E9D33A">
            <w:pPr>
              <w:adjustRightInd w:val="0"/>
              <w:snapToGrid w:val="0"/>
              <w:spacing w:line="360" w:lineRule="auto"/>
              <w:jc w:val="center"/>
              <w:rPr>
                <w:rFonts w:hint="eastAsia" w:ascii="宋体" w:hAnsi="宋体"/>
                <w:szCs w:val="21"/>
                <w:highlight w:val="none"/>
              </w:rPr>
            </w:pPr>
            <w:r>
              <w:rPr>
                <w:rFonts w:ascii="宋体" w:hAnsi="宋体"/>
                <w:szCs w:val="21"/>
                <w:highlight w:val="none"/>
              </w:rPr>
              <w:t>…</w:t>
            </w:r>
          </w:p>
        </w:tc>
        <w:tc>
          <w:tcPr>
            <w:tcW w:w="3565" w:type="dxa"/>
            <w:vAlign w:val="center"/>
          </w:tcPr>
          <w:p w14:paraId="446E1CD0">
            <w:pPr>
              <w:adjustRightInd w:val="0"/>
              <w:snapToGrid w:val="0"/>
              <w:spacing w:line="360" w:lineRule="auto"/>
              <w:jc w:val="center"/>
              <w:rPr>
                <w:rFonts w:hint="eastAsia" w:ascii="宋体" w:hAnsi="宋体"/>
                <w:szCs w:val="21"/>
                <w:highlight w:val="none"/>
              </w:rPr>
            </w:pPr>
            <w:r>
              <w:rPr>
                <w:rFonts w:ascii="宋体" w:hAnsi="宋体"/>
                <w:szCs w:val="21"/>
                <w:highlight w:val="none"/>
              </w:rPr>
              <w:t>…</w:t>
            </w:r>
          </w:p>
        </w:tc>
      </w:tr>
      <w:tr w14:paraId="434C2B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2712C74E">
            <w:pPr>
              <w:adjustRightInd w:val="0"/>
              <w:snapToGrid w:val="0"/>
              <w:spacing w:line="360" w:lineRule="auto"/>
              <w:jc w:val="center"/>
              <w:rPr>
                <w:rFonts w:hint="eastAsia" w:ascii="宋体" w:hAnsi="宋体"/>
                <w:szCs w:val="21"/>
                <w:highlight w:val="none"/>
              </w:rPr>
            </w:pPr>
          </w:p>
        </w:tc>
        <w:tc>
          <w:tcPr>
            <w:tcW w:w="4678" w:type="dxa"/>
            <w:gridSpan w:val="2"/>
            <w:vAlign w:val="center"/>
          </w:tcPr>
          <w:p w14:paraId="283F8A98">
            <w:pPr>
              <w:adjustRightInd w:val="0"/>
              <w:snapToGrid w:val="0"/>
              <w:spacing w:line="360" w:lineRule="auto"/>
              <w:rPr>
                <w:rFonts w:hint="eastAsia" w:ascii="宋体" w:hAnsi="宋体"/>
                <w:szCs w:val="21"/>
                <w:highlight w:val="none"/>
              </w:rPr>
            </w:pPr>
          </w:p>
        </w:tc>
        <w:tc>
          <w:tcPr>
            <w:tcW w:w="3565" w:type="dxa"/>
            <w:vAlign w:val="center"/>
          </w:tcPr>
          <w:p w14:paraId="008CA2E8">
            <w:pPr>
              <w:adjustRightInd w:val="0"/>
              <w:snapToGrid w:val="0"/>
              <w:spacing w:line="360" w:lineRule="auto"/>
              <w:rPr>
                <w:rFonts w:hint="eastAsia" w:ascii="宋体" w:hAnsi="宋体"/>
                <w:szCs w:val="21"/>
                <w:highlight w:val="none"/>
              </w:rPr>
            </w:pPr>
          </w:p>
        </w:tc>
      </w:tr>
      <w:tr w14:paraId="5E4F53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4B56F3D8">
            <w:pPr>
              <w:adjustRightInd w:val="0"/>
              <w:snapToGrid w:val="0"/>
              <w:spacing w:line="360" w:lineRule="auto"/>
              <w:jc w:val="center"/>
              <w:rPr>
                <w:rFonts w:hint="eastAsia" w:ascii="宋体" w:hAnsi="宋体"/>
                <w:szCs w:val="21"/>
                <w:highlight w:val="none"/>
              </w:rPr>
            </w:pPr>
          </w:p>
        </w:tc>
        <w:tc>
          <w:tcPr>
            <w:tcW w:w="4678" w:type="dxa"/>
            <w:gridSpan w:val="2"/>
            <w:vAlign w:val="center"/>
          </w:tcPr>
          <w:p w14:paraId="66AB10AE">
            <w:pPr>
              <w:adjustRightInd w:val="0"/>
              <w:snapToGrid w:val="0"/>
              <w:spacing w:line="360" w:lineRule="auto"/>
              <w:rPr>
                <w:highlight w:val="none"/>
              </w:rPr>
            </w:pPr>
          </w:p>
        </w:tc>
        <w:tc>
          <w:tcPr>
            <w:tcW w:w="3565" w:type="dxa"/>
          </w:tcPr>
          <w:p w14:paraId="47347A8A">
            <w:pPr>
              <w:adjustRightInd w:val="0"/>
              <w:snapToGrid w:val="0"/>
              <w:spacing w:line="360" w:lineRule="auto"/>
              <w:rPr>
                <w:highlight w:val="none"/>
              </w:rPr>
            </w:pPr>
          </w:p>
        </w:tc>
      </w:tr>
      <w:tr w14:paraId="2CE4F6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vAlign w:val="center"/>
          </w:tcPr>
          <w:p w14:paraId="3F693F66">
            <w:pPr>
              <w:adjustRightInd w:val="0"/>
              <w:snapToGrid w:val="0"/>
              <w:spacing w:line="360" w:lineRule="auto"/>
              <w:jc w:val="center"/>
              <w:rPr>
                <w:rFonts w:hint="eastAsia" w:ascii="宋体" w:hAnsi="宋体"/>
                <w:szCs w:val="21"/>
                <w:highlight w:val="none"/>
              </w:rPr>
            </w:pPr>
          </w:p>
        </w:tc>
        <w:tc>
          <w:tcPr>
            <w:tcW w:w="4678" w:type="dxa"/>
            <w:gridSpan w:val="2"/>
            <w:vAlign w:val="center"/>
          </w:tcPr>
          <w:p w14:paraId="1D3917C2">
            <w:pPr>
              <w:adjustRightInd w:val="0"/>
              <w:snapToGrid w:val="0"/>
              <w:spacing w:line="360" w:lineRule="auto"/>
              <w:rPr>
                <w:rFonts w:hint="eastAsia" w:ascii="宋体" w:hAnsi="宋体"/>
                <w:szCs w:val="21"/>
                <w:highlight w:val="none"/>
              </w:rPr>
            </w:pPr>
          </w:p>
        </w:tc>
        <w:tc>
          <w:tcPr>
            <w:tcW w:w="3565" w:type="dxa"/>
            <w:vAlign w:val="center"/>
          </w:tcPr>
          <w:p w14:paraId="64915F72">
            <w:pPr>
              <w:adjustRightInd w:val="0"/>
              <w:snapToGrid w:val="0"/>
              <w:spacing w:line="360" w:lineRule="auto"/>
              <w:rPr>
                <w:rFonts w:hint="eastAsia" w:ascii="宋体" w:hAnsi="宋体"/>
                <w:szCs w:val="21"/>
                <w:highlight w:val="none"/>
              </w:rPr>
            </w:pPr>
          </w:p>
        </w:tc>
      </w:tr>
      <w:tr w14:paraId="7FB8B2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817" w:type="dxa"/>
          </w:tcPr>
          <w:p w14:paraId="48058F0A">
            <w:pPr>
              <w:adjustRightInd w:val="0"/>
              <w:snapToGrid w:val="0"/>
              <w:spacing w:line="360" w:lineRule="auto"/>
              <w:jc w:val="center"/>
              <w:rPr>
                <w:rFonts w:hint="eastAsia" w:ascii="宋体" w:hAnsi="宋体"/>
                <w:szCs w:val="21"/>
                <w:highlight w:val="none"/>
              </w:rPr>
            </w:pPr>
            <w:r>
              <w:rPr>
                <w:rFonts w:hint="eastAsia" w:ascii="宋体" w:hAnsi="宋体"/>
                <w:kern w:val="0"/>
                <w:szCs w:val="21"/>
                <w:highlight w:val="none"/>
              </w:rPr>
              <w:t>结论</w:t>
            </w:r>
          </w:p>
        </w:tc>
        <w:tc>
          <w:tcPr>
            <w:tcW w:w="4678" w:type="dxa"/>
            <w:gridSpan w:val="2"/>
          </w:tcPr>
          <w:p w14:paraId="79831969">
            <w:pPr>
              <w:adjustRightInd w:val="0"/>
              <w:snapToGrid w:val="0"/>
              <w:spacing w:line="360" w:lineRule="auto"/>
              <w:jc w:val="left"/>
              <w:rPr>
                <w:rFonts w:hint="eastAsia" w:ascii="宋体" w:hAnsi="宋体"/>
                <w:szCs w:val="21"/>
                <w:highlight w:val="none"/>
              </w:rPr>
            </w:pPr>
          </w:p>
        </w:tc>
        <w:tc>
          <w:tcPr>
            <w:tcW w:w="3565" w:type="dxa"/>
          </w:tcPr>
          <w:p w14:paraId="621C749E">
            <w:pPr>
              <w:adjustRightInd w:val="0"/>
              <w:snapToGrid w:val="0"/>
              <w:spacing w:line="360" w:lineRule="auto"/>
              <w:jc w:val="center"/>
              <w:rPr>
                <w:rFonts w:hint="eastAsia" w:ascii="宋体" w:hAnsi="宋体"/>
                <w:szCs w:val="21"/>
                <w:highlight w:val="none"/>
              </w:rPr>
            </w:pPr>
          </w:p>
        </w:tc>
      </w:tr>
    </w:tbl>
    <w:p w14:paraId="700903F3">
      <w:pPr>
        <w:rPr>
          <w:highlight w:val="none"/>
        </w:rPr>
      </w:pPr>
    </w:p>
    <w:p w14:paraId="74C58FD8">
      <w:pPr>
        <w:widowControl/>
        <w:jc w:val="left"/>
        <w:outlineLvl w:val="1"/>
        <w:rPr>
          <w:b/>
          <w:bCs/>
          <w:highlight w:val="none"/>
        </w:rPr>
      </w:pPr>
      <w:r>
        <w:rPr>
          <w:b/>
          <w:bCs/>
          <w:highlight w:val="none"/>
        </w:rPr>
        <w:br w:type="page"/>
      </w:r>
      <w:bookmarkStart w:id="386" w:name="_Toc27098"/>
      <w:bookmarkStart w:id="387" w:name="_Toc23716"/>
      <w:bookmarkStart w:id="388" w:name="_Toc3307"/>
      <w:bookmarkStart w:id="389" w:name="_Toc21931"/>
      <w:r>
        <w:rPr>
          <w:rFonts w:hint="eastAsia"/>
          <w:b/>
          <w:bCs/>
          <w:highlight w:val="none"/>
        </w:rPr>
        <w:t>附表3评审方法及标准表</w:t>
      </w:r>
      <w:bookmarkEnd w:id="386"/>
      <w:bookmarkEnd w:id="387"/>
      <w:bookmarkEnd w:id="388"/>
      <w:bookmarkEnd w:id="389"/>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807"/>
        <w:gridCol w:w="469"/>
        <w:gridCol w:w="7127"/>
      </w:tblGrid>
      <w:tr w14:paraId="4BA18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0" w:type="auto"/>
            <w:vAlign w:val="center"/>
          </w:tcPr>
          <w:p w14:paraId="2107DB92">
            <w:pPr>
              <w:jc w:val="center"/>
              <w:rPr>
                <w:rFonts w:hint="eastAsia"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类别</w:t>
            </w:r>
          </w:p>
        </w:tc>
        <w:tc>
          <w:tcPr>
            <w:tcW w:w="0" w:type="auto"/>
            <w:vAlign w:val="center"/>
          </w:tcPr>
          <w:p w14:paraId="7D9062D3">
            <w:pPr>
              <w:jc w:val="center"/>
              <w:rPr>
                <w:rFonts w:hint="eastAsia"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评分要素</w:t>
            </w:r>
          </w:p>
        </w:tc>
        <w:tc>
          <w:tcPr>
            <w:tcW w:w="0" w:type="auto"/>
            <w:vAlign w:val="center"/>
          </w:tcPr>
          <w:p w14:paraId="7CD71E56">
            <w:pPr>
              <w:jc w:val="center"/>
              <w:rPr>
                <w:rFonts w:hint="eastAsia"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分值</w:t>
            </w:r>
          </w:p>
        </w:tc>
        <w:tc>
          <w:tcPr>
            <w:tcW w:w="0" w:type="auto"/>
            <w:vAlign w:val="center"/>
          </w:tcPr>
          <w:p w14:paraId="5D1CD6F3">
            <w:pPr>
              <w:jc w:val="center"/>
              <w:rPr>
                <w:rFonts w:hint="eastAsia"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说明</w:t>
            </w:r>
          </w:p>
        </w:tc>
      </w:tr>
      <w:tr w14:paraId="32163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0" w:type="auto"/>
            <w:vAlign w:val="center"/>
          </w:tcPr>
          <w:p w14:paraId="1076EAD2">
            <w:pPr>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价格部分</w:t>
            </w:r>
            <w:r>
              <w:rPr>
                <w:rFonts w:hint="eastAsia" w:asciiTheme="minorEastAsia" w:hAnsiTheme="minorEastAsia" w:eastAsiaTheme="minorEastAsia" w:cstheme="minorEastAsia"/>
                <w:kern w:val="0"/>
                <w:szCs w:val="21"/>
                <w:highlight w:val="none"/>
                <w:lang w:val="en-US" w:eastAsia="zh-CN"/>
              </w:rPr>
              <w:t>15</w:t>
            </w:r>
            <w:r>
              <w:rPr>
                <w:rFonts w:hint="eastAsia" w:asciiTheme="minorEastAsia" w:hAnsiTheme="minorEastAsia" w:eastAsiaTheme="minorEastAsia" w:cstheme="minorEastAsia"/>
                <w:kern w:val="0"/>
                <w:szCs w:val="21"/>
                <w:highlight w:val="none"/>
              </w:rPr>
              <w:t>分</w:t>
            </w:r>
          </w:p>
        </w:tc>
        <w:tc>
          <w:tcPr>
            <w:tcW w:w="0" w:type="auto"/>
            <w:vAlign w:val="center"/>
          </w:tcPr>
          <w:p w14:paraId="37385A1E">
            <w:pPr>
              <w:jc w:val="center"/>
              <w:rPr>
                <w:rFonts w:hint="eastAsia" w:ascii="宋体" w:hAnsi="宋体" w:eastAsia="宋体" w:cs="宋体"/>
                <w:kern w:val="0"/>
                <w:sz w:val="21"/>
                <w:szCs w:val="24"/>
                <w:highlight w:val="none"/>
                <w:lang w:val="en-US" w:eastAsia="zh-CN" w:bidi="ar-SA"/>
              </w:rPr>
            </w:pPr>
            <w:r>
              <w:rPr>
                <w:rFonts w:hint="eastAsia" w:ascii="宋体" w:hAnsi="宋体" w:eastAsia="宋体" w:cs="宋体"/>
                <w:kern w:val="0"/>
                <w:sz w:val="21"/>
                <w:szCs w:val="24"/>
                <w:highlight w:val="none"/>
                <w:lang w:val="en-US" w:eastAsia="zh-CN" w:bidi="ar-SA"/>
              </w:rPr>
              <w:t>磋商报价</w:t>
            </w:r>
          </w:p>
        </w:tc>
        <w:tc>
          <w:tcPr>
            <w:tcW w:w="0" w:type="auto"/>
            <w:vAlign w:val="center"/>
          </w:tcPr>
          <w:p w14:paraId="1C59E712">
            <w:pPr>
              <w:jc w:val="center"/>
              <w:rPr>
                <w:rFonts w:hint="default" w:ascii="宋体" w:hAnsi="宋体" w:eastAsia="宋体" w:cs="宋体"/>
                <w:kern w:val="0"/>
                <w:sz w:val="21"/>
                <w:szCs w:val="24"/>
                <w:highlight w:val="none"/>
                <w:lang w:val="en-US" w:eastAsia="zh-CN" w:bidi="ar-SA"/>
              </w:rPr>
            </w:pPr>
            <w:r>
              <w:rPr>
                <w:rFonts w:hint="eastAsia" w:ascii="宋体" w:hAnsi="宋体" w:eastAsia="宋体" w:cs="宋体"/>
                <w:kern w:val="0"/>
                <w:sz w:val="21"/>
                <w:szCs w:val="24"/>
                <w:highlight w:val="none"/>
                <w:lang w:val="en-US" w:eastAsia="zh-CN" w:bidi="ar-SA"/>
              </w:rPr>
              <w:t>15</w:t>
            </w:r>
          </w:p>
        </w:tc>
        <w:tc>
          <w:tcPr>
            <w:tcW w:w="0" w:type="auto"/>
            <w:vAlign w:val="center"/>
          </w:tcPr>
          <w:p w14:paraId="1BC63BED">
            <w:pPr>
              <w:pStyle w:val="297"/>
              <w:rPr>
                <w:rFonts w:hint="default" w:ascii="宋体" w:hAnsi="宋体" w:eastAsia="宋体" w:cs="宋体"/>
                <w:kern w:val="0"/>
                <w:sz w:val="21"/>
                <w:szCs w:val="24"/>
                <w:highlight w:val="none"/>
                <w:lang w:val="en-US" w:eastAsia="zh-CN" w:bidi="ar-SA"/>
              </w:rPr>
            </w:pPr>
            <w:r>
              <w:rPr>
                <w:rFonts w:hint="eastAsia" w:ascii="宋体" w:hAnsi="宋体" w:eastAsia="宋体" w:cs="宋体"/>
                <w:kern w:val="0"/>
                <w:sz w:val="21"/>
                <w:szCs w:val="24"/>
                <w:highlight w:val="none"/>
                <w:lang w:val="en-US" w:eastAsia="zh-CN" w:bidi="ar-SA"/>
              </w:rPr>
              <w:t>1、经磋商小组一致认定满足磋商文件要求且价格最低的投标报价为评标基准价，其价格得分为满分；其他供应商的价格分统一按照以下公式计算：价格得分=（评标基准价/最后磋商报价）×15</w:t>
            </w:r>
          </w:p>
          <w:p w14:paraId="4412B41A">
            <w:pPr>
              <w:pStyle w:val="297"/>
              <w:rPr>
                <w:rFonts w:hint="eastAsia" w:ascii="宋体" w:hAnsi="宋体" w:eastAsia="宋体" w:cs="宋体"/>
                <w:kern w:val="0"/>
                <w:sz w:val="21"/>
                <w:szCs w:val="24"/>
                <w:highlight w:val="none"/>
                <w:lang w:val="en-US" w:eastAsia="zh-CN" w:bidi="ar-SA"/>
              </w:rPr>
            </w:pPr>
            <w:r>
              <w:rPr>
                <w:rFonts w:hint="eastAsia" w:ascii="宋体" w:hAnsi="宋体" w:eastAsia="宋体" w:cs="宋体"/>
                <w:kern w:val="0"/>
                <w:sz w:val="21"/>
                <w:szCs w:val="24"/>
                <w:highlight w:val="none"/>
                <w:lang w:val="en-US" w:eastAsia="zh-CN" w:bidi="ar-SA"/>
              </w:rPr>
              <w:t>2、异常低价审查：</w:t>
            </w:r>
          </w:p>
          <w:p w14:paraId="42FFDA5E">
            <w:pPr>
              <w:pStyle w:val="297"/>
              <w:rPr>
                <w:rFonts w:hint="eastAsia" w:ascii="宋体" w:hAnsi="宋体" w:eastAsia="宋体" w:cs="宋体"/>
                <w:kern w:val="0"/>
                <w:sz w:val="21"/>
                <w:szCs w:val="24"/>
                <w:highlight w:val="none"/>
                <w:lang w:val="en-US" w:eastAsia="zh-CN" w:bidi="ar-SA"/>
              </w:rPr>
            </w:pPr>
            <w:r>
              <w:rPr>
                <w:rFonts w:hint="eastAsia" w:ascii="宋体" w:hAnsi="宋体" w:eastAsia="宋体" w:cs="宋体"/>
                <w:kern w:val="0"/>
                <w:sz w:val="21"/>
                <w:szCs w:val="24"/>
                <w:highlight w:val="none"/>
                <w:lang w:val="en-US" w:eastAsia="zh-CN" w:bidi="ar-SA"/>
              </w:rPr>
              <w:t>出现下列情形之一的，磋商小组应当启动异常低价响应审查程序：</w:t>
            </w:r>
          </w:p>
          <w:p w14:paraId="0C5203D8">
            <w:pPr>
              <w:pStyle w:val="297"/>
              <w:rPr>
                <w:rFonts w:hint="eastAsia" w:ascii="宋体" w:hAnsi="宋体" w:eastAsia="宋体" w:cs="宋体"/>
                <w:kern w:val="0"/>
                <w:sz w:val="21"/>
                <w:szCs w:val="24"/>
                <w:highlight w:val="none"/>
                <w:lang w:val="en-US" w:eastAsia="zh-CN" w:bidi="ar-SA"/>
              </w:rPr>
            </w:pPr>
            <w:r>
              <w:rPr>
                <w:rFonts w:hint="eastAsia" w:ascii="宋体" w:hAnsi="宋体" w:eastAsia="宋体" w:cs="宋体"/>
                <w:kern w:val="0"/>
                <w:sz w:val="21"/>
                <w:szCs w:val="24"/>
                <w:highlight w:val="none"/>
                <w:lang w:val="en-US" w:eastAsia="zh-CN" w:bidi="ar-SA"/>
              </w:rPr>
              <w:t>（1）响应报价低于全部通过符合性审查供应商响应报价平均值65%的，即响应报价＜全部通过符合性审查供应商响应报价平均值×65%；</w:t>
            </w:r>
          </w:p>
          <w:p w14:paraId="5571FE41">
            <w:pPr>
              <w:pStyle w:val="297"/>
              <w:rPr>
                <w:rFonts w:hint="eastAsia" w:ascii="宋体" w:hAnsi="宋体" w:eastAsia="宋体" w:cs="宋体"/>
                <w:kern w:val="0"/>
                <w:sz w:val="21"/>
                <w:szCs w:val="24"/>
                <w:highlight w:val="none"/>
                <w:lang w:val="en-US" w:eastAsia="zh-CN" w:bidi="ar-SA"/>
              </w:rPr>
            </w:pPr>
            <w:r>
              <w:rPr>
                <w:rFonts w:hint="eastAsia" w:ascii="宋体" w:hAnsi="宋体" w:eastAsia="宋体" w:cs="宋体"/>
                <w:kern w:val="0"/>
                <w:sz w:val="21"/>
                <w:szCs w:val="24"/>
                <w:highlight w:val="none"/>
                <w:lang w:val="en-US" w:eastAsia="zh-CN" w:bidi="ar-SA"/>
              </w:rPr>
              <w:t>（2）响应报价低于通过符合性审查的次低报价供应商响应报价65%的，即响应报价＜通过符合性审查的次低报价供应商响应报价×65%；</w:t>
            </w:r>
          </w:p>
          <w:p w14:paraId="6D3F603D">
            <w:pPr>
              <w:pStyle w:val="297"/>
              <w:rPr>
                <w:rFonts w:hint="eastAsia" w:ascii="宋体" w:hAnsi="宋体" w:eastAsia="宋体" w:cs="宋体"/>
                <w:kern w:val="0"/>
                <w:sz w:val="21"/>
                <w:szCs w:val="24"/>
                <w:highlight w:val="none"/>
                <w:lang w:val="en-US" w:eastAsia="zh-CN" w:bidi="ar-SA"/>
              </w:rPr>
            </w:pPr>
            <w:r>
              <w:rPr>
                <w:rFonts w:hint="eastAsia" w:ascii="宋体" w:hAnsi="宋体" w:eastAsia="宋体" w:cs="宋体"/>
                <w:kern w:val="0"/>
                <w:sz w:val="21"/>
                <w:szCs w:val="24"/>
                <w:highlight w:val="none"/>
                <w:lang w:val="en-US" w:eastAsia="zh-CN" w:bidi="ar-SA"/>
              </w:rPr>
              <w:t>（3）响应报价低于采购项目最高限价65%的，即响应报价＜采购项目最高限价×65%；</w:t>
            </w:r>
          </w:p>
          <w:p w14:paraId="7AB0ED16">
            <w:pPr>
              <w:pStyle w:val="297"/>
              <w:rPr>
                <w:rFonts w:hint="eastAsia" w:ascii="宋体" w:hAnsi="宋体" w:eastAsia="宋体" w:cs="宋体"/>
                <w:kern w:val="0"/>
                <w:sz w:val="21"/>
                <w:szCs w:val="24"/>
                <w:highlight w:val="none"/>
                <w:lang w:val="en-US" w:eastAsia="zh-CN" w:bidi="ar-SA"/>
              </w:rPr>
            </w:pPr>
            <w:r>
              <w:rPr>
                <w:rFonts w:hint="eastAsia" w:ascii="宋体" w:hAnsi="宋体" w:eastAsia="宋体" w:cs="宋体"/>
                <w:kern w:val="0"/>
                <w:sz w:val="21"/>
                <w:szCs w:val="24"/>
                <w:highlight w:val="none"/>
                <w:lang w:val="en-US" w:eastAsia="zh-CN" w:bidi="ar-SA"/>
              </w:rPr>
              <w:t>（4）磋商小组基于专业判断，认为供应商报价过低，有可能影响产品质量或者不能诚信履约的其他情形。</w:t>
            </w:r>
          </w:p>
          <w:p w14:paraId="1F2D62A1">
            <w:pPr>
              <w:pStyle w:val="297"/>
              <w:rPr>
                <w:rFonts w:hint="eastAsia" w:ascii="宋体" w:hAnsi="宋体" w:eastAsia="宋体" w:cs="宋体"/>
                <w:kern w:val="0"/>
                <w:sz w:val="21"/>
                <w:szCs w:val="24"/>
                <w:highlight w:val="none"/>
                <w:lang w:val="en-US" w:eastAsia="zh-CN" w:bidi="ar-SA"/>
              </w:rPr>
            </w:pPr>
            <w:r>
              <w:rPr>
                <w:rFonts w:hint="eastAsia" w:ascii="宋体" w:hAnsi="宋体" w:eastAsia="宋体" w:cs="宋体"/>
                <w:kern w:val="0"/>
                <w:sz w:val="21"/>
                <w:szCs w:val="24"/>
                <w:highlight w:val="none"/>
                <w:lang w:val="en-US" w:eastAsia="zh-CN" w:bidi="ar-SA"/>
              </w:rPr>
              <w:t>注：</w:t>
            </w:r>
          </w:p>
          <w:p w14:paraId="05B9F837">
            <w:pPr>
              <w:pStyle w:val="297"/>
              <w:rPr>
                <w:rFonts w:hint="eastAsia" w:ascii="宋体" w:hAnsi="宋体" w:eastAsia="宋体" w:cs="宋体"/>
                <w:kern w:val="0"/>
                <w:sz w:val="21"/>
                <w:szCs w:val="24"/>
                <w:highlight w:val="none"/>
                <w:lang w:val="en-US" w:eastAsia="zh-CN" w:bidi="ar-SA"/>
              </w:rPr>
            </w:pPr>
            <w:r>
              <w:rPr>
                <w:rFonts w:hint="eastAsia" w:ascii="宋体" w:hAnsi="宋体" w:eastAsia="宋体" w:cs="宋体"/>
                <w:kern w:val="0"/>
                <w:sz w:val="21"/>
                <w:szCs w:val="24"/>
                <w:highlight w:val="none"/>
                <w:lang w:val="en-US" w:eastAsia="zh-CN" w:bidi="ar-SA"/>
              </w:rPr>
              <w:t>（一）磋商小组在评审中发现【异常低价审查】规定情形之一的，磋商小组应当启动异常低价投标审查程序。磋商小组启动异常低价投标审查后，属于第1项至第4项情形的，应当要求相关供应商在评审现场合理的时间内对响应价格作出解释，提供项目具体成本测算等与报价合理性相关的书面说明及必要的证明材料，包括但不限于原材料成本、人工成本、制造费等，给予相关供应商的合理时间一般不少于30分钟。其中，属于第3项情形，供应商已随响应文件一并提交相关书面说明及必要的证明材料的，在评审现场可不再重复提交。</w:t>
            </w:r>
          </w:p>
          <w:p w14:paraId="55847F24">
            <w:pPr>
              <w:pStyle w:val="297"/>
              <w:rPr>
                <w:rFonts w:hint="eastAsia" w:ascii="宋体" w:hAnsi="宋体" w:eastAsia="宋体" w:cs="宋体"/>
                <w:kern w:val="0"/>
                <w:sz w:val="21"/>
                <w:szCs w:val="24"/>
                <w:highlight w:val="none"/>
                <w:lang w:val="zh-CN" w:eastAsia="zh-CN" w:bidi="ar-SA"/>
              </w:rPr>
            </w:pPr>
            <w:r>
              <w:rPr>
                <w:rFonts w:hint="eastAsia" w:ascii="宋体" w:hAnsi="宋体" w:eastAsia="宋体" w:cs="宋体"/>
                <w:kern w:val="0"/>
                <w:sz w:val="21"/>
                <w:szCs w:val="24"/>
                <w:highlight w:val="none"/>
                <w:lang w:val="en-US" w:eastAsia="zh-CN" w:bidi="ar-SA"/>
              </w:rPr>
              <w:t>（二）磋商小组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磋商小组应当将其作为无效响应处理。</w:t>
            </w:r>
          </w:p>
        </w:tc>
      </w:tr>
      <w:tr w14:paraId="6D687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jc w:val="center"/>
        </w:trPr>
        <w:tc>
          <w:tcPr>
            <w:tcW w:w="0" w:type="auto"/>
            <w:vMerge w:val="restart"/>
            <w:vAlign w:val="center"/>
          </w:tcPr>
          <w:p w14:paraId="38FB62EA">
            <w:pPr>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技术部分</w:t>
            </w:r>
            <w:r>
              <w:rPr>
                <w:rFonts w:hint="eastAsia" w:asciiTheme="minorEastAsia" w:hAnsiTheme="minorEastAsia" w:eastAsiaTheme="minorEastAsia" w:cstheme="minorEastAsia"/>
                <w:kern w:val="0"/>
                <w:szCs w:val="21"/>
                <w:highlight w:val="none"/>
                <w:lang w:val="en-US" w:eastAsia="zh-CN"/>
              </w:rPr>
              <w:t>60</w:t>
            </w:r>
            <w:r>
              <w:rPr>
                <w:rFonts w:hint="eastAsia" w:asciiTheme="minorEastAsia" w:hAnsiTheme="minorEastAsia" w:eastAsiaTheme="minorEastAsia" w:cstheme="minorEastAsia"/>
                <w:kern w:val="0"/>
                <w:szCs w:val="21"/>
                <w:highlight w:val="none"/>
              </w:rPr>
              <w:t>分</w:t>
            </w:r>
          </w:p>
        </w:tc>
        <w:tc>
          <w:tcPr>
            <w:tcW w:w="0" w:type="auto"/>
            <w:vAlign w:val="center"/>
          </w:tcPr>
          <w:p w14:paraId="1EA476C7">
            <w:pPr>
              <w:jc w:val="center"/>
              <w:rPr>
                <w:rFonts w:hint="eastAsia" w:ascii="宋体" w:hAnsi="宋体" w:eastAsia="宋体" w:cs="宋体"/>
                <w:kern w:val="0"/>
                <w:sz w:val="21"/>
                <w:szCs w:val="24"/>
                <w:highlight w:val="none"/>
                <w:lang w:val="en-US" w:eastAsia="zh-CN" w:bidi="ar-SA"/>
              </w:rPr>
            </w:pPr>
            <w:r>
              <w:rPr>
                <w:rFonts w:hint="eastAsia" w:ascii="宋体" w:hAnsi="宋体" w:eastAsia="宋体" w:cs="宋体"/>
                <w:kern w:val="0"/>
                <w:sz w:val="21"/>
                <w:szCs w:val="24"/>
                <w:highlight w:val="none"/>
                <w:lang w:val="en-US" w:eastAsia="zh-CN" w:bidi="ar-SA"/>
              </w:rPr>
              <w:t>业务软件维护方案</w:t>
            </w:r>
          </w:p>
        </w:tc>
        <w:tc>
          <w:tcPr>
            <w:tcW w:w="0" w:type="auto"/>
            <w:vAlign w:val="center"/>
          </w:tcPr>
          <w:p w14:paraId="121104C7">
            <w:pPr>
              <w:jc w:val="center"/>
              <w:rPr>
                <w:rFonts w:hint="default" w:ascii="宋体" w:hAnsi="宋体" w:eastAsia="宋体" w:cs="宋体"/>
                <w:kern w:val="0"/>
                <w:sz w:val="21"/>
                <w:szCs w:val="24"/>
                <w:highlight w:val="none"/>
                <w:lang w:val="en-US" w:eastAsia="zh-CN" w:bidi="ar-SA"/>
              </w:rPr>
            </w:pPr>
            <w:r>
              <w:rPr>
                <w:rFonts w:hint="eastAsia" w:ascii="宋体" w:hAnsi="宋体" w:cs="宋体"/>
                <w:kern w:val="0"/>
                <w:sz w:val="21"/>
                <w:szCs w:val="24"/>
                <w:highlight w:val="none"/>
                <w:lang w:val="en-US" w:eastAsia="zh-CN" w:bidi="ar-SA"/>
              </w:rPr>
              <w:t>20</w:t>
            </w:r>
          </w:p>
        </w:tc>
        <w:tc>
          <w:tcPr>
            <w:tcW w:w="0" w:type="auto"/>
            <w:vAlign w:val="center"/>
          </w:tcPr>
          <w:p w14:paraId="0556BC75">
            <w:pPr>
              <w:jc w:val="left"/>
              <w:rPr>
                <w:rFonts w:hint="eastAsia" w:ascii="宋体" w:hAnsi="宋体" w:eastAsia="宋体" w:cs="宋体"/>
                <w:kern w:val="0"/>
                <w:sz w:val="21"/>
                <w:szCs w:val="24"/>
                <w:highlight w:val="none"/>
                <w:lang w:val="zh-CN" w:eastAsia="zh-CN" w:bidi="ar-SA"/>
              </w:rPr>
            </w:pPr>
            <w:r>
              <w:rPr>
                <w:rFonts w:hint="eastAsia" w:ascii="宋体" w:hAnsi="宋体" w:eastAsia="宋体" w:cs="宋体"/>
                <w:kern w:val="0"/>
                <w:sz w:val="21"/>
                <w:szCs w:val="24"/>
                <w:highlight w:val="none"/>
                <w:lang w:val="en-US" w:eastAsia="zh-CN" w:bidi="ar-SA"/>
              </w:rPr>
              <w:t>根据供应商提供业务软件维护方案，包括但不限于：①对本项目业务软件与业务工作服务的理解；②业务软件整体开发框架；③数据库结构；④业务执行；⑤现场软硬件环境的分析阐述等子项，方案完整、全面，且涵盖了以上所有子项的，得</w:t>
            </w:r>
            <w:r>
              <w:rPr>
                <w:rFonts w:hint="eastAsia" w:ascii="宋体" w:hAnsi="宋体" w:cs="宋体"/>
                <w:kern w:val="0"/>
                <w:sz w:val="21"/>
                <w:szCs w:val="24"/>
                <w:highlight w:val="none"/>
                <w:lang w:val="en-US" w:eastAsia="zh-CN" w:bidi="ar-SA"/>
              </w:rPr>
              <w:t>20</w:t>
            </w:r>
            <w:r>
              <w:rPr>
                <w:rFonts w:hint="eastAsia" w:ascii="宋体" w:hAnsi="宋体" w:eastAsia="宋体" w:cs="宋体"/>
                <w:kern w:val="0"/>
                <w:sz w:val="21"/>
                <w:szCs w:val="24"/>
                <w:highlight w:val="none"/>
                <w:lang w:val="en-US" w:eastAsia="zh-CN" w:bidi="ar-SA"/>
              </w:rPr>
              <w:t>分，每缺漏一个子项扣</w:t>
            </w:r>
            <w:r>
              <w:rPr>
                <w:rFonts w:hint="eastAsia" w:ascii="宋体" w:hAnsi="宋体" w:cs="宋体"/>
                <w:kern w:val="0"/>
                <w:sz w:val="21"/>
                <w:szCs w:val="24"/>
                <w:highlight w:val="none"/>
                <w:lang w:val="en-US" w:eastAsia="zh-CN" w:bidi="ar-SA"/>
              </w:rPr>
              <w:t>4</w:t>
            </w:r>
            <w:r>
              <w:rPr>
                <w:rFonts w:hint="eastAsia" w:ascii="宋体" w:hAnsi="宋体" w:eastAsia="宋体" w:cs="宋体"/>
                <w:kern w:val="0"/>
                <w:sz w:val="21"/>
                <w:szCs w:val="24"/>
                <w:highlight w:val="none"/>
                <w:lang w:val="en-US" w:eastAsia="zh-CN" w:bidi="ar-SA"/>
              </w:rPr>
              <w:t>分，有不够明确的或欠合理的、不符合实际情况、不可行的每项扣</w:t>
            </w:r>
            <w:r>
              <w:rPr>
                <w:rFonts w:hint="eastAsia" w:ascii="宋体" w:hAnsi="宋体" w:cs="宋体"/>
                <w:kern w:val="0"/>
                <w:sz w:val="21"/>
                <w:szCs w:val="24"/>
                <w:highlight w:val="none"/>
                <w:lang w:val="en-US" w:eastAsia="zh-CN" w:bidi="ar-SA"/>
              </w:rPr>
              <w:t>2</w:t>
            </w:r>
            <w:r>
              <w:rPr>
                <w:rFonts w:hint="eastAsia" w:ascii="宋体" w:hAnsi="宋体" w:eastAsia="宋体" w:cs="宋体"/>
                <w:kern w:val="0"/>
                <w:sz w:val="21"/>
                <w:szCs w:val="24"/>
                <w:highlight w:val="none"/>
                <w:lang w:val="en-US" w:eastAsia="zh-CN" w:bidi="ar-SA"/>
              </w:rPr>
              <w:t>分。未提供方案的不计分。</w:t>
            </w:r>
          </w:p>
        </w:tc>
      </w:tr>
      <w:tr w14:paraId="15918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jc w:val="center"/>
        </w:trPr>
        <w:tc>
          <w:tcPr>
            <w:tcW w:w="0" w:type="auto"/>
            <w:vMerge w:val="continue"/>
            <w:vAlign w:val="center"/>
          </w:tcPr>
          <w:p w14:paraId="7E8C5665">
            <w:pPr>
              <w:jc w:val="center"/>
              <w:rPr>
                <w:rFonts w:hint="eastAsia" w:asciiTheme="minorEastAsia" w:hAnsiTheme="minorEastAsia" w:eastAsiaTheme="minorEastAsia" w:cstheme="minorEastAsia"/>
                <w:kern w:val="0"/>
                <w:szCs w:val="21"/>
                <w:highlight w:val="none"/>
              </w:rPr>
            </w:pPr>
          </w:p>
        </w:tc>
        <w:tc>
          <w:tcPr>
            <w:tcW w:w="0" w:type="auto"/>
            <w:vAlign w:val="center"/>
          </w:tcPr>
          <w:p w14:paraId="6682CF53">
            <w:pPr>
              <w:jc w:val="center"/>
              <w:rPr>
                <w:rFonts w:hint="eastAsia" w:ascii="宋体" w:hAnsi="宋体" w:eastAsia="宋体" w:cs="宋体"/>
                <w:kern w:val="0"/>
                <w:sz w:val="21"/>
                <w:szCs w:val="24"/>
                <w:highlight w:val="none"/>
                <w:lang w:val="en-US" w:eastAsia="zh-CN" w:bidi="ar-SA"/>
              </w:rPr>
            </w:pPr>
            <w:r>
              <w:rPr>
                <w:rFonts w:hint="eastAsia" w:ascii="宋体" w:hAnsi="宋体" w:eastAsia="宋体" w:cs="宋体"/>
                <w:kern w:val="0"/>
                <w:sz w:val="21"/>
                <w:szCs w:val="24"/>
                <w:highlight w:val="none"/>
                <w:lang w:val="en-US" w:eastAsia="zh-CN" w:bidi="ar-SA"/>
              </w:rPr>
              <w:t>项目服务方案</w:t>
            </w:r>
          </w:p>
        </w:tc>
        <w:tc>
          <w:tcPr>
            <w:tcW w:w="0" w:type="auto"/>
            <w:vAlign w:val="center"/>
          </w:tcPr>
          <w:p w14:paraId="60CE396C">
            <w:pPr>
              <w:jc w:val="center"/>
              <w:rPr>
                <w:rFonts w:hint="default" w:ascii="宋体" w:hAnsi="宋体" w:eastAsia="宋体" w:cs="宋体"/>
                <w:kern w:val="0"/>
                <w:sz w:val="21"/>
                <w:szCs w:val="24"/>
                <w:highlight w:val="none"/>
                <w:lang w:val="en-US" w:eastAsia="zh-CN" w:bidi="ar-SA"/>
              </w:rPr>
            </w:pPr>
            <w:r>
              <w:rPr>
                <w:rFonts w:hint="eastAsia" w:ascii="宋体" w:hAnsi="宋体" w:cs="宋体"/>
                <w:kern w:val="0"/>
                <w:sz w:val="21"/>
                <w:szCs w:val="24"/>
                <w:highlight w:val="none"/>
                <w:lang w:val="en-US" w:eastAsia="zh-CN" w:bidi="ar-SA"/>
              </w:rPr>
              <w:t>20</w:t>
            </w:r>
          </w:p>
        </w:tc>
        <w:tc>
          <w:tcPr>
            <w:tcW w:w="0" w:type="auto"/>
            <w:vAlign w:val="center"/>
          </w:tcPr>
          <w:p w14:paraId="727353E1">
            <w:pPr>
              <w:jc w:val="left"/>
              <w:rPr>
                <w:rFonts w:hint="eastAsia" w:ascii="宋体" w:hAnsi="宋体" w:eastAsia="宋体" w:cs="宋体"/>
                <w:kern w:val="0"/>
                <w:sz w:val="21"/>
                <w:szCs w:val="24"/>
                <w:highlight w:val="none"/>
                <w:lang w:val="en-US" w:eastAsia="zh-CN" w:bidi="ar-SA"/>
              </w:rPr>
            </w:pPr>
            <w:r>
              <w:rPr>
                <w:rFonts w:hint="eastAsia" w:ascii="宋体" w:hAnsi="宋体" w:eastAsia="宋体" w:cs="宋体"/>
                <w:kern w:val="0"/>
                <w:sz w:val="21"/>
                <w:szCs w:val="24"/>
                <w:highlight w:val="none"/>
                <w:lang w:val="en-US" w:eastAsia="zh-CN" w:bidi="ar-SA"/>
              </w:rPr>
              <w:t>根据供应商提供项目服务方案，包括但不限于：</w:t>
            </w:r>
            <w:r>
              <w:rPr>
                <w:rFonts w:hint="eastAsia" w:ascii="宋体" w:hAnsi="宋体" w:cs="宋体"/>
                <w:kern w:val="0"/>
                <w:sz w:val="21"/>
                <w:szCs w:val="24"/>
                <w:highlight w:val="none"/>
                <w:lang w:val="en-US" w:eastAsia="zh-CN" w:bidi="ar-SA"/>
              </w:rPr>
              <w:t>①</w:t>
            </w:r>
            <w:r>
              <w:rPr>
                <w:rFonts w:hint="eastAsia" w:ascii="宋体" w:hAnsi="宋体" w:eastAsia="宋体" w:cs="宋体"/>
                <w:kern w:val="0"/>
                <w:sz w:val="21"/>
                <w:szCs w:val="24"/>
                <w:highlight w:val="none"/>
                <w:lang w:val="en-US" w:eastAsia="zh-CN" w:bidi="ar-SA"/>
              </w:rPr>
              <w:t>项目管理机构图；②工作职能分工；③项目负责人的管理职责；④内部管理的职责分工；⑤日常管理制度和考核办法等子项，方案完整、全面，且涵盖了以上所有子项的，得</w:t>
            </w:r>
            <w:r>
              <w:rPr>
                <w:rFonts w:hint="eastAsia" w:ascii="宋体" w:hAnsi="宋体" w:cs="宋体"/>
                <w:kern w:val="0"/>
                <w:sz w:val="21"/>
                <w:szCs w:val="24"/>
                <w:highlight w:val="none"/>
                <w:lang w:val="en-US" w:eastAsia="zh-CN" w:bidi="ar-SA"/>
              </w:rPr>
              <w:t>20</w:t>
            </w:r>
            <w:r>
              <w:rPr>
                <w:rFonts w:hint="eastAsia" w:ascii="宋体" w:hAnsi="宋体" w:eastAsia="宋体" w:cs="宋体"/>
                <w:kern w:val="0"/>
                <w:sz w:val="21"/>
                <w:szCs w:val="24"/>
                <w:highlight w:val="none"/>
                <w:lang w:val="en-US" w:eastAsia="zh-CN" w:bidi="ar-SA"/>
              </w:rPr>
              <w:t>分，每缺漏一个子项扣</w:t>
            </w:r>
            <w:r>
              <w:rPr>
                <w:rFonts w:hint="eastAsia" w:ascii="宋体" w:hAnsi="宋体" w:cs="宋体"/>
                <w:kern w:val="0"/>
                <w:sz w:val="21"/>
                <w:szCs w:val="24"/>
                <w:highlight w:val="none"/>
                <w:lang w:val="en-US" w:eastAsia="zh-CN" w:bidi="ar-SA"/>
              </w:rPr>
              <w:t>4</w:t>
            </w:r>
            <w:r>
              <w:rPr>
                <w:rFonts w:hint="eastAsia" w:ascii="宋体" w:hAnsi="宋体" w:eastAsia="宋体" w:cs="宋体"/>
                <w:kern w:val="0"/>
                <w:sz w:val="21"/>
                <w:szCs w:val="24"/>
                <w:highlight w:val="none"/>
                <w:lang w:val="en-US" w:eastAsia="zh-CN" w:bidi="ar-SA"/>
              </w:rPr>
              <w:t>分，有不够明确的或欠合理的、不符合实际情况、不可行的每项扣</w:t>
            </w:r>
            <w:r>
              <w:rPr>
                <w:rFonts w:hint="eastAsia" w:ascii="宋体" w:hAnsi="宋体" w:cs="宋体"/>
                <w:kern w:val="0"/>
                <w:sz w:val="21"/>
                <w:szCs w:val="24"/>
                <w:highlight w:val="none"/>
                <w:lang w:val="en-US" w:eastAsia="zh-CN" w:bidi="ar-SA"/>
              </w:rPr>
              <w:t>2</w:t>
            </w:r>
            <w:r>
              <w:rPr>
                <w:rFonts w:hint="eastAsia" w:ascii="宋体" w:hAnsi="宋体" w:eastAsia="宋体" w:cs="宋体"/>
                <w:kern w:val="0"/>
                <w:sz w:val="21"/>
                <w:szCs w:val="24"/>
                <w:highlight w:val="none"/>
                <w:lang w:val="en-US" w:eastAsia="zh-CN" w:bidi="ar-SA"/>
              </w:rPr>
              <w:t>分。未提供方案的不计分。</w:t>
            </w:r>
          </w:p>
        </w:tc>
      </w:tr>
      <w:tr w14:paraId="47C10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0" w:type="auto"/>
            <w:vMerge w:val="continue"/>
            <w:vAlign w:val="center"/>
          </w:tcPr>
          <w:p w14:paraId="16B91372">
            <w:pPr>
              <w:jc w:val="center"/>
              <w:rPr>
                <w:rFonts w:hint="eastAsia" w:asciiTheme="minorEastAsia" w:hAnsiTheme="minorEastAsia" w:eastAsiaTheme="minorEastAsia" w:cstheme="minorEastAsia"/>
                <w:kern w:val="0"/>
                <w:szCs w:val="21"/>
                <w:highlight w:val="none"/>
              </w:rPr>
            </w:pPr>
          </w:p>
        </w:tc>
        <w:tc>
          <w:tcPr>
            <w:tcW w:w="0" w:type="auto"/>
            <w:vAlign w:val="center"/>
          </w:tcPr>
          <w:p w14:paraId="5C1AD890">
            <w:pPr>
              <w:jc w:val="center"/>
              <w:rPr>
                <w:rFonts w:hint="eastAsia" w:ascii="宋体" w:hAnsi="宋体" w:eastAsia="宋体" w:cs="宋体"/>
                <w:kern w:val="0"/>
                <w:sz w:val="21"/>
                <w:szCs w:val="24"/>
                <w:highlight w:val="none"/>
                <w:lang w:val="en-US" w:eastAsia="zh-CN" w:bidi="ar-SA"/>
              </w:rPr>
            </w:pPr>
            <w:r>
              <w:rPr>
                <w:rFonts w:hint="eastAsia" w:ascii="宋体" w:hAnsi="宋体" w:eastAsia="宋体" w:cs="宋体"/>
                <w:kern w:val="0"/>
                <w:sz w:val="21"/>
                <w:szCs w:val="24"/>
                <w:highlight w:val="none"/>
                <w:lang w:val="en-US" w:eastAsia="zh-CN" w:bidi="ar-SA"/>
              </w:rPr>
              <w:t>项目重点难点</w:t>
            </w:r>
          </w:p>
          <w:p w14:paraId="00B289D5">
            <w:pPr>
              <w:jc w:val="center"/>
              <w:rPr>
                <w:rFonts w:hint="eastAsia" w:ascii="宋体" w:hAnsi="宋体" w:eastAsia="宋体" w:cs="宋体"/>
                <w:kern w:val="0"/>
                <w:sz w:val="21"/>
                <w:szCs w:val="24"/>
                <w:highlight w:val="none"/>
                <w:lang w:val="en-US" w:eastAsia="zh-CN" w:bidi="ar-SA"/>
              </w:rPr>
            </w:pPr>
            <w:r>
              <w:rPr>
                <w:rFonts w:hint="eastAsia" w:ascii="宋体" w:hAnsi="宋体" w:eastAsia="宋体" w:cs="宋体"/>
                <w:kern w:val="0"/>
                <w:sz w:val="21"/>
                <w:szCs w:val="24"/>
                <w:highlight w:val="none"/>
                <w:lang w:val="en-US" w:eastAsia="zh-CN" w:bidi="ar-SA"/>
              </w:rPr>
              <w:t>分析及对应的解决方案</w:t>
            </w:r>
          </w:p>
        </w:tc>
        <w:tc>
          <w:tcPr>
            <w:tcW w:w="0" w:type="auto"/>
            <w:vAlign w:val="center"/>
          </w:tcPr>
          <w:p w14:paraId="65D4503D">
            <w:pPr>
              <w:jc w:val="center"/>
              <w:rPr>
                <w:rFonts w:hint="eastAsia" w:ascii="宋体" w:hAnsi="宋体" w:eastAsia="宋体" w:cs="宋体"/>
                <w:kern w:val="0"/>
                <w:sz w:val="21"/>
                <w:szCs w:val="24"/>
                <w:highlight w:val="none"/>
                <w:lang w:val="en-US" w:eastAsia="zh-CN" w:bidi="ar-SA"/>
              </w:rPr>
            </w:pPr>
            <w:r>
              <w:rPr>
                <w:rFonts w:hint="eastAsia" w:ascii="宋体" w:hAnsi="宋体" w:cs="宋体"/>
                <w:kern w:val="0"/>
                <w:sz w:val="21"/>
                <w:szCs w:val="24"/>
                <w:highlight w:val="none"/>
                <w:lang w:val="en-US" w:eastAsia="zh-CN" w:bidi="ar-SA"/>
              </w:rPr>
              <w:t>1</w:t>
            </w:r>
            <w:r>
              <w:rPr>
                <w:rFonts w:hint="eastAsia" w:ascii="宋体" w:hAnsi="宋体" w:eastAsia="宋体" w:cs="宋体"/>
                <w:kern w:val="0"/>
                <w:sz w:val="21"/>
                <w:szCs w:val="24"/>
                <w:highlight w:val="none"/>
                <w:lang w:val="en-US" w:eastAsia="zh-CN" w:bidi="ar-SA"/>
              </w:rPr>
              <w:t>0</w:t>
            </w:r>
          </w:p>
        </w:tc>
        <w:tc>
          <w:tcPr>
            <w:tcW w:w="0" w:type="auto"/>
            <w:vAlign w:val="center"/>
          </w:tcPr>
          <w:p w14:paraId="797EBCA4">
            <w:pPr>
              <w:jc w:val="left"/>
              <w:rPr>
                <w:rFonts w:hint="eastAsia" w:ascii="宋体" w:hAnsi="宋体" w:eastAsia="宋体" w:cs="宋体"/>
                <w:kern w:val="0"/>
                <w:sz w:val="21"/>
                <w:szCs w:val="24"/>
                <w:highlight w:val="none"/>
                <w:lang w:val="en-US" w:eastAsia="zh-CN" w:bidi="ar-SA"/>
              </w:rPr>
            </w:pPr>
            <w:r>
              <w:rPr>
                <w:rFonts w:hint="eastAsia" w:ascii="宋体" w:hAnsi="宋体" w:eastAsia="宋体" w:cs="宋体"/>
                <w:kern w:val="0"/>
                <w:sz w:val="21"/>
                <w:szCs w:val="24"/>
                <w:highlight w:val="none"/>
                <w:lang w:val="en-US" w:eastAsia="zh-CN" w:bidi="ar-SA"/>
              </w:rPr>
              <w:t>根据供应商提供的项目重点难点分析及对应的解决方案进行评审，包括不限于：</w:t>
            </w:r>
            <w:r>
              <w:rPr>
                <w:rFonts w:hint="eastAsia" w:ascii="宋体" w:hAnsi="宋体" w:cs="宋体"/>
                <w:kern w:val="0"/>
                <w:sz w:val="21"/>
                <w:szCs w:val="24"/>
                <w:highlight w:val="none"/>
                <w:lang w:val="en-US" w:eastAsia="zh-CN" w:bidi="ar-SA"/>
              </w:rPr>
              <w:t>①</w:t>
            </w:r>
            <w:r>
              <w:rPr>
                <w:rFonts w:hint="eastAsia" w:ascii="宋体" w:hAnsi="宋体" w:eastAsia="宋体" w:cs="宋体"/>
                <w:kern w:val="0"/>
                <w:sz w:val="21"/>
                <w:szCs w:val="24"/>
                <w:highlight w:val="none"/>
                <w:lang w:val="en-US" w:eastAsia="zh-CN" w:bidi="ar-SA"/>
              </w:rPr>
              <w:t>系统稳定性与可用性维护；②安全性管理；③数据备份与恢复；④性能监控优化；⑤运维团队管理等子项。方案完整、全面，且涵盖了以上所有子项的，得</w:t>
            </w:r>
            <w:r>
              <w:rPr>
                <w:rFonts w:hint="eastAsia" w:ascii="宋体" w:hAnsi="宋体" w:cs="宋体"/>
                <w:kern w:val="0"/>
                <w:sz w:val="21"/>
                <w:szCs w:val="24"/>
                <w:highlight w:val="none"/>
                <w:lang w:val="en-US" w:eastAsia="zh-CN" w:bidi="ar-SA"/>
              </w:rPr>
              <w:t>10</w:t>
            </w:r>
            <w:r>
              <w:rPr>
                <w:rFonts w:hint="eastAsia" w:ascii="宋体" w:hAnsi="宋体" w:eastAsia="宋体" w:cs="宋体"/>
                <w:kern w:val="0"/>
                <w:sz w:val="21"/>
                <w:szCs w:val="24"/>
                <w:highlight w:val="none"/>
                <w:lang w:val="en-US" w:eastAsia="zh-CN" w:bidi="ar-SA"/>
              </w:rPr>
              <w:t>分，每缺漏一个子项扣</w:t>
            </w:r>
            <w:r>
              <w:rPr>
                <w:rFonts w:hint="eastAsia" w:ascii="宋体" w:hAnsi="宋体" w:cs="宋体"/>
                <w:kern w:val="0"/>
                <w:sz w:val="21"/>
                <w:szCs w:val="24"/>
                <w:highlight w:val="none"/>
                <w:lang w:val="en-US" w:eastAsia="zh-CN" w:bidi="ar-SA"/>
              </w:rPr>
              <w:t>2</w:t>
            </w:r>
            <w:r>
              <w:rPr>
                <w:rFonts w:hint="eastAsia" w:ascii="宋体" w:hAnsi="宋体" w:eastAsia="宋体" w:cs="宋体"/>
                <w:kern w:val="0"/>
                <w:sz w:val="21"/>
                <w:szCs w:val="24"/>
                <w:highlight w:val="none"/>
                <w:lang w:val="en-US" w:eastAsia="zh-CN" w:bidi="ar-SA"/>
              </w:rPr>
              <w:t>分，有不够明确的或欠合理的、不符合实际情况、不可行的每项扣</w:t>
            </w:r>
            <w:r>
              <w:rPr>
                <w:rFonts w:hint="eastAsia" w:ascii="宋体" w:hAnsi="宋体" w:cs="宋体"/>
                <w:kern w:val="0"/>
                <w:sz w:val="21"/>
                <w:szCs w:val="24"/>
                <w:highlight w:val="none"/>
                <w:lang w:val="en-US" w:eastAsia="zh-CN" w:bidi="ar-SA"/>
              </w:rPr>
              <w:t>1</w:t>
            </w:r>
            <w:r>
              <w:rPr>
                <w:rFonts w:hint="eastAsia" w:ascii="宋体" w:hAnsi="宋体" w:eastAsia="宋体" w:cs="宋体"/>
                <w:kern w:val="0"/>
                <w:sz w:val="21"/>
                <w:szCs w:val="24"/>
                <w:highlight w:val="none"/>
                <w:lang w:val="en-US" w:eastAsia="zh-CN" w:bidi="ar-SA"/>
              </w:rPr>
              <w:t>分。未提供方案的不计分。</w:t>
            </w:r>
          </w:p>
        </w:tc>
      </w:tr>
      <w:tr w14:paraId="37314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0" w:type="auto"/>
            <w:vAlign w:val="center"/>
          </w:tcPr>
          <w:p w14:paraId="2D52AD10">
            <w:pPr>
              <w:jc w:val="center"/>
              <w:rPr>
                <w:rFonts w:hint="eastAsia" w:asciiTheme="minorEastAsia" w:hAnsiTheme="minorEastAsia" w:eastAsiaTheme="minorEastAsia" w:cstheme="minorEastAsia"/>
                <w:kern w:val="0"/>
                <w:szCs w:val="21"/>
                <w:highlight w:val="none"/>
              </w:rPr>
            </w:pPr>
          </w:p>
        </w:tc>
        <w:tc>
          <w:tcPr>
            <w:tcW w:w="0" w:type="auto"/>
            <w:vAlign w:val="center"/>
          </w:tcPr>
          <w:p w14:paraId="2F253095">
            <w:pPr>
              <w:jc w:val="center"/>
              <w:rPr>
                <w:rFonts w:hint="eastAsia" w:ascii="宋体" w:hAnsi="宋体" w:eastAsia="宋体" w:cs="宋体"/>
                <w:kern w:val="0"/>
                <w:sz w:val="21"/>
                <w:szCs w:val="24"/>
                <w:highlight w:val="none"/>
                <w:lang w:val="en-US" w:eastAsia="zh-CN" w:bidi="ar-SA"/>
              </w:rPr>
            </w:pPr>
            <w:r>
              <w:rPr>
                <w:rFonts w:hint="eastAsia" w:ascii="宋体" w:hAnsi="宋体" w:eastAsia="宋体" w:cs="宋体"/>
                <w:kern w:val="0"/>
                <w:sz w:val="21"/>
                <w:szCs w:val="24"/>
                <w:highlight w:val="none"/>
                <w:lang w:val="en-US" w:eastAsia="zh-CN" w:bidi="ar-SA"/>
              </w:rPr>
              <w:t>培训计划</w:t>
            </w:r>
          </w:p>
        </w:tc>
        <w:tc>
          <w:tcPr>
            <w:tcW w:w="0" w:type="auto"/>
            <w:vAlign w:val="center"/>
          </w:tcPr>
          <w:p w14:paraId="62FE852E">
            <w:pPr>
              <w:jc w:val="center"/>
              <w:rPr>
                <w:rFonts w:hint="default" w:ascii="宋体" w:hAnsi="宋体" w:eastAsia="宋体" w:cs="宋体"/>
                <w:kern w:val="0"/>
                <w:sz w:val="21"/>
                <w:szCs w:val="24"/>
                <w:highlight w:val="none"/>
                <w:lang w:val="en-US" w:eastAsia="zh-CN" w:bidi="ar-SA"/>
              </w:rPr>
            </w:pPr>
            <w:r>
              <w:rPr>
                <w:rFonts w:hint="eastAsia" w:ascii="宋体" w:hAnsi="宋体" w:cs="宋体"/>
                <w:kern w:val="0"/>
                <w:sz w:val="21"/>
                <w:szCs w:val="24"/>
                <w:highlight w:val="none"/>
                <w:lang w:val="en-US" w:eastAsia="zh-CN" w:bidi="ar-SA"/>
              </w:rPr>
              <w:t>10</w:t>
            </w:r>
          </w:p>
        </w:tc>
        <w:tc>
          <w:tcPr>
            <w:tcW w:w="0" w:type="auto"/>
            <w:vAlign w:val="center"/>
          </w:tcPr>
          <w:p w14:paraId="3192FDF1">
            <w:pPr>
              <w:jc w:val="left"/>
              <w:rPr>
                <w:rFonts w:hint="eastAsia" w:ascii="宋体" w:hAnsi="宋体" w:eastAsia="宋体" w:cs="宋体"/>
                <w:kern w:val="0"/>
                <w:sz w:val="21"/>
                <w:szCs w:val="24"/>
                <w:highlight w:val="none"/>
                <w:lang w:val="en-US" w:eastAsia="zh-CN" w:bidi="ar-SA"/>
              </w:rPr>
            </w:pPr>
            <w:r>
              <w:rPr>
                <w:rFonts w:hint="eastAsia" w:ascii="宋体" w:hAnsi="宋体" w:eastAsia="宋体" w:cs="宋体"/>
                <w:kern w:val="0"/>
                <w:sz w:val="21"/>
                <w:szCs w:val="24"/>
                <w:highlight w:val="none"/>
                <w:lang w:val="en-US" w:eastAsia="zh-CN" w:bidi="ar-SA"/>
              </w:rPr>
              <w:t>根据供应商提供培训计划，包括但不限于：①培训对象；②培训内容；③培训效果分析及考核；④培训方式；⑤培训时间安排等子项。方案完整、全面，且涵盖了以上所有子项的，得10分，每缺漏一个子项扣 2分，有不够明确的或欠合理的、不符合实际情况、不可行的每项扣</w:t>
            </w:r>
            <w:r>
              <w:rPr>
                <w:rFonts w:hint="eastAsia" w:ascii="宋体" w:hAnsi="宋体" w:cs="宋体"/>
                <w:kern w:val="0"/>
                <w:sz w:val="21"/>
                <w:szCs w:val="24"/>
                <w:highlight w:val="none"/>
                <w:lang w:val="en-US" w:eastAsia="zh-CN" w:bidi="ar-SA"/>
              </w:rPr>
              <w:t>1</w:t>
            </w:r>
            <w:r>
              <w:rPr>
                <w:rFonts w:hint="eastAsia" w:ascii="宋体" w:hAnsi="宋体" w:eastAsia="宋体" w:cs="宋体"/>
                <w:kern w:val="0"/>
                <w:sz w:val="21"/>
                <w:szCs w:val="24"/>
                <w:highlight w:val="none"/>
                <w:lang w:val="en-US" w:eastAsia="zh-CN" w:bidi="ar-SA"/>
              </w:rPr>
              <w:t>分。未提供方案的不计分。</w:t>
            </w:r>
          </w:p>
        </w:tc>
      </w:tr>
      <w:tr w14:paraId="5029C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0" w:type="auto"/>
            <w:vMerge w:val="restart"/>
            <w:vAlign w:val="center"/>
          </w:tcPr>
          <w:p w14:paraId="358A6FEA">
            <w:pPr>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商务部分</w:t>
            </w:r>
          </w:p>
          <w:p w14:paraId="1C12EE6B">
            <w:pPr>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lang w:val="en-US" w:eastAsia="zh-CN"/>
              </w:rPr>
              <w:t>25</w:t>
            </w:r>
            <w:r>
              <w:rPr>
                <w:rFonts w:hint="eastAsia" w:asciiTheme="minorEastAsia" w:hAnsiTheme="minorEastAsia" w:eastAsiaTheme="minorEastAsia" w:cstheme="minorEastAsia"/>
                <w:kern w:val="0"/>
                <w:szCs w:val="21"/>
                <w:highlight w:val="none"/>
              </w:rPr>
              <w:t>分</w:t>
            </w:r>
          </w:p>
        </w:tc>
        <w:tc>
          <w:tcPr>
            <w:tcW w:w="0" w:type="auto"/>
            <w:vAlign w:val="center"/>
          </w:tcPr>
          <w:p w14:paraId="488F8C15">
            <w:pPr>
              <w:pStyle w:val="348"/>
              <w:spacing w:after="0" w:line="312" w:lineRule="exact"/>
              <w:ind w:firstLine="0" w:firstLineChars="0"/>
              <w:jc w:val="center"/>
              <w:rPr>
                <w:rFonts w:hint="eastAsia" w:asciiTheme="minorEastAsia" w:hAnsiTheme="minorEastAsia" w:eastAsiaTheme="minorEastAsia" w:cstheme="minorEastAsia"/>
                <w:szCs w:val="21"/>
                <w:highlight w:val="none"/>
              </w:rPr>
            </w:pPr>
            <w:r>
              <w:rPr>
                <w:color w:val="000000"/>
                <w:highlight w:val="none"/>
              </w:rPr>
              <w:t>服务团队</w:t>
            </w:r>
          </w:p>
        </w:tc>
        <w:tc>
          <w:tcPr>
            <w:tcW w:w="0" w:type="auto"/>
            <w:vAlign w:val="center"/>
          </w:tcPr>
          <w:p w14:paraId="77AEB2AE">
            <w:pPr>
              <w:pStyle w:val="348"/>
              <w:spacing w:after="100" w:line="240" w:lineRule="auto"/>
              <w:ind w:firstLine="0" w:firstLineChars="0"/>
              <w:rPr>
                <w:rFonts w:hint="default" w:asciiTheme="minorEastAsia" w:hAnsiTheme="minorEastAsia" w:eastAsiaTheme="minorEastAsia" w:cstheme="minorEastAsia"/>
                <w:szCs w:val="21"/>
                <w:highlight w:val="none"/>
                <w:lang w:val="en-US" w:eastAsia="zh-CN"/>
              </w:rPr>
            </w:pPr>
            <w:r>
              <w:rPr>
                <w:rFonts w:hint="eastAsia" w:eastAsiaTheme="minorEastAsia"/>
                <w:color w:val="000000"/>
                <w:highlight w:val="none"/>
                <w:lang w:val="en-US" w:eastAsia="zh-CN"/>
              </w:rPr>
              <w:t>8</w:t>
            </w:r>
          </w:p>
        </w:tc>
        <w:tc>
          <w:tcPr>
            <w:tcW w:w="0" w:type="auto"/>
            <w:vAlign w:val="center"/>
          </w:tcPr>
          <w:p w14:paraId="7EA2E10E">
            <w:pPr>
              <w:pStyle w:val="348"/>
              <w:spacing w:after="0" w:line="312" w:lineRule="exact"/>
              <w:ind w:firstLine="0" w:firstLineChars="0"/>
              <w:rPr>
                <w:rFonts w:hint="eastAsia"/>
                <w:color w:val="000000"/>
                <w:highlight w:val="none"/>
              </w:rPr>
            </w:pPr>
            <w:r>
              <w:rPr>
                <w:rFonts w:hint="eastAsia"/>
                <w:color w:val="000000"/>
                <w:highlight w:val="none"/>
                <w:lang w:val="en-US" w:eastAsia="zh-CN"/>
              </w:rPr>
              <w:t>供应商</w:t>
            </w:r>
            <w:r>
              <w:rPr>
                <w:rFonts w:hint="eastAsia"/>
                <w:color w:val="000000"/>
                <w:highlight w:val="none"/>
              </w:rPr>
              <w:t>拟派项目团队人员具有信息系统项目管理师、软件设计师、系统集成项目管理工程师、ITIL 服务管理证书的，每一种有效证书计 2 分，本项最高计 8 分。</w:t>
            </w:r>
          </w:p>
          <w:p w14:paraId="1173D70C">
            <w:pPr>
              <w:pStyle w:val="348"/>
              <w:spacing w:after="0" w:line="312" w:lineRule="exact"/>
              <w:ind w:firstLine="0" w:firstLineChars="0"/>
              <w:rPr>
                <w:rFonts w:hint="eastAsia" w:asciiTheme="minorEastAsia" w:hAnsiTheme="minorEastAsia" w:eastAsiaTheme="minorEastAsia" w:cstheme="minorEastAsia"/>
                <w:spacing w:val="10"/>
                <w:szCs w:val="21"/>
                <w:highlight w:val="none"/>
              </w:rPr>
            </w:pPr>
            <w:r>
              <w:rPr>
                <w:rFonts w:hint="eastAsia"/>
                <w:color w:val="000000"/>
                <w:highlight w:val="none"/>
              </w:rPr>
              <w:t>备注：不同人员提供同一种证书的，仅按1个证书计分；同一人员持有多项上述证书的，仅计1个证书得分，不重复累加。须提供相关人员有效期内证书扫描件，以及投标截止时间前近</w:t>
            </w:r>
            <w:r>
              <w:rPr>
                <w:rFonts w:hint="eastAsia"/>
                <w:color w:val="000000"/>
                <w:highlight w:val="none"/>
                <w:lang w:val="en-US" w:eastAsia="zh-CN"/>
              </w:rPr>
              <w:t>3</w:t>
            </w:r>
            <w:r>
              <w:rPr>
                <w:rFonts w:hint="eastAsia"/>
                <w:color w:val="000000"/>
                <w:highlight w:val="none"/>
              </w:rPr>
              <w:t>个月内（2026年7月-2026年9月）在</w:t>
            </w:r>
            <w:r>
              <w:rPr>
                <w:rFonts w:hint="eastAsia"/>
                <w:color w:val="000000"/>
                <w:highlight w:val="none"/>
                <w:lang w:val="en-US" w:eastAsia="zh-CN"/>
              </w:rPr>
              <w:t>供应商</w:t>
            </w:r>
            <w:r>
              <w:rPr>
                <w:rFonts w:hint="eastAsia"/>
                <w:color w:val="000000"/>
                <w:highlight w:val="none"/>
              </w:rPr>
              <w:t>单位缴纳的社保证明；退休返聘人员可提供退休证明</w:t>
            </w:r>
            <w:r>
              <w:rPr>
                <w:rFonts w:hint="eastAsia"/>
                <w:color w:val="000000"/>
                <w:highlight w:val="none"/>
                <w:lang w:val="en-US" w:eastAsia="zh-CN"/>
              </w:rPr>
              <w:t>和</w:t>
            </w:r>
            <w:r>
              <w:rPr>
                <w:rFonts w:hint="eastAsia"/>
                <w:color w:val="000000"/>
                <w:highlight w:val="none"/>
              </w:rPr>
              <w:t>聘用合同替代社保证明。所有资料加盖</w:t>
            </w:r>
            <w:r>
              <w:rPr>
                <w:rFonts w:hint="eastAsia"/>
                <w:color w:val="000000"/>
                <w:highlight w:val="none"/>
                <w:lang w:val="en-US" w:eastAsia="zh-CN"/>
              </w:rPr>
              <w:t>供应商</w:t>
            </w:r>
            <w:r>
              <w:rPr>
                <w:rFonts w:hint="eastAsia"/>
                <w:color w:val="000000"/>
                <w:highlight w:val="none"/>
              </w:rPr>
              <w:t>公章，资料不全或不符合要求的，本项不予计分。</w:t>
            </w:r>
          </w:p>
        </w:tc>
      </w:tr>
      <w:tr w14:paraId="7D511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0" w:type="auto"/>
            <w:vMerge w:val="continue"/>
            <w:vAlign w:val="center"/>
          </w:tcPr>
          <w:p w14:paraId="549A6865">
            <w:pPr>
              <w:jc w:val="center"/>
              <w:rPr>
                <w:rFonts w:hint="eastAsia" w:asciiTheme="minorEastAsia" w:hAnsiTheme="minorEastAsia" w:eastAsiaTheme="minorEastAsia" w:cstheme="minorEastAsia"/>
                <w:kern w:val="0"/>
                <w:szCs w:val="21"/>
                <w:highlight w:val="none"/>
              </w:rPr>
            </w:pPr>
          </w:p>
        </w:tc>
        <w:tc>
          <w:tcPr>
            <w:tcW w:w="0" w:type="auto"/>
            <w:vAlign w:val="center"/>
          </w:tcPr>
          <w:p w14:paraId="39E8F68A">
            <w:pPr>
              <w:pStyle w:val="348"/>
              <w:spacing w:after="0" w:line="312" w:lineRule="exact"/>
              <w:ind w:firstLine="0" w:firstLineChars="0"/>
              <w:jc w:val="center"/>
              <w:rPr>
                <w:rFonts w:hint="eastAsia" w:ascii="宋体" w:hAnsi="宋体" w:eastAsia="宋体" w:cs="宋体"/>
                <w:color w:val="000000"/>
                <w:highlight w:val="none"/>
                <w:lang w:val="zh-CN"/>
              </w:rPr>
            </w:pPr>
            <w:r>
              <w:rPr>
                <w:rFonts w:ascii="宋体" w:hAnsi="宋体" w:eastAsia="宋体" w:cs="宋体"/>
                <w:color w:val="000000"/>
                <w:highlight w:val="none"/>
              </w:rPr>
              <w:t>升级改造能力</w:t>
            </w:r>
          </w:p>
        </w:tc>
        <w:tc>
          <w:tcPr>
            <w:tcW w:w="0" w:type="auto"/>
            <w:vAlign w:val="center"/>
          </w:tcPr>
          <w:p w14:paraId="3BD536CF">
            <w:pPr>
              <w:pStyle w:val="348"/>
              <w:spacing w:after="0" w:line="312" w:lineRule="exact"/>
              <w:ind w:firstLine="0" w:firstLineChars="0"/>
              <w:jc w:val="center"/>
              <w:rPr>
                <w:rFonts w:hint="default" w:ascii="宋体" w:hAnsi="宋体" w:eastAsia="宋体" w:cs="宋体"/>
                <w:color w:val="000000"/>
                <w:highlight w:val="none"/>
                <w:lang w:val="en-US" w:eastAsia="zh-CN"/>
              </w:rPr>
            </w:pPr>
            <w:r>
              <w:rPr>
                <w:rFonts w:hint="eastAsia" w:cs="宋体"/>
                <w:color w:val="000000"/>
                <w:highlight w:val="none"/>
                <w:lang w:val="en-US" w:eastAsia="zh-CN"/>
              </w:rPr>
              <w:t>8</w:t>
            </w:r>
          </w:p>
        </w:tc>
        <w:tc>
          <w:tcPr>
            <w:tcW w:w="0" w:type="auto"/>
            <w:vAlign w:val="center"/>
          </w:tcPr>
          <w:p w14:paraId="4D9C82B9">
            <w:pPr>
              <w:pStyle w:val="348"/>
              <w:spacing w:after="0" w:line="312" w:lineRule="exact"/>
              <w:ind w:firstLine="0" w:firstLineChars="0"/>
              <w:jc w:val="left"/>
              <w:rPr>
                <w:rFonts w:hint="eastAsia" w:ascii="宋体" w:hAnsi="宋体" w:eastAsia="宋体" w:cs="宋体"/>
                <w:color w:val="000000"/>
                <w:highlight w:val="none"/>
              </w:rPr>
            </w:pPr>
            <w:r>
              <w:rPr>
                <w:rFonts w:hint="eastAsia" w:ascii="宋体" w:hAnsi="宋体" w:eastAsia="宋体" w:cs="宋体"/>
                <w:color w:val="000000"/>
                <w:highlight w:val="none"/>
              </w:rPr>
              <w:t>供应商自2023年1月1日至本项目投标截止时间（业绩认定时间以合同甲方签订日期为准），承担过类似软件系统升级改造项目的，每提供1个有效业绩计2分，本项最高计8分。</w:t>
            </w:r>
          </w:p>
          <w:p w14:paraId="5AEDAAFB">
            <w:pPr>
              <w:pStyle w:val="348"/>
              <w:spacing w:after="0" w:line="312" w:lineRule="exact"/>
              <w:ind w:firstLine="0" w:firstLineChars="0"/>
              <w:jc w:val="left"/>
              <w:rPr>
                <w:rFonts w:hint="eastAsia" w:ascii="宋体" w:hAnsi="宋体" w:eastAsia="宋体" w:cs="宋体"/>
                <w:color w:val="000000"/>
                <w:highlight w:val="none"/>
              </w:rPr>
            </w:pPr>
            <w:r>
              <w:rPr>
                <w:rFonts w:hint="eastAsia" w:ascii="宋体" w:hAnsi="宋体" w:eastAsia="宋体" w:cs="宋体"/>
                <w:color w:val="000000"/>
                <w:highlight w:val="none"/>
              </w:rPr>
              <w:t>备注：本项业绩不得与 “运维业绩” 项下业绩重复计分；同一甲方客户仅认定为 1 个业绩。须提供合同扫描件（合同内容能够体现软件系统升级改造相关服务）并加盖供应商公章；资料不全或不符合要求的，</w:t>
            </w:r>
            <w:r>
              <w:rPr>
                <w:rFonts w:hint="eastAsia" w:cs="宋体"/>
                <w:color w:val="000000"/>
                <w:highlight w:val="none"/>
                <w:lang w:val="en-US" w:eastAsia="zh-CN"/>
              </w:rPr>
              <w:t>否则</w:t>
            </w:r>
            <w:r>
              <w:rPr>
                <w:rFonts w:hint="eastAsia" w:ascii="宋体" w:hAnsi="宋体" w:eastAsia="宋体" w:cs="宋体"/>
                <w:color w:val="000000"/>
                <w:highlight w:val="none"/>
              </w:rPr>
              <w:t>不予计分。</w:t>
            </w:r>
          </w:p>
        </w:tc>
      </w:tr>
      <w:tr w14:paraId="4F411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0" w:type="auto"/>
            <w:vMerge w:val="continue"/>
            <w:vAlign w:val="center"/>
          </w:tcPr>
          <w:p w14:paraId="37FBCF29">
            <w:pPr>
              <w:jc w:val="center"/>
              <w:rPr>
                <w:rFonts w:hint="eastAsia" w:asciiTheme="minorEastAsia" w:hAnsiTheme="minorEastAsia" w:eastAsiaTheme="minorEastAsia" w:cstheme="minorEastAsia"/>
                <w:kern w:val="0"/>
                <w:szCs w:val="21"/>
                <w:highlight w:val="none"/>
              </w:rPr>
            </w:pPr>
          </w:p>
        </w:tc>
        <w:tc>
          <w:tcPr>
            <w:tcW w:w="0" w:type="auto"/>
            <w:vAlign w:val="center"/>
          </w:tcPr>
          <w:p w14:paraId="2A6AB45D">
            <w:pPr>
              <w:pStyle w:val="348"/>
              <w:spacing w:after="0" w:line="312" w:lineRule="exact"/>
              <w:ind w:firstLine="0" w:firstLineChars="0"/>
              <w:jc w:val="center"/>
              <w:rPr>
                <w:rFonts w:hint="eastAsia" w:ascii="宋体" w:hAnsi="宋体" w:eastAsia="宋体" w:cs="宋体"/>
                <w:color w:val="000000"/>
                <w:highlight w:val="none"/>
              </w:rPr>
            </w:pPr>
            <w:r>
              <w:rPr>
                <w:rFonts w:ascii="宋体" w:hAnsi="宋体" w:eastAsia="宋体" w:cs="宋体"/>
                <w:color w:val="000000"/>
                <w:highlight w:val="none"/>
              </w:rPr>
              <w:t>运维业绩</w:t>
            </w:r>
          </w:p>
        </w:tc>
        <w:tc>
          <w:tcPr>
            <w:tcW w:w="0" w:type="auto"/>
            <w:vAlign w:val="center"/>
          </w:tcPr>
          <w:p w14:paraId="149D3CBA">
            <w:pPr>
              <w:pStyle w:val="348"/>
              <w:spacing w:after="0" w:line="312" w:lineRule="exact"/>
              <w:ind w:firstLine="0" w:firstLineChars="0"/>
              <w:jc w:val="center"/>
              <w:rPr>
                <w:rFonts w:hint="default" w:ascii="宋体" w:hAnsi="宋体" w:eastAsia="宋体" w:cs="宋体"/>
                <w:color w:val="000000"/>
                <w:highlight w:val="none"/>
                <w:lang w:val="en-US" w:eastAsia="zh-CN"/>
              </w:rPr>
            </w:pPr>
            <w:r>
              <w:rPr>
                <w:rFonts w:hint="eastAsia" w:cs="宋体"/>
                <w:color w:val="000000"/>
                <w:highlight w:val="none"/>
                <w:lang w:val="en-US" w:eastAsia="zh-CN"/>
              </w:rPr>
              <w:t>9</w:t>
            </w:r>
          </w:p>
        </w:tc>
        <w:tc>
          <w:tcPr>
            <w:tcW w:w="0" w:type="auto"/>
            <w:vAlign w:val="center"/>
          </w:tcPr>
          <w:p w14:paraId="33926B95">
            <w:pPr>
              <w:pStyle w:val="348"/>
              <w:spacing w:after="0" w:line="312" w:lineRule="exact"/>
              <w:ind w:firstLine="0" w:firstLineChars="0"/>
              <w:jc w:val="left"/>
              <w:rPr>
                <w:rFonts w:hint="eastAsia"/>
                <w:highlight w:val="none"/>
              </w:rPr>
            </w:pPr>
            <w:r>
              <w:rPr>
                <w:rFonts w:hint="eastAsia"/>
                <w:highlight w:val="none"/>
              </w:rPr>
              <w:t>供应商自202</w:t>
            </w:r>
            <w:r>
              <w:rPr>
                <w:rFonts w:hint="eastAsia"/>
                <w:highlight w:val="none"/>
                <w:lang w:val="en-US" w:eastAsia="zh-CN"/>
              </w:rPr>
              <w:t>3</w:t>
            </w:r>
            <w:r>
              <w:rPr>
                <w:rFonts w:hint="eastAsia"/>
                <w:highlight w:val="none"/>
              </w:rPr>
              <w:t>年1月1日至本项目投标截止时间（业绩认定时间以合同甲方签订日期为准），具有类似系统运维业绩（类似项目指信息化业务应用系统运行维护、技术保障类</w:t>
            </w:r>
            <w:r>
              <w:rPr>
                <w:rFonts w:hint="eastAsia"/>
                <w:highlight w:val="none"/>
                <w:lang w:val="en-US" w:eastAsia="zh-CN"/>
              </w:rPr>
              <w:t>等</w:t>
            </w:r>
            <w:r>
              <w:rPr>
                <w:rFonts w:hint="eastAsia"/>
                <w:highlight w:val="none"/>
              </w:rPr>
              <w:t>项目）的，每提供 1 个有效业绩计</w:t>
            </w:r>
            <w:r>
              <w:rPr>
                <w:rFonts w:hint="eastAsia"/>
                <w:highlight w:val="none"/>
                <w:lang w:val="en-US" w:eastAsia="zh-CN"/>
              </w:rPr>
              <w:t>1.5</w:t>
            </w:r>
            <w:r>
              <w:rPr>
                <w:rFonts w:hint="eastAsia"/>
                <w:highlight w:val="none"/>
              </w:rPr>
              <w:t>分；本项最高计9分。</w:t>
            </w:r>
          </w:p>
          <w:p w14:paraId="7CF8E22B">
            <w:pPr>
              <w:pStyle w:val="348"/>
              <w:spacing w:after="0" w:line="312" w:lineRule="exact"/>
              <w:ind w:firstLine="0" w:firstLineChars="0"/>
              <w:jc w:val="left"/>
              <w:rPr>
                <w:rFonts w:hint="eastAsia" w:ascii="宋体" w:hAnsi="宋体" w:eastAsia="宋体" w:cs="宋体"/>
                <w:color w:val="000000"/>
                <w:highlight w:val="none"/>
                <w:lang w:eastAsia="zh-CN"/>
              </w:rPr>
            </w:pPr>
            <w:r>
              <w:rPr>
                <w:rFonts w:hint="eastAsia"/>
                <w:highlight w:val="none"/>
              </w:rPr>
              <w:t>备注：本项业绩不得与 “升级改造能力” 项下业绩重复计分；同一甲方客户仅认定为1个业绩。须提供合同扫描件（合同内容能够体现系统运维相关服务）并加盖供应商公章；合同无法清晰体现项目内容的，可补充验收报告佐证，</w:t>
            </w:r>
            <w:r>
              <w:rPr>
                <w:rFonts w:hint="eastAsia" w:ascii="宋体" w:hAnsi="宋体" w:eastAsia="宋体" w:cs="宋体"/>
                <w:color w:val="000000"/>
                <w:highlight w:val="none"/>
              </w:rPr>
              <w:t>资料不全或不符合要求的，</w:t>
            </w:r>
            <w:r>
              <w:rPr>
                <w:rFonts w:hint="eastAsia" w:cs="宋体"/>
                <w:color w:val="000000"/>
                <w:highlight w:val="none"/>
                <w:lang w:val="en-US" w:eastAsia="zh-CN"/>
              </w:rPr>
              <w:t>否则</w:t>
            </w:r>
            <w:r>
              <w:rPr>
                <w:rFonts w:hint="eastAsia" w:ascii="宋体" w:hAnsi="宋体" w:eastAsia="宋体" w:cs="宋体"/>
                <w:color w:val="000000"/>
                <w:highlight w:val="none"/>
              </w:rPr>
              <w:t>不予计分</w:t>
            </w:r>
            <w:r>
              <w:rPr>
                <w:rFonts w:hint="eastAsia" w:cs="宋体"/>
                <w:color w:val="000000"/>
                <w:highlight w:val="none"/>
                <w:lang w:eastAsia="zh-CN"/>
              </w:rPr>
              <w:t>。</w:t>
            </w:r>
          </w:p>
        </w:tc>
      </w:tr>
      <w:tr w14:paraId="5899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0" w:type="auto"/>
            <w:vAlign w:val="center"/>
          </w:tcPr>
          <w:p w14:paraId="446C2982">
            <w:pPr>
              <w:jc w:val="center"/>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总分</w:t>
            </w:r>
          </w:p>
        </w:tc>
        <w:tc>
          <w:tcPr>
            <w:tcW w:w="0" w:type="auto"/>
            <w:gridSpan w:val="3"/>
            <w:vAlign w:val="center"/>
          </w:tcPr>
          <w:p w14:paraId="76B6FA04">
            <w:pPr>
              <w:jc w:val="left"/>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100分</w:t>
            </w:r>
          </w:p>
        </w:tc>
      </w:tr>
    </w:tbl>
    <w:p w14:paraId="28A9A610">
      <w:pPr>
        <w:widowControl/>
        <w:spacing w:line="480" w:lineRule="auto"/>
        <w:jc w:val="center"/>
        <w:outlineLvl w:val="0"/>
        <w:rPr>
          <w:rFonts w:hint="eastAsia" w:ascii="黑体" w:hAnsi="黑体" w:eastAsia="黑体"/>
          <w:sz w:val="32"/>
          <w:szCs w:val="32"/>
          <w:highlight w:val="none"/>
        </w:rPr>
      </w:pPr>
      <w:r>
        <w:rPr>
          <w:rFonts w:ascii="黑体" w:hAnsi="黑体" w:eastAsia="黑体"/>
          <w:sz w:val="32"/>
          <w:szCs w:val="32"/>
          <w:highlight w:val="none"/>
        </w:rPr>
        <w:br w:type="page"/>
      </w:r>
      <w:bookmarkStart w:id="390" w:name="_Toc12998"/>
      <w:bookmarkStart w:id="391" w:name="_Toc17143"/>
      <w:bookmarkStart w:id="392" w:name="_Toc12838"/>
      <w:bookmarkStart w:id="393" w:name="_Toc13302"/>
      <w:r>
        <w:rPr>
          <w:rFonts w:hint="eastAsia" w:ascii="黑体" w:hAnsi="黑体" w:eastAsia="黑体"/>
          <w:sz w:val="32"/>
          <w:szCs w:val="32"/>
          <w:highlight w:val="none"/>
        </w:rPr>
        <w:t>第四章 采购需求</w:t>
      </w:r>
      <w:bookmarkEnd w:id="390"/>
      <w:bookmarkEnd w:id="391"/>
      <w:bookmarkEnd w:id="392"/>
      <w:bookmarkEnd w:id="393"/>
    </w:p>
    <w:p w14:paraId="458C9DA9">
      <w:pPr>
        <w:adjustRightInd w:val="0"/>
        <w:snapToGrid w:val="0"/>
        <w:spacing w:line="360" w:lineRule="auto"/>
        <w:ind w:firstLine="422" w:firstLineChars="200"/>
        <w:rPr>
          <w:rFonts w:hint="eastAsia" w:ascii="宋体" w:hAnsi="宋体" w:cs="宋体"/>
          <w:b/>
          <w:bCs/>
          <w:color w:val="000000"/>
          <w:szCs w:val="21"/>
          <w:highlight w:val="none"/>
        </w:rPr>
      </w:pPr>
      <w:r>
        <w:rPr>
          <w:rFonts w:hint="eastAsia" w:ascii="宋体" w:hAnsi="宋体" w:cs="宋体"/>
          <w:b/>
          <w:bCs/>
          <w:color w:val="000000"/>
          <w:szCs w:val="21"/>
          <w:highlight w:val="none"/>
        </w:rPr>
        <w:t>一、项目名称</w:t>
      </w:r>
    </w:p>
    <w:p w14:paraId="3E894837">
      <w:pPr>
        <w:adjustRightInd w:val="0"/>
        <w:snapToGrid w:val="0"/>
        <w:spacing w:line="360" w:lineRule="auto"/>
        <w:ind w:firstLine="420" w:firstLineChars="200"/>
        <w:rPr>
          <w:rFonts w:hint="eastAsia" w:ascii="宋体" w:hAnsi="宋体" w:eastAsia="宋体" w:cs="宋体"/>
          <w:color w:val="000000"/>
          <w:szCs w:val="21"/>
          <w:highlight w:val="none"/>
          <w:lang w:eastAsia="zh-CN"/>
        </w:rPr>
      </w:pPr>
      <w:r>
        <w:rPr>
          <w:rFonts w:hint="eastAsia" w:ascii="宋体" w:hAnsi="宋体" w:cs="宋体"/>
          <w:color w:val="000000"/>
          <w:szCs w:val="21"/>
          <w:highlight w:val="none"/>
          <w:lang w:eastAsia="zh-CN"/>
        </w:rPr>
        <w:t>湖南省重点污染源自动监控系统运维服务项目</w:t>
      </w:r>
    </w:p>
    <w:p w14:paraId="33A44E6E">
      <w:pPr>
        <w:adjustRightInd w:val="0"/>
        <w:snapToGrid w:val="0"/>
        <w:spacing w:line="360" w:lineRule="auto"/>
        <w:ind w:firstLine="422" w:firstLineChars="200"/>
        <w:rPr>
          <w:rFonts w:hint="eastAsia" w:ascii="宋体" w:hAnsi="宋体" w:cs="宋体"/>
          <w:b/>
          <w:bCs/>
          <w:color w:val="000000"/>
          <w:szCs w:val="21"/>
          <w:highlight w:val="none"/>
        </w:rPr>
      </w:pPr>
      <w:r>
        <w:rPr>
          <w:rFonts w:hint="eastAsia" w:ascii="宋体" w:hAnsi="宋体" w:cs="宋体"/>
          <w:b/>
          <w:bCs/>
          <w:color w:val="000000"/>
          <w:szCs w:val="21"/>
          <w:highlight w:val="none"/>
        </w:rPr>
        <w:t>二、项目预算</w:t>
      </w:r>
    </w:p>
    <w:p w14:paraId="0EDABDFD">
      <w:pPr>
        <w:spacing w:line="400" w:lineRule="exact"/>
        <w:ind w:firstLine="420" w:firstLineChars="200"/>
        <w:rPr>
          <w:rFonts w:hint="eastAsia" w:ascii="宋体" w:hAnsi="宋体" w:eastAsia="宋体" w:cs="宋体"/>
          <w:b/>
          <w:szCs w:val="21"/>
          <w:highlight w:val="none"/>
          <w:lang w:val="en-US" w:eastAsia="zh-CN"/>
        </w:rPr>
      </w:pPr>
      <w:r>
        <w:rPr>
          <w:rFonts w:hint="eastAsia" w:ascii="宋体" w:hAnsi="宋体" w:eastAsia="宋体" w:cs="宋体"/>
          <w:szCs w:val="21"/>
          <w:highlight w:val="none"/>
          <w:lang w:val="en-US" w:eastAsia="zh-CN"/>
        </w:rPr>
        <w:t>预算金额：936000.00元；最高限价926000.00元。</w:t>
      </w:r>
    </w:p>
    <w:p w14:paraId="02F34727">
      <w:pPr>
        <w:spacing w:line="400" w:lineRule="exact"/>
        <w:ind w:firstLine="422" w:firstLineChars="200"/>
        <w:rPr>
          <w:rFonts w:hint="eastAsia" w:ascii="宋体" w:hAnsi="宋体" w:eastAsia="宋体" w:cs="宋体"/>
          <w:b/>
          <w:szCs w:val="21"/>
          <w:highlight w:val="none"/>
        </w:rPr>
      </w:pPr>
      <w:r>
        <w:rPr>
          <w:rFonts w:hint="eastAsia" w:ascii="宋体" w:hAnsi="宋体" w:eastAsia="宋体" w:cs="宋体"/>
          <w:b/>
          <w:szCs w:val="21"/>
          <w:highlight w:val="none"/>
          <w:lang w:val="en-US" w:eastAsia="zh-CN"/>
        </w:rPr>
        <w:t>三</w:t>
      </w:r>
      <w:r>
        <w:rPr>
          <w:rFonts w:hint="eastAsia" w:ascii="宋体" w:hAnsi="宋体" w:eastAsia="宋体" w:cs="宋体"/>
          <w:b/>
          <w:szCs w:val="21"/>
          <w:highlight w:val="none"/>
        </w:rPr>
        <w:t>、项目范围</w:t>
      </w:r>
    </w:p>
    <w:p w14:paraId="74476612">
      <w:pPr>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通过驻场技术服务的方式保障湖南省重点污染源自动监控系统软件的稳定运行，为其运行提供持续高效的技术支持服务，协助市/区/县级环境保护局做好数据传输、培训等工作，最终达到核实主要污染物自动监测设备的建设和联网情况,以及环境保护主管部门污染源自动监控平台数据核实各地污染物自动监测设备各运行情况和主要污染物监控数据传输有效率的目标。</w:t>
      </w:r>
    </w:p>
    <w:p w14:paraId="4CE7177F">
      <w:pPr>
        <w:spacing w:line="400" w:lineRule="exact"/>
        <w:ind w:firstLine="422" w:firstLineChars="200"/>
        <w:rPr>
          <w:rFonts w:hint="eastAsia" w:ascii="宋体" w:hAnsi="宋体" w:eastAsia="宋体" w:cs="宋体"/>
          <w:b/>
          <w:szCs w:val="21"/>
          <w:highlight w:val="none"/>
        </w:rPr>
      </w:pPr>
      <w:bookmarkStart w:id="394" w:name="bookmark6"/>
      <w:r>
        <w:rPr>
          <w:rFonts w:hint="eastAsia" w:ascii="宋体" w:hAnsi="宋体" w:eastAsia="宋体" w:cs="宋体"/>
          <w:b/>
          <w:szCs w:val="21"/>
          <w:highlight w:val="none"/>
          <w:lang w:val="en-US" w:eastAsia="zh-CN"/>
        </w:rPr>
        <w:t>四</w:t>
      </w:r>
      <w:r>
        <w:rPr>
          <w:rFonts w:hint="eastAsia" w:ascii="宋体" w:hAnsi="宋体" w:eastAsia="宋体" w:cs="宋体"/>
          <w:b/>
          <w:szCs w:val="21"/>
          <w:highlight w:val="none"/>
        </w:rPr>
        <w:t>、主要任务</w:t>
      </w:r>
    </w:p>
    <w:p w14:paraId="3BEBB85D">
      <w:pPr>
        <w:spacing w:line="400" w:lineRule="exact"/>
        <w:ind w:firstLine="420"/>
        <w:rPr>
          <w:rFonts w:hint="eastAsia" w:ascii="宋体" w:hAnsi="宋体" w:eastAsia="宋体" w:cs="宋体"/>
          <w:szCs w:val="21"/>
          <w:highlight w:val="none"/>
        </w:rPr>
      </w:pPr>
      <w:r>
        <w:rPr>
          <w:rFonts w:ascii="宋体" w:hAnsi="宋体" w:eastAsia="宋体" w:cs="宋体"/>
          <w:szCs w:val="21"/>
          <w:highlight w:val="none"/>
        </w:rPr>
        <w:t>1</w:t>
      </w:r>
      <w:r>
        <w:rPr>
          <w:rFonts w:hint="eastAsia" w:ascii="宋体" w:hAnsi="宋体" w:eastAsia="宋体" w:cs="宋体"/>
          <w:szCs w:val="21"/>
          <w:highlight w:val="none"/>
        </w:rPr>
        <w:t>、确保自动监控数据真实、准确、齐全，上下传输通畅；</w:t>
      </w:r>
    </w:p>
    <w:p w14:paraId="5BCDDA06">
      <w:pPr>
        <w:spacing w:line="400" w:lineRule="exact"/>
        <w:ind w:firstLine="420"/>
        <w:rPr>
          <w:rFonts w:hint="eastAsia" w:ascii="宋体" w:hAnsi="宋体" w:eastAsia="宋体" w:cs="宋体"/>
          <w:szCs w:val="21"/>
          <w:highlight w:val="none"/>
        </w:rPr>
      </w:pPr>
      <w:r>
        <w:rPr>
          <w:rFonts w:hint="eastAsia" w:ascii="宋体" w:hAnsi="宋体" w:eastAsia="宋体" w:cs="宋体"/>
          <w:szCs w:val="21"/>
          <w:highlight w:val="none"/>
        </w:rPr>
        <w:t>2、每天对自动监控前一天的数据进行系统分析，对数据的质量，合理性进行判断并提出优化系统建议和预警措施；</w:t>
      </w:r>
    </w:p>
    <w:p w14:paraId="1C47D383">
      <w:pPr>
        <w:spacing w:line="400" w:lineRule="exact"/>
        <w:ind w:firstLine="420"/>
        <w:rPr>
          <w:rFonts w:hint="eastAsia" w:ascii="宋体" w:hAnsi="宋体" w:eastAsia="宋体" w:cs="宋体"/>
          <w:szCs w:val="21"/>
          <w:highlight w:val="none"/>
        </w:rPr>
      </w:pPr>
      <w:r>
        <w:rPr>
          <w:rFonts w:hint="eastAsia" w:ascii="宋体" w:hAnsi="宋体" w:eastAsia="宋体" w:cs="宋体"/>
          <w:szCs w:val="21"/>
          <w:highlight w:val="none"/>
        </w:rPr>
        <w:t>3、负责完成交办的日常报表，汇总统计；</w:t>
      </w:r>
    </w:p>
    <w:p w14:paraId="73C639E4">
      <w:pPr>
        <w:spacing w:line="400" w:lineRule="exact"/>
        <w:ind w:firstLine="420"/>
        <w:rPr>
          <w:rFonts w:hint="eastAsia" w:ascii="宋体" w:hAnsi="宋体" w:eastAsia="宋体" w:cs="宋体"/>
          <w:szCs w:val="21"/>
          <w:highlight w:val="none"/>
        </w:rPr>
      </w:pPr>
      <w:r>
        <w:rPr>
          <w:rFonts w:hint="eastAsia" w:ascii="宋体" w:hAnsi="宋体" w:eastAsia="宋体" w:cs="宋体"/>
          <w:szCs w:val="21"/>
          <w:highlight w:val="none"/>
        </w:rPr>
        <w:t>4、负责省级平台数据安全迁移整理工作；</w:t>
      </w:r>
    </w:p>
    <w:p w14:paraId="733E6116">
      <w:pPr>
        <w:spacing w:line="400" w:lineRule="exact"/>
        <w:ind w:firstLine="420"/>
        <w:rPr>
          <w:rFonts w:hint="eastAsia" w:ascii="宋体" w:hAnsi="宋体" w:eastAsia="宋体" w:cs="宋体"/>
          <w:szCs w:val="21"/>
          <w:highlight w:val="none"/>
        </w:rPr>
      </w:pPr>
      <w:r>
        <w:rPr>
          <w:rFonts w:hint="eastAsia" w:ascii="宋体" w:hAnsi="宋体" w:eastAsia="宋体" w:cs="宋体"/>
          <w:szCs w:val="21"/>
          <w:highlight w:val="none"/>
        </w:rPr>
        <w:t>5、确保湖南省重点污染源自动监控系统数据补全有效传输率达到9</w:t>
      </w:r>
      <w:r>
        <w:rPr>
          <w:rFonts w:hint="eastAsia" w:ascii="宋体" w:hAnsi="宋体" w:cs="宋体"/>
          <w:szCs w:val="21"/>
          <w:highlight w:val="none"/>
          <w:lang w:val="en-US" w:eastAsia="zh-CN"/>
        </w:rPr>
        <w:t>6</w:t>
      </w:r>
      <w:r>
        <w:rPr>
          <w:rFonts w:hint="eastAsia" w:ascii="宋体" w:hAnsi="宋体" w:eastAsia="宋体" w:cs="宋体"/>
          <w:szCs w:val="21"/>
          <w:highlight w:val="none"/>
        </w:rPr>
        <w:t>%以上。</w:t>
      </w:r>
    </w:p>
    <w:p w14:paraId="51CF9A3E">
      <w:pPr>
        <w:spacing w:line="400" w:lineRule="exact"/>
        <w:ind w:firstLine="420"/>
        <w:rPr>
          <w:rFonts w:hint="eastAsia" w:ascii="宋体" w:hAnsi="宋体" w:eastAsia="宋体" w:cs="宋体"/>
          <w:szCs w:val="21"/>
          <w:highlight w:val="none"/>
        </w:rPr>
      </w:pPr>
      <w:r>
        <w:rPr>
          <w:rFonts w:hint="eastAsia" w:ascii="宋体" w:hAnsi="宋体" w:eastAsia="宋体" w:cs="宋体"/>
          <w:szCs w:val="21"/>
          <w:highlight w:val="none"/>
        </w:rPr>
        <w:t>6、实时对现有软件进行优化，补丁升级，使平台具有可展示性，可操作性，条块清晰、格式统一；</w:t>
      </w:r>
    </w:p>
    <w:p w14:paraId="693B8221">
      <w:pPr>
        <w:spacing w:line="400" w:lineRule="exact"/>
        <w:ind w:firstLine="420"/>
        <w:rPr>
          <w:rFonts w:hint="eastAsia" w:ascii="宋体" w:hAnsi="宋体" w:eastAsia="宋体" w:cs="宋体"/>
          <w:szCs w:val="21"/>
          <w:highlight w:val="none"/>
        </w:rPr>
      </w:pPr>
      <w:r>
        <w:rPr>
          <w:rFonts w:hint="eastAsia" w:ascii="宋体" w:hAnsi="宋体" w:eastAsia="宋体" w:cs="宋体"/>
          <w:szCs w:val="21"/>
          <w:highlight w:val="none"/>
        </w:rPr>
        <w:t>7、对督办系统进行优化升级；</w:t>
      </w:r>
    </w:p>
    <w:p w14:paraId="1EEF2FFF">
      <w:pPr>
        <w:spacing w:line="400" w:lineRule="exact"/>
        <w:ind w:firstLine="420"/>
        <w:rPr>
          <w:rFonts w:hint="eastAsia" w:ascii="宋体" w:hAnsi="宋体" w:eastAsia="宋体" w:cs="宋体"/>
          <w:szCs w:val="21"/>
          <w:highlight w:val="none"/>
          <w:lang w:eastAsia="zh-CN"/>
        </w:rPr>
      </w:pPr>
      <w:r>
        <w:rPr>
          <w:rFonts w:hint="eastAsia" w:ascii="宋体" w:hAnsi="宋体" w:eastAsia="宋体" w:cs="宋体"/>
          <w:szCs w:val="21"/>
          <w:highlight w:val="none"/>
        </w:rPr>
        <w:t>8、</w:t>
      </w:r>
      <w:r>
        <w:rPr>
          <w:rFonts w:hint="eastAsia" w:ascii="宋体" w:hAnsi="宋体" w:eastAsia="宋体" w:cs="宋体"/>
          <w:szCs w:val="21"/>
          <w:highlight w:val="none"/>
          <w:lang w:eastAsia="zh-CN"/>
        </w:rPr>
        <w:t>自动监控信息网络公开；</w:t>
      </w:r>
    </w:p>
    <w:p w14:paraId="69415893">
      <w:pPr>
        <w:spacing w:line="400" w:lineRule="exact"/>
        <w:ind w:firstLine="420"/>
        <w:rPr>
          <w:rFonts w:hint="eastAsia" w:ascii="宋体" w:hAnsi="宋体" w:eastAsia="宋体" w:cs="宋体"/>
          <w:szCs w:val="21"/>
          <w:highlight w:val="none"/>
        </w:rPr>
      </w:pPr>
      <w:r>
        <w:rPr>
          <w:rFonts w:hint="eastAsia" w:ascii="宋体" w:hAnsi="宋体" w:eastAsia="宋体" w:cs="宋体"/>
          <w:szCs w:val="21"/>
          <w:highlight w:val="none"/>
          <w:lang w:val="en-US" w:eastAsia="zh-CN"/>
        </w:rPr>
        <w:t>9</w:t>
      </w:r>
      <w:r>
        <w:rPr>
          <w:rFonts w:hint="eastAsia" w:ascii="宋体" w:hAnsi="宋体" w:eastAsia="宋体" w:cs="宋体"/>
          <w:szCs w:val="21"/>
          <w:highlight w:val="none"/>
        </w:rPr>
        <w:t>、通过自动监测数据异常线索分析服务，定期分析自动监测异常数据并提供分析报告。</w:t>
      </w:r>
    </w:p>
    <w:p w14:paraId="68C0B4A6">
      <w:pPr>
        <w:spacing w:line="400" w:lineRule="exact"/>
        <w:ind w:firstLine="420"/>
        <w:rPr>
          <w:rFonts w:ascii="宋体" w:hAnsi="宋体" w:eastAsia="宋体" w:cs="宋体"/>
          <w:szCs w:val="21"/>
          <w:highlight w:val="none"/>
        </w:rPr>
      </w:pPr>
      <w:r>
        <w:rPr>
          <w:rFonts w:hint="eastAsia" w:ascii="宋体" w:hAnsi="宋体" w:eastAsia="宋体" w:cs="宋体"/>
          <w:szCs w:val="21"/>
          <w:highlight w:val="none"/>
        </w:rPr>
        <w:t>1</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、提供污染源自动监控省级平台全年24小时的值班服务。</w:t>
      </w:r>
    </w:p>
    <w:p w14:paraId="2DE6CB47">
      <w:pPr>
        <w:spacing w:line="400" w:lineRule="exact"/>
        <w:ind w:firstLine="422" w:firstLineChars="200"/>
        <w:rPr>
          <w:rFonts w:hint="eastAsia" w:ascii="宋体" w:hAnsi="宋体" w:eastAsia="宋体" w:cs="宋体"/>
          <w:b/>
          <w:szCs w:val="21"/>
          <w:highlight w:val="none"/>
        </w:rPr>
      </w:pPr>
      <w:r>
        <w:rPr>
          <w:rFonts w:hint="eastAsia" w:ascii="宋体" w:hAnsi="宋体" w:eastAsia="宋体" w:cs="宋体"/>
          <w:b/>
          <w:szCs w:val="21"/>
          <w:highlight w:val="none"/>
          <w:lang w:val="en-US" w:eastAsia="zh-CN"/>
        </w:rPr>
        <w:t>五</w:t>
      </w:r>
      <w:r>
        <w:rPr>
          <w:rFonts w:hint="eastAsia" w:ascii="宋体" w:hAnsi="宋体" w:eastAsia="宋体" w:cs="宋体"/>
          <w:b/>
          <w:szCs w:val="21"/>
          <w:highlight w:val="none"/>
        </w:rPr>
        <w:t>、运维内容</w:t>
      </w:r>
    </w:p>
    <w:p w14:paraId="6341476D">
      <w:pPr>
        <w:spacing w:line="400" w:lineRule="exact"/>
        <w:ind w:firstLine="420"/>
        <w:rPr>
          <w:rFonts w:hint="eastAsia" w:ascii="宋体" w:hAnsi="宋体" w:eastAsia="宋体" w:cs="宋体"/>
          <w:b/>
          <w:szCs w:val="21"/>
          <w:highlight w:val="none"/>
        </w:rPr>
      </w:pPr>
      <w:r>
        <w:rPr>
          <w:rFonts w:hint="eastAsia" w:ascii="宋体" w:hAnsi="宋体" w:eastAsia="宋体" w:cs="宋体"/>
          <w:b/>
          <w:szCs w:val="21"/>
          <w:highlight w:val="none"/>
        </w:rPr>
        <w:t>1、重点污染源自动监控与基础数据库系统</w:t>
      </w:r>
    </w:p>
    <w:p w14:paraId="1E56986B">
      <w:pPr>
        <w:spacing w:line="400" w:lineRule="exact"/>
        <w:ind w:firstLine="420"/>
        <w:rPr>
          <w:rFonts w:hint="eastAsia" w:ascii="宋体" w:hAnsi="宋体" w:eastAsia="宋体" w:cs="宋体"/>
          <w:b/>
          <w:szCs w:val="21"/>
          <w:highlight w:val="none"/>
        </w:rPr>
      </w:pPr>
      <w:r>
        <w:rPr>
          <w:rFonts w:ascii="宋体" w:hAnsi="宋体" w:eastAsia="宋体" w:cs="宋体"/>
          <w:b/>
          <w:szCs w:val="21"/>
          <w:highlight w:val="none"/>
        </w:rPr>
        <w:t>1.1</w:t>
      </w:r>
      <w:r>
        <w:rPr>
          <w:rFonts w:hint="eastAsia" w:ascii="宋体" w:hAnsi="宋体" w:eastAsia="宋体" w:cs="宋体"/>
          <w:b/>
          <w:szCs w:val="21"/>
          <w:highlight w:val="none"/>
        </w:rPr>
        <w:t>、运维内容</w:t>
      </w:r>
    </w:p>
    <w:tbl>
      <w:tblPr>
        <w:tblStyle w:val="48"/>
        <w:tblW w:w="89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1"/>
        <w:gridCol w:w="869"/>
        <w:gridCol w:w="7399"/>
      </w:tblGrid>
      <w:tr w14:paraId="483CB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520" w:type="dxa"/>
            <w:gridSpan w:val="2"/>
            <w:shd w:val="clear" w:color="000000" w:fill="D9D9D9"/>
            <w:vAlign w:val="center"/>
          </w:tcPr>
          <w:p w14:paraId="29E5FEE2">
            <w:pPr>
              <w:widowControl/>
              <w:spacing w:line="400" w:lineRule="exact"/>
              <w:jc w:val="center"/>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分类</w:t>
            </w:r>
          </w:p>
        </w:tc>
        <w:tc>
          <w:tcPr>
            <w:tcW w:w="7399" w:type="dxa"/>
            <w:shd w:val="clear" w:color="000000" w:fill="D9D9D9"/>
            <w:vAlign w:val="center"/>
          </w:tcPr>
          <w:p w14:paraId="6466957F">
            <w:pPr>
              <w:widowControl/>
              <w:spacing w:line="400" w:lineRule="exact"/>
              <w:jc w:val="center"/>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服务内容</w:t>
            </w:r>
          </w:p>
        </w:tc>
      </w:tr>
      <w:tr w14:paraId="7ACC8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651" w:type="dxa"/>
            <w:vMerge w:val="restart"/>
            <w:vAlign w:val="center"/>
          </w:tcPr>
          <w:p w14:paraId="35CA18B8">
            <w:pPr>
              <w:widowControl/>
              <w:spacing w:line="400" w:lineRule="exact"/>
              <w:jc w:val="center"/>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人员</w:t>
            </w:r>
          </w:p>
        </w:tc>
        <w:tc>
          <w:tcPr>
            <w:tcW w:w="869" w:type="dxa"/>
            <w:vAlign w:val="center"/>
          </w:tcPr>
          <w:p w14:paraId="44E00C36">
            <w:pPr>
              <w:widowControl/>
              <w:spacing w:line="40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运维</w:t>
            </w:r>
          </w:p>
        </w:tc>
        <w:tc>
          <w:tcPr>
            <w:tcW w:w="7399" w:type="dxa"/>
            <w:vAlign w:val="center"/>
          </w:tcPr>
          <w:p w14:paraId="425F72F3">
            <w:pPr>
              <w:widowControl/>
              <w:spacing w:line="400" w:lineRule="exact"/>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负责省厅、市州国发自动监控平台运维工作，配合用户进行平台的软硬件维护、问题汇报、数据汇总及其它相关的协作工作。</w:t>
            </w:r>
          </w:p>
        </w:tc>
      </w:tr>
      <w:tr w14:paraId="4E65E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651" w:type="dxa"/>
            <w:vMerge w:val="continue"/>
            <w:vAlign w:val="center"/>
          </w:tcPr>
          <w:p w14:paraId="2D5A54EB">
            <w:pPr>
              <w:widowControl/>
              <w:spacing w:line="400" w:lineRule="exact"/>
              <w:jc w:val="left"/>
              <w:rPr>
                <w:rFonts w:hint="eastAsia" w:ascii="宋体" w:hAnsi="宋体" w:eastAsia="宋体" w:cs="宋体"/>
                <w:b/>
                <w:bCs/>
                <w:kern w:val="0"/>
                <w:szCs w:val="21"/>
                <w:highlight w:val="none"/>
              </w:rPr>
            </w:pPr>
          </w:p>
        </w:tc>
        <w:tc>
          <w:tcPr>
            <w:tcW w:w="869" w:type="dxa"/>
            <w:vAlign w:val="center"/>
          </w:tcPr>
          <w:p w14:paraId="012ADBB0">
            <w:pPr>
              <w:widowControl/>
              <w:spacing w:line="40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后台团队支持</w:t>
            </w:r>
          </w:p>
        </w:tc>
        <w:tc>
          <w:tcPr>
            <w:tcW w:w="7399" w:type="dxa"/>
            <w:vAlign w:val="center"/>
          </w:tcPr>
          <w:p w14:paraId="4AA810BC">
            <w:pPr>
              <w:widowControl/>
              <w:spacing w:line="400" w:lineRule="exact"/>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组建不少于3人熟悉自动监控平台相关技术、工作要求的后台支撑团队，对现场不能及时解决的疑难问题，第一时间进行响应，对现有软硬件平台提供全面的技术保障，确保系统正常运行。</w:t>
            </w:r>
          </w:p>
        </w:tc>
      </w:tr>
      <w:tr w14:paraId="6A77A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919" w:type="dxa"/>
            <w:gridSpan w:val="3"/>
            <w:vAlign w:val="bottom"/>
          </w:tcPr>
          <w:p w14:paraId="4F69B045">
            <w:pPr>
              <w:widowControl/>
              <w:spacing w:line="400" w:lineRule="exact"/>
              <w:jc w:val="center"/>
              <w:rPr>
                <w:rFonts w:hint="eastAsia" w:ascii="宋体" w:hAnsi="宋体" w:eastAsia="宋体" w:cs="宋体"/>
                <w:kern w:val="0"/>
                <w:szCs w:val="21"/>
                <w:highlight w:val="none"/>
              </w:rPr>
            </w:pPr>
            <w:r>
              <w:rPr>
                <w:rFonts w:hint="eastAsia" w:ascii="宋体" w:hAnsi="宋体" w:eastAsia="宋体" w:cs="宋体"/>
                <w:b/>
                <w:bCs/>
                <w:kern w:val="0"/>
                <w:szCs w:val="21"/>
                <w:highlight w:val="none"/>
              </w:rPr>
              <w:t>工作内容</w:t>
            </w:r>
          </w:p>
        </w:tc>
      </w:tr>
      <w:tr w14:paraId="4F3E4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jc w:val="center"/>
        </w:trPr>
        <w:tc>
          <w:tcPr>
            <w:tcW w:w="651" w:type="dxa"/>
            <w:vMerge w:val="restart"/>
            <w:vAlign w:val="center"/>
          </w:tcPr>
          <w:p w14:paraId="36D1A34F">
            <w:pPr>
              <w:widowControl/>
              <w:spacing w:line="400" w:lineRule="exact"/>
              <w:jc w:val="center"/>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工作内容</w:t>
            </w:r>
          </w:p>
        </w:tc>
        <w:tc>
          <w:tcPr>
            <w:tcW w:w="869" w:type="dxa"/>
            <w:vMerge w:val="restart"/>
            <w:vAlign w:val="center"/>
          </w:tcPr>
          <w:p w14:paraId="3EAB9C13">
            <w:pPr>
              <w:widowControl/>
              <w:spacing w:line="40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日常</w:t>
            </w:r>
          </w:p>
          <w:p w14:paraId="166DE216">
            <w:pPr>
              <w:widowControl/>
              <w:spacing w:line="40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工作</w:t>
            </w:r>
          </w:p>
        </w:tc>
        <w:tc>
          <w:tcPr>
            <w:tcW w:w="7399" w:type="dxa"/>
            <w:vAlign w:val="center"/>
          </w:tcPr>
          <w:p w14:paraId="188BEB0F">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跟踪省生态环境监控平台相关的软件、硬件和网络状态，如遇异常及时排查解决。每日对调度大屏展示系统进行巡检，每周对省厅国发自动监控平台进行软件巡查和故障维护，每月对服务器进行巡检，巡检范围包括服务器存储资源使用情况、服务器计算资源使用情况、网络情况以及程序运行状态，使平台数据与国家环保部监控中心数据同步顺畅。</w:t>
            </w:r>
          </w:p>
        </w:tc>
      </w:tr>
      <w:tr w14:paraId="42B6A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651" w:type="dxa"/>
            <w:vMerge w:val="continue"/>
            <w:vAlign w:val="center"/>
          </w:tcPr>
          <w:p w14:paraId="73F68BEF">
            <w:pPr>
              <w:widowControl/>
              <w:spacing w:line="400" w:lineRule="exact"/>
              <w:jc w:val="left"/>
              <w:rPr>
                <w:rFonts w:hint="eastAsia" w:ascii="宋体" w:hAnsi="宋体" w:eastAsia="宋体" w:cs="宋体"/>
                <w:b/>
                <w:bCs/>
                <w:kern w:val="0"/>
                <w:szCs w:val="21"/>
                <w:highlight w:val="none"/>
              </w:rPr>
            </w:pPr>
          </w:p>
        </w:tc>
        <w:tc>
          <w:tcPr>
            <w:tcW w:w="869" w:type="dxa"/>
            <w:vMerge w:val="continue"/>
            <w:vAlign w:val="center"/>
          </w:tcPr>
          <w:p w14:paraId="7B58AC13">
            <w:pPr>
              <w:widowControl/>
              <w:spacing w:line="400" w:lineRule="exact"/>
              <w:jc w:val="left"/>
              <w:rPr>
                <w:rFonts w:hint="eastAsia" w:ascii="宋体" w:hAnsi="宋体" w:eastAsia="宋体" w:cs="宋体"/>
                <w:kern w:val="0"/>
                <w:szCs w:val="21"/>
                <w:highlight w:val="none"/>
              </w:rPr>
            </w:pPr>
          </w:p>
        </w:tc>
        <w:tc>
          <w:tcPr>
            <w:tcW w:w="7399" w:type="dxa"/>
            <w:vAlign w:val="center"/>
          </w:tcPr>
          <w:p w14:paraId="0C9D3B4E">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负责省厅、市州国发自动监控平台软件的数据接收和数据交换，确保交换数据正常上传。同时对于省厅、市州平台出现的软件故障，及时解决，如果在24小时不能解决的，书面形式告知采购人。</w:t>
            </w:r>
          </w:p>
        </w:tc>
      </w:tr>
      <w:tr w14:paraId="18F26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651" w:type="dxa"/>
            <w:vMerge w:val="continue"/>
            <w:vAlign w:val="center"/>
          </w:tcPr>
          <w:p w14:paraId="29AA86D1">
            <w:pPr>
              <w:widowControl/>
              <w:spacing w:line="400" w:lineRule="exact"/>
              <w:jc w:val="left"/>
              <w:rPr>
                <w:rFonts w:hint="eastAsia" w:ascii="宋体" w:hAnsi="宋体" w:eastAsia="宋体" w:cs="宋体"/>
                <w:b/>
                <w:bCs/>
                <w:kern w:val="0"/>
                <w:szCs w:val="21"/>
                <w:highlight w:val="none"/>
              </w:rPr>
            </w:pPr>
          </w:p>
        </w:tc>
        <w:tc>
          <w:tcPr>
            <w:tcW w:w="869" w:type="dxa"/>
            <w:vMerge w:val="continue"/>
            <w:vAlign w:val="center"/>
          </w:tcPr>
          <w:p w14:paraId="2E8C64E0">
            <w:pPr>
              <w:widowControl/>
              <w:spacing w:line="400" w:lineRule="exact"/>
              <w:jc w:val="left"/>
              <w:rPr>
                <w:rFonts w:hint="eastAsia" w:ascii="宋体" w:hAnsi="宋体" w:eastAsia="宋体" w:cs="宋体"/>
                <w:kern w:val="0"/>
                <w:szCs w:val="21"/>
                <w:highlight w:val="none"/>
              </w:rPr>
            </w:pPr>
          </w:p>
        </w:tc>
        <w:tc>
          <w:tcPr>
            <w:tcW w:w="7399" w:type="dxa"/>
            <w:vAlign w:val="center"/>
          </w:tcPr>
          <w:p w14:paraId="383315A7">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配合做好新建企业的联网相关工作，内容包括：确认安装联网名单、配合填报基础信息、协助现场端联网企业进行平台调试、检查数据规范性、协助管理部门跟踪企业安装联网进度、保障交换数据至部级、分析问题解决逻辑错误等。同时对各级工作人员进行日常的业务指导，协助管理部门提升在线监测数据的联网率和数据质量。</w:t>
            </w:r>
          </w:p>
        </w:tc>
      </w:tr>
      <w:tr w14:paraId="46E64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651" w:type="dxa"/>
            <w:vMerge w:val="continue"/>
            <w:vAlign w:val="center"/>
          </w:tcPr>
          <w:p w14:paraId="49E9FAE8">
            <w:pPr>
              <w:widowControl/>
              <w:spacing w:line="400" w:lineRule="exact"/>
              <w:jc w:val="left"/>
              <w:rPr>
                <w:rFonts w:hint="eastAsia" w:ascii="宋体" w:hAnsi="宋体" w:eastAsia="宋体" w:cs="宋体"/>
                <w:b/>
                <w:bCs/>
                <w:kern w:val="0"/>
                <w:szCs w:val="21"/>
                <w:highlight w:val="none"/>
              </w:rPr>
            </w:pPr>
          </w:p>
        </w:tc>
        <w:tc>
          <w:tcPr>
            <w:tcW w:w="869" w:type="dxa"/>
            <w:vMerge w:val="continue"/>
            <w:vAlign w:val="center"/>
          </w:tcPr>
          <w:p w14:paraId="514E8E2B">
            <w:pPr>
              <w:widowControl/>
              <w:spacing w:line="400" w:lineRule="exact"/>
              <w:jc w:val="left"/>
              <w:rPr>
                <w:rFonts w:hint="eastAsia" w:ascii="宋体" w:hAnsi="宋体" w:eastAsia="宋体" w:cs="宋体"/>
                <w:kern w:val="0"/>
                <w:szCs w:val="21"/>
                <w:highlight w:val="none"/>
              </w:rPr>
            </w:pPr>
          </w:p>
        </w:tc>
        <w:tc>
          <w:tcPr>
            <w:tcW w:w="7399" w:type="dxa"/>
            <w:vAlign w:val="center"/>
          </w:tcPr>
          <w:p w14:paraId="7A04328A">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根据国家同步升级平台软件的要求，结合用户单位的需要，按照系统升级规范，对平台进行升级、迁移、部署联调等。</w:t>
            </w:r>
          </w:p>
        </w:tc>
      </w:tr>
      <w:tr w14:paraId="4E201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651" w:type="dxa"/>
            <w:vMerge w:val="continue"/>
            <w:vAlign w:val="center"/>
          </w:tcPr>
          <w:p w14:paraId="3A9B95DF">
            <w:pPr>
              <w:widowControl/>
              <w:spacing w:line="400" w:lineRule="exact"/>
              <w:jc w:val="left"/>
              <w:rPr>
                <w:rFonts w:hint="eastAsia" w:ascii="宋体" w:hAnsi="宋体" w:eastAsia="宋体" w:cs="宋体"/>
                <w:b/>
                <w:bCs/>
                <w:kern w:val="0"/>
                <w:szCs w:val="21"/>
                <w:highlight w:val="none"/>
              </w:rPr>
            </w:pPr>
          </w:p>
        </w:tc>
        <w:tc>
          <w:tcPr>
            <w:tcW w:w="869" w:type="dxa"/>
            <w:vMerge w:val="continue"/>
            <w:vAlign w:val="center"/>
          </w:tcPr>
          <w:p w14:paraId="584609E4">
            <w:pPr>
              <w:widowControl/>
              <w:spacing w:line="400" w:lineRule="exact"/>
              <w:jc w:val="left"/>
              <w:rPr>
                <w:rFonts w:hint="eastAsia" w:ascii="宋体" w:hAnsi="宋体" w:eastAsia="宋体" w:cs="宋体"/>
                <w:kern w:val="0"/>
                <w:szCs w:val="21"/>
                <w:highlight w:val="none"/>
              </w:rPr>
            </w:pPr>
          </w:p>
        </w:tc>
        <w:tc>
          <w:tcPr>
            <w:tcW w:w="7399" w:type="dxa"/>
            <w:vAlign w:val="center"/>
          </w:tcPr>
          <w:p w14:paraId="0607ED60">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按照维护要求定期对数据和报备凭证资料进行备份或做必要的恢复操作，及时检查数据库性能和状态，保持数据一致性。</w:t>
            </w:r>
          </w:p>
        </w:tc>
      </w:tr>
      <w:tr w14:paraId="0348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651" w:type="dxa"/>
            <w:vMerge w:val="continue"/>
            <w:vAlign w:val="center"/>
          </w:tcPr>
          <w:p w14:paraId="40AED6E1">
            <w:pPr>
              <w:widowControl/>
              <w:spacing w:line="400" w:lineRule="exact"/>
              <w:jc w:val="left"/>
              <w:rPr>
                <w:rFonts w:hint="eastAsia" w:ascii="宋体" w:hAnsi="宋体" w:eastAsia="宋体" w:cs="宋体"/>
                <w:b/>
                <w:bCs/>
                <w:kern w:val="0"/>
                <w:szCs w:val="21"/>
                <w:highlight w:val="none"/>
              </w:rPr>
            </w:pPr>
          </w:p>
        </w:tc>
        <w:tc>
          <w:tcPr>
            <w:tcW w:w="869" w:type="dxa"/>
            <w:vMerge w:val="continue"/>
            <w:vAlign w:val="center"/>
          </w:tcPr>
          <w:p w14:paraId="6D56A403">
            <w:pPr>
              <w:widowControl/>
              <w:spacing w:line="400" w:lineRule="exact"/>
              <w:jc w:val="left"/>
              <w:rPr>
                <w:rFonts w:hint="eastAsia" w:ascii="宋体" w:hAnsi="宋体" w:eastAsia="宋体" w:cs="宋体"/>
                <w:kern w:val="0"/>
                <w:szCs w:val="21"/>
                <w:highlight w:val="none"/>
              </w:rPr>
            </w:pPr>
          </w:p>
        </w:tc>
        <w:tc>
          <w:tcPr>
            <w:tcW w:w="7399" w:type="dxa"/>
            <w:vAlign w:val="center"/>
          </w:tcPr>
          <w:p w14:paraId="74D8329D">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通过分析系统性能瓶颈，提出性能优化和安全性方面的建议，并及时进行优化与总结，形成技术文档。</w:t>
            </w:r>
          </w:p>
        </w:tc>
      </w:tr>
      <w:tr w14:paraId="6D83F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651" w:type="dxa"/>
            <w:vMerge w:val="continue"/>
            <w:vAlign w:val="center"/>
          </w:tcPr>
          <w:p w14:paraId="50CFC7CD">
            <w:pPr>
              <w:widowControl/>
              <w:spacing w:line="400" w:lineRule="exact"/>
              <w:jc w:val="left"/>
              <w:rPr>
                <w:rFonts w:hint="eastAsia" w:ascii="宋体" w:hAnsi="宋体" w:eastAsia="宋体" w:cs="宋体"/>
                <w:b/>
                <w:bCs/>
                <w:kern w:val="0"/>
                <w:szCs w:val="21"/>
                <w:highlight w:val="none"/>
              </w:rPr>
            </w:pPr>
          </w:p>
        </w:tc>
        <w:tc>
          <w:tcPr>
            <w:tcW w:w="869" w:type="dxa"/>
            <w:vMerge w:val="continue"/>
            <w:vAlign w:val="center"/>
          </w:tcPr>
          <w:p w14:paraId="34805EE1">
            <w:pPr>
              <w:widowControl/>
              <w:spacing w:line="400" w:lineRule="exact"/>
              <w:jc w:val="left"/>
              <w:rPr>
                <w:rFonts w:hint="eastAsia" w:ascii="宋体" w:hAnsi="宋体" w:eastAsia="宋体" w:cs="宋体"/>
                <w:kern w:val="0"/>
                <w:szCs w:val="21"/>
                <w:highlight w:val="none"/>
              </w:rPr>
            </w:pPr>
          </w:p>
        </w:tc>
        <w:tc>
          <w:tcPr>
            <w:tcW w:w="7399" w:type="dxa"/>
            <w:vAlign w:val="center"/>
          </w:tcPr>
          <w:p w14:paraId="3F585D38">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做好平台维护文档的记录或管理工作，及时对各地平台维护日志进行记录，每月向用户递交工作日志，及时了解平台的配置、监控、备份、故障处理、安全、性能优化等情况。</w:t>
            </w:r>
          </w:p>
        </w:tc>
      </w:tr>
      <w:tr w14:paraId="4FEC7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651" w:type="dxa"/>
            <w:vMerge w:val="continue"/>
            <w:vAlign w:val="center"/>
          </w:tcPr>
          <w:p w14:paraId="415F4B90">
            <w:pPr>
              <w:widowControl/>
              <w:spacing w:line="400" w:lineRule="exact"/>
              <w:jc w:val="left"/>
              <w:rPr>
                <w:rFonts w:hint="eastAsia" w:ascii="宋体" w:hAnsi="宋体" w:eastAsia="宋体" w:cs="宋体"/>
                <w:b/>
                <w:bCs/>
                <w:kern w:val="0"/>
                <w:szCs w:val="21"/>
                <w:highlight w:val="none"/>
              </w:rPr>
            </w:pPr>
          </w:p>
        </w:tc>
        <w:tc>
          <w:tcPr>
            <w:tcW w:w="869" w:type="dxa"/>
            <w:vMerge w:val="continue"/>
            <w:vAlign w:val="center"/>
          </w:tcPr>
          <w:p w14:paraId="7E9C0204">
            <w:pPr>
              <w:widowControl/>
              <w:spacing w:line="400" w:lineRule="exact"/>
              <w:jc w:val="left"/>
              <w:rPr>
                <w:rFonts w:hint="eastAsia" w:ascii="宋体" w:hAnsi="宋体" w:eastAsia="宋体" w:cs="宋体"/>
                <w:kern w:val="0"/>
                <w:szCs w:val="21"/>
                <w:highlight w:val="none"/>
              </w:rPr>
            </w:pPr>
          </w:p>
        </w:tc>
        <w:tc>
          <w:tcPr>
            <w:tcW w:w="7399" w:type="dxa"/>
            <w:vAlign w:val="center"/>
          </w:tcPr>
          <w:p w14:paraId="7D02AF1F">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根据重点污染源自动监控系统日常业务范围，提供日常咨询服务，包括软件用户创建及管理,基础数据库系统的使用,重点污染源自动监控系统的使用,设备备案登记信息表等信息维护,考核基数等信息的日常维护,有效传输率考核相关业务及国家相关政策的咨询等。</w:t>
            </w:r>
          </w:p>
        </w:tc>
      </w:tr>
      <w:tr w14:paraId="6B66A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651" w:type="dxa"/>
            <w:vMerge w:val="continue"/>
            <w:vAlign w:val="center"/>
          </w:tcPr>
          <w:p w14:paraId="5193A26C">
            <w:pPr>
              <w:widowControl/>
              <w:spacing w:line="400" w:lineRule="exact"/>
              <w:jc w:val="left"/>
              <w:rPr>
                <w:rFonts w:hint="eastAsia" w:ascii="宋体" w:hAnsi="宋体" w:eastAsia="宋体" w:cs="宋体"/>
                <w:b/>
                <w:bCs/>
                <w:kern w:val="0"/>
                <w:szCs w:val="21"/>
                <w:highlight w:val="none"/>
              </w:rPr>
            </w:pPr>
          </w:p>
        </w:tc>
        <w:tc>
          <w:tcPr>
            <w:tcW w:w="869" w:type="dxa"/>
            <w:vMerge w:val="continue"/>
            <w:vAlign w:val="center"/>
          </w:tcPr>
          <w:p w14:paraId="46D7A636">
            <w:pPr>
              <w:widowControl/>
              <w:spacing w:line="400" w:lineRule="exact"/>
              <w:jc w:val="left"/>
              <w:rPr>
                <w:rFonts w:hint="eastAsia" w:ascii="宋体" w:hAnsi="宋体" w:eastAsia="宋体" w:cs="宋体"/>
                <w:kern w:val="0"/>
                <w:szCs w:val="21"/>
                <w:highlight w:val="none"/>
              </w:rPr>
            </w:pPr>
          </w:p>
        </w:tc>
        <w:tc>
          <w:tcPr>
            <w:tcW w:w="7399" w:type="dxa"/>
            <w:vAlign w:val="center"/>
          </w:tcPr>
          <w:p w14:paraId="55C8F35A">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协助省厅对企业报备和反馈数据（资料）的维护和统计分析，保障省、市（县）、企业三级电子督办单直达。保障各市、县督办系统具体督办短信接收人员相关信息及时更新。保障重点污染源自动监控系统中所有企业均正常接入督办系统，对所有在线企业均发送超标及异常警示单。同时，协助省厅开展数据超标的统计和超标督办工作，包括督办单的发送和反馈，督办数据的维护和统计，按照要求频次对超标督办工作的统计及排污单位的情况收集整理。</w:t>
            </w:r>
          </w:p>
        </w:tc>
      </w:tr>
      <w:tr w14:paraId="09813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651" w:type="dxa"/>
            <w:vMerge w:val="continue"/>
            <w:vAlign w:val="center"/>
          </w:tcPr>
          <w:p w14:paraId="0B8F0C7C">
            <w:pPr>
              <w:widowControl/>
              <w:spacing w:line="400" w:lineRule="exact"/>
              <w:jc w:val="left"/>
              <w:rPr>
                <w:rFonts w:hint="eastAsia" w:ascii="宋体" w:hAnsi="宋体" w:eastAsia="宋体" w:cs="宋体"/>
                <w:b/>
                <w:bCs/>
                <w:kern w:val="0"/>
                <w:szCs w:val="21"/>
                <w:highlight w:val="none"/>
              </w:rPr>
            </w:pPr>
          </w:p>
        </w:tc>
        <w:tc>
          <w:tcPr>
            <w:tcW w:w="869" w:type="dxa"/>
            <w:vMerge w:val="restart"/>
            <w:vAlign w:val="center"/>
          </w:tcPr>
          <w:p w14:paraId="7D6335F5">
            <w:pPr>
              <w:widowControl/>
              <w:spacing w:line="40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报表及报告</w:t>
            </w:r>
          </w:p>
        </w:tc>
        <w:tc>
          <w:tcPr>
            <w:tcW w:w="7399" w:type="dxa"/>
            <w:vAlign w:val="center"/>
          </w:tcPr>
          <w:p w14:paraId="128E5823">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配合省厅及各市州，提供报表服务，内容包括通过工作报表及数据分析，形成月报等国控工作简报等。</w:t>
            </w:r>
          </w:p>
        </w:tc>
      </w:tr>
      <w:tr w14:paraId="51795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651" w:type="dxa"/>
            <w:vMerge w:val="continue"/>
            <w:vAlign w:val="center"/>
          </w:tcPr>
          <w:p w14:paraId="2A6A1CA0">
            <w:pPr>
              <w:widowControl/>
              <w:spacing w:line="400" w:lineRule="exact"/>
              <w:jc w:val="left"/>
              <w:rPr>
                <w:rFonts w:hint="eastAsia" w:ascii="宋体" w:hAnsi="宋体" w:eastAsia="宋体" w:cs="宋体"/>
                <w:b/>
                <w:bCs/>
                <w:kern w:val="0"/>
                <w:szCs w:val="21"/>
                <w:highlight w:val="none"/>
              </w:rPr>
            </w:pPr>
          </w:p>
        </w:tc>
        <w:tc>
          <w:tcPr>
            <w:tcW w:w="869" w:type="dxa"/>
            <w:vMerge w:val="continue"/>
            <w:vAlign w:val="center"/>
          </w:tcPr>
          <w:p w14:paraId="37A30926">
            <w:pPr>
              <w:widowControl/>
              <w:spacing w:line="400" w:lineRule="exact"/>
              <w:jc w:val="left"/>
              <w:rPr>
                <w:rFonts w:hint="eastAsia" w:ascii="宋体" w:hAnsi="宋体" w:eastAsia="宋体" w:cs="宋体"/>
                <w:kern w:val="0"/>
                <w:szCs w:val="21"/>
                <w:highlight w:val="none"/>
              </w:rPr>
            </w:pPr>
          </w:p>
        </w:tc>
        <w:tc>
          <w:tcPr>
            <w:tcW w:w="7399" w:type="dxa"/>
            <w:vAlign w:val="center"/>
          </w:tcPr>
          <w:p w14:paraId="5C3AB6E0">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配合省厅及各市州，按月提供运行管理工作简报，进行相关数据分析。</w:t>
            </w:r>
          </w:p>
        </w:tc>
      </w:tr>
      <w:tr w14:paraId="11556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651" w:type="dxa"/>
            <w:vMerge w:val="continue"/>
            <w:vAlign w:val="center"/>
          </w:tcPr>
          <w:p w14:paraId="70E5AE82">
            <w:pPr>
              <w:widowControl/>
              <w:spacing w:line="400" w:lineRule="exact"/>
              <w:jc w:val="left"/>
              <w:rPr>
                <w:rFonts w:hint="eastAsia" w:ascii="宋体" w:hAnsi="宋体" w:eastAsia="宋体" w:cs="宋体"/>
                <w:b/>
                <w:bCs/>
                <w:kern w:val="0"/>
                <w:szCs w:val="21"/>
                <w:highlight w:val="none"/>
              </w:rPr>
            </w:pPr>
          </w:p>
        </w:tc>
        <w:tc>
          <w:tcPr>
            <w:tcW w:w="869" w:type="dxa"/>
            <w:vMerge w:val="continue"/>
            <w:vAlign w:val="center"/>
          </w:tcPr>
          <w:p w14:paraId="63BAA8BF">
            <w:pPr>
              <w:widowControl/>
              <w:spacing w:line="400" w:lineRule="exact"/>
              <w:jc w:val="left"/>
              <w:rPr>
                <w:rFonts w:hint="eastAsia" w:ascii="宋体" w:hAnsi="宋体" w:eastAsia="宋体" w:cs="宋体"/>
                <w:kern w:val="0"/>
                <w:szCs w:val="21"/>
                <w:highlight w:val="none"/>
              </w:rPr>
            </w:pPr>
          </w:p>
        </w:tc>
        <w:tc>
          <w:tcPr>
            <w:tcW w:w="7399" w:type="dxa"/>
            <w:vAlign w:val="center"/>
          </w:tcPr>
          <w:p w14:paraId="47839539">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配合省厅及各市州，提供年度数据分析简报，内容包括年度数据传输及有效情况分析、工作建议。</w:t>
            </w:r>
          </w:p>
        </w:tc>
      </w:tr>
      <w:tr w14:paraId="49A57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651" w:type="dxa"/>
            <w:vMerge w:val="continue"/>
            <w:vAlign w:val="center"/>
          </w:tcPr>
          <w:p w14:paraId="237F82E2">
            <w:pPr>
              <w:widowControl/>
              <w:spacing w:line="400" w:lineRule="exact"/>
              <w:jc w:val="left"/>
              <w:rPr>
                <w:rFonts w:hint="eastAsia" w:ascii="宋体" w:hAnsi="宋体" w:eastAsia="宋体" w:cs="宋体"/>
                <w:b/>
                <w:bCs/>
                <w:kern w:val="0"/>
                <w:szCs w:val="21"/>
                <w:highlight w:val="none"/>
              </w:rPr>
            </w:pPr>
          </w:p>
        </w:tc>
        <w:tc>
          <w:tcPr>
            <w:tcW w:w="869" w:type="dxa"/>
            <w:vMerge w:val="continue"/>
            <w:vAlign w:val="center"/>
          </w:tcPr>
          <w:p w14:paraId="229EABCF">
            <w:pPr>
              <w:widowControl/>
              <w:spacing w:line="400" w:lineRule="exact"/>
              <w:jc w:val="left"/>
              <w:rPr>
                <w:rFonts w:hint="eastAsia" w:ascii="宋体" w:hAnsi="宋体" w:eastAsia="宋体" w:cs="宋体"/>
                <w:kern w:val="0"/>
                <w:szCs w:val="21"/>
                <w:highlight w:val="none"/>
              </w:rPr>
            </w:pPr>
          </w:p>
        </w:tc>
        <w:tc>
          <w:tcPr>
            <w:tcW w:w="7399" w:type="dxa"/>
            <w:vAlign w:val="center"/>
          </w:tcPr>
          <w:p w14:paraId="4EE26235">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根据省级用户需求，配合用户查询、统计各类数据。</w:t>
            </w:r>
          </w:p>
        </w:tc>
      </w:tr>
      <w:tr w14:paraId="39CF7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651" w:type="dxa"/>
            <w:vMerge w:val="continue"/>
            <w:vAlign w:val="center"/>
          </w:tcPr>
          <w:p w14:paraId="065268D1">
            <w:pPr>
              <w:widowControl/>
              <w:spacing w:line="400" w:lineRule="exact"/>
              <w:jc w:val="left"/>
              <w:rPr>
                <w:rFonts w:hint="eastAsia" w:ascii="宋体" w:hAnsi="宋体" w:eastAsia="宋体" w:cs="宋体"/>
                <w:b/>
                <w:bCs/>
                <w:kern w:val="0"/>
                <w:szCs w:val="21"/>
                <w:highlight w:val="none"/>
              </w:rPr>
            </w:pPr>
          </w:p>
        </w:tc>
        <w:tc>
          <w:tcPr>
            <w:tcW w:w="869" w:type="dxa"/>
            <w:vMerge w:val="continue"/>
            <w:vAlign w:val="center"/>
          </w:tcPr>
          <w:p w14:paraId="7888CCD4">
            <w:pPr>
              <w:widowControl/>
              <w:spacing w:line="400" w:lineRule="exact"/>
              <w:jc w:val="left"/>
              <w:rPr>
                <w:rFonts w:hint="eastAsia" w:ascii="宋体" w:hAnsi="宋体" w:eastAsia="宋体" w:cs="宋体"/>
                <w:kern w:val="0"/>
                <w:szCs w:val="21"/>
                <w:highlight w:val="none"/>
              </w:rPr>
            </w:pPr>
          </w:p>
        </w:tc>
        <w:tc>
          <w:tcPr>
            <w:tcW w:w="7399" w:type="dxa"/>
            <w:vAlign w:val="center"/>
          </w:tcPr>
          <w:p w14:paraId="4B933B1A">
            <w:pPr>
              <w:widowControl/>
              <w:spacing w:line="400" w:lineRule="exact"/>
              <w:rPr>
                <w:rFonts w:ascii="Calibri" w:hAnsi="Calibri" w:eastAsia="宋体" w:cs="Times New Roman"/>
                <w:highlight w:val="none"/>
              </w:rPr>
            </w:pPr>
            <w:r>
              <w:rPr>
                <w:rFonts w:hint="eastAsia" w:ascii="宋体" w:hAnsi="宋体" w:eastAsia="宋体" w:cs="宋体"/>
                <w:highlight w:val="none"/>
              </w:rPr>
              <w:t>每日统计当月月度累计超标超过三天企业情况</w:t>
            </w:r>
            <w:r>
              <w:rPr>
                <w:rFonts w:hint="eastAsia" w:ascii="Calibri" w:hAnsi="Calibri" w:eastAsia="宋体" w:cs="Times New Roman"/>
                <w:highlight w:val="none"/>
              </w:rPr>
              <w:t>。</w:t>
            </w:r>
          </w:p>
          <w:p w14:paraId="7AED4056">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每月对督办运行、反馈情况进行分析，形成督办分析报告。</w:t>
            </w:r>
          </w:p>
          <w:p w14:paraId="67F80E40">
            <w:pPr>
              <w:widowControl/>
              <w:spacing w:line="400" w:lineRule="exact"/>
              <w:rPr>
                <w:rFonts w:hint="eastAsia" w:ascii="宋体" w:hAnsi="宋体" w:eastAsia="宋体" w:cs="宋体"/>
                <w:kern w:val="0"/>
                <w:szCs w:val="21"/>
                <w:highlight w:val="none"/>
              </w:rPr>
            </w:pPr>
            <w:r>
              <w:rPr>
                <w:rFonts w:ascii="Calibri" w:hAnsi="Calibri" w:eastAsia="宋体" w:cs="Times New Roman"/>
                <w:highlight w:val="none"/>
              </w:rPr>
              <w:t>如有变动，需与用户沟通，按照实际情况制定统计标准</w:t>
            </w:r>
            <w:r>
              <w:rPr>
                <w:rFonts w:hint="eastAsia" w:ascii="Calibri" w:hAnsi="Calibri" w:eastAsia="宋体" w:cs="Times New Roman"/>
                <w:highlight w:val="none"/>
              </w:rPr>
              <w:t>。</w:t>
            </w:r>
          </w:p>
        </w:tc>
      </w:tr>
      <w:tr w14:paraId="7F998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651" w:type="dxa"/>
            <w:vMerge w:val="continue"/>
            <w:vAlign w:val="center"/>
          </w:tcPr>
          <w:p w14:paraId="7DD0C5C8">
            <w:pPr>
              <w:widowControl/>
              <w:spacing w:line="400" w:lineRule="exact"/>
              <w:jc w:val="left"/>
              <w:rPr>
                <w:rFonts w:hint="eastAsia" w:ascii="宋体" w:hAnsi="宋体" w:eastAsia="宋体" w:cs="宋体"/>
                <w:b/>
                <w:bCs/>
                <w:kern w:val="0"/>
                <w:szCs w:val="21"/>
                <w:highlight w:val="none"/>
              </w:rPr>
            </w:pPr>
          </w:p>
        </w:tc>
        <w:tc>
          <w:tcPr>
            <w:tcW w:w="869" w:type="dxa"/>
            <w:vMerge w:val="restart"/>
            <w:vAlign w:val="center"/>
          </w:tcPr>
          <w:p w14:paraId="10E2A6F1">
            <w:pPr>
              <w:widowControl/>
              <w:spacing w:line="40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有传输效率考核服务</w:t>
            </w:r>
          </w:p>
        </w:tc>
        <w:tc>
          <w:tcPr>
            <w:tcW w:w="7399" w:type="dxa"/>
            <w:vAlign w:val="center"/>
          </w:tcPr>
          <w:p w14:paraId="2805C3A2">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响应完成省厅、各市州相关部门的数据查询统计分析工作需求。</w:t>
            </w:r>
          </w:p>
        </w:tc>
      </w:tr>
      <w:tr w14:paraId="02638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51" w:type="dxa"/>
            <w:vMerge w:val="continue"/>
            <w:vAlign w:val="center"/>
          </w:tcPr>
          <w:p w14:paraId="48503875">
            <w:pPr>
              <w:widowControl/>
              <w:spacing w:line="400" w:lineRule="exact"/>
              <w:jc w:val="left"/>
              <w:rPr>
                <w:rFonts w:hint="eastAsia" w:ascii="宋体" w:hAnsi="宋体" w:eastAsia="宋体" w:cs="宋体"/>
                <w:b/>
                <w:bCs/>
                <w:kern w:val="0"/>
                <w:szCs w:val="21"/>
                <w:highlight w:val="none"/>
              </w:rPr>
            </w:pPr>
          </w:p>
        </w:tc>
        <w:tc>
          <w:tcPr>
            <w:tcW w:w="869" w:type="dxa"/>
            <w:vMerge w:val="continue"/>
            <w:vAlign w:val="center"/>
          </w:tcPr>
          <w:p w14:paraId="211221C2">
            <w:pPr>
              <w:widowControl/>
              <w:spacing w:line="400" w:lineRule="exact"/>
              <w:jc w:val="left"/>
              <w:rPr>
                <w:rFonts w:hint="eastAsia" w:ascii="宋体" w:hAnsi="宋体" w:eastAsia="宋体" w:cs="宋体"/>
                <w:kern w:val="0"/>
                <w:szCs w:val="21"/>
                <w:highlight w:val="none"/>
              </w:rPr>
            </w:pPr>
          </w:p>
        </w:tc>
        <w:tc>
          <w:tcPr>
            <w:tcW w:w="7399" w:type="dxa"/>
            <w:vAlign w:val="center"/>
          </w:tcPr>
          <w:p w14:paraId="3B528ED4">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针对数据有效传输率情况分析，于每月向省厅采购人、各市州提交上月度分析报告，内容包括数据传输及有效情况分析和统计、督办运转情况分析等。</w:t>
            </w:r>
          </w:p>
        </w:tc>
      </w:tr>
      <w:tr w14:paraId="0F0F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651" w:type="dxa"/>
            <w:vMerge w:val="continue"/>
            <w:vAlign w:val="center"/>
          </w:tcPr>
          <w:p w14:paraId="1DCFD771">
            <w:pPr>
              <w:widowControl/>
              <w:spacing w:line="400" w:lineRule="exact"/>
              <w:jc w:val="left"/>
              <w:rPr>
                <w:rFonts w:hint="eastAsia" w:ascii="宋体" w:hAnsi="宋体" w:eastAsia="宋体" w:cs="宋体"/>
                <w:b/>
                <w:bCs/>
                <w:kern w:val="0"/>
                <w:szCs w:val="21"/>
                <w:highlight w:val="none"/>
              </w:rPr>
            </w:pPr>
          </w:p>
        </w:tc>
        <w:tc>
          <w:tcPr>
            <w:tcW w:w="869" w:type="dxa"/>
            <w:vMerge w:val="continue"/>
            <w:vAlign w:val="center"/>
          </w:tcPr>
          <w:p w14:paraId="4D699949">
            <w:pPr>
              <w:widowControl/>
              <w:spacing w:line="400" w:lineRule="exact"/>
              <w:jc w:val="left"/>
              <w:rPr>
                <w:rFonts w:hint="eastAsia" w:ascii="宋体" w:hAnsi="宋体" w:eastAsia="宋体" w:cs="宋体"/>
                <w:kern w:val="0"/>
                <w:szCs w:val="21"/>
                <w:highlight w:val="none"/>
              </w:rPr>
            </w:pPr>
          </w:p>
        </w:tc>
        <w:tc>
          <w:tcPr>
            <w:tcW w:w="7399" w:type="dxa"/>
            <w:vAlign w:val="center"/>
          </w:tcPr>
          <w:p w14:paraId="37828E65">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提供保障数据有效传输率服务，保障我省数据有效传输考核指标，维护期内的考核年度指标根据管理要求进行协定。</w:t>
            </w:r>
          </w:p>
        </w:tc>
      </w:tr>
      <w:tr w14:paraId="063F3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651" w:type="dxa"/>
            <w:vMerge w:val="continue"/>
            <w:vAlign w:val="center"/>
          </w:tcPr>
          <w:p w14:paraId="3216FDD9">
            <w:pPr>
              <w:widowControl/>
              <w:spacing w:line="400" w:lineRule="exact"/>
              <w:jc w:val="left"/>
              <w:rPr>
                <w:rFonts w:hint="eastAsia" w:ascii="宋体" w:hAnsi="宋体" w:eastAsia="宋体" w:cs="宋体"/>
                <w:b/>
                <w:bCs/>
                <w:kern w:val="0"/>
                <w:szCs w:val="21"/>
                <w:highlight w:val="none"/>
              </w:rPr>
            </w:pPr>
          </w:p>
        </w:tc>
        <w:tc>
          <w:tcPr>
            <w:tcW w:w="869" w:type="dxa"/>
            <w:vMerge w:val="continue"/>
            <w:vAlign w:val="center"/>
          </w:tcPr>
          <w:p w14:paraId="34406898">
            <w:pPr>
              <w:widowControl/>
              <w:spacing w:line="400" w:lineRule="exact"/>
              <w:jc w:val="left"/>
              <w:rPr>
                <w:rFonts w:hint="eastAsia" w:ascii="宋体" w:hAnsi="宋体" w:eastAsia="宋体" w:cs="宋体"/>
                <w:kern w:val="0"/>
                <w:szCs w:val="21"/>
                <w:highlight w:val="none"/>
              </w:rPr>
            </w:pPr>
          </w:p>
        </w:tc>
        <w:tc>
          <w:tcPr>
            <w:tcW w:w="7399" w:type="dxa"/>
            <w:vAlign w:val="center"/>
          </w:tcPr>
          <w:p w14:paraId="37A45A26">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定期对数据有效率、传输情况及有效传输情况进行分析，提交分类汇总报表，包括数据规则排查、传输情况分析、数据汇总情况、数据交换及传输情况等内容，并提出有效的工作建议。</w:t>
            </w:r>
          </w:p>
        </w:tc>
      </w:tr>
      <w:tr w14:paraId="403E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51" w:type="dxa"/>
            <w:vMerge w:val="continue"/>
            <w:vAlign w:val="center"/>
          </w:tcPr>
          <w:p w14:paraId="739F00DA">
            <w:pPr>
              <w:widowControl/>
              <w:spacing w:line="400" w:lineRule="exact"/>
              <w:jc w:val="left"/>
              <w:rPr>
                <w:rFonts w:hint="eastAsia" w:ascii="宋体" w:hAnsi="宋体" w:eastAsia="宋体" w:cs="宋体"/>
                <w:b/>
                <w:bCs/>
                <w:kern w:val="0"/>
                <w:szCs w:val="21"/>
                <w:highlight w:val="none"/>
              </w:rPr>
            </w:pPr>
          </w:p>
        </w:tc>
        <w:tc>
          <w:tcPr>
            <w:tcW w:w="869" w:type="dxa"/>
            <w:vMerge w:val="restart"/>
            <w:vAlign w:val="center"/>
          </w:tcPr>
          <w:p w14:paraId="5DA3C26E">
            <w:pPr>
              <w:widowControl/>
              <w:spacing w:line="40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应急处理维护服务</w:t>
            </w:r>
          </w:p>
        </w:tc>
        <w:tc>
          <w:tcPr>
            <w:tcW w:w="7399" w:type="dxa"/>
            <w:vAlign w:val="center"/>
          </w:tcPr>
          <w:p w14:paraId="6A3A2294">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制定健全的应用处理维护服务机制，在进行省级监控业务时，如遇到病毒爆发、网络故障、操作系统故障等方面的问题时，能够按照应急响应要求为用户提供技术支撑。</w:t>
            </w:r>
          </w:p>
        </w:tc>
      </w:tr>
      <w:tr w14:paraId="4E611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651" w:type="dxa"/>
            <w:vMerge w:val="continue"/>
            <w:vAlign w:val="center"/>
          </w:tcPr>
          <w:p w14:paraId="4EA665E2">
            <w:pPr>
              <w:widowControl/>
              <w:spacing w:line="400" w:lineRule="exact"/>
              <w:jc w:val="left"/>
              <w:rPr>
                <w:rFonts w:hint="eastAsia" w:ascii="宋体" w:hAnsi="宋体" w:eastAsia="宋体" w:cs="宋体"/>
                <w:b/>
                <w:bCs/>
                <w:kern w:val="0"/>
                <w:szCs w:val="21"/>
                <w:highlight w:val="none"/>
              </w:rPr>
            </w:pPr>
          </w:p>
        </w:tc>
        <w:tc>
          <w:tcPr>
            <w:tcW w:w="869" w:type="dxa"/>
            <w:vMerge w:val="continue"/>
            <w:vAlign w:val="center"/>
          </w:tcPr>
          <w:p w14:paraId="2F6A71BF">
            <w:pPr>
              <w:widowControl/>
              <w:spacing w:line="400" w:lineRule="exact"/>
              <w:jc w:val="left"/>
              <w:rPr>
                <w:rFonts w:hint="eastAsia" w:ascii="宋体" w:hAnsi="宋体" w:eastAsia="宋体" w:cs="宋体"/>
                <w:kern w:val="0"/>
                <w:szCs w:val="21"/>
                <w:highlight w:val="none"/>
              </w:rPr>
            </w:pPr>
          </w:p>
        </w:tc>
        <w:tc>
          <w:tcPr>
            <w:tcW w:w="7399" w:type="dxa"/>
            <w:vAlign w:val="center"/>
          </w:tcPr>
          <w:p w14:paraId="65690A7E">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技术服务人员接到用户技术支持要求时，将通过QQ、微信等实时沟通软件为系统使用者提供软件使用帮助和咨询，为重点污染源自动监控系统的稳定运行提供必要的技术支持。</w:t>
            </w:r>
          </w:p>
        </w:tc>
      </w:tr>
      <w:tr w14:paraId="4C2C9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651" w:type="dxa"/>
            <w:vMerge w:val="continue"/>
            <w:vAlign w:val="center"/>
          </w:tcPr>
          <w:p w14:paraId="68BE6CA3">
            <w:pPr>
              <w:widowControl/>
              <w:spacing w:line="400" w:lineRule="exact"/>
              <w:jc w:val="left"/>
              <w:rPr>
                <w:rFonts w:hint="eastAsia" w:ascii="宋体" w:hAnsi="宋体" w:eastAsia="宋体" w:cs="宋体"/>
                <w:b/>
                <w:bCs/>
                <w:kern w:val="0"/>
                <w:szCs w:val="21"/>
                <w:highlight w:val="none"/>
              </w:rPr>
            </w:pPr>
          </w:p>
        </w:tc>
        <w:tc>
          <w:tcPr>
            <w:tcW w:w="869" w:type="dxa"/>
            <w:vMerge w:val="continue"/>
            <w:vAlign w:val="center"/>
          </w:tcPr>
          <w:p w14:paraId="1AE8B138">
            <w:pPr>
              <w:widowControl/>
              <w:spacing w:line="400" w:lineRule="exact"/>
              <w:jc w:val="left"/>
              <w:rPr>
                <w:rFonts w:hint="eastAsia" w:ascii="宋体" w:hAnsi="宋体" w:eastAsia="宋体" w:cs="宋体"/>
                <w:kern w:val="0"/>
                <w:szCs w:val="21"/>
                <w:highlight w:val="none"/>
              </w:rPr>
            </w:pPr>
          </w:p>
        </w:tc>
        <w:tc>
          <w:tcPr>
            <w:tcW w:w="7399" w:type="dxa"/>
            <w:vAlign w:val="center"/>
          </w:tcPr>
          <w:p w14:paraId="39E0A37A">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服务团队将通过直拨热线电话、E-mail、传真等途径，随时解答用户提出的各种技术问题，并在服务承诺时间内解决问题。</w:t>
            </w:r>
          </w:p>
        </w:tc>
      </w:tr>
      <w:tr w14:paraId="0413D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651" w:type="dxa"/>
            <w:vMerge w:val="continue"/>
            <w:vAlign w:val="center"/>
          </w:tcPr>
          <w:p w14:paraId="4153583A">
            <w:pPr>
              <w:widowControl/>
              <w:spacing w:line="400" w:lineRule="exact"/>
              <w:jc w:val="left"/>
              <w:rPr>
                <w:rFonts w:hint="eastAsia" w:ascii="宋体" w:hAnsi="宋体" w:eastAsia="宋体" w:cs="宋体"/>
                <w:b/>
                <w:bCs/>
                <w:kern w:val="0"/>
                <w:szCs w:val="21"/>
                <w:highlight w:val="none"/>
              </w:rPr>
            </w:pPr>
          </w:p>
        </w:tc>
        <w:tc>
          <w:tcPr>
            <w:tcW w:w="869" w:type="dxa"/>
            <w:vMerge w:val="continue"/>
            <w:vAlign w:val="center"/>
          </w:tcPr>
          <w:p w14:paraId="107F0979">
            <w:pPr>
              <w:widowControl/>
              <w:spacing w:line="400" w:lineRule="exact"/>
              <w:jc w:val="left"/>
              <w:rPr>
                <w:rFonts w:hint="eastAsia" w:ascii="宋体" w:hAnsi="宋体" w:eastAsia="宋体" w:cs="宋体"/>
                <w:kern w:val="0"/>
                <w:szCs w:val="21"/>
                <w:highlight w:val="none"/>
              </w:rPr>
            </w:pPr>
          </w:p>
        </w:tc>
        <w:tc>
          <w:tcPr>
            <w:tcW w:w="7399" w:type="dxa"/>
            <w:vAlign w:val="center"/>
          </w:tcPr>
          <w:p w14:paraId="469D4F2B">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在电话和计算机远程维护不能解决的情况下，技术服务人员将在8小时内到达现场，并在24小时内解决问题。在系统软件短时间无法恢复的情况下，提供应急服务。</w:t>
            </w:r>
          </w:p>
        </w:tc>
      </w:tr>
      <w:tr w14:paraId="1D71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651" w:type="dxa"/>
            <w:vMerge w:val="continue"/>
            <w:vAlign w:val="center"/>
          </w:tcPr>
          <w:p w14:paraId="114D3BED">
            <w:pPr>
              <w:widowControl/>
              <w:spacing w:line="400" w:lineRule="exact"/>
              <w:jc w:val="left"/>
              <w:rPr>
                <w:rFonts w:hint="eastAsia" w:ascii="宋体" w:hAnsi="宋体" w:eastAsia="宋体" w:cs="宋体"/>
                <w:b/>
                <w:bCs/>
                <w:kern w:val="0"/>
                <w:szCs w:val="21"/>
                <w:highlight w:val="none"/>
              </w:rPr>
            </w:pPr>
          </w:p>
        </w:tc>
        <w:tc>
          <w:tcPr>
            <w:tcW w:w="869" w:type="dxa"/>
            <w:vMerge w:val="continue"/>
            <w:vAlign w:val="center"/>
          </w:tcPr>
          <w:p w14:paraId="59E9F876">
            <w:pPr>
              <w:widowControl/>
              <w:spacing w:line="400" w:lineRule="exact"/>
              <w:jc w:val="left"/>
              <w:rPr>
                <w:rFonts w:hint="eastAsia" w:ascii="宋体" w:hAnsi="宋体" w:eastAsia="宋体" w:cs="宋体"/>
                <w:kern w:val="0"/>
                <w:szCs w:val="21"/>
                <w:highlight w:val="none"/>
              </w:rPr>
            </w:pPr>
          </w:p>
        </w:tc>
        <w:tc>
          <w:tcPr>
            <w:tcW w:w="7399" w:type="dxa"/>
            <w:vAlign w:val="center"/>
          </w:tcPr>
          <w:p w14:paraId="39D7F4C7">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技术服务团队应建立问题跟踪系统，记录用户提出的问题和解决方案。</w:t>
            </w:r>
          </w:p>
        </w:tc>
      </w:tr>
      <w:tr w14:paraId="07382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651" w:type="dxa"/>
            <w:vMerge w:val="continue"/>
            <w:vAlign w:val="center"/>
          </w:tcPr>
          <w:p w14:paraId="4B6AD424">
            <w:pPr>
              <w:widowControl/>
              <w:spacing w:line="400" w:lineRule="exact"/>
              <w:jc w:val="left"/>
              <w:rPr>
                <w:rFonts w:hint="eastAsia" w:ascii="宋体" w:hAnsi="宋体" w:eastAsia="宋体" w:cs="宋体"/>
                <w:b/>
                <w:bCs/>
                <w:kern w:val="0"/>
                <w:szCs w:val="21"/>
                <w:highlight w:val="none"/>
              </w:rPr>
            </w:pPr>
          </w:p>
        </w:tc>
        <w:tc>
          <w:tcPr>
            <w:tcW w:w="869" w:type="dxa"/>
            <w:vMerge w:val="restart"/>
            <w:vAlign w:val="center"/>
          </w:tcPr>
          <w:p w14:paraId="0BCDBCB8">
            <w:pPr>
              <w:widowControl/>
              <w:spacing w:line="40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补丁</w:t>
            </w:r>
          </w:p>
          <w:p w14:paraId="739FD8A7">
            <w:pPr>
              <w:widowControl/>
              <w:spacing w:line="40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升级</w:t>
            </w:r>
          </w:p>
        </w:tc>
        <w:tc>
          <w:tcPr>
            <w:tcW w:w="7399" w:type="dxa"/>
            <w:vAlign w:val="center"/>
          </w:tcPr>
          <w:p w14:paraId="4338BA3A">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确保原湖南省厅自动监控平台深化开发功能与国发最新自动监控平台软件版本保持一致。</w:t>
            </w:r>
          </w:p>
        </w:tc>
      </w:tr>
      <w:tr w14:paraId="111E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651" w:type="dxa"/>
            <w:vMerge w:val="continue"/>
            <w:vAlign w:val="center"/>
          </w:tcPr>
          <w:p w14:paraId="4958098E">
            <w:pPr>
              <w:widowControl/>
              <w:spacing w:line="400" w:lineRule="exact"/>
              <w:jc w:val="left"/>
              <w:rPr>
                <w:rFonts w:hint="eastAsia" w:ascii="宋体" w:hAnsi="宋体" w:eastAsia="宋体" w:cs="宋体"/>
                <w:b/>
                <w:bCs/>
                <w:kern w:val="0"/>
                <w:szCs w:val="21"/>
                <w:highlight w:val="none"/>
              </w:rPr>
            </w:pPr>
          </w:p>
        </w:tc>
        <w:tc>
          <w:tcPr>
            <w:tcW w:w="869" w:type="dxa"/>
            <w:vMerge w:val="continue"/>
            <w:vAlign w:val="center"/>
          </w:tcPr>
          <w:p w14:paraId="3A680954">
            <w:pPr>
              <w:widowControl/>
              <w:spacing w:line="400" w:lineRule="exact"/>
              <w:jc w:val="center"/>
              <w:rPr>
                <w:rFonts w:hint="eastAsia" w:ascii="宋体" w:hAnsi="宋体" w:eastAsia="宋体" w:cs="宋体"/>
                <w:kern w:val="0"/>
                <w:szCs w:val="21"/>
                <w:highlight w:val="none"/>
              </w:rPr>
            </w:pPr>
          </w:p>
        </w:tc>
        <w:tc>
          <w:tcPr>
            <w:tcW w:w="7399" w:type="dxa"/>
            <w:vAlign w:val="center"/>
          </w:tcPr>
          <w:p w14:paraId="56D704A4">
            <w:pPr>
              <w:widowControl/>
              <w:spacing w:line="400" w:lineRule="exact"/>
              <w:rPr>
                <w:rFonts w:hint="eastAsia" w:ascii="宋体" w:hAnsi="宋体" w:eastAsia="宋体" w:cs="宋体"/>
                <w:kern w:val="0"/>
                <w:szCs w:val="21"/>
                <w:highlight w:val="none"/>
              </w:rPr>
            </w:pPr>
            <w:r>
              <w:rPr>
                <w:rFonts w:hint="eastAsia" w:ascii="宋体" w:hAnsi="宋体" w:eastAsia="宋体" w:cs="宋体"/>
                <w:szCs w:val="21"/>
                <w:highlight w:val="none"/>
              </w:rPr>
              <w:t>按照省生态环境厅要求，对督办系统进行业务流程优化，在三大行业督办基础上扩充其他行业电子督办，将湖南省重点排污单位全面纳入监管，并遵循事前预警、事中调度、事后督办的工作机制，对其他行业企业的数据报送情况、数据超标情况、数据异常情况进行督办，将所有问题处理环节前置，提前介入、提前处置，达到提升精准预警、全程跟踪、及时反馈的管理目的。</w:t>
            </w:r>
          </w:p>
        </w:tc>
      </w:tr>
      <w:tr w14:paraId="3728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51" w:type="dxa"/>
            <w:vMerge w:val="continue"/>
            <w:vAlign w:val="center"/>
          </w:tcPr>
          <w:p w14:paraId="0341A70B">
            <w:pPr>
              <w:widowControl/>
              <w:spacing w:line="400" w:lineRule="exact"/>
              <w:jc w:val="left"/>
              <w:rPr>
                <w:rFonts w:hint="eastAsia" w:ascii="宋体" w:hAnsi="宋体" w:eastAsia="宋体" w:cs="宋体"/>
                <w:b/>
                <w:bCs/>
                <w:kern w:val="0"/>
                <w:szCs w:val="21"/>
                <w:highlight w:val="none"/>
              </w:rPr>
            </w:pPr>
          </w:p>
        </w:tc>
        <w:tc>
          <w:tcPr>
            <w:tcW w:w="869" w:type="dxa"/>
            <w:vAlign w:val="center"/>
          </w:tcPr>
          <w:p w14:paraId="273056A2">
            <w:pPr>
              <w:widowControl/>
              <w:spacing w:line="40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培训</w:t>
            </w:r>
          </w:p>
          <w:p w14:paraId="6994CC58">
            <w:pPr>
              <w:widowControl/>
              <w:spacing w:line="40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服务</w:t>
            </w:r>
          </w:p>
        </w:tc>
        <w:tc>
          <w:tcPr>
            <w:tcW w:w="7399" w:type="dxa"/>
            <w:vAlign w:val="center"/>
          </w:tcPr>
          <w:p w14:paraId="13B242A7">
            <w:pPr>
              <w:widowControl/>
              <w:spacing w:line="4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主要内容包括对全省软件使用单位进行软件操作培训，可根据需要进行全省集中培训。并能够在软件更新时间节点，提供新的培训文档供现场用户使用，并收集用户问题，及时对问题进行修复。</w:t>
            </w:r>
          </w:p>
        </w:tc>
      </w:tr>
      <w:tr w14:paraId="51A768A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00" w:hRule="atLeast"/>
          <w:jc w:val="center"/>
        </w:trPr>
        <w:tc>
          <w:tcPr>
            <w:tcW w:w="651" w:type="dxa"/>
            <w:vMerge w:val="restart"/>
            <w:tcBorders>
              <w:top w:val="single" w:color="auto" w:sz="4" w:space="0"/>
              <w:left w:val="single" w:color="auto" w:sz="4" w:space="0"/>
              <w:right w:val="single" w:color="auto" w:sz="4" w:space="0"/>
            </w:tcBorders>
            <w:noWrap/>
            <w:vAlign w:val="center"/>
          </w:tcPr>
          <w:p w14:paraId="0B0C1A04">
            <w:pPr>
              <w:widowControl/>
              <w:jc w:val="center"/>
              <w:rPr>
                <w:rFonts w:hint="eastAsia" w:ascii="宋体" w:hAnsi="宋体" w:eastAsia="宋体" w:cs="宋体"/>
                <w:color w:val="000000"/>
                <w:kern w:val="0"/>
                <w:szCs w:val="21"/>
                <w:highlight w:val="none"/>
              </w:rPr>
            </w:pPr>
          </w:p>
        </w:tc>
        <w:tc>
          <w:tcPr>
            <w:tcW w:w="869" w:type="dxa"/>
            <w:vMerge w:val="restart"/>
            <w:tcBorders>
              <w:top w:val="single" w:color="auto" w:sz="4" w:space="0"/>
              <w:left w:val="single" w:color="auto" w:sz="4" w:space="0"/>
              <w:right w:val="single" w:color="auto" w:sz="4" w:space="0"/>
            </w:tcBorders>
            <w:noWrap/>
            <w:vAlign w:val="center"/>
          </w:tcPr>
          <w:p w14:paraId="25A40EC7">
            <w:pPr>
              <w:widowControl/>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lang w:eastAsia="zh-CN"/>
              </w:rPr>
              <w:t>数据公开</w:t>
            </w:r>
            <w:r>
              <w:rPr>
                <w:rFonts w:hint="eastAsia" w:ascii="宋体" w:hAnsi="宋体" w:eastAsia="宋体" w:cs="宋体"/>
                <w:color w:val="000000"/>
                <w:kern w:val="0"/>
                <w:szCs w:val="21"/>
                <w:highlight w:val="none"/>
              </w:rPr>
              <w:t>日常工作</w:t>
            </w:r>
            <w:r>
              <w:rPr>
                <w:rFonts w:hint="eastAsia" w:ascii="宋体" w:hAnsi="宋体" w:eastAsia="宋体" w:cs="宋体"/>
                <w:color w:val="000000"/>
                <w:kern w:val="0"/>
                <w:szCs w:val="21"/>
                <w:highlight w:val="none"/>
                <w:lang w:eastAsia="zh-CN"/>
              </w:rPr>
              <w:t>与</w:t>
            </w:r>
            <w:r>
              <w:rPr>
                <w:rFonts w:hint="eastAsia" w:ascii="宋体" w:hAnsi="宋体" w:eastAsia="宋体" w:cs="宋体"/>
                <w:color w:val="000000"/>
                <w:kern w:val="0"/>
                <w:szCs w:val="21"/>
                <w:highlight w:val="none"/>
              </w:rPr>
              <w:t>系统升级</w:t>
            </w:r>
          </w:p>
        </w:tc>
        <w:tc>
          <w:tcPr>
            <w:tcW w:w="7399" w:type="dxa"/>
            <w:tcBorders>
              <w:top w:val="single" w:color="auto" w:sz="4" w:space="0"/>
              <w:left w:val="nil"/>
              <w:bottom w:val="single" w:color="auto" w:sz="4" w:space="0"/>
              <w:right w:val="single" w:color="auto" w:sz="4" w:space="0"/>
            </w:tcBorders>
            <w:vAlign w:val="center"/>
          </w:tcPr>
          <w:p w14:paraId="2BBFD79F">
            <w:pPr>
              <w:widowControl/>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跟踪数据公开平台软、硬件及网络状态，异常及时排查；每周巡查数据公开平台平台软件，每月巡检服务器（含存储、计算资源、网络、程序运行状态），保障数据公开平台数据正常。</w:t>
            </w:r>
          </w:p>
        </w:tc>
      </w:tr>
      <w:tr w14:paraId="119EE2F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jc w:val="center"/>
        </w:trPr>
        <w:tc>
          <w:tcPr>
            <w:tcW w:w="651" w:type="dxa"/>
            <w:vMerge w:val="continue"/>
            <w:tcBorders>
              <w:left w:val="single" w:color="auto" w:sz="4" w:space="0"/>
              <w:right w:val="single" w:color="auto" w:sz="4" w:space="0"/>
            </w:tcBorders>
            <w:vAlign w:val="center"/>
          </w:tcPr>
          <w:p w14:paraId="3699DFB4">
            <w:pPr>
              <w:widowControl/>
              <w:jc w:val="left"/>
              <w:rPr>
                <w:rFonts w:hint="eastAsia" w:ascii="宋体" w:hAnsi="宋体" w:eastAsia="宋体" w:cs="宋体"/>
                <w:color w:val="000000"/>
                <w:kern w:val="0"/>
                <w:szCs w:val="21"/>
                <w:highlight w:val="none"/>
              </w:rPr>
            </w:pPr>
          </w:p>
        </w:tc>
        <w:tc>
          <w:tcPr>
            <w:tcW w:w="869" w:type="dxa"/>
            <w:vMerge w:val="continue"/>
            <w:tcBorders>
              <w:left w:val="single" w:color="auto" w:sz="4" w:space="0"/>
              <w:right w:val="single" w:color="auto" w:sz="4" w:space="0"/>
            </w:tcBorders>
            <w:vAlign w:val="center"/>
          </w:tcPr>
          <w:p w14:paraId="395C7BDE">
            <w:pPr>
              <w:widowControl/>
              <w:jc w:val="left"/>
              <w:rPr>
                <w:rFonts w:hint="eastAsia" w:ascii="宋体" w:hAnsi="宋体" w:eastAsia="宋体" w:cs="宋体"/>
                <w:color w:val="000000"/>
                <w:kern w:val="0"/>
                <w:szCs w:val="21"/>
                <w:highlight w:val="none"/>
              </w:rPr>
            </w:pPr>
          </w:p>
        </w:tc>
        <w:tc>
          <w:tcPr>
            <w:tcW w:w="7399" w:type="dxa"/>
            <w:tcBorders>
              <w:top w:val="nil"/>
              <w:left w:val="nil"/>
              <w:bottom w:val="single" w:color="auto" w:sz="4" w:space="0"/>
              <w:right w:val="single" w:color="auto" w:sz="4" w:space="0"/>
            </w:tcBorders>
            <w:vAlign w:val="center"/>
          </w:tcPr>
          <w:p w14:paraId="4127CC0E">
            <w:pPr>
              <w:widowControl/>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做好数据公开平台数据清洗工作，监控数据公开平台数据更新任务，确保数据定时更新。</w:t>
            </w:r>
          </w:p>
        </w:tc>
      </w:tr>
      <w:tr w14:paraId="32D1C89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jc w:val="center"/>
        </w:trPr>
        <w:tc>
          <w:tcPr>
            <w:tcW w:w="651" w:type="dxa"/>
            <w:vMerge w:val="continue"/>
            <w:tcBorders>
              <w:left w:val="single" w:color="auto" w:sz="4" w:space="0"/>
              <w:right w:val="single" w:color="auto" w:sz="4" w:space="0"/>
            </w:tcBorders>
            <w:vAlign w:val="center"/>
          </w:tcPr>
          <w:p w14:paraId="32F225E1">
            <w:pPr>
              <w:widowControl/>
              <w:jc w:val="left"/>
              <w:rPr>
                <w:rFonts w:hint="eastAsia" w:ascii="宋体" w:hAnsi="宋体" w:eastAsia="宋体" w:cs="宋体"/>
                <w:color w:val="000000"/>
                <w:kern w:val="0"/>
                <w:szCs w:val="21"/>
                <w:highlight w:val="none"/>
              </w:rPr>
            </w:pPr>
          </w:p>
        </w:tc>
        <w:tc>
          <w:tcPr>
            <w:tcW w:w="869" w:type="dxa"/>
            <w:vMerge w:val="continue"/>
            <w:tcBorders>
              <w:left w:val="single" w:color="auto" w:sz="4" w:space="0"/>
              <w:right w:val="single" w:color="auto" w:sz="4" w:space="0"/>
            </w:tcBorders>
            <w:vAlign w:val="center"/>
          </w:tcPr>
          <w:p w14:paraId="793CD984">
            <w:pPr>
              <w:widowControl/>
              <w:jc w:val="left"/>
              <w:rPr>
                <w:rFonts w:hint="eastAsia" w:ascii="宋体" w:hAnsi="宋体" w:eastAsia="宋体" w:cs="宋体"/>
                <w:color w:val="000000"/>
                <w:kern w:val="0"/>
                <w:szCs w:val="21"/>
                <w:highlight w:val="none"/>
              </w:rPr>
            </w:pPr>
          </w:p>
        </w:tc>
        <w:tc>
          <w:tcPr>
            <w:tcW w:w="7399" w:type="dxa"/>
            <w:tcBorders>
              <w:top w:val="nil"/>
              <w:left w:val="nil"/>
              <w:bottom w:val="single" w:color="auto" w:sz="4" w:space="0"/>
              <w:right w:val="single" w:color="auto" w:sz="4" w:space="0"/>
            </w:tcBorders>
            <w:vAlign w:val="center"/>
          </w:tcPr>
          <w:p w14:paraId="14B69255">
            <w:pPr>
              <w:widowControl/>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配合完成公开信息的更新，公开企业名单、公开监控点、公开污染物的数据调整。</w:t>
            </w:r>
          </w:p>
        </w:tc>
      </w:tr>
      <w:tr w14:paraId="1897C18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jc w:val="center"/>
        </w:trPr>
        <w:tc>
          <w:tcPr>
            <w:tcW w:w="651" w:type="dxa"/>
            <w:vMerge w:val="continue"/>
            <w:tcBorders>
              <w:left w:val="single" w:color="auto" w:sz="4" w:space="0"/>
              <w:right w:val="single" w:color="auto" w:sz="4" w:space="0"/>
            </w:tcBorders>
            <w:vAlign w:val="center"/>
          </w:tcPr>
          <w:p w14:paraId="71040B74">
            <w:pPr>
              <w:widowControl/>
              <w:jc w:val="left"/>
              <w:rPr>
                <w:rFonts w:hint="eastAsia" w:ascii="宋体" w:hAnsi="宋体" w:eastAsia="宋体" w:cs="宋体"/>
                <w:color w:val="000000"/>
                <w:kern w:val="0"/>
                <w:szCs w:val="21"/>
                <w:highlight w:val="none"/>
              </w:rPr>
            </w:pPr>
          </w:p>
        </w:tc>
        <w:tc>
          <w:tcPr>
            <w:tcW w:w="869" w:type="dxa"/>
            <w:vMerge w:val="continue"/>
            <w:tcBorders>
              <w:left w:val="single" w:color="auto" w:sz="4" w:space="0"/>
              <w:right w:val="single" w:color="auto" w:sz="4" w:space="0"/>
            </w:tcBorders>
            <w:vAlign w:val="center"/>
          </w:tcPr>
          <w:p w14:paraId="75F51DF1">
            <w:pPr>
              <w:widowControl/>
              <w:jc w:val="left"/>
              <w:rPr>
                <w:rFonts w:hint="eastAsia" w:ascii="宋体" w:hAnsi="宋体" w:eastAsia="宋体" w:cs="宋体"/>
                <w:color w:val="000000"/>
                <w:kern w:val="0"/>
                <w:szCs w:val="21"/>
                <w:highlight w:val="none"/>
              </w:rPr>
            </w:pPr>
          </w:p>
        </w:tc>
        <w:tc>
          <w:tcPr>
            <w:tcW w:w="7399" w:type="dxa"/>
            <w:tcBorders>
              <w:top w:val="nil"/>
              <w:left w:val="nil"/>
              <w:bottom w:val="single" w:color="auto" w:sz="4" w:space="0"/>
              <w:right w:val="single" w:color="auto" w:sz="4" w:space="0"/>
            </w:tcBorders>
            <w:vAlign w:val="center"/>
          </w:tcPr>
          <w:p w14:paraId="0892241F">
            <w:pPr>
              <w:widowControl/>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依据省厅要求，配合完成公开数据的发布工作。</w:t>
            </w:r>
          </w:p>
        </w:tc>
      </w:tr>
      <w:tr w14:paraId="4B1156E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jc w:val="center"/>
        </w:trPr>
        <w:tc>
          <w:tcPr>
            <w:tcW w:w="651" w:type="dxa"/>
            <w:vMerge w:val="continue"/>
            <w:tcBorders>
              <w:left w:val="single" w:color="auto" w:sz="4" w:space="0"/>
              <w:right w:val="single" w:color="auto" w:sz="4" w:space="0"/>
            </w:tcBorders>
            <w:vAlign w:val="center"/>
          </w:tcPr>
          <w:p w14:paraId="459B3589">
            <w:pPr>
              <w:widowControl/>
              <w:jc w:val="left"/>
              <w:rPr>
                <w:rFonts w:hint="eastAsia" w:ascii="宋体" w:hAnsi="宋体" w:eastAsia="宋体" w:cs="宋体"/>
                <w:color w:val="000000"/>
                <w:kern w:val="0"/>
                <w:szCs w:val="21"/>
                <w:highlight w:val="none"/>
              </w:rPr>
            </w:pPr>
          </w:p>
        </w:tc>
        <w:tc>
          <w:tcPr>
            <w:tcW w:w="869" w:type="dxa"/>
            <w:vMerge w:val="continue"/>
            <w:tcBorders>
              <w:left w:val="single" w:color="auto" w:sz="4" w:space="0"/>
              <w:right w:val="single" w:color="auto" w:sz="4" w:space="0"/>
            </w:tcBorders>
            <w:vAlign w:val="center"/>
          </w:tcPr>
          <w:p w14:paraId="5F5A464C">
            <w:pPr>
              <w:widowControl/>
              <w:jc w:val="left"/>
              <w:rPr>
                <w:rFonts w:hint="eastAsia" w:ascii="宋体" w:hAnsi="宋体" w:eastAsia="宋体" w:cs="宋体"/>
                <w:color w:val="000000"/>
                <w:kern w:val="0"/>
                <w:szCs w:val="21"/>
                <w:highlight w:val="none"/>
              </w:rPr>
            </w:pPr>
          </w:p>
        </w:tc>
        <w:tc>
          <w:tcPr>
            <w:tcW w:w="7399" w:type="dxa"/>
            <w:tcBorders>
              <w:top w:val="nil"/>
              <w:left w:val="nil"/>
              <w:bottom w:val="single" w:color="auto" w:sz="4" w:space="0"/>
              <w:right w:val="single" w:color="auto" w:sz="4" w:space="0"/>
            </w:tcBorders>
            <w:vAlign w:val="center"/>
          </w:tcPr>
          <w:p w14:paraId="5A5036B9">
            <w:pPr>
              <w:widowControl/>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分析系统性能瓶颈，提出性能优化与安全建议并落实，总结形成技术文档。</w:t>
            </w:r>
          </w:p>
        </w:tc>
      </w:tr>
      <w:tr w14:paraId="5EE443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jc w:val="center"/>
        </w:trPr>
        <w:tc>
          <w:tcPr>
            <w:tcW w:w="651" w:type="dxa"/>
            <w:vMerge w:val="continue"/>
            <w:tcBorders>
              <w:left w:val="single" w:color="auto" w:sz="4" w:space="0"/>
              <w:right w:val="single" w:color="auto" w:sz="4" w:space="0"/>
            </w:tcBorders>
            <w:vAlign w:val="center"/>
          </w:tcPr>
          <w:p w14:paraId="189254E7">
            <w:pPr>
              <w:widowControl/>
              <w:jc w:val="left"/>
              <w:rPr>
                <w:rFonts w:hint="eastAsia" w:ascii="宋体" w:hAnsi="宋体" w:eastAsia="宋体" w:cs="宋体"/>
                <w:color w:val="000000"/>
                <w:kern w:val="0"/>
                <w:szCs w:val="21"/>
                <w:highlight w:val="none"/>
              </w:rPr>
            </w:pPr>
          </w:p>
        </w:tc>
        <w:tc>
          <w:tcPr>
            <w:tcW w:w="869" w:type="dxa"/>
            <w:vMerge w:val="continue"/>
            <w:tcBorders>
              <w:left w:val="single" w:color="auto" w:sz="4" w:space="0"/>
              <w:right w:val="single" w:color="auto" w:sz="4" w:space="0"/>
            </w:tcBorders>
            <w:vAlign w:val="center"/>
          </w:tcPr>
          <w:p w14:paraId="24AF7704">
            <w:pPr>
              <w:widowControl/>
              <w:jc w:val="left"/>
              <w:rPr>
                <w:rFonts w:hint="eastAsia" w:ascii="宋体" w:hAnsi="宋体" w:eastAsia="宋体" w:cs="宋体"/>
                <w:color w:val="000000"/>
                <w:kern w:val="0"/>
                <w:szCs w:val="21"/>
                <w:highlight w:val="none"/>
              </w:rPr>
            </w:pPr>
          </w:p>
        </w:tc>
        <w:tc>
          <w:tcPr>
            <w:tcW w:w="7399" w:type="dxa"/>
            <w:tcBorders>
              <w:top w:val="nil"/>
              <w:left w:val="nil"/>
              <w:bottom w:val="single" w:color="auto" w:sz="4" w:space="0"/>
              <w:right w:val="single" w:color="auto" w:sz="4" w:space="0"/>
            </w:tcBorders>
            <w:vAlign w:val="center"/>
          </w:tcPr>
          <w:p w14:paraId="21F20223">
            <w:pPr>
              <w:widowControl/>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提供日常咨询服务（数据展示内容解答、数据公开规则解答、平台使用答疑）。</w:t>
            </w:r>
          </w:p>
        </w:tc>
      </w:tr>
      <w:tr w14:paraId="454D826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jc w:val="center"/>
        </w:trPr>
        <w:tc>
          <w:tcPr>
            <w:tcW w:w="651" w:type="dxa"/>
            <w:vMerge w:val="continue"/>
            <w:tcBorders>
              <w:left w:val="single" w:color="auto" w:sz="4" w:space="0"/>
              <w:right w:val="single" w:color="auto" w:sz="4" w:space="0"/>
            </w:tcBorders>
            <w:vAlign w:val="center"/>
          </w:tcPr>
          <w:p w14:paraId="41C5E7B4">
            <w:pPr>
              <w:widowControl/>
              <w:jc w:val="left"/>
              <w:rPr>
                <w:rFonts w:hint="eastAsia" w:ascii="宋体" w:hAnsi="宋体" w:eastAsia="宋体" w:cs="宋体"/>
                <w:color w:val="000000"/>
                <w:kern w:val="0"/>
                <w:szCs w:val="21"/>
                <w:highlight w:val="none"/>
              </w:rPr>
            </w:pPr>
          </w:p>
        </w:tc>
        <w:tc>
          <w:tcPr>
            <w:tcW w:w="869" w:type="dxa"/>
            <w:vMerge w:val="continue"/>
            <w:tcBorders>
              <w:left w:val="single" w:color="auto" w:sz="4" w:space="0"/>
              <w:right w:val="single" w:color="auto" w:sz="4" w:space="0"/>
            </w:tcBorders>
            <w:vAlign w:val="center"/>
          </w:tcPr>
          <w:p w14:paraId="26E9F3BA">
            <w:pPr>
              <w:widowControl/>
              <w:jc w:val="left"/>
              <w:rPr>
                <w:rFonts w:hint="eastAsia" w:ascii="宋体" w:hAnsi="宋体" w:eastAsia="宋体" w:cs="宋体"/>
                <w:color w:val="000000"/>
                <w:kern w:val="0"/>
                <w:szCs w:val="21"/>
                <w:highlight w:val="none"/>
              </w:rPr>
            </w:pPr>
          </w:p>
        </w:tc>
        <w:tc>
          <w:tcPr>
            <w:tcW w:w="7399" w:type="dxa"/>
            <w:tcBorders>
              <w:top w:val="nil"/>
              <w:left w:val="nil"/>
              <w:bottom w:val="single" w:color="auto" w:sz="4" w:space="0"/>
              <w:right w:val="single" w:color="auto" w:sz="4" w:space="0"/>
            </w:tcBorders>
            <w:vAlign w:val="center"/>
          </w:tcPr>
          <w:p w14:paraId="09835681">
            <w:pPr>
              <w:widowControl/>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做好平台安全漏洞修复工作，针对发布的漏洞及时更新系统。</w:t>
            </w:r>
          </w:p>
        </w:tc>
      </w:tr>
      <w:tr w14:paraId="14467C0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jc w:val="center"/>
        </w:trPr>
        <w:tc>
          <w:tcPr>
            <w:tcW w:w="651" w:type="dxa"/>
            <w:vMerge w:val="continue"/>
            <w:tcBorders>
              <w:left w:val="single" w:color="auto" w:sz="4" w:space="0"/>
              <w:right w:val="single" w:color="auto" w:sz="4" w:space="0"/>
            </w:tcBorders>
            <w:noWrap/>
            <w:vAlign w:val="center"/>
          </w:tcPr>
          <w:p w14:paraId="00A8A033">
            <w:pPr>
              <w:widowControl/>
              <w:jc w:val="center"/>
              <w:rPr>
                <w:rFonts w:hint="eastAsia" w:ascii="宋体" w:hAnsi="宋体" w:eastAsia="宋体" w:cs="宋体"/>
                <w:color w:val="000000"/>
                <w:kern w:val="0"/>
                <w:szCs w:val="21"/>
                <w:highlight w:val="none"/>
              </w:rPr>
            </w:pPr>
          </w:p>
        </w:tc>
        <w:tc>
          <w:tcPr>
            <w:tcW w:w="869" w:type="dxa"/>
            <w:vMerge w:val="continue"/>
            <w:tcBorders>
              <w:left w:val="single" w:color="auto" w:sz="4" w:space="0"/>
              <w:right w:val="single" w:color="auto" w:sz="4" w:space="0"/>
            </w:tcBorders>
            <w:noWrap/>
            <w:vAlign w:val="center"/>
          </w:tcPr>
          <w:p w14:paraId="0F4A2F34">
            <w:pPr>
              <w:widowControl/>
              <w:jc w:val="center"/>
              <w:rPr>
                <w:rFonts w:hint="eastAsia" w:ascii="宋体" w:hAnsi="宋体" w:eastAsia="宋体" w:cs="宋体"/>
                <w:color w:val="000000"/>
                <w:kern w:val="0"/>
                <w:szCs w:val="21"/>
                <w:highlight w:val="none"/>
              </w:rPr>
            </w:pPr>
          </w:p>
        </w:tc>
        <w:tc>
          <w:tcPr>
            <w:tcW w:w="7399" w:type="dxa"/>
            <w:tcBorders>
              <w:top w:val="nil"/>
              <w:left w:val="nil"/>
              <w:bottom w:val="single" w:color="auto" w:sz="4" w:space="0"/>
              <w:right w:val="single" w:color="auto" w:sz="4" w:space="0"/>
            </w:tcBorders>
            <w:vAlign w:val="center"/>
          </w:tcPr>
          <w:p w14:paraId="46E191C5">
            <w:pPr>
              <w:widowControl/>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提供数据公开展示，包括企业列表展示、基本信息展示、排放信息展示、监测数据查询等内容。</w:t>
            </w:r>
          </w:p>
        </w:tc>
      </w:tr>
      <w:tr w14:paraId="41A0BF3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jc w:val="center"/>
        </w:trPr>
        <w:tc>
          <w:tcPr>
            <w:tcW w:w="651" w:type="dxa"/>
            <w:vMerge w:val="continue"/>
            <w:tcBorders>
              <w:left w:val="single" w:color="auto" w:sz="4" w:space="0"/>
              <w:right w:val="single" w:color="auto" w:sz="4" w:space="0"/>
            </w:tcBorders>
            <w:vAlign w:val="center"/>
          </w:tcPr>
          <w:p w14:paraId="64E418DE">
            <w:pPr>
              <w:widowControl/>
              <w:jc w:val="left"/>
              <w:rPr>
                <w:rFonts w:hint="eastAsia" w:ascii="宋体" w:hAnsi="宋体" w:eastAsia="宋体" w:cs="宋体"/>
                <w:color w:val="000000"/>
                <w:kern w:val="0"/>
                <w:szCs w:val="21"/>
                <w:highlight w:val="none"/>
              </w:rPr>
            </w:pPr>
          </w:p>
        </w:tc>
        <w:tc>
          <w:tcPr>
            <w:tcW w:w="869" w:type="dxa"/>
            <w:vMerge w:val="continue"/>
            <w:tcBorders>
              <w:left w:val="single" w:color="auto" w:sz="4" w:space="0"/>
              <w:right w:val="single" w:color="auto" w:sz="4" w:space="0"/>
            </w:tcBorders>
            <w:vAlign w:val="center"/>
          </w:tcPr>
          <w:p w14:paraId="26387610">
            <w:pPr>
              <w:widowControl/>
              <w:jc w:val="left"/>
              <w:rPr>
                <w:rFonts w:hint="eastAsia" w:ascii="宋体" w:hAnsi="宋体" w:eastAsia="宋体" w:cs="宋体"/>
                <w:color w:val="000000"/>
                <w:kern w:val="0"/>
                <w:szCs w:val="21"/>
                <w:highlight w:val="none"/>
              </w:rPr>
            </w:pPr>
          </w:p>
        </w:tc>
        <w:tc>
          <w:tcPr>
            <w:tcW w:w="7399" w:type="dxa"/>
            <w:tcBorders>
              <w:top w:val="nil"/>
              <w:left w:val="nil"/>
              <w:bottom w:val="single" w:color="auto" w:sz="4" w:space="0"/>
              <w:right w:val="single" w:color="auto" w:sz="4" w:space="0"/>
            </w:tcBorders>
            <w:vAlign w:val="center"/>
          </w:tcPr>
          <w:p w14:paraId="6BF3BDDF">
            <w:pPr>
              <w:widowControl/>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与重点排污单位自动监控与基础数据库系统做好对接，对相关公开数据进行定时抽取、清洗。</w:t>
            </w:r>
          </w:p>
        </w:tc>
      </w:tr>
      <w:tr w14:paraId="18708B7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jc w:val="center"/>
        </w:trPr>
        <w:tc>
          <w:tcPr>
            <w:tcW w:w="651" w:type="dxa"/>
            <w:vMerge w:val="continue"/>
            <w:tcBorders>
              <w:left w:val="single" w:color="auto" w:sz="4" w:space="0"/>
              <w:right w:val="single" w:color="auto" w:sz="4" w:space="0"/>
            </w:tcBorders>
            <w:vAlign w:val="center"/>
          </w:tcPr>
          <w:p w14:paraId="5E68B994">
            <w:pPr>
              <w:widowControl/>
              <w:jc w:val="left"/>
              <w:rPr>
                <w:rFonts w:hint="eastAsia" w:ascii="宋体" w:hAnsi="宋体" w:eastAsia="宋体" w:cs="宋体"/>
                <w:color w:val="000000"/>
                <w:kern w:val="0"/>
                <w:szCs w:val="21"/>
                <w:highlight w:val="none"/>
              </w:rPr>
            </w:pPr>
          </w:p>
        </w:tc>
        <w:tc>
          <w:tcPr>
            <w:tcW w:w="869" w:type="dxa"/>
            <w:vMerge w:val="continue"/>
            <w:tcBorders>
              <w:left w:val="single" w:color="auto" w:sz="4" w:space="0"/>
              <w:right w:val="single" w:color="auto" w:sz="4" w:space="0"/>
            </w:tcBorders>
            <w:vAlign w:val="center"/>
          </w:tcPr>
          <w:p w14:paraId="78FE7777">
            <w:pPr>
              <w:widowControl/>
              <w:jc w:val="left"/>
              <w:rPr>
                <w:rFonts w:hint="eastAsia" w:ascii="宋体" w:hAnsi="宋体" w:eastAsia="宋体" w:cs="宋体"/>
                <w:color w:val="000000"/>
                <w:kern w:val="0"/>
                <w:szCs w:val="21"/>
                <w:highlight w:val="none"/>
              </w:rPr>
            </w:pPr>
          </w:p>
        </w:tc>
        <w:tc>
          <w:tcPr>
            <w:tcW w:w="7399" w:type="dxa"/>
            <w:tcBorders>
              <w:top w:val="nil"/>
              <w:left w:val="nil"/>
              <w:bottom w:val="single" w:color="auto" w:sz="4" w:space="0"/>
              <w:right w:val="single" w:color="auto" w:sz="4" w:space="0"/>
            </w:tcBorders>
            <w:vAlign w:val="center"/>
          </w:tcPr>
          <w:p w14:paraId="68E6511C">
            <w:pPr>
              <w:widowControl/>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建立数据缓存库机制，将每日新数据进行缓存处理，优化数据响应时间。</w:t>
            </w:r>
          </w:p>
        </w:tc>
      </w:tr>
      <w:tr w14:paraId="615307B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jc w:val="center"/>
        </w:trPr>
        <w:tc>
          <w:tcPr>
            <w:tcW w:w="651" w:type="dxa"/>
            <w:vMerge w:val="continue"/>
            <w:tcBorders>
              <w:left w:val="single" w:color="auto" w:sz="4" w:space="0"/>
              <w:right w:val="single" w:color="auto" w:sz="4" w:space="0"/>
            </w:tcBorders>
            <w:vAlign w:val="center"/>
          </w:tcPr>
          <w:p w14:paraId="2C02C787">
            <w:pPr>
              <w:widowControl/>
              <w:jc w:val="left"/>
              <w:rPr>
                <w:rFonts w:hint="eastAsia" w:ascii="宋体" w:hAnsi="宋体" w:eastAsia="宋体" w:cs="宋体"/>
                <w:color w:val="000000"/>
                <w:kern w:val="0"/>
                <w:szCs w:val="21"/>
                <w:highlight w:val="none"/>
              </w:rPr>
            </w:pPr>
          </w:p>
        </w:tc>
        <w:tc>
          <w:tcPr>
            <w:tcW w:w="869" w:type="dxa"/>
            <w:vMerge w:val="continue"/>
            <w:tcBorders>
              <w:left w:val="single" w:color="auto" w:sz="4" w:space="0"/>
              <w:right w:val="single" w:color="auto" w:sz="4" w:space="0"/>
            </w:tcBorders>
            <w:vAlign w:val="center"/>
          </w:tcPr>
          <w:p w14:paraId="675F6373">
            <w:pPr>
              <w:widowControl/>
              <w:jc w:val="left"/>
              <w:rPr>
                <w:rFonts w:hint="eastAsia" w:ascii="宋体" w:hAnsi="宋体" w:eastAsia="宋体" w:cs="宋体"/>
                <w:color w:val="000000"/>
                <w:kern w:val="0"/>
                <w:szCs w:val="21"/>
                <w:highlight w:val="none"/>
              </w:rPr>
            </w:pPr>
          </w:p>
        </w:tc>
        <w:tc>
          <w:tcPr>
            <w:tcW w:w="7399" w:type="dxa"/>
            <w:tcBorders>
              <w:top w:val="nil"/>
              <w:left w:val="nil"/>
              <w:bottom w:val="single" w:color="auto" w:sz="4" w:space="0"/>
              <w:right w:val="single" w:color="auto" w:sz="4" w:space="0"/>
            </w:tcBorders>
            <w:vAlign w:val="center"/>
          </w:tcPr>
          <w:p w14:paraId="2FE9EF43">
            <w:pPr>
              <w:widowControl/>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建立API网关及数据加密授权机制，保障数据安全性。</w:t>
            </w:r>
          </w:p>
        </w:tc>
      </w:tr>
      <w:tr w14:paraId="35999FF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88" w:hRule="atLeast"/>
          <w:jc w:val="center"/>
        </w:trPr>
        <w:tc>
          <w:tcPr>
            <w:tcW w:w="651" w:type="dxa"/>
            <w:vMerge w:val="continue"/>
            <w:tcBorders>
              <w:left w:val="single" w:color="auto" w:sz="4" w:space="0"/>
              <w:bottom w:val="single" w:color="auto" w:sz="4" w:space="0"/>
              <w:right w:val="single" w:color="auto" w:sz="4" w:space="0"/>
            </w:tcBorders>
            <w:vAlign w:val="center"/>
          </w:tcPr>
          <w:p w14:paraId="7B0DF19D">
            <w:pPr>
              <w:widowControl/>
              <w:jc w:val="left"/>
              <w:rPr>
                <w:rFonts w:hint="eastAsia" w:ascii="宋体" w:hAnsi="宋体" w:eastAsia="宋体" w:cs="宋体"/>
                <w:color w:val="000000"/>
                <w:kern w:val="0"/>
                <w:szCs w:val="21"/>
                <w:highlight w:val="none"/>
              </w:rPr>
            </w:pPr>
          </w:p>
        </w:tc>
        <w:tc>
          <w:tcPr>
            <w:tcW w:w="869" w:type="dxa"/>
            <w:vMerge w:val="continue"/>
            <w:tcBorders>
              <w:left w:val="single" w:color="auto" w:sz="4" w:space="0"/>
              <w:bottom w:val="single" w:color="auto" w:sz="4" w:space="0"/>
              <w:right w:val="single" w:color="auto" w:sz="4" w:space="0"/>
            </w:tcBorders>
            <w:vAlign w:val="center"/>
          </w:tcPr>
          <w:p w14:paraId="3711D587">
            <w:pPr>
              <w:widowControl/>
              <w:jc w:val="left"/>
              <w:rPr>
                <w:rFonts w:hint="eastAsia" w:ascii="宋体" w:hAnsi="宋体" w:eastAsia="宋体" w:cs="宋体"/>
                <w:color w:val="000000"/>
                <w:kern w:val="0"/>
                <w:szCs w:val="21"/>
                <w:highlight w:val="none"/>
              </w:rPr>
            </w:pPr>
          </w:p>
        </w:tc>
        <w:tc>
          <w:tcPr>
            <w:tcW w:w="7399" w:type="dxa"/>
            <w:tcBorders>
              <w:top w:val="nil"/>
              <w:left w:val="nil"/>
              <w:bottom w:val="single" w:color="auto" w:sz="4" w:space="0"/>
              <w:right w:val="single" w:color="auto" w:sz="4" w:space="0"/>
            </w:tcBorders>
            <w:vAlign w:val="center"/>
          </w:tcPr>
          <w:p w14:paraId="071C6627">
            <w:pPr>
              <w:widowControl/>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建立数据安全访问认证机制，提高系统访问安全性，加强数据防泄漏机制。</w:t>
            </w:r>
          </w:p>
        </w:tc>
      </w:tr>
    </w:tbl>
    <w:p w14:paraId="2EACB58B">
      <w:pPr>
        <w:spacing w:line="400" w:lineRule="exact"/>
        <w:ind w:firstLine="422" w:firstLineChars="200"/>
        <w:rPr>
          <w:rFonts w:hint="eastAsia" w:ascii="宋体" w:hAnsi="宋体" w:eastAsia="宋体" w:cs="宋体"/>
          <w:b/>
          <w:bCs/>
          <w:szCs w:val="21"/>
          <w:highlight w:val="none"/>
        </w:rPr>
      </w:pPr>
      <w:r>
        <w:rPr>
          <w:rFonts w:hint="eastAsia" w:ascii="宋体" w:hAnsi="宋体" w:eastAsia="宋体" w:cs="宋体"/>
          <w:b/>
          <w:bCs/>
          <w:szCs w:val="21"/>
          <w:highlight w:val="none"/>
        </w:rPr>
        <w:t>1.2、应急处理维护</w:t>
      </w:r>
    </w:p>
    <w:p w14:paraId="51BA2CB7">
      <w:pPr>
        <w:spacing w:line="400" w:lineRule="exact"/>
        <w:ind w:firstLine="420" w:firstLineChars="200"/>
        <w:rPr>
          <w:rFonts w:hint="eastAsia" w:ascii="宋体" w:hAnsi="宋体" w:eastAsia="宋体" w:cs="宋体"/>
          <w:b/>
          <w:szCs w:val="21"/>
          <w:highlight w:val="none"/>
        </w:rPr>
      </w:pPr>
      <w:r>
        <w:rPr>
          <w:rFonts w:hint="eastAsia" w:ascii="宋体" w:hAnsi="宋体" w:eastAsia="宋体" w:cs="宋体"/>
          <w:szCs w:val="21"/>
          <w:highlight w:val="none"/>
        </w:rPr>
        <w:t>对操作系统故障、数据库软件出错、软件运行所在的服务器（或PC机）网络通讯故障等问题造成的污染源自动监控系统软件不能正常运行故障事件进行及时应急处理，在电话和计算机远程维护不能解决的情况下，专职维护人员将在约定的时间内到达现场，并在24小时内解决问题。并做好数据备份工作，在用户的软件系统无法正常运行，短时间内系统无法恢复情况下，提供应急服务。</w:t>
      </w:r>
    </w:p>
    <w:p w14:paraId="32021BD8">
      <w:pPr>
        <w:spacing w:line="400" w:lineRule="exact"/>
        <w:ind w:firstLine="422" w:firstLineChars="200"/>
        <w:rPr>
          <w:rFonts w:hint="eastAsia" w:ascii="宋体" w:hAnsi="宋体" w:eastAsia="宋体" w:cs="宋体"/>
          <w:b/>
          <w:bCs/>
          <w:szCs w:val="21"/>
          <w:highlight w:val="none"/>
        </w:rPr>
      </w:pPr>
      <w:r>
        <w:rPr>
          <w:rFonts w:hint="eastAsia" w:ascii="宋体" w:hAnsi="宋体" w:eastAsia="宋体" w:cs="宋体"/>
          <w:b/>
          <w:bCs/>
          <w:szCs w:val="21"/>
          <w:highlight w:val="none"/>
        </w:rPr>
        <w:t>1.3、服务方式</w:t>
      </w:r>
    </w:p>
    <w:p w14:paraId="64B21EA5">
      <w:pPr>
        <w:spacing w:line="400" w:lineRule="exact"/>
        <w:ind w:firstLine="420"/>
        <w:rPr>
          <w:rFonts w:hint="eastAsia" w:ascii="宋体" w:hAnsi="宋体" w:eastAsia="宋体" w:cs="宋体"/>
          <w:szCs w:val="21"/>
          <w:highlight w:val="none"/>
        </w:rPr>
      </w:pPr>
      <w:r>
        <w:rPr>
          <w:rFonts w:hint="eastAsia" w:ascii="宋体" w:hAnsi="宋体" w:eastAsia="宋体" w:cs="宋体"/>
          <w:szCs w:val="21"/>
          <w:highlight w:val="none"/>
        </w:rPr>
        <w:t>1.3.1、提供污染源自动监控省级平台全年实行24小时驻场服务。</w:t>
      </w:r>
    </w:p>
    <w:p w14:paraId="5FB26724">
      <w:pPr>
        <w:spacing w:line="400" w:lineRule="exact"/>
        <w:ind w:firstLine="420"/>
        <w:rPr>
          <w:rFonts w:hint="eastAsia" w:ascii="宋体" w:hAnsi="宋体" w:eastAsia="宋体" w:cs="宋体"/>
          <w:szCs w:val="21"/>
          <w:highlight w:val="none"/>
        </w:rPr>
      </w:pPr>
      <w:r>
        <w:rPr>
          <w:rFonts w:hint="eastAsia" w:ascii="宋体" w:hAnsi="宋体" w:eastAsia="宋体" w:cs="宋体"/>
          <w:szCs w:val="21"/>
          <w:highlight w:val="none"/>
        </w:rPr>
        <w:t>1.3.2、热线服务：24小时客服服务热线。</w:t>
      </w:r>
    </w:p>
    <w:p w14:paraId="436153BA">
      <w:pPr>
        <w:spacing w:line="400" w:lineRule="exact"/>
        <w:ind w:firstLine="420"/>
        <w:rPr>
          <w:rFonts w:hint="eastAsia" w:ascii="宋体" w:hAnsi="宋体" w:eastAsia="宋体" w:cs="宋体"/>
          <w:szCs w:val="21"/>
          <w:highlight w:val="none"/>
        </w:rPr>
      </w:pPr>
      <w:r>
        <w:rPr>
          <w:rFonts w:hint="eastAsia" w:ascii="宋体" w:hAnsi="宋体" w:eastAsia="宋体" w:cs="宋体"/>
          <w:szCs w:val="21"/>
          <w:highlight w:val="none"/>
        </w:rPr>
        <w:t>1.3.3、服务地点：湖南省生态环境厅</w:t>
      </w:r>
    </w:p>
    <w:p w14:paraId="12C6E3F8">
      <w:pPr>
        <w:spacing w:line="400" w:lineRule="exact"/>
        <w:ind w:firstLine="420"/>
        <w:rPr>
          <w:rFonts w:hint="eastAsia" w:ascii="宋体" w:hAnsi="宋体" w:eastAsia="宋体" w:cs="宋体"/>
          <w:szCs w:val="21"/>
          <w:highlight w:val="none"/>
          <w:lang w:eastAsia="zh-CN"/>
        </w:rPr>
      </w:pPr>
      <w:r>
        <w:rPr>
          <w:rFonts w:hint="eastAsia" w:ascii="宋体" w:hAnsi="宋体" w:eastAsia="宋体" w:cs="宋体"/>
          <w:szCs w:val="21"/>
          <w:highlight w:val="none"/>
        </w:rPr>
        <w:t>1.3.4、服务期：</w:t>
      </w:r>
      <w:r>
        <w:rPr>
          <w:rFonts w:hint="eastAsia" w:ascii="宋体" w:hAnsi="宋体" w:cs="宋体"/>
          <w:szCs w:val="21"/>
          <w:highlight w:val="none"/>
          <w:lang w:eastAsia="zh-CN"/>
        </w:rPr>
        <w:t>合同签订之日起至2027年10月31日</w:t>
      </w:r>
    </w:p>
    <w:p w14:paraId="4533BEF0">
      <w:pPr>
        <w:spacing w:line="400" w:lineRule="exact"/>
        <w:ind w:firstLine="420"/>
        <w:rPr>
          <w:rFonts w:hint="eastAsia" w:ascii="宋体" w:hAnsi="宋体" w:eastAsia="宋体" w:cs="宋体"/>
          <w:szCs w:val="21"/>
          <w:highlight w:val="none"/>
        </w:rPr>
      </w:pPr>
      <w:r>
        <w:rPr>
          <w:rFonts w:hint="eastAsia" w:ascii="宋体" w:hAnsi="宋体" w:eastAsia="宋体" w:cs="宋体"/>
          <w:szCs w:val="21"/>
          <w:highlight w:val="none"/>
        </w:rPr>
        <w:t>1.3.5、服务人员：为重点污染源自动监控系统提供团队服务人员，并派驻5名技术支持人员，统一在采购人处驻场。</w:t>
      </w:r>
    </w:p>
    <w:p w14:paraId="564AE807">
      <w:pPr>
        <w:spacing w:line="400" w:lineRule="exact"/>
        <w:ind w:firstLine="422" w:firstLineChars="200"/>
        <w:rPr>
          <w:rFonts w:hint="eastAsia" w:ascii="宋体" w:hAnsi="宋体" w:eastAsia="宋体" w:cs="宋体"/>
          <w:b/>
          <w:bCs/>
          <w:szCs w:val="21"/>
          <w:highlight w:val="none"/>
        </w:rPr>
      </w:pPr>
      <w:r>
        <w:rPr>
          <w:rFonts w:hint="eastAsia" w:ascii="宋体" w:hAnsi="宋体" w:eastAsia="宋体" w:cs="宋体"/>
          <w:b/>
          <w:bCs/>
          <w:szCs w:val="21"/>
          <w:highlight w:val="none"/>
        </w:rPr>
        <w:t>1.4、运维服务要求</w:t>
      </w:r>
    </w:p>
    <w:p w14:paraId="35FC2964">
      <w:pPr>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1.4.1、服务要求</w:t>
      </w:r>
    </w:p>
    <w:p w14:paraId="0CA72C4A">
      <w:pPr>
        <w:spacing w:line="400" w:lineRule="exact"/>
        <w:ind w:firstLine="420"/>
        <w:rPr>
          <w:rFonts w:hint="eastAsia" w:ascii="宋体" w:hAnsi="宋体" w:eastAsia="宋体" w:cs="宋体"/>
          <w:szCs w:val="21"/>
          <w:highlight w:val="none"/>
        </w:rPr>
      </w:pPr>
      <w:r>
        <w:rPr>
          <w:rFonts w:hint="eastAsia" w:ascii="宋体" w:hAnsi="宋体" w:eastAsia="宋体" w:cs="宋体"/>
          <w:szCs w:val="21"/>
          <w:highlight w:val="none"/>
        </w:rPr>
        <w:t>（1）电话支持服务</w:t>
      </w:r>
    </w:p>
    <w:tbl>
      <w:tblPr>
        <w:tblStyle w:val="48"/>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8324"/>
      </w:tblGrid>
      <w:tr w14:paraId="5D1B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15" w:type="dxa"/>
            <w:shd w:val="clear" w:color="auto" w:fill="D7D7D7"/>
          </w:tcPr>
          <w:p w14:paraId="3A3AB544">
            <w:pPr>
              <w:spacing w:line="400" w:lineRule="exact"/>
              <w:jc w:val="center"/>
              <w:rPr>
                <w:rFonts w:hint="eastAsia" w:ascii="宋体" w:hAnsi="宋体" w:eastAsia="宋体" w:cs="宋体"/>
                <w:b/>
                <w:bCs/>
                <w:szCs w:val="21"/>
                <w:highlight w:val="none"/>
              </w:rPr>
            </w:pPr>
            <w:r>
              <w:rPr>
                <w:rFonts w:hint="eastAsia" w:ascii="宋体" w:hAnsi="宋体" w:eastAsia="宋体" w:cs="宋体"/>
                <w:b/>
                <w:bCs/>
                <w:szCs w:val="21"/>
                <w:highlight w:val="none"/>
              </w:rPr>
              <w:t>序号</w:t>
            </w:r>
          </w:p>
        </w:tc>
        <w:tc>
          <w:tcPr>
            <w:tcW w:w="8324" w:type="dxa"/>
            <w:shd w:val="clear" w:color="auto" w:fill="D7D7D7"/>
          </w:tcPr>
          <w:p w14:paraId="26700365">
            <w:pPr>
              <w:spacing w:line="400" w:lineRule="exact"/>
              <w:ind w:firstLine="400"/>
              <w:jc w:val="center"/>
              <w:rPr>
                <w:rFonts w:hint="eastAsia" w:ascii="宋体" w:hAnsi="宋体" w:eastAsia="宋体" w:cs="宋体"/>
                <w:b/>
                <w:bCs/>
                <w:szCs w:val="21"/>
                <w:highlight w:val="none"/>
              </w:rPr>
            </w:pPr>
            <w:r>
              <w:rPr>
                <w:rFonts w:hint="eastAsia" w:ascii="宋体" w:hAnsi="宋体" w:eastAsia="宋体" w:cs="宋体"/>
                <w:b/>
                <w:bCs/>
                <w:szCs w:val="21"/>
                <w:highlight w:val="none"/>
              </w:rPr>
              <w:t>电话支持服务</w:t>
            </w:r>
          </w:p>
        </w:tc>
      </w:tr>
      <w:tr w14:paraId="77F8C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715" w:type="dxa"/>
            <w:vAlign w:val="center"/>
          </w:tcPr>
          <w:p w14:paraId="65FF46AF">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8324" w:type="dxa"/>
            <w:vAlign w:val="center"/>
          </w:tcPr>
          <w:p w14:paraId="78C3D569">
            <w:pPr>
              <w:spacing w:line="400" w:lineRule="exact"/>
              <w:rPr>
                <w:rFonts w:hint="eastAsia" w:ascii="宋体" w:hAnsi="宋体" w:eastAsia="宋体" w:cs="宋体"/>
                <w:szCs w:val="21"/>
                <w:highlight w:val="none"/>
              </w:rPr>
            </w:pPr>
            <w:r>
              <w:rPr>
                <w:rFonts w:hint="eastAsia" w:ascii="宋体" w:hAnsi="宋体" w:eastAsia="宋体" w:cs="宋体"/>
                <w:szCs w:val="21"/>
                <w:highlight w:val="none"/>
              </w:rPr>
              <w:t>供应商设立7*24小时(根据服务级别)的值班响应电话，并安排有经验的工程师接受申告。</w:t>
            </w:r>
          </w:p>
        </w:tc>
      </w:tr>
      <w:tr w14:paraId="25FD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715" w:type="dxa"/>
            <w:vAlign w:val="center"/>
          </w:tcPr>
          <w:p w14:paraId="10720D71">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2</w:t>
            </w:r>
          </w:p>
        </w:tc>
        <w:tc>
          <w:tcPr>
            <w:tcW w:w="8324" w:type="dxa"/>
            <w:vAlign w:val="center"/>
          </w:tcPr>
          <w:p w14:paraId="313B4ECF">
            <w:pPr>
              <w:spacing w:line="400" w:lineRule="exact"/>
              <w:rPr>
                <w:rFonts w:hint="eastAsia" w:ascii="宋体" w:hAnsi="宋体" w:eastAsia="宋体" w:cs="宋体"/>
                <w:szCs w:val="21"/>
                <w:highlight w:val="none"/>
              </w:rPr>
            </w:pPr>
            <w:r>
              <w:rPr>
                <w:rFonts w:hint="eastAsia" w:ascii="宋体" w:hAnsi="宋体" w:eastAsia="宋体" w:cs="宋体"/>
                <w:szCs w:val="21"/>
                <w:highlight w:val="none"/>
              </w:rPr>
              <w:t>当网络、服务器或系统出现故障时，采购人通过供应商指定的值班响应电话进行故障申报或技术咨询。</w:t>
            </w:r>
          </w:p>
        </w:tc>
      </w:tr>
      <w:tr w14:paraId="045B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15" w:type="dxa"/>
            <w:vAlign w:val="center"/>
          </w:tcPr>
          <w:p w14:paraId="137A4398">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3</w:t>
            </w:r>
          </w:p>
        </w:tc>
        <w:tc>
          <w:tcPr>
            <w:tcW w:w="8324" w:type="dxa"/>
            <w:vAlign w:val="center"/>
          </w:tcPr>
          <w:p w14:paraId="15122830">
            <w:pPr>
              <w:spacing w:line="400" w:lineRule="exact"/>
              <w:rPr>
                <w:rFonts w:hint="eastAsia" w:ascii="宋体" w:hAnsi="宋体" w:eastAsia="宋体" w:cs="宋体"/>
                <w:szCs w:val="21"/>
                <w:highlight w:val="none"/>
              </w:rPr>
            </w:pPr>
            <w:r>
              <w:rPr>
                <w:rFonts w:hint="eastAsia" w:ascii="宋体" w:hAnsi="宋体" w:eastAsia="宋体" w:cs="宋体"/>
                <w:szCs w:val="21"/>
                <w:highlight w:val="none"/>
              </w:rPr>
              <w:t>供应商在运维期间内，对采购人的问题进行回复时，应确保在30分钟内响应，24小时内故障未修复则需要书面向采购人报告。</w:t>
            </w:r>
          </w:p>
        </w:tc>
      </w:tr>
    </w:tbl>
    <w:p w14:paraId="39EF519C">
      <w:pPr>
        <w:spacing w:line="400" w:lineRule="exact"/>
        <w:ind w:firstLine="400"/>
        <w:rPr>
          <w:rFonts w:hint="eastAsia" w:ascii="宋体" w:hAnsi="宋体" w:eastAsia="宋体" w:cs="宋体"/>
          <w:szCs w:val="21"/>
          <w:highlight w:val="none"/>
        </w:rPr>
      </w:pPr>
      <w:r>
        <w:rPr>
          <w:rFonts w:hint="eastAsia" w:ascii="宋体" w:hAnsi="宋体" w:eastAsia="宋体" w:cs="宋体"/>
          <w:szCs w:val="21"/>
          <w:highlight w:val="none"/>
        </w:rPr>
        <w:t>（2）现场支持服务</w:t>
      </w:r>
    </w:p>
    <w:p w14:paraId="0DFB031D">
      <w:pPr>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提供污染源自动监控省级平台全年24小时驻场及值班服务。</w:t>
      </w:r>
    </w:p>
    <w:p w14:paraId="59CB598F">
      <w:pPr>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（3）故障级别与服务响应速度、故障恢复时间定义。</w:t>
      </w:r>
    </w:p>
    <w:tbl>
      <w:tblPr>
        <w:tblStyle w:val="48"/>
        <w:tblpPr w:leftFromText="180" w:rightFromText="180" w:vertAnchor="text" w:horzAnchor="page" w:tblpX="1495" w:tblpY="594"/>
        <w:tblOverlap w:val="never"/>
        <w:tblW w:w="9072" w:type="dxa"/>
        <w:tblInd w:w="0" w:type="dxa"/>
        <w:tblLayout w:type="fixed"/>
        <w:tblCellMar>
          <w:top w:w="0" w:type="dxa"/>
          <w:left w:w="0" w:type="dxa"/>
          <w:bottom w:w="0" w:type="dxa"/>
          <w:right w:w="0" w:type="dxa"/>
        </w:tblCellMar>
      </w:tblPr>
      <w:tblGrid>
        <w:gridCol w:w="1865"/>
        <w:gridCol w:w="1936"/>
        <w:gridCol w:w="3208"/>
        <w:gridCol w:w="2063"/>
      </w:tblGrid>
      <w:tr w14:paraId="67C64855">
        <w:tblPrEx>
          <w:tblCellMar>
            <w:top w:w="0" w:type="dxa"/>
            <w:left w:w="0" w:type="dxa"/>
            <w:bottom w:w="0" w:type="dxa"/>
            <w:right w:w="0" w:type="dxa"/>
          </w:tblCellMar>
        </w:tblPrEx>
        <w:trPr>
          <w:trHeight w:val="480" w:hRule="atLeast"/>
          <w:tblHeader/>
        </w:trPr>
        <w:tc>
          <w:tcPr>
            <w:tcW w:w="1865" w:type="dxa"/>
            <w:tcBorders>
              <w:top w:val="single" w:color="auto" w:sz="4" w:space="0"/>
              <w:left w:val="single" w:color="auto" w:sz="4" w:space="0"/>
              <w:bottom w:val="single" w:color="auto" w:sz="4" w:space="0"/>
              <w:right w:val="single" w:color="auto" w:sz="4" w:space="0"/>
            </w:tcBorders>
            <w:shd w:val="clear" w:color="auto" w:fill="D7D7D7"/>
            <w:vAlign w:val="center"/>
          </w:tcPr>
          <w:p w14:paraId="18DFA410">
            <w:pPr>
              <w:spacing w:line="400" w:lineRule="exact"/>
              <w:ind w:firstLine="400"/>
              <w:rPr>
                <w:rFonts w:hint="eastAsia" w:ascii="宋体" w:hAnsi="宋体" w:eastAsia="宋体" w:cs="宋体"/>
                <w:b/>
                <w:bCs/>
                <w:szCs w:val="21"/>
                <w:highlight w:val="none"/>
              </w:rPr>
            </w:pPr>
            <w:r>
              <w:rPr>
                <w:rFonts w:hint="eastAsia" w:ascii="宋体" w:hAnsi="宋体" w:eastAsia="宋体" w:cs="宋体"/>
                <w:b/>
                <w:bCs/>
                <w:szCs w:val="21"/>
                <w:highlight w:val="none"/>
              </w:rPr>
              <w:t>服务项目</w:t>
            </w:r>
          </w:p>
        </w:tc>
        <w:tc>
          <w:tcPr>
            <w:tcW w:w="1936" w:type="dxa"/>
            <w:tcBorders>
              <w:top w:val="single" w:color="auto" w:sz="4" w:space="0"/>
              <w:left w:val="nil"/>
              <w:bottom w:val="single" w:color="auto" w:sz="4" w:space="0"/>
              <w:right w:val="single" w:color="auto" w:sz="4" w:space="0"/>
            </w:tcBorders>
            <w:shd w:val="clear" w:color="auto" w:fill="D7D7D7"/>
            <w:vAlign w:val="center"/>
          </w:tcPr>
          <w:p w14:paraId="2D7AFD1B">
            <w:pPr>
              <w:spacing w:line="400" w:lineRule="exact"/>
              <w:ind w:firstLine="400"/>
              <w:rPr>
                <w:rFonts w:hint="eastAsia" w:ascii="宋体" w:hAnsi="宋体" w:eastAsia="宋体" w:cs="宋体"/>
                <w:b/>
                <w:bCs/>
                <w:szCs w:val="21"/>
                <w:highlight w:val="none"/>
              </w:rPr>
            </w:pPr>
            <w:r>
              <w:rPr>
                <w:rFonts w:hint="eastAsia" w:ascii="宋体" w:hAnsi="宋体" w:eastAsia="宋体" w:cs="宋体"/>
                <w:b/>
                <w:bCs/>
                <w:szCs w:val="21"/>
                <w:highlight w:val="none"/>
              </w:rPr>
              <w:t>关键控制点</w:t>
            </w:r>
          </w:p>
        </w:tc>
        <w:tc>
          <w:tcPr>
            <w:tcW w:w="3208" w:type="dxa"/>
            <w:tcBorders>
              <w:top w:val="single" w:color="auto" w:sz="4" w:space="0"/>
              <w:left w:val="nil"/>
              <w:bottom w:val="single" w:color="auto" w:sz="4" w:space="0"/>
              <w:right w:val="single" w:color="auto" w:sz="4" w:space="0"/>
            </w:tcBorders>
            <w:shd w:val="clear" w:color="auto" w:fill="D7D7D7"/>
            <w:vAlign w:val="center"/>
          </w:tcPr>
          <w:p w14:paraId="73BF83FF">
            <w:pPr>
              <w:spacing w:line="400" w:lineRule="exact"/>
              <w:jc w:val="center"/>
              <w:rPr>
                <w:rFonts w:hint="eastAsia" w:ascii="宋体" w:hAnsi="宋体" w:eastAsia="宋体" w:cs="宋体"/>
                <w:b/>
                <w:bCs/>
                <w:szCs w:val="21"/>
                <w:highlight w:val="none"/>
              </w:rPr>
            </w:pPr>
            <w:r>
              <w:rPr>
                <w:rFonts w:hint="eastAsia" w:ascii="宋体" w:hAnsi="宋体" w:eastAsia="宋体" w:cs="宋体"/>
                <w:b/>
                <w:bCs/>
                <w:szCs w:val="21"/>
                <w:highlight w:val="none"/>
              </w:rPr>
              <w:t>衡量内容</w:t>
            </w:r>
          </w:p>
        </w:tc>
        <w:tc>
          <w:tcPr>
            <w:tcW w:w="2063" w:type="dxa"/>
            <w:tcBorders>
              <w:top w:val="single" w:color="auto" w:sz="4" w:space="0"/>
              <w:left w:val="nil"/>
              <w:bottom w:val="single" w:color="auto" w:sz="4" w:space="0"/>
              <w:right w:val="single" w:color="auto" w:sz="4" w:space="0"/>
            </w:tcBorders>
            <w:shd w:val="clear" w:color="auto" w:fill="D7D7D7"/>
            <w:vAlign w:val="center"/>
          </w:tcPr>
          <w:p w14:paraId="0D76543C">
            <w:pPr>
              <w:spacing w:line="400" w:lineRule="exact"/>
              <w:jc w:val="center"/>
              <w:rPr>
                <w:rFonts w:hint="eastAsia" w:ascii="宋体" w:hAnsi="宋体" w:eastAsia="宋体" w:cs="宋体"/>
                <w:b/>
                <w:bCs/>
                <w:szCs w:val="21"/>
                <w:highlight w:val="none"/>
              </w:rPr>
            </w:pPr>
            <w:r>
              <w:rPr>
                <w:rFonts w:hint="eastAsia" w:ascii="宋体" w:hAnsi="宋体" w:eastAsia="宋体" w:cs="宋体"/>
                <w:b/>
                <w:bCs/>
                <w:szCs w:val="21"/>
                <w:highlight w:val="none"/>
              </w:rPr>
              <w:t>目标</w:t>
            </w:r>
          </w:p>
        </w:tc>
      </w:tr>
      <w:tr w14:paraId="045E799C">
        <w:tblPrEx>
          <w:tblCellMar>
            <w:top w:w="0" w:type="dxa"/>
            <w:left w:w="0" w:type="dxa"/>
            <w:bottom w:w="0" w:type="dxa"/>
            <w:right w:w="0" w:type="dxa"/>
          </w:tblCellMar>
        </w:tblPrEx>
        <w:trPr>
          <w:cantSplit/>
          <w:trHeight w:val="480" w:hRule="atLeast"/>
        </w:trPr>
        <w:tc>
          <w:tcPr>
            <w:tcW w:w="1865" w:type="dxa"/>
            <w:vMerge w:val="restart"/>
            <w:tcBorders>
              <w:top w:val="nil"/>
              <w:left w:val="single" w:color="auto" w:sz="4" w:space="0"/>
              <w:bottom w:val="single" w:color="auto" w:sz="4" w:space="0"/>
              <w:right w:val="single" w:color="auto" w:sz="4" w:space="0"/>
            </w:tcBorders>
            <w:vAlign w:val="center"/>
          </w:tcPr>
          <w:p w14:paraId="2B8D8BB0">
            <w:pPr>
              <w:spacing w:line="400" w:lineRule="exact"/>
              <w:ind w:firstLine="400"/>
              <w:rPr>
                <w:rFonts w:hint="eastAsia" w:ascii="宋体" w:hAnsi="宋体" w:eastAsia="宋体" w:cs="宋体"/>
                <w:szCs w:val="21"/>
                <w:highlight w:val="none"/>
              </w:rPr>
            </w:pPr>
            <w:r>
              <w:rPr>
                <w:rFonts w:hint="eastAsia" w:ascii="宋体" w:hAnsi="宋体" w:eastAsia="宋体" w:cs="宋体"/>
                <w:szCs w:val="21"/>
                <w:highlight w:val="none"/>
              </w:rPr>
              <w:t>热线服务</w:t>
            </w:r>
          </w:p>
        </w:tc>
        <w:tc>
          <w:tcPr>
            <w:tcW w:w="1936" w:type="dxa"/>
            <w:vMerge w:val="restart"/>
            <w:tcBorders>
              <w:top w:val="nil"/>
              <w:left w:val="single" w:color="auto" w:sz="4" w:space="0"/>
              <w:bottom w:val="single" w:color="000000" w:sz="4" w:space="0"/>
              <w:right w:val="single" w:color="auto" w:sz="4" w:space="0"/>
            </w:tcBorders>
            <w:vAlign w:val="center"/>
          </w:tcPr>
          <w:p w14:paraId="76EB00D4">
            <w:pPr>
              <w:spacing w:line="400" w:lineRule="exact"/>
              <w:ind w:firstLine="210" w:firstLineChars="100"/>
              <w:rPr>
                <w:rFonts w:hint="eastAsia" w:ascii="宋体" w:hAnsi="宋体" w:eastAsia="宋体" w:cs="宋体"/>
                <w:szCs w:val="21"/>
                <w:highlight w:val="none"/>
              </w:rPr>
            </w:pPr>
            <w:r>
              <w:rPr>
                <w:rFonts w:hint="eastAsia" w:ascii="宋体" w:hAnsi="宋体" w:eastAsia="宋体" w:cs="宋体"/>
                <w:szCs w:val="21"/>
                <w:highlight w:val="none"/>
              </w:rPr>
              <w:t>电话响应能力</w:t>
            </w:r>
          </w:p>
        </w:tc>
        <w:tc>
          <w:tcPr>
            <w:tcW w:w="3208" w:type="dxa"/>
            <w:tcBorders>
              <w:top w:val="nil"/>
              <w:left w:val="nil"/>
              <w:bottom w:val="single" w:color="auto" w:sz="4" w:space="0"/>
              <w:right w:val="single" w:color="auto" w:sz="4" w:space="0"/>
            </w:tcBorders>
            <w:vAlign w:val="center"/>
          </w:tcPr>
          <w:p w14:paraId="055E3C6D">
            <w:pPr>
              <w:spacing w:line="400" w:lineRule="exact"/>
              <w:ind w:firstLine="400"/>
              <w:rPr>
                <w:rFonts w:hint="eastAsia" w:ascii="宋体" w:hAnsi="宋体" w:eastAsia="宋体" w:cs="宋体"/>
                <w:szCs w:val="21"/>
                <w:highlight w:val="none"/>
              </w:rPr>
            </w:pPr>
            <w:r>
              <w:rPr>
                <w:rFonts w:hint="eastAsia" w:ascii="宋体" w:hAnsi="宋体" w:eastAsia="宋体" w:cs="宋体"/>
                <w:szCs w:val="21"/>
                <w:highlight w:val="none"/>
              </w:rPr>
              <w:t>受理时间</w:t>
            </w:r>
          </w:p>
        </w:tc>
        <w:tc>
          <w:tcPr>
            <w:tcW w:w="2063" w:type="dxa"/>
            <w:tcBorders>
              <w:top w:val="nil"/>
              <w:left w:val="nil"/>
              <w:bottom w:val="single" w:color="auto" w:sz="4" w:space="0"/>
              <w:right w:val="single" w:color="auto" w:sz="4" w:space="0"/>
            </w:tcBorders>
            <w:vAlign w:val="center"/>
          </w:tcPr>
          <w:p w14:paraId="561E0344">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7*24小时响应</w:t>
            </w:r>
          </w:p>
        </w:tc>
      </w:tr>
      <w:tr w14:paraId="3A72B3C9">
        <w:tblPrEx>
          <w:tblCellMar>
            <w:top w:w="0" w:type="dxa"/>
            <w:left w:w="0" w:type="dxa"/>
            <w:bottom w:w="0" w:type="dxa"/>
            <w:right w:w="0" w:type="dxa"/>
          </w:tblCellMar>
        </w:tblPrEx>
        <w:trPr>
          <w:cantSplit/>
          <w:trHeight w:val="480" w:hRule="atLeast"/>
        </w:trPr>
        <w:tc>
          <w:tcPr>
            <w:tcW w:w="1865" w:type="dxa"/>
            <w:vMerge w:val="continue"/>
            <w:tcBorders>
              <w:top w:val="nil"/>
              <w:left w:val="single" w:color="auto" w:sz="4" w:space="0"/>
              <w:bottom w:val="single" w:color="auto" w:sz="4" w:space="0"/>
              <w:right w:val="single" w:color="auto" w:sz="4" w:space="0"/>
            </w:tcBorders>
            <w:vAlign w:val="center"/>
          </w:tcPr>
          <w:p w14:paraId="3A54675E">
            <w:pPr>
              <w:spacing w:line="400" w:lineRule="exact"/>
              <w:ind w:firstLine="400"/>
              <w:rPr>
                <w:rFonts w:hint="eastAsia" w:ascii="宋体" w:hAnsi="宋体" w:eastAsia="宋体" w:cs="宋体"/>
                <w:szCs w:val="21"/>
                <w:highlight w:val="none"/>
              </w:rPr>
            </w:pPr>
          </w:p>
        </w:tc>
        <w:tc>
          <w:tcPr>
            <w:tcW w:w="1936" w:type="dxa"/>
            <w:vMerge w:val="continue"/>
            <w:tcBorders>
              <w:top w:val="nil"/>
              <w:left w:val="single" w:color="auto" w:sz="4" w:space="0"/>
              <w:bottom w:val="single" w:color="000000" w:sz="4" w:space="0"/>
              <w:right w:val="single" w:color="auto" w:sz="4" w:space="0"/>
            </w:tcBorders>
            <w:vAlign w:val="center"/>
          </w:tcPr>
          <w:p w14:paraId="47244745">
            <w:pPr>
              <w:spacing w:line="400" w:lineRule="exact"/>
              <w:ind w:firstLine="400"/>
              <w:rPr>
                <w:rFonts w:hint="eastAsia" w:ascii="宋体" w:hAnsi="宋体" w:eastAsia="宋体" w:cs="宋体"/>
                <w:szCs w:val="21"/>
                <w:highlight w:val="none"/>
              </w:rPr>
            </w:pPr>
          </w:p>
        </w:tc>
        <w:tc>
          <w:tcPr>
            <w:tcW w:w="3208" w:type="dxa"/>
            <w:tcBorders>
              <w:top w:val="nil"/>
              <w:left w:val="nil"/>
              <w:bottom w:val="single" w:color="auto" w:sz="4" w:space="0"/>
              <w:right w:val="single" w:color="auto" w:sz="4" w:space="0"/>
            </w:tcBorders>
            <w:vAlign w:val="center"/>
          </w:tcPr>
          <w:p w14:paraId="6041BEC9">
            <w:pPr>
              <w:spacing w:line="400" w:lineRule="exact"/>
              <w:ind w:firstLine="400"/>
              <w:rPr>
                <w:rFonts w:hint="eastAsia" w:ascii="宋体" w:hAnsi="宋体" w:eastAsia="宋体" w:cs="宋体"/>
                <w:szCs w:val="21"/>
                <w:highlight w:val="none"/>
              </w:rPr>
            </w:pPr>
            <w:r>
              <w:rPr>
                <w:rFonts w:hint="eastAsia" w:ascii="宋体" w:hAnsi="宋体" w:eastAsia="宋体" w:cs="宋体"/>
                <w:szCs w:val="21"/>
                <w:highlight w:val="none"/>
              </w:rPr>
              <w:t>技术人员响应时间</w:t>
            </w:r>
          </w:p>
        </w:tc>
        <w:tc>
          <w:tcPr>
            <w:tcW w:w="2063" w:type="dxa"/>
            <w:tcBorders>
              <w:top w:val="nil"/>
              <w:left w:val="nil"/>
              <w:bottom w:val="single" w:color="auto" w:sz="4" w:space="0"/>
              <w:right w:val="single" w:color="auto" w:sz="4" w:space="0"/>
            </w:tcBorders>
            <w:vAlign w:val="center"/>
          </w:tcPr>
          <w:p w14:paraId="34D7374E">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30分钟内</w:t>
            </w:r>
          </w:p>
        </w:tc>
      </w:tr>
      <w:tr w14:paraId="4FB49646">
        <w:tblPrEx>
          <w:tblCellMar>
            <w:top w:w="0" w:type="dxa"/>
            <w:left w:w="0" w:type="dxa"/>
            <w:bottom w:w="0" w:type="dxa"/>
            <w:right w:w="0" w:type="dxa"/>
          </w:tblCellMar>
        </w:tblPrEx>
        <w:trPr>
          <w:cantSplit/>
          <w:trHeight w:val="480" w:hRule="atLeast"/>
        </w:trPr>
        <w:tc>
          <w:tcPr>
            <w:tcW w:w="1865" w:type="dxa"/>
            <w:vMerge w:val="restart"/>
            <w:tcBorders>
              <w:top w:val="single" w:color="auto" w:sz="4" w:space="0"/>
              <w:left w:val="single" w:color="auto" w:sz="4" w:space="0"/>
              <w:right w:val="single" w:color="auto" w:sz="4" w:space="0"/>
            </w:tcBorders>
            <w:vAlign w:val="center"/>
          </w:tcPr>
          <w:p w14:paraId="370E6302">
            <w:pPr>
              <w:spacing w:line="400" w:lineRule="exact"/>
              <w:ind w:firstLine="400"/>
              <w:rPr>
                <w:rFonts w:hint="eastAsia" w:ascii="宋体" w:hAnsi="宋体" w:eastAsia="宋体" w:cs="宋体"/>
                <w:szCs w:val="21"/>
                <w:highlight w:val="none"/>
              </w:rPr>
            </w:pPr>
            <w:r>
              <w:rPr>
                <w:rFonts w:hint="eastAsia" w:ascii="宋体" w:hAnsi="宋体" w:eastAsia="宋体" w:cs="宋体"/>
                <w:szCs w:val="21"/>
                <w:highlight w:val="none"/>
              </w:rPr>
              <w:t>问题解决</w:t>
            </w:r>
          </w:p>
        </w:tc>
        <w:tc>
          <w:tcPr>
            <w:tcW w:w="1936" w:type="dxa"/>
            <w:vMerge w:val="restart"/>
            <w:tcBorders>
              <w:top w:val="single" w:color="auto" w:sz="4" w:space="0"/>
              <w:left w:val="single" w:color="auto" w:sz="4" w:space="0"/>
              <w:right w:val="single" w:color="auto" w:sz="4" w:space="0"/>
            </w:tcBorders>
            <w:vAlign w:val="center"/>
          </w:tcPr>
          <w:p w14:paraId="5CAC0A7E">
            <w:pPr>
              <w:spacing w:line="400" w:lineRule="exact"/>
              <w:ind w:firstLine="400"/>
              <w:rPr>
                <w:rFonts w:hint="eastAsia" w:ascii="宋体" w:hAnsi="宋体" w:eastAsia="宋体" w:cs="宋体"/>
                <w:szCs w:val="21"/>
                <w:highlight w:val="none"/>
              </w:rPr>
            </w:pPr>
            <w:r>
              <w:rPr>
                <w:rFonts w:hint="eastAsia" w:ascii="宋体" w:hAnsi="宋体" w:eastAsia="宋体" w:cs="宋体"/>
                <w:szCs w:val="21"/>
                <w:highlight w:val="none"/>
              </w:rPr>
              <w:t>处理时间</w:t>
            </w:r>
          </w:p>
        </w:tc>
        <w:tc>
          <w:tcPr>
            <w:tcW w:w="3208" w:type="dxa"/>
            <w:tcBorders>
              <w:top w:val="single" w:color="auto" w:sz="4" w:space="0"/>
              <w:left w:val="nil"/>
              <w:bottom w:val="single" w:color="auto" w:sz="4" w:space="0"/>
              <w:right w:val="single" w:color="auto" w:sz="4" w:space="0"/>
            </w:tcBorders>
            <w:vAlign w:val="center"/>
          </w:tcPr>
          <w:p w14:paraId="16BB3B51">
            <w:pPr>
              <w:spacing w:line="400" w:lineRule="exact"/>
              <w:ind w:firstLine="400"/>
              <w:rPr>
                <w:rFonts w:hint="eastAsia" w:ascii="宋体" w:hAnsi="宋体" w:eastAsia="宋体" w:cs="宋体"/>
                <w:szCs w:val="21"/>
                <w:highlight w:val="none"/>
              </w:rPr>
            </w:pPr>
            <w:r>
              <w:rPr>
                <w:rFonts w:hint="eastAsia" w:ascii="宋体" w:hAnsi="宋体" w:eastAsia="宋体" w:cs="宋体"/>
                <w:szCs w:val="21"/>
                <w:highlight w:val="none"/>
              </w:rPr>
              <w:t>重大问题</w:t>
            </w:r>
          </w:p>
        </w:tc>
        <w:tc>
          <w:tcPr>
            <w:tcW w:w="2063" w:type="dxa"/>
            <w:tcBorders>
              <w:top w:val="single" w:color="auto" w:sz="4" w:space="0"/>
              <w:left w:val="nil"/>
              <w:bottom w:val="single" w:color="auto" w:sz="4" w:space="0"/>
              <w:right w:val="single" w:color="auto" w:sz="4" w:space="0"/>
            </w:tcBorders>
            <w:vAlign w:val="center"/>
          </w:tcPr>
          <w:p w14:paraId="44C83885">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24小时内</w:t>
            </w:r>
          </w:p>
        </w:tc>
      </w:tr>
      <w:tr w14:paraId="4DDDBD10">
        <w:tblPrEx>
          <w:tblCellMar>
            <w:top w:w="0" w:type="dxa"/>
            <w:left w:w="0" w:type="dxa"/>
            <w:bottom w:w="0" w:type="dxa"/>
            <w:right w:w="0" w:type="dxa"/>
          </w:tblCellMar>
        </w:tblPrEx>
        <w:trPr>
          <w:cantSplit/>
          <w:trHeight w:val="491" w:hRule="atLeast"/>
        </w:trPr>
        <w:tc>
          <w:tcPr>
            <w:tcW w:w="1865" w:type="dxa"/>
            <w:vMerge w:val="continue"/>
            <w:tcBorders>
              <w:left w:val="single" w:color="auto" w:sz="4" w:space="0"/>
              <w:bottom w:val="single" w:color="auto" w:sz="4" w:space="0"/>
              <w:right w:val="single" w:color="auto" w:sz="4" w:space="0"/>
            </w:tcBorders>
            <w:vAlign w:val="center"/>
          </w:tcPr>
          <w:p w14:paraId="1A42F0D2">
            <w:pPr>
              <w:spacing w:line="400" w:lineRule="exact"/>
              <w:ind w:firstLine="400"/>
              <w:rPr>
                <w:rFonts w:hint="eastAsia" w:ascii="宋体" w:hAnsi="宋体" w:eastAsia="宋体" w:cs="宋体"/>
                <w:szCs w:val="21"/>
                <w:highlight w:val="none"/>
              </w:rPr>
            </w:pPr>
          </w:p>
        </w:tc>
        <w:tc>
          <w:tcPr>
            <w:tcW w:w="1936" w:type="dxa"/>
            <w:vMerge w:val="continue"/>
            <w:tcBorders>
              <w:left w:val="single" w:color="auto" w:sz="4" w:space="0"/>
              <w:bottom w:val="single" w:color="auto" w:sz="4" w:space="0"/>
              <w:right w:val="single" w:color="auto" w:sz="4" w:space="0"/>
            </w:tcBorders>
            <w:vAlign w:val="center"/>
          </w:tcPr>
          <w:p w14:paraId="2730626E">
            <w:pPr>
              <w:spacing w:line="400" w:lineRule="exact"/>
              <w:ind w:firstLine="400"/>
              <w:rPr>
                <w:rFonts w:hint="eastAsia" w:ascii="宋体" w:hAnsi="宋体" w:eastAsia="宋体" w:cs="宋体"/>
                <w:szCs w:val="21"/>
                <w:highlight w:val="none"/>
              </w:rPr>
            </w:pPr>
          </w:p>
        </w:tc>
        <w:tc>
          <w:tcPr>
            <w:tcW w:w="3208" w:type="dxa"/>
            <w:tcBorders>
              <w:top w:val="single" w:color="auto" w:sz="4" w:space="0"/>
              <w:left w:val="nil"/>
              <w:bottom w:val="single" w:color="auto" w:sz="4" w:space="0"/>
              <w:right w:val="single" w:color="auto" w:sz="4" w:space="0"/>
            </w:tcBorders>
            <w:vAlign w:val="center"/>
          </w:tcPr>
          <w:p w14:paraId="7655F85A">
            <w:pPr>
              <w:spacing w:line="400" w:lineRule="exact"/>
              <w:ind w:firstLine="400"/>
              <w:rPr>
                <w:rFonts w:hint="eastAsia" w:ascii="宋体" w:hAnsi="宋体" w:eastAsia="宋体" w:cs="宋体"/>
                <w:szCs w:val="21"/>
                <w:highlight w:val="none"/>
              </w:rPr>
            </w:pPr>
            <w:r>
              <w:rPr>
                <w:rFonts w:hint="eastAsia" w:ascii="宋体" w:hAnsi="宋体" w:eastAsia="宋体" w:cs="宋体"/>
                <w:szCs w:val="21"/>
                <w:highlight w:val="none"/>
              </w:rPr>
              <w:t>一般问题</w:t>
            </w:r>
          </w:p>
        </w:tc>
        <w:tc>
          <w:tcPr>
            <w:tcW w:w="2063" w:type="dxa"/>
            <w:tcBorders>
              <w:top w:val="single" w:color="auto" w:sz="4" w:space="0"/>
              <w:left w:val="nil"/>
              <w:bottom w:val="single" w:color="auto" w:sz="4" w:space="0"/>
              <w:right w:val="single" w:color="auto" w:sz="4" w:space="0"/>
            </w:tcBorders>
            <w:vAlign w:val="center"/>
          </w:tcPr>
          <w:p w14:paraId="5A575483">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8小时内</w:t>
            </w:r>
          </w:p>
        </w:tc>
      </w:tr>
    </w:tbl>
    <w:p w14:paraId="7DBC8078">
      <w:pPr>
        <w:spacing w:line="400" w:lineRule="exact"/>
        <w:ind w:firstLine="422" w:firstLineChars="200"/>
        <w:rPr>
          <w:rFonts w:hint="eastAsia" w:ascii="宋体" w:hAnsi="宋体" w:eastAsia="宋体" w:cs="宋体"/>
          <w:szCs w:val="21"/>
          <w:highlight w:val="none"/>
        </w:rPr>
      </w:pPr>
      <w:r>
        <w:rPr>
          <w:rFonts w:hint="eastAsia" w:ascii="宋体" w:hAnsi="宋体" w:eastAsia="宋体" w:cs="宋体"/>
          <w:b/>
          <w:bCs/>
          <w:szCs w:val="21"/>
          <w:highlight w:val="none"/>
        </w:rPr>
        <w:t>1.5、技术支撑服务</w:t>
      </w:r>
    </w:p>
    <w:p w14:paraId="0E1D46CA">
      <w:pPr>
        <w:spacing w:line="400" w:lineRule="exact"/>
        <w:ind w:firstLine="400"/>
        <w:rPr>
          <w:rFonts w:hint="eastAsia" w:ascii="宋体" w:hAnsi="宋体" w:eastAsia="宋体" w:cs="宋体"/>
          <w:szCs w:val="21"/>
          <w:highlight w:val="none"/>
        </w:rPr>
      </w:pPr>
      <w:r>
        <w:rPr>
          <w:rFonts w:hint="eastAsia" w:ascii="宋体" w:hAnsi="宋体" w:eastAsia="宋体" w:cs="宋体"/>
          <w:szCs w:val="21"/>
          <w:highlight w:val="none"/>
        </w:rPr>
        <w:t>1.5.1、有效传输率分析服务</w:t>
      </w:r>
    </w:p>
    <w:p w14:paraId="5B7F06FE">
      <w:pPr>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按需为采购人提供各市州有效传输率分析服务。</w:t>
      </w:r>
    </w:p>
    <w:p w14:paraId="2CAFF5D8">
      <w:pPr>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1.5.</w:t>
      </w:r>
      <w:r>
        <w:rPr>
          <w:rFonts w:ascii="宋体" w:hAnsi="宋体" w:eastAsia="宋体" w:cs="宋体"/>
          <w:szCs w:val="21"/>
          <w:highlight w:val="none"/>
        </w:rPr>
        <w:t>2</w:t>
      </w:r>
      <w:r>
        <w:rPr>
          <w:rFonts w:hint="eastAsia" w:ascii="宋体" w:hAnsi="宋体" w:eastAsia="宋体" w:cs="宋体"/>
          <w:szCs w:val="21"/>
          <w:highlight w:val="none"/>
        </w:rPr>
        <w:t>、文档管理和信息支持服务</w:t>
      </w:r>
    </w:p>
    <w:tbl>
      <w:tblPr>
        <w:tblStyle w:val="48"/>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5"/>
        <w:gridCol w:w="7978"/>
      </w:tblGrid>
      <w:tr w14:paraId="22FDF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665" w:type="dxa"/>
            <w:shd w:val="clear" w:color="auto" w:fill="D7D7D7"/>
          </w:tcPr>
          <w:p w14:paraId="3BC87FA8">
            <w:pPr>
              <w:spacing w:line="400" w:lineRule="exact"/>
              <w:jc w:val="center"/>
              <w:rPr>
                <w:rFonts w:hint="eastAsia" w:ascii="宋体" w:hAnsi="宋体" w:eastAsia="宋体" w:cs="宋体"/>
                <w:b/>
                <w:bCs/>
                <w:szCs w:val="21"/>
                <w:highlight w:val="none"/>
              </w:rPr>
            </w:pPr>
            <w:r>
              <w:rPr>
                <w:rFonts w:hint="eastAsia" w:ascii="宋体" w:hAnsi="宋体" w:eastAsia="宋体" w:cs="宋体"/>
                <w:b/>
                <w:bCs/>
                <w:szCs w:val="21"/>
                <w:highlight w:val="none"/>
              </w:rPr>
              <w:t>服务项</w:t>
            </w:r>
          </w:p>
        </w:tc>
        <w:tc>
          <w:tcPr>
            <w:tcW w:w="7978" w:type="dxa"/>
            <w:shd w:val="clear" w:color="auto" w:fill="D7D7D7"/>
          </w:tcPr>
          <w:p w14:paraId="269100CD">
            <w:pPr>
              <w:spacing w:line="400" w:lineRule="exact"/>
              <w:ind w:firstLine="400"/>
              <w:jc w:val="center"/>
              <w:rPr>
                <w:rFonts w:hint="eastAsia" w:ascii="宋体" w:hAnsi="宋体" w:eastAsia="宋体" w:cs="宋体"/>
                <w:b/>
                <w:bCs/>
                <w:szCs w:val="21"/>
                <w:highlight w:val="none"/>
              </w:rPr>
            </w:pPr>
            <w:r>
              <w:rPr>
                <w:rFonts w:hint="eastAsia" w:ascii="宋体" w:hAnsi="宋体" w:eastAsia="宋体" w:cs="宋体"/>
                <w:b/>
                <w:bCs/>
                <w:szCs w:val="21"/>
                <w:highlight w:val="none"/>
              </w:rPr>
              <w:t>服务内容</w:t>
            </w:r>
          </w:p>
        </w:tc>
      </w:tr>
      <w:tr w14:paraId="7878B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1665" w:type="dxa"/>
            <w:vAlign w:val="center"/>
          </w:tcPr>
          <w:p w14:paraId="070463F8">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支持服务回顾服务</w:t>
            </w:r>
          </w:p>
        </w:tc>
        <w:tc>
          <w:tcPr>
            <w:tcW w:w="7978" w:type="dxa"/>
            <w:vAlign w:val="center"/>
          </w:tcPr>
          <w:p w14:paraId="67CCA389">
            <w:pPr>
              <w:spacing w:line="400" w:lineRule="exact"/>
              <w:jc w:val="left"/>
              <w:rPr>
                <w:rFonts w:hint="eastAsia" w:ascii="宋体" w:hAnsi="宋体" w:eastAsia="宋体" w:cs="宋体"/>
                <w:szCs w:val="21"/>
                <w:highlight w:val="none"/>
              </w:rPr>
            </w:pPr>
            <w:r>
              <w:rPr>
                <w:rFonts w:hint="eastAsia" w:ascii="宋体" w:hAnsi="宋体" w:eastAsia="宋体" w:cs="宋体"/>
                <w:szCs w:val="21"/>
                <w:highlight w:val="none"/>
              </w:rPr>
              <w:t>每月对重点污染源监控系统情况进行分析和总结，形成报告反馈给采购人。</w:t>
            </w:r>
          </w:p>
        </w:tc>
      </w:tr>
      <w:tr w14:paraId="701C5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65" w:type="dxa"/>
            <w:vAlign w:val="center"/>
          </w:tcPr>
          <w:p w14:paraId="080BBE21">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文档管理服务</w:t>
            </w:r>
          </w:p>
        </w:tc>
        <w:tc>
          <w:tcPr>
            <w:tcW w:w="7978" w:type="dxa"/>
            <w:vAlign w:val="center"/>
          </w:tcPr>
          <w:p w14:paraId="70107303">
            <w:pPr>
              <w:spacing w:line="400" w:lineRule="exact"/>
              <w:jc w:val="left"/>
              <w:rPr>
                <w:rFonts w:hint="eastAsia" w:ascii="宋体" w:hAnsi="宋体" w:eastAsia="宋体" w:cs="宋体"/>
                <w:szCs w:val="21"/>
                <w:highlight w:val="none"/>
              </w:rPr>
            </w:pPr>
            <w:r>
              <w:rPr>
                <w:rFonts w:hint="eastAsia" w:ascii="宋体" w:hAnsi="宋体" w:eastAsia="宋体" w:cs="宋体"/>
                <w:szCs w:val="21"/>
                <w:highlight w:val="none"/>
              </w:rPr>
              <w:t>对提交采购人的月报</w:t>
            </w:r>
            <w:r>
              <w:rPr>
                <w:rFonts w:hint="eastAsia" w:ascii="宋体" w:hAnsi="宋体" w:eastAsia="宋体" w:cs="Times New Roman"/>
                <w:szCs w:val="21"/>
                <w:highlight w:val="none"/>
              </w:rPr>
              <w:t>的纸质版和电子版</w:t>
            </w:r>
            <w:r>
              <w:rPr>
                <w:rFonts w:hint="eastAsia" w:ascii="宋体" w:hAnsi="宋体" w:eastAsia="宋体" w:cs="宋体"/>
                <w:szCs w:val="21"/>
                <w:highlight w:val="none"/>
              </w:rPr>
              <w:t>进行存档，年底进行汇总，提交采购人。</w:t>
            </w:r>
          </w:p>
        </w:tc>
      </w:tr>
    </w:tbl>
    <w:p w14:paraId="08573DAC">
      <w:pPr>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1.5.</w:t>
      </w:r>
      <w:r>
        <w:rPr>
          <w:rFonts w:ascii="宋体" w:hAnsi="宋体" w:eastAsia="宋体" w:cs="宋体"/>
          <w:szCs w:val="21"/>
          <w:highlight w:val="none"/>
        </w:rPr>
        <w:t>3</w:t>
      </w:r>
      <w:r>
        <w:rPr>
          <w:rFonts w:hint="eastAsia" w:ascii="宋体" w:hAnsi="宋体" w:eastAsia="宋体" w:cs="宋体"/>
          <w:szCs w:val="21"/>
          <w:highlight w:val="none"/>
        </w:rPr>
        <w:t>、其它增值服务</w:t>
      </w:r>
    </w:p>
    <w:tbl>
      <w:tblPr>
        <w:tblStyle w:val="48"/>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8789"/>
      </w:tblGrid>
      <w:tr w14:paraId="3CCD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851" w:type="dxa"/>
            <w:shd w:val="clear" w:color="auto" w:fill="D7D7D7"/>
          </w:tcPr>
          <w:p w14:paraId="74CE807D">
            <w:pPr>
              <w:spacing w:line="400" w:lineRule="exact"/>
              <w:jc w:val="center"/>
              <w:rPr>
                <w:rFonts w:hint="eastAsia" w:ascii="宋体" w:hAnsi="宋体" w:eastAsia="宋体" w:cs="宋体"/>
                <w:b/>
                <w:bCs/>
                <w:szCs w:val="21"/>
                <w:highlight w:val="none"/>
              </w:rPr>
            </w:pPr>
            <w:r>
              <w:rPr>
                <w:rFonts w:hint="eastAsia" w:ascii="宋体" w:hAnsi="宋体" w:eastAsia="宋体" w:cs="宋体"/>
                <w:b/>
                <w:bCs/>
                <w:szCs w:val="21"/>
                <w:highlight w:val="none"/>
              </w:rPr>
              <w:t>序号</w:t>
            </w:r>
          </w:p>
        </w:tc>
        <w:tc>
          <w:tcPr>
            <w:tcW w:w="8789" w:type="dxa"/>
            <w:shd w:val="clear" w:color="auto" w:fill="D7D7D7"/>
          </w:tcPr>
          <w:p w14:paraId="33815F44">
            <w:pPr>
              <w:spacing w:line="400" w:lineRule="exact"/>
              <w:jc w:val="center"/>
              <w:rPr>
                <w:rFonts w:hint="eastAsia" w:ascii="宋体" w:hAnsi="宋体" w:eastAsia="宋体" w:cs="宋体"/>
                <w:b/>
                <w:bCs/>
                <w:szCs w:val="21"/>
                <w:highlight w:val="none"/>
              </w:rPr>
            </w:pPr>
            <w:r>
              <w:rPr>
                <w:rFonts w:hint="eastAsia" w:ascii="宋体" w:hAnsi="宋体" w:eastAsia="宋体" w:cs="宋体"/>
                <w:b/>
                <w:bCs/>
                <w:szCs w:val="21"/>
                <w:highlight w:val="none"/>
              </w:rPr>
              <w:t>其它增值服务</w:t>
            </w:r>
          </w:p>
        </w:tc>
      </w:tr>
      <w:tr w14:paraId="13445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851" w:type="dxa"/>
            <w:vAlign w:val="center"/>
          </w:tcPr>
          <w:p w14:paraId="7AA18CB5">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8789" w:type="dxa"/>
            <w:vAlign w:val="center"/>
          </w:tcPr>
          <w:p w14:paraId="725A5046">
            <w:pPr>
              <w:spacing w:line="400" w:lineRule="exact"/>
              <w:rPr>
                <w:rFonts w:hint="eastAsia" w:ascii="宋体" w:hAnsi="宋体" w:eastAsia="宋体" w:cs="宋体"/>
                <w:szCs w:val="21"/>
                <w:highlight w:val="none"/>
              </w:rPr>
            </w:pPr>
            <w:r>
              <w:rPr>
                <w:rFonts w:hint="eastAsia" w:ascii="宋体" w:hAnsi="宋体" w:eastAsia="宋体" w:cs="宋体"/>
                <w:szCs w:val="21"/>
                <w:highlight w:val="none"/>
              </w:rPr>
              <w:t>指定一名服务协调人，负责与本项目相关的各项事宜。</w:t>
            </w:r>
          </w:p>
        </w:tc>
      </w:tr>
      <w:tr w14:paraId="0A95E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51" w:type="dxa"/>
            <w:vAlign w:val="center"/>
          </w:tcPr>
          <w:p w14:paraId="2A5EAD33">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2</w:t>
            </w:r>
          </w:p>
        </w:tc>
        <w:tc>
          <w:tcPr>
            <w:tcW w:w="8789" w:type="dxa"/>
            <w:vAlign w:val="center"/>
          </w:tcPr>
          <w:p w14:paraId="29493CF6">
            <w:pPr>
              <w:spacing w:line="400" w:lineRule="exact"/>
              <w:rPr>
                <w:rFonts w:hint="eastAsia" w:ascii="宋体" w:hAnsi="宋体" w:eastAsia="宋体" w:cs="宋体"/>
                <w:szCs w:val="21"/>
                <w:highlight w:val="none"/>
              </w:rPr>
            </w:pPr>
            <w:r>
              <w:rPr>
                <w:rFonts w:hint="eastAsia" w:ascii="宋体" w:hAnsi="宋体" w:eastAsia="宋体" w:cs="宋体"/>
                <w:szCs w:val="21"/>
                <w:highlight w:val="none"/>
              </w:rPr>
              <w:t>协助配合因服务器设备搬迀、网络迁移等情况的故障排查工作，必要时对系统进行重新部署。</w:t>
            </w:r>
          </w:p>
        </w:tc>
      </w:tr>
      <w:tr w14:paraId="6803D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51" w:type="dxa"/>
            <w:vAlign w:val="center"/>
          </w:tcPr>
          <w:p w14:paraId="45A773D5">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3</w:t>
            </w:r>
          </w:p>
        </w:tc>
        <w:tc>
          <w:tcPr>
            <w:tcW w:w="8789" w:type="dxa"/>
            <w:vAlign w:val="center"/>
          </w:tcPr>
          <w:p w14:paraId="04DC7568">
            <w:pPr>
              <w:spacing w:line="400" w:lineRule="exact"/>
              <w:rPr>
                <w:rFonts w:hint="eastAsia" w:ascii="宋体" w:hAnsi="宋体" w:eastAsia="宋体" w:cs="宋体"/>
                <w:szCs w:val="21"/>
                <w:highlight w:val="none"/>
              </w:rPr>
            </w:pPr>
            <w:r>
              <w:rPr>
                <w:rFonts w:hint="eastAsia" w:ascii="宋体" w:hAnsi="宋体" w:eastAsia="宋体" w:cs="宋体"/>
                <w:szCs w:val="21"/>
                <w:highlight w:val="none"/>
              </w:rPr>
              <w:t>提供半年技术服务总结报告。</w:t>
            </w:r>
          </w:p>
        </w:tc>
      </w:tr>
      <w:tr w14:paraId="568A3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851" w:type="dxa"/>
            <w:vAlign w:val="center"/>
          </w:tcPr>
          <w:p w14:paraId="461093D7">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4</w:t>
            </w:r>
          </w:p>
        </w:tc>
        <w:tc>
          <w:tcPr>
            <w:tcW w:w="8789" w:type="dxa"/>
            <w:vAlign w:val="center"/>
          </w:tcPr>
          <w:p w14:paraId="613BF5BF">
            <w:pPr>
              <w:spacing w:line="400" w:lineRule="exact"/>
              <w:rPr>
                <w:rFonts w:hint="eastAsia" w:ascii="宋体" w:hAnsi="宋体" w:eastAsia="宋体" w:cs="宋体"/>
                <w:szCs w:val="21"/>
                <w:highlight w:val="none"/>
              </w:rPr>
            </w:pPr>
            <w:r>
              <w:rPr>
                <w:rFonts w:hint="eastAsia" w:ascii="宋体" w:hAnsi="宋体" w:eastAsia="宋体" w:cs="宋体"/>
                <w:szCs w:val="21"/>
                <w:highlight w:val="none"/>
              </w:rPr>
              <w:t>汇总故障处理记录。</w:t>
            </w:r>
          </w:p>
        </w:tc>
      </w:tr>
    </w:tbl>
    <w:p w14:paraId="5220EA8A">
      <w:pPr>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1.5.</w:t>
      </w:r>
      <w:r>
        <w:rPr>
          <w:rFonts w:ascii="宋体" w:hAnsi="宋体" w:eastAsia="宋体" w:cs="宋体"/>
          <w:szCs w:val="21"/>
          <w:highlight w:val="none"/>
        </w:rPr>
        <w:t>4</w:t>
      </w:r>
      <w:r>
        <w:rPr>
          <w:rFonts w:hint="eastAsia" w:ascii="宋体" w:hAnsi="宋体" w:eastAsia="宋体" w:cs="宋体"/>
          <w:szCs w:val="21"/>
          <w:highlight w:val="none"/>
        </w:rPr>
        <w:t>、质量管理</w:t>
      </w:r>
    </w:p>
    <w:p w14:paraId="72C0AF51">
      <w:pPr>
        <w:spacing w:line="400" w:lineRule="exact"/>
        <w:ind w:firstLine="400"/>
        <w:rPr>
          <w:rFonts w:hint="eastAsia" w:ascii="宋体" w:hAnsi="宋体" w:eastAsia="宋体" w:cs="宋体"/>
          <w:szCs w:val="21"/>
          <w:highlight w:val="none"/>
        </w:rPr>
      </w:pPr>
      <w:r>
        <w:rPr>
          <w:rFonts w:hint="eastAsia" w:ascii="宋体" w:hAnsi="宋体" w:eastAsia="宋体" w:cs="宋体"/>
          <w:szCs w:val="21"/>
          <w:highlight w:val="none"/>
        </w:rPr>
        <w:t>（1）服务队伍</w:t>
      </w:r>
    </w:p>
    <w:p w14:paraId="73F4CC5B">
      <w:pPr>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供应商应配备熟悉采购人系统环境的工程师队伍，该工程师队伍的资质及变更需经采购人认可。供应商应配备专职客户服务经理，负责了解采购人需求、制定服务计划、监督服务执行、跟踪并改进服务质量、提交各类服务报告、处理投诉等。</w:t>
      </w:r>
    </w:p>
    <w:p w14:paraId="606F301F">
      <w:pPr>
        <w:spacing w:line="400" w:lineRule="exact"/>
        <w:ind w:firstLine="400"/>
        <w:rPr>
          <w:rFonts w:hint="eastAsia" w:ascii="宋体" w:hAnsi="宋体" w:eastAsia="宋体" w:cs="宋体"/>
          <w:szCs w:val="21"/>
          <w:highlight w:val="none"/>
        </w:rPr>
      </w:pPr>
      <w:r>
        <w:rPr>
          <w:rFonts w:hint="eastAsia" w:ascii="宋体" w:hAnsi="宋体" w:eastAsia="宋体" w:cs="宋体"/>
          <w:szCs w:val="21"/>
          <w:highlight w:val="none"/>
        </w:rPr>
        <w:t>（2）服务质量跟踪</w:t>
      </w:r>
    </w:p>
    <w:p w14:paraId="3643F668">
      <w:pPr>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采购人如对供应商所指派工程师的服务不满意（包括技术能力、服务态度等），有权通过书面形式提出撤换该工程师的要求，供应商应无条件予以执行。</w:t>
      </w:r>
    </w:p>
    <w:p w14:paraId="30EA80DD">
      <w:pPr>
        <w:spacing w:line="400" w:lineRule="exact"/>
        <w:ind w:firstLine="400"/>
        <w:rPr>
          <w:rFonts w:hint="eastAsia" w:ascii="宋体" w:hAnsi="宋体" w:eastAsia="宋体" w:cs="宋体"/>
          <w:b/>
          <w:bCs/>
          <w:szCs w:val="21"/>
          <w:highlight w:val="none"/>
        </w:rPr>
      </w:pPr>
      <w:r>
        <w:rPr>
          <w:rFonts w:hint="eastAsia" w:ascii="宋体" w:hAnsi="宋体" w:eastAsia="宋体" w:cs="宋体"/>
          <w:b/>
          <w:bCs/>
          <w:szCs w:val="21"/>
          <w:highlight w:val="none"/>
        </w:rPr>
        <w:t>1.6、考核体系</w:t>
      </w:r>
    </w:p>
    <w:tbl>
      <w:tblPr>
        <w:tblStyle w:val="48"/>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8788"/>
      </w:tblGrid>
      <w:tr w14:paraId="370EA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10" w:type="dxa"/>
            <w:shd w:val="clear" w:color="auto" w:fill="D7D7D7"/>
          </w:tcPr>
          <w:p w14:paraId="1A1B66F3">
            <w:pPr>
              <w:spacing w:line="400" w:lineRule="exact"/>
              <w:rPr>
                <w:rFonts w:hint="eastAsia" w:ascii="宋体" w:hAnsi="宋体" w:eastAsia="宋体" w:cs="宋体"/>
                <w:b/>
                <w:bCs/>
                <w:szCs w:val="21"/>
                <w:highlight w:val="none"/>
              </w:rPr>
            </w:pPr>
            <w:r>
              <w:rPr>
                <w:rFonts w:hint="eastAsia" w:ascii="宋体" w:hAnsi="宋体" w:eastAsia="宋体" w:cs="宋体"/>
                <w:b/>
                <w:bCs/>
                <w:szCs w:val="21"/>
                <w:highlight w:val="none"/>
              </w:rPr>
              <w:t>序号</w:t>
            </w:r>
          </w:p>
        </w:tc>
        <w:tc>
          <w:tcPr>
            <w:tcW w:w="8788" w:type="dxa"/>
            <w:shd w:val="clear" w:color="auto" w:fill="D7D7D7"/>
          </w:tcPr>
          <w:p w14:paraId="512B8F7E">
            <w:pPr>
              <w:spacing w:line="400" w:lineRule="exact"/>
              <w:jc w:val="center"/>
              <w:rPr>
                <w:rFonts w:hint="eastAsia" w:ascii="宋体" w:hAnsi="宋体" w:eastAsia="宋体" w:cs="宋体"/>
                <w:b/>
                <w:bCs/>
                <w:szCs w:val="21"/>
                <w:highlight w:val="none"/>
              </w:rPr>
            </w:pPr>
            <w:r>
              <w:rPr>
                <w:rFonts w:hint="eastAsia" w:ascii="宋体" w:hAnsi="宋体" w:eastAsia="宋体" w:cs="宋体"/>
                <w:b/>
                <w:bCs/>
                <w:szCs w:val="21"/>
                <w:highlight w:val="none"/>
              </w:rPr>
              <w:t>考核项</w:t>
            </w:r>
          </w:p>
        </w:tc>
      </w:tr>
      <w:tr w14:paraId="3CAD4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10" w:type="dxa"/>
            <w:vAlign w:val="center"/>
          </w:tcPr>
          <w:p w14:paraId="2B146086">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8788" w:type="dxa"/>
            <w:vAlign w:val="center"/>
          </w:tcPr>
          <w:p w14:paraId="5DE430BA">
            <w:pPr>
              <w:spacing w:line="400" w:lineRule="exact"/>
              <w:rPr>
                <w:rFonts w:hint="eastAsia" w:ascii="宋体" w:hAnsi="宋体" w:eastAsia="宋体" w:cs="宋体"/>
                <w:szCs w:val="21"/>
                <w:highlight w:val="none"/>
              </w:rPr>
            </w:pPr>
            <w:r>
              <w:rPr>
                <w:rFonts w:hint="eastAsia" w:ascii="宋体" w:hAnsi="宋体" w:eastAsia="宋体" w:cs="宋体"/>
                <w:szCs w:val="21"/>
                <w:highlight w:val="none"/>
              </w:rPr>
              <w:t>每月未能及时出具数据月报每次扣2000元，每天对前三天的督办情况进行分析汇总，出具报告，未及时出具的每次扣1000元。</w:t>
            </w:r>
          </w:p>
        </w:tc>
      </w:tr>
      <w:tr w14:paraId="67C9A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10" w:type="dxa"/>
            <w:vAlign w:val="center"/>
          </w:tcPr>
          <w:p w14:paraId="710D8C9B">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2</w:t>
            </w:r>
          </w:p>
        </w:tc>
        <w:tc>
          <w:tcPr>
            <w:tcW w:w="8788" w:type="dxa"/>
            <w:vAlign w:val="center"/>
          </w:tcPr>
          <w:p w14:paraId="1578364C">
            <w:pPr>
              <w:spacing w:line="400" w:lineRule="exact"/>
              <w:rPr>
                <w:rFonts w:hint="eastAsia" w:ascii="宋体" w:hAnsi="宋体" w:eastAsia="宋体" w:cs="宋体"/>
                <w:szCs w:val="21"/>
                <w:highlight w:val="none"/>
              </w:rPr>
            </w:pPr>
            <w:r>
              <w:rPr>
                <w:rFonts w:hint="eastAsia" w:ascii="宋体" w:hAnsi="宋体" w:eastAsia="宋体" w:cs="宋体"/>
                <w:szCs w:val="21"/>
                <w:highlight w:val="none"/>
              </w:rPr>
              <w:t>供应商对平台数据出现零值、恒值、异常等在规定时限内未响应的每次扣2000元。</w:t>
            </w:r>
          </w:p>
        </w:tc>
      </w:tr>
      <w:tr w14:paraId="6139E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10" w:type="dxa"/>
            <w:vAlign w:val="center"/>
          </w:tcPr>
          <w:p w14:paraId="318A0A5E">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3</w:t>
            </w:r>
          </w:p>
        </w:tc>
        <w:tc>
          <w:tcPr>
            <w:tcW w:w="8788" w:type="dxa"/>
            <w:vAlign w:val="center"/>
          </w:tcPr>
          <w:p w14:paraId="412280D3">
            <w:pPr>
              <w:spacing w:line="400" w:lineRule="exact"/>
              <w:rPr>
                <w:rFonts w:hint="eastAsia" w:ascii="宋体" w:hAnsi="宋体" w:eastAsia="宋体" w:cs="宋体"/>
                <w:szCs w:val="21"/>
                <w:highlight w:val="none"/>
              </w:rPr>
            </w:pPr>
            <w:r>
              <w:rPr>
                <w:rFonts w:hint="eastAsia" w:ascii="宋体" w:hAnsi="宋体" w:eastAsia="宋体" w:cs="宋体"/>
                <w:szCs w:val="21"/>
                <w:highlight w:val="none"/>
              </w:rPr>
              <w:t>供应商未按标书要求响应的每次扣5000元。</w:t>
            </w:r>
          </w:p>
        </w:tc>
      </w:tr>
      <w:tr w14:paraId="206BE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10" w:type="dxa"/>
            <w:vAlign w:val="center"/>
          </w:tcPr>
          <w:p w14:paraId="7C7ECFFC">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4</w:t>
            </w:r>
          </w:p>
        </w:tc>
        <w:tc>
          <w:tcPr>
            <w:tcW w:w="8788" w:type="dxa"/>
            <w:vAlign w:val="center"/>
          </w:tcPr>
          <w:p w14:paraId="3CD181EC">
            <w:pPr>
              <w:spacing w:line="400" w:lineRule="exact"/>
              <w:rPr>
                <w:rFonts w:hint="eastAsia" w:ascii="宋体" w:hAnsi="宋体" w:eastAsia="宋体" w:cs="宋体"/>
                <w:szCs w:val="21"/>
                <w:highlight w:val="none"/>
              </w:rPr>
            </w:pPr>
            <w:r>
              <w:rPr>
                <w:rFonts w:hint="eastAsia" w:ascii="宋体" w:hAnsi="宋体" w:eastAsia="宋体" w:cs="宋体"/>
                <w:szCs w:val="21"/>
                <w:highlight w:val="none"/>
              </w:rPr>
              <w:t>供应商运维过程中出现质量问题经采购人认定非客观原因造成，每次扣5000元。</w:t>
            </w:r>
          </w:p>
        </w:tc>
      </w:tr>
      <w:tr w14:paraId="645B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10" w:type="dxa"/>
            <w:vAlign w:val="center"/>
          </w:tcPr>
          <w:p w14:paraId="4D3C27D7">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5</w:t>
            </w:r>
          </w:p>
        </w:tc>
        <w:tc>
          <w:tcPr>
            <w:tcW w:w="8788" w:type="dxa"/>
            <w:vAlign w:val="center"/>
          </w:tcPr>
          <w:p w14:paraId="395C5F0D">
            <w:pPr>
              <w:spacing w:line="400" w:lineRule="exact"/>
              <w:rPr>
                <w:rFonts w:hint="eastAsia" w:ascii="宋体" w:hAnsi="宋体" w:eastAsia="宋体" w:cs="宋体"/>
                <w:szCs w:val="21"/>
                <w:highlight w:val="none"/>
              </w:rPr>
            </w:pPr>
            <w:r>
              <w:rPr>
                <w:rFonts w:hint="eastAsia" w:ascii="宋体" w:hAnsi="宋体" w:eastAsia="宋体" w:cs="宋体"/>
                <w:szCs w:val="21"/>
                <w:highlight w:val="none"/>
              </w:rPr>
              <w:t>合同期内供应商应积极配合需方查找出造成有效传输率低的问题，并提供书面报告配合解决，未能及时出具报告，每次扣2000元。</w:t>
            </w:r>
          </w:p>
        </w:tc>
      </w:tr>
      <w:tr w14:paraId="20DA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10" w:type="dxa"/>
            <w:vAlign w:val="center"/>
          </w:tcPr>
          <w:p w14:paraId="67E3E93B">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6</w:t>
            </w:r>
          </w:p>
        </w:tc>
        <w:tc>
          <w:tcPr>
            <w:tcW w:w="8788" w:type="dxa"/>
            <w:vAlign w:val="center"/>
          </w:tcPr>
          <w:p w14:paraId="341FD280">
            <w:pPr>
              <w:spacing w:line="400" w:lineRule="exact"/>
              <w:rPr>
                <w:rFonts w:hint="eastAsia" w:ascii="宋体" w:hAnsi="宋体" w:eastAsia="宋体" w:cs="宋体"/>
                <w:szCs w:val="21"/>
                <w:highlight w:val="none"/>
              </w:rPr>
            </w:pPr>
            <w:r>
              <w:rPr>
                <w:rFonts w:hint="eastAsia" w:ascii="宋体" w:hAnsi="宋体" w:eastAsia="宋体" w:cs="宋体"/>
                <w:szCs w:val="21"/>
                <w:highlight w:val="none"/>
              </w:rPr>
              <w:t>现场有数据而因系统无法完成补采的，查明是系统故障造成的，每次扣2000元。</w:t>
            </w:r>
          </w:p>
        </w:tc>
      </w:tr>
      <w:tr w14:paraId="0E139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10" w:type="dxa"/>
            <w:vAlign w:val="center"/>
          </w:tcPr>
          <w:p w14:paraId="7E553056">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7</w:t>
            </w:r>
          </w:p>
        </w:tc>
        <w:tc>
          <w:tcPr>
            <w:tcW w:w="8788" w:type="dxa"/>
            <w:vAlign w:val="center"/>
          </w:tcPr>
          <w:p w14:paraId="6CD8FFCD">
            <w:pPr>
              <w:spacing w:line="400" w:lineRule="exact"/>
              <w:rPr>
                <w:rFonts w:hint="eastAsia" w:ascii="宋体" w:hAnsi="宋体" w:eastAsia="宋体" w:cs="宋体"/>
                <w:szCs w:val="21"/>
                <w:highlight w:val="none"/>
              </w:rPr>
            </w:pPr>
            <w:r>
              <w:rPr>
                <w:rFonts w:hint="eastAsia" w:ascii="宋体" w:hAnsi="宋体" w:eastAsia="宋体" w:cs="宋体"/>
                <w:szCs w:val="21"/>
                <w:highlight w:val="none"/>
              </w:rPr>
              <w:t>上报环保部的在线监控数据，应积极配合协助完成，未能及时完成需提供书面报告并配合解决，未能及时出具书面报告，每次扣2000元。</w:t>
            </w:r>
          </w:p>
        </w:tc>
      </w:tr>
      <w:tr w14:paraId="3838C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710" w:type="dxa"/>
            <w:vAlign w:val="center"/>
          </w:tcPr>
          <w:p w14:paraId="1FFD175D">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8</w:t>
            </w:r>
          </w:p>
        </w:tc>
        <w:tc>
          <w:tcPr>
            <w:tcW w:w="8788" w:type="dxa"/>
            <w:vAlign w:val="center"/>
          </w:tcPr>
          <w:p w14:paraId="000CC404">
            <w:pPr>
              <w:spacing w:line="400" w:lineRule="exact"/>
              <w:rPr>
                <w:rFonts w:hint="eastAsia" w:ascii="宋体" w:hAnsi="宋体" w:eastAsia="宋体" w:cs="宋体"/>
                <w:szCs w:val="21"/>
                <w:highlight w:val="none"/>
              </w:rPr>
            </w:pPr>
            <w:r>
              <w:rPr>
                <w:rFonts w:hint="eastAsia" w:ascii="宋体" w:hAnsi="宋体" w:eastAsia="宋体" w:cs="宋体"/>
                <w:szCs w:val="21"/>
                <w:highlight w:val="none"/>
              </w:rPr>
              <w:t>因软件BUG问题未能及时修复，导致数据达不到国家考核要求扣分的，每个扣1000元。</w:t>
            </w:r>
          </w:p>
        </w:tc>
      </w:tr>
      <w:tr w14:paraId="36A9A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10" w:type="dxa"/>
            <w:vAlign w:val="center"/>
          </w:tcPr>
          <w:p w14:paraId="2F04ED93">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9</w:t>
            </w:r>
          </w:p>
        </w:tc>
        <w:tc>
          <w:tcPr>
            <w:tcW w:w="8788" w:type="dxa"/>
            <w:vAlign w:val="center"/>
          </w:tcPr>
          <w:p w14:paraId="11C6924D">
            <w:pPr>
              <w:spacing w:line="400" w:lineRule="exact"/>
              <w:rPr>
                <w:rFonts w:hint="eastAsia" w:ascii="宋体" w:hAnsi="宋体" w:eastAsia="宋体" w:cs="宋体"/>
                <w:szCs w:val="21"/>
                <w:highlight w:val="none"/>
              </w:rPr>
            </w:pPr>
            <w:r>
              <w:rPr>
                <w:rFonts w:hint="eastAsia" w:ascii="宋体" w:hAnsi="宋体" w:eastAsia="宋体" w:cs="宋体"/>
                <w:szCs w:val="21"/>
                <w:highlight w:val="none"/>
              </w:rPr>
              <w:t>出现市州满意度调查低于60分的，每次扣5000元。</w:t>
            </w:r>
          </w:p>
        </w:tc>
      </w:tr>
      <w:tr w14:paraId="02D07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10" w:type="dxa"/>
            <w:vAlign w:val="center"/>
          </w:tcPr>
          <w:p w14:paraId="1C34A88D">
            <w:pPr>
              <w:spacing w:line="400" w:lineRule="exact"/>
              <w:jc w:val="center"/>
              <w:rPr>
                <w:rFonts w:hint="eastAsia" w:ascii="宋体" w:hAnsi="宋体" w:eastAsia="宋体" w:cs="宋体"/>
                <w:szCs w:val="21"/>
                <w:highlight w:val="none"/>
              </w:rPr>
            </w:pPr>
            <w:r>
              <w:rPr>
                <w:rFonts w:hint="eastAsia" w:ascii="宋体" w:hAnsi="宋体" w:eastAsia="宋体" w:cs="宋体"/>
                <w:szCs w:val="21"/>
                <w:highlight w:val="none"/>
              </w:rPr>
              <w:t>10</w:t>
            </w:r>
          </w:p>
        </w:tc>
        <w:tc>
          <w:tcPr>
            <w:tcW w:w="8788" w:type="dxa"/>
            <w:vAlign w:val="center"/>
          </w:tcPr>
          <w:p w14:paraId="3B57BA9F">
            <w:pPr>
              <w:spacing w:line="400" w:lineRule="exact"/>
              <w:rPr>
                <w:rFonts w:hint="eastAsia" w:ascii="宋体" w:hAnsi="宋体" w:eastAsia="宋体" w:cs="宋体"/>
                <w:szCs w:val="21"/>
                <w:highlight w:val="none"/>
              </w:rPr>
            </w:pPr>
            <w:r>
              <w:rPr>
                <w:rFonts w:hint="eastAsia" w:ascii="宋体" w:hAnsi="宋体" w:eastAsia="宋体" w:cs="宋体"/>
                <w:szCs w:val="21"/>
                <w:highlight w:val="none"/>
              </w:rPr>
              <w:t>出现数据补全有效传输率低于9</w:t>
            </w:r>
            <w:r>
              <w:rPr>
                <w:rFonts w:hint="eastAsia" w:ascii="宋体" w:hAnsi="宋体" w:cs="宋体"/>
                <w:szCs w:val="21"/>
                <w:highlight w:val="none"/>
                <w:lang w:val="en-US" w:eastAsia="zh-CN"/>
              </w:rPr>
              <w:t>6</w:t>
            </w:r>
            <w:r>
              <w:rPr>
                <w:rFonts w:hint="eastAsia" w:ascii="宋体" w:hAnsi="宋体" w:eastAsia="宋体" w:cs="宋体"/>
                <w:szCs w:val="21"/>
                <w:highlight w:val="none"/>
              </w:rPr>
              <w:t>%的，经认定是供应商原因造成的，每低0.1个百分点扣5000元。</w:t>
            </w:r>
          </w:p>
        </w:tc>
      </w:tr>
      <w:bookmarkEnd w:id="394"/>
    </w:tbl>
    <w:p w14:paraId="29706780">
      <w:pPr>
        <w:spacing w:line="400" w:lineRule="exact"/>
        <w:ind w:firstLine="422" w:firstLineChars="200"/>
        <w:jc w:val="left"/>
        <w:rPr>
          <w:rFonts w:hint="default" w:ascii="宋体" w:hAnsi="宋体" w:eastAsia="宋体" w:cs="宋体"/>
          <w:b/>
          <w:szCs w:val="21"/>
          <w:highlight w:val="none"/>
          <w:lang w:val="en-US" w:eastAsia="zh-CN"/>
        </w:rPr>
      </w:pPr>
      <w:r>
        <w:rPr>
          <w:rFonts w:hint="eastAsia" w:ascii="宋体" w:hAnsi="宋体" w:eastAsia="宋体" w:cs="宋体"/>
          <w:b/>
          <w:szCs w:val="21"/>
          <w:highlight w:val="none"/>
          <w:lang w:val="en-US" w:eastAsia="zh-CN"/>
        </w:rPr>
        <w:t>六</w:t>
      </w:r>
      <w:r>
        <w:rPr>
          <w:rFonts w:hint="eastAsia" w:ascii="宋体" w:hAnsi="宋体" w:eastAsia="宋体" w:cs="宋体"/>
          <w:b/>
          <w:szCs w:val="21"/>
          <w:highlight w:val="none"/>
        </w:rPr>
        <w:t>、</w:t>
      </w:r>
      <w:r>
        <w:rPr>
          <w:rFonts w:hint="eastAsia" w:ascii="宋体" w:hAnsi="宋体" w:eastAsia="宋体" w:cs="宋体"/>
          <w:b/>
          <w:szCs w:val="21"/>
          <w:highlight w:val="none"/>
          <w:lang w:val="en-US" w:eastAsia="zh-CN"/>
        </w:rPr>
        <w:t>其他商务及技术要求</w:t>
      </w:r>
    </w:p>
    <w:p w14:paraId="24B1E6A6">
      <w:pPr>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1、</w:t>
      </w:r>
      <w:r>
        <w:rPr>
          <w:rFonts w:hint="eastAsia" w:ascii="宋体" w:hAnsi="宋体" w:eastAsia="宋体" w:cs="宋体"/>
          <w:szCs w:val="21"/>
          <w:highlight w:val="none"/>
        </w:rPr>
        <w:t>本项目采取简易验收程序，同时采购人将组织内部评审，服务过程须满足招标文件和相关法规政策，否则不予以验收。</w:t>
      </w:r>
    </w:p>
    <w:p w14:paraId="7F49BB06">
      <w:pPr>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2、结算方法：</w:t>
      </w:r>
    </w:p>
    <w:p w14:paraId="324A08C9">
      <w:pPr>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2.1付款人：</w:t>
      </w:r>
      <w:r>
        <w:rPr>
          <w:rFonts w:hint="eastAsia" w:ascii="宋体" w:hAnsi="宋体" w:eastAsia="宋体" w:cs="宋体"/>
          <w:szCs w:val="21"/>
          <w:highlight w:val="none"/>
          <w:lang w:eastAsia="zh-CN"/>
        </w:rPr>
        <w:t>湖南省环境应急与事故调查中心</w:t>
      </w:r>
    </w:p>
    <w:p w14:paraId="191B6162">
      <w:pPr>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2.2付款方式：签订合同后，采购人支付合同总金额的</w:t>
      </w:r>
      <w:r>
        <w:rPr>
          <w:rFonts w:hint="eastAsia" w:ascii="宋体" w:hAnsi="宋体" w:cs="宋体"/>
          <w:szCs w:val="21"/>
          <w:highlight w:val="none"/>
          <w:lang w:val="en-US" w:eastAsia="zh-CN"/>
        </w:rPr>
        <w:t>70</w:t>
      </w:r>
      <w:r>
        <w:rPr>
          <w:rFonts w:hint="eastAsia" w:ascii="宋体" w:hAnsi="宋体" w:eastAsia="宋体" w:cs="宋体"/>
          <w:szCs w:val="21"/>
          <w:highlight w:val="none"/>
        </w:rPr>
        <w:t>%；提交项目最终成果并验收合格后，采购人再支付合同总金额的</w:t>
      </w:r>
      <w:r>
        <w:rPr>
          <w:rFonts w:hint="eastAsia" w:ascii="宋体" w:hAnsi="宋体" w:cs="宋体"/>
          <w:szCs w:val="21"/>
          <w:highlight w:val="none"/>
          <w:lang w:val="en-US" w:eastAsia="zh-CN"/>
        </w:rPr>
        <w:t>30</w:t>
      </w:r>
      <w:r>
        <w:rPr>
          <w:rFonts w:hint="eastAsia" w:ascii="宋体" w:hAnsi="宋体" w:eastAsia="宋体" w:cs="宋体"/>
          <w:szCs w:val="21"/>
          <w:highlight w:val="none"/>
        </w:rPr>
        <w:t>%（不计利息）。采购人支付每笔款项前,成交供应商应提供合法等额且符合采购人要求的增值税发票,否则采购人有权相应顺延付款时间且不视为采购人违约，同时成交供应商应继续履行本合同项下约定义务。以上付款条件以财政资金到账的情况为前提，因政府财政审批流程导致付款迟延的，成交供应商应予以理解，不视为采购人违约。</w:t>
      </w:r>
    </w:p>
    <w:p w14:paraId="6626EDC1">
      <w:pPr>
        <w:spacing w:line="400" w:lineRule="exact"/>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本项目采用全费用包干方式承包服务。成交供应商应根据项目要求和现场情况，详细列明项目服务所需的所有费用，包括但不限于部件、材料、服务管理、检验、技术培训、交通、风险承担、利润、税金等各项费用。在本项目服务合同结算时，采购人不再支付其他任何费用。</w:t>
      </w:r>
    </w:p>
    <w:p w14:paraId="6E8BBF01">
      <w:pPr>
        <w:spacing w:line="400" w:lineRule="exact"/>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4、供应商或成交供应商在参与本项目的全部过程中，应负责其派出的所有工作人员的人身意外保险以及承担人身意外事故引发的责任、损失和所有费用。</w:t>
      </w:r>
    </w:p>
    <w:p w14:paraId="768AB207">
      <w:pPr>
        <w:spacing w:line="400" w:lineRule="exact"/>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5、成交供应商须承诺服务过程中，所有服务人员应对采购人或相关单位提供的资料进行保密，且所有服务过程及交付成果均符合国家标准和政策要求。</w:t>
      </w:r>
    </w:p>
    <w:p w14:paraId="216E1EE1">
      <w:pPr>
        <w:spacing w:line="400" w:lineRule="exact"/>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6、本项目采购人不组织现场勘测，投标人应根据项目的要求和项目实际情况，自行了解项目现场情况，有关费用及责任自行承担。</w:t>
      </w:r>
    </w:p>
    <w:p w14:paraId="006DF388">
      <w:pPr>
        <w:spacing w:line="400" w:lineRule="exact"/>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7、其他未说明事项或者需要补充的部分，采购人与成交人双方在签订合同时自行约定。</w:t>
      </w:r>
    </w:p>
    <w:p w14:paraId="3553B129">
      <w:pPr>
        <w:spacing w:line="400" w:lineRule="exact"/>
        <w:ind w:firstLine="482" w:firstLineChars="200"/>
        <w:rPr>
          <w:rFonts w:hint="eastAsia" w:ascii="宋体" w:hAnsi="宋体" w:eastAsia="宋体" w:cs="宋体"/>
          <w:szCs w:val="21"/>
          <w:highlight w:val="none"/>
          <w:lang w:val="en-US" w:eastAsia="zh-CN"/>
        </w:rPr>
      </w:pPr>
      <w:r>
        <w:rPr>
          <w:rFonts w:hint="eastAsia" w:ascii="宋体" w:hAnsi="宋体" w:eastAsia="宋体" w:cs="宋体"/>
          <w:b/>
          <w:bCs/>
          <w:sz w:val="24"/>
          <w:szCs w:val="24"/>
          <w:highlight w:val="none"/>
          <w:lang w:val="en-US" w:eastAsia="zh-CN"/>
        </w:rPr>
        <w:t>对于上述项目要求，供应商应在响应文件中进行响应。</w:t>
      </w:r>
    </w:p>
    <w:p w14:paraId="3A2B415C">
      <w:pPr>
        <w:rPr>
          <w:rFonts w:hint="eastAsia" w:ascii="宋体" w:hAnsi="宋体" w:cs="宋体"/>
          <w:b/>
          <w:bCs/>
          <w:szCs w:val="21"/>
          <w:highlight w:val="none"/>
        </w:rPr>
      </w:pPr>
      <w:r>
        <w:rPr>
          <w:rFonts w:hint="eastAsia" w:ascii="宋体" w:hAnsi="宋体" w:cs="宋体"/>
          <w:b/>
          <w:bCs/>
          <w:szCs w:val="21"/>
          <w:highlight w:val="none"/>
        </w:rPr>
        <w:br w:type="page"/>
      </w:r>
    </w:p>
    <w:p w14:paraId="6F0DEF94">
      <w:pPr>
        <w:widowControl/>
        <w:spacing w:line="480" w:lineRule="auto"/>
        <w:jc w:val="center"/>
        <w:outlineLvl w:val="0"/>
        <w:rPr>
          <w:highlight w:val="none"/>
        </w:rPr>
      </w:pPr>
      <w:bookmarkStart w:id="395" w:name="_Toc28734"/>
      <w:bookmarkStart w:id="396" w:name="_Toc10864"/>
      <w:bookmarkStart w:id="397" w:name="_Toc992"/>
      <w:bookmarkStart w:id="398" w:name="_Toc3889"/>
      <w:r>
        <w:rPr>
          <w:rFonts w:hint="eastAsia" w:ascii="黑体" w:hAnsi="黑体" w:eastAsia="黑体"/>
          <w:sz w:val="32"/>
          <w:szCs w:val="32"/>
          <w:highlight w:val="none"/>
        </w:rPr>
        <w:t>第五章  合同草案条款</w:t>
      </w:r>
      <w:bookmarkEnd w:id="395"/>
      <w:bookmarkEnd w:id="396"/>
      <w:bookmarkEnd w:id="397"/>
      <w:bookmarkEnd w:id="398"/>
    </w:p>
    <w:p w14:paraId="49470264">
      <w:pPr>
        <w:widowControl/>
        <w:spacing w:line="480" w:lineRule="auto"/>
        <w:jc w:val="center"/>
        <w:rPr>
          <w:highlight w:val="none"/>
        </w:rPr>
      </w:pPr>
      <w:r>
        <w:rPr>
          <w:rFonts w:hint="eastAsia"/>
          <w:highlight w:val="none"/>
        </w:rPr>
        <w:t>（本合同为参考格式、具体以实际签订合同为准）</w:t>
      </w:r>
    </w:p>
    <w:p w14:paraId="2CFDB376">
      <w:pPr>
        <w:keepNext/>
        <w:keepLines/>
        <w:adjustRightInd w:val="0"/>
        <w:snapToGrid w:val="0"/>
        <w:spacing w:line="360" w:lineRule="auto"/>
        <w:jc w:val="center"/>
        <w:outlineLvl w:val="1"/>
        <w:rPr>
          <w:rFonts w:hint="eastAsia" w:ascii="黑体" w:hAnsi="华文中宋" w:eastAsia="黑体"/>
          <w:b/>
          <w:bCs/>
          <w:sz w:val="28"/>
          <w:szCs w:val="28"/>
          <w:highlight w:val="none"/>
        </w:rPr>
      </w:pPr>
      <w:bookmarkStart w:id="399" w:name="_Toc20545"/>
      <w:bookmarkStart w:id="400" w:name="_Toc20391"/>
      <w:bookmarkStart w:id="401" w:name="_Toc256000044"/>
      <w:bookmarkStart w:id="402" w:name="_Toc15279"/>
      <w:bookmarkStart w:id="403" w:name="_Toc26092"/>
      <w:bookmarkStart w:id="404" w:name="_Toc12623"/>
      <w:bookmarkStart w:id="405" w:name="_Toc29913945"/>
      <w:bookmarkStart w:id="406" w:name="_Toc22201136"/>
      <w:bookmarkStart w:id="407" w:name="_Toc19628646"/>
      <w:r>
        <w:rPr>
          <w:rFonts w:hint="eastAsia" w:ascii="Arial" w:hAnsi="Arial"/>
          <w:b/>
          <w:bCs/>
          <w:sz w:val="30"/>
          <w:szCs w:val="30"/>
          <w:highlight w:val="none"/>
        </w:rPr>
        <w:t>第一节 政府采购合同协议书</w:t>
      </w:r>
      <w:bookmarkEnd w:id="399"/>
      <w:bookmarkEnd w:id="400"/>
      <w:bookmarkEnd w:id="401"/>
      <w:bookmarkEnd w:id="402"/>
      <w:bookmarkEnd w:id="403"/>
      <w:bookmarkEnd w:id="404"/>
      <w:bookmarkEnd w:id="405"/>
    </w:p>
    <w:p w14:paraId="4F4506E6">
      <w:pPr>
        <w:pStyle w:val="333"/>
        <w:adjustRightInd w:val="0"/>
        <w:snapToGrid w:val="0"/>
        <w:spacing w:before="120" w:beforeLines="50" w:line="360" w:lineRule="auto"/>
        <w:ind w:firstLine="5460" w:firstLineChars="2600"/>
        <w:rPr>
          <w:rFonts w:hint="eastAsia" w:ascii="宋体" w:hAnsi="宋体"/>
          <w:b/>
          <w:szCs w:val="21"/>
          <w:highlight w:val="none"/>
        </w:rPr>
      </w:pPr>
      <w:r>
        <w:rPr>
          <w:rFonts w:hint="eastAsia" w:ascii="宋体" w:hAnsi="宋体"/>
          <w:szCs w:val="21"/>
          <w:highlight w:val="none"/>
        </w:rPr>
        <w:t>采购合同编号：</w:t>
      </w:r>
      <w:r>
        <w:rPr>
          <w:rFonts w:hint="eastAsia" w:ascii="宋体" w:hAnsi="宋体"/>
          <w:szCs w:val="21"/>
          <w:highlight w:val="none"/>
          <w:u w:val="single"/>
        </w:rPr>
        <w:t xml:space="preserve">                 </w:t>
      </w:r>
    </w:p>
    <w:p w14:paraId="71557D7F">
      <w:pPr>
        <w:pStyle w:val="333"/>
        <w:adjustRightInd w:val="0"/>
        <w:snapToGrid w:val="0"/>
        <w:spacing w:line="460" w:lineRule="exact"/>
        <w:rPr>
          <w:rFonts w:hint="eastAsia" w:ascii="宋体" w:hAnsi="宋体"/>
          <w:szCs w:val="21"/>
          <w:highlight w:val="none"/>
        </w:rPr>
      </w:pPr>
      <w:r>
        <w:rPr>
          <w:rFonts w:hint="eastAsia" w:ascii="宋体" w:hAnsi="宋体"/>
          <w:szCs w:val="21"/>
          <w:highlight w:val="none"/>
        </w:rPr>
        <w:t>采购人（全称）：</w:t>
      </w:r>
      <w:r>
        <w:rPr>
          <w:rFonts w:hint="eastAsia" w:ascii="宋体" w:hAnsi="宋体"/>
          <w:szCs w:val="21"/>
          <w:highlight w:val="none"/>
          <w:u w:val="single"/>
        </w:rPr>
        <w:t xml:space="preserve">                             </w:t>
      </w:r>
      <w:r>
        <w:rPr>
          <w:rFonts w:hint="eastAsia" w:ascii="宋体" w:hAnsi="宋体"/>
          <w:szCs w:val="21"/>
          <w:highlight w:val="none"/>
        </w:rPr>
        <w:t>（甲方）</w:t>
      </w:r>
    </w:p>
    <w:p w14:paraId="796306EA">
      <w:pPr>
        <w:pStyle w:val="333"/>
        <w:adjustRightInd w:val="0"/>
        <w:snapToGrid w:val="0"/>
        <w:spacing w:line="460" w:lineRule="exact"/>
        <w:rPr>
          <w:rFonts w:hint="eastAsia" w:ascii="宋体" w:hAnsi="宋体"/>
          <w:szCs w:val="21"/>
          <w:highlight w:val="none"/>
        </w:rPr>
      </w:pPr>
      <w:r>
        <w:rPr>
          <w:rFonts w:hint="eastAsia" w:ascii="宋体" w:hAnsi="宋体"/>
          <w:szCs w:val="21"/>
          <w:highlight w:val="none"/>
        </w:rPr>
        <w:t>供应商（全称）：</w:t>
      </w:r>
      <w:r>
        <w:rPr>
          <w:rFonts w:hint="eastAsia" w:ascii="宋体" w:hAnsi="宋体"/>
          <w:szCs w:val="21"/>
          <w:highlight w:val="none"/>
          <w:u w:val="single"/>
        </w:rPr>
        <w:t xml:space="preserve">                             </w:t>
      </w:r>
      <w:r>
        <w:rPr>
          <w:rFonts w:hint="eastAsia" w:ascii="宋体" w:hAnsi="宋体"/>
          <w:szCs w:val="21"/>
          <w:highlight w:val="none"/>
        </w:rPr>
        <w:t>（乙方）</w:t>
      </w:r>
    </w:p>
    <w:p w14:paraId="32E1FFCD">
      <w:pPr>
        <w:pStyle w:val="339"/>
        <w:adjustRightInd w:val="0"/>
        <w:snapToGrid w:val="0"/>
        <w:spacing w:after="0" w:line="460" w:lineRule="exact"/>
        <w:rPr>
          <w:rFonts w:hint="eastAsia" w:ascii="宋体" w:hAnsi="宋体"/>
          <w:szCs w:val="21"/>
          <w:highlight w:val="none"/>
        </w:rPr>
      </w:pPr>
    </w:p>
    <w:p w14:paraId="1F6CC7E2">
      <w:pPr>
        <w:pStyle w:val="339"/>
        <w:adjustRightInd w:val="0"/>
        <w:snapToGrid w:val="0"/>
        <w:spacing w:after="0" w:line="460" w:lineRule="exact"/>
        <w:ind w:left="0" w:leftChars="0" w:firstLine="420" w:firstLineChars="200"/>
        <w:rPr>
          <w:rFonts w:hint="eastAsia" w:ascii="宋体" w:hAnsi="宋体"/>
          <w:szCs w:val="21"/>
          <w:highlight w:val="none"/>
        </w:rPr>
      </w:pPr>
      <w:r>
        <w:rPr>
          <w:rFonts w:hint="eastAsia" w:ascii="宋体" w:hAnsi="宋体"/>
          <w:szCs w:val="21"/>
          <w:highlight w:val="none"/>
        </w:rPr>
        <w:t>为了保护甲、乙双方合法权益，根据《中华人民共和国民法典》、《中华人民共和国政府采购法》及其他有关法律、法规、规章，双方签订本合同协议书。</w:t>
      </w:r>
    </w:p>
    <w:p w14:paraId="2A292E24">
      <w:pPr>
        <w:pStyle w:val="333"/>
        <w:adjustRightInd w:val="0"/>
        <w:snapToGrid w:val="0"/>
        <w:spacing w:line="460" w:lineRule="exact"/>
        <w:ind w:firstLine="422" w:firstLineChars="200"/>
        <w:rPr>
          <w:rFonts w:hint="eastAsia" w:ascii="宋体" w:hAnsi="宋体"/>
          <w:b/>
          <w:szCs w:val="21"/>
          <w:highlight w:val="none"/>
        </w:rPr>
      </w:pPr>
      <w:r>
        <w:rPr>
          <w:rFonts w:hint="eastAsia" w:ascii="宋体" w:hAnsi="宋体"/>
          <w:b/>
          <w:szCs w:val="21"/>
          <w:highlight w:val="none"/>
        </w:rPr>
        <w:t>1.项目信息</w:t>
      </w:r>
    </w:p>
    <w:p w14:paraId="3ECE7005">
      <w:pPr>
        <w:pStyle w:val="339"/>
        <w:adjustRightInd w:val="0"/>
        <w:snapToGrid w:val="0"/>
        <w:spacing w:after="0" w:line="460" w:lineRule="exact"/>
        <w:rPr>
          <w:rFonts w:hint="eastAsia" w:ascii="宋体" w:hAnsi="宋体"/>
          <w:szCs w:val="21"/>
          <w:highlight w:val="none"/>
        </w:rPr>
      </w:pPr>
      <w:r>
        <w:rPr>
          <w:rFonts w:hint="eastAsia" w:ascii="宋体" w:hAnsi="宋体"/>
          <w:szCs w:val="21"/>
          <w:highlight w:val="none"/>
        </w:rPr>
        <w:t>（1）采购项目名称：</w:t>
      </w:r>
      <w:r>
        <w:rPr>
          <w:rFonts w:hint="eastAsia" w:ascii="宋体" w:hAnsi="宋体"/>
          <w:szCs w:val="21"/>
          <w:highlight w:val="none"/>
          <w:u w:val="single"/>
        </w:rPr>
        <w:t xml:space="preserve">                                          </w:t>
      </w:r>
    </w:p>
    <w:p w14:paraId="338C0BC4">
      <w:pPr>
        <w:pStyle w:val="339"/>
        <w:adjustRightInd w:val="0"/>
        <w:snapToGrid w:val="0"/>
        <w:spacing w:after="0" w:line="460" w:lineRule="exact"/>
        <w:rPr>
          <w:rFonts w:hint="eastAsia" w:ascii="宋体" w:hAnsi="宋体"/>
          <w:szCs w:val="21"/>
          <w:highlight w:val="none"/>
        </w:rPr>
      </w:pPr>
      <w:r>
        <w:rPr>
          <w:rFonts w:hint="eastAsia" w:ascii="宋体" w:hAnsi="宋体"/>
          <w:szCs w:val="21"/>
          <w:highlight w:val="none"/>
        </w:rPr>
        <w:t>（2）采购计划编号：</w:t>
      </w:r>
      <w:r>
        <w:rPr>
          <w:rFonts w:hint="eastAsia" w:ascii="宋体" w:hAnsi="宋体"/>
          <w:szCs w:val="21"/>
          <w:highlight w:val="none"/>
          <w:u w:val="single"/>
        </w:rPr>
        <w:t xml:space="preserve">                          </w:t>
      </w:r>
      <w:r>
        <w:rPr>
          <w:rFonts w:hint="eastAsia" w:ascii="宋体" w:hAnsi="宋体"/>
          <w:szCs w:val="21"/>
          <w:highlight w:val="none"/>
        </w:rPr>
        <w:t xml:space="preserve"> </w:t>
      </w:r>
    </w:p>
    <w:p w14:paraId="1A902AAE">
      <w:pPr>
        <w:pStyle w:val="333"/>
        <w:adjustRightInd w:val="0"/>
        <w:snapToGrid w:val="0"/>
        <w:spacing w:line="460" w:lineRule="exact"/>
        <w:ind w:firstLine="420" w:firstLineChars="200"/>
        <w:rPr>
          <w:rFonts w:hint="eastAsia" w:ascii="宋体" w:hAnsi="宋体"/>
          <w:szCs w:val="21"/>
          <w:highlight w:val="none"/>
        </w:rPr>
      </w:pPr>
      <w:r>
        <w:rPr>
          <w:rFonts w:hint="eastAsia" w:ascii="宋体" w:hAnsi="宋体"/>
          <w:szCs w:val="21"/>
          <w:highlight w:val="none"/>
        </w:rPr>
        <w:t>（3）项目内容：</w:t>
      </w:r>
      <w:r>
        <w:rPr>
          <w:rFonts w:hint="eastAsia" w:ascii="宋体" w:hAnsi="宋体"/>
          <w:szCs w:val="21"/>
          <w:highlight w:val="none"/>
          <w:u w:val="single"/>
        </w:rPr>
        <w:t xml:space="preserve">                             </w:t>
      </w:r>
    </w:p>
    <w:p w14:paraId="044E00D1">
      <w:pPr>
        <w:pStyle w:val="333"/>
        <w:adjustRightInd w:val="0"/>
        <w:snapToGrid w:val="0"/>
        <w:spacing w:line="460" w:lineRule="exact"/>
        <w:ind w:firstLine="420" w:firstLineChars="200"/>
        <w:rPr>
          <w:rFonts w:hint="eastAsia" w:ascii="宋体" w:hAnsi="宋体"/>
          <w:szCs w:val="21"/>
          <w:highlight w:val="none"/>
        </w:rPr>
      </w:pPr>
      <w:r>
        <w:rPr>
          <w:rFonts w:hint="eastAsia" w:ascii="宋体" w:hAnsi="宋体"/>
          <w:szCs w:val="21"/>
          <w:highlight w:val="none"/>
        </w:rPr>
        <w:t>（4）项目负责人：</w:t>
      </w:r>
      <w:r>
        <w:rPr>
          <w:rFonts w:hint="eastAsia" w:ascii="宋体" w:hAnsi="宋体"/>
          <w:szCs w:val="21"/>
          <w:highlight w:val="none"/>
          <w:u w:val="single"/>
        </w:rPr>
        <w:t xml:space="preserve">              </w:t>
      </w:r>
      <w:r>
        <w:rPr>
          <w:rFonts w:hint="eastAsia" w:ascii="宋体" w:hAnsi="宋体"/>
          <w:szCs w:val="21"/>
          <w:highlight w:val="none"/>
        </w:rPr>
        <w:t xml:space="preserve"> 。</w:t>
      </w:r>
    </w:p>
    <w:p w14:paraId="462EC487">
      <w:pPr>
        <w:pStyle w:val="333"/>
        <w:adjustRightInd w:val="0"/>
        <w:snapToGrid w:val="0"/>
        <w:spacing w:line="460" w:lineRule="exact"/>
        <w:ind w:firstLine="413" w:firstLineChars="196"/>
        <w:rPr>
          <w:rFonts w:hint="eastAsia" w:ascii="宋体" w:hAnsi="宋体"/>
          <w:b/>
          <w:szCs w:val="21"/>
          <w:highlight w:val="none"/>
        </w:rPr>
      </w:pPr>
      <w:r>
        <w:rPr>
          <w:rFonts w:hint="eastAsia" w:ascii="宋体" w:hAnsi="宋体"/>
          <w:b/>
          <w:szCs w:val="21"/>
          <w:highlight w:val="none"/>
        </w:rPr>
        <w:t>2.合同金额</w:t>
      </w:r>
    </w:p>
    <w:p w14:paraId="4ED933B1">
      <w:pPr>
        <w:pStyle w:val="333"/>
        <w:adjustRightInd w:val="0"/>
        <w:snapToGrid w:val="0"/>
        <w:spacing w:line="460" w:lineRule="exact"/>
        <w:ind w:firstLine="420" w:firstLineChars="200"/>
        <w:rPr>
          <w:rFonts w:hint="eastAsia" w:ascii="宋体" w:hAnsi="宋体"/>
          <w:szCs w:val="21"/>
          <w:highlight w:val="none"/>
        </w:rPr>
      </w:pPr>
      <w:r>
        <w:rPr>
          <w:rFonts w:hint="eastAsia" w:ascii="宋体" w:hAnsi="宋体"/>
          <w:szCs w:val="21"/>
          <w:highlight w:val="none"/>
        </w:rPr>
        <w:t>（1）合同金额小写：</w:t>
      </w:r>
      <w:r>
        <w:rPr>
          <w:rFonts w:hint="eastAsia" w:ascii="宋体" w:hAnsi="宋体"/>
          <w:szCs w:val="21"/>
          <w:highlight w:val="none"/>
          <w:u w:val="single"/>
        </w:rPr>
        <w:t xml:space="preserve">                      </w:t>
      </w:r>
    </w:p>
    <w:p w14:paraId="1DA4FA7C">
      <w:pPr>
        <w:pStyle w:val="333"/>
        <w:adjustRightInd w:val="0"/>
        <w:snapToGrid w:val="0"/>
        <w:spacing w:line="460" w:lineRule="exact"/>
        <w:ind w:firstLine="1260" w:firstLineChars="600"/>
        <w:rPr>
          <w:rFonts w:hint="eastAsia" w:ascii="宋体" w:hAnsi="宋体"/>
          <w:b/>
          <w:szCs w:val="21"/>
          <w:highlight w:val="none"/>
        </w:rPr>
      </w:pPr>
      <w:r>
        <w:rPr>
          <w:rFonts w:hint="eastAsia" w:ascii="宋体" w:hAnsi="宋体"/>
          <w:szCs w:val="21"/>
          <w:highlight w:val="none"/>
        </w:rPr>
        <w:t>大写：</w:t>
      </w:r>
      <w:r>
        <w:rPr>
          <w:rFonts w:hint="eastAsia" w:ascii="宋体" w:hAnsi="宋体"/>
          <w:szCs w:val="21"/>
          <w:highlight w:val="none"/>
          <w:u w:val="single"/>
        </w:rPr>
        <w:t xml:space="preserve">                      </w:t>
      </w:r>
    </w:p>
    <w:p w14:paraId="27CA9DD3">
      <w:pPr>
        <w:pStyle w:val="333"/>
        <w:adjustRightInd w:val="0"/>
        <w:snapToGrid w:val="0"/>
        <w:spacing w:line="460" w:lineRule="exact"/>
        <w:ind w:firstLine="420" w:firstLineChars="200"/>
        <w:rPr>
          <w:rFonts w:hint="eastAsia" w:ascii="宋体" w:hAnsi="宋体"/>
          <w:szCs w:val="21"/>
          <w:highlight w:val="none"/>
        </w:rPr>
      </w:pPr>
      <w:r>
        <w:rPr>
          <w:rFonts w:hint="eastAsia" w:ascii="宋体" w:hAnsi="宋体"/>
          <w:szCs w:val="21"/>
          <w:highlight w:val="none"/>
        </w:rPr>
        <w:t>（2）具体标的见附件。</w:t>
      </w:r>
    </w:p>
    <w:p w14:paraId="38231A3D">
      <w:pPr>
        <w:pStyle w:val="333"/>
        <w:adjustRightInd w:val="0"/>
        <w:snapToGrid w:val="0"/>
        <w:spacing w:line="460" w:lineRule="exact"/>
        <w:ind w:firstLine="420" w:firstLineChars="200"/>
        <w:rPr>
          <w:rFonts w:hint="eastAsia" w:ascii="宋体" w:hAnsi="宋体"/>
          <w:szCs w:val="21"/>
          <w:highlight w:val="none"/>
        </w:rPr>
      </w:pPr>
      <w:r>
        <w:rPr>
          <w:rFonts w:hint="eastAsia" w:ascii="宋体" w:hAnsi="宋体"/>
          <w:szCs w:val="21"/>
          <w:highlight w:val="none"/>
        </w:rPr>
        <w:t>（3）合同价格形式：</w:t>
      </w:r>
      <w:r>
        <w:rPr>
          <w:rFonts w:hint="eastAsia" w:ascii="宋体" w:hAnsi="宋体"/>
          <w:szCs w:val="21"/>
          <w:highlight w:val="none"/>
          <w:u w:val="single"/>
        </w:rPr>
        <w:t xml:space="preserve">           </w:t>
      </w:r>
      <w:r>
        <w:rPr>
          <w:rFonts w:hint="eastAsia" w:ascii="宋体" w:hAnsi="宋体"/>
          <w:szCs w:val="21"/>
          <w:highlight w:val="none"/>
        </w:rPr>
        <w:t xml:space="preserve"> 。</w:t>
      </w:r>
    </w:p>
    <w:p w14:paraId="75FE3B2E">
      <w:pPr>
        <w:pStyle w:val="333"/>
        <w:adjustRightInd w:val="0"/>
        <w:snapToGrid w:val="0"/>
        <w:spacing w:line="460" w:lineRule="exact"/>
        <w:ind w:firstLine="422" w:firstLineChars="200"/>
        <w:rPr>
          <w:rFonts w:hint="eastAsia" w:ascii="宋体" w:hAnsi="宋体"/>
          <w:szCs w:val="21"/>
          <w:highlight w:val="none"/>
          <w:u w:val="single"/>
        </w:rPr>
      </w:pPr>
      <w:r>
        <w:rPr>
          <w:rFonts w:hint="eastAsia" w:ascii="宋体" w:hAnsi="宋体"/>
          <w:b/>
          <w:szCs w:val="21"/>
          <w:highlight w:val="none"/>
        </w:rPr>
        <w:t>3.履行合同的时间、地点及方式</w:t>
      </w:r>
      <w:r>
        <w:rPr>
          <w:rFonts w:hint="eastAsia" w:ascii="宋体" w:hAnsi="宋体"/>
          <w:szCs w:val="21"/>
          <w:highlight w:val="none"/>
          <w:u w:val="single"/>
        </w:rPr>
        <w:t xml:space="preserve"> </w:t>
      </w:r>
    </w:p>
    <w:p w14:paraId="71B71FD1">
      <w:pPr>
        <w:pStyle w:val="333"/>
        <w:adjustRightInd w:val="0"/>
        <w:snapToGrid w:val="0"/>
        <w:spacing w:line="460" w:lineRule="exact"/>
        <w:ind w:firstLine="630" w:firstLineChars="300"/>
        <w:rPr>
          <w:rFonts w:hint="eastAsia" w:ascii="宋体" w:hAnsi="宋体"/>
          <w:szCs w:val="21"/>
          <w:highlight w:val="none"/>
        </w:rPr>
      </w:pPr>
      <w:r>
        <w:rPr>
          <w:rFonts w:hint="eastAsia" w:ascii="宋体" w:hAnsi="宋体"/>
          <w:szCs w:val="21"/>
          <w:highlight w:val="none"/>
        </w:rPr>
        <w:t>起始日期：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日，完成日期：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日。总日历天数：</w:t>
      </w:r>
      <w:r>
        <w:rPr>
          <w:rFonts w:hint="eastAsia" w:ascii="宋体" w:hAnsi="宋体"/>
          <w:szCs w:val="21"/>
          <w:highlight w:val="none"/>
          <w:u w:val="single"/>
        </w:rPr>
        <w:t xml:space="preserve">     </w:t>
      </w:r>
      <w:r>
        <w:rPr>
          <w:rFonts w:hint="eastAsia" w:ascii="宋体" w:hAnsi="宋体"/>
          <w:szCs w:val="21"/>
          <w:highlight w:val="none"/>
        </w:rPr>
        <w:t>天。</w:t>
      </w:r>
    </w:p>
    <w:p w14:paraId="29EBAEAE">
      <w:pPr>
        <w:pStyle w:val="333"/>
        <w:adjustRightInd w:val="0"/>
        <w:snapToGrid w:val="0"/>
        <w:spacing w:line="460" w:lineRule="exact"/>
        <w:ind w:firstLine="630" w:firstLineChars="300"/>
        <w:rPr>
          <w:rFonts w:hint="eastAsia" w:ascii="宋体" w:hAnsi="宋体"/>
          <w:szCs w:val="21"/>
          <w:highlight w:val="none"/>
          <w:u w:val="single"/>
        </w:rPr>
      </w:pPr>
      <w:r>
        <w:rPr>
          <w:rFonts w:hint="eastAsia" w:ascii="宋体" w:hAnsi="宋体"/>
          <w:szCs w:val="21"/>
          <w:highlight w:val="none"/>
        </w:rPr>
        <w:t>地点</w:t>
      </w:r>
      <w:r>
        <w:rPr>
          <w:rFonts w:hint="eastAsia" w:ascii="宋体" w:hAnsi="宋体"/>
          <w:b/>
          <w:szCs w:val="21"/>
          <w:highlight w:val="none"/>
        </w:rPr>
        <w:t>：</w:t>
      </w:r>
      <w:r>
        <w:rPr>
          <w:rFonts w:hint="eastAsia" w:ascii="宋体" w:hAnsi="宋体"/>
          <w:szCs w:val="21"/>
          <w:highlight w:val="none"/>
          <w:u w:val="single"/>
        </w:rPr>
        <w:t xml:space="preserve">                             </w:t>
      </w:r>
    </w:p>
    <w:p w14:paraId="341FC086">
      <w:pPr>
        <w:pStyle w:val="333"/>
        <w:adjustRightInd w:val="0"/>
        <w:snapToGrid w:val="0"/>
        <w:spacing w:line="460" w:lineRule="exact"/>
        <w:ind w:firstLine="630" w:firstLineChars="300"/>
        <w:rPr>
          <w:rFonts w:hint="eastAsia" w:ascii="宋体" w:hAnsi="宋体"/>
          <w:szCs w:val="21"/>
          <w:highlight w:val="none"/>
        </w:rPr>
      </w:pPr>
      <w:r>
        <w:rPr>
          <w:rFonts w:hint="eastAsia" w:ascii="宋体" w:hAnsi="宋体"/>
          <w:szCs w:val="21"/>
          <w:highlight w:val="none"/>
        </w:rPr>
        <w:t>方式：</w:t>
      </w:r>
      <w:r>
        <w:rPr>
          <w:rFonts w:hint="eastAsia" w:ascii="宋体" w:hAnsi="宋体"/>
          <w:szCs w:val="21"/>
          <w:highlight w:val="none"/>
          <w:u w:val="single"/>
        </w:rPr>
        <w:t xml:space="preserve">                             </w:t>
      </w:r>
    </w:p>
    <w:p w14:paraId="6B40FC15">
      <w:pPr>
        <w:pStyle w:val="333"/>
        <w:adjustRightInd w:val="0"/>
        <w:snapToGrid w:val="0"/>
        <w:spacing w:line="460" w:lineRule="exact"/>
        <w:ind w:firstLine="422" w:firstLineChars="200"/>
        <w:rPr>
          <w:rFonts w:hint="eastAsia" w:ascii="宋体" w:hAnsi="宋体"/>
          <w:b/>
          <w:szCs w:val="21"/>
          <w:highlight w:val="none"/>
        </w:rPr>
      </w:pPr>
      <w:r>
        <w:rPr>
          <w:rFonts w:hint="eastAsia" w:ascii="宋体" w:hAnsi="宋体"/>
          <w:b/>
          <w:szCs w:val="21"/>
          <w:highlight w:val="none"/>
        </w:rPr>
        <w:t>4.付款：</w:t>
      </w:r>
    </w:p>
    <w:p w14:paraId="7D2F566B">
      <w:pPr>
        <w:pStyle w:val="333"/>
        <w:adjustRightInd w:val="0"/>
        <w:snapToGrid w:val="0"/>
        <w:spacing w:line="460" w:lineRule="exact"/>
        <w:ind w:firstLine="630" w:firstLineChars="300"/>
        <w:rPr>
          <w:rFonts w:hint="eastAsia" w:ascii="宋体" w:hAnsi="宋体"/>
          <w:szCs w:val="21"/>
          <w:highlight w:val="none"/>
        </w:rPr>
      </w:pPr>
      <w:r>
        <w:rPr>
          <w:rFonts w:hint="eastAsia" w:ascii="宋体" w:hAnsi="宋体"/>
          <w:szCs w:val="21"/>
          <w:highlight w:val="none"/>
        </w:rPr>
        <w:t>1、</w:t>
      </w:r>
      <w:r>
        <w:rPr>
          <w:rFonts w:hint="eastAsia" w:ascii="宋体" w:hAnsi="宋体"/>
          <w:szCs w:val="21"/>
          <w:highlight w:val="none"/>
          <w:u w:val="single"/>
        </w:rPr>
        <w:t xml:space="preserve">                                             </w:t>
      </w:r>
      <w:r>
        <w:rPr>
          <w:rFonts w:hint="eastAsia" w:ascii="宋体" w:hAnsi="宋体"/>
          <w:szCs w:val="21"/>
          <w:highlight w:val="none"/>
        </w:rPr>
        <w:t xml:space="preserve">。  </w:t>
      </w:r>
    </w:p>
    <w:p w14:paraId="409FE746">
      <w:pPr>
        <w:pStyle w:val="333"/>
        <w:adjustRightInd w:val="0"/>
        <w:snapToGrid w:val="0"/>
        <w:spacing w:line="460" w:lineRule="exact"/>
        <w:ind w:firstLine="422" w:firstLineChars="200"/>
        <w:rPr>
          <w:rFonts w:hint="eastAsia" w:ascii="宋体" w:hAnsi="宋体"/>
          <w:b/>
          <w:szCs w:val="21"/>
          <w:highlight w:val="none"/>
        </w:rPr>
      </w:pPr>
      <w:r>
        <w:rPr>
          <w:rFonts w:hint="eastAsia" w:ascii="宋体" w:hAnsi="宋体"/>
          <w:b/>
          <w:szCs w:val="21"/>
          <w:highlight w:val="none"/>
        </w:rPr>
        <w:t>5.解决合同纠纷方式</w:t>
      </w:r>
    </w:p>
    <w:p w14:paraId="0363C512">
      <w:pPr>
        <w:pStyle w:val="333"/>
        <w:adjustRightInd w:val="0"/>
        <w:snapToGrid w:val="0"/>
        <w:spacing w:line="460" w:lineRule="exact"/>
        <w:ind w:firstLine="420" w:firstLineChars="200"/>
        <w:rPr>
          <w:rFonts w:hint="eastAsia" w:ascii="宋体" w:hAnsi="宋体"/>
          <w:szCs w:val="21"/>
          <w:highlight w:val="none"/>
        </w:rPr>
      </w:pPr>
      <w:r>
        <w:rPr>
          <w:rFonts w:hint="eastAsia" w:ascii="宋体" w:hAnsi="宋体"/>
          <w:szCs w:val="21"/>
          <w:highlight w:val="none"/>
        </w:rPr>
        <w:t>首先通过双方协商解决，协商解决不成，则通过以下途径之一解决纠纷：</w:t>
      </w:r>
    </w:p>
    <w:p w14:paraId="040895C7">
      <w:pPr>
        <w:pStyle w:val="333"/>
        <w:adjustRightInd w:val="0"/>
        <w:snapToGrid w:val="0"/>
        <w:spacing w:line="460" w:lineRule="exact"/>
        <w:ind w:firstLine="840" w:firstLineChars="400"/>
        <w:rPr>
          <w:rFonts w:hint="eastAsia" w:ascii="宋体" w:hAnsi="宋体"/>
          <w:szCs w:val="21"/>
          <w:highlight w:val="none"/>
        </w:rPr>
      </w:pPr>
      <w:r>
        <w:rPr>
          <w:rFonts w:hint="eastAsia" w:ascii="宋体" w:hAnsi="宋体"/>
          <w:szCs w:val="21"/>
          <w:highlight w:val="none"/>
        </w:rPr>
        <w:t>□ 提请仲裁       □ 向甲方住所地人民法院提起诉讼</w:t>
      </w:r>
    </w:p>
    <w:p w14:paraId="790C6024">
      <w:pPr>
        <w:pStyle w:val="333"/>
        <w:adjustRightInd w:val="0"/>
        <w:snapToGrid w:val="0"/>
        <w:spacing w:line="460" w:lineRule="exact"/>
        <w:ind w:firstLine="422" w:firstLineChars="200"/>
        <w:rPr>
          <w:rFonts w:hint="eastAsia" w:ascii="宋体" w:hAnsi="宋体"/>
          <w:b/>
          <w:szCs w:val="21"/>
          <w:highlight w:val="none"/>
        </w:rPr>
      </w:pPr>
      <w:r>
        <w:rPr>
          <w:rFonts w:hint="eastAsia" w:ascii="宋体" w:hAnsi="宋体"/>
          <w:b/>
          <w:szCs w:val="21"/>
          <w:highlight w:val="none"/>
        </w:rPr>
        <w:t>6.组成合同的文件</w:t>
      </w:r>
    </w:p>
    <w:p w14:paraId="5DB2D4C2">
      <w:pPr>
        <w:pStyle w:val="333"/>
        <w:adjustRightInd w:val="0"/>
        <w:snapToGrid w:val="0"/>
        <w:spacing w:line="460" w:lineRule="exact"/>
        <w:ind w:firstLine="420" w:firstLineChars="200"/>
        <w:rPr>
          <w:rFonts w:hint="eastAsia" w:ascii="宋体" w:hAnsi="宋体"/>
          <w:szCs w:val="21"/>
          <w:highlight w:val="none"/>
        </w:rPr>
      </w:pPr>
      <w:r>
        <w:rPr>
          <w:rFonts w:hint="eastAsia" w:ascii="宋体" w:hAnsi="宋体"/>
          <w:szCs w:val="21"/>
          <w:highlight w:val="none"/>
        </w:rPr>
        <w:t>本协议书与下列文件一起构成合同文件，如下述文件之间有任何抵触、矛盾或歧义，应按以下顺序解释，但本项目有关实质性条款（例如价款、支付比例、技术要求等）应以磋商文件和中标通知书的规定为准：</w:t>
      </w:r>
    </w:p>
    <w:p w14:paraId="0223E4AD">
      <w:pPr>
        <w:pStyle w:val="333"/>
        <w:adjustRightInd w:val="0"/>
        <w:snapToGrid w:val="0"/>
        <w:spacing w:line="460" w:lineRule="exact"/>
        <w:ind w:firstLine="420" w:firstLineChars="200"/>
        <w:rPr>
          <w:rFonts w:hint="eastAsia" w:ascii="宋体" w:hAnsi="宋体"/>
          <w:szCs w:val="21"/>
          <w:highlight w:val="none"/>
        </w:rPr>
      </w:pPr>
      <w:r>
        <w:rPr>
          <w:rFonts w:hint="eastAsia" w:ascii="宋体" w:hAnsi="宋体"/>
          <w:szCs w:val="21"/>
          <w:highlight w:val="none"/>
        </w:rPr>
        <w:t>（1）在采购或合同履行过程中乙方作出的承诺以及双方协商达成的变更或补充协议</w:t>
      </w:r>
    </w:p>
    <w:p w14:paraId="0869E779">
      <w:pPr>
        <w:pStyle w:val="333"/>
        <w:adjustRightInd w:val="0"/>
        <w:snapToGrid w:val="0"/>
        <w:spacing w:line="460" w:lineRule="exact"/>
        <w:ind w:firstLine="420" w:firstLineChars="200"/>
        <w:rPr>
          <w:rFonts w:hint="eastAsia" w:ascii="宋体" w:hAnsi="宋体"/>
          <w:szCs w:val="21"/>
          <w:highlight w:val="none"/>
        </w:rPr>
      </w:pPr>
      <w:r>
        <w:rPr>
          <w:rFonts w:hint="eastAsia" w:ascii="宋体" w:hAnsi="宋体"/>
          <w:szCs w:val="21"/>
          <w:highlight w:val="none"/>
        </w:rPr>
        <w:t>（2）本合同协议书</w:t>
      </w:r>
    </w:p>
    <w:p w14:paraId="561D3F7D">
      <w:pPr>
        <w:pStyle w:val="333"/>
        <w:adjustRightInd w:val="0"/>
        <w:snapToGrid w:val="0"/>
        <w:spacing w:line="460" w:lineRule="exact"/>
        <w:ind w:firstLine="420" w:firstLineChars="200"/>
        <w:rPr>
          <w:rFonts w:hint="eastAsia" w:ascii="宋体" w:hAnsi="宋体"/>
          <w:szCs w:val="21"/>
          <w:highlight w:val="none"/>
        </w:rPr>
      </w:pPr>
      <w:r>
        <w:rPr>
          <w:rFonts w:hint="eastAsia" w:ascii="宋体" w:hAnsi="宋体"/>
          <w:szCs w:val="21"/>
          <w:highlight w:val="none"/>
        </w:rPr>
        <w:t>（3）中标（成交）通知书</w:t>
      </w:r>
    </w:p>
    <w:p w14:paraId="10075073">
      <w:pPr>
        <w:pStyle w:val="333"/>
        <w:adjustRightInd w:val="0"/>
        <w:snapToGrid w:val="0"/>
        <w:spacing w:line="460" w:lineRule="exact"/>
        <w:ind w:firstLine="420" w:firstLineChars="200"/>
        <w:rPr>
          <w:rFonts w:hint="eastAsia" w:ascii="宋体" w:hAnsi="宋体"/>
          <w:szCs w:val="21"/>
          <w:highlight w:val="none"/>
        </w:rPr>
      </w:pPr>
      <w:r>
        <w:rPr>
          <w:rFonts w:hint="eastAsia" w:ascii="宋体" w:hAnsi="宋体"/>
          <w:szCs w:val="21"/>
          <w:highlight w:val="none"/>
        </w:rPr>
        <w:t>（4）投标（响应）文件</w:t>
      </w:r>
    </w:p>
    <w:p w14:paraId="269AEF46">
      <w:pPr>
        <w:pStyle w:val="333"/>
        <w:adjustRightInd w:val="0"/>
        <w:snapToGrid w:val="0"/>
        <w:spacing w:line="460" w:lineRule="exact"/>
        <w:ind w:firstLine="420" w:firstLineChars="200"/>
        <w:rPr>
          <w:rFonts w:hint="eastAsia" w:ascii="宋体" w:hAnsi="宋体"/>
          <w:szCs w:val="21"/>
          <w:highlight w:val="none"/>
        </w:rPr>
      </w:pPr>
      <w:r>
        <w:rPr>
          <w:rFonts w:hint="eastAsia" w:ascii="宋体" w:hAnsi="宋体"/>
          <w:szCs w:val="21"/>
          <w:highlight w:val="none"/>
        </w:rPr>
        <w:t>（5）政府采购合同专用条款</w:t>
      </w:r>
    </w:p>
    <w:p w14:paraId="68724D02">
      <w:pPr>
        <w:pStyle w:val="333"/>
        <w:adjustRightInd w:val="0"/>
        <w:snapToGrid w:val="0"/>
        <w:spacing w:line="460" w:lineRule="exact"/>
        <w:ind w:firstLine="420" w:firstLineChars="200"/>
        <w:rPr>
          <w:rFonts w:hint="eastAsia" w:ascii="宋体" w:hAnsi="宋体"/>
          <w:szCs w:val="21"/>
          <w:highlight w:val="none"/>
        </w:rPr>
      </w:pPr>
      <w:r>
        <w:rPr>
          <w:rFonts w:hint="eastAsia" w:ascii="宋体" w:hAnsi="宋体"/>
          <w:szCs w:val="21"/>
          <w:highlight w:val="none"/>
        </w:rPr>
        <w:t>（6）政府采购合同通用条款</w:t>
      </w:r>
    </w:p>
    <w:p w14:paraId="605CED65">
      <w:pPr>
        <w:pStyle w:val="333"/>
        <w:adjustRightInd w:val="0"/>
        <w:snapToGrid w:val="0"/>
        <w:spacing w:line="460" w:lineRule="exact"/>
        <w:ind w:firstLine="420" w:firstLineChars="200"/>
        <w:rPr>
          <w:rFonts w:hint="eastAsia" w:ascii="宋体" w:hAnsi="宋体"/>
          <w:szCs w:val="21"/>
          <w:highlight w:val="none"/>
        </w:rPr>
      </w:pPr>
      <w:r>
        <w:rPr>
          <w:rFonts w:hint="eastAsia" w:ascii="宋体" w:hAnsi="宋体"/>
          <w:szCs w:val="21"/>
          <w:highlight w:val="none"/>
        </w:rPr>
        <w:t>（7）标准、规范及有关技术文件，图纸。</w:t>
      </w:r>
    </w:p>
    <w:p w14:paraId="668FBB62">
      <w:pPr>
        <w:pStyle w:val="333"/>
        <w:adjustRightInd w:val="0"/>
        <w:snapToGrid w:val="0"/>
        <w:spacing w:line="460" w:lineRule="exact"/>
        <w:ind w:firstLine="420" w:firstLineChars="200"/>
        <w:rPr>
          <w:rFonts w:hint="eastAsia" w:ascii="宋体" w:hAnsi="宋体"/>
          <w:szCs w:val="21"/>
          <w:highlight w:val="none"/>
        </w:rPr>
      </w:pPr>
      <w:r>
        <w:rPr>
          <w:rFonts w:hint="eastAsia" w:ascii="宋体" w:hAnsi="宋体"/>
          <w:szCs w:val="21"/>
          <w:highlight w:val="none"/>
        </w:rPr>
        <w:t>（8）其他合同文件。</w:t>
      </w:r>
    </w:p>
    <w:p w14:paraId="4EF9EEBB">
      <w:pPr>
        <w:pStyle w:val="333"/>
        <w:adjustRightInd w:val="0"/>
        <w:snapToGrid w:val="0"/>
        <w:spacing w:line="460" w:lineRule="exact"/>
        <w:ind w:firstLine="310" w:firstLineChars="147"/>
        <w:rPr>
          <w:rFonts w:hint="eastAsia" w:ascii="宋体" w:hAnsi="宋体"/>
          <w:b/>
          <w:szCs w:val="21"/>
          <w:highlight w:val="none"/>
        </w:rPr>
      </w:pPr>
      <w:r>
        <w:rPr>
          <w:rFonts w:hint="eastAsia" w:ascii="宋体" w:hAnsi="宋体"/>
          <w:b/>
          <w:szCs w:val="21"/>
          <w:highlight w:val="none"/>
        </w:rPr>
        <w:t>7.合同生效</w:t>
      </w:r>
    </w:p>
    <w:p w14:paraId="6D54F9B8">
      <w:pPr>
        <w:pStyle w:val="333"/>
        <w:adjustRightInd w:val="0"/>
        <w:snapToGrid w:val="0"/>
        <w:spacing w:line="460" w:lineRule="exact"/>
        <w:ind w:firstLine="420" w:firstLineChars="200"/>
        <w:rPr>
          <w:rFonts w:hint="eastAsia" w:ascii="宋体" w:hAnsi="宋体"/>
          <w:szCs w:val="21"/>
          <w:highlight w:val="none"/>
        </w:rPr>
      </w:pPr>
      <w:r>
        <w:rPr>
          <w:rFonts w:hint="eastAsia" w:ascii="宋体" w:hAnsi="宋体"/>
          <w:szCs w:val="21"/>
          <w:highlight w:val="none"/>
        </w:rPr>
        <w:t>本合同自</w:t>
      </w:r>
      <w:r>
        <w:rPr>
          <w:rFonts w:hint="eastAsia" w:ascii="宋体" w:hAnsi="宋体"/>
          <w:szCs w:val="21"/>
          <w:highlight w:val="none"/>
          <w:u w:val="single"/>
        </w:rPr>
        <w:t xml:space="preserve">                               </w:t>
      </w:r>
      <w:r>
        <w:rPr>
          <w:rFonts w:hint="eastAsia" w:ascii="宋体" w:hAnsi="宋体"/>
          <w:szCs w:val="21"/>
          <w:highlight w:val="none"/>
        </w:rPr>
        <w:t>生效。</w:t>
      </w:r>
    </w:p>
    <w:p w14:paraId="44EA31A2">
      <w:pPr>
        <w:pStyle w:val="333"/>
        <w:adjustRightInd w:val="0"/>
        <w:snapToGrid w:val="0"/>
        <w:spacing w:line="460" w:lineRule="exact"/>
        <w:ind w:firstLine="310" w:firstLineChars="147"/>
        <w:rPr>
          <w:rFonts w:hint="eastAsia" w:ascii="宋体" w:hAnsi="宋体"/>
          <w:b/>
          <w:szCs w:val="21"/>
          <w:highlight w:val="none"/>
        </w:rPr>
      </w:pPr>
      <w:r>
        <w:rPr>
          <w:rFonts w:hint="eastAsia" w:ascii="宋体" w:hAnsi="宋体"/>
          <w:b/>
          <w:szCs w:val="21"/>
          <w:highlight w:val="none"/>
        </w:rPr>
        <w:t>8.合同份数</w:t>
      </w:r>
    </w:p>
    <w:p w14:paraId="016DC479">
      <w:pPr>
        <w:pStyle w:val="333"/>
        <w:adjustRightInd w:val="0"/>
        <w:snapToGrid w:val="0"/>
        <w:spacing w:line="460" w:lineRule="exact"/>
        <w:ind w:firstLine="420" w:firstLineChars="200"/>
        <w:rPr>
          <w:rFonts w:hint="eastAsia" w:ascii="宋体" w:hAnsi="宋体"/>
          <w:szCs w:val="21"/>
          <w:highlight w:val="none"/>
        </w:rPr>
      </w:pPr>
      <w:r>
        <w:rPr>
          <w:rFonts w:hint="eastAsia" w:ascii="宋体" w:hAnsi="宋体"/>
          <w:szCs w:val="21"/>
          <w:highlight w:val="none"/>
        </w:rPr>
        <w:t>本合同一式</w:t>
      </w:r>
      <w:r>
        <w:rPr>
          <w:rFonts w:hint="eastAsia" w:ascii="宋体" w:hAnsi="宋体"/>
          <w:szCs w:val="21"/>
          <w:highlight w:val="none"/>
          <w:u w:val="single"/>
        </w:rPr>
        <w:t xml:space="preserve">    </w:t>
      </w:r>
      <w:r>
        <w:rPr>
          <w:rFonts w:hint="eastAsia" w:ascii="宋体" w:hAnsi="宋体"/>
          <w:szCs w:val="21"/>
          <w:highlight w:val="none"/>
        </w:rPr>
        <w:t>份，采购人执</w:t>
      </w:r>
      <w:r>
        <w:rPr>
          <w:rFonts w:hint="eastAsia" w:ascii="宋体" w:hAnsi="宋体"/>
          <w:szCs w:val="21"/>
          <w:highlight w:val="none"/>
          <w:u w:val="single"/>
        </w:rPr>
        <w:t xml:space="preserve">   </w:t>
      </w:r>
      <w:r>
        <w:rPr>
          <w:rFonts w:hint="eastAsia" w:ascii="宋体" w:hAnsi="宋体"/>
          <w:szCs w:val="21"/>
          <w:highlight w:val="none"/>
        </w:rPr>
        <w:t>份，供应商执</w:t>
      </w:r>
      <w:r>
        <w:rPr>
          <w:rFonts w:hint="eastAsia" w:ascii="宋体" w:hAnsi="宋体"/>
          <w:szCs w:val="21"/>
          <w:highlight w:val="none"/>
          <w:u w:val="single"/>
        </w:rPr>
        <w:t xml:space="preserve">   </w:t>
      </w:r>
      <w:r>
        <w:rPr>
          <w:rFonts w:hint="eastAsia" w:ascii="宋体" w:hAnsi="宋体"/>
          <w:szCs w:val="21"/>
          <w:highlight w:val="none"/>
        </w:rPr>
        <w:t>份，均具有同等法律效力。</w:t>
      </w:r>
    </w:p>
    <w:p w14:paraId="32061B69">
      <w:pPr>
        <w:pStyle w:val="333"/>
        <w:adjustRightInd w:val="0"/>
        <w:snapToGrid w:val="0"/>
        <w:spacing w:line="460" w:lineRule="exact"/>
        <w:ind w:firstLine="420" w:firstLineChars="200"/>
        <w:rPr>
          <w:rFonts w:hint="eastAsia" w:ascii="宋体" w:hAnsi="宋体"/>
          <w:szCs w:val="21"/>
          <w:highlight w:val="none"/>
        </w:rPr>
      </w:pPr>
      <w:r>
        <w:rPr>
          <w:rFonts w:hint="eastAsia" w:ascii="宋体" w:hAnsi="宋体"/>
          <w:szCs w:val="21"/>
          <w:highlight w:val="none"/>
        </w:rPr>
        <w:t>9.通知与送达</w:t>
      </w:r>
    </w:p>
    <w:p w14:paraId="1495CC20">
      <w:pPr>
        <w:pStyle w:val="333"/>
        <w:adjustRightInd w:val="0"/>
        <w:snapToGrid w:val="0"/>
        <w:spacing w:line="460" w:lineRule="exact"/>
        <w:ind w:firstLine="420" w:firstLineChars="200"/>
        <w:rPr>
          <w:rFonts w:hint="eastAsia" w:ascii="宋体" w:hAnsi="宋体"/>
          <w:szCs w:val="21"/>
          <w:highlight w:val="none"/>
        </w:rPr>
      </w:pPr>
      <w:r>
        <w:rPr>
          <w:rFonts w:hint="eastAsia" w:ascii="宋体" w:hAnsi="宋体"/>
          <w:szCs w:val="21"/>
          <w:highlight w:val="none"/>
        </w:rPr>
        <w:t>任何一方与合同有关的通知、指示、要求、决定等，均应在【】日内送达对方指定的接收人和送达地点。本合同签署页地址即为双方约定的有效送达地址，该地址亦适用于仲裁、法院等司法文书送达</w:t>
      </w:r>
    </w:p>
    <w:p w14:paraId="16584253">
      <w:pPr>
        <w:pStyle w:val="333"/>
        <w:adjustRightInd w:val="0"/>
        <w:snapToGrid w:val="0"/>
        <w:spacing w:line="460" w:lineRule="exact"/>
        <w:rPr>
          <w:rFonts w:hint="eastAsia" w:ascii="宋体" w:hAnsi="宋体"/>
          <w:szCs w:val="21"/>
          <w:highlight w:val="none"/>
        </w:rPr>
      </w:pPr>
      <w:r>
        <w:rPr>
          <w:rFonts w:hint="eastAsia" w:ascii="宋体" w:hAnsi="宋体"/>
          <w:szCs w:val="21"/>
          <w:highlight w:val="none"/>
        </w:rPr>
        <w:t>合同订立时间：</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31E494E6">
      <w:pPr>
        <w:pStyle w:val="333"/>
        <w:adjustRightInd w:val="0"/>
        <w:snapToGrid w:val="0"/>
        <w:spacing w:line="460" w:lineRule="exact"/>
        <w:rPr>
          <w:rFonts w:hint="eastAsia" w:ascii="宋体" w:hAnsi="宋体"/>
          <w:szCs w:val="21"/>
          <w:highlight w:val="none"/>
        </w:rPr>
      </w:pPr>
      <w:r>
        <w:rPr>
          <w:rFonts w:hint="eastAsia" w:ascii="宋体" w:hAnsi="宋体"/>
          <w:szCs w:val="21"/>
          <w:highlight w:val="none"/>
        </w:rPr>
        <w:t>合同订立地点：</w:t>
      </w:r>
      <w:r>
        <w:rPr>
          <w:rFonts w:hint="eastAsia" w:ascii="宋体" w:hAnsi="宋体"/>
          <w:szCs w:val="21"/>
          <w:highlight w:val="none"/>
          <w:u w:val="single"/>
        </w:rPr>
        <w:t xml:space="preserve">                           </w:t>
      </w:r>
    </w:p>
    <w:p w14:paraId="75851092">
      <w:pPr>
        <w:pStyle w:val="333"/>
        <w:adjustRightInd w:val="0"/>
        <w:snapToGrid w:val="0"/>
        <w:spacing w:line="460" w:lineRule="exact"/>
        <w:ind w:firstLine="420" w:firstLineChars="200"/>
        <w:rPr>
          <w:rFonts w:hint="eastAsia" w:ascii="宋体" w:hAnsi="宋体"/>
          <w:szCs w:val="21"/>
          <w:highlight w:val="none"/>
        </w:rPr>
      </w:pPr>
      <w:r>
        <w:rPr>
          <w:rFonts w:hint="eastAsia" w:ascii="宋体" w:hAnsi="宋体"/>
          <w:szCs w:val="21"/>
          <w:highlight w:val="none"/>
        </w:rPr>
        <w:t xml:space="preserve">（以下为签署页，无正文。）    </w:t>
      </w:r>
    </w:p>
    <w:p w14:paraId="2E3D4F74">
      <w:pPr>
        <w:pStyle w:val="333"/>
        <w:adjustRightInd w:val="0"/>
        <w:snapToGrid w:val="0"/>
        <w:spacing w:line="460" w:lineRule="exact"/>
        <w:rPr>
          <w:rFonts w:hint="eastAsia" w:ascii="宋体" w:hAnsi="宋体"/>
          <w:szCs w:val="21"/>
          <w:highlight w:val="none"/>
        </w:rPr>
      </w:pPr>
      <w:r>
        <w:rPr>
          <w:rFonts w:hint="eastAsia" w:ascii="宋体" w:hAnsi="宋体"/>
          <w:szCs w:val="21"/>
          <w:highlight w:val="none"/>
        </w:rPr>
        <w:t>甲      方：（公章）                     乙      方：（公章）</w:t>
      </w:r>
    </w:p>
    <w:p w14:paraId="5727D952">
      <w:pPr>
        <w:pStyle w:val="333"/>
        <w:adjustRightInd w:val="0"/>
        <w:snapToGrid w:val="0"/>
        <w:spacing w:line="460" w:lineRule="exact"/>
        <w:rPr>
          <w:rFonts w:hint="eastAsia" w:ascii="宋体" w:hAnsi="宋体"/>
          <w:szCs w:val="21"/>
          <w:highlight w:val="none"/>
        </w:rPr>
      </w:pPr>
      <w:r>
        <w:rPr>
          <w:rFonts w:hint="eastAsia" w:ascii="宋体" w:hAnsi="宋体"/>
          <w:szCs w:val="21"/>
          <w:highlight w:val="none"/>
        </w:rPr>
        <w:t>法定代表人：</w:t>
      </w:r>
      <w:r>
        <w:rPr>
          <w:rFonts w:hint="eastAsia" w:ascii="宋体" w:hAnsi="宋体"/>
          <w:szCs w:val="21"/>
          <w:highlight w:val="none"/>
          <w:u w:val="single"/>
        </w:rPr>
        <w:t xml:space="preserve">                   </w:t>
      </w:r>
      <w:r>
        <w:rPr>
          <w:rFonts w:hint="eastAsia" w:ascii="宋体" w:hAnsi="宋体"/>
          <w:szCs w:val="21"/>
          <w:highlight w:val="none"/>
        </w:rPr>
        <w:t xml:space="preserve">         法定代表人：</w:t>
      </w:r>
      <w:r>
        <w:rPr>
          <w:rFonts w:hint="eastAsia" w:ascii="宋体" w:hAnsi="宋体"/>
          <w:szCs w:val="21"/>
          <w:highlight w:val="none"/>
          <w:u w:val="single"/>
        </w:rPr>
        <w:t xml:space="preserve">                   </w:t>
      </w:r>
    </w:p>
    <w:p w14:paraId="3AFD13CE">
      <w:pPr>
        <w:pStyle w:val="333"/>
        <w:adjustRightInd w:val="0"/>
        <w:snapToGrid w:val="0"/>
        <w:spacing w:line="460" w:lineRule="exact"/>
        <w:rPr>
          <w:rFonts w:hint="eastAsia" w:ascii="宋体" w:hAnsi="宋体"/>
          <w:szCs w:val="21"/>
          <w:highlight w:val="none"/>
        </w:rPr>
      </w:pPr>
      <w:r>
        <w:rPr>
          <w:rFonts w:hint="eastAsia" w:ascii="宋体" w:hAnsi="宋体"/>
          <w:szCs w:val="21"/>
          <w:highlight w:val="none"/>
        </w:rPr>
        <w:t>委托代理人：</w:t>
      </w:r>
      <w:r>
        <w:rPr>
          <w:rFonts w:hint="eastAsia" w:ascii="宋体" w:hAnsi="宋体"/>
          <w:szCs w:val="21"/>
          <w:highlight w:val="none"/>
          <w:u w:val="single"/>
        </w:rPr>
        <w:t xml:space="preserve">                   </w:t>
      </w:r>
      <w:r>
        <w:rPr>
          <w:rFonts w:hint="eastAsia" w:ascii="宋体" w:hAnsi="宋体"/>
          <w:szCs w:val="21"/>
          <w:highlight w:val="none"/>
        </w:rPr>
        <w:t xml:space="preserve">         委托代理人：</w:t>
      </w:r>
      <w:r>
        <w:rPr>
          <w:rFonts w:hint="eastAsia" w:ascii="宋体" w:hAnsi="宋体"/>
          <w:szCs w:val="21"/>
          <w:highlight w:val="none"/>
          <w:u w:val="single"/>
        </w:rPr>
        <w:t xml:space="preserve">                   </w:t>
      </w:r>
    </w:p>
    <w:p w14:paraId="1D92C721">
      <w:pPr>
        <w:pStyle w:val="333"/>
        <w:adjustRightInd w:val="0"/>
        <w:snapToGrid w:val="0"/>
        <w:spacing w:line="460" w:lineRule="exact"/>
        <w:rPr>
          <w:rFonts w:hint="eastAsia" w:ascii="宋体" w:hAnsi="宋体"/>
          <w:szCs w:val="21"/>
          <w:highlight w:val="none"/>
        </w:rPr>
      </w:pPr>
      <w:r>
        <w:rPr>
          <w:rFonts w:hint="eastAsia" w:ascii="宋体" w:hAnsi="宋体"/>
          <w:szCs w:val="21"/>
          <w:highlight w:val="none"/>
        </w:rPr>
        <w:t>电      话：</w:t>
      </w:r>
      <w:r>
        <w:rPr>
          <w:rFonts w:hint="eastAsia" w:ascii="宋体" w:hAnsi="宋体"/>
          <w:szCs w:val="21"/>
          <w:highlight w:val="none"/>
          <w:u w:val="single"/>
        </w:rPr>
        <w:t xml:space="preserve">                   </w:t>
      </w:r>
      <w:r>
        <w:rPr>
          <w:rFonts w:hint="eastAsia" w:ascii="宋体" w:hAnsi="宋体"/>
          <w:szCs w:val="21"/>
          <w:highlight w:val="none"/>
        </w:rPr>
        <w:t xml:space="preserve">         电      话：</w:t>
      </w:r>
      <w:r>
        <w:rPr>
          <w:rFonts w:hint="eastAsia" w:ascii="宋体" w:hAnsi="宋体"/>
          <w:szCs w:val="21"/>
          <w:highlight w:val="none"/>
          <w:u w:val="single"/>
        </w:rPr>
        <w:t xml:space="preserve">                   </w:t>
      </w:r>
    </w:p>
    <w:p w14:paraId="6454A295">
      <w:pPr>
        <w:pStyle w:val="333"/>
        <w:adjustRightInd w:val="0"/>
        <w:snapToGrid w:val="0"/>
        <w:spacing w:line="460" w:lineRule="exact"/>
        <w:rPr>
          <w:rFonts w:hint="eastAsia" w:ascii="宋体" w:hAnsi="宋体"/>
          <w:szCs w:val="21"/>
          <w:highlight w:val="none"/>
        </w:rPr>
      </w:pPr>
      <w:r>
        <w:rPr>
          <w:rFonts w:hint="eastAsia" w:ascii="宋体" w:hAnsi="宋体"/>
          <w:szCs w:val="21"/>
          <w:highlight w:val="none"/>
        </w:rPr>
        <w:t>传      真：</w:t>
      </w:r>
      <w:r>
        <w:rPr>
          <w:rFonts w:hint="eastAsia" w:ascii="宋体" w:hAnsi="宋体"/>
          <w:szCs w:val="21"/>
          <w:highlight w:val="none"/>
          <w:u w:val="single"/>
        </w:rPr>
        <w:t xml:space="preserve">                   </w:t>
      </w:r>
      <w:r>
        <w:rPr>
          <w:rFonts w:hint="eastAsia" w:ascii="宋体" w:hAnsi="宋体"/>
          <w:szCs w:val="21"/>
          <w:highlight w:val="none"/>
        </w:rPr>
        <w:t xml:space="preserve">         传      真：</w:t>
      </w:r>
      <w:r>
        <w:rPr>
          <w:rFonts w:hint="eastAsia" w:ascii="宋体" w:hAnsi="宋体"/>
          <w:szCs w:val="21"/>
          <w:highlight w:val="none"/>
          <w:u w:val="single"/>
        </w:rPr>
        <w:t xml:space="preserve">                   </w:t>
      </w:r>
    </w:p>
    <w:p w14:paraId="7092F0E2">
      <w:pPr>
        <w:pStyle w:val="333"/>
        <w:adjustRightInd w:val="0"/>
        <w:snapToGrid w:val="0"/>
        <w:spacing w:line="460" w:lineRule="exact"/>
        <w:rPr>
          <w:rFonts w:hint="eastAsia" w:ascii="宋体" w:hAnsi="宋体"/>
          <w:szCs w:val="21"/>
          <w:highlight w:val="none"/>
        </w:rPr>
      </w:pPr>
      <w:r>
        <w:rPr>
          <w:rFonts w:hint="eastAsia" w:ascii="宋体" w:hAnsi="宋体"/>
          <w:szCs w:val="21"/>
          <w:highlight w:val="none"/>
        </w:rPr>
        <w:t>地     址：                             开 户 银 行：</w:t>
      </w:r>
      <w:r>
        <w:rPr>
          <w:rFonts w:hint="eastAsia" w:ascii="宋体" w:hAnsi="宋体"/>
          <w:szCs w:val="21"/>
          <w:highlight w:val="none"/>
          <w:u w:val="single"/>
        </w:rPr>
        <w:t xml:space="preserve">                   </w:t>
      </w:r>
    </w:p>
    <w:p w14:paraId="498B322E">
      <w:pPr>
        <w:pStyle w:val="333"/>
        <w:adjustRightInd w:val="0"/>
        <w:snapToGrid w:val="0"/>
        <w:spacing w:line="460" w:lineRule="exact"/>
        <w:jc w:val="center"/>
        <w:rPr>
          <w:rFonts w:hint="eastAsia" w:ascii="宋体" w:hAnsi="宋体"/>
          <w:highlight w:val="none"/>
        </w:rPr>
      </w:pPr>
      <w:r>
        <w:rPr>
          <w:rFonts w:hint="eastAsia" w:ascii="宋体" w:hAnsi="宋体"/>
          <w:szCs w:val="21"/>
          <w:highlight w:val="none"/>
        </w:rPr>
        <w:t xml:space="preserve">       帐       号：</w:t>
      </w:r>
      <w:r>
        <w:rPr>
          <w:rFonts w:hint="eastAsia" w:ascii="宋体" w:hAnsi="宋体"/>
          <w:szCs w:val="21"/>
          <w:highlight w:val="none"/>
          <w:u w:val="single"/>
        </w:rPr>
        <w:t xml:space="preserve">                 </w:t>
      </w:r>
    </w:p>
    <w:p w14:paraId="6C06150C">
      <w:pPr>
        <w:spacing w:before="156" w:line="360" w:lineRule="auto"/>
        <w:jc w:val="center"/>
        <w:rPr>
          <w:rFonts w:hint="eastAsia" w:ascii="宋体" w:hAnsi="宋体"/>
          <w:szCs w:val="21"/>
          <w:highlight w:val="none"/>
          <w:u w:val="single"/>
        </w:rPr>
      </w:pPr>
      <w:r>
        <w:rPr>
          <w:rFonts w:hint="eastAsia" w:ascii="宋体" w:hAnsi="宋体" w:cs="宋体"/>
          <w:highlight w:val="none"/>
        </w:rPr>
        <w:t xml:space="preserve">    地    址：</w:t>
      </w:r>
      <w:r>
        <w:rPr>
          <w:rFonts w:ascii="宋体" w:hAnsi="宋体"/>
          <w:szCs w:val="21"/>
          <w:highlight w:val="none"/>
          <w:u w:val="single"/>
        </w:rPr>
        <w:br w:type="page"/>
      </w:r>
    </w:p>
    <w:p w14:paraId="5960BE63">
      <w:pPr>
        <w:keepNext/>
        <w:keepLines/>
        <w:spacing w:line="360" w:lineRule="auto"/>
        <w:jc w:val="center"/>
        <w:outlineLvl w:val="1"/>
        <w:rPr>
          <w:rFonts w:ascii="Arial" w:hAnsi="Arial"/>
          <w:b/>
          <w:bCs/>
          <w:sz w:val="30"/>
          <w:szCs w:val="30"/>
          <w:highlight w:val="none"/>
        </w:rPr>
      </w:pPr>
      <w:bookmarkStart w:id="408" w:name="_Toc30298"/>
      <w:bookmarkStart w:id="409" w:name="_Toc2771"/>
      <w:bookmarkStart w:id="410" w:name="_Toc21057"/>
      <w:bookmarkStart w:id="411" w:name="_Toc3958"/>
      <w:bookmarkStart w:id="412" w:name="_Toc21251"/>
      <w:bookmarkStart w:id="413" w:name="_Toc59606742"/>
      <w:bookmarkStart w:id="414" w:name="_Toc4878"/>
      <w:bookmarkStart w:id="415" w:name="_Toc23549"/>
      <w:r>
        <w:rPr>
          <w:rFonts w:ascii="Arial" w:hAnsi="Arial"/>
          <w:b/>
          <w:bCs/>
          <w:sz w:val="30"/>
          <w:szCs w:val="30"/>
          <w:highlight w:val="none"/>
        </w:rPr>
        <w:t>第二节</w:t>
      </w:r>
      <w:r>
        <w:rPr>
          <w:rFonts w:hint="eastAsia" w:ascii="Arial" w:hAnsi="Arial"/>
          <w:b/>
          <w:bCs/>
          <w:sz w:val="30"/>
          <w:szCs w:val="30"/>
          <w:highlight w:val="none"/>
        </w:rPr>
        <w:t xml:space="preserve"> </w:t>
      </w:r>
      <w:r>
        <w:rPr>
          <w:rFonts w:ascii="Arial" w:hAnsi="Arial"/>
          <w:b/>
          <w:bCs/>
          <w:sz w:val="30"/>
          <w:szCs w:val="30"/>
          <w:highlight w:val="none"/>
        </w:rPr>
        <w:t>政府采购合同通用条款</w:t>
      </w:r>
      <w:bookmarkEnd w:id="408"/>
      <w:bookmarkEnd w:id="409"/>
      <w:bookmarkEnd w:id="410"/>
      <w:bookmarkEnd w:id="411"/>
      <w:bookmarkEnd w:id="412"/>
      <w:bookmarkEnd w:id="413"/>
      <w:bookmarkEnd w:id="414"/>
      <w:bookmarkEnd w:id="415"/>
    </w:p>
    <w:p w14:paraId="42080830">
      <w:pPr>
        <w:tabs>
          <w:tab w:val="left" w:pos="8820"/>
          <w:tab w:val="left" w:pos="9345"/>
          <w:tab w:val="left" w:pos="9765"/>
        </w:tabs>
        <w:spacing w:line="360" w:lineRule="auto"/>
        <w:jc w:val="left"/>
        <w:rPr>
          <w:rFonts w:hint="eastAsia" w:ascii="宋体" w:hAnsi="宋体" w:cs="宋体"/>
          <w:b/>
          <w:sz w:val="24"/>
          <w:highlight w:val="none"/>
        </w:rPr>
      </w:pPr>
      <w:r>
        <w:rPr>
          <w:rFonts w:ascii="宋体" w:hAnsi="宋体" w:cs="宋体"/>
          <w:b/>
          <w:sz w:val="24"/>
          <w:highlight w:val="none"/>
        </w:rPr>
        <w:t>1.定义</w:t>
      </w:r>
    </w:p>
    <w:p w14:paraId="16659361">
      <w:pPr>
        <w:spacing w:line="360" w:lineRule="auto"/>
        <w:ind w:firstLine="420"/>
        <w:jc w:val="left"/>
        <w:rPr>
          <w:rFonts w:hint="eastAsia" w:ascii="宋体" w:hAnsi="宋体" w:cs="宋体"/>
          <w:highlight w:val="none"/>
        </w:rPr>
      </w:pPr>
      <w:r>
        <w:rPr>
          <w:rFonts w:ascii="宋体" w:hAnsi="宋体" w:cs="宋体"/>
          <w:highlight w:val="none"/>
        </w:rPr>
        <w:t>1.1合同当事人</w:t>
      </w:r>
    </w:p>
    <w:p w14:paraId="07DE1FE6">
      <w:pPr>
        <w:spacing w:line="360" w:lineRule="auto"/>
        <w:ind w:firstLine="420"/>
        <w:jc w:val="left"/>
        <w:rPr>
          <w:rFonts w:hint="eastAsia" w:ascii="宋体" w:hAnsi="宋体" w:cs="宋体"/>
          <w:highlight w:val="none"/>
        </w:rPr>
      </w:pPr>
      <w:r>
        <w:rPr>
          <w:rFonts w:ascii="宋体" w:hAnsi="宋体" w:cs="宋体"/>
          <w:highlight w:val="none"/>
        </w:rPr>
        <w:t>（1）采购人（以下称甲方）是指使用财政性资金，通过政府采购程序向供应商购买货物、服务的国家机关、事业单位、团体组织。本次采购的甲方名称、地址见</w:t>
      </w:r>
      <w:r>
        <w:rPr>
          <w:rFonts w:ascii="宋体" w:hAnsi="宋体" w:cs="宋体"/>
          <w:b/>
          <w:highlight w:val="none"/>
        </w:rPr>
        <w:t>【政府采购合同专用条款】。</w:t>
      </w:r>
    </w:p>
    <w:p w14:paraId="5D30D8C4">
      <w:pPr>
        <w:spacing w:line="360" w:lineRule="auto"/>
        <w:ind w:firstLine="420"/>
        <w:jc w:val="left"/>
        <w:rPr>
          <w:rFonts w:hint="eastAsia" w:ascii="宋体" w:hAnsi="宋体" w:cs="宋体"/>
          <w:b/>
          <w:highlight w:val="none"/>
        </w:rPr>
      </w:pPr>
      <w:r>
        <w:rPr>
          <w:rFonts w:ascii="宋体" w:hAnsi="宋体" w:cs="宋体"/>
          <w:highlight w:val="none"/>
        </w:rPr>
        <w:t>（2）供应商（以下称乙方）是指参加政府采购活动而取得中标结果，并向采购人提供货物、服务的法人、其他组织或者自然人。</w:t>
      </w:r>
    </w:p>
    <w:p w14:paraId="40A95A09">
      <w:pPr>
        <w:tabs>
          <w:tab w:val="left" w:pos="570"/>
          <w:tab w:val="left" w:pos="9240"/>
          <w:tab w:val="left" w:pos="9555"/>
        </w:tabs>
        <w:spacing w:line="360" w:lineRule="auto"/>
        <w:ind w:firstLine="420"/>
        <w:jc w:val="left"/>
        <w:rPr>
          <w:rFonts w:hint="eastAsia" w:ascii="宋体" w:hAnsi="宋体" w:cs="宋体"/>
          <w:highlight w:val="none"/>
        </w:rPr>
      </w:pPr>
      <w:r>
        <w:rPr>
          <w:rFonts w:ascii="宋体" w:hAnsi="宋体" w:cs="宋体"/>
          <w:highlight w:val="none"/>
        </w:rPr>
        <w:t>1.2本合同下列术语应解释为：</w:t>
      </w:r>
    </w:p>
    <w:p w14:paraId="10716E50">
      <w:pPr>
        <w:tabs>
          <w:tab w:val="left" w:pos="570"/>
          <w:tab w:val="left" w:pos="9240"/>
          <w:tab w:val="left" w:pos="9555"/>
        </w:tabs>
        <w:spacing w:line="360" w:lineRule="auto"/>
        <w:ind w:firstLine="420"/>
        <w:jc w:val="left"/>
        <w:rPr>
          <w:rFonts w:hint="eastAsia" w:ascii="宋体" w:hAnsi="宋体" w:cs="宋体"/>
          <w:highlight w:val="none"/>
        </w:rPr>
      </w:pPr>
      <w:r>
        <w:rPr>
          <w:rFonts w:ascii="宋体" w:hAnsi="宋体" w:cs="宋体"/>
          <w:highlight w:val="none"/>
        </w:rPr>
        <w:t>（1）“合同”系指甲乙双方签署的、政府采购合同协议书中载明的甲乙双方所达成的协议，包括所有的附件、附录和上述文件所提到的构成合同的所有文件。</w:t>
      </w:r>
    </w:p>
    <w:p w14:paraId="2E923662">
      <w:pPr>
        <w:tabs>
          <w:tab w:val="left" w:pos="570"/>
          <w:tab w:val="left" w:pos="9240"/>
          <w:tab w:val="left" w:pos="9555"/>
        </w:tabs>
        <w:spacing w:line="360" w:lineRule="auto"/>
        <w:ind w:firstLine="420"/>
        <w:jc w:val="left"/>
        <w:rPr>
          <w:rFonts w:hint="eastAsia" w:ascii="宋体" w:hAnsi="宋体" w:cs="宋体"/>
          <w:highlight w:val="none"/>
        </w:rPr>
      </w:pPr>
      <w:r>
        <w:rPr>
          <w:rFonts w:ascii="宋体" w:hAnsi="宋体" w:cs="宋体"/>
          <w:highlight w:val="none"/>
        </w:rPr>
        <w:t>（2）“合同价”系指根据本合同规定乙方在正确地完全履行合同义务后甲方应支付给乙方的价款。</w:t>
      </w:r>
    </w:p>
    <w:p w14:paraId="27560FB5">
      <w:pPr>
        <w:tabs>
          <w:tab w:val="left" w:pos="570"/>
          <w:tab w:val="left" w:pos="9240"/>
          <w:tab w:val="left" w:pos="9555"/>
        </w:tabs>
        <w:spacing w:line="360" w:lineRule="auto"/>
        <w:ind w:firstLine="420"/>
        <w:jc w:val="left"/>
        <w:rPr>
          <w:rFonts w:hint="eastAsia" w:ascii="宋体" w:hAnsi="宋体" w:cs="宋体"/>
          <w:highlight w:val="none"/>
        </w:rPr>
      </w:pPr>
      <w:r>
        <w:rPr>
          <w:rFonts w:ascii="宋体" w:hAnsi="宋体" w:cs="宋体"/>
          <w:highlight w:val="none"/>
        </w:rPr>
        <w:t>（3）“货物”系指乙方根据本合同规定须向甲方提供的各种形态和种类的物品，包括原材料、设备、产品（包括软件）及相关的其备品备件、工具、手册及其它技术资料和材料。</w:t>
      </w:r>
    </w:p>
    <w:p w14:paraId="5D44CAC8">
      <w:pPr>
        <w:tabs>
          <w:tab w:val="left" w:pos="570"/>
          <w:tab w:val="left" w:pos="8880"/>
          <w:tab w:val="left" w:pos="9555"/>
        </w:tabs>
        <w:spacing w:line="360" w:lineRule="auto"/>
        <w:ind w:firstLine="420"/>
        <w:jc w:val="left"/>
        <w:rPr>
          <w:rFonts w:hint="eastAsia" w:ascii="宋体" w:hAnsi="宋体" w:cs="宋体"/>
          <w:highlight w:val="none"/>
        </w:rPr>
      </w:pPr>
      <w:r>
        <w:rPr>
          <w:rFonts w:ascii="宋体" w:hAnsi="宋体" w:cs="宋体"/>
          <w:highlight w:val="none"/>
        </w:rPr>
        <w:t>（4）“服务”系指根据合同规定，乙方应提供的技术、管理和其它服务，包括但不限于：管理和质量保证、运输、保险、检验、现场准备、安装、集成、调试、培训、维修、技术支持等以及合同中规定乙方应承担的其它义务。</w:t>
      </w:r>
    </w:p>
    <w:p w14:paraId="2CF4313A">
      <w:pPr>
        <w:tabs>
          <w:tab w:val="left" w:pos="570"/>
          <w:tab w:val="left" w:pos="9240"/>
          <w:tab w:val="left" w:pos="9555"/>
        </w:tabs>
        <w:spacing w:line="360" w:lineRule="auto"/>
        <w:ind w:firstLine="420"/>
        <w:jc w:val="left"/>
        <w:rPr>
          <w:rFonts w:hint="eastAsia" w:ascii="宋体" w:hAnsi="宋体" w:cs="宋体"/>
          <w:highlight w:val="none"/>
        </w:rPr>
      </w:pPr>
      <w:r>
        <w:rPr>
          <w:rFonts w:ascii="宋体" w:hAnsi="宋体" w:cs="宋体"/>
          <w:highlight w:val="none"/>
        </w:rPr>
        <w:t>（5）“合同条款”系指本合同条款。</w:t>
      </w:r>
    </w:p>
    <w:p w14:paraId="4F982DED">
      <w:pPr>
        <w:tabs>
          <w:tab w:val="left" w:pos="570"/>
          <w:tab w:val="left" w:pos="9240"/>
          <w:tab w:val="left" w:pos="9555"/>
        </w:tabs>
        <w:spacing w:line="360" w:lineRule="auto"/>
        <w:ind w:firstLine="420"/>
        <w:jc w:val="left"/>
        <w:rPr>
          <w:rFonts w:hint="eastAsia" w:ascii="宋体" w:hAnsi="宋体" w:cs="宋体"/>
          <w:highlight w:val="none"/>
        </w:rPr>
      </w:pPr>
      <w:r>
        <w:rPr>
          <w:rFonts w:ascii="宋体" w:hAnsi="宋体" w:cs="宋体"/>
          <w:highlight w:val="none"/>
        </w:rPr>
        <w:t>（6）“项目现场”系指本合同项下货物安装、运行的现场，其名称见</w:t>
      </w:r>
      <w:r>
        <w:rPr>
          <w:rFonts w:ascii="宋体" w:hAnsi="宋体" w:cs="宋体"/>
          <w:b/>
          <w:highlight w:val="none"/>
        </w:rPr>
        <w:t>【政府采购合同专用条款】</w:t>
      </w:r>
      <w:r>
        <w:rPr>
          <w:rFonts w:ascii="宋体" w:hAnsi="宋体" w:cs="宋体"/>
          <w:highlight w:val="none"/>
        </w:rPr>
        <w:t>。</w:t>
      </w:r>
    </w:p>
    <w:p w14:paraId="63481324">
      <w:pPr>
        <w:spacing w:line="360" w:lineRule="auto"/>
        <w:jc w:val="left"/>
        <w:rPr>
          <w:rFonts w:hint="eastAsia" w:ascii="宋体" w:hAnsi="宋体" w:cs="宋体"/>
          <w:b/>
          <w:sz w:val="24"/>
          <w:highlight w:val="none"/>
        </w:rPr>
      </w:pPr>
      <w:r>
        <w:rPr>
          <w:rFonts w:ascii="宋体" w:hAnsi="宋体" w:cs="宋体"/>
          <w:b/>
          <w:sz w:val="24"/>
          <w:highlight w:val="none"/>
        </w:rPr>
        <w:t>2.合同的适用范围</w:t>
      </w:r>
    </w:p>
    <w:p w14:paraId="3CC9833A">
      <w:pPr>
        <w:spacing w:line="360" w:lineRule="auto"/>
        <w:ind w:firstLine="420"/>
        <w:jc w:val="left"/>
        <w:rPr>
          <w:rFonts w:hint="eastAsia" w:ascii="宋体" w:hAnsi="宋体" w:cs="宋体"/>
          <w:highlight w:val="none"/>
        </w:rPr>
      </w:pPr>
      <w:r>
        <w:rPr>
          <w:rFonts w:ascii="宋体" w:hAnsi="宋体" w:cs="宋体"/>
          <w:highlight w:val="none"/>
        </w:rPr>
        <w:t>2.1 本合同条款适用于没有被本合同其他部分的条款所取代的范围。</w:t>
      </w:r>
    </w:p>
    <w:p w14:paraId="4E02BCE3">
      <w:pPr>
        <w:spacing w:line="360" w:lineRule="auto"/>
        <w:ind w:firstLine="420"/>
        <w:jc w:val="left"/>
        <w:rPr>
          <w:rFonts w:hint="eastAsia" w:ascii="宋体" w:hAnsi="宋体" w:cs="宋体"/>
          <w:highlight w:val="none"/>
        </w:rPr>
      </w:pPr>
      <w:r>
        <w:rPr>
          <w:rFonts w:ascii="宋体" w:hAnsi="宋体" w:cs="宋体"/>
          <w:highlight w:val="none"/>
        </w:rPr>
        <w:t>2.2 合同内容根据磋商文件、响应文件而确定。</w:t>
      </w:r>
    </w:p>
    <w:p w14:paraId="571D7B61">
      <w:pPr>
        <w:spacing w:line="360" w:lineRule="auto"/>
        <w:jc w:val="left"/>
        <w:rPr>
          <w:rFonts w:hint="eastAsia" w:ascii="宋体" w:hAnsi="宋体" w:cs="宋体"/>
          <w:b/>
          <w:sz w:val="24"/>
          <w:highlight w:val="none"/>
        </w:rPr>
      </w:pPr>
      <w:r>
        <w:rPr>
          <w:rFonts w:ascii="宋体" w:hAnsi="宋体" w:cs="宋体"/>
          <w:b/>
          <w:sz w:val="24"/>
          <w:highlight w:val="none"/>
        </w:rPr>
        <w:t>3.合同标的及金额</w:t>
      </w:r>
    </w:p>
    <w:p w14:paraId="37557BA1">
      <w:pPr>
        <w:spacing w:line="360" w:lineRule="auto"/>
        <w:ind w:firstLine="420"/>
        <w:jc w:val="left"/>
        <w:rPr>
          <w:rFonts w:hint="eastAsia" w:ascii="宋体" w:hAnsi="宋体" w:cs="宋体"/>
          <w:highlight w:val="none"/>
        </w:rPr>
      </w:pPr>
      <w:r>
        <w:rPr>
          <w:rFonts w:ascii="宋体" w:hAnsi="宋体" w:cs="宋体"/>
          <w:highlight w:val="none"/>
        </w:rPr>
        <w:t>3.1 合同标的及金额应与中标结果一致。</w:t>
      </w:r>
    </w:p>
    <w:p w14:paraId="659CCAE3">
      <w:pPr>
        <w:spacing w:line="360" w:lineRule="auto"/>
        <w:jc w:val="left"/>
        <w:rPr>
          <w:rFonts w:hint="eastAsia" w:ascii="宋体" w:hAnsi="宋体" w:cs="宋体"/>
          <w:b/>
          <w:sz w:val="24"/>
          <w:highlight w:val="none"/>
        </w:rPr>
      </w:pPr>
      <w:r>
        <w:rPr>
          <w:rFonts w:ascii="宋体" w:hAnsi="宋体" w:cs="宋体"/>
          <w:b/>
          <w:sz w:val="24"/>
          <w:highlight w:val="none"/>
        </w:rPr>
        <w:t>4.合同价款</w:t>
      </w:r>
    </w:p>
    <w:p w14:paraId="39F6FDEB">
      <w:pPr>
        <w:spacing w:line="360" w:lineRule="auto"/>
        <w:ind w:firstLine="420"/>
        <w:jc w:val="left"/>
        <w:rPr>
          <w:rFonts w:hint="eastAsia" w:ascii="宋体" w:hAnsi="宋体" w:cs="宋体"/>
          <w:b/>
          <w:i/>
          <w:highlight w:val="none"/>
        </w:rPr>
      </w:pPr>
      <w:r>
        <w:rPr>
          <w:rFonts w:ascii="宋体" w:hAnsi="宋体" w:cs="宋体"/>
          <w:highlight w:val="none"/>
        </w:rPr>
        <w:t>4.1具体合同价款见本合同第3.1条。乙方为履行本合同而发生的所有费用均应包含在合同价款中，甲方不再另行支付其它任何费用。</w:t>
      </w:r>
    </w:p>
    <w:p w14:paraId="215EB034">
      <w:pPr>
        <w:spacing w:line="360" w:lineRule="auto"/>
        <w:jc w:val="left"/>
        <w:rPr>
          <w:rFonts w:hint="eastAsia" w:ascii="宋体" w:hAnsi="宋体" w:cs="宋体"/>
          <w:b/>
          <w:sz w:val="24"/>
          <w:highlight w:val="none"/>
        </w:rPr>
      </w:pPr>
      <w:r>
        <w:rPr>
          <w:rFonts w:ascii="宋体" w:hAnsi="宋体" w:cs="宋体"/>
          <w:b/>
          <w:sz w:val="24"/>
          <w:highlight w:val="none"/>
        </w:rPr>
        <w:t>5.履行合同的时间、地点和方式</w:t>
      </w:r>
    </w:p>
    <w:p w14:paraId="3789C105">
      <w:pPr>
        <w:spacing w:line="360" w:lineRule="auto"/>
        <w:ind w:firstLine="420"/>
        <w:jc w:val="left"/>
        <w:rPr>
          <w:rFonts w:hint="eastAsia" w:ascii="宋体" w:hAnsi="宋体" w:cs="宋体"/>
          <w:highlight w:val="none"/>
        </w:rPr>
      </w:pPr>
      <w:r>
        <w:rPr>
          <w:rFonts w:ascii="宋体" w:hAnsi="宋体" w:cs="宋体"/>
          <w:highlight w:val="none"/>
        </w:rPr>
        <w:t>5.1 乙方应当在甲方确定的时间、指定的地点履行合同，具体的交货时间、地点和方式见</w:t>
      </w:r>
      <w:r>
        <w:rPr>
          <w:rFonts w:ascii="宋体" w:hAnsi="宋体" w:cs="宋体"/>
          <w:b/>
          <w:highlight w:val="none"/>
        </w:rPr>
        <w:t>【政府采购合同专用条款】</w:t>
      </w:r>
      <w:r>
        <w:rPr>
          <w:rFonts w:ascii="宋体" w:hAnsi="宋体" w:cs="宋体"/>
          <w:highlight w:val="none"/>
        </w:rPr>
        <w:t>。</w:t>
      </w:r>
    </w:p>
    <w:p w14:paraId="39A893CA">
      <w:pPr>
        <w:spacing w:line="360" w:lineRule="auto"/>
        <w:ind w:firstLine="420"/>
        <w:jc w:val="left"/>
        <w:rPr>
          <w:rFonts w:hint="eastAsia" w:ascii="宋体" w:hAnsi="宋体" w:cs="宋体"/>
          <w:highlight w:val="none"/>
        </w:rPr>
      </w:pPr>
      <w:r>
        <w:rPr>
          <w:rFonts w:ascii="宋体" w:hAnsi="宋体" w:cs="宋体"/>
          <w:highlight w:val="none"/>
        </w:rPr>
        <w:t>5.2 乙方提供服务的应当在甲方指定的地点完成服务项目。</w:t>
      </w:r>
    </w:p>
    <w:p w14:paraId="2C9B749F">
      <w:pPr>
        <w:spacing w:line="360" w:lineRule="auto"/>
        <w:jc w:val="left"/>
        <w:rPr>
          <w:rFonts w:hint="eastAsia" w:ascii="宋体" w:hAnsi="宋体" w:cs="宋体"/>
          <w:b/>
          <w:sz w:val="24"/>
          <w:highlight w:val="none"/>
        </w:rPr>
      </w:pPr>
      <w:r>
        <w:rPr>
          <w:rFonts w:ascii="宋体" w:hAnsi="宋体" w:cs="宋体"/>
          <w:b/>
          <w:sz w:val="24"/>
          <w:highlight w:val="none"/>
        </w:rPr>
        <w:t>6.货物的验收</w:t>
      </w:r>
    </w:p>
    <w:p w14:paraId="5D2EFDBE">
      <w:pPr>
        <w:spacing w:line="360" w:lineRule="auto"/>
        <w:ind w:firstLine="420"/>
        <w:jc w:val="left"/>
        <w:rPr>
          <w:rFonts w:hint="eastAsia" w:ascii="宋体" w:hAnsi="宋体" w:cs="宋体"/>
          <w:highlight w:val="none"/>
        </w:rPr>
      </w:pPr>
      <w:r>
        <w:rPr>
          <w:rFonts w:ascii="宋体" w:hAnsi="宋体" w:cs="宋体"/>
          <w:highlight w:val="none"/>
        </w:rPr>
        <w:t>6.1 甲方在收到乙方交付的货物后应当及时组织验收。</w:t>
      </w:r>
    </w:p>
    <w:p w14:paraId="07AC5984">
      <w:pPr>
        <w:spacing w:line="360" w:lineRule="auto"/>
        <w:ind w:firstLine="420"/>
        <w:jc w:val="left"/>
        <w:rPr>
          <w:rFonts w:hint="eastAsia" w:ascii="宋体" w:hAnsi="宋体" w:cs="宋体"/>
          <w:highlight w:val="none"/>
        </w:rPr>
      </w:pPr>
      <w:r>
        <w:rPr>
          <w:rFonts w:ascii="宋体" w:hAnsi="宋体" w:cs="宋体"/>
          <w:highlight w:val="none"/>
        </w:rPr>
        <w:t>6.2 货物的表面瑕疵，甲方应在验收时当面提出；对质量问题有异议的应在安装调试后十个工作日内提出。</w:t>
      </w:r>
    </w:p>
    <w:p w14:paraId="311D5F02">
      <w:pPr>
        <w:spacing w:line="360" w:lineRule="auto"/>
        <w:ind w:firstLine="420"/>
        <w:jc w:val="left"/>
        <w:rPr>
          <w:rFonts w:hint="eastAsia" w:ascii="宋体" w:hAnsi="宋体" w:cs="宋体"/>
          <w:highlight w:val="none"/>
        </w:rPr>
      </w:pPr>
      <w:r>
        <w:rPr>
          <w:rFonts w:ascii="宋体" w:hAnsi="宋体" w:cs="宋体"/>
          <w:highlight w:val="none"/>
        </w:rPr>
        <w:t>6.3 在验收过程中发现数量不足或有质量、技术等问题，乙方应负责按照甲方的要求采取补足、更换或退货等处理措施，并承担由此发生的一切费用和损失。</w:t>
      </w:r>
    </w:p>
    <w:p w14:paraId="44B63656">
      <w:pPr>
        <w:spacing w:line="360" w:lineRule="auto"/>
        <w:ind w:firstLine="420"/>
        <w:jc w:val="left"/>
        <w:rPr>
          <w:rFonts w:hint="eastAsia" w:ascii="宋体" w:hAnsi="宋体" w:cs="宋体"/>
          <w:highlight w:val="none"/>
        </w:rPr>
      </w:pPr>
      <w:r>
        <w:rPr>
          <w:rFonts w:ascii="宋体" w:hAnsi="宋体" w:cs="宋体"/>
          <w:highlight w:val="none"/>
        </w:rPr>
        <w:t>6.4 甲方在乙方按合同规定交货或安装、调试后，无正当理由而拖延接收、验收或拒绝接收、验收的，应承担因此给乙方造成的直接损失。</w:t>
      </w:r>
    </w:p>
    <w:p w14:paraId="382DA8B2">
      <w:pPr>
        <w:spacing w:line="360" w:lineRule="auto"/>
        <w:ind w:firstLine="420"/>
        <w:jc w:val="left"/>
        <w:rPr>
          <w:rFonts w:hint="eastAsia" w:ascii="宋体" w:hAnsi="宋体" w:cs="宋体"/>
          <w:highlight w:val="none"/>
        </w:rPr>
      </w:pPr>
      <w:r>
        <w:rPr>
          <w:rFonts w:ascii="宋体" w:hAnsi="宋体" w:cs="宋体"/>
          <w:highlight w:val="none"/>
        </w:rPr>
        <w:t>6.5 甲方对货物进行检查验收合格后，应当收取发票并在《交货验收单》上签署验收意见及加盖单位印章。</w:t>
      </w:r>
    </w:p>
    <w:p w14:paraId="3230E5F9">
      <w:pPr>
        <w:spacing w:line="360" w:lineRule="auto"/>
        <w:ind w:firstLine="420"/>
        <w:jc w:val="left"/>
        <w:rPr>
          <w:rFonts w:hint="eastAsia" w:ascii="宋体" w:hAnsi="宋体" w:cs="宋体"/>
          <w:highlight w:val="none"/>
        </w:rPr>
      </w:pPr>
      <w:r>
        <w:rPr>
          <w:rFonts w:ascii="宋体" w:hAnsi="宋体" w:cs="宋体"/>
          <w:highlight w:val="none"/>
        </w:rPr>
        <w:t>6.6 大型或者复杂的货物采购项目，甲方可以邀请国家认可的质量检测机构参加验收工作，并由其出具验收报告单。</w:t>
      </w:r>
    </w:p>
    <w:p w14:paraId="0E36F750">
      <w:pPr>
        <w:spacing w:line="360" w:lineRule="auto"/>
        <w:ind w:firstLine="420"/>
        <w:jc w:val="left"/>
        <w:rPr>
          <w:rFonts w:hint="eastAsia" w:ascii="宋体" w:hAnsi="宋体" w:cs="宋体"/>
          <w:highlight w:val="none"/>
        </w:rPr>
      </w:pPr>
      <w:r>
        <w:rPr>
          <w:rFonts w:ascii="宋体" w:hAnsi="宋体" w:cs="宋体"/>
          <w:highlight w:val="none"/>
        </w:rPr>
        <w:t>6.7 乙方提供的进口产品，乙方应出示中华人民共和国进出口商品检验部门出具的检验证书（磋商文件第五章采购需求另有约定的除外）。</w:t>
      </w:r>
    </w:p>
    <w:p w14:paraId="7DFD6140">
      <w:pPr>
        <w:spacing w:line="360" w:lineRule="auto"/>
        <w:jc w:val="left"/>
        <w:rPr>
          <w:rFonts w:hint="eastAsia" w:ascii="宋体" w:hAnsi="宋体" w:cs="宋体"/>
          <w:b/>
          <w:sz w:val="24"/>
          <w:highlight w:val="none"/>
        </w:rPr>
      </w:pPr>
      <w:r>
        <w:rPr>
          <w:rFonts w:ascii="宋体" w:hAnsi="宋体" w:cs="宋体"/>
          <w:b/>
          <w:sz w:val="24"/>
          <w:highlight w:val="none"/>
        </w:rPr>
        <w:t>7.货物包装要求</w:t>
      </w:r>
    </w:p>
    <w:p w14:paraId="3E2EF4B4">
      <w:pPr>
        <w:spacing w:line="360" w:lineRule="auto"/>
        <w:ind w:firstLine="420"/>
        <w:jc w:val="left"/>
        <w:rPr>
          <w:rFonts w:hint="eastAsia" w:ascii="宋体" w:hAnsi="宋体" w:cs="宋体"/>
          <w:highlight w:val="none"/>
        </w:rPr>
      </w:pPr>
      <w:r>
        <w:rPr>
          <w:rFonts w:ascii="宋体" w:hAnsi="宋体" w:cs="宋体"/>
          <w:highlight w:val="none"/>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309ED25E">
      <w:pPr>
        <w:spacing w:line="360" w:lineRule="auto"/>
        <w:ind w:firstLine="420"/>
        <w:jc w:val="left"/>
        <w:rPr>
          <w:rFonts w:hint="eastAsia" w:ascii="宋体" w:hAnsi="宋体" w:cs="宋体"/>
          <w:highlight w:val="none"/>
        </w:rPr>
      </w:pPr>
      <w:r>
        <w:rPr>
          <w:rFonts w:ascii="宋体" w:hAnsi="宋体" w:cs="宋体"/>
          <w:highlight w:val="none"/>
        </w:rPr>
        <w:t>7.2 每一个包装箱内应附一份详细装箱单、质量证书和保修保养证书。</w:t>
      </w:r>
    </w:p>
    <w:p w14:paraId="7382C4FD">
      <w:pPr>
        <w:spacing w:line="360" w:lineRule="auto"/>
        <w:jc w:val="left"/>
        <w:rPr>
          <w:rFonts w:hint="eastAsia" w:ascii="宋体" w:hAnsi="宋体" w:cs="宋体"/>
          <w:b/>
          <w:sz w:val="24"/>
          <w:highlight w:val="none"/>
        </w:rPr>
      </w:pPr>
      <w:r>
        <w:rPr>
          <w:rFonts w:ascii="宋体" w:hAnsi="宋体" w:cs="宋体"/>
          <w:b/>
          <w:sz w:val="24"/>
          <w:highlight w:val="none"/>
        </w:rPr>
        <w:t>8.运输和保险</w:t>
      </w:r>
    </w:p>
    <w:p w14:paraId="36490420">
      <w:pPr>
        <w:spacing w:line="360" w:lineRule="auto"/>
        <w:ind w:firstLine="420"/>
        <w:jc w:val="left"/>
        <w:rPr>
          <w:rFonts w:hint="eastAsia" w:ascii="宋体" w:hAnsi="宋体" w:cs="宋体"/>
          <w:highlight w:val="none"/>
        </w:rPr>
      </w:pPr>
      <w:r>
        <w:rPr>
          <w:rFonts w:ascii="宋体" w:hAnsi="宋体" w:cs="宋体"/>
          <w:highlight w:val="none"/>
        </w:rPr>
        <w:t>8.1乙方负责办理将货物运抵本合同第5.1条规定的交货地点的一切运输事项，相关费用应包括在合同总价中。</w:t>
      </w:r>
    </w:p>
    <w:p w14:paraId="6743CF90">
      <w:pPr>
        <w:spacing w:line="360" w:lineRule="auto"/>
        <w:ind w:firstLine="420"/>
        <w:jc w:val="left"/>
        <w:rPr>
          <w:rFonts w:hint="eastAsia" w:ascii="宋体" w:hAnsi="宋体" w:cs="宋体"/>
          <w:highlight w:val="none"/>
        </w:rPr>
      </w:pPr>
      <w:r>
        <w:rPr>
          <w:rFonts w:ascii="宋体" w:hAnsi="宋体" w:cs="宋体"/>
          <w:highlight w:val="none"/>
        </w:rPr>
        <w:t>8.2乙方应向保险公司投保以甲方为受益人的发运合同货物发票金额的110％运输一切险。</w:t>
      </w:r>
    </w:p>
    <w:p w14:paraId="1C68ED32">
      <w:pPr>
        <w:spacing w:line="360" w:lineRule="auto"/>
        <w:jc w:val="left"/>
        <w:rPr>
          <w:rFonts w:hint="eastAsia" w:ascii="宋体" w:hAnsi="宋体" w:cs="宋体"/>
          <w:b/>
          <w:sz w:val="24"/>
          <w:highlight w:val="none"/>
        </w:rPr>
      </w:pPr>
      <w:r>
        <w:rPr>
          <w:rFonts w:ascii="宋体" w:hAnsi="宋体" w:cs="宋体"/>
          <w:b/>
          <w:sz w:val="24"/>
          <w:highlight w:val="none"/>
        </w:rPr>
        <w:t>9.质量标准和保证</w:t>
      </w:r>
    </w:p>
    <w:p w14:paraId="73C99AFA">
      <w:pPr>
        <w:spacing w:line="360" w:lineRule="auto"/>
        <w:ind w:firstLine="420"/>
        <w:jc w:val="left"/>
        <w:rPr>
          <w:rFonts w:hint="eastAsia" w:ascii="宋体" w:hAnsi="宋体" w:cs="宋体"/>
          <w:b/>
          <w:highlight w:val="none"/>
        </w:rPr>
      </w:pPr>
      <w:r>
        <w:rPr>
          <w:rFonts w:ascii="宋体" w:hAnsi="宋体" w:cs="宋体"/>
          <w:highlight w:val="none"/>
        </w:rPr>
        <w:t>9.1 质量标准</w:t>
      </w:r>
    </w:p>
    <w:p w14:paraId="70ECA2AA">
      <w:pPr>
        <w:spacing w:line="360" w:lineRule="auto"/>
        <w:ind w:firstLine="420"/>
        <w:jc w:val="left"/>
        <w:rPr>
          <w:rFonts w:hint="eastAsia" w:ascii="宋体" w:hAnsi="宋体" w:cs="宋体"/>
          <w:highlight w:val="none"/>
        </w:rPr>
      </w:pPr>
      <w:r>
        <w:rPr>
          <w:rFonts w:ascii="宋体" w:hAnsi="宋体" w:cs="宋体"/>
          <w:highlight w:val="none"/>
        </w:rPr>
        <w:t>（1）本合同下交付的货物应符合磋商文件第四章“技术规格、参数与要求”所述的标准。如果没有提及适用标准，则应符合中华人民共和国有关机构发布的最新版本的标准。</w:t>
      </w:r>
    </w:p>
    <w:p w14:paraId="68C2C548">
      <w:pPr>
        <w:spacing w:line="360" w:lineRule="auto"/>
        <w:ind w:firstLine="420"/>
        <w:jc w:val="left"/>
        <w:rPr>
          <w:rFonts w:hint="eastAsia" w:ascii="宋体" w:hAnsi="宋体" w:cs="宋体"/>
          <w:highlight w:val="none"/>
        </w:rPr>
      </w:pPr>
      <w:r>
        <w:rPr>
          <w:rFonts w:ascii="宋体" w:hAnsi="宋体" w:cs="宋体"/>
          <w:highlight w:val="none"/>
        </w:rPr>
        <w:t>（2）采用中华人民共和国法定计量单位。</w:t>
      </w:r>
    </w:p>
    <w:p w14:paraId="5DAB365A">
      <w:pPr>
        <w:spacing w:line="360" w:lineRule="auto"/>
        <w:ind w:firstLine="420"/>
        <w:jc w:val="left"/>
        <w:rPr>
          <w:rFonts w:hint="eastAsia" w:ascii="宋体" w:hAnsi="宋体" w:cs="宋体"/>
          <w:highlight w:val="none"/>
        </w:rPr>
      </w:pPr>
      <w:r>
        <w:rPr>
          <w:rFonts w:ascii="宋体" w:hAnsi="宋体" w:cs="宋体"/>
          <w:highlight w:val="none"/>
        </w:rPr>
        <w:t>（3）乙方所出售的货物还应符合国家有关安全、环保、卫生之规定。</w:t>
      </w:r>
    </w:p>
    <w:p w14:paraId="5E4A35F2">
      <w:pPr>
        <w:spacing w:line="360" w:lineRule="auto"/>
        <w:ind w:firstLine="420"/>
        <w:jc w:val="left"/>
        <w:rPr>
          <w:rFonts w:hint="eastAsia" w:ascii="宋体" w:hAnsi="宋体" w:cs="宋体"/>
          <w:highlight w:val="none"/>
        </w:rPr>
      </w:pPr>
      <w:r>
        <w:rPr>
          <w:rFonts w:ascii="宋体" w:hAnsi="宋体" w:cs="宋体"/>
          <w:highlight w:val="none"/>
        </w:rPr>
        <w:t>9.2 保证</w:t>
      </w:r>
    </w:p>
    <w:p w14:paraId="4F8F6667">
      <w:pPr>
        <w:spacing w:line="360" w:lineRule="auto"/>
        <w:ind w:firstLine="420"/>
        <w:jc w:val="left"/>
        <w:rPr>
          <w:rFonts w:hint="eastAsia" w:ascii="宋体" w:hAnsi="宋体" w:cs="宋体"/>
          <w:highlight w:val="none"/>
        </w:rPr>
      </w:pPr>
      <w:r>
        <w:rPr>
          <w:rFonts w:ascii="宋体" w:hAnsi="宋体" w:cs="宋体"/>
          <w:highlight w:val="none"/>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ascii="宋体" w:hAnsi="宋体" w:cs="宋体"/>
          <w:b/>
          <w:highlight w:val="none"/>
        </w:rPr>
        <w:t>【政府采购合同专用条款】</w:t>
      </w:r>
      <w:r>
        <w:rPr>
          <w:rFonts w:ascii="宋体" w:hAnsi="宋体" w:cs="宋体"/>
          <w:highlight w:val="none"/>
        </w:rPr>
        <w:t>规定或乙方承诺（两者以较长的为准）的质量保证期内，本保证保持有效。</w:t>
      </w:r>
    </w:p>
    <w:p w14:paraId="40E99B20">
      <w:pPr>
        <w:spacing w:line="360" w:lineRule="auto"/>
        <w:ind w:firstLine="420"/>
        <w:jc w:val="left"/>
        <w:rPr>
          <w:rFonts w:hint="eastAsia" w:ascii="宋体" w:hAnsi="宋体" w:cs="宋体"/>
          <w:highlight w:val="none"/>
        </w:rPr>
      </w:pPr>
      <w:r>
        <w:rPr>
          <w:rFonts w:ascii="宋体" w:hAnsi="宋体" w:cs="宋体"/>
          <w:highlight w:val="none"/>
        </w:rPr>
        <w:t>（2）在质量保证期内所发现的缺陷，甲方应尽快以书面形式通知乙方。</w:t>
      </w:r>
    </w:p>
    <w:p w14:paraId="1D8393FC">
      <w:pPr>
        <w:spacing w:line="360" w:lineRule="auto"/>
        <w:ind w:firstLine="420"/>
        <w:jc w:val="left"/>
        <w:rPr>
          <w:rFonts w:hint="eastAsia" w:ascii="宋体" w:hAnsi="宋体" w:cs="宋体"/>
          <w:highlight w:val="none"/>
        </w:rPr>
      </w:pPr>
      <w:r>
        <w:rPr>
          <w:rFonts w:ascii="宋体" w:hAnsi="宋体" w:cs="宋体"/>
          <w:highlight w:val="none"/>
        </w:rPr>
        <w:t>（3）乙方收到通知后应在</w:t>
      </w:r>
      <w:r>
        <w:rPr>
          <w:rFonts w:ascii="宋体" w:hAnsi="宋体" w:cs="宋体"/>
          <w:b/>
          <w:highlight w:val="none"/>
        </w:rPr>
        <w:t>【政府采购合同专用条款】</w:t>
      </w:r>
      <w:r>
        <w:rPr>
          <w:rFonts w:ascii="宋体" w:hAnsi="宋体" w:cs="宋体"/>
          <w:highlight w:val="none"/>
        </w:rPr>
        <w:t>规定的响应时间内以合理的速度免费维修或更换有缺陷的货物或部件。</w:t>
      </w:r>
    </w:p>
    <w:p w14:paraId="7280816A">
      <w:pPr>
        <w:spacing w:line="360" w:lineRule="auto"/>
        <w:ind w:firstLine="420"/>
        <w:jc w:val="left"/>
        <w:rPr>
          <w:rFonts w:hint="eastAsia" w:ascii="宋体" w:hAnsi="宋体" w:cs="宋体"/>
          <w:highlight w:val="none"/>
        </w:rPr>
      </w:pPr>
      <w:r>
        <w:rPr>
          <w:rFonts w:ascii="宋体" w:hAnsi="宋体" w:cs="宋体"/>
          <w:highlight w:val="none"/>
        </w:rPr>
        <w:t>（4）在质量保证期内，如果货物的质量或规格与合同不符，或证实货物是有缺陷的，包括潜在的缺陷或使用不符合要求的材料等，甲方可以根据本合同第15.1条规定以书面形式向乙方提出补救措施或索赔。</w:t>
      </w:r>
    </w:p>
    <w:p w14:paraId="2795D4B1">
      <w:pPr>
        <w:spacing w:line="360" w:lineRule="auto"/>
        <w:ind w:firstLine="420"/>
        <w:jc w:val="left"/>
        <w:rPr>
          <w:rFonts w:hint="eastAsia" w:ascii="宋体" w:hAnsi="宋体" w:cs="宋体"/>
          <w:b/>
          <w:highlight w:val="none"/>
        </w:rPr>
      </w:pPr>
      <w:r>
        <w:rPr>
          <w:rFonts w:ascii="宋体" w:hAnsi="宋体" w:cs="宋体"/>
          <w:highlight w:val="none"/>
        </w:rPr>
        <w:t>（5）乙方在约定的时间内未能弥补缺陷，甲方可采取必要的补救措施，但其风险和费用将由乙方承担，甲方根据合同规定对乙方行使的其他权利不受影响。</w:t>
      </w:r>
    </w:p>
    <w:p w14:paraId="360FA9F4">
      <w:pPr>
        <w:spacing w:line="360" w:lineRule="auto"/>
        <w:jc w:val="left"/>
        <w:rPr>
          <w:rFonts w:hint="eastAsia" w:ascii="宋体" w:hAnsi="宋体" w:cs="宋体"/>
          <w:b/>
          <w:sz w:val="24"/>
          <w:highlight w:val="none"/>
        </w:rPr>
      </w:pPr>
      <w:r>
        <w:rPr>
          <w:rFonts w:ascii="宋体" w:hAnsi="宋体" w:cs="宋体"/>
          <w:b/>
          <w:sz w:val="24"/>
          <w:highlight w:val="none"/>
        </w:rPr>
        <w:t>10.权利瑕疵担保</w:t>
      </w:r>
    </w:p>
    <w:p w14:paraId="08FB8D30">
      <w:pPr>
        <w:spacing w:line="360" w:lineRule="auto"/>
        <w:ind w:firstLine="420"/>
        <w:jc w:val="left"/>
        <w:rPr>
          <w:rFonts w:hint="eastAsia" w:ascii="宋体" w:hAnsi="宋体" w:cs="宋体"/>
          <w:highlight w:val="none"/>
        </w:rPr>
      </w:pPr>
      <w:r>
        <w:rPr>
          <w:rFonts w:ascii="宋体" w:hAnsi="宋体" w:cs="宋体"/>
          <w:highlight w:val="none"/>
        </w:rPr>
        <w:t>10.1 乙方保证对其出售的货物享有合法的权利。</w:t>
      </w:r>
    </w:p>
    <w:p w14:paraId="1CC20882">
      <w:pPr>
        <w:spacing w:line="360" w:lineRule="auto"/>
        <w:ind w:firstLine="420"/>
        <w:jc w:val="left"/>
        <w:rPr>
          <w:rFonts w:hint="eastAsia" w:ascii="宋体" w:hAnsi="宋体" w:cs="宋体"/>
          <w:highlight w:val="none"/>
        </w:rPr>
      </w:pPr>
      <w:r>
        <w:rPr>
          <w:rFonts w:ascii="宋体" w:hAnsi="宋体" w:cs="宋体"/>
          <w:highlight w:val="none"/>
        </w:rPr>
        <w:t>10.2 乙方保证在其出售的货物上不存在任何未曾向甲方透露的担保物权，如抵押权、质押权、留置权等。</w:t>
      </w:r>
    </w:p>
    <w:p w14:paraId="6294539E">
      <w:pPr>
        <w:spacing w:line="360" w:lineRule="auto"/>
        <w:ind w:firstLine="420"/>
        <w:jc w:val="left"/>
        <w:rPr>
          <w:rFonts w:hint="eastAsia" w:ascii="宋体" w:hAnsi="宋体" w:cs="宋体"/>
          <w:highlight w:val="none"/>
        </w:rPr>
      </w:pPr>
      <w:r>
        <w:rPr>
          <w:rFonts w:ascii="宋体" w:hAnsi="宋体" w:cs="宋体"/>
          <w:highlight w:val="none"/>
        </w:rPr>
        <w:t>10.3 如甲方使用该货物构成上述侵权的，则由乙方承担全部责任。</w:t>
      </w:r>
    </w:p>
    <w:p w14:paraId="167270B7">
      <w:pPr>
        <w:spacing w:line="360" w:lineRule="auto"/>
        <w:jc w:val="left"/>
        <w:rPr>
          <w:rFonts w:hint="eastAsia" w:ascii="宋体" w:hAnsi="宋体" w:cs="宋体"/>
          <w:b/>
          <w:sz w:val="24"/>
          <w:highlight w:val="none"/>
        </w:rPr>
      </w:pPr>
      <w:r>
        <w:rPr>
          <w:rFonts w:ascii="宋体" w:hAnsi="宋体" w:cs="宋体"/>
          <w:b/>
          <w:sz w:val="24"/>
          <w:highlight w:val="none"/>
        </w:rPr>
        <w:t>11.知识产权保护</w:t>
      </w:r>
    </w:p>
    <w:p w14:paraId="08052CB5">
      <w:pPr>
        <w:spacing w:line="360" w:lineRule="auto"/>
        <w:ind w:firstLine="420"/>
        <w:jc w:val="left"/>
        <w:rPr>
          <w:rFonts w:hint="eastAsia" w:ascii="宋体" w:hAnsi="宋体" w:cs="宋体"/>
          <w:highlight w:val="none"/>
        </w:rPr>
      </w:pPr>
      <w:r>
        <w:rPr>
          <w:rFonts w:ascii="宋体" w:hAnsi="宋体" w:cs="宋体"/>
          <w:highlight w:val="none"/>
        </w:rPr>
        <w:t>11.1 乙方对其所销售的货物应当享有知识产权或经权利人合法授权，保证没有侵犯任何第三人的知识产权和商业秘密等权利。</w:t>
      </w:r>
    </w:p>
    <w:p w14:paraId="174C6932">
      <w:pPr>
        <w:spacing w:line="360" w:lineRule="auto"/>
        <w:ind w:firstLine="420"/>
        <w:jc w:val="left"/>
        <w:rPr>
          <w:rFonts w:hint="eastAsia" w:ascii="宋体" w:hAnsi="宋体" w:cs="宋体"/>
          <w:highlight w:val="none"/>
        </w:rPr>
      </w:pPr>
      <w:r>
        <w:rPr>
          <w:rFonts w:ascii="宋体" w:hAnsi="宋体" w:cs="宋体"/>
          <w:highlight w:val="none"/>
        </w:rPr>
        <w:t>11.2 甲方使用乙方提供的货物对第三人构成侵权的，应当由乙方承担全部法律责任，给甲方造成损害的，乙方应当承担赔偿责任。</w:t>
      </w:r>
    </w:p>
    <w:p w14:paraId="6F38C83B">
      <w:pPr>
        <w:spacing w:line="360" w:lineRule="auto"/>
        <w:ind w:firstLine="420"/>
        <w:jc w:val="left"/>
        <w:rPr>
          <w:rFonts w:hint="eastAsia" w:ascii="宋体" w:hAnsi="宋体" w:cs="宋体"/>
          <w:highlight w:val="none"/>
        </w:rPr>
      </w:pPr>
      <w:r>
        <w:rPr>
          <w:rFonts w:ascii="宋体" w:hAnsi="宋体" w:cs="宋体"/>
          <w:highlight w:val="none"/>
        </w:rPr>
        <w:t>11.3 甲方委托乙方开发的产品，甲方享有知识产权，未经甲方许可不得转让任何第三人。</w:t>
      </w:r>
    </w:p>
    <w:p w14:paraId="5E041670">
      <w:pPr>
        <w:spacing w:line="360" w:lineRule="auto"/>
        <w:jc w:val="left"/>
        <w:rPr>
          <w:rFonts w:hint="eastAsia" w:ascii="宋体" w:hAnsi="宋体" w:cs="宋体"/>
          <w:b/>
          <w:sz w:val="24"/>
          <w:highlight w:val="none"/>
        </w:rPr>
      </w:pPr>
      <w:r>
        <w:rPr>
          <w:rFonts w:ascii="宋体" w:hAnsi="宋体" w:cs="宋体"/>
          <w:b/>
          <w:sz w:val="24"/>
          <w:highlight w:val="none"/>
        </w:rPr>
        <w:t>12.保密义务</w:t>
      </w:r>
    </w:p>
    <w:p w14:paraId="7782DDAD">
      <w:pPr>
        <w:spacing w:line="360" w:lineRule="auto"/>
        <w:ind w:firstLine="420"/>
        <w:jc w:val="left"/>
        <w:rPr>
          <w:rFonts w:hint="eastAsia" w:ascii="宋体" w:hAnsi="宋体" w:cs="宋体"/>
          <w:highlight w:val="none"/>
        </w:rPr>
      </w:pPr>
      <w:r>
        <w:rPr>
          <w:rFonts w:ascii="宋体" w:hAnsi="宋体" w:cs="宋体"/>
          <w:highlight w:val="none"/>
        </w:rPr>
        <w:t>12.1 甲、乙双方在采购和履行合同过程中所获悉的对方属于保密的内容，双方均有保密义务。</w:t>
      </w:r>
    </w:p>
    <w:p w14:paraId="4C464C5F">
      <w:pPr>
        <w:spacing w:line="360" w:lineRule="auto"/>
        <w:jc w:val="left"/>
        <w:rPr>
          <w:rFonts w:hint="eastAsia" w:ascii="宋体" w:hAnsi="宋体" w:cs="宋体"/>
          <w:b/>
          <w:sz w:val="24"/>
          <w:highlight w:val="none"/>
        </w:rPr>
      </w:pPr>
      <w:r>
        <w:rPr>
          <w:rFonts w:ascii="宋体" w:hAnsi="宋体" w:cs="宋体"/>
          <w:b/>
          <w:sz w:val="24"/>
          <w:highlight w:val="none"/>
        </w:rPr>
        <w:t>13.合同价款支付</w:t>
      </w:r>
    </w:p>
    <w:p w14:paraId="6D955EB0">
      <w:pPr>
        <w:spacing w:line="360" w:lineRule="auto"/>
        <w:ind w:firstLine="420"/>
        <w:jc w:val="left"/>
        <w:rPr>
          <w:rFonts w:hint="eastAsia" w:ascii="宋体" w:hAnsi="宋体" w:cs="宋体"/>
          <w:highlight w:val="none"/>
        </w:rPr>
      </w:pPr>
      <w:r>
        <w:rPr>
          <w:rFonts w:ascii="宋体" w:hAnsi="宋体" w:cs="宋体"/>
          <w:highlight w:val="none"/>
        </w:rPr>
        <w:t>13.1验收合格后，乙方出具正规发票给甲方，凭甲方开具的《政府采购合同验收报告单》办理合同价款结算手续。</w:t>
      </w:r>
    </w:p>
    <w:p w14:paraId="4AFC7050">
      <w:pPr>
        <w:spacing w:line="360" w:lineRule="auto"/>
        <w:ind w:firstLine="420"/>
        <w:jc w:val="left"/>
        <w:rPr>
          <w:rFonts w:hint="eastAsia" w:ascii="宋体" w:hAnsi="宋体" w:cs="宋体"/>
          <w:highlight w:val="none"/>
        </w:rPr>
      </w:pPr>
      <w:r>
        <w:rPr>
          <w:rFonts w:ascii="宋体" w:hAnsi="宋体" w:cs="宋体"/>
          <w:highlight w:val="none"/>
        </w:rPr>
        <w:t>13.2 合同价款构成中应当由财政支付的部分，甲方应当在货物验收合格后的十五个工作日内向国库管理部门申请支付，经国库管理部门审核后直接支付给乙方。</w:t>
      </w:r>
    </w:p>
    <w:p w14:paraId="242743ED">
      <w:pPr>
        <w:spacing w:line="360" w:lineRule="auto"/>
        <w:ind w:firstLine="420"/>
        <w:jc w:val="left"/>
        <w:rPr>
          <w:rFonts w:hint="eastAsia" w:ascii="宋体" w:hAnsi="宋体" w:cs="宋体"/>
          <w:highlight w:val="none"/>
        </w:rPr>
      </w:pPr>
      <w:r>
        <w:rPr>
          <w:rFonts w:ascii="宋体" w:hAnsi="宋体" w:cs="宋体"/>
          <w:highlight w:val="none"/>
        </w:rPr>
        <w:t>13.3 合同价款构成中应当由甲方自行支付的部分，甲方应当在货物验收合格后十五个工作内支付。</w:t>
      </w:r>
    </w:p>
    <w:p w14:paraId="212A9778">
      <w:pPr>
        <w:spacing w:line="360" w:lineRule="auto"/>
        <w:ind w:firstLine="420"/>
        <w:jc w:val="left"/>
        <w:rPr>
          <w:rFonts w:hint="eastAsia" w:ascii="宋体" w:hAnsi="宋体" w:cs="宋体"/>
          <w:highlight w:val="none"/>
        </w:rPr>
      </w:pPr>
      <w:r>
        <w:rPr>
          <w:rFonts w:ascii="宋体" w:hAnsi="宋体" w:cs="宋体"/>
          <w:highlight w:val="none"/>
        </w:rPr>
        <w:t>13.4支付合同价款时，一律不向乙方以外的任何第三方办理付款手续。开户行和账号以签订的政府采购合同为准，如果乙方要求变更，则乙方必须提供加盖了财务专用章、法定代表人签字的证明文件，报经甲方审查同意。</w:t>
      </w:r>
    </w:p>
    <w:p w14:paraId="153E5B02">
      <w:pPr>
        <w:spacing w:line="360" w:lineRule="auto"/>
        <w:ind w:firstLine="420"/>
        <w:jc w:val="left"/>
        <w:rPr>
          <w:rFonts w:hint="eastAsia" w:ascii="宋体" w:hAnsi="宋体" w:cs="宋体"/>
          <w:highlight w:val="none"/>
        </w:rPr>
      </w:pPr>
      <w:r>
        <w:rPr>
          <w:rFonts w:ascii="宋体" w:hAnsi="宋体" w:cs="宋体"/>
          <w:highlight w:val="none"/>
        </w:rPr>
        <w:t>13.5 合同价款支付方式和条件在</w:t>
      </w:r>
      <w:r>
        <w:rPr>
          <w:rFonts w:ascii="宋体" w:hAnsi="宋体" w:cs="宋体"/>
          <w:b/>
          <w:highlight w:val="none"/>
        </w:rPr>
        <w:t>【政府采购合同专用条款】</w:t>
      </w:r>
      <w:r>
        <w:rPr>
          <w:rFonts w:ascii="宋体" w:hAnsi="宋体" w:cs="宋体"/>
          <w:highlight w:val="none"/>
        </w:rPr>
        <w:t>中另有规定。</w:t>
      </w:r>
    </w:p>
    <w:p w14:paraId="7E641630">
      <w:pPr>
        <w:spacing w:line="360" w:lineRule="auto"/>
        <w:jc w:val="left"/>
        <w:rPr>
          <w:rFonts w:hint="eastAsia" w:ascii="宋体" w:hAnsi="宋体" w:cs="宋体"/>
          <w:b/>
          <w:sz w:val="24"/>
          <w:highlight w:val="none"/>
        </w:rPr>
      </w:pPr>
      <w:r>
        <w:rPr>
          <w:rFonts w:ascii="宋体" w:hAnsi="宋体" w:cs="宋体"/>
          <w:b/>
          <w:sz w:val="24"/>
          <w:highlight w:val="none"/>
        </w:rPr>
        <w:t>14.乙方应提供的服务</w:t>
      </w:r>
    </w:p>
    <w:p w14:paraId="0DCB223E">
      <w:pPr>
        <w:spacing w:line="360" w:lineRule="auto"/>
        <w:ind w:firstLine="420"/>
        <w:jc w:val="left"/>
        <w:rPr>
          <w:rFonts w:hint="eastAsia" w:ascii="宋体" w:hAnsi="宋体" w:cs="宋体"/>
          <w:highlight w:val="none"/>
        </w:rPr>
      </w:pPr>
      <w:r>
        <w:rPr>
          <w:rFonts w:ascii="宋体" w:hAnsi="宋体" w:cs="宋体"/>
          <w:highlight w:val="none"/>
        </w:rPr>
        <w:t>14.1 乙方应向甲方提交所提供货物的技术文件，包括相应的中文技术文件，如：产品目录、图纸、操作手册、使用说明、维护手册或服务指南。这些文件应包装好随同货物一起发运。</w:t>
      </w:r>
    </w:p>
    <w:p w14:paraId="5994734C">
      <w:pPr>
        <w:spacing w:line="360" w:lineRule="auto"/>
        <w:ind w:firstLine="420"/>
        <w:jc w:val="left"/>
        <w:rPr>
          <w:rFonts w:hint="eastAsia" w:ascii="宋体" w:hAnsi="宋体" w:cs="宋体"/>
          <w:highlight w:val="none"/>
        </w:rPr>
      </w:pPr>
      <w:r>
        <w:rPr>
          <w:rFonts w:ascii="宋体" w:hAnsi="宋体" w:cs="宋体"/>
          <w:highlight w:val="none"/>
        </w:rPr>
        <w:t>14.2 乙方还应提供下列服务：</w:t>
      </w:r>
    </w:p>
    <w:p w14:paraId="484600C3">
      <w:pPr>
        <w:spacing w:line="360" w:lineRule="auto"/>
        <w:ind w:firstLine="420"/>
        <w:jc w:val="left"/>
        <w:rPr>
          <w:rFonts w:hint="eastAsia" w:ascii="宋体" w:hAnsi="宋体" w:cs="宋体"/>
          <w:highlight w:val="none"/>
        </w:rPr>
      </w:pPr>
      <w:r>
        <w:rPr>
          <w:rFonts w:ascii="宋体" w:hAnsi="宋体" w:cs="宋体"/>
          <w:highlight w:val="none"/>
        </w:rPr>
        <w:t>（1）货物的现场移动、安装、调试、启动监督及技术支持；</w:t>
      </w:r>
    </w:p>
    <w:p w14:paraId="3434A41B">
      <w:pPr>
        <w:spacing w:line="360" w:lineRule="auto"/>
        <w:ind w:firstLine="420"/>
        <w:jc w:val="left"/>
        <w:rPr>
          <w:rFonts w:hint="eastAsia" w:ascii="宋体" w:hAnsi="宋体" w:cs="宋体"/>
          <w:highlight w:val="none"/>
        </w:rPr>
      </w:pPr>
      <w:r>
        <w:rPr>
          <w:rFonts w:ascii="宋体" w:hAnsi="宋体" w:cs="宋体"/>
          <w:highlight w:val="none"/>
        </w:rPr>
        <w:t>（2）提供货物组装和维修所需的专用工具和辅助材料；</w:t>
      </w:r>
    </w:p>
    <w:p w14:paraId="4F3EF3D1">
      <w:pPr>
        <w:spacing w:line="360" w:lineRule="auto"/>
        <w:ind w:firstLine="420"/>
        <w:jc w:val="left"/>
        <w:rPr>
          <w:rFonts w:hint="eastAsia" w:ascii="宋体" w:hAnsi="宋体" w:cs="宋体"/>
          <w:highlight w:val="none"/>
        </w:rPr>
      </w:pPr>
      <w:r>
        <w:rPr>
          <w:rFonts w:ascii="宋体" w:hAnsi="宋体" w:cs="宋体"/>
          <w:highlight w:val="none"/>
        </w:rPr>
        <w:t>（3）在合同各方商定的一定期限内对所有的货物实施运行监督、维修，但前提条件是该服务并不能免除乙方在质量保证期内所承担的义务；</w:t>
      </w:r>
    </w:p>
    <w:p w14:paraId="0479C728">
      <w:pPr>
        <w:spacing w:line="360" w:lineRule="auto"/>
        <w:ind w:firstLine="420"/>
        <w:jc w:val="left"/>
        <w:rPr>
          <w:rFonts w:hint="eastAsia" w:ascii="宋体" w:hAnsi="宋体" w:cs="宋体"/>
          <w:highlight w:val="none"/>
        </w:rPr>
      </w:pPr>
      <w:r>
        <w:rPr>
          <w:rFonts w:ascii="宋体" w:hAnsi="宋体" w:cs="宋体"/>
          <w:highlight w:val="none"/>
        </w:rPr>
        <w:t>（4）在制造商或项目现场就货物的安装、启动、运营、维护对甲方操作人员进行培训；</w:t>
      </w:r>
    </w:p>
    <w:p w14:paraId="76ED8F68">
      <w:pPr>
        <w:spacing w:line="360" w:lineRule="auto"/>
        <w:ind w:firstLine="420"/>
        <w:jc w:val="left"/>
        <w:rPr>
          <w:rFonts w:hint="eastAsia" w:ascii="宋体" w:hAnsi="宋体" w:cs="宋体"/>
          <w:highlight w:val="none"/>
        </w:rPr>
      </w:pPr>
      <w:r>
        <w:rPr>
          <w:rFonts w:ascii="宋体" w:hAnsi="宋体" w:cs="宋体"/>
          <w:highlight w:val="none"/>
        </w:rPr>
        <w:t>（5）</w:t>
      </w:r>
      <w:r>
        <w:rPr>
          <w:rFonts w:ascii="宋体" w:hAnsi="宋体" w:cs="宋体"/>
          <w:b/>
          <w:highlight w:val="none"/>
        </w:rPr>
        <w:t>【政府采购合同专用条款】</w:t>
      </w:r>
      <w:r>
        <w:rPr>
          <w:rFonts w:ascii="宋体" w:hAnsi="宋体" w:cs="宋体"/>
          <w:highlight w:val="none"/>
        </w:rPr>
        <w:t>规定由乙方提供的其他服务。</w:t>
      </w:r>
    </w:p>
    <w:p w14:paraId="35CCF998">
      <w:pPr>
        <w:spacing w:line="360" w:lineRule="auto"/>
        <w:ind w:firstLine="420"/>
        <w:jc w:val="left"/>
        <w:rPr>
          <w:rFonts w:hint="eastAsia" w:ascii="宋体" w:hAnsi="宋体" w:cs="宋体"/>
          <w:highlight w:val="none"/>
        </w:rPr>
      </w:pPr>
      <w:r>
        <w:rPr>
          <w:rFonts w:ascii="宋体" w:hAnsi="宋体" w:cs="宋体"/>
          <w:highlight w:val="none"/>
        </w:rPr>
        <w:t>14.3 乙方提供的服务的费用应包含在合同价款中，甲方不再另行支付。</w:t>
      </w:r>
    </w:p>
    <w:p w14:paraId="78CDD949">
      <w:pPr>
        <w:spacing w:line="360" w:lineRule="auto"/>
        <w:jc w:val="left"/>
        <w:rPr>
          <w:rFonts w:hint="eastAsia" w:ascii="宋体" w:hAnsi="宋体" w:cs="宋体"/>
          <w:b/>
          <w:sz w:val="24"/>
          <w:highlight w:val="none"/>
        </w:rPr>
      </w:pPr>
      <w:r>
        <w:rPr>
          <w:rFonts w:ascii="宋体" w:hAnsi="宋体" w:cs="宋体"/>
          <w:b/>
          <w:sz w:val="24"/>
          <w:highlight w:val="none"/>
        </w:rPr>
        <w:t>15.违约责任</w:t>
      </w:r>
    </w:p>
    <w:p w14:paraId="5AFA2E9D">
      <w:pPr>
        <w:spacing w:line="360" w:lineRule="auto"/>
        <w:ind w:firstLine="420"/>
        <w:jc w:val="left"/>
        <w:rPr>
          <w:rFonts w:hint="eastAsia" w:ascii="宋体" w:hAnsi="宋体" w:cs="宋体"/>
          <w:highlight w:val="none"/>
        </w:rPr>
      </w:pPr>
      <w:r>
        <w:rPr>
          <w:rFonts w:ascii="宋体" w:hAnsi="宋体" w:cs="宋体"/>
          <w:highlight w:val="none"/>
        </w:rPr>
        <w:t>15.1质量瑕疵的补救措施和索赔</w:t>
      </w:r>
    </w:p>
    <w:p w14:paraId="03371C7E">
      <w:pPr>
        <w:spacing w:line="360" w:lineRule="auto"/>
        <w:ind w:firstLine="420"/>
        <w:jc w:val="left"/>
        <w:rPr>
          <w:rFonts w:hint="eastAsia" w:ascii="宋体" w:hAnsi="宋体" w:cs="宋体"/>
          <w:highlight w:val="none"/>
        </w:rPr>
      </w:pPr>
      <w:r>
        <w:rPr>
          <w:rFonts w:ascii="宋体" w:hAnsi="宋体" w:cs="宋体"/>
          <w:highlight w:val="none"/>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349205FD">
      <w:pPr>
        <w:spacing w:line="360" w:lineRule="auto"/>
        <w:ind w:firstLine="420"/>
        <w:jc w:val="left"/>
        <w:rPr>
          <w:rFonts w:hint="eastAsia" w:ascii="宋体" w:hAnsi="宋体" w:cs="宋体"/>
          <w:highlight w:val="none"/>
        </w:rPr>
      </w:pPr>
      <w:r>
        <w:rPr>
          <w:rFonts w:ascii="宋体" w:hAnsi="宋体" w:cs="宋体"/>
          <w:highlight w:val="none"/>
        </w:rPr>
        <w:t>①乙方同意退货并将货款退还给甲方，由此发生的一切费用和损失由乙方承担。</w:t>
      </w:r>
    </w:p>
    <w:p w14:paraId="5078806C">
      <w:pPr>
        <w:spacing w:line="360" w:lineRule="auto"/>
        <w:ind w:firstLine="420"/>
        <w:jc w:val="left"/>
        <w:rPr>
          <w:rFonts w:hint="eastAsia" w:ascii="宋体" w:hAnsi="宋体" w:cs="宋体"/>
          <w:highlight w:val="none"/>
        </w:rPr>
      </w:pPr>
      <w:r>
        <w:rPr>
          <w:rFonts w:ascii="宋体" w:hAnsi="宋体" w:cs="宋体"/>
          <w:highlight w:val="none"/>
        </w:rPr>
        <w:t>②根据货物的质量状况以及甲方所遭受的损失，经过甲乙双方商定降低货物的价格。</w:t>
      </w:r>
    </w:p>
    <w:p w14:paraId="4392292D">
      <w:pPr>
        <w:spacing w:line="360" w:lineRule="auto"/>
        <w:ind w:firstLine="420"/>
        <w:jc w:val="left"/>
        <w:rPr>
          <w:rFonts w:hint="eastAsia" w:ascii="宋体" w:hAnsi="宋体" w:cs="宋体"/>
          <w:highlight w:val="none"/>
        </w:rPr>
      </w:pPr>
      <w:r>
        <w:rPr>
          <w:rFonts w:ascii="宋体" w:hAnsi="宋体" w:cs="宋体"/>
          <w:highlight w:val="none"/>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60416847">
      <w:pPr>
        <w:spacing w:line="360" w:lineRule="auto"/>
        <w:ind w:firstLine="420"/>
        <w:jc w:val="left"/>
        <w:rPr>
          <w:rFonts w:hint="eastAsia" w:ascii="宋体" w:hAnsi="宋体" w:cs="宋体"/>
          <w:highlight w:val="none"/>
        </w:rPr>
      </w:pPr>
      <w:r>
        <w:rPr>
          <w:rFonts w:ascii="宋体" w:hAnsi="宋体" w:cs="宋体"/>
          <w:highlight w:val="none"/>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3E53C0CB">
      <w:pPr>
        <w:spacing w:line="360" w:lineRule="auto"/>
        <w:ind w:firstLine="420"/>
        <w:jc w:val="left"/>
        <w:rPr>
          <w:rFonts w:hint="eastAsia" w:ascii="宋体" w:hAnsi="宋体" w:cs="宋体"/>
          <w:highlight w:val="none"/>
        </w:rPr>
      </w:pPr>
      <w:r>
        <w:rPr>
          <w:rFonts w:ascii="宋体" w:hAnsi="宋体" w:cs="宋体"/>
          <w:highlight w:val="none"/>
        </w:rPr>
        <w:t>15.2 迟延交货的违约责任</w:t>
      </w:r>
    </w:p>
    <w:p w14:paraId="4A889D6D">
      <w:pPr>
        <w:spacing w:line="360" w:lineRule="auto"/>
        <w:ind w:firstLine="420"/>
        <w:jc w:val="left"/>
        <w:rPr>
          <w:rFonts w:hint="eastAsia" w:ascii="宋体" w:hAnsi="宋体" w:cs="宋体"/>
          <w:highlight w:val="none"/>
        </w:rPr>
      </w:pPr>
      <w:r>
        <w:rPr>
          <w:rFonts w:ascii="宋体" w:hAnsi="宋体" w:cs="宋体"/>
          <w:highlight w:val="none"/>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3EE33164">
      <w:pPr>
        <w:spacing w:line="360" w:lineRule="auto"/>
        <w:ind w:firstLine="420"/>
        <w:jc w:val="left"/>
        <w:rPr>
          <w:rFonts w:hint="eastAsia" w:ascii="宋体" w:hAnsi="宋体" w:cs="宋体"/>
          <w:highlight w:val="none"/>
        </w:rPr>
      </w:pPr>
      <w:r>
        <w:rPr>
          <w:rFonts w:ascii="宋体" w:hAnsi="宋体" w:cs="宋体"/>
          <w:highlight w:val="none"/>
        </w:rPr>
        <w:t>（2）除本合同第20条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59EDEE46">
      <w:pPr>
        <w:spacing w:line="360" w:lineRule="auto"/>
        <w:ind w:firstLine="420"/>
        <w:jc w:val="left"/>
        <w:rPr>
          <w:rFonts w:hint="eastAsia" w:ascii="宋体" w:hAnsi="宋体" w:cs="宋体"/>
          <w:highlight w:val="none"/>
        </w:rPr>
      </w:pPr>
      <w:r>
        <w:rPr>
          <w:rFonts w:ascii="宋体" w:hAnsi="宋体" w:cs="宋体"/>
          <w:highlight w:val="none"/>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55902894">
      <w:pPr>
        <w:spacing w:line="360" w:lineRule="auto"/>
        <w:jc w:val="left"/>
        <w:rPr>
          <w:rFonts w:hint="eastAsia" w:ascii="宋体" w:hAnsi="宋体" w:cs="宋体"/>
          <w:b/>
          <w:sz w:val="24"/>
          <w:highlight w:val="none"/>
        </w:rPr>
      </w:pPr>
      <w:r>
        <w:rPr>
          <w:rFonts w:ascii="宋体" w:hAnsi="宋体" w:cs="宋体"/>
          <w:b/>
          <w:sz w:val="24"/>
          <w:highlight w:val="none"/>
        </w:rPr>
        <w:t>16.合同的变更</w:t>
      </w:r>
    </w:p>
    <w:p w14:paraId="6E287D34">
      <w:pPr>
        <w:spacing w:line="360" w:lineRule="auto"/>
        <w:ind w:firstLine="420"/>
        <w:jc w:val="left"/>
        <w:rPr>
          <w:rFonts w:hint="eastAsia" w:ascii="宋体" w:hAnsi="宋体" w:cs="宋体"/>
          <w:highlight w:val="none"/>
        </w:rPr>
      </w:pPr>
      <w:r>
        <w:rPr>
          <w:rFonts w:ascii="宋体" w:hAnsi="宋体" w:cs="宋体"/>
          <w:highlight w:val="none"/>
        </w:rPr>
        <w:t>16.1 在合同履行过程中，甲、乙双方可就合同履行的时间、地点和方式等协商进行变更。协商一致后，双方应签订书面的补充协议。</w:t>
      </w:r>
    </w:p>
    <w:p w14:paraId="5FFB59BB">
      <w:pPr>
        <w:spacing w:line="360" w:lineRule="auto"/>
        <w:ind w:firstLine="420"/>
        <w:jc w:val="left"/>
        <w:rPr>
          <w:rFonts w:hint="eastAsia" w:ascii="宋体" w:hAnsi="宋体" w:cs="宋体"/>
          <w:highlight w:val="none"/>
        </w:rPr>
      </w:pPr>
      <w:r>
        <w:rPr>
          <w:rFonts w:ascii="宋体" w:hAnsi="宋体" w:cs="宋体"/>
          <w:highlight w:val="none"/>
        </w:rPr>
        <w:t>16.2 在不改变合同其他条款的前提下，甲方有权在合同价款百分之十的范围内追加与合同标的相同的货物或服务，并就此与乙方签订补充合同，乙方不得拒绝。</w:t>
      </w:r>
    </w:p>
    <w:p w14:paraId="4C34D178">
      <w:pPr>
        <w:spacing w:line="360" w:lineRule="auto"/>
        <w:ind w:firstLine="420"/>
        <w:jc w:val="left"/>
        <w:rPr>
          <w:rFonts w:hint="eastAsia" w:ascii="宋体" w:hAnsi="宋体" w:cs="宋体"/>
          <w:highlight w:val="none"/>
        </w:rPr>
      </w:pPr>
      <w:r>
        <w:rPr>
          <w:rFonts w:ascii="宋体" w:hAnsi="宋体" w:cs="宋体"/>
          <w:highlight w:val="none"/>
        </w:rPr>
        <w:t>16.3 除双方签署书面协议，并成为合同不可分割的一部分外，本合同条件不得有任何变更。</w:t>
      </w:r>
    </w:p>
    <w:p w14:paraId="32E0ABAA">
      <w:pPr>
        <w:spacing w:line="360" w:lineRule="auto"/>
        <w:jc w:val="left"/>
        <w:rPr>
          <w:rFonts w:hint="eastAsia" w:ascii="宋体" w:hAnsi="宋体" w:cs="宋体"/>
          <w:b/>
          <w:sz w:val="24"/>
          <w:highlight w:val="none"/>
        </w:rPr>
      </w:pPr>
      <w:r>
        <w:rPr>
          <w:rFonts w:ascii="宋体" w:hAnsi="宋体" w:cs="宋体"/>
          <w:b/>
          <w:sz w:val="24"/>
          <w:highlight w:val="none"/>
        </w:rPr>
        <w:t>17.合同中止与终止</w:t>
      </w:r>
    </w:p>
    <w:p w14:paraId="645116A4">
      <w:pPr>
        <w:spacing w:line="360" w:lineRule="auto"/>
        <w:ind w:firstLine="420"/>
        <w:jc w:val="left"/>
        <w:rPr>
          <w:rFonts w:hint="eastAsia" w:ascii="宋体" w:hAnsi="宋体" w:cs="宋体"/>
          <w:highlight w:val="none"/>
        </w:rPr>
      </w:pPr>
      <w:r>
        <w:rPr>
          <w:rFonts w:ascii="宋体" w:hAnsi="宋体" w:cs="宋体"/>
          <w:highlight w:val="none"/>
        </w:rPr>
        <w:t>17.1合同的中止</w:t>
      </w:r>
    </w:p>
    <w:p w14:paraId="42A5CAA9">
      <w:pPr>
        <w:spacing w:line="360" w:lineRule="auto"/>
        <w:ind w:firstLine="420"/>
        <w:jc w:val="left"/>
        <w:rPr>
          <w:rFonts w:hint="eastAsia" w:ascii="宋体" w:hAnsi="宋体" w:cs="宋体"/>
          <w:highlight w:val="none"/>
        </w:rPr>
      </w:pPr>
      <w:r>
        <w:rPr>
          <w:rFonts w:ascii="宋体" w:hAnsi="宋体" w:cs="宋体"/>
          <w:highlight w:val="none"/>
        </w:rPr>
        <w:t>（1）合同在履行过程中，因采购计划调整，甲方可以要求中止履行，待计划确定后继续履行；</w:t>
      </w:r>
    </w:p>
    <w:p w14:paraId="72A03B03">
      <w:pPr>
        <w:spacing w:line="360" w:lineRule="auto"/>
        <w:ind w:firstLine="420"/>
        <w:jc w:val="left"/>
        <w:rPr>
          <w:rFonts w:hint="eastAsia" w:ascii="宋体" w:hAnsi="宋体" w:cs="宋体"/>
          <w:highlight w:val="none"/>
        </w:rPr>
      </w:pPr>
      <w:r>
        <w:rPr>
          <w:rFonts w:ascii="宋体" w:hAnsi="宋体" w:cs="宋体"/>
          <w:highlight w:val="none"/>
        </w:rPr>
        <w:t>（2）合同履行过程中因供应商就采购过程或结果提起投诉的，甲方认为有必要或财政部门责令中止的，应当中止合同的履行。</w:t>
      </w:r>
    </w:p>
    <w:p w14:paraId="0CD057B9">
      <w:pPr>
        <w:spacing w:line="360" w:lineRule="auto"/>
        <w:ind w:firstLine="420"/>
        <w:jc w:val="left"/>
        <w:rPr>
          <w:rFonts w:hint="eastAsia" w:ascii="宋体" w:hAnsi="宋体" w:cs="宋体"/>
          <w:highlight w:val="none"/>
        </w:rPr>
      </w:pPr>
      <w:r>
        <w:rPr>
          <w:rFonts w:ascii="宋体" w:hAnsi="宋体" w:cs="宋体"/>
          <w:highlight w:val="none"/>
        </w:rPr>
        <w:t>17.2合同的终止</w:t>
      </w:r>
    </w:p>
    <w:p w14:paraId="1FE8D736">
      <w:pPr>
        <w:spacing w:line="360" w:lineRule="auto"/>
        <w:ind w:firstLine="420"/>
        <w:jc w:val="left"/>
        <w:rPr>
          <w:rFonts w:hint="eastAsia" w:ascii="宋体" w:hAnsi="宋体" w:cs="宋体"/>
          <w:highlight w:val="none"/>
        </w:rPr>
      </w:pPr>
      <w:r>
        <w:rPr>
          <w:rFonts w:ascii="宋体" w:hAnsi="宋体" w:cs="宋体"/>
          <w:highlight w:val="none"/>
        </w:rPr>
        <w:t>（1）合同因有效期限届满而终止；</w:t>
      </w:r>
    </w:p>
    <w:p w14:paraId="056AC24A">
      <w:pPr>
        <w:spacing w:line="360" w:lineRule="auto"/>
        <w:ind w:firstLine="420"/>
        <w:jc w:val="left"/>
        <w:rPr>
          <w:rFonts w:hint="eastAsia" w:ascii="宋体" w:hAnsi="宋体" w:cs="宋体"/>
          <w:highlight w:val="none"/>
        </w:rPr>
      </w:pPr>
      <w:r>
        <w:rPr>
          <w:rFonts w:ascii="宋体" w:hAnsi="宋体" w:cs="宋体"/>
          <w:highlight w:val="none"/>
        </w:rPr>
        <w:t>（2）乙方未能依照本合同约定条件履行合同，已构成根本性违约的，甲方有权终止本合同，并追究乙方的违约责任。</w:t>
      </w:r>
    </w:p>
    <w:p w14:paraId="21B2AEC9">
      <w:pPr>
        <w:spacing w:line="360" w:lineRule="auto"/>
        <w:ind w:firstLine="420"/>
        <w:jc w:val="left"/>
        <w:rPr>
          <w:rFonts w:hint="eastAsia" w:ascii="宋体" w:hAnsi="宋体" w:cs="宋体"/>
          <w:highlight w:val="none"/>
        </w:rPr>
      </w:pPr>
      <w:r>
        <w:rPr>
          <w:rFonts w:ascii="宋体" w:hAnsi="宋体" w:cs="宋体"/>
          <w:highlight w:val="none"/>
        </w:rPr>
        <w:t>（3）如果乙方丧失履约能力或被宣告破产，甲方可在任何时候以书面形式通知乙方终止合同而不给乙方补偿。</w:t>
      </w:r>
    </w:p>
    <w:p w14:paraId="510F1213">
      <w:pPr>
        <w:spacing w:line="360" w:lineRule="auto"/>
        <w:ind w:firstLine="420"/>
        <w:jc w:val="left"/>
        <w:rPr>
          <w:rFonts w:hint="eastAsia" w:ascii="宋体" w:hAnsi="宋体" w:cs="宋体"/>
          <w:highlight w:val="none"/>
        </w:rPr>
      </w:pPr>
      <w:r>
        <w:rPr>
          <w:rFonts w:ascii="宋体" w:hAnsi="宋体" w:cs="宋体"/>
          <w:highlight w:val="none"/>
        </w:rPr>
        <w:t>（4）如果乙方在履行合同过程中有不正当竞争行为，甲方有权解除合同，并按《中华人民共和国反不正当竞争法》规定由有关部门追究其法律责任。</w:t>
      </w:r>
    </w:p>
    <w:p w14:paraId="7A0D7592">
      <w:pPr>
        <w:spacing w:line="360" w:lineRule="auto"/>
        <w:ind w:firstLine="420"/>
        <w:jc w:val="left"/>
        <w:rPr>
          <w:rFonts w:hint="eastAsia" w:ascii="宋体" w:hAnsi="宋体" w:cs="宋体"/>
          <w:highlight w:val="none"/>
        </w:rPr>
      </w:pPr>
      <w:r>
        <w:rPr>
          <w:rFonts w:ascii="宋体" w:hAnsi="宋体" w:cs="宋体"/>
          <w:highlight w:val="none"/>
        </w:rPr>
        <w:t>（5）如果合同的履行将损害国家利益或社会公共利益，甲方有权终止合同的履行，给乙方造成损失的予以相应补偿。</w:t>
      </w:r>
    </w:p>
    <w:p w14:paraId="48BC098C">
      <w:pPr>
        <w:spacing w:line="360" w:lineRule="auto"/>
        <w:jc w:val="left"/>
        <w:rPr>
          <w:rFonts w:hint="eastAsia" w:ascii="宋体" w:hAnsi="宋体" w:cs="宋体"/>
          <w:b/>
          <w:sz w:val="24"/>
          <w:highlight w:val="none"/>
        </w:rPr>
      </w:pPr>
      <w:r>
        <w:rPr>
          <w:rFonts w:ascii="宋体" w:hAnsi="宋体" w:cs="宋体"/>
          <w:b/>
          <w:sz w:val="24"/>
          <w:highlight w:val="none"/>
        </w:rPr>
        <w:t>18.合同转让和分包</w:t>
      </w:r>
    </w:p>
    <w:p w14:paraId="6D4F1B15">
      <w:pPr>
        <w:spacing w:line="360" w:lineRule="auto"/>
        <w:ind w:firstLine="420"/>
        <w:jc w:val="left"/>
        <w:rPr>
          <w:rFonts w:hint="eastAsia" w:ascii="宋体" w:hAnsi="宋体" w:cs="宋体"/>
          <w:highlight w:val="none"/>
        </w:rPr>
      </w:pPr>
      <w:r>
        <w:rPr>
          <w:rFonts w:ascii="宋体" w:hAnsi="宋体" w:cs="宋体"/>
          <w:highlight w:val="none"/>
        </w:rPr>
        <w:t>18.1 乙方不得以任何形式将合同转包。</w:t>
      </w:r>
    </w:p>
    <w:p w14:paraId="1151DA21">
      <w:pPr>
        <w:spacing w:line="360" w:lineRule="auto"/>
        <w:jc w:val="left"/>
        <w:rPr>
          <w:rFonts w:hint="eastAsia" w:ascii="宋体" w:hAnsi="宋体" w:cs="宋体"/>
          <w:b/>
          <w:sz w:val="24"/>
          <w:highlight w:val="none"/>
        </w:rPr>
      </w:pPr>
      <w:r>
        <w:rPr>
          <w:rFonts w:ascii="宋体" w:hAnsi="宋体" w:cs="宋体"/>
          <w:b/>
          <w:sz w:val="24"/>
          <w:highlight w:val="none"/>
        </w:rPr>
        <w:t>19.不可抗力</w:t>
      </w:r>
    </w:p>
    <w:p w14:paraId="4E3A3B50">
      <w:pPr>
        <w:spacing w:line="360" w:lineRule="auto"/>
        <w:ind w:firstLine="420"/>
        <w:jc w:val="left"/>
        <w:rPr>
          <w:rFonts w:hint="eastAsia" w:ascii="宋体" w:hAnsi="宋体" w:cs="宋体"/>
          <w:highlight w:val="none"/>
        </w:rPr>
      </w:pPr>
      <w:r>
        <w:rPr>
          <w:rFonts w:ascii="宋体" w:hAnsi="宋体" w:cs="宋体"/>
          <w:highlight w:val="none"/>
        </w:rPr>
        <w:t>19.1 不可抗力是指合同双方不可预见、不可避免、不可克服的自然灾害和社会事件。</w:t>
      </w:r>
    </w:p>
    <w:p w14:paraId="36488FB1">
      <w:pPr>
        <w:spacing w:line="360" w:lineRule="auto"/>
        <w:ind w:firstLine="420"/>
        <w:jc w:val="left"/>
        <w:rPr>
          <w:rFonts w:hint="eastAsia" w:ascii="宋体" w:hAnsi="宋体" w:cs="宋体"/>
          <w:highlight w:val="none"/>
        </w:rPr>
      </w:pPr>
      <w:r>
        <w:rPr>
          <w:rFonts w:ascii="宋体" w:hAnsi="宋体" w:cs="宋体"/>
          <w:highlight w:val="none"/>
        </w:rPr>
        <w:t>19.2 任何一方对由于不可抗力造成的部分或全部不能履行合同不承担违约责任。但迟延履行后发生不可抗力的，不能免除责任。</w:t>
      </w:r>
    </w:p>
    <w:p w14:paraId="082FBB52">
      <w:pPr>
        <w:spacing w:line="360" w:lineRule="auto"/>
        <w:ind w:firstLine="420"/>
        <w:jc w:val="left"/>
        <w:rPr>
          <w:rFonts w:hint="eastAsia" w:ascii="宋体" w:hAnsi="宋体" w:cs="宋体"/>
          <w:highlight w:val="none"/>
        </w:rPr>
      </w:pPr>
      <w:r>
        <w:rPr>
          <w:rFonts w:ascii="宋体" w:hAnsi="宋体" w:cs="宋体"/>
          <w:highlight w:val="none"/>
        </w:rPr>
        <w:t>19.3 遇有不可抗力的一方，应在三日内将事件的情况以书面形式通知另一方，并在事件发生后十日内，向另一方提交合同不能履行或部分不能履行或需要延期履行理由的报告。</w:t>
      </w:r>
    </w:p>
    <w:p w14:paraId="0F1FFD05">
      <w:pPr>
        <w:spacing w:line="360" w:lineRule="auto"/>
        <w:jc w:val="left"/>
        <w:rPr>
          <w:rFonts w:hint="eastAsia" w:ascii="宋体" w:hAnsi="宋体" w:cs="宋体"/>
          <w:b/>
          <w:sz w:val="24"/>
          <w:highlight w:val="none"/>
        </w:rPr>
      </w:pPr>
      <w:r>
        <w:rPr>
          <w:rFonts w:ascii="宋体" w:hAnsi="宋体" w:cs="宋体"/>
          <w:b/>
          <w:sz w:val="24"/>
          <w:highlight w:val="none"/>
        </w:rPr>
        <w:t>20.解决争议的方法</w:t>
      </w:r>
    </w:p>
    <w:p w14:paraId="5B3B5244">
      <w:pPr>
        <w:spacing w:line="360" w:lineRule="auto"/>
        <w:ind w:firstLine="420"/>
        <w:jc w:val="left"/>
        <w:rPr>
          <w:rFonts w:hint="eastAsia" w:ascii="宋体" w:hAnsi="宋体" w:cs="宋体"/>
          <w:highlight w:val="none"/>
        </w:rPr>
      </w:pPr>
      <w:r>
        <w:rPr>
          <w:rFonts w:ascii="宋体" w:hAnsi="宋体" w:cs="宋体"/>
          <w:highlight w:val="none"/>
        </w:rPr>
        <w:t>20.1 合同各方应通过友好协商，解决在执行合同过程中所发生的或与合同有关的一切争端。如从协商开始后十日内仍不能解决，可以向财政部门提请调解。</w:t>
      </w:r>
    </w:p>
    <w:p w14:paraId="63FE1776">
      <w:pPr>
        <w:spacing w:line="360" w:lineRule="auto"/>
        <w:ind w:firstLine="420"/>
        <w:jc w:val="left"/>
        <w:rPr>
          <w:rFonts w:hint="eastAsia" w:ascii="宋体" w:hAnsi="宋体" w:cs="宋体"/>
          <w:highlight w:val="none"/>
        </w:rPr>
      </w:pPr>
      <w:r>
        <w:rPr>
          <w:rFonts w:ascii="宋体" w:hAnsi="宋体" w:cs="宋体"/>
          <w:highlight w:val="none"/>
        </w:rPr>
        <w:t>20.2 调解不成可以按</w:t>
      </w:r>
      <w:r>
        <w:rPr>
          <w:rFonts w:ascii="宋体" w:hAnsi="宋体" w:cs="宋体"/>
          <w:b/>
          <w:highlight w:val="none"/>
        </w:rPr>
        <w:t>【政府采购合同专用条款】</w:t>
      </w:r>
      <w:r>
        <w:rPr>
          <w:rFonts w:ascii="宋体" w:hAnsi="宋体" w:cs="宋体"/>
          <w:highlight w:val="none"/>
        </w:rPr>
        <w:t>中约定中规定下列方式之一提起仲裁或诉讼：</w:t>
      </w:r>
    </w:p>
    <w:p w14:paraId="38EB76D5">
      <w:pPr>
        <w:spacing w:line="360" w:lineRule="auto"/>
        <w:ind w:firstLine="420"/>
        <w:jc w:val="left"/>
        <w:rPr>
          <w:rFonts w:hint="eastAsia" w:ascii="宋体" w:hAnsi="宋体" w:cs="宋体"/>
          <w:highlight w:val="none"/>
        </w:rPr>
      </w:pPr>
      <w:r>
        <w:rPr>
          <w:rFonts w:ascii="宋体" w:hAnsi="宋体" w:cs="宋体"/>
          <w:highlight w:val="none"/>
        </w:rPr>
        <w:t>（1）向甲方所在地仲裁机构提起仲裁；</w:t>
      </w:r>
    </w:p>
    <w:p w14:paraId="72F27FF1">
      <w:pPr>
        <w:spacing w:line="360" w:lineRule="auto"/>
        <w:ind w:firstLine="420"/>
        <w:jc w:val="left"/>
        <w:rPr>
          <w:rFonts w:hint="eastAsia" w:ascii="宋体" w:hAnsi="宋体" w:cs="宋体"/>
          <w:highlight w:val="none"/>
        </w:rPr>
      </w:pPr>
      <w:r>
        <w:rPr>
          <w:rFonts w:ascii="宋体" w:hAnsi="宋体" w:cs="宋体"/>
          <w:highlight w:val="none"/>
        </w:rPr>
        <w:t>（2）向甲方所在地人民法院提起诉讼。</w:t>
      </w:r>
    </w:p>
    <w:p w14:paraId="66687103">
      <w:pPr>
        <w:spacing w:line="360" w:lineRule="auto"/>
        <w:ind w:firstLine="420"/>
        <w:jc w:val="left"/>
        <w:rPr>
          <w:rFonts w:hint="eastAsia" w:ascii="宋体" w:hAnsi="宋体" w:cs="宋体"/>
          <w:highlight w:val="none"/>
        </w:rPr>
      </w:pPr>
      <w:r>
        <w:rPr>
          <w:rFonts w:ascii="宋体" w:hAnsi="宋体" w:cs="宋体"/>
          <w:highlight w:val="none"/>
        </w:rPr>
        <w:t>20.3 如仲裁或诉讼事项不影响合同其它部分的履行，则在仲裁或诉讼期间，除正在进行仲裁或诉讼的部分外，合同的其它部分应继续执行。</w:t>
      </w:r>
    </w:p>
    <w:p w14:paraId="1A6C8E9A">
      <w:pPr>
        <w:spacing w:line="360" w:lineRule="auto"/>
        <w:jc w:val="left"/>
        <w:rPr>
          <w:rFonts w:hint="eastAsia" w:ascii="宋体" w:hAnsi="宋体" w:cs="宋体"/>
          <w:b/>
          <w:sz w:val="24"/>
          <w:highlight w:val="none"/>
        </w:rPr>
      </w:pPr>
      <w:r>
        <w:rPr>
          <w:rFonts w:ascii="宋体" w:hAnsi="宋体" w:cs="宋体"/>
          <w:b/>
          <w:sz w:val="24"/>
          <w:highlight w:val="none"/>
        </w:rPr>
        <w:t>21.法律适用</w:t>
      </w:r>
    </w:p>
    <w:p w14:paraId="3C54980F">
      <w:pPr>
        <w:spacing w:line="360" w:lineRule="auto"/>
        <w:ind w:firstLine="420"/>
        <w:jc w:val="left"/>
        <w:rPr>
          <w:rFonts w:hint="eastAsia" w:ascii="宋体" w:hAnsi="宋体" w:cs="宋体"/>
          <w:highlight w:val="none"/>
        </w:rPr>
      </w:pPr>
      <w:r>
        <w:rPr>
          <w:rFonts w:ascii="宋体" w:hAnsi="宋体" w:cs="宋体"/>
          <w:highlight w:val="none"/>
        </w:rPr>
        <w:t>21.1 本合同适用中华人民共和国现行法律、行政法规和规章，如合同条款与法律、行政法规和规章不一致的，按照法律、行政法规和规章修改本合同。</w:t>
      </w:r>
    </w:p>
    <w:p w14:paraId="25CEC785">
      <w:pPr>
        <w:spacing w:line="360" w:lineRule="auto"/>
        <w:jc w:val="left"/>
        <w:rPr>
          <w:rFonts w:hint="eastAsia" w:ascii="宋体" w:hAnsi="宋体" w:cs="宋体"/>
          <w:b/>
          <w:sz w:val="24"/>
          <w:highlight w:val="none"/>
        </w:rPr>
      </w:pPr>
      <w:r>
        <w:rPr>
          <w:rFonts w:ascii="宋体" w:hAnsi="宋体" w:cs="宋体"/>
          <w:b/>
          <w:sz w:val="24"/>
          <w:highlight w:val="none"/>
        </w:rPr>
        <w:t>22.通知</w:t>
      </w:r>
    </w:p>
    <w:p w14:paraId="6A3F5925">
      <w:pPr>
        <w:spacing w:line="360" w:lineRule="auto"/>
        <w:ind w:firstLine="420"/>
        <w:jc w:val="left"/>
        <w:rPr>
          <w:rFonts w:hint="eastAsia" w:ascii="宋体" w:hAnsi="宋体" w:cs="宋体"/>
          <w:highlight w:val="none"/>
        </w:rPr>
      </w:pPr>
      <w:r>
        <w:rPr>
          <w:rFonts w:ascii="宋体" w:hAnsi="宋体" w:cs="宋体"/>
          <w:highlight w:val="none"/>
        </w:rPr>
        <w:t>22.1本合同一方给另一方的通知均应采用书面形式，传真或快递送到本合同中规定的对方的地址和办理签收手续，</w:t>
      </w:r>
    </w:p>
    <w:p w14:paraId="03F6E3F3">
      <w:pPr>
        <w:spacing w:line="360" w:lineRule="auto"/>
        <w:ind w:firstLine="420"/>
        <w:jc w:val="left"/>
        <w:rPr>
          <w:rFonts w:hint="eastAsia" w:ascii="宋体" w:hAnsi="宋体" w:cs="宋体"/>
          <w:highlight w:val="none"/>
        </w:rPr>
      </w:pPr>
      <w:r>
        <w:rPr>
          <w:rFonts w:ascii="宋体" w:hAnsi="宋体" w:cs="宋体"/>
          <w:highlight w:val="none"/>
        </w:rPr>
        <w:t>22.2通知以送到之日或通知书中规定的生效之日起生效，两者中以较迟之日为准。</w:t>
      </w:r>
    </w:p>
    <w:p w14:paraId="6DC0E0E5">
      <w:pPr>
        <w:spacing w:line="360" w:lineRule="auto"/>
        <w:jc w:val="left"/>
        <w:rPr>
          <w:rFonts w:hint="eastAsia" w:ascii="宋体" w:hAnsi="宋体" w:cs="宋体"/>
          <w:b/>
          <w:sz w:val="24"/>
          <w:highlight w:val="none"/>
        </w:rPr>
      </w:pPr>
      <w:r>
        <w:rPr>
          <w:rFonts w:ascii="宋体" w:hAnsi="宋体" w:cs="宋体"/>
          <w:b/>
          <w:sz w:val="24"/>
          <w:highlight w:val="none"/>
        </w:rPr>
        <w:t>23. 合同未尽事项</w:t>
      </w:r>
    </w:p>
    <w:p w14:paraId="4BBDC22F">
      <w:pPr>
        <w:spacing w:line="360" w:lineRule="auto"/>
        <w:ind w:firstLine="420"/>
        <w:jc w:val="left"/>
        <w:rPr>
          <w:rFonts w:hint="eastAsia" w:ascii="宋体" w:hAnsi="宋体" w:cs="宋体"/>
          <w:highlight w:val="none"/>
        </w:rPr>
      </w:pPr>
      <w:r>
        <w:rPr>
          <w:rFonts w:ascii="宋体" w:hAnsi="宋体" w:cs="宋体"/>
          <w:highlight w:val="none"/>
        </w:rPr>
        <w:t>23.1合同未尽事项见</w:t>
      </w:r>
      <w:r>
        <w:rPr>
          <w:rFonts w:ascii="宋体" w:hAnsi="宋体" w:cs="宋体"/>
          <w:b/>
          <w:highlight w:val="none"/>
        </w:rPr>
        <w:t>【政府采购合同专用条款】。</w:t>
      </w:r>
    </w:p>
    <w:p w14:paraId="3A43CE39">
      <w:pPr>
        <w:spacing w:line="360" w:lineRule="auto"/>
        <w:jc w:val="left"/>
        <w:rPr>
          <w:rFonts w:hint="eastAsia" w:ascii="宋体" w:hAnsi="宋体" w:cs="宋体"/>
          <w:b/>
          <w:sz w:val="24"/>
          <w:highlight w:val="none"/>
        </w:rPr>
      </w:pPr>
      <w:r>
        <w:rPr>
          <w:rFonts w:ascii="宋体" w:hAnsi="宋体" w:cs="宋体"/>
          <w:b/>
          <w:sz w:val="24"/>
          <w:highlight w:val="none"/>
        </w:rPr>
        <w:t>24.合同生效</w:t>
      </w:r>
    </w:p>
    <w:p w14:paraId="09E1D885">
      <w:pPr>
        <w:spacing w:line="360" w:lineRule="auto"/>
        <w:jc w:val="left"/>
        <w:rPr>
          <w:rFonts w:hint="eastAsia" w:ascii="黑体" w:hAnsi="黑体" w:eastAsia="黑体" w:cs="黑体"/>
          <w:b/>
          <w:sz w:val="32"/>
          <w:highlight w:val="none"/>
        </w:rPr>
      </w:pPr>
      <w:r>
        <w:rPr>
          <w:rFonts w:ascii="宋体" w:hAnsi="宋体" w:cs="宋体"/>
          <w:highlight w:val="none"/>
        </w:rPr>
        <w:t>24.1 本合同在合同双方签字盖章后生效。</w:t>
      </w:r>
    </w:p>
    <w:p w14:paraId="64DFC1F7">
      <w:pPr>
        <w:widowControl/>
        <w:jc w:val="left"/>
        <w:rPr>
          <w:rFonts w:hint="eastAsia" w:ascii="黑体" w:hAnsi="黑体" w:eastAsia="黑体" w:cs="黑体"/>
          <w:b/>
          <w:sz w:val="32"/>
          <w:highlight w:val="none"/>
        </w:rPr>
      </w:pPr>
      <w:r>
        <w:rPr>
          <w:rFonts w:ascii="黑体" w:hAnsi="黑体" w:eastAsia="黑体" w:cs="黑体"/>
          <w:b/>
          <w:sz w:val="32"/>
          <w:highlight w:val="none"/>
        </w:rPr>
        <w:br w:type="page"/>
      </w:r>
    </w:p>
    <w:p w14:paraId="45342B71">
      <w:pPr>
        <w:keepNext/>
        <w:keepLines/>
        <w:spacing w:line="360" w:lineRule="auto"/>
        <w:jc w:val="center"/>
        <w:outlineLvl w:val="1"/>
        <w:rPr>
          <w:rFonts w:ascii="Arial" w:hAnsi="Arial"/>
          <w:b/>
          <w:bCs/>
          <w:sz w:val="30"/>
          <w:szCs w:val="30"/>
          <w:highlight w:val="none"/>
        </w:rPr>
      </w:pPr>
      <w:bookmarkStart w:id="416" w:name="_Toc59606743"/>
      <w:bookmarkStart w:id="417" w:name="_Toc19195"/>
      <w:bookmarkStart w:id="418" w:name="_Toc27125"/>
      <w:bookmarkStart w:id="419" w:name="_Toc14328"/>
      <w:bookmarkStart w:id="420" w:name="_Toc7335"/>
      <w:bookmarkStart w:id="421" w:name="_Toc4209"/>
      <w:bookmarkStart w:id="422" w:name="_Toc14219"/>
      <w:bookmarkStart w:id="423" w:name="_Toc19720"/>
      <w:r>
        <w:rPr>
          <w:rFonts w:ascii="Arial" w:hAnsi="Arial"/>
          <w:b/>
          <w:bCs/>
          <w:sz w:val="30"/>
          <w:szCs w:val="30"/>
          <w:highlight w:val="none"/>
        </w:rPr>
        <w:t>第三节</w:t>
      </w:r>
      <w:r>
        <w:rPr>
          <w:rFonts w:hint="eastAsia" w:ascii="Arial" w:hAnsi="Arial"/>
          <w:b/>
          <w:bCs/>
          <w:sz w:val="30"/>
          <w:szCs w:val="30"/>
          <w:highlight w:val="none"/>
        </w:rPr>
        <w:t xml:space="preserve"> </w:t>
      </w:r>
      <w:r>
        <w:rPr>
          <w:rFonts w:ascii="Arial" w:hAnsi="Arial"/>
          <w:b/>
          <w:bCs/>
          <w:sz w:val="30"/>
          <w:szCs w:val="30"/>
          <w:highlight w:val="none"/>
        </w:rPr>
        <w:t>政府采购合同专用条款</w:t>
      </w:r>
      <w:bookmarkEnd w:id="416"/>
      <w:bookmarkEnd w:id="417"/>
      <w:bookmarkEnd w:id="418"/>
      <w:bookmarkEnd w:id="419"/>
      <w:bookmarkEnd w:id="420"/>
      <w:bookmarkEnd w:id="421"/>
      <w:bookmarkEnd w:id="422"/>
      <w:bookmarkEnd w:id="423"/>
    </w:p>
    <w:tbl>
      <w:tblPr>
        <w:tblStyle w:val="48"/>
        <w:tblW w:w="9356" w:type="dxa"/>
        <w:tblInd w:w="108" w:type="dxa"/>
        <w:tblLayout w:type="fixed"/>
        <w:tblCellMar>
          <w:top w:w="0" w:type="dxa"/>
          <w:left w:w="10" w:type="dxa"/>
          <w:bottom w:w="0" w:type="dxa"/>
          <w:right w:w="10" w:type="dxa"/>
        </w:tblCellMar>
      </w:tblPr>
      <w:tblGrid>
        <w:gridCol w:w="1701"/>
        <w:gridCol w:w="1560"/>
        <w:gridCol w:w="6095"/>
      </w:tblGrid>
      <w:tr w14:paraId="0CB1AB64">
        <w:tblPrEx>
          <w:tblCellMar>
            <w:top w:w="0" w:type="dxa"/>
            <w:left w:w="10" w:type="dxa"/>
            <w:bottom w:w="0" w:type="dxa"/>
            <w:right w:w="10" w:type="dxa"/>
          </w:tblCellMar>
        </w:tblPrEx>
        <w:trPr>
          <w:trHeight w:val="1" w:hRule="atLeast"/>
        </w:trPr>
        <w:tc>
          <w:tcPr>
            <w:tcW w:w="170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7EE133F">
            <w:pPr>
              <w:spacing w:line="360" w:lineRule="auto"/>
              <w:jc w:val="center"/>
              <w:rPr>
                <w:rFonts w:hint="eastAsia" w:ascii="宋体" w:hAnsi="宋体" w:cs="宋体"/>
                <w:highlight w:val="none"/>
              </w:rPr>
            </w:pPr>
            <w:r>
              <w:rPr>
                <w:rFonts w:ascii="宋体" w:hAnsi="宋体" w:cs="宋体"/>
                <w:highlight w:val="none"/>
              </w:rPr>
              <w:t>本章第二节</w:t>
            </w:r>
          </w:p>
          <w:p w14:paraId="45122E63">
            <w:pPr>
              <w:spacing w:line="360" w:lineRule="auto"/>
              <w:jc w:val="center"/>
              <w:rPr>
                <w:rFonts w:hint="eastAsia" w:ascii="宋体" w:hAnsi="宋体" w:cs="宋体"/>
                <w:highlight w:val="none"/>
              </w:rPr>
            </w:pPr>
            <w:r>
              <w:rPr>
                <w:rFonts w:ascii="宋体" w:hAnsi="宋体" w:cs="宋体"/>
                <w:highlight w:val="none"/>
              </w:rPr>
              <w:t>第1.1款</w:t>
            </w:r>
          </w:p>
        </w:tc>
        <w:tc>
          <w:tcPr>
            <w:tcW w:w="15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CE03AF8">
            <w:pPr>
              <w:spacing w:line="360" w:lineRule="auto"/>
              <w:jc w:val="left"/>
              <w:rPr>
                <w:rFonts w:hint="eastAsia" w:ascii="宋体" w:hAnsi="宋体" w:cs="宋体"/>
                <w:highlight w:val="none"/>
              </w:rPr>
            </w:pPr>
            <w:r>
              <w:rPr>
                <w:rFonts w:ascii="宋体" w:hAnsi="宋体" w:cs="宋体"/>
                <w:highlight w:val="none"/>
              </w:rPr>
              <w:t xml:space="preserve">甲方名称、地址 </w:t>
            </w:r>
          </w:p>
        </w:tc>
        <w:tc>
          <w:tcPr>
            <w:tcW w:w="609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C704452">
            <w:pPr>
              <w:adjustRightInd w:val="0"/>
              <w:snapToGrid w:val="0"/>
              <w:spacing w:line="360" w:lineRule="auto"/>
              <w:rPr>
                <w:rFonts w:hint="eastAsia" w:hAnsi="宋体" w:eastAsia="宋体"/>
                <w:szCs w:val="21"/>
                <w:highlight w:val="none"/>
                <w:lang w:eastAsia="zh-CN"/>
              </w:rPr>
            </w:pPr>
            <w:r>
              <w:rPr>
                <w:rFonts w:hint="eastAsia" w:hAnsi="宋体"/>
                <w:szCs w:val="21"/>
                <w:highlight w:val="none"/>
              </w:rPr>
              <w:t>甲方：</w:t>
            </w:r>
            <w:r>
              <w:rPr>
                <w:rFonts w:hint="eastAsia" w:hAnsi="宋体"/>
                <w:szCs w:val="21"/>
                <w:highlight w:val="none"/>
                <w:lang w:eastAsia="zh-CN"/>
              </w:rPr>
              <w:t>湖南省环境应急与事故调查中心</w:t>
            </w:r>
          </w:p>
          <w:p w14:paraId="5510177D">
            <w:pPr>
              <w:adjustRightInd w:val="0"/>
              <w:snapToGrid w:val="0"/>
              <w:spacing w:line="360" w:lineRule="auto"/>
              <w:rPr>
                <w:rFonts w:hint="eastAsia" w:ascii="宋体" w:hAnsi="宋体"/>
                <w:szCs w:val="21"/>
                <w:highlight w:val="none"/>
              </w:rPr>
            </w:pPr>
            <w:r>
              <w:rPr>
                <w:rFonts w:hAnsi="宋体"/>
                <w:szCs w:val="21"/>
                <w:highlight w:val="none"/>
              </w:rPr>
              <w:t>地址：</w:t>
            </w:r>
            <w:r>
              <w:rPr>
                <w:rFonts w:hint="eastAsia" w:hAnsi="宋体"/>
                <w:szCs w:val="21"/>
                <w:highlight w:val="none"/>
              </w:rPr>
              <w:t>长沙市雨花区万家丽中路3段118号</w:t>
            </w:r>
          </w:p>
        </w:tc>
      </w:tr>
      <w:tr w14:paraId="49132653">
        <w:tblPrEx>
          <w:tblCellMar>
            <w:top w:w="0" w:type="dxa"/>
            <w:left w:w="10" w:type="dxa"/>
            <w:bottom w:w="0" w:type="dxa"/>
            <w:right w:w="10" w:type="dxa"/>
          </w:tblCellMar>
        </w:tblPrEx>
        <w:trPr>
          <w:trHeight w:val="663" w:hRule="atLeast"/>
        </w:trPr>
        <w:tc>
          <w:tcPr>
            <w:tcW w:w="170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DB1CAB9">
            <w:pPr>
              <w:spacing w:line="360" w:lineRule="auto"/>
              <w:jc w:val="center"/>
              <w:rPr>
                <w:rFonts w:hint="eastAsia" w:ascii="宋体" w:hAnsi="宋体" w:cs="宋体"/>
                <w:highlight w:val="none"/>
              </w:rPr>
            </w:pPr>
            <w:r>
              <w:rPr>
                <w:rFonts w:ascii="宋体" w:hAnsi="宋体" w:cs="宋体"/>
                <w:highlight w:val="none"/>
              </w:rPr>
              <w:t>本章第二节</w:t>
            </w:r>
          </w:p>
          <w:p w14:paraId="7E42E8B4">
            <w:pPr>
              <w:spacing w:line="360" w:lineRule="auto"/>
              <w:jc w:val="center"/>
              <w:rPr>
                <w:rFonts w:hint="eastAsia" w:ascii="宋体" w:hAnsi="宋体" w:cs="宋体"/>
                <w:highlight w:val="none"/>
              </w:rPr>
            </w:pPr>
            <w:r>
              <w:rPr>
                <w:rFonts w:ascii="宋体" w:hAnsi="宋体" w:cs="宋体"/>
                <w:highlight w:val="none"/>
              </w:rPr>
              <w:t>第1.2（6）项</w:t>
            </w:r>
          </w:p>
        </w:tc>
        <w:tc>
          <w:tcPr>
            <w:tcW w:w="15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749E856">
            <w:pPr>
              <w:spacing w:line="360" w:lineRule="auto"/>
              <w:jc w:val="left"/>
              <w:rPr>
                <w:rFonts w:hint="eastAsia" w:ascii="宋体" w:hAnsi="宋体" w:cs="宋体"/>
                <w:highlight w:val="none"/>
              </w:rPr>
            </w:pPr>
            <w:r>
              <w:rPr>
                <w:rFonts w:ascii="宋体" w:hAnsi="宋体" w:cs="宋体"/>
                <w:highlight w:val="none"/>
              </w:rPr>
              <w:t>项目现场</w:t>
            </w:r>
          </w:p>
        </w:tc>
        <w:tc>
          <w:tcPr>
            <w:tcW w:w="609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FE081E3">
            <w:pPr>
              <w:spacing w:line="360" w:lineRule="auto"/>
              <w:rPr>
                <w:rFonts w:hint="eastAsia" w:ascii="宋体" w:hAnsi="宋体" w:cs="宋体"/>
                <w:highlight w:val="none"/>
              </w:rPr>
            </w:pPr>
            <w:r>
              <w:rPr>
                <w:rFonts w:hint="eastAsia" w:ascii="Calibri" w:hAnsi="Calibri"/>
                <w:szCs w:val="22"/>
                <w:highlight w:val="none"/>
              </w:rPr>
              <w:t>详见“第四章 技术规格、参数与要求”</w:t>
            </w:r>
          </w:p>
        </w:tc>
      </w:tr>
      <w:tr w14:paraId="70DE70AF">
        <w:tblPrEx>
          <w:tblCellMar>
            <w:top w:w="0" w:type="dxa"/>
            <w:left w:w="10" w:type="dxa"/>
            <w:bottom w:w="0" w:type="dxa"/>
            <w:right w:w="10" w:type="dxa"/>
          </w:tblCellMar>
        </w:tblPrEx>
        <w:trPr>
          <w:trHeight w:val="1" w:hRule="atLeast"/>
        </w:trPr>
        <w:tc>
          <w:tcPr>
            <w:tcW w:w="170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663D493">
            <w:pPr>
              <w:spacing w:line="360" w:lineRule="auto"/>
              <w:jc w:val="center"/>
              <w:rPr>
                <w:rFonts w:hint="eastAsia" w:ascii="宋体" w:hAnsi="宋体" w:cs="宋体"/>
                <w:highlight w:val="none"/>
              </w:rPr>
            </w:pPr>
            <w:r>
              <w:rPr>
                <w:rFonts w:ascii="宋体" w:hAnsi="宋体" w:cs="宋体"/>
                <w:highlight w:val="none"/>
              </w:rPr>
              <w:t>本章第二节</w:t>
            </w:r>
          </w:p>
          <w:p w14:paraId="771593E3">
            <w:pPr>
              <w:spacing w:line="360" w:lineRule="auto"/>
              <w:jc w:val="center"/>
              <w:rPr>
                <w:rFonts w:hint="eastAsia" w:ascii="宋体" w:hAnsi="宋体" w:cs="宋体"/>
                <w:highlight w:val="none"/>
              </w:rPr>
            </w:pPr>
            <w:r>
              <w:rPr>
                <w:rFonts w:ascii="宋体" w:hAnsi="宋体" w:cs="宋体"/>
                <w:highlight w:val="none"/>
              </w:rPr>
              <w:t>第5.1款</w:t>
            </w:r>
          </w:p>
        </w:tc>
        <w:tc>
          <w:tcPr>
            <w:tcW w:w="15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A9186B6">
            <w:pPr>
              <w:spacing w:line="360" w:lineRule="auto"/>
              <w:jc w:val="left"/>
              <w:rPr>
                <w:rFonts w:hint="eastAsia" w:ascii="宋体" w:hAnsi="宋体" w:cs="宋体"/>
                <w:highlight w:val="none"/>
              </w:rPr>
            </w:pPr>
            <w:r>
              <w:rPr>
                <w:rFonts w:ascii="宋体" w:hAnsi="宋体" w:cs="宋体"/>
                <w:highlight w:val="none"/>
              </w:rPr>
              <w:t>履行合同的时间、地点及方式</w:t>
            </w:r>
          </w:p>
        </w:tc>
        <w:tc>
          <w:tcPr>
            <w:tcW w:w="609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266C7F4">
            <w:pPr>
              <w:spacing w:line="360" w:lineRule="auto"/>
              <w:rPr>
                <w:rFonts w:hint="eastAsia" w:hAnsi="宋体"/>
                <w:szCs w:val="21"/>
                <w:highlight w:val="none"/>
              </w:rPr>
            </w:pPr>
            <w:r>
              <w:rPr>
                <w:rFonts w:hint="eastAsia" w:ascii="Calibri" w:hAnsi="Calibri"/>
                <w:szCs w:val="22"/>
                <w:highlight w:val="none"/>
              </w:rPr>
              <w:t>详见“第四章 技术规格、参数与要求”</w:t>
            </w:r>
          </w:p>
        </w:tc>
      </w:tr>
      <w:tr w14:paraId="6D38BB65">
        <w:tblPrEx>
          <w:tblCellMar>
            <w:top w:w="0" w:type="dxa"/>
            <w:left w:w="10" w:type="dxa"/>
            <w:bottom w:w="0" w:type="dxa"/>
            <w:right w:w="10" w:type="dxa"/>
          </w:tblCellMar>
        </w:tblPrEx>
        <w:trPr>
          <w:trHeight w:val="1" w:hRule="atLeast"/>
        </w:trPr>
        <w:tc>
          <w:tcPr>
            <w:tcW w:w="170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32B712E">
            <w:pPr>
              <w:spacing w:line="360" w:lineRule="auto"/>
              <w:jc w:val="center"/>
              <w:rPr>
                <w:rFonts w:hint="eastAsia" w:ascii="宋体" w:hAnsi="宋体" w:cs="宋体"/>
                <w:highlight w:val="none"/>
              </w:rPr>
            </w:pPr>
            <w:r>
              <w:rPr>
                <w:rFonts w:ascii="宋体" w:hAnsi="宋体" w:cs="宋体"/>
                <w:highlight w:val="none"/>
              </w:rPr>
              <w:t>本章第二节</w:t>
            </w:r>
          </w:p>
          <w:p w14:paraId="6DE02FA8">
            <w:pPr>
              <w:spacing w:line="360" w:lineRule="auto"/>
              <w:jc w:val="center"/>
              <w:rPr>
                <w:rFonts w:hint="eastAsia" w:ascii="宋体" w:hAnsi="宋体" w:cs="宋体"/>
                <w:highlight w:val="none"/>
              </w:rPr>
            </w:pPr>
            <w:r>
              <w:rPr>
                <w:rFonts w:ascii="宋体" w:hAnsi="宋体" w:cs="宋体"/>
                <w:highlight w:val="none"/>
              </w:rPr>
              <w:t>第9.2（1）项</w:t>
            </w:r>
          </w:p>
        </w:tc>
        <w:tc>
          <w:tcPr>
            <w:tcW w:w="15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64D42A8">
            <w:pPr>
              <w:spacing w:line="360" w:lineRule="auto"/>
              <w:jc w:val="left"/>
              <w:rPr>
                <w:rFonts w:hint="eastAsia" w:ascii="宋体" w:hAnsi="宋体" w:cs="宋体"/>
                <w:highlight w:val="none"/>
              </w:rPr>
            </w:pPr>
            <w:r>
              <w:rPr>
                <w:rFonts w:ascii="宋体" w:hAnsi="宋体" w:cs="宋体"/>
                <w:highlight w:val="none"/>
              </w:rPr>
              <w:t>质量保证期</w:t>
            </w:r>
          </w:p>
        </w:tc>
        <w:tc>
          <w:tcPr>
            <w:tcW w:w="609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CA3C1F9">
            <w:pPr>
              <w:spacing w:line="360" w:lineRule="auto"/>
              <w:rPr>
                <w:rFonts w:hint="eastAsia" w:ascii="宋体" w:hAnsi="宋体" w:cs="宋体"/>
                <w:highlight w:val="none"/>
              </w:rPr>
            </w:pPr>
            <w:r>
              <w:rPr>
                <w:rFonts w:hint="eastAsia" w:ascii="Calibri" w:hAnsi="Calibri"/>
                <w:szCs w:val="22"/>
                <w:highlight w:val="none"/>
              </w:rPr>
              <w:t>详见“第四章 技术规格、参数与要求”</w:t>
            </w:r>
          </w:p>
        </w:tc>
      </w:tr>
      <w:tr w14:paraId="268A9E3F">
        <w:tblPrEx>
          <w:tblCellMar>
            <w:top w:w="0" w:type="dxa"/>
            <w:left w:w="10" w:type="dxa"/>
            <w:bottom w:w="0" w:type="dxa"/>
            <w:right w:w="10" w:type="dxa"/>
          </w:tblCellMar>
        </w:tblPrEx>
        <w:trPr>
          <w:trHeight w:val="1" w:hRule="atLeast"/>
        </w:trPr>
        <w:tc>
          <w:tcPr>
            <w:tcW w:w="170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DB669A9">
            <w:pPr>
              <w:spacing w:line="360" w:lineRule="auto"/>
              <w:jc w:val="center"/>
              <w:rPr>
                <w:rFonts w:hint="eastAsia" w:ascii="宋体" w:hAnsi="宋体" w:cs="宋体"/>
                <w:highlight w:val="none"/>
              </w:rPr>
            </w:pPr>
            <w:r>
              <w:rPr>
                <w:rFonts w:ascii="宋体" w:hAnsi="宋体" w:cs="宋体"/>
                <w:highlight w:val="none"/>
              </w:rPr>
              <w:t>本章第二节</w:t>
            </w:r>
          </w:p>
          <w:p w14:paraId="541567E0">
            <w:pPr>
              <w:spacing w:line="360" w:lineRule="auto"/>
              <w:jc w:val="center"/>
              <w:rPr>
                <w:rFonts w:hint="eastAsia" w:ascii="宋体" w:hAnsi="宋体" w:cs="宋体"/>
                <w:highlight w:val="none"/>
              </w:rPr>
            </w:pPr>
            <w:r>
              <w:rPr>
                <w:rFonts w:ascii="宋体" w:hAnsi="宋体" w:cs="宋体"/>
                <w:highlight w:val="none"/>
              </w:rPr>
              <w:t>第9.2（3）项</w:t>
            </w:r>
          </w:p>
        </w:tc>
        <w:tc>
          <w:tcPr>
            <w:tcW w:w="15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237FA64">
            <w:pPr>
              <w:spacing w:line="360" w:lineRule="auto"/>
              <w:jc w:val="left"/>
              <w:rPr>
                <w:rFonts w:hint="eastAsia" w:ascii="宋体" w:hAnsi="宋体" w:cs="宋体"/>
                <w:highlight w:val="none"/>
              </w:rPr>
            </w:pPr>
            <w:r>
              <w:rPr>
                <w:rFonts w:ascii="宋体" w:hAnsi="宋体" w:cs="宋体"/>
                <w:highlight w:val="none"/>
              </w:rPr>
              <w:t>响应时间</w:t>
            </w:r>
          </w:p>
        </w:tc>
        <w:tc>
          <w:tcPr>
            <w:tcW w:w="609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AFCABE9">
            <w:pPr>
              <w:spacing w:line="360" w:lineRule="auto"/>
              <w:rPr>
                <w:rFonts w:hint="eastAsia" w:ascii="宋体" w:hAnsi="宋体" w:cs="宋体"/>
                <w:highlight w:val="none"/>
              </w:rPr>
            </w:pPr>
            <w:r>
              <w:rPr>
                <w:rFonts w:hint="eastAsia" w:ascii="Calibri" w:hAnsi="Calibri"/>
                <w:szCs w:val="22"/>
                <w:highlight w:val="none"/>
              </w:rPr>
              <w:t>详见“第四章 技术规格、参数与要求”</w:t>
            </w:r>
          </w:p>
        </w:tc>
      </w:tr>
      <w:tr w14:paraId="43939DF2">
        <w:tblPrEx>
          <w:tblCellMar>
            <w:top w:w="0" w:type="dxa"/>
            <w:left w:w="10" w:type="dxa"/>
            <w:bottom w:w="0" w:type="dxa"/>
            <w:right w:w="10" w:type="dxa"/>
          </w:tblCellMar>
        </w:tblPrEx>
        <w:trPr>
          <w:trHeight w:val="1" w:hRule="atLeast"/>
        </w:trPr>
        <w:tc>
          <w:tcPr>
            <w:tcW w:w="170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909BA55">
            <w:pPr>
              <w:spacing w:line="360" w:lineRule="auto"/>
              <w:jc w:val="center"/>
              <w:rPr>
                <w:rFonts w:hint="eastAsia" w:ascii="宋体" w:hAnsi="宋体" w:cs="宋体"/>
                <w:highlight w:val="none"/>
              </w:rPr>
            </w:pPr>
            <w:r>
              <w:rPr>
                <w:rFonts w:ascii="宋体" w:hAnsi="宋体" w:cs="宋体"/>
                <w:highlight w:val="none"/>
              </w:rPr>
              <w:t>本章第二节</w:t>
            </w:r>
          </w:p>
          <w:p w14:paraId="600A1E3A">
            <w:pPr>
              <w:spacing w:line="360" w:lineRule="auto"/>
              <w:jc w:val="center"/>
              <w:rPr>
                <w:rFonts w:hint="eastAsia" w:ascii="宋体" w:hAnsi="宋体" w:cs="宋体"/>
                <w:highlight w:val="none"/>
              </w:rPr>
            </w:pPr>
            <w:r>
              <w:rPr>
                <w:rFonts w:ascii="宋体" w:hAnsi="宋体" w:cs="宋体"/>
                <w:highlight w:val="none"/>
              </w:rPr>
              <w:t>第13.5款</w:t>
            </w:r>
          </w:p>
        </w:tc>
        <w:tc>
          <w:tcPr>
            <w:tcW w:w="15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F21F95C">
            <w:pPr>
              <w:spacing w:line="360" w:lineRule="auto"/>
              <w:jc w:val="left"/>
              <w:rPr>
                <w:rFonts w:hint="eastAsia" w:ascii="宋体" w:hAnsi="宋体" w:cs="宋体"/>
                <w:highlight w:val="none"/>
              </w:rPr>
            </w:pPr>
            <w:r>
              <w:rPr>
                <w:rFonts w:ascii="宋体" w:hAnsi="宋体" w:cs="宋体"/>
                <w:highlight w:val="none"/>
              </w:rPr>
              <w:t>合同价款支付方式和条件</w:t>
            </w:r>
          </w:p>
        </w:tc>
        <w:tc>
          <w:tcPr>
            <w:tcW w:w="609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95FB323">
            <w:pPr>
              <w:spacing w:line="360" w:lineRule="auto"/>
              <w:rPr>
                <w:rFonts w:hint="eastAsia" w:hAnsi="宋体"/>
                <w:szCs w:val="21"/>
                <w:highlight w:val="none"/>
              </w:rPr>
            </w:pPr>
            <w:r>
              <w:rPr>
                <w:rFonts w:hint="eastAsia" w:ascii="Calibri" w:hAnsi="Calibri"/>
                <w:szCs w:val="22"/>
                <w:highlight w:val="none"/>
              </w:rPr>
              <w:t>详见“第四章 技术规格、参数与要求”</w:t>
            </w:r>
          </w:p>
        </w:tc>
      </w:tr>
      <w:tr w14:paraId="2223B9A2">
        <w:tblPrEx>
          <w:tblCellMar>
            <w:top w:w="0" w:type="dxa"/>
            <w:left w:w="10" w:type="dxa"/>
            <w:bottom w:w="0" w:type="dxa"/>
            <w:right w:w="10" w:type="dxa"/>
          </w:tblCellMar>
        </w:tblPrEx>
        <w:trPr>
          <w:trHeight w:val="1" w:hRule="atLeast"/>
        </w:trPr>
        <w:tc>
          <w:tcPr>
            <w:tcW w:w="170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DC5F7D7">
            <w:pPr>
              <w:spacing w:line="360" w:lineRule="auto"/>
              <w:jc w:val="center"/>
              <w:rPr>
                <w:rFonts w:hint="eastAsia" w:ascii="宋体" w:hAnsi="宋体" w:cs="宋体"/>
                <w:highlight w:val="none"/>
              </w:rPr>
            </w:pPr>
            <w:r>
              <w:rPr>
                <w:rFonts w:ascii="宋体" w:hAnsi="宋体" w:cs="宋体"/>
                <w:highlight w:val="none"/>
              </w:rPr>
              <w:t>本章第二节</w:t>
            </w:r>
          </w:p>
          <w:p w14:paraId="79FA6E32">
            <w:pPr>
              <w:spacing w:line="360" w:lineRule="auto"/>
              <w:jc w:val="center"/>
              <w:rPr>
                <w:rFonts w:hint="eastAsia" w:ascii="宋体" w:hAnsi="宋体" w:cs="宋体"/>
                <w:highlight w:val="none"/>
              </w:rPr>
            </w:pPr>
            <w:r>
              <w:rPr>
                <w:rFonts w:ascii="宋体" w:hAnsi="宋体" w:cs="宋体"/>
                <w:highlight w:val="none"/>
              </w:rPr>
              <w:t>第14.2（6）项</w:t>
            </w:r>
          </w:p>
        </w:tc>
        <w:tc>
          <w:tcPr>
            <w:tcW w:w="15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3F1F5AD">
            <w:pPr>
              <w:spacing w:line="360" w:lineRule="auto"/>
              <w:jc w:val="left"/>
              <w:rPr>
                <w:rFonts w:hint="eastAsia" w:ascii="宋体" w:hAnsi="宋体" w:cs="宋体"/>
                <w:highlight w:val="none"/>
              </w:rPr>
            </w:pPr>
            <w:r>
              <w:rPr>
                <w:rFonts w:ascii="宋体" w:hAnsi="宋体" w:cs="宋体"/>
                <w:highlight w:val="none"/>
              </w:rPr>
              <w:t>乙方提供的其他服务</w:t>
            </w:r>
          </w:p>
        </w:tc>
        <w:tc>
          <w:tcPr>
            <w:tcW w:w="609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B7A708B">
            <w:pPr>
              <w:spacing w:line="360" w:lineRule="auto"/>
              <w:rPr>
                <w:highlight w:val="none"/>
              </w:rPr>
            </w:pPr>
            <w:r>
              <w:rPr>
                <w:rFonts w:hint="eastAsia" w:ascii="Calibri" w:hAnsi="Calibri"/>
                <w:szCs w:val="22"/>
                <w:highlight w:val="none"/>
              </w:rPr>
              <w:t>详见“第四章 技术规格、参数与要求”</w:t>
            </w:r>
          </w:p>
        </w:tc>
      </w:tr>
      <w:tr w14:paraId="3C35CF7D">
        <w:tblPrEx>
          <w:tblCellMar>
            <w:top w:w="0" w:type="dxa"/>
            <w:left w:w="10" w:type="dxa"/>
            <w:bottom w:w="0" w:type="dxa"/>
            <w:right w:w="10" w:type="dxa"/>
          </w:tblCellMar>
        </w:tblPrEx>
        <w:trPr>
          <w:trHeight w:val="1" w:hRule="atLeast"/>
        </w:trPr>
        <w:tc>
          <w:tcPr>
            <w:tcW w:w="170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9D007E8">
            <w:pPr>
              <w:spacing w:line="360" w:lineRule="auto"/>
              <w:jc w:val="center"/>
              <w:rPr>
                <w:rFonts w:hint="eastAsia" w:ascii="宋体" w:hAnsi="宋体" w:cs="宋体"/>
                <w:highlight w:val="none"/>
              </w:rPr>
            </w:pPr>
            <w:r>
              <w:rPr>
                <w:rFonts w:ascii="宋体" w:hAnsi="宋体" w:cs="宋体"/>
                <w:highlight w:val="none"/>
              </w:rPr>
              <w:t>本章第二节</w:t>
            </w:r>
          </w:p>
          <w:p w14:paraId="47A2CF18">
            <w:pPr>
              <w:spacing w:line="360" w:lineRule="auto"/>
              <w:jc w:val="center"/>
              <w:rPr>
                <w:rFonts w:hint="eastAsia" w:ascii="宋体" w:hAnsi="宋体" w:cs="宋体"/>
                <w:highlight w:val="none"/>
              </w:rPr>
            </w:pPr>
            <w:r>
              <w:rPr>
                <w:rFonts w:ascii="宋体" w:hAnsi="宋体" w:cs="宋体"/>
                <w:highlight w:val="none"/>
              </w:rPr>
              <w:t>第20.2款</w:t>
            </w:r>
          </w:p>
        </w:tc>
        <w:tc>
          <w:tcPr>
            <w:tcW w:w="15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E9C84F1">
            <w:pPr>
              <w:spacing w:line="360" w:lineRule="auto"/>
              <w:jc w:val="left"/>
              <w:rPr>
                <w:rFonts w:hint="eastAsia" w:ascii="宋体" w:hAnsi="宋体" w:cs="宋体"/>
                <w:highlight w:val="none"/>
              </w:rPr>
            </w:pPr>
            <w:r>
              <w:rPr>
                <w:rFonts w:ascii="宋体" w:hAnsi="宋体" w:cs="宋体"/>
                <w:highlight w:val="none"/>
              </w:rPr>
              <w:t>解决争议的方式</w:t>
            </w:r>
          </w:p>
        </w:tc>
        <w:tc>
          <w:tcPr>
            <w:tcW w:w="609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C7773CC">
            <w:pPr>
              <w:adjustRightInd w:val="0"/>
              <w:snapToGrid w:val="0"/>
              <w:spacing w:line="360" w:lineRule="auto"/>
              <w:rPr>
                <w:rFonts w:hint="eastAsia" w:hAnsi="宋体"/>
                <w:szCs w:val="21"/>
                <w:highlight w:val="none"/>
              </w:rPr>
            </w:pPr>
            <w:r>
              <w:rPr>
                <w:rFonts w:hint="eastAsia" w:hAnsi="宋体"/>
                <w:szCs w:val="21"/>
                <w:highlight w:val="none"/>
              </w:rPr>
              <w:t>■诉讼</w:t>
            </w:r>
          </w:p>
          <w:p w14:paraId="6074D05A">
            <w:pPr>
              <w:adjustRightInd w:val="0"/>
              <w:snapToGrid w:val="0"/>
              <w:spacing w:line="360" w:lineRule="auto"/>
              <w:rPr>
                <w:highlight w:val="none"/>
              </w:rPr>
            </w:pPr>
            <w:r>
              <w:rPr>
                <w:rFonts w:hint="eastAsia" w:hAnsi="宋体"/>
                <w:szCs w:val="21"/>
                <w:highlight w:val="none"/>
              </w:rPr>
              <w:t>□仲裁</w:t>
            </w:r>
          </w:p>
        </w:tc>
      </w:tr>
      <w:tr w14:paraId="3A64A65B">
        <w:tblPrEx>
          <w:tblCellMar>
            <w:top w:w="0" w:type="dxa"/>
            <w:left w:w="10" w:type="dxa"/>
            <w:bottom w:w="0" w:type="dxa"/>
            <w:right w:w="10" w:type="dxa"/>
          </w:tblCellMar>
        </w:tblPrEx>
        <w:trPr>
          <w:trHeight w:val="1" w:hRule="atLeast"/>
        </w:trPr>
        <w:tc>
          <w:tcPr>
            <w:tcW w:w="1701"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397B18F">
            <w:pPr>
              <w:spacing w:line="360" w:lineRule="auto"/>
              <w:jc w:val="center"/>
              <w:rPr>
                <w:rFonts w:hint="eastAsia" w:ascii="宋体" w:hAnsi="宋体" w:cs="宋体"/>
                <w:highlight w:val="none"/>
              </w:rPr>
            </w:pPr>
            <w:r>
              <w:rPr>
                <w:rFonts w:ascii="宋体" w:hAnsi="宋体" w:cs="宋体"/>
                <w:highlight w:val="none"/>
              </w:rPr>
              <w:t>本章第二节</w:t>
            </w:r>
          </w:p>
          <w:p w14:paraId="75A5F8A3">
            <w:pPr>
              <w:spacing w:line="360" w:lineRule="auto"/>
              <w:jc w:val="center"/>
              <w:rPr>
                <w:rFonts w:hint="eastAsia" w:ascii="宋体" w:hAnsi="宋体" w:cs="宋体"/>
                <w:highlight w:val="none"/>
              </w:rPr>
            </w:pPr>
            <w:r>
              <w:rPr>
                <w:rFonts w:ascii="宋体" w:hAnsi="宋体" w:cs="宋体"/>
                <w:highlight w:val="none"/>
              </w:rPr>
              <w:t>第23.1款</w:t>
            </w:r>
          </w:p>
        </w:tc>
        <w:tc>
          <w:tcPr>
            <w:tcW w:w="15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8D9D9A5">
            <w:pPr>
              <w:spacing w:line="360" w:lineRule="auto"/>
              <w:jc w:val="left"/>
              <w:rPr>
                <w:rFonts w:hint="eastAsia" w:ascii="宋体" w:hAnsi="宋体" w:cs="宋体"/>
                <w:highlight w:val="none"/>
              </w:rPr>
            </w:pPr>
            <w:r>
              <w:rPr>
                <w:rFonts w:ascii="宋体" w:hAnsi="宋体" w:cs="宋体"/>
                <w:highlight w:val="none"/>
              </w:rPr>
              <w:t>合同未尽事项</w:t>
            </w:r>
          </w:p>
        </w:tc>
        <w:tc>
          <w:tcPr>
            <w:tcW w:w="609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E8E37CB">
            <w:pPr>
              <w:adjustRightInd w:val="0"/>
              <w:snapToGrid w:val="0"/>
              <w:spacing w:line="360" w:lineRule="auto"/>
              <w:jc w:val="left"/>
              <w:rPr>
                <w:rFonts w:hint="eastAsia" w:ascii="宋体" w:hAnsi="宋体" w:cs="宋体"/>
                <w:highlight w:val="none"/>
              </w:rPr>
            </w:pPr>
            <w:r>
              <w:rPr>
                <w:rFonts w:hint="eastAsia" w:ascii="宋体" w:hAnsi="宋体"/>
                <w:szCs w:val="21"/>
                <w:highlight w:val="none"/>
              </w:rPr>
              <w:t>双方友好协商</w:t>
            </w:r>
          </w:p>
        </w:tc>
      </w:tr>
      <w:bookmarkEnd w:id="406"/>
    </w:tbl>
    <w:p w14:paraId="210C37F4">
      <w:pPr>
        <w:spacing w:line="360" w:lineRule="auto"/>
        <w:rPr>
          <w:rFonts w:hint="eastAsia" w:ascii="宋体" w:hAnsi="宋体" w:cs="宋体"/>
          <w:spacing w:val="-9"/>
          <w:szCs w:val="21"/>
          <w:highlight w:val="none"/>
        </w:rPr>
      </w:pPr>
      <w:r>
        <w:rPr>
          <w:rFonts w:hint="eastAsia" w:ascii="宋体" w:hAnsi="宋体" w:cs="宋体"/>
          <w:szCs w:val="21"/>
          <w:highlight w:val="none"/>
        </w:rPr>
        <w:br w:type="page"/>
      </w:r>
    </w:p>
    <w:p w14:paraId="3DA710BE">
      <w:pPr>
        <w:rPr>
          <w:rFonts w:hint="eastAsia" w:ascii="黑体" w:hAnsi="黑体" w:eastAsia="黑体"/>
          <w:sz w:val="32"/>
          <w:szCs w:val="32"/>
          <w:highlight w:val="none"/>
        </w:rPr>
      </w:pPr>
    </w:p>
    <w:p w14:paraId="49837972">
      <w:pPr>
        <w:pStyle w:val="7"/>
        <w:rPr>
          <w:rFonts w:hint="eastAsia" w:ascii="黑体" w:hAnsi="黑体" w:eastAsia="黑体"/>
          <w:sz w:val="32"/>
          <w:szCs w:val="32"/>
          <w:highlight w:val="none"/>
        </w:rPr>
      </w:pPr>
      <w:bookmarkStart w:id="424" w:name="_Toc575"/>
      <w:bookmarkStart w:id="425" w:name="_Toc25258"/>
      <w:bookmarkStart w:id="426" w:name="_Toc22539"/>
      <w:bookmarkStart w:id="427" w:name="_Toc24268"/>
      <w:r>
        <w:rPr>
          <w:rFonts w:hint="eastAsia" w:ascii="黑体" w:hAnsi="黑体" w:eastAsia="黑体"/>
          <w:sz w:val="32"/>
          <w:szCs w:val="32"/>
          <w:highlight w:val="none"/>
        </w:rPr>
        <w:t>第六章 响应文件组成</w:t>
      </w:r>
      <w:bookmarkEnd w:id="407"/>
      <w:bookmarkEnd w:id="424"/>
      <w:bookmarkEnd w:id="425"/>
      <w:bookmarkEnd w:id="426"/>
      <w:bookmarkEnd w:id="427"/>
    </w:p>
    <w:p w14:paraId="41F076F2">
      <w:pPr>
        <w:widowControl/>
        <w:tabs>
          <w:tab w:val="left" w:pos="753"/>
        </w:tabs>
        <w:adjustRightInd w:val="0"/>
        <w:snapToGrid w:val="0"/>
        <w:spacing w:before="120" w:beforeLines="50" w:line="360" w:lineRule="auto"/>
        <w:ind w:firstLine="480" w:firstLineChars="200"/>
        <w:jc w:val="center"/>
        <w:rPr>
          <w:rFonts w:hint="eastAsia" w:ascii="宋体" w:hAnsi="宋体"/>
          <w:sz w:val="24"/>
          <w:highlight w:val="none"/>
        </w:rPr>
      </w:pPr>
    </w:p>
    <w:p w14:paraId="3DCA6714">
      <w:pPr>
        <w:adjustRightInd w:val="0"/>
        <w:snapToGrid w:val="0"/>
        <w:spacing w:before="120" w:beforeLines="50" w:line="360" w:lineRule="auto"/>
        <w:rPr>
          <w:rFonts w:ascii="宋体"/>
          <w:highlight w:val="none"/>
        </w:rPr>
      </w:pPr>
      <w:r>
        <w:rPr>
          <w:rFonts w:hint="eastAsia" w:ascii="宋体"/>
          <w:highlight w:val="none"/>
        </w:rPr>
        <w:t>供应商的响应文件应包含以下部分：</w:t>
      </w:r>
    </w:p>
    <w:p w14:paraId="01392E56">
      <w:pPr>
        <w:widowControl/>
        <w:tabs>
          <w:tab w:val="left" w:pos="753"/>
        </w:tabs>
        <w:adjustRightInd w:val="0"/>
        <w:snapToGrid w:val="0"/>
        <w:spacing w:before="120" w:beforeLines="50" w:line="360" w:lineRule="auto"/>
        <w:ind w:firstLine="420" w:firstLineChars="200"/>
        <w:rPr>
          <w:rFonts w:hint="eastAsia" w:ascii="宋体" w:hAnsi="宋体"/>
          <w:szCs w:val="21"/>
          <w:highlight w:val="none"/>
        </w:rPr>
      </w:pPr>
      <w:r>
        <w:rPr>
          <w:rFonts w:hint="eastAsia" w:ascii="宋体" w:hAnsi="宋体"/>
          <w:szCs w:val="21"/>
          <w:highlight w:val="none"/>
        </w:rPr>
        <w:t>一、磋商响应声明(格式)</w:t>
      </w:r>
    </w:p>
    <w:p w14:paraId="188DD2DF">
      <w:pPr>
        <w:widowControl/>
        <w:tabs>
          <w:tab w:val="left" w:pos="753"/>
        </w:tabs>
        <w:adjustRightInd w:val="0"/>
        <w:snapToGrid w:val="0"/>
        <w:spacing w:before="120" w:beforeLines="50" w:line="360" w:lineRule="auto"/>
        <w:ind w:firstLine="420" w:firstLineChars="200"/>
        <w:rPr>
          <w:rFonts w:hint="eastAsia" w:ascii="宋体" w:hAnsi="宋体"/>
          <w:szCs w:val="21"/>
          <w:highlight w:val="none"/>
        </w:rPr>
      </w:pPr>
      <w:r>
        <w:rPr>
          <w:rFonts w:hint="eastAsia" w:ascii="宋体" w:hAnsi="宋体"/>
          <w:szCs w:val="21"/>
          <w:highlight w:val="none"/>
        </w:rPr>
        <w:t>二、法定代表人（单位负责人）身份证明(格式)</w:t>
      </w:r>
    </w:p>
    <w:p w14:paraId="1AB42F09">
      <w:pPr>
        <w:widowControl/>
        <w:tabs>
          <w:tab w:val="left" w:pos="753"/>
        </w:tabs>
        <w:adjustRightInd w:val="0"/>
        <w:snapToGrid w:val="0"/>
        <w:spacing w:before="120" w:beforeLines="50" w:line="360" w:lineRule="auto"/>
        <w:ind w:firstLine="420" w:firstLineChars="200"/>
        <w:rPr>
          <w:rFonts w:hint="eastAsia" w:ascii="宋体" w:hAnsi="宋体"/>
          <w:szCs w:val="21"/>
          <w:highlight w:val="none"/>
        </w:rPr>
      </w:pPr>
      <w:r>
        <w:rPr>
          <w:rFonts w:hint="eastAsia" w:ascii="宋体" w:hAnsi="宋体"/>
          <w:szCs w:val="21"/>
          <w:highlight w:val="none"/>
        </w:rPr>
        <w:t>三、授权委托书(格式)</w:t>
      </w:r>
    </w:p>
    <w:p w14:paraId="35312606">
      <w:pPr>
        <w:widowControl/>
        <w:tabs>
          <w:tab w:val="left" w:pos="753"/>
        </w:tabs>
        <w:adjustRightInd w:val="0"/>
        <w:snapToGrid w:val="0"/>
        <w:spacing w:before="120" w:beforeLines="50" w:line="360" w:lineRule="auto"/>
        <w:ind w:firstLine="420" w:firstLineChars="200"/>
        <w:rPr>
          <w:rFonts w:ascii="宋体"/>
          <w:szCs w:val="21"/>
          <w:highlight w:val="none"/>
        </w:rPr>
      </w:pPr>
      <w:r>
        <w:rPr>
          <w:rFonts w:hint="eastAsia" w:ascii="宋体" w:hAnsi="宋体"/>
          <w:szCs w:val="21"/>
          <w:highlight w:val="none"/>
        </w:rPr>
        <w:t>四、保证金</w:t>
      </w:r>
    </w:p>
    <w:p w14:paraId="62837377">
      <w:pPr>
        <w:widowControl/>
        <w:tabs>
          <w:tab w:val="left" w:pos="753"/>
        </w:tabs>
        <w:adjustRightInd w:val="0"/>
        <w:snapToGrid w:val="0"/>
        <w:spacing w:before="120" w:beforeLines="50" w:line="360" w:lineRule="auto"/>
        <w:ind w:firstLine="420" w:firstLineChars="200"/>
        <w:rPr>
          <w:rFonts w:hint="eastAsia" w:ascii="宋体" w:hAnsi="宋体"/>
          <w:szCs w:val="21"/>
          <w:highlight w:val="none"/>
        </w:rPr>
      </w:pPr>
      <w:r>
        <w:rPr>
          <w:rFonts w:hint="eastAsia" w:ascii="宋体" w:hAnsi="宋体"/>
          <w:szCs w:val="21"/>
          <w:highlight w:val="none"/>
        </w:rPr>
        <w:t>五、报价表及报价文件(格式)</w:t>
      </w:r>
    </w:p>
    <w:p w14:paraId="3AB649C7">
      <w:pPr>
        <w:widowControl/>
        <w:tabs>
          <w:tab w:val="left" w:pos="753"/>
        </w:tabs>
        <w:adjustRightInd w:val="0"/>
        <w:snapToGrid w:val="0"/>
        <w:spacing w:before="120" w:beforeLines="50" w:line="360" w:lineRule="auto"/>
        <w:ind w:firstLine="420" w:firstLineChars="200"/>
        <w:rPr>
          <w:rFonts w:hint="eastAsia" w:ascii="宋体" w:hAnsi="宋体"/>
          <w:szCs w:val="21"/>
          <w:highlight w:val="none"/>
        </w:rPr>
      </w:pPr>
      <w:r>
        <w:rPr>
          <w:rFonts w:hint="eastAsia" w:ascii="宋体" w:hAnsi="宋体"/>
          <w:szCs w:val="21"/>
          <w:highlight w:val="none"/>
        </w:rPr>
        <w:t>六、采购需求响应</w:t>
      </w:r>
    </w:p>
    <w:p w14:paraId="71EBE38D">
      <w:pPr>
        <w:widowControl/>
        <w:tabs>
          <w:tab w:val="left" w:pos="753"/>
        </w:tabs>
        <w:adjustRightInd w:val="0"/>
        <w:snapToGrid w:val="0"/>
        <w:spacing w:before="120" w:beforeLines="50" w:line="360" w:lineRule="auto"/>
        <w:ind w:firstLine="420" w:firstLineChars="200"/>
        <w:rPr>
          <w:rFonts w:hint="eastAsia" w:ascii="宋体" w:hAnsi="宋体"/>
          <w:szCs w:val="21"/>
          <w:highlight w:val="none"/>
        </w:rPr>
      </w:pPr>
      <w:r>
        <w:rPr>
          <w:rFonts w:hint="eastAsia" w:ascii="宋体" w:hAnsi="宋体"/>
          <w:szCs w:val="21"/>
          <w:highlight w:val="none"/>
        </w:rPr>
        <w:t>七、合同条款偏离表</w:t>
      </w:r>
    </w:p>
    <w:p w14:paraId="440F3491">
      <w:pPr>
        <w:widowControl/>
        <w:tabs>
          <w:tab w:val="left" w:pos="753"/>
        </w:tabs>
        <w:adjustRightInd w:val="0"/>
        <w:snapToGrid w:val="0"/>
        <w:spacing w:before="120" w:beforeLines="50" w:line="360" w:lineRule="auto"/>
        <w:ind w:firstLine="420" w:firstLineChars="200"/>
        <w:rPr>
          <w:rFonts w:hint="eastAsia" w:ascii="宋体" w:hAnsi="宋体"/>
          <w:szCs w:val="21"/>
          <w:highlight w:val="none"/>
        </w:rPr>
      </w:pPr>
      <w:r>
        <w:rPr>
          <w:rFonts w:hint="eastAsia" w:ascii="宋体" w:hAnsi="宋体"/>
          <w:szCs w:val="21"/>
          <w:highlight w:val="none"/>
        </w:rPr>
        <w:t>八、采购需求偏离表</w:t>
      </w:r>
    </w:p>
    <w:p w14:paraId="274FA91B">
      <w:pPr>
        <w:widowControl/>
        <w:tabs>
          <w:tab w:val="left" w:pos="753"/>
        </w:tabs>
        <w:adjustRightInd w:val="0"/>
        <w:snapToGrid w:val="0"/>
        <w:spacing w:before="120" w:beforeLines="50" w:line="360" w:lineRule="auto"/>
        <w:ind w:firstLine="420" w:firstLineChars="200"/>
        <w:rPr>
          <w:rFonts w:hint="eastAsia" w:ascii="宋体" w:hAnsi="宋体"/>
          <w:szCs w:val="21"/>
          <w:highlight w:val="none"/>
        </w:rPr>
      </w:pPr>
      <w:r>
        <w:rPr>
          <w:rFonts w:hint="eastAsia" w:ascii="宋体" w:hAnsi="宋体"/>
          <w:szCs w:val="21"/>
          <w:highlight w:val="none"/>
        </w:rPr>
        <w:t>九、享受政府采购政策的证明资料</w:t>
      </w:r>
    </w:p>
    <w:p w14:paraId="5113EFF3">
      <w:pPr>
        <w:widowControl/>
        <w:tabs>
          <w:tab w:val="left" w:pos="753"/>
        </w:tabs>
        <w:adjustRightInd w:val="0"/>
        <w:snapToGrid w:val="0"/>
        <w:spacing w:before="120" w:beforeLines="50" w:line="360" w:lineRule="auto"/>
        <w:ind w:firstLine="420" w:firstLineChars="200"/>
        <w:rPr>
          <w:rFonts w:hint="eastAsia" w:ascii="宋体" w:hAnsi="宋体"/>
          <w:szCs w:val="21"/>
          <w:highlight w:val="none"/>
        </w:rPr>
      </w:pPr>
      <w:r>
        <w:rPr>
          <w:rFonts w:hint="eastAsia" w:ascii="宋体" w:hAnsi="宋体"/>
          <w:szCs w:val="21"/>
          <w:highlight w:val="none"/>
        </w:rPr>
        <w:t>十、</w:t>
      </w:r>
      <w:r>
        <w:rPr>
          <w:rFonts w:hint="eastAsia" w:ascii="宋体" w:hAnsi="宋体"/>
          <w:kern w:val="32"/>
          <w:szCs w:val="21"/>
          <w:highlight w:val="none"/>
        </w:rPr>
        <w:t>供应商提供的资格证明材料</w:t>
      </w:r>
    </w:p>
    <w:p w14:paraId="3542510B">
      <w:pPr>
        <w:widowControl/>
        <w:tabs>
          <w:tab w:val="left" w:pos="753"/>
        </w:tabs>
        <w:adjustRightInd w:val="0"/>
        <w:snapToGrid w:val="0"/>
        <w:spacing w:before="120" w:beforeLines="50" w:line="360" w:lineRule="auto"/>
        <w:ind w:firstLine="420" w:firstLineChars="200"/>
        <w:rPr>
          <w:rFonts w:hint="eastAsia" w:ascii="宋体" w:hAnsi="宋体"/>
          <w:kern w:val="32"/>
          <w:szCs w:val="21"/>
          <w:highlight w:val="none"/>
        </w:rPr>
      </w:pPr>
      <w:r>
        <w:rPr>
          <w:rFonts w:hint="eastAsia" w:ascii="宋体" w:hAnsi="宋体"/>
          <w:kern w:val="32"/>
          <w:szCs w:val="21"/>
          <w:highlight w:val="none"/>
        </w:rPr>
        <w:t>十一、</w:t>
      </w:r>
      <w:r>
        <w:rPr>
          <w:rFonts w:hint="eastAsia" w:ascii="宋体" w:hAnsi="宋体"/>
          <w:szCs w:val="21"/>
          <w:highlight w:val="none"/>
        </w:rPr>
        <w:t>响应标的符合磋商文件规定的证明文件</w:t>
      </w:r>
    </w:p>
    <w:p w14:paraId="03A41F00">
      <w:pPr>
        <w:widowControl/>
        <w:tabs>
          <w:tab w:val="left" w:pos="753"/>
        </w:tabs>
        <w:adjustRightInd w:val="0"/>
        <w:snapToGrid w:val="0"/>
        <w:spacing w:before="120" w:beforeLines="50" w:line="360" w:lineRule="auto"/>
        <w:ind w:firstLine="420" w:firstLineChars="200"/>
        <w:rPr>
          <w:rFonts w:hint="eastAsia" w:ascii="宋体" w:hAnsi="宋体"/>
          <w:szCs w:val="21"/>
          <w:highlight w:val="none"/>
        </w:rPr>
      </w:pPr>
      <w:r>
        <w:rPr>
          <w:rFonts w:hint="eastAsia" w:ascii="宋体" w:hAnsi="宋体"/>
          <w:szCs w:val="21"/>
          <w:highlight w:val="none"/>
        </w:rPr>
        <w:t>十二、供应商认为需要提供的其他资料</w:t>
      </w:r>
    </w:p>
    <w:p w14:paraId="2A0F6F7E">
      <w:pPr>
        <w:widowControl/>
        <w:tabs>
          <w:tab w:val="left" w:pos="753"/>
        </w:tabs>
        <w:adjustRightInd w:val="0"/>
        <w:snapToGrid w:val="0"/>
        <w:spacing w:before="120" w:beforeLines="50" w:line="360" w:lineRule="auto"/>
        <w:ind w:firstLine="420" w:firstLineChars="200"/>
        <w:rPr>
          <w:rFonts w:hint="eastAsia" w:ascii="宋体" w:hAnsi="宋体"/>
          <w:szCs w:val="21"/>
          <w:highlight w:val="none"/>
        </w:rPr>
      </w:pPr>
      <w:r>
        <w:rPr>
          <w:rFonts w:hint="eastAsia" w:ascii="宋体" w:hAnsi="宋体"/>
          <w:szCs w:val="21"/>
          <w:highlight w:val="none"/>
        </w:rPr>
        <w:t>十三、最终报价</w:t>
      </w:r>
    </w:p>
    <w:p w14:paraId="34E940C6">
      <w:pPr>
        <w:spacing w:line="360" w:lineRule="exact"/>
        <w:jc w:val="center"/>
        <w:rPr>
          <w:rFonts w:ascii="黑体" w:eastAsia="黑体"/>
          <w:b/>
          <w:sz w:val="32"/>
          <w:szCs w:val="32"/>
          <w:highlight w:val="none"/>
        </w:rPr>
      </w:pPr>
      <w:r>
        <w:rPr>
          <w:rFonts w:ascii="黑体" w:eastAsia="黑体"/>
          <w:b/>
          <w:sz w:val="32"/>
          <w:szCs w:val="32"/>
          <w:highlight w:val="none"/>
        </w:rPr>
        <w:br w:type="page"/>
      </w:r>
    </w:p>
    <w:p w14:paraId="4B2E1AA9">
      <w:pPr>
        <w:spacing w:line="360" w:lineRule="exact"/>
        <w:jc w:val="center"/>
        <w:rPr>
          <w:rFonts w:ascii="黑体" w:eastAsia="黑体"/>
          <w:b/>
          <w:sz w:val="32"/>
          <w:szCs w:val="32"/>
          <w:highlight w:val="none"/>
        </w:rPr>
      </w:pPr>
    </w:p>
    <w:p w14:paraId="54466940">
      <w:pPr>
        <w:spacing w:line="360" w:lineRule="exact"/>
        <w:jc w:val="center"/>
        <w:rPr>
          <w:rFonts w:ascii="黑体" w:eastAsia="黑体"/>
          <w:b/>
          <w:sz w:val="32"/>
          <w:szCs w:val="32"/>
          <w:highlight w:val="none"/>
        </w:rPr>
      </w:pPr>
    </w:p>
    <w:p w14:paraId="6C786B01">
      <w:pPr>
        <w:adjustRightInd w:val="0"/>
        <w:snapToGrid w:val="0"/>
        <w:spacing w:line="360" w:lineRule="auto"/>
        <w:rPr>
          <w:rFonts w:ascii="黑体" w:eastAsia="黑体"/>
          <w:sz w:val="32"/>
          <w:szCs w:val="32"/>
          <w:highlight w:val="none"/>
        </w:rPr>
      </w:pPr>
    </w:p>
    <w:p w14:paraId="76A94887">
      <w:pPr>
        <w:pStyle w:val="30"/>
        <w:adjustRightInd w:val="0"/>
        <w:snapToGrid w:val="0"/>
        <w:spacing w:line="360" w:lineRule="auto"/>
        <w:jc w:val="center"/>
        <w:rPr>
          <w:rFonts w:hint="eastAsia" w:ascii="方正小标宋简体" w:hAnsi="方正小标宋简体" w:eastAsia="方正小标宋简体" w:cs="方正小标宋简体"/>
          <w:b/>
          <w:bCs/>
          <w:sz w:val="72"/>
          <w:szCs w:val="72"/>
          <w:highlight w:val="none"/>
        </w:rPr>
      </w:pPr>
      <w:r>
        <w:rPr>
          <w:rFonts w:hint="eastAsia" w:ascii="方正小标宋简体" w:hAnsi="方正小标宋简体" w:eastAsia="方正小标宋简体" w:cs="方正小标宋简体"/>
          <w:b/>
          <w:bCs/>
          <w:sz w:val="72"/>
          <w:szCs w:val="72"/>
          <w:highlight w:val="none"/>
        </w:rPr>
        <w:t>政府采购</w:t>
      </w:r>
    </w:p>
    <w:p w14:paraId="3CBF4849">
      <w:pPr>
        <w:adjustRightInd w:val="0"/>
        <w:snapToGrid w:val="0"/>
        <w:spacing w:line="360" w:lineRule="auto"/>
        <w:jc w:val="center"/>
        <w:rPr>
          <w:rFonts w:hint="eastAsia" w:ascii="方正小标宋简体" w:hAnsi="方正小标宋简体" w:eastAsia="方正小标宋简体" w:cs="方正小标宋简体"/>
          <w:b/>
          <w:bCs/>
          <w:sz w:val="84"/>
          <w:szCs w:val="84"/>
          <w:highlight w:val="none"/>
        </w:rPr>
      </w:pPr>
      <w:r>
        <w:rPr>
          <w:rFonts w:hint="eastAsia" w:ascii="方正小标宋简体" w:hAnsi="方正小标宋简体" w:eastAsia="方正小标宋简体" w:cs="方正小标宋简体"/>
          <w:b/>
          <w:bCs/>
          <w:sz w:val="84"/>
          <w:szCs w:val="84"/>
          <w:highlight w:val="none"/>
        </w:rPr>
        <w:t>竞争性磋商响应文件</w:t>
      </w:r>
    </w:p>
    <w:p w14:paraId="1820B76A">
      <w:pPr>
        <w:adjustRightInd w:val="0"/>
        <w:snapToGrid w:val="0"/>
        <w:spacing w:line="360" w:lineRule="auto"/>
        <w:rPr>
          <w:rFonts w:hint="eastAsia" w:ascii="黑体" w:hAnsi="黑体" w:eastAsia="黑体"/>
          <w:b/>
          <w:sz w:val="32"/>
          <w:szCs w:val="32"/>
          <w:highlight w:val="none"/>
        </w:rPr>
      </w:pPr>
    </w:p>
    <w:p w14:paraId="3171E54C">
      <w:pPr>
        <w:adjustRightInd w:val="0"/>
        <w:snapToGrid w:val="0"/>
        <w:spacing w:line="360" w:lineRule="auto"/>
        <w:rPr>
          <w:rFonts w:hint="eastAsia" w:ascii="宋体" w:hAnsi="宋体"/>
          <w:b/>
          <w:sz w:val="32"/>
          <w:szCs w:val="32"/>
          <w:highlight w:val="none"/>
        </w:rPr>
      </w:pPr>
    </w:p>
    <w:p w14:paraId="0CF9864A">
      <w:pPr>
        <w:adjustRightInd w:val="0"/>
        <w:snapToGrid w:val="0"/>
        <w:spacing w:line="360" w:lineRule="auto"/>
        <w:ind w:firstLine="630" w:firstLineChars="196"/>
        <w:rPr>
          <w:rFonts w:hint="eastAsia" w:ascii="宋体" w:hAnsi="宋体"/>
          <w:b/>
          <w:sz w:val="32"/>
          <w:szCs w:val="32"/>
          <w:highlight w:val="none"/>
        </w:rPr>
      </w:pPr>
    </w:p>
    <w:p w14:paraId="6FDA3969">
      <w:pPr>
        <w:adjustRightInd w:val="0"/>
        <w:snapToGrid w:val="0"/>
        <w:spacing w:line="360" w:lineRule="auto"/>
        <w:ind w:left="2881" w:leftChars="304" w:hanging="2243" w:hangingChars="701"/>
        <w:rPr>
          <w:rFonts w:hint="eastAsia" w:ascii="宋体" w:hAnsi="宋体" w:eastAsia="宋体" w:cs="宋体"/>
          <w:bCs/>
          <w:sz w:val="32"/>
          <w:szCs w:val="32"/>
          <w:highlight w:val="none"/>
          <w:lang w:eastAsia="zh-CN"/>
        </w:rPr>
      </w:pPr>
      <w:r>
        <w:rPr>
          <w:rFonts w:hint="eastAsia" w:ascii="宋体" w:hAnsi="宋体" w:cs="宋体"/>
          <w:bCs/>
          <w:sz w:val="32"/>
          <w:szCs w:val="32"/>
          <w:highlight w:val="none"/>
        </w:rPr>
        <w:t>采购项目名称：</w:t>
      </w:r>
      <w:r>
        <w:rPr>
          <w:rFonts w:hint="eastAsia" w:ascii="宋体" w:hAnsi="宋体" w:cs="宋体"/>
          <w:bCs/>
          <w:sz w:val="32"/>
          <w:szCs w:val="32"/>
          <w:highlight w:val="none"/>
          <w:lang w:eastAsia="zh-CN"/>
        </w:rPr>
        <w:t>湖南省重点污染源自动监控系统运维服务项目</w:t>
      </w:r>
    </w:p>
    <w:p w14:paraId="46EB8BD0">
      <w:pPr>
        <w:adjustRightInd w:val="0"/>
        <w:snapToGrid w:val="0"/>
        <w:spacing w:line="360" w:lineRule="auto"/>
        <w:ind w:firstLine="627" w:firstLineChars="196"/>
        <w:rPr>
          <w:rFonts w:hint="eastAsia" w:ascii="宋体" w:hAnsi="宋体" w:cs="宋体"/>
          <w:bCs/>
          <w:sz w:val="32"/>
          <w:szCs w:val="32"/>
          <w:highlight w:val="none"/>
        </w:rPr>
      </w:pPr>
      <w:r>
        <w:rPr>
          <w:rFonts w:hint="eastAsia" w:ascii="宋体" w:hAnsi="宋体" w:cs="宋体"/>
          <w:bCs/>
          <w:sz w:val="32"/>
          <w:szCs w:val="32"/>
          <w:highlight w:val="none"/>
        </w:rPr>
        <w:t>政府采购编号：湘财采计[2026]00 号</w:t>
      </w:r>
    </w:p>
    <w:p w14:paraId="3654379C">
      <w:pPr>
        <w:adjustRightInd w:val="0"/>
        <w:snapToGrid w:val="0"/>
        <w:spacing w:line="360" w:lineRule="auto"/>
        <w:ind w:firstLine="627" w:firstLineChars="196"/>
        <w:rPr>
          <w:rFonts w:hint="eastAsia" w:ascii="宋体" w:hAnsi="宋体" w:eastAsia="宋体" w:cs="宋体"/>
          <w:bCs/>
          <w:sz w:val="32"/>
          <w:szCs w:val="32"/>
          <w:highlight w:val="none"/>
          <w:lang w:eastAsia="zh-CN"/>
        </w:rPr>
      </w:pPr>
      <w:r>
        <w:rPr>
          <w:rFonts w:hint="eastAsia" w:ascii="宋体" w:hAnsi="宋体" w:cs="宋体"/>
          <w:bCs/>
          <w:sz w:val="32"/>
          <w:szCs w:val="32"/>
          <w:highlight w:val="none"/>
        </w:rPr>
        <w:t>采购代理编号：</w:t>
      </w:r>
      <w:r>
        <w:rPr>
          <w:rFonts w:hint="eastAsia" w:ascii="宋体" w:hAnsi="宋体" w:cs="宋体"/>
          <w:bCs/>
          <w:sz w:val="32"/>
          <w:szCs w:val="32"/>
          <w:highlight w:val="none"/>
          <w:lang w:eastAsia="zh-CN"/>
        </w:rPr>
        <w:t>CSGS-2026ZC003</w:t>
      </w:r>
    </w:p>
    <w:p w14:paraId="02027572">
      <w:pPr>
        <w:adjustRightInd w:val="0"/>
        <w:snapToGrid w:val="0"/>
        <w:spacing w:line="360" w:lineRule="auto"/>
        <w:ind w:firstLine="313" w:firstLineChars="98"/>
        <w:rPr>
          <w:rFonts w:hint="eastAsia" w:ascii="宋体" w:hAnsi="宋体" w:eastAsia="宋体" w:cs="宋体"/>
          <w:bCs/>
          <w:sz w:val="32"/>
          <w:szCs w:val="32"/>
          <w:highlight w:val="none"/>
          <w:lang w:eastAsia="zh-CN"/>
        </w:rPr>
      </w:pPr>
      <w:r>
        <w:rPr>
          <w:rFonts w:hint="eastAsia" w:ascii="宋体" w:hAnsi="宋体" w:cs="宋体"/>
          <w:bCs/>
          <w:sz w:val="32"/>
          <w:szCs w:val="32"/>
          <w:highlight w:val="none"/>
        </w:rPr>
        <w:t xml:space="preserve">  采   购   人：</w:t>
      </w:r>
      <w:r>
        <w:rPr>
          <w:rFonts w:hint="eastAsia" w:ascii="宋体" w:hAnsi="宋体" w:cs="宋体"/>
          <w:bCs/>
          <w:sz w:val="32"/>
          <w:szCs w:val="32"/>
          <w:highlight w:val="none"/>
          <w:lang w:eastAsia="zh-CN"/>
        </w:rPr>
        <w:t>湖南省环境应急与事故调查中心</w:t>
      </w:r>
    </w:p>
    <w:p w14:paraId="7958EC22">
      <w:pPr>
        <w:adjustRightInd w:val="0"/>
        <w:snapToGrid w:val="0"/>
        <w:spacing w:line="360" w:lineRule="auto"/>
        <w:ind w:firstLine="313" w:firstLineChars="98"/>
        <w:rPr>
          <w:rFonts w:hint="eastAsia" w:ascii="宋体" w:hAnsi="宋体" w:eastAsia="宋体" w:cs="宋体"/>
          <w:bCs/>
          <w:sz w:val="32"/>
          <w:szCs w:val="32"/>
          <w:highlight w:val="none"/>
          <w:lang w:eastAsia="zh-CN"/>
        </w:rPr>
      </w:pPr>
      <w:r>
        <w:rPr>
          <w:rFonts w:hint="eastAsia" w:ascii="宋体" w:hAnsi="宋体" w:cs="宋体"/>
          <w:bCs/>
          <w:sz w:val="32"/>
          <w:szCs w:val="32"/>
          <w:highlight w:val="none"/>
        </w:rPr>
        <w:t xml:space="preserve">  采购代理机构：</w:t>
      </w:r>
      <w:r>
        <w:rPr>
          <w:rFonts w:hint="eastAsia" w:ascii="宋体" w:hAnsi="宋体" w:cs="宋体"/>
          <w:bCs/>
          <w:sz w:val="32"/>
          <w:szCs w:val="32"/>
          <w:highlight w:val="none"/>
          <w:lang w:eastAsia="zh-CN"/>
        </w:rPr>
        <w:t>长沙广厦建设工程招标代理有限公司</w:t>
      </w:r>
    </w:p>
    <w:p w14:paraId="4134FBA5">
      <w:pPr>
        <w:adjustRightInd w:val="0"/>
        <w:snapToGrid w:val="0"/>
        <w:spacing w:line="360" w:lineRule="auto"/>
        <w:ind w:firstLine="315" w:firstLineChars="98"/>
        <w:rPr>
          <w:rFonts w:hint="eastAsia" w:ascii="宋体" w:hAnsi="宋体"/>
          <w:b/>
          <w:sz w:val="32"/>
          <w:szCs w:val="32"/>
          <w:highlight w:val="none"/>
        </w:rPr>
      </w:pPr>
    </w:p>
    <w:p w14:paraId="491FE54B">
      <w:pPr>
        <w:adjustRightInd w:val="0"/>
        <w:snapToGrid w:val="0"/>
        <w:spacing w:line="360" w:lineRule="auto"/>
        <w:rPr>
          <w:rFonts w:hint="eastAsia" w:ascii="黑体" w:hAnsi="宋体" w:eastAsia="黑体"/>
          <w:sz w:val="30"/>
          <w:szCs w:val="30"/>
          <w:highlight w:val="none"/>
        </w:rPr>
      </w:pPr>
    </w:p>
    <w:p w14:paraId="6B138EC0">
      <w:pPr>
        <w:adjustRightInd w:val="0"/>
        <w:snapToGrid w:val="0"/>
        <w:spacing w:line="360" w:lineRule="auto"/>
        <w:rPr>
          <w:rFonts w:hint="eastAsia" w:ascii="黑体" w:hAnsi="宋体" w:eastAsia="黑体"/>
          <w:sz w:val="30"/>
          <w:szCs w:val="30"/>
          <w:highlight w:val="none"/>
        </w:rPr>
      </w:pPr>
    </w:p>
    <w:p w14:paraId="1B2592B2">
      <w:pPr>
        <w:adjustRightInd w:val="0"/>
        <w:snapToGrid w:val="0"/>
        <w:spacing w:line="360" w:lineRule="auto"/>
        <w:ind w:firstLine="320" w:firstLineChars="100"/>
        <w:rPr>
          <w:rFonts w:hint="eastAsia" w:ascii="隶书" w:hAnsi="黑体" w:eastAsia="隶书"/>
          <w:sz w:val="32"/>
          <w:szCs w:val="32"/>
          <w:highlight w:val="none"/>
          <w:u w:val="single"/>
        </w:rPr>
      </w:pPr>
      <w:r>
        <w:rPr>
          <w:rFonts w:hint="eastAsia" w:ascii="隶书" w:hAnsi="黑体" w:eastAsia="隶书"/>
          <w:sz w:val="32"/>
          <w:szCs w:val="32"/>
          <w:highlight w:val="none"/>
        </w:rPr>
        <w:t>供应商</w:t>
      </w:r>
    </w:p>
    <w:p w14:paraId="24987E40">
      <w:pPr>
        <w:jc w:val="center"/>
        <w:rPr>
          <w:rFonts w:hint="eastAsia" w:ascii="隶书" w:hAnsi="黑体" w:eastAsia="隶书"/>
          <w:sz w:val="32"/>
          <w:szCs w:val="32"/>
          <w:highlight w:val="none"/>
        </w:rPr>
      </w:pPr>
      <w:r>
        <w:rPr>
          <w:rFonts w:hint="eastAsia" w:ascii="隶书" w:hAnsi="黑体" w:eastAsia="隶书"/>
          <w:sz w:val="32"/>
          <w:szCs w:val="32"/>
          <w:highlight w:val="none"/>
        </w:rPr>
        <w:t>年  月  日</w:t>
      </w:r>
    </w:p>
    <w:p w14:paraId="42B89E3B">
      <w:pPr>
        <w:pStyle w:val="8"/>
        <w:rPr>
          <w:rFonts w:hint="eastAsia" w:ascii="黑体" w:hAnsi="黑体" w:eastAsia="黑体"/>
          <w:sz w:val="21"/>
          <w:szCs w:val="21"/>
          <w:highlight w:val="none"/>
        </w:rPr>
      </w:pPr>
      <w:r>
        <w:rPr>
          <w:rFonts w:hAnsi="宋体"/>
          <w:highlight w:val="none"/>
        </w:rPr>
        <w:br w:type="page"/>
      </w:r>
      <w:bookmarkStart w:id="428" w:name="_Toc22201151"/>
      <w:bookmarkStart w:id="429" w:name="_Toc4336"/>
      <w:bookmarkStart w:id="430" w:name="_Toc8227"/>
      <w:bookmarkStart w:id="431" w:name="_Toc27550"/>
      <w:bookmarkStart w:id="432" w:name="_Toc24965"/>
      <w:r>
        <w:rPr>
          <w:rFonts w:hint="eastAsia" w:ascii="黑体" w:hAnsi="黑体" w:eastAsia="黑体"/>
          <w:sz w:val="21"/>
          <w:szCs w:val="21"/>
          <w:highlight w:val="none"/>
        </w:rPr>
        <w:t>索引表 符合性审查索引表</w:t>
      </w:r>
      <w:bookmarkEnd w:id="428"/>
      <w:bookmarkEnd w:id="429"/>
      <w:bookmarkEnd w:id="430"/>
      <w:bookmarkEnd w:id="431"/>
      <w:bookmarkEnd w:id="432"/>
    </w:p>
    <w:p w14:paraId="6B1299DB">
      <w:pPr>
        <w:adjustRightInd w:val="0"/>
        <w:spacing w:before="120" w:beforeLines="50" w:line="360" w:lineRule="auto"/>
        <w:jc w:val="center"/>
        <w:rPr>
          <w:rFonts w:hint="eastAsia" w:ascii="黑体" w:hAnsi="黑体" w:eastAsia="黑体"/>
          <w:b/>
          <w:sz w:val="28"/>
          <w:szCs w:val="28"/>
          <w:highlight w:val="none"/>
        </w:rPr>
      </w:pPr>
      <w:r>
        <w:rPr>
          <w:rFonts w:hint="eastAsia" w:ascii="黑体" w:hAnsi="黑体" w:eastAsia="黑体"/>
          <w:b/>
          <w:sz w:val="28"/>
          <w:szCs w:val="28"/>
          <w:highlight w:val="none"/>
        </w:rPr>
        <w:t>符合性审查索引表</w:t>
      </w:r>
    </w:p>
    <w:tbl>
      <w:tblPr>
        <w:tblStyle w:val="48"/>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6CDCC3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vAlign w:val="center"/>
          </w:tcPr>
          <w:p w14:paraId="4D2A04F6">
            <w:pPr>
              <w:adjustRightInd w:val="0"/>
              <w:snapToGrid w:val="0"/>
              <w:spacing w:before="120" w:beforeLines="50" w:line="360" w:lineRule="auto"/>
              <w:jc w:val="center"/>
              <w:rPr>
                <w:rFonts w:hint="eastAsia" w:ascii="宋体" w:hAnsi="宋体"/>
                <w:b/>
                <w:kern w:val="0"/>
                <w:szCs w:val="21"/>
                <w:highlight w:val="none"/>
              </w:rPr>
            </w:pPr>
            <w:r>
              <w:rPr>
                <w:rFonts w:hint="eastAsia" w:ascii="宋体" w:hAnsi="宋体"/>
                <w:b/>
                <w:kern w:val="0"/>
                <w:szCs w:val="21"/>
                <w:highlight w:val="none"/>
              </w:rPr>
              <w:t>序号</w:t>
            </w:r>
          </w:p>
        </w:tc>
        <w:tc>
          <w:tcPr>
            <w:tcW w:w="1871" w:type="dxa"/>
            <w:tcBorders>
              <w:right w:val="single" w:color="auto" w:sz="4" w:space="0"/>
            </w:tcBorders>
            <w:vAlign w:val="center"/>
          </w:tcPr>
          <w:p w14:paraId="3515A54B">
            <w:pPr>
              <w:adjustRightInd w:val="0"/>
              <w:snapToGrid w:val="0"/>
              <w:spacing w:before="120" w:beforeLines="50" w:line="360" w:lineRule="auto"/>
              <w:jc w:val="center"/>
              <w:rPr>
                <w:rFonts w:hint="eastAsia" w:ascii="宋体" w:hAnsi="宋体"/>
                <w:b/>
                <w:kern w:val="0"/>
                <w:sz w:val="20"/>
                <w:szCs w:val="21"/>
                <w:highlight w:val="none"/>
              </w:rPr>
            </w:pPr>
            <w:r>
              <w:rPr>
                <w:rFonts w:hint="eastAsia" w:ascii="宋体" w:hAnsi="宋体"/>
                <w:b/>
                <w:kern w:val="0"/>
                <w:sz w:val="20"/>
                <w:szCs w:val="21"/>
                <w:highlight w:val="none"/>
              </w:rPr>
              <w:t>磋商文件条款号</w:t>
            </w:r>
          </w:p>
        </w:tc>
        <w:tc>
          <w:tcPr>
            <w:tcW w:w="2410" w:type="dxa"/>
            <w:tcBorders>
              <w:left w:val="single" w:color="auto" w:sz="4" w:space="0"/>
            </w:tcBorders>
            <w:vAlign w:val="center"/>
          </w:tcPr>
          <w:p w14:paraId="09FA706A">
            <w:pPr>
              <w:adjustRightInd w:val="0"/>
              <w:snapToGrid w:val="0"/>
              <w:spacing w:before="120" w:beforeLines="50" w:line="360" w:lineRule="auto"/>
              <w:jc w:val="center"/>
              <w:rPr>
                <w:rFonts w:hint="eastAsia" w:ascii="宋体" w:hAnsi="宋体"/>
                <w:b/>
                <w:kern w:val="0"/>
                <w:sz w:val="20"/>
                <w:szCs w:val="21"/>
                <w:highlight w:val="none"/>
              </w:rPr>
            </w:pPr>
            <w:r>
              <w:rPr>
                <w:rFonts w:hint="eastAsia" w:ascii="宋体" w:hAnsi="宋体"/>
                <w:b/>
                <w:kern w:val="0"/>
                <w:szCs w:val="21"/>
                <w:highlight w:val="none"/>
              </w:rPr>
              <w:t>审查内容及标准</w:t>
            </w:r>
          </w:p>
        </w:tc>
        <w:tc>
          <w:tcPr>
            <w:tcW w:w="2268" w:type="dxa"/>
            <w:vAlign w:val="center"/>
          </w:tcPr>
          <w:p w14:paraId="0C0754AB">
            <w:pPr>
              <w:adjustRightInd w:val="0"/>
              <w:snapToGrid w:val="0"/>
              <w:spacing w:before="120" w:beforeLines="50" w:line="360" w:lineRule="auto"/>
              <w:jc w:val="center"/>
              <w:rPr>
                <w:rFonts w:hint="eastAsia" w:ascii="宋体" w:hAnsi="宋体"/>
                <w:b/>
                <w:kern w:val="0"/>
                <w:szCs w:val="21"/>
                <w:highlight w:val="none"/>
              </w:rPr>
            </w:pPr>
            <w:r>
              <w:rPr>
                <w:rFonts w:hint="eastAsia" w:ascii="宋体" w:hAnsi="宋体"/>
                <w:b/>
                <w:kern w:val="0"/>
                <w:szCs w:val="21"/>
                <w:highlight w:val="none"/>
              </w:rPr>
              <w:t>响应文件及证明材料</w:t>
            </w:r>
          </w:p>
        </w:tc>
        <w:tc>
          <w:tcPr>
            <w:tcW w:w="1722" w:type="dxa"/>
            <w:vAlign w:val="center"/>
          </w:tcPr>
          <w:p w14:paraId="1942DB56">
            <w:pPr>
              <w:adjustRightInd w:val="0"/>
              <w:snapToGrid w:val="0"/>
              <w:spacing w:before="120" w:beforeLines="50" w:line="360" w:lineRule="auto"/>
              <w:jc w:val="center"/>
              <w:rPr>
                <w:rFonts w:hint="eastAsia" w:ascii="宋体" w:hAnsi="宋体"/>
                <w:b/>
                <w:kern w:val="0"/>
                <w:sz w:val="20"/>
                <w:szCs w:val="21"/>
                <w:highlight w:val="none"/>
              </w:rPr>
            </w:pPr>
            <w:r>
              <w:rPr>
                <w:rFonts w:hint="eastAsia" w:ascii="宋体" w:hAnsi="宋体"/>
                <w:b/>
                <w:kern w:val="0"/>
                <w:szCs w:val="21"/>
                <w:highlight w:val="none"/>
              </w:rPr>
              <w:t>响应文件对应内容的册及页码</w:t>
            </w:r>
          </w:p>
        </w:tc>
      </w:tr>
      <w:tr w14:paraId="1BD8E6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2C0B316F">
            <w:pPr>
              <w:adjustRightInd w:val="0"/>
              <w:snapToGrid w:val="0"/>
              <w:spacing w:before="120" w:beforeLines="50" w:line="360" w:lineRule="auto"/>
              <w:jc w:val="center"/>
              <w:rPr>
                <w:rFonts w:hint="eastAsia" w:ascii="宋体" w:hAnsi="宋体"/>
                <w:kern w:val="0"/>
                <w:szCs w:val="21"/>
                <w:highlight w:val="none"/>
              </w:rPr>
            </w:pPr>
          </w:p>
        </w:tc>
        <w:tc>
          <w:tcPr>
            <w:tcW w:w="1871" w:type="dxa"/>
            <w:tcBorders>
              <w:right w:val="single" w:color="auto" w:sz="4" w:space="0"/>
            </w:tcBorders>
          </w:tcPr>
          <w:p w14:paraId="03A879F9">
            <w:pPr>
              <w:adjustRightInd w:val="0"/>
              <w:snapToGrid w:val="0"/>
              <w:spacing w:before="120" w:beforeLines="50" w:line="360" w:lineRule="auto"/>
              <w:jc w:val="center"/>
              <w:rPr>
                <w:rFonts w:hint="eastAsia" w:ascii="宋体" w:hAnsi="宋体"/>
                <w:kern w:val="0"/>
                <w:sz w:val="20"/>
                <w:szCs w:val="21"/>
                <w:highlight w:val="none"/>
              </w:rPr>
            </w:pPr>
          </w:p>
        </w:tc>
        <w:tc>
          <w:tcPr>
            <w:tcW w:w="2410" w:type="dxa"/>
            <w:tcBorders>
              <w:left w:val="single" w:color="auto" w:sz="4" w:space="0"/>
            </w:tcBorders>
          </w:tcPr>
          <w:p w14:paraId="694AC542">
            <w:pPr>
              <w:adjustRightInd w:val="0"/>
              <w:snapToGrid w:val="0"/>
              <w:spacing w:before="120" w:beforeLines="50" w:line="360" w:lineRule="auto"/>
              <w:jc w:val="center"/>
              <w:rPr>
                <w:rFonts w:hint="eastAsia" w:ascii="宋体" w:hAnsi="宋体"/>
                <w:kern w:val="0"/>
                <w:sz w:val="20"/>
                <w:szCs w:val="21"/>
                <w:highlight w:val="none"/>
              </w:rPr>
            </w:pPr>
          </w:p>
        </w:tc>
        <w:tc>
          <w:tcPr>
            <w:tcW w:w="2268" w:type="dxa"/>
          </w:tcPr>
          <w:p w14:paraId="09920EDA">
            <w:pPr>
              <w:adjustRightInd w:val="0"/>
              <w:snapToGrid w:val="0"/>
              <w:spacing w:before="120" w:beforeLines="50" w:line="360" w:lineRule="auto"/>
              <w:jc w:val="center"/>
              <w:rPr>
                <w:rFonts w:hint="eastAsia" w:ascii="宋体" w:hAnsi="宋体"/>
                <w:kern w:val="0"/>
                <w:szCs w:val="21"/>
                <w:highlight w:val="none"/>
              </w:rPr>
            </w:pPr>
          </w:p>
        </w:tc>
        <w:tc>
          <w:tcPr>
            <w:tcW w:w="1722" w:type="dxa"/>
          </w:tcPr>
          <w:p w14:paraId="5542BE79">
            <w:pPr>
              <w:adjustRightInd w:val="0"/>
              <w:snapToGrid w:val="0"/>
              <w:spacing w:before="120" w:beforeLines="50" w:line="360" w:lineRule="auto"/>
              <w:jc w:val="center"/>
              <w:rPr>
                <w:rFonts w:hint="eastAsia" w:ascii="宋体" w:hAnsi="宋体"/>
                <w:kern w:val="0"/>
                <w:sz w:val="20"/>
                <w:szCs w:val="21"/>
                <w:highlight w:val="none"/>
              </w:rPr>
            </w:pPr>
          </w:p>
        </w:tc>
      </w:tr>
      <w:tr w14:paraId="2BB53A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3E8944A0">
            <w:pPr>
              <w:adjustRightInd w:val="0"/>
              <w:snapToGrid w:val="0"/>
              <w:spacing w:before="120" w:beforeLines="50" w:line="360" w:lineRule="auto"/>
              <w:jc w:val="center"/>
              <w:rPr>
                <w:rFonts w:hint="eastAsia" w:ascii="宋体" w:hAnsi="宋体"/>
                <w:kern w:val="0"/>
                <w:sz w:val="20"/>
                <w:szCs w:val="21"/>
                <w:highlight w:val="none"/>
              </w:rPr>
            </w:pPr>
          </w:p>
        </w:tc>
        <w:tc>
          <w:tcPr>
            <w:tcW w:w="1871" w:type="dxa"/>
            <w:tcBorders>
              <w:right w:val="single" w:color="auto" w:sz="4" w:space="0"/>
            </w:tcBorders>
          </w:tcPr>
          <w:p w14:paraId="45760C1B">
            <w:pPr>
              <w:adjustRightInd w:val="0"/>
              <w:snapToGrid w:val="0"/>
              <w:spacing w:before="120" w:beforeLines="50" w:line="360" w:lineRule="auto"/>
              <w:jc w:val="center"/>
              <w:rPr>
                <w:rFonts w:hint="eastAsia" w:ascii="宋体" w:hAnsi="宋体"/>
                <w:kern w:val="0"/>
                <w:sz w:val="20"/>
                <w:szCs w:val="21"/>
                <w:highlight w:val="none"/>
              </w:rPr>
            </w:pPr>
          </w:p>
        </w:tc>
        <w:tc>
          <w:tcPr>
            <w:tcW w:w="2410" w:type="dxa"/>
            <w:tcBorders>
              <w:left w:val="single" w:color="auto" w:sz="4" w:space="0"/>
            </w:tcBorders>
          </w:tcPr>
          <w:p w14:paraId="12B6F7F5">
            <w:pPr>
              <w:adjustRightInd w:val="0"/>
              <w:snapToGrid w:val="0"/>
              <w:spacing w:before="120" w:beforeLines="50" w:line="360" w:lineRule="auto"/>
              <w:jc w:val="center"/>
              <w:rPr>
                <w:rFonts w:hint="eastAsia" w:ascii="宋体" w:hAnsi="宋体"/>
                <w:kern w:val="0"/>
                <w:sz w:val="20"/>
                <w:szCs w:val="21"/>
                <w:highlight w:val="none"/>
              </w:rPr>
            </w:pPr>
          </w:p>
        </w:tc>
        <w:tc>
          <w:tcPr>
            <w:tcW w:w="2268" w:type="dxa"/>
          </w:tcPr>
          <w:p w14:paraId="6637CC53">
            <w:pPr>
              <w:adjustRightInd w:val="0"/>
              <w:snapToGrid w:val="0"/>
              <w:spacing w:before="120" w:beforeLines="50" w:line="360" w:lineRule="auto"/>
              <w:jc w:val="center"/>
              <w:rPr>
                <w:rFonts w:hint="eastAsia" w:ascii="宋体" w:hAnsi="宋体"/>
                <w:kern w:val="0"/>
                <w:sz w:val="20"/>
                <w:szCs w:val="21"/>
                <w:highlight w:val="none"/>
              </w:rPr>
            </w:pPr>
          </w:p>
        </w:tc>
        <w:tc>
          <w:tcPr>
            <w:tcW w:w="1722" w:type="dxa"/>
          </w:tcPr>
          <w:p w14:paraId="794DB73E">
            <w:pPr>
              <w:adjustRightInd w:val="0"/>
              <w:snapToGrid w:val="0"/>
              <w:spacing w:before="120" w:beforeLines="50" w:line="360" w:lineRule="auto"/>
              <w:jc w:val="center"/>
              <w:rPr>
                <w:rFonts w:hint="eastAsia" w:ascii="宋体" w:hAnsi="宋体"/>
                <w:kern w:val="0"/>
                <w:sz w:val="20"/>
                <w:szCs w:val="21"/>
                <w:highlight w:val="none"/>
              </w:rPr>
            </w:pPr>
          </w:p>
        </w:tc>
      </w:tr>
      <w:tr w14:paraId="69FF49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01E26543">
            <w:pPr>
              <w:adjustRightInd w:val="0"/>
              <w:snapToGrid w:val="0"/>
              <w:spacing w:before="120" w:beforeLines="50" w:line="360" w:lineRule="auto"/>
              <w:jc w:val="center"/>
              <w:rPr>
                <w:rFonts w:hint="eastAsia" w:ascii="宋体" w:hAnsi="宋体"/>
                <w:kern w:val="0"/>
                <w:sz w:val="20"/>
                <w:szCs w:val="21"/>
                <w:highlight w:val="none"/>
              </w:rPr>
            </w:pPr>
          </w:p>
        </w:tc>
        <w:tc>
          <w:tcPr>
            <w:tcW w:w="1871" w:type="dxa"/>
            <w:tcBorders>
              <w:right w:val="single" w:color="auto" w:sz="4" w:space="0"/>
            </w:tcBorders>
          </w:tcPr>
          <w:p w14:paraId="35F41B6E">
            <w:pPr>
              <w:adjustRightInd w:val="0"/>
              <w:snapToGrid w:val="0"/>
              <w:spacing w:before="120" w:beforeLines="50" w:line="360" w:lineRule="auto"/>
              <w:jc w:val="center"/>
              <w:rPr>
                <w:rFonts w:hint="eastAsia" w:ascii="宋体" w:hAnsi="宋体"/>
                <w:kern w:val="0"/>
                <w:sz w:val="20"/>
                <w:szCs w:val="21"/>
                <w:highlight w:val="none"/>
              </w:rPr>
            </w:pPr>
          </w:p>
        </w:tc>
        <w:tc>
          <w:tcPr>
            <w:tcW w:w="2410" w:type="dxa"/>
            <w:tcBorders>
              <w:left w:val="single" w:color="auto" w:sz="4" w:space="0"/>
            </w:tcBorders>
          </w:tcPr>
          <w:p w14:paraId="3028ADF3">
            <w:pPr>
              <w:adjustRightInd w:val="0"/>
              <w:snapToGrid w:val="0"/>
              <w:spacing w:before="120" w:beforeLines="50" w:line="360" w:lineRule="auto"/>
              <w:jc w:val="center"/>
              <w:rPr>
                <w:rFonts w:hint="eastAsia" w:ascii="宋体" w:hAnsi="宋体"/>
                <w:kern w:val="0"/>
                <w:sz w:val="20"/>
                <w:szCs w:val="21"/>
                <w:highlight w:val="none"/>
              </w:rPr>
            </w:pPr>
          </w:p>
        </w:tc>
        <w:tc>
          <w:tcPr>
            <w:tcW w:w="2268" w:type="dxa"/>
          </w:tcPr>
          <w:p w14:paraId="56351883">
            <w:pPr>
              <w:adjustRightInd w:val="0"/>
              <w:snapToGrid w:val="0"/>
              <w:spacing w:before="120" w:beforeLines="50" w:line="360" w:lineRule="auto"/>
              <w:jc w:val="center"/>
              <w:rPr>
                <w:rFonts w:hint="eastAsia" w:ascii="宋体" w:hAnsi="宋体"/>
                <w:kern w:val="0"/>
                <w:sz w:val="20"/>
                <w:szCs w:val="21"/>
                <w:highlight w:val="none"/>
              </w:rPr>
            </w:pPr>
          </w:p>
        </w:tc>
        <w:tc>
          <w:tcPr>
            <w:tcW w:w="1722" w:type="dxa"/>
          </w:tcPr>
          <w:p w14:paraId="3D9D909F">
            <w:pPr>
              <w:adjustRightInd w:val="0"/>
              <w:snapToGrid w:val="0"/>
              <w:spacing w:before="120" w:beforeLines="50" w:line="360" w:lineRule="auto"/>
              <w:jc w:val="center"/>
              <w:rPr>
                <w:rFonts w:hint="eastAsia" w:ascii="宋体" w:hAnsi="宋体"/>
                <w:kern w:val="0"/>
                <w:sz w:val="20"/>
                <w:szCs w:val="21"/>
                <w:highlight w:val="none"/>
              </w:rPr>
            </w:pPr>
          </w:p>
        </w:tc>
      </w:tr>
      <w:tr w14:paraId="494092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057FEDD8">
            <w:pPr>
              <w:adjustRightInd w:val="0"/>
              <w:snapToGrid w:val="0"/>
              <w:spacing w:before="120" w:beforeLines="50" w:line="360" w:lineRule="auto"/>
              <w:jc w:val="center"/>
              <w:rPr>
                <w:rFonts w:hint="eastAsia" w:ascii="宋体" w:hAnsi="宋体"/>
                <w:kern w:val="0"/>
                <w:sz w:val="20"/>
                <w:szCs w:val="21"/>
                <w:highlight w:val="none"/>
              </w:rPr>
            </w:pPr>
          </w:p>
        </w:tc>
        <w:tc>
          <w:tcPr>
            <w:tcW w:w="1871" w:type="dxa"/>
            <w:tcBorders>
              <w:right w:val="single" w:color="auto" w:sz="4" w:space="0"/>
            </w:tcBorders>
          </w:tcPr>
          <w:p w14:paraId="6B62F878">
            <w:pPr>
              <w:adjustRightInd w:val="0"/>
              <w:snapToGrid w:val="0"/>
              <w:spacing w:before="120" w:beforeLines="50" w:line="360" w:lineRule="auto"/>
              <w:jc w:val="center"/>
              <w:rPr>
                <w:rFonts w:hint="eastAsia" w:ascii="宋体" w:hAnsi="宋体"/>
                <w:kern w:val="0"/>
                <w:sz w:val="20"/>
                <w:szCs w:val="21"/>
                <w:highlight w:val="none"/>
              </w:rPr>
            </w:pPr>
          </w:p>
        </w:tc>
        <w:tc>
          <w:tcPr>
            <w:tcW w:w="2410" w:type="dxa"/>
            <w:tcBorders>
              <w:left w:val="single" w:color="auto" w:sz="4" w:space="0"/>
            </w:tcBorders>
          </w:tcPr>
          <w:p w14:paraId="15A39C3D">
            <w:pPr>
              <w:adjustRightInd w:val="0"/>
              <w:snapToGrid w:val="0"/>
              <w:spacing w:before="120" w:beforeLines="50" w:line="360" w:lineRule="auto"/>
              <w:jc w:val="center"/>
              <w:rPr>
                <w:rFonts w:hint="eastAsia" w:ascii="宋体" w:hAnsi="宋体"/>
                <w:kern w:val="0"/>
                <w:sz w:val="20"/>
                <w:szCs w:val="21"/>
                <w:highlight w:val="none"/>
              </w:rPr>
            </w:pPr>
          </w:p>
        </w:tc>
        <w:tc>
          <w:tcPr>
            <w:tcW w:w="2268" w:type="dxa"/>
          </w:tcPr>
          <w:p w14:paraId="04E4465B">
            <w:pPr>
              <w:adjustRightInd w:val="0"/>
              <w:snapToGrid w:val="0"/>
              <w:spacing w:before="120" w:beforeLines="50" w:line="360" w:lineRule="auto"/>
              <w:jc w:val="center"/>
              <w:rPr>
                <w:rFonts w:hint="eastAsia" w:ascii="宋体" w:hAnsi="宋体"/>
                <w:kern w:val="0"/>
                <w:sz w:val="20"/>
                <w:szCs w:val="21"/>
                <w:highlight w:val="none"/>
              </w:rPr>
            </w:pPr>
          </w:p>
        </w:tc>
        <w:tc>
          <w:tcPr>
            <w:tcW w:w="1722" w:type="dxa"/>
          </w:tcPr>
          <w:p w14:paraId="6BC120E0">
            <w:pPr>
              <w:adjustRightInd w:val="0"/>
              <w:snapToGrid w:val="0"/>
              <w:spacing w:before="120" w:beforeLines="50" w:line="360" w:lineRule="auto"/>
              <w:jc w:val="center"/>
              <w:rPr>
                <w:rFonts w:hint="eastAsia" w:ascii="宋体" w:hAnsi="宋体"/>
                <w:kern w:val="0"/>
                <w:sz w:val="20"/>
                <w:szCs w:val="21"/>
                <w:highlight w:val="none"/>
              </w:rPr>
            </w:pPr>
          </w:p>
        </w:tc>
      </w:tr>
      <w:tr w14:paraId="3F62F2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12624DD6">
            <w:pPr>
              <w:adjustRightInd w:val="0"/>
              <w:snapToGrid w:val="0"/>
              <w:spacing w:before="120" w:beforeLines="50" w:line="360" w:lineRule="auto"/>
              <w:jc w:val="center"/>
              <w:rPr>
                <w:rFonts w:hint="eastAsia" w:ascii="宋体" w:hAnsi="宋体"/>
                <w:kern w:val="0"/>
                <w:sz w:val="20"/>
                <w:szCs w:val="21"/>
                <w:highlight w:val="none"/>
              </w:rPr>
            </w:pPr>
          </w:p>
        </w:tc>
        <w:tc>
          <w:tcPr>
            <w:tcW w:w="1871" w:type="dxa"/>
            <w:tcBorders>
              <w:right w:val="single" w:color="auto" w:sz="4" w:space="0"/>
            </w:tcBorders>
          </w:tcPr>
          <w:p w14:paraId="4E2C14E3">
            <w:pPr>
              <w:adjustRightInd w:val="0"/>
              <w:snapToGrid w:val="0"/>
              <w:spacing w:before="120" w:beforeLines="50" w:line="360" w:lineRule="auto"/>
              <w:jc w:val="center"/>
              <w:rPr>
                <w:rFonts w:hint="eastAsia" w:ascii="宋体" w:hAnsi="宋体"/>
                <w:kern w:val="0"/>
                <w:sz w:val="20"/>
                <w:szCs w:val="21"/>
                <w:highlight w:val="none"/>
              </w:rPr>
            </w:pPr>
          </w:p>
        </w:tc>
        <w:tc>
          <w:tcPr>
            <w:tcW w:w="2410" w:type="dxa"/>
            <w:tcBorders>
              <w:left w:val="single" w:color="auto" w:sz="4" w:space="0"/>
            </w:tcBorders>
          </w:tcPr>
          <w:p w14:paraId="42FF2F54">
            <w:pPr>
              <w:adjustRightInd w:val="0"/>
              <w:snapToGrid w:val="0"/>
              <w:spacing w:before="120" w:beforeLines="50" w:line="360" w:lineRule="auto"/>
              <w:jc w:val="center"/>
              <w:rPr>
                <w:rFonts w:hint="eastAsia" w:ascii="宋体" w:hAnsi="宋体"/>
                <w:kern w:val="0"/>
                <w:sz w:val="20"/>
                <w:szCs w:val="21"/>
                <w:highlight w:val="none"/>
              </w:rPr>
            </w:pPr>
          </w:p>
        </w:tc>
        <w:tc>
          <w:tcPr>
            <w:tcW w:w="2268" w:type="dxa"/>
          </w:tcPr>
          <w:p w14:paraId="3D1F87EE">
            <w:pPr>
              <w:adjustRightInd w:val="0"/>
              <w:snapToGrid w:val="0"/>
              <w:spacing w:before="120" w:beforeLines="50" w:line="360" w:lineRule="auto"/>
              <w:jc w:val="center"/>
              <w:rPr>
                <w:rFonts w:hint="eastAsia" w:ascii="宋体" w:hAnsi="宋体"/>
                <w:kern w:val="0"/>
                <w:sz w:val="20"/>
                <w:szCs w:val="21"/>
                <w:highlight w:val="none"/>
              </w:rPr>
            </w:pPr>
          </w:p>
        </w:tc>
        <w:tc>
          <w:tcPr>
            <w:tcW w:w="1722" w:type="dxa"/>
          </w:tcPr>
          <w:p w14:paraId="27D54AA2">
            <w:pPr>
              <w:adjustRightInd w:val="0"/>
              <w:snapToGrid w:val="0"/>
              <w:spacing w:before="120" w:beforeLines="50" w:line="360" w:lineRule="auto"/>
              <w:jc w:val="center"/>
              <w:rPr>
                <w:rFonts w:hint="eastAsia" w:ascii="宋体" w:hAnsi="宋体"/>
                <w:kern w:val="0"/>
                <w:sz w:val="20"/>
                <w:szCs w:val="21"/>
                <w:highlight w:val="none"/>
              </w:rPr>
            </w:pPr>
          </w:p>
        </w:tc>
      </w:tr>
      <w:tr w14:paraId="11C230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4710FA33">
            <w:pPr>
              <w:adjustRightInd w:val="0"/>
              <w:snapToGrid w:val="0"/>
              <w:spacing w:before="120" w:beforeLines="50" w:line="360" w:lineRule="auto"/>
              <w:jc w:val="center"/>
              <w:rPr>
                <w:rFonts w:hint="eastAsia" w:ascii="宋体" w:hAnsi="宋体"/>
                <w:kern w:val="0"/>
                <w:sz w:val="20"/>
                <w:szCs w:val="21"/>
                <w:highlight w:val="none"/>
              </w:rPr>
            </w:pPr>
          </w:p>
        </w:tc>
        <w:tc>
          <w:tcPr>
            <w:tcW w:w="1871" w:type="dxa"/>
            <w:tcBorders>
              <w:right w:val="single" w:color="auto" w:sz="4" w:space="0"/>
            </w:tcBorders>
          </w:tcPr>
          <w:p w14:paraId="41D73C95">
            <w:pPr>
              <w:adjustRightInd w:val="0"/>
              <w:snapToGrid w:val="0"/>
              <w:spacing w:before="120" w:beforeLines="50" w:line="360" w:lineRule="auto"/>
              <w:jc w:val="center"/>
              <w:rPr>
                <w:rFonts w:hint="eastAsia" w:ascii="宋体" w:hAnsi="宋体"/>
                <w:kern w:val="0"/>
                <w:sz w:val="20"/>
                <w:szCs w:val="21"/>
                <w:highlight w:val="none"/>
              </w:rPr>
            </w:pPr>
          </w:p>
        </w:tc>
        <w:tc>
          <w:tcPr>
            <w:tcW w:w="2410" w:type="dxa"/>
            <w:tcBorders>
              <w:left w:val="single" w:color="auto" w:sz="4" w:space="0"/>
            </w:tcBorders>
          </w:tcPr>
          <w:p w14:paraId="327E3FC2">
            <w:pPr>
              <w:adjustRightInd w:val="0"/>
              <w:snapToGrid w:val="0"/>
              <w:spacing w:before="120" w:beforeLines="50" w:line="360" w:lineRule="auto"/>
              <w:jc w:val="center"/>
              <w:rPr>
                <w:rFonts w:hint="eastAsia" w:ascii="宋体" w:hAnsi="宋体"/>
                <w:kern w:val="0"/>
                <w:sz w:val="20"/>
                <w:szCs w:val="21"/>
                <w:highlight w:val="none"/>
              </w:rPr>
            </w:pPr>
          </w:p>
        </w:tc>
        <w:tc>
          <w:tcPr>
            <w:tcW w:w="2268" w:type="dxa"/>
          </w:tcPr>
          <w:p w14:paraId="22885880">
            <w:pPr>
              <w:adjustRightInd w:val="0"/>
              <w:snapToGrid w:val="0"/>
              <w:spacing w:before="120" w:beforeLines="50" w:line="360" w:lineRule="auto"/>
              <w:jc w:val="center"/>
              <w:rPr>
                <w:rFonts w:hint="eastAsia" w:ascii="宋体" w:hAnsi="宋体"/>
                <w:kern w:val="0"/>
                <w:sz w:val="20"/>
                <w:szCs w:val="21"/>
                <w:highlight w:val="none"/>
              </w:rPr>
            </w:pPr>
          </w:p>
        </w:tc>
        <w:tc>
          <w:tcPr>
            <w:tcW w:w="1722" w:type="dxa"/>
          </w:tcPr>
          <w:p w14:paraId="729D4CA1">
            <w:pPr>
              <w:adjustRightInd w:val="0"/>
              <w:snapToGrid w:val="0"/>
              <w:spacing w:before="120" w:beforeLines="50" w:line="360" w:lineRule="auto"/>
              <w:jc w:val="center"/>
              <w:rPr>
                <w:rFonts w:hint="eastAsia" w:ascii="宋体" w:hAnsi="宋体"/>
                <w:kern w:val="0"/>
                <w:sz w:val="20"/>
                <w:szCs w:val="21"/>
                <w:highlight w:val="none"/>
              </w:rPr>
            </w:pPr>
          </w:p>
        </w:tc>
      </w:tr>
      <w:tr w14:paraId="366212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1A027845">
            <w:pPr>
              <w:adjustRightInd w:val="0"/>
              <w:snapToGrid w:val="0"/>
              <w:spacing w:before="120" w:beforeLines="50" w:line="360" w:lineRule="auto"/>
              <w:jc w:val="center"/>
              <w:rPr>
                <w:rFonts w:hint="eastAsia" w:ascii="宋体" w:hAnsi="宋体"/>
                <w:kern w:val="0"/>
                <w:sz w:val="20"/>
                <w:szCs w:val="21"/>
                <w:highlight w:val="none"/>
              </w:rPr>
            </w:pPr>
          </w:p>
        </w:tc>
        <w:tc>
          <w:tcPr>
            <w:tcW w:w="1871" w:type="dxa"/>
            <w:tcBorders>
              <w:right w:val="single" w:color="auto" w:sz="4" w:space="0"/>
            </w:tcBorders>
          </w:tcPr>
          <w:p w14:paraId="58EBA076">
            <w:pPr>
              <w:adjustRightInd w:val="0"/>
              <w:snapToGrid w:val="0"/>
              <w:spacing w:before="120" w:beforeLines="50" w:line="360" w:lineRule="auto"/>
              <w:jc w:val="center"/>
              <w:rPr>
                <w:rFonts w:hint="eastAsia" w:ascii="宋体" w:hAnsi="宋体"/>
                <w:kern w:val="0"/>
                <w:sz w:val="20"/>
                <w:szCs w:val="21"/>
                <w:highlight w:val="none"/>
              </w:rPr>
            </w:pPr>
          </w:p>
        </w:tc>
        <w:tc>
          <w:tcPr>
            <w:tcW w:w="2410" w:type="dxa"/>
            <w:tcBorders>
              <w:left w:val="single" w:color="auto" w:sz="4" w:space="0"/>
            </w:tcBorders>
          </w:tcPr>
          <w:p w14:paraId="41EA2188">
            <w:pPr>
              <w:adjustRightInd w:val="0"/>
              <w:snapToGrid w:val="0"/>
              <w:spacing w:before="120" w:beforeLines="50" w:line="360" w:lineRule="auto"/>
              <w:jc w:val="center"/>
              <w:rPr>
                <w:rFonts w:hint="eastAsia" w:ascii="宋体" w:hAnsi="宋体"/>
                <w:kern w:val="0"/>
                <w:sz w:val="20"/>
                <w:szCs w:val="21"/>
                <w:highlight w:val="none"/>
              </w:rPr>
            </w:pPr>
          </w:p>
        </w:tc>
        <w:tc>
          <w:tcPr>
            <w:tcW w:w="2268" w:type="dxa"/>
          </w:tcPr>
          <w:p w14:paraId="75168C12">
            <w:pPr>
              <w:adjustRightInd w:val="0"/>
              <w:snapToGrid w:val="0"/>
              <w:spacing w:before="120" w:beforeLines="50" w:line="360" w:lineRule="auto"/>
              <w:jc w:val="center"/>
              <w:rPr>
                <w:rFonts w:hint="eastAsia" w:ascii="宋体" w:hAnsi="宋体"/>
                <w:kern w:val="0"/>
                <w:sz w:val="20"/>
                <w:szCs w:val="21"/>
                <w:highlight w:val="none"/>
              </w:rPr>
            </w:pPr>
          </w:p>
        </w:tc>
        <w:tc>
          <w:tcPr>
            <w:tcW w:w="1722" w:type="dxa"/>
          </w:tcPr>
          <w:p w14:paraId="48ADAEA2">
            <w:pPr>
              <w:adjustRightInd w:val="0"/>
              <w:snapToGrid w:val="0"/>
              <w:spacing w:before="120" w:beforeLines="50" w:line="360" w:lineRule="auto"/>
              <w:jc w:val="center"/>
              <w:rPr>
                <w:rFonts w:hint="eastAsia" w:ascii="宋体" w:hAnsi="宋体"/>
                <w:kern w:val="0"/>
                <w:sz w:val="20"/>
                <w:szCs w:val="21"/>
                <w:highlight w:val="none"/>
              </w:rPr>
            </w:pPr>
          </w:p>
        </w:tc>
      </w:tr>
      <w:tr w14:paraId="6597D2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4E761321">
            <w:pPr>
              <w:adjustRightInd w:val="0"/>
              <w:snapToGrid w:val="0"/>
              <w:spacing w:before="120" w:beforeLines="50" w:line="360" w:lineRule="auto"/>
              <w:jc w:val="center"/>
              <w:rPr>
                <w:rFonts w:hint="eastAsia" w:ascii="宋体" w:hAnsi="宋体"/>
                <w:kern w:val="0"/>
                <w:sz w:val="20"/>
                <w:szCs w:val="21"/>
                <w:highlight w:val="none"/>
              </w:rPr>
            </w:pPr>
          </w:p>
        </w:tc>
        <w:tc>
          <w:tcPr>
            <w:tcW w:w="1871" w:type="dxa"/>
            <w:tcBorders>
              <w:right w:val="single" w:color="auto" w:sz="4" w:space="0"/>
            </w:tcBorders>
          </w:tcPr>
          <w:p w14:paraId="45346BD2">
            <w:pPr>
              <w:adjustRightInd w:val="0"/>
              <w:snapToGrid w:val="0"/>
              <w:spacing w:before="120" w:beforeLines="50" w:line="360" w:lineRule="auto"/>
              <w:jc w:val="center"/>
              <w:rPr>
                <w:rFonts w:hint="eastAsia" w:ascii="宋体" w:hAnsi="宋体"/>
                <w:kern w:val="0"/>
                <w:sz w:val="20"/>
                <w:szCs w:val="21"/>
                <w:highlight w:val="none"/>
              </w:rPr>
            </w:pPr>
          </w:p>
        </w:tc>
        <w:tc>
          <w:tcPr>
            <w:tcW w:w="2410" w:type="dxa"/>
            <w:tcBorders>
              <w:left w:val="single" w:color="auto" w:sz="4" w:space="0"/>
            </w:tcBorders>
          </w:tcPr>
          <w:p w14:paraId="7B670DB9">
            <w:pPr>
              <w:adjustRightInd w:val="0"/>
              <w:snapToGrid w:val="0"/>
              <w:spacing w:before="120" w:beforeLines="50" w:line="360" w:lineRule="auto"/>
              <w:jc w:val="center"/>
              <w:rPr>
                <w:rFonts w:hint="eastAsia" w:ascii="宋体" w:hAnsi="宋体"/>
                <w:kern w:val="0"/>
                <w:sz w:val="20"/>
                <w:szCs w:val="21"/>
                <w:highlight w:val="none"/>
              </w:rPr>
            </w:pPr>
          </w:p>
        </w:tc>
        <w:tc>
          <w:tcPr>
            <w:tcW w:w="2268" w:type="dxa"/>
          </w:tcPr>
          <w:p w14:paraId="4B653BFA">
            <w:pPr>
              <w:adjustRightInd w:val="0"/>
              <w:snapToGrid w:val="0"/>
              <w:spacing w:before="120" w:beforeLines="50" w:line="360" w:lineRule="auto"/>
              <w:jc w:val="center"/>
              <w:rPr>
                <w:rFonts w:hint="eastAsia" w:ascii="宋体" w:hAnsi="宋体"/>
                <w:kern w:val="0"/>
                <w:sz w:val="20"/>
                <w:szCs w:val="21"/>
                <w:highlight w:val="none"/>
              </w:rPr>
            </w:pPr>
          </w:p>
        </w:tc>
        <w:tc>
          <w:tcPr>
            <w:tcW w:w="1722" w:type="dxa"/>
          </w:tcPr>
          <w:p w14:paraId="2D4F4F59">
            <w:pPr>
              <w:adjustRightInd w:val="0"/>
              <w:snapToGrid w:val="0"/>
              <w:spacing w:before="120" w:beforeLines="50" w:line="360" w:lineRule="auto"/>
              <w:jc w:val="center"/>
              <w:rPr>
                <w:rFonts w:hint="eastAsia" w:ascii="宋体" w:hAnsi="宋体"/>
                <w:kern w:val="0"/>
                <w:sz w:val="20"/>
                <w:szCs w:val="21"/>
                <w:highlight w:val="none"/>
              </w:rPr>
            </w:pPr>
          </w:p>
        </w:tc>
      </w:tr>
      <w:tr w14:paraId="325B08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4CA79A7A">
            <w:pPr>
              <w:adjustRightInd w:val="0"/>
              <w:snapToGrid w:val="0"/>
              <w:spacing w:before="120" w:beforeLines="50" w:line="360" w:lineRule="auto"/>
              <w:jc w:val="center"/>
              <w:rPr>
                <w:rFonts w:hint="eastAsia" w:ascii="宋体" w:hAnsi="宋体"/>
                <w:kern w:val="0"/>
                <w:sz w:val="20"/>
                <w:szCs w:val="21"/>
                <w:highlight w:val="none"/>
              </w:rPr>
            </w:pPr>
          </w:p>
        </w:tc>
        <w:tc>
          <w:tcPr>
            <w:tcW w:w="1871" w:type="dxa"/>
            <w:tcBorders>
              <w:right w:val="single" w:color="auto" w:sz="4" w:space="0"/>
            </w:tcBorders>
          </w:tcPr>
          <w:p w14:paraId="79621B8D">
            <w:pPr>
              <w:adjustRightInd w:val="0"/>
              <w:snapToGrid w:val="0"/>
              <w:spacing w:before="120" w:beforeLines="50" w:line="360" w:lineRule="auto"/>
              <w:jc w:val="center"/>
              <w:rPr>
                <w:rFonts w:hint="eastAsia" w:ascii="宋体" w:hAnsi="宋体"/>
                <w:kern w:val="0"/>
                <w:sz w:val="20"/>
                <w:szCs w:val="21"/>
                <w:highlight w:val="none"/>
              </w:rPr>
            </w:pPr>
          </w:p>
        </w:tc>
        <w:tc>
          <w:tcPr>
            <w:tcW w:w="2410" w:type="dxa"/>
            <w:tcBorders>
              <w:left w:val="single" w:color="auto" w:sz="4" w:space="0"/>
            </w:tcBorders>
          </w:tcPr>
          <w:p w14:paraId="6FD2EE65">
            <w:pPr>
              <w:adjustRightInd w:val="0"/>
              <w:snapToGrid w:val="0"/>
              <w:spacing w:before="120" w:beforeLines="50" w:line="360" w:lineRule="auto"/>
              <w:jc w:val="center"/>
              <w:rPr>
                <w:rFonts w:hint="eastAsia" w:ascii="宋体" w:hAnsi="宋体"/>
                <w:kern w:val="0"/>
                <w:sz w:val="20"/>
                <w:szCs w:val="21"/>
                <w:highlight w:val="none"/>
              </w:rPr>
            </w:pPr>
          </w:p>
        </w:tc>
        <w:tc>
          <w:tcPr>
            <w:tcW w:w="2268" w:type="dxa"/>
          </w:tcPr>
          <w:p w14:paraId="5B20F427">
            <w:pPr>
              <w:adjustRightInd w:val="0"/>
              <w:snapToGrid w:val="0"/>
              <w:spacing w:before="120" w:beforeLines="50" w:line="360" w:lineRule="auto"/>
              <w:jc w:val="center"/>
              <w:rPr>
                <w:rFonts w:hint="eastAsia" w:ascii="宋体" w:hAnsi="宋体"/>
                <w:kern w:val="0"/>
                <w:sz w:val="20"/>
                <w:szCs w:val="21"/>
                <w:highlight w:val="none"/>
              </w:rPr>
            </w:pPr>
          </w:p>
        </w:tc>
        <w:tc>
          <w:tcPr>
            <w:tcW w:w="1722" w:type="dxa"/>
          </w:tcPr>
          <w:p w14:paraId="78CB101A">
            <w:pPr>
              <w:adjustRightInd w:val="0"/>
              <w:snapToGrid w:val="0"/>
              <w:spacing w:before="120" w:beforeLines="50" w:line="360" w:lineRule="auto"/>
              <w:jc w:val="center"/>
              <w:rPr>
                <w:rFonts w:hint="eastAsia" w:ascii="宋体" w:hAnsi="宋体"/>
                <w:kern w:val="0"/>
                <w:sz w:val="20"/>
                <w:szCs w:val="21"/>
                <w:highlight w:val="none"/>
              </w:rPr>
            </w:pPr>
          </w:p>
        </w:tc>
      </w:tr>
      <w:tr w14:paraId="295FFD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382159E7">
            <w:pPr>
              <w:adjustRightInd w:val="0"/>
              <w:snapToGrid w:val="0"/>
              <w:spacing w:before="120" w:beforeLines="50" w:line="360" w:lineRule="auto"/>
              <w:jc w:val="center"/>
              <w:rPr>
                <w:rFonts w:hint="eastAsia" w:ascii="宋体" w:hAnsi="宋体"/>
                <w:kern w:val="0"/>
                <w:sz w:val="20"/>
                <w:szCs w:val="21"/>
                <w:highlight w:val="none"/>
              </w:rPr>
            </w:pPr>
          </w:p>
        </w:tc>
        <w:tc>
          <w:tcPr>
            <w:tcW w:w="1871" w:type="dxa"/>
            <w:tcBorders>
              <w:right w:val="single" w:color="auto" w:sz="4" w:space="0"/>
            </w:tcBorders>
          </w:tcPr>
          <w:p w14:paraId="58EE2D48">
            <w:pPr>
              <w:adjustRightInd w:val="0"/>
              <w:snapToGrid w:val="0"/>
              <w:spacing w:before="120" w:beforeLines="50" w:line="360" w:lineRule="auto"/>
              <w:jc w:val="center"/>
              <w:rPr>
                <w:rFonts w:hint="eastAsia" w:ascii="宋体" w:hAnsi="宋体"/>
                <w:kern w:val="0"/>
                <w:sz w:val="20"/>
                <w:szCs w:val="21"/>
                <w:highlight w:val="none"/>
              </w:rPr>
            </w:pPr>
          </w:p>
        </w:tc>
        <w:tc>
          <w:tcPr>
            <w:tcW w:w="2410" w:type="dxa"/>
            <w:tcBorders>
              <w:left w:val="single" w:color="auto" w:sz="4" w:space="0"/>
            </w:tcBorders>
          </w:tcPr>
          <w:p w14:paraId="2FF566FA">
            <w:pPr>
              <w:adjustRightInd w:val="0"/>
              <w:snapToGrid w:val="0"/>
              <w:spacing w:before="120" w:beforeLines="50" w:line="360" w:lineRule="auto"/>
              <w:jc w:val="center"/>
              <w:rPr>
                <w:rFonts w:hint="eastAsia" w:ascii="宋体" w:hAnsi="宋体"/>
                <w:kern w:val="0"/>
                <w:sz w:val="20"/>
                <w:szCs w:val="21"/>
                <w:highlight w:val="none"/>
              </w:rPr>
            </w:pPr>
          </w:p>
        </w:tc>
        <w:tc>
          <w:tcPr>
            <w:tcW w:w="2268" w:type="dxa"/>
          </w:tcPr>
          <w:p w14:paraId="7DDC964B">
            <w:pPr>
              <w:adjustRightInd w:val="0"/>
              <w:snapToGrid w:val="0"/>
              <w:spacing w:before="120" w:beforeLines="50" w:line="360" w:lineRule="auto"/>
              <w:jc w:val="center"/>
              <w:rPr>
                <w:rFonts w:hint="eastAsia" w:ascii="宋体" w:hAnsi="宋体"/>
                <w:kern w:val="0"/>
                <w:sz w:val="20"/>
                <w:szCs w:val="21"/>
                <w:highlight w:val="none"/>
              </w:rPr>
            </w:pPr>
          </w:p>
        </w:tc>
        <w:tc>
          <w:tcPr>
            <w:tcW w:w="1722" w:type="dxa"/>
          </w:tcPr>
          <w:p w14:paraId="643A41FD">
            <w:pPr>
              <w:adjustRightInd w:val="0"/>
              <w:snapToGrid w:val="0"/>
              <w:spacing w:before="120" w:beforeLines="50" w:line="360" w:lineRule="auto"/>
              <w:jc w:val="center"/>
              <w:rPr>
                <w:rFonts w:hint="eastAsia" w:ascii="宋体" w:hAnsi="宋体"/>
                <w:kern w:val="0"/>
                <w:sz w:val="20"/>
                <w:szCs w:val="21"/>
                <w:highlight w:val="none"/>
              </w:rPr>
            </w:pPr>
          </w:p>
        </w:tc>
      </w:tr>
      <w:tr w14:paraId="4A4A20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789" w:type="dxa"/>
          </w:tcPr>
          <w:p w14:paraId="165C7607">
            <w:pPr>
              <w:adjustRightInd w:val="0"/>
              <w:snapToGrid w:val="0"/>
              <w:spacing w:before="120" w:beforeLines="50" w:line="360" w:lineRule="auto"/>
              <w:jc w:val="center"/>
              <w:rPr>
                <w:rFonts w:hint="eastAsia" w:ascii="宋体" w:hAnsi="宋体"/>
                <w:kern w:val="0"/>
                <w:sz w:val="20"/>
                <w:szCs w:val="21"/>
                <w:highlight w:val="none"/>
              </w:rPr>
            </w:pPr>
          </w:p>
        </w:tc>
        <w:tc>
          <w:tcPr>
            <w:tcW w:w="1871" w:type="dxa"/>
            <w:tcBorders>
              <w:right w:val="single" w:color="auto" w:sz="4" w:space="0"/>
            </w:tcBorders>
          </w:tcPr>
          <w:p w14:paraId="2649EAEB">
            <w:pPr>
              <w:adjustRightInd w:val="0"/>
              <w:snapToGrid w:val="0"/>
              <w:spacing w:before="120" w:beforeLines="50" w:line="360" w:lineRule="auto"/>
              <w:jc w:val="center"/>
              <w:rPr>
                <w:rFonts w:hint="eastAsia" w:ascii="宋体" w:hAnsi="宋体"/>
                <w:kern w:val="0"/>
                <w:sz w:val="20"/>
                <w:szCs w:val="21"/>
                <w:highlight w:val="none"/>
              </w:rPr>
            </w:pPr>
          </w:p>
        </w:tc>
        <w:tc>
          <w:tcPr>
            <w:tcW w:w="2410" w:type="dxa"/>
            <w:tcBorders>
              <w:left w:val="single" w:color="auto" w:sz="4" w:space="0"/>
            </w:tcBorders>
          </w:tcPr>
          <w:p w14:paraId="45754A2F">
            <w:pPr>
              <w:adjustRightInd w:val="0"/>
              <w:snapToGrid w:val="0"/>
              <w:spacing w:before="120" w:beforeLines="50" w:line="360" w:lineRule="auto"/>
              <w:jc w:val="center"/>
              <w:rPr>
                <w:rFonts w:hint="eastAsia" w:ascii="宋体" w:hAnsi="宋体"/>
                <w:kern w:val="0"/>
                <w:sz w:val="20"/>
                <w:szCs w:val="21"/>
                <w:highlight w:val="none"/>
              </w:rPr>
            </w:pPr>
          </w:p>
        </w:tc>
        <w:tc>
          <w:tcPr>
            <w:tcW w:w="2268" w:type="dxa"/>
          </w:tcPr>
          <w:p w14:paraId="6808A0A2">
            <w:pPr>
              <w:adjustRightInd w:val="0"/>
              <w:snapToGrid w:val="0"/>
              <w:spacing w:before="120" w:beforeLines="50" w:line="360" w:lineRule="auto"/>
              <w:jc w:val="center"/>
              <w:rPr>
                <w:rFonts w:hint="eastAsia" w:ascii="宋体" w:hAnsi="宋体"/>
                <w:kern w:val="0"/>
                <w:sz w:val="20"/>
                <w:szCs w:val="21"/>
                <w:highlight w:val="none"/>
              </w:rPr>
            </w:pPr>
          </w:p>
        </w:tc>
        <w:tc>
          <w:tcPr>
            <w:tcW w:w="1722" w:type="dxa"/>
          </w:tcPr>
          <w:p w14:paraId="3D806737">
            <w:pPr>
              <w:adjustRightInd w:val="0"/>
              <w:snapToGrid w:val="0"/>
              <w:spacing w:before="120" w:beforeLines="50" w:line="360" w:lineRule="auto"/>
              <w:jc w:val="center"/>
              <w:rPr>
                <w:rFonts w:hint="eastAsia" w:ascii="宋体" w:hAnsi="宋体"/>
                <w:kern w:val="0"/>
                <w:sz w:val="20"/>
                <w:szCs w:val="21"/>
                <w:highlight w:val="none"/>
              </w:rPr>
            </w:pPr>
          </w:p>
        </w:tc>
      </w:tr>
    </w:tbl>
    <w:p w14:paraId="43191DDB">
      <w:pPr>
        <w:rPr>
          <w:highlight w:val="none"/>
        </w:rPr>
      </w:pPr>
    </w:p>
    <w:p w14:paraId="3491FDE0">
      <w:pPr>
        <w:pStyle w:val="8"/>
        <w:jc w:val="center"/>
        <w:rPr>
          <w:rFonts w:hint="eastAsia" w:ascii="黑体" w:hAnsi="黑体" w:eastAsia="黑体"/>
          <w:sz w:val="28"/>
          <w:szCs w:val="28"/>
          <w:highlight w:val="none"/>
        </w:rPr>
      </w:pPr>
      <w:r>
        <w:rPr>
          <w:rFonts w:ascii="黑体" w:hAnsi="黑体" w:eastAsia="黑体"/>
          <w:sz w:val="28"/>
          <w:szCs w:val="28"/>
          <w:highlight w:val="none"/>
        </w:rPr>
        <w:br w:type="page"/>
      </w:r>
      <w:bookmarkStart w:id="433" w:name="_Toc13503"/>
      <w:bookmarkStart w:id="434" w:name="_Toc15662"/>
      <w:bookmarkStart w:id="435" w:name="_Toc2982"/>
      <w:bookmarkStart w:id="436" w:name="_Toc28765"/>
      <w:r>
        <w:rPr>
          <w:rFonts w:hint="eastAsia" w:ascii="黑体" w:hAnsi="黑体" w:eastAsia="黑体"/>
          <w:sz w:val="28"/>
          <w:szCs w:val="28"/>
          <w:highlight w:val="none"/>
        </w:rPr>
        <w:t>一、磋商响应声明(格式)</w:t>
      </w:r>
      <w:bookmarkEnd w:id="433"/>
      <w:bookmarkEnd w:id="434"/>
      <w:bookmarkEnd w:id="435"/>
      <w:bookmarkEnd w:id="436"/>
    </w:p>
    <w:p w14:paraId="541676D6">
      <w:pPr>
        <w:adjustRightInd w:val="0"/>
        <w:snapToGrid w:val="0"/>
        <w:spacing w:before="120" w:beforeLines="50" w:line="360" w:lineRule="auto"/>
        <w:rPr>
          <w:rFonts w:hint="eastAsia" w:ascii="宋体" w:hAnsi="宋体"/>
          <w:szCs w:val="21"/>
          <w:highlight w:val="none"/>
        </w:rPr>
      </w:pPr>
    </w:p>
    <w:p w14:paraId="711A7F3F">
      <w:pPr>
        <w:adjustRightInd w:val="0"/>
        <w:snapToGrid w:val="0"/>
        <w:spacing w:before="120" w:beforeLines="50" w:line="360" w:lineRule="auto"/>
        <w:rPr>
          <w:rFonts w:hint="eastAsia" w:ascii="宋体" w:hAnsi="宋体"/>
          <w:szCs w:val="21"/>
          <w:highlight w:val="none"/>
        </w:rPr>
      </w:pPr>
      <w:r>
        <w:rPr>
          <w:rFonts w:hint="eastAsia" w:ascii="宋体" w:hAnsi="宋体"/>
          <w:szCs w:val="21"/>
          <w:highlight w:val="none"/>
        </w:rPr>
        <w:t>致 (采购人、采购代理机构)：</w:t>
      </w:r>
    </w:p>
    <w:p w14:paraId="03DEB46F">
      <w:pPr>
        <w:adjustRightInd w:val="0"/>
        <w:snapToGrid w:val="0"/>
        <w:spacing w:before="120" w:beforeLines="50" w:line="360" w:lineRule="auto"/>
        <w:ind w:firstLine="435"/>
        <w:rPr>
          <w:rFonts w:hint="eastAsia" w:ascii="宋体" w:hAnsi="宋体"/>
          <w:szCs w:val="21"/>
          <w:highlight w:val="none"/>
        </w:rPr>
      </w:pPr>
      <w:r>
        <w:rPr>
          <w:rFonts w:hint="eastAsia" w:ascii="宋体" w:hAnsi="宋体"/>
          <w:szCs w:val="21"/>
          <w:highlight w:val="none"/>
        </w:rPr>
        <w:t>根据贵方为（项目名称）的磋商邀请（采购代理编号：），签字代表 （姓名、职务）经正式授权并代表供应商 （供应商名称）提交响应文件正本1份,副本2份；响应文件电子文档：1份，参加采购项目第 包磋商，并在此声明，所递交的响应文件内容完整、真实。</w:t>
      </w:r>
    </w:p>
    <w:p w14:paraId="679760E5">
      <w:pPr>
        <w:pStyle w:val="30"/>
        <w:adjustRightInd w:val="0"/>
        <w:snapToGrid w:val="0"/>
        <w:spacing w:before="120" w:beforeLines="50" w:line="360" w:lineRule="auto"/>
        <w:ind w:firstLine="420" w:firstLineChars="200"/>
        <w:rPr>
          <w:rFonts w:hint="eastAsia" w:hAnsi="宋体"/>
          <w:highlight w:val="none"/>
        </w:rPr>
      </w:pPr>
      <w:r>
        <w:rPr>
          <w:rFonts w:hint="eastAsia" w:hAnsi="宋体"/>
          <w:highlight w:val="none"/>
        </w:rPr>
        <w:t>一、我方已详细审查磋商文件。我们完全理解并同意放弃对这方面有不明及误解的权力。</w:t>
      </w:r>
    </w:p>
    <w:p w14:paraId="6A18ADE3">
      <w:pPr>
        <w:pStyle w:val="30"/>
        <w:adjustRightInd w:val="0"/>
        <w:snapToGrid w:val="0"/>
        <w:spacing w:before="120" w:beforeLines="50" w:line="360" w:lineRule="auto"/>
        <w:ind w:firstLine="420" w:firstLineChars="200"/>
        <w:rPr>
          <w:rFonts w:hint="eastAsia" w:hAnsi="宋体"/>
          <w:bCs/>
          <w:highlight w:val="none"/>
        </w:rPr>
      </w:pPr>
      <w:r>
        <w:rPr>
          <w:rFonts w:hint="eastAsia" w:hAnsi="宋体"/>
          <w:highlight w:val="none"/>
        </w:rPr>
        <w:t>二、我方愿意向贵方提供任何与本项采购有关的数据、情况和技术资料。若贵方需要，我方愿意提供我方作出的一切承诺的证明材料。</w:t>
      </w:r>
    </w:p>
    <w:p w14:paraId="0D9DC6F6">
      <w:pPr>
        <w:pStyle w:val="30"/>
        <w:adjustRightInd w:val="0"/>
        <w:snapToGrid w:val="0"/>
        <w:spacing w:before="120" w:beforeLines="50" w:line="360" w:lineRule="auto"/>
        <w:ind w:firstLine="420" w:firstLineChars="200"/>
        <w:rPr>
          <w:rFonts w:hint="eastAsia" w:hAnsi="宋体"/>
          <w:highlight w:val="none"/>
        </w:rPr>
      </w:pPr>
      <w:r>
        <w:rPr>
          <w:rFonts w:hint="eastAsia" w:hAnsi="宋体"/>
          <w:highlight w:val="none"/>
        </w:rPr>
        <w:t>三、我方愿意按磋商文件规定和磋商小组要求重新提交响应文件和最后报价。</w:t>
      </w:r>
    </w:p>
    <w:p w14:paraId="5895EC0F">
      <w:pPr>
        <w:pStyle w:val="30"/>
        <w:adjustRightInd w:val="0"/>
        <w:snapToGrid w:val="0"/>
        <w:spacing w:before="120" w:beforeLines="50" w:line="360" w:lineRule="auto"/>
        <w:ind w:firstLine="420" w:firstLineChars="200"/>
        <w:rPr>
          <w:rFonts w:hint="eastAsia" w:hAnsi="宋体"/>
          <w:highlight w:val="none"/>
        </w:rPr>
      </w:pPr>
      <w:r>
        <w:rPr>
          <w:rFonts w:hint="eastAsia" w:hAnsi="宋体"/>
          <w:highlight w:val="none"/>
        </w:rPr>
        <w:t>四、我方同意在磋商文件中规定的提交首次响应文件截止时间起</w:t>
      </w:r>
      <w:r>
        <w:rPr>
          <w:rFonts w:hint="eastAsia" w:hAnsi="宋体"/>
          <w:highlight w:val="none"/>
          <w:u w:val="single"/>
        </w:rPr>
        <w:t>90</w:t>
      </w:r>
      <w:r>
        <w:rPr>
          <w:rFonts w:hint="eastAsia" w:hAnsi="宋体"/>
          <w:highlight w:val="none"/>
        </w:rPr>
        <w:t>日内(响应文件有效期)遵守本响应文件中的承诺且在此期限期满之前均具有法律约束力。</w:t>
      </w:r>
    </w:p>
    <w:p w14:paraId="5467142A">
      <w:pPr>
        <w:pStyle w:val="30"/>
        <w:adjustRightInd w:val="0"/>
        <w:snapToGrid w:val="0"/>
        <w:spacing w:before="120" w:beforeLines="50" w:line="360" w:lineRule="auto"/>
        <w:ind w:firstLine="420" w:firstLineChars="200"/>
        <w:rPr>
          <w:rFonts w:hint="eastAsia" w:hAnsi="宋体"/>
          <w:highlight w:val="none"/>
        </w:rPr>
      </w:pPr>
      <w:r>
        <w:rPr>
          <w:rFonts w:hint="eastAsia" w:hAnsi="宋体"/>
          <w:highlight w:val="none"/>
        </w:rPr>
        <w:t>五、我方承诺遵守《政府采购法》及其实施条例有关规定，保证在获得成交资格后，按照磋商文件确定的事项签订政府采购合同，履行双方所签订的合同，并承担合同规定的责任和义务。</w:t>
      </w:r>
    </w:p>
    <w:p w14:paraId="785468D1">
      <w:pPr>
        <w:pStyle w:val="30"/>
        <w:adjustRightInd w:val="0"/>
        <w:snapToGrid w:val="0"/>
        <w:spacing w:before="120" w:beforeLines="50" w:line="360" w:lineRule="auto"/>
        <w:ind w:firstLine="420" w:firstLineChars="200"/>
        <w:rPr>
          <w:rFonts w:hint="eastAsia" w:hAnsi="宋体"/>
          <w:highlight w:val="none"/>
        </w:rPr>
      </w:pPr>
      <w:r>
        <w:rPr>
          <w:rFonts w:hint="eastAsia" w:hAnsi="宋体"/>
          <w:highlight w:val="none"/>
        </w:rPr>
        <w:t>六、我方承诺在参与竞争性磋商过程中，若出现《政府采购法》第七十七条、《政府采购法实施条例》第七十二条规定之情形，我方同意接受条款规定作出的处罚。</w:t>
      </w:r>
    </w:p>
    <w:p w14:paraId="19D6E1F4">
      <w:pPr>
        <w:adjustRightInd w:val="0"/>
        <w:snapToGrid w:val="0"/>
        <w:spacing w:before="120" w:beforeLines="50" w:line="360" w:lineRule="auto"/>
        <w:ind w:firstLine="420" w:firstLineChars="200"/>
        <w:rPr>
          <w:rFonts w:hint="eastAsia" w:ascii="宋体" w:hAnsi="宋体"/>
          <w:szCs w:val="21"/>
          <w:highlight w:val="none"/>
        </w:rPr>
      </w:pPr>
      <w:r>
        <w:rPr>
          <w:rFonts w:hint="eastAsia" w:ascii="宋体" w:hAnsi="宋体"/>
          <w:szCs w:val="21"/>
          <w:highlight w:val="none"/>
        </w:rPr>
        <w:t>七、我方的联系方式：</w:t>
      </w:r>
    </w:p>
    <w:p w14:paraId="50464F8C">
      <w:pPr>
        <w:adjustRightInd w:val="0"/>
        <w:snapToGrid w:val="0"/>
        <w:spacing w:before="120" w:beforeLines="50" w:line="360" w:lineRule="auto"/>
        <w:ind w:firstLine="420" w:firstLineChars="200"/>
        <w:rPr>
          <w:rFonts w:hint="eastAsia" w:ascii="宋体" w:hAnsi="宋体"/>
          <w:szCs w:val="21"/>
          <w:highlight w:val="none"/>
        </w:rPr>
      </w:pPr>
      <w:r>
        <w:rPr>
          <w:rFonts w:hint="eastAsia" w:ascii="宋体" w:hAnsi="宋体"/>
          <w:szCs w:val="21"/>
          <w:highlight w:val="none"/>
        </w:rPr>
        <w:t>地址：；邮编： ；电话：；电子邮箱： 。</w:t>
      </w:r>
    </w:p>
    <w:p w14:paraId="21593157">
      <w:pPr>
        <w:pStyle w:val="30"/>
        <w:adjustRightInd w:val="0"/>
        <w:snapToGrid w:val="0"/>
        <w:spacing w:before="120" w:beforeLines="50" w:line="360" w:lineRule="auto"/>
        <w:rPr>
          <w:rFonts w:hint="eastAsia" w:hAnsi="宋体"/>
          <w:highlight w:val="none"/>
        </w:rPr>
      </w:pPr>
    </w:p>
    <w:p w14:paraId="15A52877">
      <w:pPr>
        <w:pStyle w:val="30"/>
        <w:adjustRightInd w:val="0"/>
        <w:snapToGrid w:val="0"/>
        <w:spacing w:before="120" w:beforeLines="50" w:line="360" w:lineRule="auto"/>
        <w:rPr>
          <w:rFonts w:hint="eastAsia" w:hAnsi="宋体"/>
          <w:highlight w:val="none"/>
        </w:rPr>
      </w:pPr>
      <w:r>
        <w:rPr>
          <w:rFonts w:hint="eastAsia" w:hAnsi="宋体"/>
          <w:highlight w:val="none"/>
        </w:rPr>
        <w:t>供应商名称(盖单位公章)：</w:t>
      </w:r>
    </w:p>
    <w:p w14:paraId="21AD8FDE">
      <w:pPr>
        <w:adjustRightInd w:val="0"/>
        <w:snapToGrid w:val="0"/>
        <w:spacing w:before="120" w:beforeLines="50" w:line="360" w:lineRule="auto"/>
        <w:rPr>
          <w:rFonts w:hint="eastAsia" w:ascii="宋体" w:hAnsi="宋体"/>
          <w:szCs w:val="21"/>
          <w:highlight w:val="none"/>
          <w:u w:val="singl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或者其授权的代理人（签字或者印章）：</w:t>
      </w:r>
    </w:p>
    <w:p w14:paraId="4A275359">
      <w:pPr>
        <w:adjustRightInd w:val="0"/>
        <w:snapToGrid w:val="0"/>
        <w:spacing w:before="120" w:beforeLines="50" w:line="360" w:lineRule="auto"/>
        <w:rPr>
          <w:rFonts w:hint="eastAsia" w:ascii="宋体" w:hAnsi="宋体"/>
          <w:szCs w:val="21"/>
          <w:highlight w:val="none"/>
        </w:rPr>
      </w:pPr>
      <w:r>
        <w:rPr>
          <w:rFonts w:hint="eastAsia" w:ascii="宋体" w:hAnsi="宋体"/>
          <w:szCs w:val="21"/>
          <w:highlight w:val="none"/>
        </w:rPr>
        <w:t>日期：年月日</w:t>
      </w:r>
    </w:p>
    <w:p w14:paraId="0FB10742">
      <w:pPr>
        <w:pStyle w:val="8"/>
        <w:jc w:val="center"/>
        <w:rPr>
          <w:rFonts w:hint="eastAsia" w:ascii="黑体" w:hAnsi="黑体" w:eastAsia="黑体"/>
          <w:sz w:val="28"/>
          <w:szCs w:val="28"/>
          <w:highlight w:val="none"/>
        </w:rPr>
      </w:pPr>
      <w:r>
        <w:rPr>
          <w:rFonts w:ascii="宋体" w:hAnsi="宋体"/>
          <w:szCs w:val="21"/>
          <w:highlight w:val="none"/>
        </w:rPr>
        <w:br w:type="page"/>
      </w:r>
      <w:bookmarkStart w:id="437" w:name="_Toc10429"/>
      <w:bookmarkStart w:id="438" w:name="_Toc14121"/>
      <w:bookmarkStart w:id="439" w:name="_Toc10095"/>
      <w:bookmarkStart w:id="440" w:name="_Toc14231"/>
      <w:r>
        <w:rPr>
          <w:rFonts w:hint="eastAsia" w:ascii="黑体" w:hAnsi="黑体" w:eastAsia="黑体"/>
          <w:sz w:val="28"/>
          <w:szCs w:val="28"/>
          <w:highlight w:val="none"/>
        </w:rPr>
        <w:t>二、法定代表人（单位负责人）身份证明(格式)</w:t>
      </w:r>
      <w:bookmarkEnd w:id="437"/>
      <w:bookmarkEnd w:id="438"/>
      <w:bookmarkEnd w:id="439"/>
      <w:bookmarkEnd w:id="440"/>
    </w:p>
    <w:p w14:paraId="02B1EC0B">
      <w:pPr>
        <w:tabs>
          <w:tab w:val="left" w:pos="3880"/>
        </w:tabs>
        <w:autoSpaceDE w:val="0"/>
        <w:autoSpaceDN w:val="0"/>
        <w:adjustRightInd w:val="0"/>
        <w:snapToGrid w:val="0"/>
        <w:spacing w:before="120" w:beforeLines="50" w:line="360" w:lineRule="auto"/>
        <w:ind w:left="100" w:right="-20"/>
        <w:jc w:val="left"/>
        <w:rPr>
          <w:rFonts w:hint="eastAsia" w:ascii="宋体" w:hAnsi="宋体" w:cs="微软雅黑"/>
          <w:kern w:val="0"/>
          <w:position w:val="-4"/>
          <w:szCs w:val="21"/>
          <w:highlight w:val="none"/>
        </w:rPr>
      </w:pPr>
    </w:p>
    <w:p w14:paraId="24A13E1D">
      <w:pPr>
        <w:tabs>
          <w:tab w:val="left" w:pos="3880"/>
        </w:tabs>
        <w:autoSpaceDE w:val="0"/>
        <w:autoSpaceDN w:val="0"/>
        <w:adjustRightInd w:val="0"/>
        <w:snapToGrid w:val="0"/>
        <w:spacing w:before="120" w:beforeLines="50" w:line="360" w:lineRule="auto"/>
        <w:ind w:left="100" w:right="-20"/>
        <w:jc w:val="left"/>
        <w:rPr>
          <w:rFonts w:hint="eastAsia" w:ascii="宋体" w:hAnsi="宋体" w:cs="微软雅黑"/>
          <w:kern w:val="0"/>
          <w:szCs w:val="21"/>
          <w:highlight w:val="none"/>
        </w:rPr>
      </w:pPr>
      <w:r>
        <w:rPr>
          <w:rFonts w:hint="eastAsia" w:ascii="宋体" w:hAnsi="宋体" w:cs="微软雅黑"/>
          <w:kern w:val="0"/>
          <w:position w:val="-4"/>
          <w:szCs w:val="21"/>
          <w:highlight w:val="none"/>
        </w:rPr>
        <w:t>供应商名</w:t>
      </w:r>
      <w:r>
        <w:rPr>
          <w:rFonts w:hint="eastAsia" w:ascii="宋体" w:hAnsi="宋体" w:cs="微软雅黑"/>
          <w:spacing w:val="-2"/>
          <w:kern w:val="0"/>
          <w:position w:val="-4"/>
          <w:szCs w:val="21"/>
          <w:highlight w:val="none"/>
        </w:rPr>
        <w:t>称</w:t>
      </w:r>
      <w:r>
        <w:rPr>
          <w:rFonts w:hint="eastAsia" w:ascii="宋体" w:hAnsi="宋体" w:cs="微软雅黑"/>
          <w:kern w:val="0"/>
          <w:position w:val="-4"/>
          <w:szCs w:val="21"/>
          <w:highlight w:val="none"/>
        </w:rPr>
        <w:t>：</w:t>
      </w:r>
    </w:p>
    <w:p w14:paraId="4ADD1F53">
      <w:pPr>
        <w:tabs>
          <w:tab w:val="left" w:pos="2400"/>
          <w:tab w:val="left" w:pos="3880"/>
          <w:tab w:val="left" w:pos="5340"/>
          <w:tab w:val="left" w:pos="6820"/>
        </w:tabs>
        <w:autoSpaceDE w:val="0"/>
        <w:autoSpaceDN w:val="0"/>
        <w:adjustRightInd w:val="0"/>
        <w:snapToGrid w:val="0"/>
        <w:spacing w:before="120" w:beforeLines="50" w:line="360" w:lineRule="auto"/>
        <w:ind w:left="100" w:right="-20"/>
        <w:jc w:val="left"/>
        <w:rPr>
          <w:rFonts w:hint="eastAsia" w:ascii="宋体" w:hAnsi="宋体" w:cs="微软雅黑"/>
          <w:kern w:val="0"/>
          <w:position w:val="-2"/>
          <w:szCs w:val="21"/>
          <w:highlight w:val="none"/>
        </w:rPr>
      </w:pPr>
      <w:r>
        <w:rPr>
          <w:rFonts w:hint="eastAsia" w:ascii="宋体" w:hAnsi="宋体" w:cs="微软雅黑"/>
          <w:kern w:val="0"/>
          <w:position w:val="-2"/>
          <w:szCs w:val="21"/>
          <w:highlight w:val="none"/>
        </w:rPr>
        <w:t>统一社会信用代码：</w:t>
      </w:r>
    </w:p>
    <w:p w14:paraId="12A5A721">
      <w:pPr>
        <w:tabs>
          <w:tab w:val="left" w:pos="2400"/>
          <w:tab w:val="left" w:pos="3880"/>
          <w:tab w:val="left" w:pos="5340"/>
          <w:tab w:val="left" w:pos="6820"/>
        </w:tabs>
        <w:autoSpaceDE w:val="0"/>
        <w:autoSpaceDN w:val="0"/>
        <w:adjustRightInd w:val="0"/>
        <w:snapToGrid w:val="0"/>
        <w:spacing w:before="120" w:beforeLines="50" w:line="360" w:lineRule="auto"/>
        <w:ind w:left="100" w:right="-20"/>
        <w:jc w:val="left"/>
        <w:rPr>
          <w:rFonts w:hint="eastAsia" w:ascii="宋体" w:hAnsi="宋体" w:cs="微软雅黑"/>
          <w:kern w:val="0"/>
          <w:position w:val="-2"/>
          <w:szCs w:val="21"/>
          <w:highlight w:val="none"/>
        </w:rPr>
      </w:pPr>
      <w:r>
        <w:rPr>
          <w:rFonts w:hint="eastAsia" w:ascii="宋体" w:hAnsi="宋体" w:cs="微软雅黑"/>
          <w:kern w:val="0"/>
          <w:position w:val="-2"/>
          <w:szCs w:val="21"/>
          <w:highlight w:val="none"/>
        </w:rPr>
        <w:t>注册地址：</w:t>
      </w:r>
    </w:p>
    <w:p w14:paraId="2B844A40">
      <w:pPr>
        <w:tabs>
          <w:tab w:val="left" w:pos="2400"/>
          <w:tab w:val="left" w:pos="3880"/>
          <w:tab w:val="left" w:pos="5340"/>
          <w:tab w:val="left" w:pos="6820"/>
        </w:tabs>
        <w:autoSpaceDE w:val="0"/>
        <w:autoSpaceDN w:val="0"/>
        <w:adjustRightInd w:val="0"/>
        <w:snapToGrid w:val="0"/>
        <w:spacing w:before="120" w:beforeLines="50" w:line="360" w:lineRule="auto"/>
        <w:ind w:left="102" w:right="-23" w:firstLine="420" w:firstLineChars="200"/>
        <w:jc w:val="left"/>
        <w:rPr>
          <w:rFonts w:hint="eastAsia" w:ascii="宋体" w:hAnsi="宋体" w:cs="微软雅黑"/>
          <w:kern w:val="0"/>
          <w:szCs w:val="21"/>
          <w:highlight w:val="none"/>
        </w:rPr>
      </w:pPr>
      <w:r>
        <w:rPr>
          <w:rFonts w:hint="eastAsia" w:ascii="宋体" w:hAnsi="宋体" w:cs="微软雅黑"/>
          <w:kern w:val="0"/>
          <w:position w:val="-2"/>
          <w:szCs w:val="21"/>
          <w:highlight w:val="none"/>
        </w:rPr>
        <w:t>姓名</w:t>
      </w:r>
      <w:r>
        <w:rPr>
          <w:rFonts w:hint="eastAsia" w:ascii="宋体" w:hAnsi="宋体" w:cs="微软雅黑"/>
          <w:spacing w:val="-2"/>
          <w:kern w:val="0"/>
          <w:position w:val="-2"/>
          <w:szCs w:val="21"/>
          <w:highlight w:val="none"/>
        </w:rPr>
        <w:t>：</w:t>
      </w:r>
      <w:r>
        <w:rPr>
          <w:rFonts w:hint="eastAsia" w:ascii="宋体" w:hAnsi="宋体" w:cs="微软雅黑"/>
          <w:kern w:val="0"/>
          <w:position w:val="-2"/>
          <w:szCs w:val="21"/>
          <w:highlight w:val="none"/>
        </w:rPr>
        <w:t>性别</w:t>
      </w:r>
      <w:r>
        <w:rPr>
          <w:rFonts w:hint="eastAsia" w:ascii="宋体" w:hAnsi="宋体" w:cs="微软雅黑"/>
          <w:spacing w:val="-2"/>
          <w:kern w:val="0"/>
          <w:position w:val="-2"/>
          <w:szCs w:val="21"/>
          <w:highlight w:val="none"/>
        </w:rPr>
        <w:t>：</w:t>
      </w:r>
      <w:r>
        <w:rPr>
          <w:rFonts w:hint="eastAsia" w:ascii="宋体" w:hAnsi="宋体" w:cs="微软雅黑"/>
          <w:kern w:val="0"/>
          <w:position w:val="-2"/>
          <w:szCs w:val="21"/>
          <w:highlight w:val="none"/>
        </w:rPr>
        <w:t>年</w:t>
      </w:r>
      <w:r>
        <w:rPr>
          <w:rFonts w:hint="eastAsia" w:ascii="宋体" w:hAnsi="宋体" w:cs="微软雅黑"/>
          <w:spacing w:val="-2"/>
          <w:kern w:val="0"/>
          <w:position w:val="-2"/>
          <w:szCs w:val="21"/>
          <w:highlight w:val="none"/>
        </w:rPr>
        <w:t>龄</w:t>
      </w:r>
      <w:r>
        <w:rPr>
          <w:rFonts w:hint="eastAsia" w:ascii="宋体" w:hAnsi="宋体" w:cs="微软雅黑"/>
          <w:kern w:val="0"/>
          <w:position w:val="-2"/>
          <w:szCs w:val="21"/>
          <w:highlight w:val="none"/>
        </w:rPr>
        <w:t>：职</w:t>
      </w:r>
      <w:r>
        <w:rPr>
          <w:rFonts w:hint="eastAsia" w:ascii="宋体" w:hAnsi="宋体" w:cs="微软雅黑"/>
          <w:spacing w:val="-2"/>
          <w:kern w:val="0"/>
          <w:position w:val="-2"/>
          <w:szCs w:val="21"/>
          <w:highlight w:val="none"/>
        </w:rPr>
        <w:t>务</w:t>
      </w:r>
      <w:r>
        <w:rPr>
          <w:rFonts w:hint="eastAsia" w:ascii="宋体" w:hAnsi="宋体" w:cs="微软雅黑"/>
          <w:kern w:val="0"/>
          <w:position w:val="-2"/>
          <w:szCs w:val="21"/>
          <w:highlight w:val="none"/>
        </w:rPr>
        <w:t>：系</w:t>
      </w:r>
      <w:r>
        <w:rPr>
          <w:rFonts w:hint="eastAsia" w:ascii="宋体" w:hAnsi="宋体" w:cs="微软雅黑"/>
          <w:spacing w:val="-2"/>
          <w:kern w:val="0"/>
          <w:position w:val="-2"/>
          <w:szCs w:val="21"/>
          <w:highlight w:val="none"/>
        </w:rPr>
        <w:t>（</w:t>
      </w:r>
      <w:r>
        <w:rPr>
          <w:rFonts w:hint="eastAsia" w:ascii="宋体" w:hAnsi="宋体" w:cs="微软雅黑"/>
          <w:kern w:val="0"/>
          <w:position w:val="-2"/>
          <w:szCs w:val="21"/>
          <w:highlight w:val="none"/>
        </w:rPr>
        <w:t>供应商</w:t>
      </w:r>
      <w:r>
        <w:rPr>
          <w:rFonts w:hint="eastAsia" w:ascii="宋体" w:hAnsi="宋体" w:cs="微软雅黑"/>
          <w:spacing w:val="-2"/>
          <w:kern w:val="0"/>
          <w:position w:val="-2"/>
          <w:szCs w:val="21"/>
          <w:highlight w:val="none"/>
        </w:rPr>
        <w:t>名</w:t>
      </w:r>
      <w:r>
        <w:rPr>
          <w:rFonts w:hint="eastAsia" w:ascii="宋体" w:hAnsi="宋体" w:cs="微软雅黑"/>
          <w:kern w:val="0"/>
          <w:position w:val="-2"/>
          <w:szCs w:val="21"/>
          <w:highlight w:val="none"/>
        </w:rPr>
        <w:t>称</w:t>
      </w:r>
      <w:r>
        <w:rPr>
          <w:rFonts w:hint="eastAsia" w:ascii="宋体" w:hAnsi="宋体" w:cs="微软雅黑"/>
          <w:spacing w:val="-2"/>
          <w:kern w:val="0"/>
          <w:position w:val="-2"/>
          <w:szCs w:val="21"/>
          <w:highlight w:val="none"/>
        </w:rPr>
        <w:t>）</w:t>
      </w:r>
      <w:r>
        <w:rPr>
          <w:rFonts w:hint="eastAsia" w:ascii="宋体" w:hAnsi="宋体" w:cs="微软雅黑"/>
          <w:kern w:val="0"/>
          <w:position w:val="-2"/>
          <w:szCs w:val="21"/>
          <w:highlight w:val="none"/>
        </w:rPr>
        <w:t>的</w:t>
      </w:r>
      <w:r>
        <w:rPr>
          <w:rFonts w:hint="eastAsia" w:ascii="宋体" w:hAnsi="宋体" w:cs="微软雅黑"/>
          <w:spacing w:val="-2"/>
          <w:kern w:val="0"/>
          <w:position w:val="-2"/>
          <w:szCs w:val="21"/>
          <w:highlight w:val="none"/>
        </w:rPr>
        <w:t>法定</w:t>
      </w:r>
      <w:r>
        <w:rPr>
          <w:rFonts w:hint="eastAsia" w:ascii="宋体" w:hAnsi="宋体" w:cs="微软雅黑"/>
          <w:kern w:val="0"/>
          <w:position w:val="-2"/>
          <w:szCs w:val="21"/>
          <w:highlight w:val="none"/>
        </w:rPr>
        <w:t>代表</w:t>
      </w:r>
      <w:r>
        <w:rPr>
          <w:rFonts w:hint="eastAsia" w:ascii="宋体" w:hAnsi="宋体" w:cs="微软雅黑"/>
          <w:spacing w:val="-2"/>
          <w:kern w:val="0"/>
          <w:position w:val="-2"/>
          <w:szCs w:val="21"/>
          <w:highlight w:val="none"/>
        </w:rPr>
        <w:t>人</w:t>
      </w:r>
      <w:r>
        <w:rPr>
          <w:rFonts w:hint="eastAsia" w:ascii="宋体" w:hAnsi="宋体" w:cs="微软雅黑"/>
          <w:kern w:val="0"/>
          <w:position w:val="-2"/>
          <w:szCs w:val="21"/>
          <w:highlight w:val="none"/>
        </w:rPr>
        <w:t>（</w:t>
      </w:r>
      <w:r>
        <w:rPr>
          <w:rFonts w:hint="eastAsia" w:ascii="宋体" w:hAnsi="宋体" w:cs="微软雅黑"/>
          <w:spacing w:val="-2"/>
          <w:kern w:val="0"/>
          <w:position w:val="-2"/>
          <w:szCs w:val="21"/>
          <w:highlight w:val="none"/>
        </w:rPr>
        <w:t>单</w:t>
      </w:r>
      <w:r>
        <w:rPr>
          <w:rFonts w:hint="eastAsia" w:ascii="宋体" w:hAnsi="宋体" w:cs="微软雅黑"/>
          <w:kern w:val="0"/>
          <w:position w:val="-2"/>
          <w:szCs w:val="21"/>
          <w:highlight w:val="none"/>
        </w:rPr>
        <w:t>位</w:t>
      </w:r>
      <w:r>
        <w:rPr>
          <w:rFonts w:hint="eastAsia" w:ascii="宋体" w:hAnsi="宋体" w:cs="微软雅黑"/>
          <w:spacing w:val="-2"/>
          <w:kern w:val="0"/>
          <w:position w:val="-2"/>
          <w:szCs w:val="21"/>
          <w:highlight w:val="none"/>
        </w:rPr>
        <w:t>负</w:t>
      </w:r>
      <w:r>
        <w:rPr>
          <w:rFonts w:hint="eastAsia" w:ascii="宋体" w:hAnsi="宋体" w:cs="微软雅黑"/>
          <w:kern w:val="0"/>
          <w:position w:val="-2"/>
          <w:szCs w:val="21"/>
          <w:highlight w:val="none"/>
        </w:rPr>
        <w:t>责</w:t>
      </w:r>
      <w:r>
        <w:rPr>
          <w:rFonts w:hint="eastAsia" w:ascii="宋体" w:hAnsi="宋体" w:cs="微软雅黑"/>
          <w:spacing w:val="-2"/>
          <w:kern w:val="0"/>
          <w:position w:val="-2"/>
          <w:szCs w:val="21"/>
          <w:highlight w:val="none"/>
        </w:rPr>
        <w:t>人</w:t>
      </w:r>
      <w:r>
        <w:rPr>
          <w:rFonts w:hint="eastAsia" w:ascii="宋体" w:hAnsi="宋体" w:cs="微软雅黑"/>
          <w:spacing w:val="-106"/>
          <w:kern w:val="0"/>
          <w:position w:val="-2"/>
          <w:szCs w:val="21"/>
          <w:highlight w:val="none"/>
        </w:rPr>
        <w:t>）</w:t>
      </w:r>
      <w:r>
        <w:rPr>
          <w:rFonts w:hint="eastAsia" w:ascii="宋体" w:hAnsi="宋体" w:cs="微软雅黑"/>
          <w:kern w:val="0"/>
          <w:position w:val="-2"/>
          <w:szCs w:val="21"/>
          <w:highlight w:val="none"/>
        </w:rPr>
        <w:t>。</w:t>
      </w:r>
    </w:p>
    <w:p w14:paraId="4D08FE57">
      <w:pPr>
        <w:autoSpaceDE w:val="0"/>
        <w:autoSpaceDN w:val="0"/>
        <w:adjustRightInd w:val="0"/>
        <w:snapToGrid w:val="0"/>
        <w:spacing w:before="120" w:beforeLines="50" w:line="360" w:lineRule="auto"/>
        <w:ind w:left="520" w:right="-20"/>
        <w:jc w:val="left"/>
        <w:rPr>
          <w:rFonts w:hint="eastAsia" w:ascii="宋体" w:hAnsi="宋体" w:cs="微软雅黑"/>
          <w:kern w:val="0"/>
          <w:szCs w:val="21"/>
          <w:highlight w:val="none"/>
        </w:rPr>
      </w:pPr>
      <w:r>
        <w:rPr>
          <w:rFonts w:hint="eastAsia" w:ascii="宋体" w:hAnsi="宋体" w:cs="微软雅黑"/>
          <w:kern w:val="0"/>
          <w:szCs w:val="21"/>
          <w:highlight w:val="none"/>
        </w:rPr>
        <w:t>特此</w:t>
      </w:r>
      <w:r>
        <w:rPr>
          <w:rFonts w:hint="eastAsia" w:ascii="宋体" w:hAnsi="宋体" w:cs="微软雅黑"/>
          <w:spacing w:val="-2"/>
          <w:kern w:val="0"/>
          <w:szCs w:val="21"/>
          <w:highlight w:val="none"/>
        </w:rPr>
        <w:t>证</w:t>
      </w:r>
      <w:r>
        <w:rPr>
          <w:rFonts w:hint="eastAsia" w:ascii="宋体" w:hAnsi="宋体" w:cs="微软雅黑"/>
          <w:kern w:val="0"/>
          <w:szCs w:val="21"/>
          <w:highlight w:val="none"/>
        </w:rPr>
        <w:t>明。</w:t>
      </w:r>
    </w:p>
    <w:p w14:paraId="5988FC73">
      <w:pPr>
        <w:autoSpaceDE w:val="0"/>
        <w:autoSpaceDN w:val="0"/>
        <w:adjustRightInd w:val="0"/>
        <w:snapToGrid w:val="0"/>
        <w:spacing w:before="120" w:beforeLines="50" w:line="360" w:lineRule="auto"/>
        <w:ind w:left="100" w:right="4231"/>
        <w:jc w:val="left"/>
        <w:rPr>
          <w:rFonts w:hint="eastAsia" w:ascii="宋体" w:hAnsi="宋体" w:cs="微软雅黑"/>
          <w:kern w:val="0"/>
          <w:szCs w:val="21"/>
          <w:highlight w:val="none"/>
        </w:rPr>
      </w:pPr>
      <w:r>
        <w:rPr>
          <w:rFonts w:hint="eastAsia" w:ascii="宋体" w:hAnsi="宋体" w:cs="微软雅黑"/>
          <w:kern w:val="0"/>
          <w:szCs w:val="21"/>
          <w:highlight w:val="none"/>
        </w:rPr>
        <w:t>附：</w:t>
      </w: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cs="微软雅黑"/>
          <w:kern w:val="0"/>
          <w:szCs w:val="21"/>
          <w:highlight w:val="none"/>
        </w:rPr>
        <w:t>身</w:t>
      </w:r>
      <w:r>
        <w:rPr>
          <w:rFonts w:hint="eastAsia" w:ascii="宋体" w:hAnsi="宋体" w:cs="微软雅黑"/>
          <w:spacing w:val="-2"/>
          <w:kern w:val="0"/>
          <w:szCs w:val="21"/>
          <w:highlight w:val="none"/>
        </w:rPr>
        <w:t>份</w:t>
      </w:r>
      <w:r>
        <w:rPr>
          <w:rFonts w:hint="eastAsia" w:ascii="宋体" w:hAnsi="宋体" w:cs="微软雅黑"/>
          <w:kern w:val="0"/>
          <w:szCs w:val="21"/>
          <w:highlight w:val="none"/>
        </w:rPr>
        <w:t>证</w:t>
      </w:r>
      <w:r>
        <w:rPr>
          <w:rFonts w:hint="eastAsia" w:ascii="宋体" w:hAnsi="宋体" w:cs="微软雅黑"/>
          <w:spacing w:val="-2"/>
          <w:kern w:val="0"/>
          <w:szCs w:val="21"/>
          <w:highlight w:val="none"/>
        </w:rPr>
        <w:t>复</w:t>
      </w:r>
      <w:r>
        <w:rPr>
          <w:rFonts w:hint="eastAsia" w:ascii="宋体" w:hAnsi="宋体" w:cs="微软雅黑"/>
          <w:kern w:val="0"/>
          <w:szCs w:val="21"/>
          <w:highlight w:val="none"/>
        </w:rPr>
        <w:t>印</w:t>
      </w:r>
      <w:r>
        <w:rPr>
          <w:rFonts w:hint="eastAsia" w:ascii="宋体" w:hAnsi="宋体" w:cs="微软雅黑"/>
          <w:spacing w:val="-2"/>
          <w:kern w:val="0"/>
          <w:szCs w:val="21"/>
          <w:highlight w:val="none"/>
        </w:rPr>
        <w:t>件</w:t>
      </w:r>
      <w:r>
        <w:rPr>
          <w:rFonts w:hint="eastAsia" w:ascii="宋体" w:hAnsi="宋体" w:cs="微软雅黑"/>
          <w:kern w:val="0"/>
          <w:szCs w:val="21"/>
          <w:highlight w:val="none"/>
        </w:rPr>
        <w:t>。</w:t>
      </w:r>
    </w:p>
    <w:tbl>
      <w:tblPr>
        <w:tblStyle w:val="48"/>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211E5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vAlign w:val="center"/>
          </w:tcPr>
          <w:p w14:paraId="6B9EC52E">
            <w:pPr>
              <w:adjustRightInd w:val="0"/>
              <w:snapToGrid w:val="0"/>
              <w:spacing w:before="120" w:beforeLines="50" w:line="360" w:lineRule="auto"/>
              <w:jc w:val="center"/>
              <w:rPr>
                <w:rFonts w:hint="eastAsia" w:ascii="宋体" w:hAnsi="宋体"/>
                <w:szCs w:val="21"/>
                <w:highlight w:val="none"/>
              </w:rPr>
            </w:pPr>
            <w:r>
              <w:rPr>
                <w:rFonts w:hint="eastAsia" w:ascii="宋体" w:hAnsi="宋体"/>
                <w:szCs w:val="21"/>
                <w:highlight w:val="none"/>
              </w:rPr>
              <w:t>身份证（正面）</w:t>
            </w:r>
            <w:r>
              <w:rPr>
                <w:rFonts w:hint="eastAsia" w:ascii="宋体" w:hAnsi="宋体" w:cs="微软雅黑"/>
                <w:spacing w:val="-2"/>
                <w:kern w:val="0"/>
                <w:szCs w:val="21"/>
                <w:highlight w:val="none"/>
              </w:rPr>
              <w:t>复</w:t>
            </w:r>
            <w:r>
              <w:rPr>
                <w:rFonts w:hint="eastAsia" w:ascii="宋体" w:hAnsi="宋体" w:cs="微软雅黑"/>
                <w:kern w:val="0"/>
                <w:szCs w:val="21"/>
                <w:highlight w:val="none"/>
              </w:rPr>
              <w:t>印</w:t>
            </w:r>
            <w:r>
              <w:rPr>
                <w:rFonts w:hint="eastAsia" w:ascii="宋体" w:hAnsi="宋体" w:cs="微软雅黑"/>
                <w:spacing w:val="-2"/>
                <w:kern w:val="0"/>
                <w:szCs w:val="21"/>
                <w:highlight w:val="none"/>
              </w:rPr>
              <w:t>件</w:t>
            </w:r>
          </w:p>
        </w:tc>
        <w:tc>
          <w:tcPr>
            <w:tcW w:w="3899" w:type="dxa"/>
            <w:vAlign w:val="center"/>
          </w:tcPr>
          <w:p w14:paraId="29026D6E">
            <w:pPr>
              <w:adjustRightInd w:val="0"/>
              <w:snapToGrid w:val="0"/>
              <w:spacing w:before="120" w:beforeLines="50" w:line="360" w:lineRule="auto"/>
              <w:jc w:val="center"/>
              <w:rPr>
                <w:rFonts w:hint="eastAsia" w:ascii="宋体" w:hAnsi="宋体"/>
                <w:szCs w:val="21"/>
                <w:highlight w:val="none"/>
              </w:rPr>
            </w:pPr>
            <w:r>
              <w:rPr>
                <w:rFonts w:hint="eastAsia" w:ascii="宋体" w:hAnsi="宋体"/>
                <w:szCs w:val="21"/>
                <w:highlight w:val="none"/>
              </w:rPr>
              <w:t>身份证（反面）</w:t>
            </w:r>
            <w:r>
              <w:rPr>
                <w:rFonts w:hint="eastAsia" w:ascii="宋体" w:hAnsi="宋体" w:cs="微软雅黑"/>
                <w:spacing w:val="-2"/>
                <w:kern w:val="0"/>
                <w:szCs w:val="21"/>
                <w:highlight w:val="none"/>
              </w:rPr>
              <w:t>复</w:t>
            </w:r>
            <w:r>
              <w:rPr>
                <w:rFonts w:hint="eastAsia" w:ascii="宋体" w:hAnsi="宋体" w:cs="微软雅黑"/>
                <w:kern w:val="0"/>
                <w:szCs w:val="21"/>
                <w:highlight w:val="none"/>
              </w:rPr>
              <w:t>印</w:t>
            </w:r>
            <w:r>
              <w:rPr>
                <w:rFonts w:hint="eastAsia" w:ascii="宋体" w:hAnsi="宋体" w:cs="微软雅黑"/>
                <w:spacing w:val="-2"/>
                <w:kern w:val="0"/>
                <w:szCs w:val="21"/>
                <w:highlight w:val="none"/>
              </w:rPr>
              <w:t>件</w:t>
            </w:r>
          </w:p>
        </w:tc>
      </w:tr>
    </w:tbl>
    <w:p w14:paraId="049F2865">
      <w:pPr>
        <w:adjustRightInd w:val="0"/>
        <w:snapToGrid w:val="0"/>
        <w:spacing w:before="120" w:beforeLines="50" w:line="360" w:lineRule="auto"/>
        <w:rPr>
          <w:rFonts w:hint="eastAsia" w:ascii="宋体" w:hAnsi="宋体"/>
          <w:szCs w:val="21"/>
          <w:highlight w:val="none"/>
        </w:rPr>
      </w:pPr>
    </w:p>
    <w:p w14:paraId="3DEE8723">
      <w:pPr>
        <w:shd w:val="clear" w:color="auto" w:fill="auto"/>
        <w:adjustRightInd w:val="0"/>
        <w:snapToGrid w:val="0"/>
        <w:spacing w:before="120" w:beforeLines="50" w:line="360" w:lineRule="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注：供应商代表为法定代表人（单位负责人）的提供。供应商为自然人的无需提供。除响应文件中须提供外，还须另外准备一份，不装入响应文件，与项目的响应文件同时分别递交。</w:t>
      </w:r>
    </w:p>
    <w:p w14:paraId="66CD991D">
      <w:pPr>
        <w:adjustRightInd w:val="0"/>
        <w:snapToGrid w:val="0"/>
        <w:spacing w:before="120" w:beforeLines="50" w:line="360" w:lineRule="auto"/>
        <w:rPr>
          <w:rFonts w:hint="eastAsia" w:ascii="宋体" w:hAnsi="宋体"/>
          <w:szCs w:val="21"/>
          <w:highlight w:val="none"/>
        </w:rPr>
      </w:pPr>
    </w:p>
    <w:p w14:paraId="57DF78CD">
      <w:pPr>
        <w:pStyle w:val="30"/>
        <w:adjustRightInd w:val="0"/>
        <w:snapToGrid w:val="0"/>
        <w:spacing w:before="120" w:beforeLines="50" w:line="360" w:lineRule="auto"/>
        <w:rPr>
          <w:rFonts w:hint="eastAsia" w:hAnsi="宋体"/>
          <w:highlight w:val="none"/>
        </w:rPr>
      </w:pPr>
      <w:r>
        <w:rPr>
          <w:rFonts w:hint="eastAsia" w:hAnsi="宋体"/>
          <w:highlight w:val="none"/>
        </w:rPr>
        <w:t>供应商名称(盖单位公章)：</w:t>
      </w:r>
    </w:p>
    <w:p w14:paraId="6E3CB32D">
      <w:pPr>
        <w:adjustRightInd w:val="0"/>
        <w:snapToGrid w:val="0"/>
        <w:spacing w:before="120" w:beforeLines="50" w:line="360" w:lineRule="auto"/>
        <w:ind w:right="24"/>
        <w:rPr>
          <w:rFonts w:hint="eastAsia" w:ascii="仿宋_GB2312" w:hAnsi="宋体" w:eastAsia="仿宋_GB2312"/>
          <w:szCs w:val="21"/>
          <w:highlight w:val="none"/>
        </w:rPr>
      </w:pPr>
      <w:r>
        <w:rPr>
          <w:rFonts w:hint="eastAsia" w:ascii="宋体" w:hAnsi="宋体"/>
          <w:szCs w:val="21"/>
          <w:highlight w:val="none"/>
        </w:rPr>
        <w:t>日期：年月日</w:t>
      </w:r>
    </w:p>
    <w:p w14:paraId="79BA4D7F">
      <w:pPr>
        <w:pStyle w:val="8"/>
        <w:jc w:val="center"/>
        <w:rPr>
          <w:rFonts w:hint="eastAsia" w:ascii="黑体" w:hAnsi="黑体" w:eastAsia="黑体"/>
          <w:sz w:val="28"/>
          <w:szCs w:val="28"/>
          <w:highlight w:val="none"/>
        </w:rPr>
      </w:pPr>
      <w:r>
        <w:rPr>
          <w:highlight w:val="none"/>
        </w:rPr>
        <w:br w:type="page"/>
      </w:r>
      <w:bookmarkStart w:id="441" w:name="_Toc3534"/>
      <w:bookmarkStart w:id="442" w:name="_Toc14599"/>
      <w:bookmarkStart w:id="443" w:name="_Toc1508"/>
      <w:bookmarkStart w:id="444" w:name="_Toc28216"/>
      <w:r>
        <w:rPr>
          <w:rFonts w:hint="eastAsia" w:ascii="黑体" w:hAnsi="黑体" w:eastAsia="黑体"/>
          <w:sz w:val="28"/>
          <w:szCs w:val="28"/>
          <w:highlight w:val="none"/>
        </w:rPr>
        <w:t>三、授权委托书(格式)</w:t>
      </w:r>
      <w:bookmarkEnd w:id="441"/>
      <w:bookmarkEnd w:id="442"/>
      <w:bookmarkEnd w:id="443"/>
      <w:bookmarkEnd w:id="444"/>
    </w:p>
    <w:p w14:paraId="71C9E133">
      <w:pPr>
        <w:autoSpaceDE w:val="0"/>
        <w:autoSpaceDN w:val="0"/>
        <w:adjustRightInd w:val="0"/>
        <w:snapToGrid w:val="0"/>
        <w:spacing w:before="120" w:beforeLines="50" w:line="360" w:lineRule="auto"/>
        <w:ind w:firstLine="420" w:firstLineChars="200"/>
        <w:jc w:val="left"/>
        <w:rPr>
          <w:rFonts w:hint="eastAsia" w:ascii="宋体" w:hAnsi="宋体" w:cs="宋体"/>
          <w:kern w:val="0"/>
          <w:szCs w:val="21"/>
          <w:highlight w:val="none"/>
        </w:rPr>
      </w:pPr>
    </w:p>
    <w:p w14:paraId="5D23124B">
      <w:pPr>
        <w:autoSpaceDE w:val="0"/>
        <w:autoSpaceDN w:val="0"/>
        <w:adjustRightInd w:val="0"/>
        <w:snapToGrid w:val="0"/>
        <w:spacing w:before="120" w:beforeLines="50" w:line="360" w:lineRule="auto"/>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本人（姓名、职务）系 （</w:t>
      </w:r>
      <w:r>
        <w:rPr>
          <w:rFonts w:hint="eastAsia" w:ascii="宋体" w:hAnsi="宋体"/>
          <w:szCs w:val="21"/>
          <w:highlight w:val="none"/>
        </w:rPr>
        <w:t>供应商</w:t>
      </w:r>
      <w:r>
        <w:rPr>
          <w:rFonts w:hint="eastAsia" w:ascii="宋体" w:hAnsi="宋体" w:cs="宋体"/>
          <w:kern w:val="0"/>
          <w:szCs w:val="21"/>
          <w:highlight w:val="none"/>
        </w:rPr>
        <w:t>名称）的法定代表人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cs="宋体"/>
          <w:kern w:val="0"/>
          <w:szCs w:val="21"/>
          <w:highlight w:val="none"/>
        </w:rPr>
        <w:t>，现授权（姓名、职务）为我方代理人。代理人根据授权，以我方名义：(1)签署、澄清、补正、修改、撤回、提交（项目名称、采购代理编号）响应文件；(2)签署并重新提交响应文件及最后报价；(3)退出磋商（如可能）；(4)签订合同和处理有关事宜，其法律后果由我方承担。</w:t>
      </w:r>
    </w:p>
    <w:p w14:paraId="6A23EFBE">
      <w:pPr>
        <w:autoSpaceDE w:val="0"/>
        <w:autoSpaceDN w:val="0"/>
        <w:adjustRightInd w:val="0"/>
        <w:snapToGrid w:val="0"/>
        <w:spacing w:before="120" w:beforeLines="50" w:line="360" w:lineRule="auto"/>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委托期限： 。</w:t>
      </w:r>
    </w:p>
    <w:p w14:paraId="42F23926">
      <w:pPr>
        <w:adjustRightInd w:val="0"/>
        <w:snapToGrid w:val="0"/>
        <w:spacing w:before="120" w:beforeLines="50" w:line="360" w:lineRule="auto"/>
        <w:ind w:firstLine="435"/>
        <w:rPr>
          <w:rFonts w:hint="eastAsia" w:ascii="宋体" w:hAnsi="宋体" w:cs="宋体"/>
          <w:kern w:val="0"/>
          <w:szCs w:val="21"/>
          <w:highlight w:val="none"/>
        </w:rPr>
      </w:pPr>
      <w:r>
        <w:rPr>
          <w:rFonts w:hint="eastAsia" w:ascii="宋体" w:hAnsi="宋体" w:cs="宋体"/>
          <w:kern w:val="0"/>
          <w:szCs w:val="21"/>
          <w:highlight w:val="none"/>
        </w:rPr>
        <w:t>代理人无转委托权。</w:t>
      </w:r>
    </w:p>
    <w:p w14:paraId="4E7F5ED5">
      <w:pPr>
        <w:adjustRightInd w:val="0"/>
        <w:snapToGrid w:val="0"/>
        <w:spacing w:before="120" w:beforeLines="50" w:line="360" w:lineRule="auto"/>
        <w:ind w:firstLine="435"/>
        <w:rPr>
          <w:rFonts w:hint="eastAsia" w:ascii="宋体" w:hAnsi="宋体" w:cs="微软雅黑"/>
          <w:kern w:val="0"/>
          <w:szCs w:val="21"/>
          <w:highlight w:val="none"/>
        </w:rPr>
      </w:pPr>
      <w:r>
        <w:rPr>
          <w:rFonts w:hint="eastAsia" w:ascii="宋体" w:hAnsi="宋体"/>
          <w:szCs w:val="21"/>
          <w:highlight w:val="none"/>
        </w:rPr>
        <w:t>本授权书于年月日签字生效，特此声明。</w:t>
      </w:r>
    </w:p>
    <w:tbl>
      <w:tblPr>
        <w:tblStyle w:val="48"/>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1641B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vAlign w:val="center"/>
          </w:tcPr>
          <w:p w14:paraId="309F7B0C">
            <w:pPr>
              <w:adjustRightInd w:val="0"/>
              <w:snapToGrid w:val="0"/>
              <w:spacing w:before="120" w:beforeLines="50" w:line="360" w:lineRule="auto"/>
              <w:jc w:val="center"/>
              <w:rPr>
                <w:rFonts w:hint="eastAsia" w:ascii="宋体" w:hAnsi="宋体"/>
                <w:szCs w:val="21"/>
                <w:highlight w:val="none"/>
              </w:rPr>
            </w:pPr>
            <w:r>
              <w:rPr>
                <w:rFonts w:hint="eastAsia" w:ascii="宋体" w:hAnsi="宋体"/>
                <w:szCs w:val="21"/>
                <w:highlight w:val="none"/>
              </w:rPr>
              <w:t>身份证（正面）</w:t>
            </w:r>
            <w:r>
              <w:rPr>
                <w:rFonts w:hint="eastAsia" w:ascii="宋体" w:hAnsi="宋体" w:cs="微软雅黑"/>
                <w:spacing w:val="-2"/>
                <w:kern w:val="0"/>
                <w:szCs w:val="21"/>
                <w:highlight w:val="none"/>
              </w:rPr>
              <w:t>复</w:t>
            </w:r>
            <w:r>
              <w:rPr>
                <w:rFonts w:hint="eastAsia" w:ascii="宋体" w:hAnsi="宋体" w:cs="微软雅黑"/>
                <w:kern w:val="0"/>
                <w:szCs w:val="21"/>
                <w:highlight w:val="none"/>
              </w:rPr>
              <w:t>印</w:t>
            </w:r>
            <w:r>
              <w:rPr>
                <w:rFonts w:hint="eastAsia" w:ascii="宋体" w:hAnsi="宋体" w:cs="微软雅黑"/>
                <w:spacing w:val="-2"/>
                <w:kern w:val="0"/>
                <w:szCs w:val="21"/>
                <w:highlight w:val="none"/>
              </w:rPr>
              <w:t>件</w:t>
            </w:r>
          </w:p>
        </w:tc>
        <w:tc>
          <w:tcPr>
            <w:tcW w:w="3899" w:type="dxa"/>
            <w:vAlign w:val="center"/>
          </w:tcPr>
          <w:p w14:paraId="52D74668">
            <w:pPr>
              <w:adjustRightInd w:val="0"/>
              <w:snapToGrid w:val="0"/>
              <w:spacing w:before="120" w:beforeLines="50" w:line="360" w:lineRule="auto"/>
              <w:jc w:val="center"/>
              <w:rPr>
                <w:rFonts w:hint="eastAsia" w:ascii="宋体" w:hAnsi="宋体"/>
                <w:szCs w:val="21"/>
                <w:highlight w:val="none"/>
              </w:rPr>
            </w:pPr>
            <w:r>
              <w:rPr>
                <w:rFonts w:hint="eastAsia" w:ascii="宋体" w:hAnsi="宋体"/>
                <w:szCs w:val="21"/>
                <w:highlight w:val="none"/>
              </w:rPr>
              <w:t>身份证（反面）</w:t>
            </w:r>
            <w:r>
              <w:rPr>
                <w:rFonts w:hint="eastAsia" w:ascii="宋体" w:hAnsi="宋体" w:cs="微软雅黑"/>
                <w:spacing w:val="-2"/>
                <w:kern w:val="0"/>
                <w:szCs w:val="21"/>
                <w:highlight w:val="none"/>
              </w:rPr>
              <w:t>复</w:t>
            </w:r>
            <w:r>
              <w:rPr>
                <w:rFonts w:hint="eastAsia" w:ascii="宋体" w:hAnsi="宋体" w:cs="微软雅黑"/>
                <w:kern w:val="0"/>
                <w:szCs w:val="21"/>
                <w:highlight w:val="none"/>
              </w:rPr>
              <w:t>印</w:t>
            </w:r>
            <w:r>
              <w:rPr>
                <w:rFonts w:hint="eastAsia" w:ascii="宋体" w:hAnsi="宋体" w:cs="微软雅黑"/>
                <w:spacing w:val="-2"/>
                <w:kern w:val="0"/>
                <w:szCs w:val="21"/>
                <w:highlight w:val="none"/>
              </w:rPr>
              <w:t>件</w:t>
            </w:r>
          </w:p>
        </w:tc>
      </w:tr>
    </w:tbl>
    <w:p w14:paraId="2C94F293">
      <w:pPr>
        <w:adjustRightInd w:val="0"/>
        <w:snapToGrid w:val="0"/>
        <w:spacing w:before="120" w:beforeLines="50" w:line="360" w:lineRule="auto"/>
        <w:ind w:firstLine="420" w:firstLineChars="200"/>
        <w:rPr>
          <w:rFonts w:hint="eastAsia" w:ascii="宋体" w:hAnsi="宋体"/>
          <w:szCs w:val="21"/>
          <w:highlight w:val="none"/>
        </w:rPr>
      </w:pPr>
    </w:p>
    <w:p w14:paraId="0A136220">
      <w:pPr>
        <w:adjustRightInd w:val="0"/>
        <w:snapToGrid w:val="0"/>
        <w:spacing w:before="120" w:beforeLines="50" w:line="360" w:lineRule="auto"/>
        <w:ind w:firstLine="420" w:firstLineChars="200"/>
        <w:rPr>
          <w:rFonts w:hint="eastAsia" w:ascii="宋体" w:hAnsi="宋体"/>
          <w:szCs w:val="21"/>
          <w:highlight w:val="none"/>
        </w:rPr>
      </w:pPr>
    </w:p>
    <w:p w14:paraId="41CBAA4D">
      <w:pPr>
        <w:adjustRightInd w:val="0"/>
        <w:snapToGrid w:val="0"/>
        <w:spacing w:before="120" w:beforeLines="50" w:line="360" w:lineRule="auto"/>
        <w:ind w:firstLine="420" w:firstLineChars="200"/>
        <w:rPr>
          <w:rFonts w:hint="eastAsia" w:ascii="宋体" w:hAnsi="宋体"/>
          <w:szCs w:val="21"/>
          <w:highlight w:val="none"/>
        </w:rPr>
      </w:pPr>
      <w:r>
        <w:rPr>
          <w:rFonts w:hint="eastAsia" w:ascii="宋体" w:hAnsi="宋体"/>
          <w:szCs w:val="21"/>
          <w:highlight w:val="none"/>
        </w:rPr>
        <w:t>注：供应商代表为法定代表人（单位负责人）的提供。供应商为自然人的无需提供。附被授权人在供应商单位近三个月内任意一个月的社保证明。除响应文件中须提供外，还须另外准备一份，不装入响应文件，与项目的响应文件同时分别递交。</w:t>
      </w:r>
    </w:p>
    <w:p w14:paraId="03F157C2">
      <w:pPr>
        <w:adjustRightInd w:val="0"/>
        <w:snapToGrid w:val="0"/>
        <w:spacing w:before="120" w:beforeLines="50" w:line="360" w:lineRule="auto"/>
        <w:ind w:firstLine="420" w:firstLineChars="200"/>
        <w:rPr>
          <w:rFonts w:hint="eastAsia" w:ascii="宋体" w:hAnsi="宋体"/>
          <w:szCs w:val="21"/>
          <w:highlight w:val="none"/>
        </w:rPr>
      </w:pPr>
    </w:p>
    <w:p w14:paraId="4967C946">
      <w:pPr>
        <w:pStyle w:val="30"/>
        <w:adjustRightInd w:val="0"/>
        <w:snapToGrid w:val="0"/>
        <w:spacing w:before="120" w:beforeLines="50" w:line="360" w:lineRule="auto"/>
        <w:rPr>
          <w:rFonts w:hint="eastAsia" w:hAnsi="宋体"/>
          <w:highlight w:val="none"/>
        </w:rPr>
      </w:pPr>
      <w:r>
        <w:rPr>
          <w:rFonts w:hint="eastAsia" w:hAnsi="宋体"/>
          <w:highlight w:val="none"/>
        </w:rPr>
        <w:t>供应商名称(盖单位公章)：</w:t>
      </w:r>
    </w:p>
    <w:p w14:paraId="5468A34D">
      <w:pPr>
        <w:adjustRightInd w:val="0"/>
        <w:snapToGrid w:val="0"/>
        <w:spacing w:before="120" w:beforeLines="50" w:line="360" w:lineRule="auto"/>
        <w:rPr>
          <w:rFonts w:hint="eastAsia"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p>
    <w:p w14:paraId="35FDC292">
      <w:pPr>
        <w:adjustRightInd w:val="0"/>
        <w:snapToGrid w:val="0"/>
        <w:spacing w:before="120" w:beforeLines="50" w:line="360" w:lineRule="auto"/>
        <w:rPr>
          <w:rFonts w:hint="eastAsia" w:ascii="宋体" w:hAnsi="宋体"/>
          <w:szCs w:val="21"/>
          <w:highlight w:val="none"/>
          <w:u w:val="single"/>
        </w:rPr>
      </w:pPr>
      <w:r>
        <w:rPr>
          <w:rFonts w:hint="eastAsia" w:ascii="宋体" w:hAnsi="宋体"/>
          <w:szCs w:val="21"/>
          <w:highlight w:val="none"/>
        </w:rPr>
        <w:t>被授权的代理人（签字或者印章）：</w:t>
      </w:r>
    </w:p>
    <w:p w14:paraId="79FFC92E">
      <w:pPr>
        <w:adjustRightInd w:val="0"/>
        <w:snapToGrid w:val="0"/>
        <w:spacing w:before="120" w:beforeLines="50" w:line="360" w:lineRule="auto"/>
        <w:rPr>
          <w:rFonts w:hint="eastAsia" w:ascii="宋体" w:hAnsi="宋体"/>
          <w:szCs w:val="21"/>
          <w:highlight w:val="none"/>
        </w:rPr>
      </w:pPr>
      <w:r>
        <w:rPr>
          <w:rFonts w:hint="eastAsia" w:ascii="宋体" w:hAnsi="宋体"/>
          <w:szCs w:val="21"/>
          <w:highlight w:val="none"/>
        </w:rPr>
        <w:t>日期：年月日</w:t>
      </w:r>
    </w:p>
    <w:p w14:paraId="63E2EC04">
      <w:pPr>
        <w:pStyle w:val="8"/>
        <w:jc w:val="center"/>
        <w:rPr>
          <w:rFonts w:hint="eastAsia" w:ascii="黑体" w:hAnsi="黑体" w:eastAsia="黑体"/>
          <w:sz w:val="28"/>
          <w:szCs w:val="28"/>
          <w:highlight w:val="none"/>
        </w:rPr>
      </w:pPr>
      <w:r>
        <w:rPr>
          <w:rFonts w:ascii="宋体"/>
          <w:highlight w:val="none"/>
        </w:rPr>
        <w:br w:type="page"/>
      </w:r>
      <w:bookmarkStart w:id="445" w:name="_Toc19950"/>
      <w:bookmarkStart w:id="446" w:name="_Toc11961"/>
      <w:bookmarkStart w:id="447" w:name="_Toc24562"/>
      <w:bookmarkStart w:id="448" w:name="_Toc12009"/>
      <w:r>
        <w:rPr>
          <w:rFonts w:hint="eastAsia" w:ascii="黑体" w:hAnsi="黑体" w:eastAsia="黑体"/>
          <w:sz w:val="28"/>
          <w:szCs w:val="28"/>
          <w:highlight w:val="none"/>
        </w:rPr>
        <w:t>四、保证金</w:t>
      </w:r>
      <w:bookmarkEnd w:id="445"/>
      <w:bookmarkEnd w:id="446"/>
      <w:bookmarkEnd w:id="447"/>
      <w:bookmarkEnd w:id="448"/>
    </w:p>
    <w:p w14:paraId="0C6AA033">
      <w:pPr>
        <w:adjustRightInd w:val="0"/>
        <w:snapToGrid w:val="0"/>
        <w:spacing w:before="120" w:beforeLines="50" w:line="360" w:lineRule="auto"/>
        <w:ind w:firstLine="422" w:firstLineChars="200"/>
        <w:jc w:val="left"/>
        <w:rPr>
          <w:rFonts w:hint="eastAsia" w:ascii="宋体" w:hAnsi="宋体"/>
          <w:szCs w:val="21"/>
          <w:highlight w:val="none"/>
        </w:rPr>
      </w:pPr>
      <w:r>
        <w:rPr>
          <w:rFonts w:hint="eastAsia" w:ascii="宋体" w:hAnsi="宋体"/>
          <w:b/>
          <w:szCs w:val="21"/>
          <w:highlight w:val="none"/>
        </w:rPr>
        <w:t>注</w:t>
      </w:r>
      <w:r>
        <w:rPr>
          <w:rFonts w:hint="eastAsia" w:ascii="宋体" w:hAnsi="宋体"/>
          <w:szCs w:val="21"/>
          <w:highlight w:val="none"/>
        </w:rPr>
        <w:t>：提供：付款凭证复印件，或者金融机构、担保机构出具的保函原件。</w:t>
      </w:r>
    </w:p>
    <w:p w14:paraId="75928CC0">
      <w:pPr>
        <w:adjustRightInd w:val="0"/>
        <w:snapToGrid w:val="0"/>
        <w:spacing w:before="120" w:beforeLines="50" w:line="360" w:lineRule="auto"/>
        <w:ind w:firstLine="420" w:firstLineChars="200"/>
        <w:jc w:val="left"/>
        <w:rPr>
          <w:rFonts w:hint="eastAsia" w:ascii="宋体" w:hAnsi="宋体"/>
          <w:highlight w:val="none"/>
        </w:rPr>
      </w:pPr>
    </w:p>
    <w:p w14:paraId="0CAB19BC">
      <w:pPr>
        <w:pStyle w:val="9"/>
        <w:rPr>
          <w:rFonts w:hint="eastAsia" w:ascii="宋体" w:hAnsi="宋体"/>
          <w:sz w:val="21"/>
          <w:szCs w:val="21"/>
          <w:highlight w:val="none"/>
        </w:rPr>
      </w:pPr>
      <w:bookmarkStart w:id="449" w:name="_Toc17227"/>
      <w:bookmarkStart w:id="450" w:name="_Toc12752"/>
      <w:bookmarkStart w:id="451" w:name="_Toc14868"/>
      <w:bookmarkStart w:id="452" w:name="_Toc26696"/>
      <w:r>
        <w:rPr>
          <w:rFonts w:hint="eastAsia" w:ascii="宋体" w:hAnsi="宋体"/>
          <w:sz w:val="21"/>
          <w:szCs w:val="21"/>
          <w:highlight w:val="none"/>
        </w:rPr>
        <w:t>附件4</w:t>
      </w:r>
      <w:r>
        <w:rPr>
          <w:rStyle w:val="101"/>
          <w:rFonts w:hint="eastAsia" w:ascii="宋体" w:hAnsi="宋体"/>
          <w:b/>
          <w:bCs/>
          <w:sz w:val="21"/>
          <w:szCs w:val="21"/>
          <w:highlight w:val="none"/>
        </w:rPr>
        <w:t>-</w:t>
      </w:r>
      <w:r>
        <w:rPr>
          <w:rFonts w:hint="eastAsia" w:ascii="宋体" w:hAnsi="宋体"/>
          <w:sz w:val="21"/>
          <w:szCs w:val="21"/>
          <w:highlight w:val="none"/>
        </w:rPr>
        <w:t>1保函（格式）</w:t>
      </w:r>
      <w:bookmarkEnd w:id="449"/>
      <w:bookmarkEnd w:id="450"/>
      <w:bookmarkEnd w:id="451"/>
      <w:bookmarkEnd w:id="452"/>
    </w:p>
    <w:p w14:paraId="433CB303">
      <w:pPr>
        <w:adjustRightInd w:val="0"/>
        <w:snapToGrid w:val="0"/>
        <w:spacing w:before="120" w:beforeLines="50" w:line="360" w:lineRule="auto"/>
        <w:jc w:val="center"/>
        <w:rPr>
          <w:rFonts w:hint="eastAsia" w:ascii="黑体" w:hAnsi="黑体" w:eastAsia="黑体"/>
          <w:b/>
          <w:sz w:val="28"/>
          <w:szCs w:val="28"/>
          <w:highlight w:val="none"/>
          <w:u w:val="single"/>
        </w:rPr>
      </w:pPr>
      <w:r>
        <w:rPr>
          <w:rFonts w:hint="eastAsia" w:ascii="黑体" w:hAnsi="黑体" w:eastAsia="黑体"/>
          <w:b/>
          <w:sz w:val="28"/>
          <w:szCs w:val="28"/>
          <w:highlight w:val="none"/>
        </w:rPr>
        <w:t>保函（格式）</w:t>
      </w:r>
    </w:p>
    <w:p w14:paraId="4EF9C7F0">
      <w:pPr>
        <w:adjustRightInd w:val="0"/>
        <w:snapToGrid w:val="0"/>
        <w:spacing w:before="120" w:beforeLines="50" w:line="360" w:lineRule="auto"/>
        <w:jc w:val="center"/>
        <w:rPr>
          <w:rFonts w:hint="eastAsia" w:ascii="宋体" w:hAnsi="宋体"/>
          <w:highlight w:val="none"/>
          <w:u w:val="single"/>
        </w:rPr>
      </w:pPr>
      <w:r>
        <w:rPr>
          <w:rFonts w:hint="eastAsia" w:ascii="宋体" w:hAnsi="宋体"/>
          <w:highlight w:val="none"/>
        </w:rPr>
        <w:t>（金融机构、担保机构保函）</w:t>
      </w:r>
    </w:p>
    <w:p w14:paraId="2BFA9C54">
      <w:pPr>
        <w:adjustRightInd w:val="0"/>
        <w:snapToGrid w:val="0"/>
        <w:spacing w:before="120" w:beforeLines="50" w:line="360" w:lineRule="auto"/>
        <w:jc w:val="left"/>
        <w:rPr>
          <w:rFonts w:hint="eastAsia" w:ascii="宋体" w:hAnsi="宋体"/>
          <w:highlight w:val="none"/>
        </w:rPr>
      </w:pPr>
      <w:r>
        <w:rPr>
          <w:rFonts w:hint="eastAsia" w:ascii="宋体" w:hAnsi="宋体"/>
          <w:highlight w:val="none"/>
        </w:rPr>
        <w:t>（采购人名称）：</w:t>
      </w:r>
    </w:p>
    <w:p w14:paraId="1E7A9708">
      <w:pPr>
        <w:adjustRightInd w:val="0"/>
        <w:snapToGrid w:val="0"/>
        <w:spacing w:before="120" w:beforeLines="50" w:line="360" w:lineRule="auto"/>
        <w:ind w:firstLine="420" w:firstLineChars="200"/>
        <w:jc w:val="left"/>
        <w:rPr>
          <w:rFonts w:hint="eastAsia" w:ascii="宋体" w:hAnsi="宋体"/>
          <w:highlight w:val="none"/>
        </w:rPr>
      </w:pPr>
      <w:r>
        <w:rPr>
          <w:rFonts w:hint="eastAsia" w:ascii="宋体" w:hAnsi="宋体"/>
          <w:highlight w:val="none"/>
        </w:rPr>
        <w:t>鉴于（供应商名称）（以下称“供应商”）于年月日参加（项目名称）的竞争性磋商</w:t>
      </w:r>
      <w:r>
        <w:rPr>
          <w:rFonts w:hint="eastAsia" w:ascii="宋体" w:hAnsi="宋体"/>
          <w:szCs w:val="21"/>
          <w:highlight w:val="none"/>
        </w:rPr>
        <w:t>（政府采购编号：，采购代理编号：）</w:t>
      </w:r>
      <w:r>
        <w:rPr>
          <w:rFonts w:hint="eastAsia" w:ascii="宋体" w:hAnsi="宋体"/>
          <w:highlight w:val="none"/>
        </w:rPr>
        <w:t xml:space="preserve">，（担保人名称，以下简称“我方”）无条件地、不可撤销地保证：若供应商在响应文件有效期内撤销响应文件，或者成交后无正当理由不与采购人订立合同，或者在签订合同时向采购人提出附加条件，或者不按照磋商文件要求提交履约保证金，以及发生磋商文件明确规定可以不予退还保证金的其他情形，我方承担保证责任。收到你方书面通知后，我方在 7 日内向你方无条件支付人民币（大写）。 </w:t>
      </w:r>
    </w:p>
    <w:p w14:paraId="477A8551">
      <w:pPr>
        <w:adjustRightInd w:val="0"/>
        <w:snapToGrid w:val="0"/>
        <w:spacing w:before="120" w:beforeLines="50" w:line="360" w:lineRule="auto"/>
        <w:ind w:firstLine="420" w:firstLineChars="200"/>
        <w:jc w:val="left"/>
        <w:rPr>
          <w:rFonts w:hint="eastAsia" w:ascii="宋体" w:hAnsi="宋体"/>
          <w:highlight w:val="none"/>
        </w:rPr>
      </w:pPr>
      <w:r>
        <w:rPr>
          <w:rFonts w:hint="eastAsia" w:ascii="宋体" w:hAnsi="宋体"/>
          <w:highlight w:val="none"/>
        </w:rPr>
        <w:t>本保函在响应文件有效期内保持有效。要求我方承担保证责任的通知应在响应文件有效期内送达我方。</w:t>
      </w:r>
    </w:p>
    <w:p w14:paraId="2DCCBBAD">
      <w:pPr>
        <w:adjustRightInd w:val="0"/>
        <w:snapToGrid w:val="0"/>
        <w:spacing w:before="120" w:beforeLines="50" w:line="360" w:lineRule="auto"/>
        <w:ind w:firstLine="420" w:firstLineChars="200"/>
        <w:jc w:val="left"/>
        <w:rPr>
          <w:rFonts w:hint="eastAsia" w:ascii="宋体" w:hAnsi="宋体"/>
          <w:highlight w:val="none"/>
        </w:rPr>
      </w:pPr>
    </w:p>
    <w:p w14:paraId="32909794">
      <w:pPr>
        <w:adjustRightInd w:val="0"/>
        <w:snapToGrid w:val="0"/>
        <w:spacing w:before="120" w:beforeLines="50" w:line="360" w:lineRule="auto"/>
        <w:ind w:firstLine="420" w:firstLineChars="200"/>
        <w:jc w:val="left"/>
        <w:rPr>
          <w:rFonts w:hint="eastAsia" w:ascii="宋体" w:hAnsi="宋体"/>
          <w:highlight w:val="none"/>
        </w:rPr>
      </w:pPr>
      <w:r>
        <w:rPr>
          <w:rFonts w:hint="eastAsia" w:ascii="宋体" w:hAnsi="宋体"/>
          <w:highlight w:val="none"/>
        </w:rPr>
        <w:t>担保人名称：（盖单位公章）</w:t>
      </w:r>
    </w:p>
    <w:p w14:paraId="70C79FC3">
      <w:pPr>
        <w:adjustRightInd w:val="0"/>
        <w:snapToGrid w:val="0"/>
        <w:spacing w:before="120" w:beforeLines="50" w:line="360" w:lineRule="auto"/>
        <w:ind w:firstLine="420" w:firstLineChars="200"/>
        <w:jc w:val="left"/>
        <w:rPr>
          <w:rFonts w:hint="eastAsia" w:ascii="宋体" w:hAnsi="宋体"/>
          <w:highlight w:val="none"/>
        </w:rPr>
      </w:pPr>
      <w:r>
        <w:rPr>
          <w:rFonts w:hint="eastAsia" w:ascii="宋体" w:hAnsi="宋体"/>
          <w:highlight w:val="none"/>
        </w:rPr>
        <w:t>法定代表人（单位负责人）或者委托代理人：（签字或者印章）</w:t>
      </w:r>
    </w:p>
    <w:p w14:paraId="2B2A88A6">
      <w:pPr>
        <w:adjustRightInd w:val="0"/>
        <w:snapToGrid w:val="0"/>
        <w:spacing w:before="120" w:beforeLines="50" w:line="360" w:lineRule="auto"/>
        <w:ind w:firstLine="420" w:firstLineChars="200"/>
        <w:jc w:val="left"/>
        <w:rPr>
          <w:rFonts w:hint="eastAsia" w:ascii="宋体" w:hAnsi="宋体"/>
          <w:highlight w:val="none"/>
        </w:rPr>
      </w:pPr>
      <w:r>
        <w:rPr>
          <w:rFonts w:hint="eastAsia" w:ascii="宋体" w:hAnsi="宋体"/>
          <w:highlight w:val="none"/>
        </w:rPr>
        <w:t>地    址：</w:t>
      </w:r>
    </w:p>
    <w:p w14:paraId="33B49A82">
      <w:pPr>
        <w:adjustRightInd w:val="0"/>
        <w:snapToGrid w:val="0"/>
        <w:spacing w:before="120" w:beforeLines="50" w:line="360" w:lineRule="auto"/>
        <w:ind w:firstLine="420" w:firstLineChars="200"/>
        <w:jc w:val="left"/>
        <w:rPr>
          <w:rFonts w:hint="eastAsia" w:ascii="宋体" w:hAnsi="宋体"/>
          <w:highlight w:val="none"/>
        </w:rPr>
      </w:pPr>
      <w:r>
        <w:rPr>
          <w:rFonts w:hint="eastAsia" w:ascii="宋体" w:hAnsi="宋体"/>
          <w:highlight w:val="none"/>
        </w:rPr>
        <w:t>邮政编码：</w:t>
      </w:r>
    </w:p>
    <w:p w14:paraId="35C239CD">
      <w:pPr>
        <w:adjustRightInd w:val="0"/>
        <w:snapToGrid w:val="0"/>
        <w:spacing w:before="120" w:beforeLines="50" w:line="360" w:lineRule="auto"/>
        <w:ind w:firstLine="420" w:firstLineChars="200"/>
        <w:jc w:val="left"/>
        <w:rPr>
          <w:rFonts w:hint="eastAsia" w:ascii="宋体" w:hAnsi="宋体"/>
          <w:highlight w:val="none"/>
        </w:rPr>
      </w:pPr>
      <w:r>
        <w:rPr>
          <w:rFonts w:hint="eastAsia" w:ascii="宋体" w:hAnsi="宋体"/>
          <w:highlight w:val="none"/>
        </w:rPr>
        <w:t>电    话：</w:t>
      </w:r>
    </w:p>
    <w:p w14:paraId="112F01B7">
      <w:pPr>
        <w:adjustRightInd w:val="0"/>
        <w:snapToGrid w:val="0"/>
        <w:spacing w:before="120" w:beforeLines="50" w:line="360" w:lineRule="auto"/>
        <w:ind w:firstLine="420" w:firstLineChars="200"/>
        <w:jc w:val="left"/>
        <w:rPr>
          <w:rFonts w:hint="eastAsia" w:ascii="宋体" w:hAnsi="宋体"/>
          <w:highlight w:val="none"/>
        </w:rPr>
      </w:pPr>
      <w:r>
        <w:rPr>
          <w:rFonts w:hint="eastAsia" w:ascii="宋体" w:hAnsi="宋体"/>
          <w:highlight w:val="none"/>
        </w:rPr>
        <w:t>年月日</w:t>
      </w:r>
    </w:p>
    <w:p w14:paraId="283DE2B8">
      <w:pPr>
        <w:rPr>
          <w:highlight w:val="none"/>
        </w:rPr>
      </w:pPr>
    </w:p>
    <w:p w14:paraId="7B37A510">
      <w:pPr>
        <w:pStyle w:val="8"/>
        <w:jc w:val="center"/>
        <w:rPr>
          <w:rFonts w:hint="eastAsia" w:ascii="黑体" w:hAnsi="黑体" w:eastAsia="黑体"/>
          <w:sz w:val="28"/>
          <w:szCs w:val="28"/>
          <w:highlight w:val="none"/>
        </w:rPr>
      </w:pPr>
      <w:r>
        <w:rPr>
          <w:highlight w:val="none"/>
        </w:rPr>
        <w:br w:type="page"/>
      </w:r>
      <w:bookmarkStart w:id="453" w:name="_Toc20223"/>
      <w:bookmarkStart w:id="454" w:name="_Toc13876"/>
      <w:bookmarkStart w:id="455" w:name="_Toc17351"/>
      <w:bookmarkStart w:id="456" w:name="_Toc20258"/>
      <w:r>
        <w:rPr>
          <w:rFonts w:hint="eastAsia" w:ascii="黑体" w:hAnsi="黑体" w:eastAsia="黑体"/>
          <w:sz w:val="28"/>
          <w:szCs w:val="28"/>
          <w:highlight w:val="none"/>
        </w:rPr>
        <w:t>五、报价表及报价文件(格式)</w:t>
      </w:r>
      <w:bookmarkEnd w:id="453"/>
      <w:bookmarkEnd w:id="454"/>
      <w:bookmarkEnd w:id="455"/>
      <w:bookmarkEnd w:id="456"/>
    </w:p>
    <w:p w14:paraId="3C05C874">
      <w:pPr>
        <w:pStyle w:val="9"/>
        <w:rPr>
          <w:rFonts w:hint="eastAsia" w:ascii="宋体" w:hAnsi="宋体"/>
          <w:sz w:val="21"/>
          <w:szCs w:val="21"/>
          <w:highlight w:val="none"/>
        </w:rPr>
      </w:pPr>
      <w:bookmarkStart w:id="457" w:name="_Toc26552"/>
      <w:bookmarkStart w:id="458" w:name="_Toc29439"/>
      <w:bookmarkStart w:id="459" w:name="_Toc9442"/>
      <w:bookmarkStart w:id="460" w:name="_Toc20613"/>
      <w:r>
        <w:rPr>
          <w:rFonts w:hint="eastAsia" w:ascii="宋体" w:hAnsi="宋体"/>
          <w:sz w:val="21"/>
          <w:szCs w:val="21"/>
          <w:highlight w:val="none"/>
        </w:rPr>
        <w:t>附件5-1 报价表</w:t>
      </w:r>
      <w:bookmarkEnd w:id="457"/>
      <w:bookmarkEnd w:id="458"/>
      <w:bookmarkEnd w:id="459"/>
      <w:bookmarkEnd w:id="460"/>
    </w:p>
    <w:p w14:paraId="7F07263A">
      <w:pPr>
        <w:jc w:val="center"/>
        <w:rPr>
          <w:rFonts w:hint="eastAsia" w:ascii="黑体" w:hAnsi="黑体" w:eastAsia="黑体"/>
          <w:b/>
          <w:sz w:val="28"/>
          <w:szCs w:val="28"/>
          <w:highlight w:val="none"/>
        </w:rPr>
      </w:pPr>
      <w:r>
        <w:rPr>
          <w:rFonts w:hint="eastAsia" w:ascii="黑体" w:hAnsi="黑体" w:eastAsia="黑体"/>
          <w:b/>
          <w:sz w:val="28"/>
          <w:szCs w:val="28"/>
          <w:highlight w:val="none"/>
        </w:rPr>
        <w:t>报价表</w:t>
      </w:r>
    </w:p>
    <w:p w14:paraId="6F9DCD28">
      <w:pPr>
        <w:adjustRightInd w:val="0"/>
        <w:snapToGrid w:val="0"/>
        <w:spacing w:line="360" w:lineRule="auto"/>
        <w:ind w:left="-88" w:leftChars="-42"/>
        <w:jc w:val="center"/>
        <w:rPr>
          <w:rFonts w:hint="eastAsia" w:ascii="仿宋_GB2312" w:hAnsi="宋体" w:eastAsia="仿宋_GB2312"/>
          <w:sz w:val="24"/>
          <w:highlight w:val="none"/>
        </w:rPr>
      </w:pPr>
    </w:p>
    <w:tbl>
      <w:tblPr>
        <w:tblStyle w:val="48"/>
        <w:tblW w:w="90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64"/>
        <w:gridCol w:w="3144"/>
        <w:gridCol w:w="1663"/>
        <w:gridCol w:w="2589"/>
      </w:tblGrid>
      <w:tr w14:paraId="1BCB1A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1664" w:type="dxa"/>
            <w:tcBorders>
              <w:top w:val="double" w:color="auto" w:sz="4" w:space="0"/>
              <w:left w:val="double" w:color="auto" w:sz="4" w:space="0"/>
              <w:bottom w:val="single" w:color="auto" w:sz="6" w:space="0"/>
              <w:right w:val="single" w:color="auto" w:sz="6" w:space="0"/>
            </w:tcBorders>
            <w:vAlign w:val="center"/>
          </w:tcPr>
          <w:p w14:paraId="43CD7792">
            <w:pPr>
              <w:tabs>
                <w:tab w:val="left" w:pos="403"/>
                <w:tab w:val="center" w:pos="3781"/>
              </w:tabs>
              <w:ind w:right="-5206" w:rightChars="-2479" w:firstLine="210" w:firstLineChars="100"/>
              <w:rPr>
                <w:rFonts w:hint="eastAsia" w:ascii="宋体" w:hAnsi="宋体"/>
                <w:szCs w:val="21"/>
                <w:highlight w:val="none"/>
              </w:rPr>
            </w:pPr>
            <w:r>
              <w:rPr>
                <w:rFonts w:ascii="宋体" w:hAnsi="宋体"/>
                <w:szCs w:val="21"/>
                <w:highlight w:val="none"/>
              </w:rPr>
              <w:t>项目名称</w:t>
            </w:r>
            <w:r>
              <w:rPr>
                <w:rFonts w:ascii="宋体" w:hAnsi="宋体"/>
                <w:szCs w:val="21"/>
                <w:highlight w:val="none"/>
              </w:rPr>
              <w:tab/>
            </w:r>
            <w:r>
              <w:rPr>
                <w:rFonts w:ascii="宋体" w:hAnsi="宋体"/>
                <w:szCs w:val="21"/>
                <w:highlight w:val="none"/>
              </w:rPr>
              <w:t>项目名称</w:t>
            </w:r>
          </w:p>
        </w:tc>
        <w:tc>
          <w:tcPr>
            <w:tcW w:w="3144" w:type="dxa"/>
            <w:tcBorders>
              <w:top w:val="double" w:color="auto" w:sz="4" w:space="0"/>
              <w:left w:val="single" w:color="auto" w:sz="6" w:space="0"/>
              <w:bottom w:val="single" w:color="auto" w:sz="6" w:space="0"/>
              <w:right w:val="single" w:color="auto" w:sz="6" w:space="0"/>
            </w:tcBorders>
            <w:vAlign w:val="center"/>
          </w:tcPr>
          <w:p w14:paraId="6A3B21CF">
            <w:pPr>
              <w:jc w:val="center"/>
              <w:rPr>
                <w:rFonts w:hint="eastAsia" w:ascii="宋体" w:hAnsi="宋体"/>
                <w:szCs w:val="21"/>
                <w:highlight w:val="none"/>
              </w:rPr>
            </w:pPr>
          </w:p>
        </w:tc>
        <w:tc>
          <w:tcPr>
            <w:tcW w:w="1663" w:type="dxa"/>
            <w:tcBorders>
              <w:top w:val="double" w:color="auto" w:sz="4" w:space="0"/>
              <w:left w:val="single" w:color="auto" w:sz="6" w:space="0"/>
              <w:right w:val="single" w:color="auto" w:sz="6" w:space="0"/>
            </w:tcBorders>
            <w:vAlign w:val="center"/>
          </w:tcPr>
          <w:p w14:paraId="3DFCCC75">
            <w:pPr>
              <w:jc w:val="center"/>
              <w:rPr>
                <w:rFonts w:hint="eastAsia" w:ascii="宋体" w:hAnsi="宋体"/>
                <w:szCs w:val="21"/>
                <w:highlight w:val="none"/>
              </w:rPr>
            </w:pPr>
            <w:r>
              <w:rPr>
                <w:rFonts w:hint="eastAsia" w:ascii="宋体" w:hAnsi="宋体"/>
                <w:szCs w:val="21"/>
                <w:highlight w:val="none"/>
              </w:rPr>
              <w:t>项目</w:t>
            </w:r>
            <w:r>
              <w:rPr>
                <w:rFonts w:ascii="宋体" w:hAnsi="宋体"/>
                <w:szCs w:val="21"/>
                <w:highlight w:val="none"/>
              </w:rPr>
              <w:t>编号</w:t>
            </w:r>
          </w:p>
        </w:tc>
        <w:tc>
          <w:tcPr>
            <w:tcW w:w="2589" w:type="dxa"/>
            <w:tcBorders>
              <w:top w:val="double" w:color="auto" w:sz="4" w:space="0"/>
              <w:left w:val="single" w:color="auto" w:sz="6" w:space="0"/>
              <w:right w:val="double" w:color="auto" w:sz="4" w:space="0"/>
            </w:tcBorders>
            <w:vAlign w:val="center"/>
          </w:tcPr>
          <w:p w14:paraId="1CD12480">
            <w:pPr>
              <w:jc w:val="center"/>
              <w:rPr>
                <w:rFonts w:hint="eastAsia" w:ascii="宋体" w:hAnsi="宋体"/>
                <w:szCs w:val="21"/>
                <w:highlight w:val="none"/>
              </w:rPr>
            </w:pPr>
          </w:p>
        </w:tc>
      </w:tr>
      <w:tr w14:paraId="0CC1A0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64" w:type="dxa"/>
            <w:tcBorders>
              <w:top w:val="single" w:color="auto" w:sz="6" w:space="0"/>
              <w:left w:val="double" w:color="auto" w:sz="4" w:space="0"/>
              <w:right w:val="single" w:color="auto" w:sz="6" w:space="0"/>
            </w:tcBorders>
            <w:vAlign w:val="center"/>
          </w:tcPr>
          <w:p w14:paraId="02EEE624">
            <w:pPr>
              <w:jc w:val="center"/>
              <w:rPr>
                <w:rFonts w:hint="eastAsia" w:ascii="宋体" w:hAnsi="宋体"/>
                <w:szCs w:val="21"/>
                <w:highlight w:val="none"/>
              </w:rPr>
            </w:pPr>
            <w:r>
              <w:rPr>
                <w:rFonts w:hint="eastAsia" w:ascii="宋体" w:hAnsi="宋体"/>
                <w:szCs w:val="21"/>
                <w:highlight w:val="none"/>
              </w:rPr>
              <w:t>采购内容</w:t>
            </w:r>
          </w:p>
        </w:tc>
        <w:tc>
          <w:tcPr>
            <w:tcW w:w="7396" w:type="dxa"/>
            <w:gridSpan w:val="3"/>
            <w:tcBorders>
              <w:top w:val="single" w:color="auto" w:sz="6" w:space="0"/>
              <w:left w:val="single" w:color="auto" w:sz="6" w:space="0"/>
              <w:bottom w:val="single" w:color="auto" w:sz="6" w:space="0"/>
              <w:right w:val="double" w:color="auto" w:sz="4" w:space="0"/>
            </w:tcBorders>
            <w:vAlign w:val="center"/>
          </w:tcPr>
          <w:p w14:paraId="6DDE9FBA">
            <w:pPr>
              <w:rPr>
                <w:rFonts w:hint="eastAsia" w:ascii="宋体" w:hAnsi="宋体"/>
                <w:szCs w:val="21"/>
                <w:highlight w:val="none"/>
              </w:rPr>
            </w:pPr>
          </w:p>
        </w:tc>
      </w:tr>
      <w:tr w14:paraId="541712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64" w:type="dxa"/>
            <w:tcBorders>
              <w:top w:val="single" w:color="auto" w:sz="6" w:space="0"/>
              <w:left w:val="double" w:color="auto" w:sz="4" w:space="0"/>
              <w:right w:val="single" w:color="auto" w:sz="6" w:space="0"/>
            </w:tcBorders>
            <w:vAlign w:val="center"/>
          </w:tcPr>
          <w:p w14:paraId="3E232445">
            <w:pPr>
              <w:jc w:val="center"/>
              <w:rPr>
                <w:rFonts w:hint="eastAsia" w:ascii="宋体" w:hAnsi="宋体"/>
                <w:szCs w:val="21"/>
                <w:highlight w:val="none"/>
              </w:rPr>
            </w:pPr>
            <w:r>
              <w:rPr>
                <w:rFonts w:hint="eastAsia" w:ascii="宋体" w:hAnsi="宋体"/>
                <w:szCs w:val="21"/>
                <w:highlight w:val="none"/>
              </w:rPr>
              <w:t>总报价</w:t>
            </w:r>
          </w:p>
        </w:tc>
        <w:tc>
          <w:tcPr>
            <w:tcW w:w="7396" w:type="dxa"/>
            <w:gridSpan w:val="3"/>
            <w:tcBorders>
              <w:top w:val="single" w:color="auto" w:sz="6" w:space="0"/>
              <w:left w:val="single" w:color="auto" w:sz="6" w:space="0"/>
              <w:bottom w:val="single" w:color="auto" w:sz="6" w:space="0"/>
              <w:right w:val="double" w:color="auto" w:sz="4" w:space="0"/>
            </w:tcBorders>
            <w:vAlign w:val="center"/>
          </w:tcPr>
          <w:p w14:paraId="5012667C">
            <w:pPr>
              <w:rPr>
                <w:rFonts w:hint="eastAsia" w:ascii="宋体" w:hAnsi="宋体"/>
                <w:szCs w:val="21"/>
                <w:highlight w:val="none"/>
              </w:rPr>
            </w:pPr>
          </w:p>
          <w:p w14:paraId="0F9B71F8">
            <w:pPr>
              <w:rPr>
                <w:rFonts w:hint="eastAsia" w:ascii="宋体" w:hAnsi="宋体"/>
                <w:szCs w:val="21"/>
                <w:highlight w:val="none"/>
              </w:rPr>
            </w:pPr>
            <w:r>
              <w:rPr>
                <w:rFonts w:hint="eastAsia" w:ascii="宋体" w:hAnsi="宋体"/>
                <w:szCs w:val="21"/>
                <w:highlight w:val="none"/>
              </w:rPr>
              <w:t>大写：</w:t>
            </w:r>
            <w:r>
              <w:rPr>
                <w:rFonts w:hint="eastAsia" w:ascii="宋体" w:hAnsi="宋体"/>
                <w:szCs w:val="21"/>
                <w:highlight w:val="none"/>
                <w:u w:val="single"/>
              </w:rPr>
              <w:t xml:space="preserve">                        </w:t>
            </w:r>
            <w:r>
              <w:rPr>
                <w:rFonts w:hint="eastAsia" w:ascii="宋体" w:hAnsi="宋体"/>
                <w:szCs w:val="21"/>
                <w:highlight w:val="none"/>
              </w:rPr>
              <w:t>元人民币整</w:t>
            </w:r>
          </w:p>
          <w:p w14:paraId="43F41480">
            <w:pPr>
              <w:widowControl/>
              <w:jc w:val="left"/>
              <w:rPr>
                <w:rFonts w:hint="eastAsia" w:ascii="宋体" w:hAnsi="宋体"/>
                <w:szCs w:val="21"/>
                <w:highlight w:val="none"/>
              </w:rPr>
            </w:pPr>
          </w:p>
          <w:p w14:paraId="06F6F291">
            <w:pPr>
              <w:widowControl/>
              <w:jc w:val="left"/>
              <w:rPr>
                <w:rFonts w:hint="eastAsia" w:ascii="宋体" w:hAnsi="宋体"/>
                <w:szCs w:val="21"/>
                <w:highlight w:val="none"/>
              </w:rPr>
            </w:pPr>
          </w:p>
          <w:p w14:paraId="79B82263">
            <w:pPr>
              <w:widowControl/>
              <w:jc w:val="left"/>
              <w:rPr>
                <w:rFonts w:hint="eastAsia" w:ascii="宋体" w:hAnsi="宋体"/>
                <w:szCs w:val="21"/>
                <w:highlight w:val="none"/>
              </w:rPr>
            </w:pPr>
            <w:r>
              <w:rPr>
                <w:rFonts w:hint="eastAsia" w:ascii="宋体" w:hAnsi="宋体"/>
                <w:szCs w:val="21"/>
                <w:highlight w:val="none"/>
              </w:rPr>
              <w:t>小写：</w:t>
            </w:r>
            <w:r>
              <w:rPr>
                <w:rFonts w:hint="eastAsia" w:ascii="宋体" w:hAnsi="宋体"/>
                <w:szCs w:val="21"/>
                <w:highlight w:val="none"/>
                <w:u w:val="single"/>
              </w:rPr>
              <w:t xml:space="preserve">                         </w:t>
            </w:r>
            <w:r>
              <w:rPr>
                <w:rFonts w:hint="eastAsia" w:ascii="宋体" w:hAnsi="宋体"/>
                <w:szCs w:val="21"/>
                <w:highlight w:val="none"/>
              </w:rPr>
              <w:t>元人民币整</w:t>
            </w:r>
          </w:p>
        </w:tc>
      </w:tr>
      <w:tr w14:paraId="498CBF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664" w:type="dxa"/>
            <w:tcBorders>
              <w:top w:val="single" w:color="auto" w:sz="6" w:space="0"/>
              <w:left w:val="double" w:color="auto" w:sz="4" w:space="0"/>
              <w:bottom w:val="single" w:color="auto" w:sz="6" w:space="0"/>
              <w:right w:val="single" w:color="auto" w:sz="6" w:space="0"/>
            </w:tcBorders>
            <w:vAlign w:val="center"/>
          </w:tcPr>
          <w:p w14:paraId="5C07F380">
            <w:pPr>
              <w:jc w:val="center"/>
              <w:rPr>
                <w:rFonts w:hint="eastAsia" w:ascii="宋体" w:hAnsi="宋体"/>
                <w:szCs w:val="21"/>
                <w:highlight w:val="none"/>
              </w:rPr>
            </w:pPr>
            <w:r>
              <w:rPr>
                <w:rFonts w:hint="eastAsia" w:ascii="宋体" w:hAnsi="宋体"/>
                <w:szCs w:val="21"/>
                <w:highlight w:val="none"/>
              </w:rPr>
              <w:t>服务期</w:t>
            </w:r>
          </w:p>
        </w:tc>
        <w:tc>
          <w:tcPr>
            <w:tcW w:w="7396" w:type="dxa"/>
            <w:gridSpan w:val="3"/>
            <w:tcBorders>
              <w:top w:val="single" w:color="auto" w:sz="6" w:space="0"/>
              <w:left w:val="single" w:color="auto" w:sz="6" w:space="0"/>
              <w:bottom w:val="single" w:color="auto" w:sz="6" w:space="0"/>
              <w:right w:val="double" w:color="auto" w:sz="4" w:space="0"/>
            </w:tcBorders>
            <w:vAlign w:val="center"/>
          </w:tcPr>
          <w:p w14:paraId="2E1C3538">
            <w:pPr>
              <w:rPr>
                <w:rFonts w:hint="eastAsia" w:ascii="宋体" w:hAnsi="宋体"/>
                <w:iCs/>
                <w:szCs w:val="21"/>
                <w:highlight w:val="none"/>
              </w:rPr>
            </w:pPr>
          </w:p>
        </w:tc>
      </w:tr>
      <w:tr w14:paraId="50A990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664" w:type="dxa"/>
            <w:tcBorders>
              <w:top w:val="single" w:color="auto" w:sz="6" w:space="0"/>
              <w:left w:val="double" w:color="auto" w:sz="4" w:space="0"/>
              <w:bottom w:val="double" w:color="auto" w:sz="4" w:space="0"/>
              <w:right w:val="single" w:color="auto" w:sz="6" w:space="0"/>
            </w:tcBorders>
            <w:vAlign w:val="center"/>
          </w:tcPr>
          <w:p w14:paraId="3C0FB611">
            <w:pPr>
              <w:jc w:val="center"/>
              <w:rPr>
                <w:rFonts w:hint="eastAsia" w:ascii="宋体" w:hAnsi="宋体"/>
                <w:szCs w:val="21"/>
                <w:highlight w:val="none"/>
              </w:rPr>
            </w:pPr>
            <w:r>
              <w:rPr>
                <w:rFonts w:ascii="宋体" w:hAnsi="宋体"/>
                <w:szCs w:val="21"/>
                <w:highlight w:val="none"/>
              </w:rPr>
              <w:t>备  注</w:t>
            </w:r>
          </w:p>
        </w:tc>
        <w:tc>
          <w:tcPr>
            <w:tcW w:w="7396" w:type="dxa"/>
            <w:gridSpan w:val="3"/>
            <w:tcBorders>
              <w:top w:val="single" w:color="auto" w:sz="6" w:space="0"/>
              <w:left w:val="single" w:color="auto" w:sz="6" w:space="0"/>
              <w:bottom w:val="double" w:color="auto" w:sz="4" w:space="0"/>
              <w:right w:val="double" w:color="auto" w:sz="4" w:space="0"/>
            </w:tcBorders>
            <w:vAlign w:val="center"/>
          </w:tcPr>
          <w:p w14:paraId="51070F2B">
            <w:pP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预算金额：936000.00元；最高限价926000.00元。</w:t>
            </w:r>
          </w:p>
          <w:p w14:paraId="183C91AB">
            <w:pPr>
              <w:rPr>
                <w:rFonts w:hint="eastAsia" w:ascii="宋体" w:hAnsi="宋体"/>
                <w:szCs w:val="21"/>
                <w:highlight w:val="none"/>
              </w:rPr>
            </w:pPr>
            <w:r>
              <w:rPr>
                <w:rFonts w:hint="default" w:ascii="Times New Roman" w:hAnsi="Times New Roman" w:cs="Times New Roman"/>
                <w:b/>
                <w:color w:val="auto"/>
                <w:szCs w:val="21"/>
                <w:highlight w:val="none"/>
              </w:rPr>
              <w:t>供应商报价不得超过最高限价，否则在评标时将视为无效响应。</w:t>
            </w:r>
          </w:p>
        </w:tc>
      </w:tr>
    </w:tbl>
    <w:p w14:paraId="39EFD3F6">
      <w:pPr>
        <w:adjustRightInd w:val="0"/>
        <w:snapToGrid w:val="0"/>
        <w:spacing w:before="120" w:beforeLines="50" w:line="360" w:lineRule="auto"/>
        <w:ind w:firstLine="420" w:firstLineChars="200"/>
        <w:rPr>
          <w:rFonts w:hint="eastAsia" w:ascii="宋体" w:hAnsi="宋体"/>
          <w:szCs w:val="21"/>
          <w:highlight w:val="none"/>
        </w:rPr>
      </w:pPr>
    </w:p>
    <w:p w14:paraId="7BF83EA0">
      <w:pPr>
        <w:adjustRightInd w:val="0"/>
        <w:snapToGrid w:val="0"/>
        <w:spacing w:before="120" w:beforeLines="50" w:line="360" w:lineRule="auto"/>
        <w:ind w:firstLine="420" w:firstLineChars="200"/>
        <w:rPr>
          <w:rFonts w:hint="eastAsia" w:ascii="宋体" w:hAnsi="宋体"/>
          <w:szCs w:val="21"/>
          <w:highlight w:val="none"/>
        </w:rPr>
      </w:pPr>
    </w:p>
    <w:p w14:paraId="5B8BE726">
      <w:pPr>
        <w:adjustRightInd w:val="0"/>
        <w:snapToGrid w:val="0"/>
        <w:spacing w:line="360" w:lineRule="auto"/>
        <w:rPr>
          <w:rFonts w:hint="eastAsia" w:ascii="宋体" w:hAnsi="宋体"/>
          <w:szCs w:val="21"/>
          <w:highlight w:val="none"/>
        </w:rPr>
      </w:pPr>
    </w:p>
    <w:p w14:paraId="183693F1">
      <w:pPr>
        <w:adjustRightInd w:val="0"/>
        <w:snapToGrid w:val="0"/>
        <w:spacing w:line="360" w:lineRule="auto"/>
        <w:rPr>
          <w:rFonts w:hint="eastAsia" w:ascii="宋体" w:hAnsi="宋体"/>
          <w:szCs w:val="21"/>
          <w:highlight w:val="none"/>
        </w:rPr>
      </w:pPr>
      <w:r>
        <w:rPr>
          <w:rFonts w:hint="eastAsia" w:ascii="宋体" w:hAnsi="宋体"/>
          <w:szCs w:val="21"/>
          <w:highlight w:val="none"/>
        </w:rPr>
        <w:t>供应商名称（盖单位公章）：</w:t>
      </w:r>
      <w:r>
        <w:rPr>
          <w:rFonts w:hint="eastAsia" w:ascii="宋体" w:hAnsi="宋体"/>
          <w:szCs w:val="21"/>
          <w:highlight w:val="none"/>
          <w:u w:val="single"/>
        </w:rPr>
        <w:t xml:space="preserve">                </w:t>
      </w:r>
    </w:p>
    <w:p w14:paraId="11E4EF61">
      <w:pPr>
        <w:adjustRightInd w:val="0"/>
        <w:snapToGrid w:val="0"/>
        <w:spacing w:line="360" w:lineRule="auto"/>
        <w:rPr>
          <w:rFonts w:hint="eastAsia"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或者其授权的代理人（签字或者印章）：</w:t>
      </w:r>
      <w:r>
        <w:rPr>
          <w:rFonts w:hint="eastAsia" w:ascii="宋体" w:hAnsi="宋体"/>
          <w:szCs w:val="21"/>
          <w:highlight w:val="none"/>
          <w:u w:val="single"/>
        </w:rPr>
        <w:t xml:space="preserve">                </w:t>
      </w:r>
    </w:p>
    <w:p w14:paraId="7745B148">
      <w:pPr>
        <w:adjustRightInd w:val="0"/>
        <w:snapToGrid w:val="0"/>
        <w:spacing w:line="360" w:lineRule="auto"/>
        <w:rPr>
          <w:rFonts w:hint="eastAsia" w:ascii="宋体" w:hAnsi="宋体"/>
          <w:szCs w:val="21"/>
          <w:highlight w:val="none"/>
        </w:rPr>
      </w:pPr>
      <w:r>
        <w:rPr>
          <w:rFonts w:hint="eastAsia" w:ascii="宋体" w:hAnsi="宋体"/>
          <w:szCs w:val="21"/>
          <w:highlight w:val="none"/>
        </w:rPr>
        <w:t>日期：    年  月  日</w:t>
      </w:r>
    </w:p>
    <w:p w14:paraId="0FFFD133">
      <w:pPr>
        <w:adjustRightInd w:val="0"/>
        <w:snapToGrid w:val="0"/>
        <w:jc w:val="center"/>
        <w:rPr>
          <w:rFonts w:hint="eastAsia" w:ascii="黑体" w:hAnsi="黑体" w:eastAsia="黑体"/>
          <w:bCs/>
          <w:sz w:val="30"/>
          <w:szCs w:val="30"/>
          <w:highlight w:val="none"/>
        </w:rPr>
      </w:pPr>
    </w:p>
    <w:p w14:paraId="59B2F1E2">
      <w:pPr>
        <w:pStyle w:val="9"/>
        <w:adjustRightInd w:val="0"/>
        <w:snapToGrid w:val="0"/>
        <w:spacing w:before="120" w:beforeLines="50" w:after="0" w:line="360" w:lineRule="auto"/>
        <w:rPr>
          <w:rFonts w:hint="eastAsia" w:ascii="宋体" w:hAnsi="宋体"/>
          <w:sz w:val="21"/>
          <w:szCs w:val="21"/>
          <w:highlight w:val="none"/>
        </w:rPr>
      </w:pPr>
      <w:r>
        <w:rPr>
          <w:rFonts w:ascii="黑体" w:hAnsi="黑体" w:eastAsia="黑体"/>
          <w:sz w:val="30"/>
          <w:szCs w:val="30"/>
          <w:highlight w:val="none"/>
        </w:rPr>
        <w:br w:type="page"/>
      </w:r>
      <w:bookmarkStart w:id="461" w:name="_Toc11360"/>
      <w:bookmarkStart w:id="462" w:name="_Toc6371"/>
      <w:bookmarkStart w:id="463" w:name="_Toc29567"/>
      <w:bookmarkStart w:id="464" w:name="_Toc19193"/>
      <w:r>
        <w:rPr>
          <w:rFonts w:hint="eastAsia" w:ascii="宋体" w:hAnsi="宋体"/>
          <w:sz w:val="21"/>
          <w:szCs w:val="21"/>
          <w:highlight w:val="none"/>
        </w:rPr>
        <w:t>附件5-2分项报价说明</w:t>
      </w:r>
      <w:bookmarkEnd w:id="461"/>
      <w:bookmarkEnd w:id="462"/>
      <w:bookmarkEnd w:id="463"/>
      <w:bookmarkEnd w:id="464"/>
    </w:p>
    <w:p w14:paraId="36606949">
      <w:pPr>
        <w:autoSpaceDE w:val="0"/>
        <w:autoSpaceDN w:val="0"/>
        <w:adjustRightInd w:val="0"/>
        <w:snapToGrid w:val="0"/>
        <w:spacing w:before="120" w:beforeLines="50" w:line="360" w:lineRule="auto"/>
        <w:jc w:val="center"/>
        <w:rPr>
          <w:rFonts w:hint="eastAsia" w:ascii="黑体" w:hAnsi="宋体" w:eastAsia="黑体" w:cs="微软雅黑"/>
          <w:b/>
          <w:kern w:val="0"/>
          <w:sz w:val="28"/>
          <w:szCs w:val="28"/>
          <w:highlight w:val="none"/>
        </w:rPr>
      </w:pPr>
      <w:r>
        <w:rPr>
          <w:rFonts w:hint="eastAsia" w:ascii="黑体" w:hAnsi="宋体" w:eastAsia="黑体" w:cs="微软雅黑"/>
          <w:b/>
          <w:spacing w:val="-2"/>
          <w:kern w:val="0"/>
          <w:sz w:val="28"/>
          <w:szCs w:val="28"/>
          <w:highlight w:val="none"/>
        </w:rPr>
        <w:t>分</w:t>
      </w:r>
      <w:r>
        <w:rPr>
          <w:rFonts w:hint="eastAsia" w:ascii="黑体" w:hAnsi="宋体" w:eastAsia="黑体" w:cs="微软雅黑"/>
          <w:b/>
          <w:kern w:val="0"/>
          <w:sz w:val="28"/>
          <w:szCs w:val="28"/>
          <w:highlight w:val="none"/>
        </w:rPr>
        <w:t>项</w:t>
      </w:r>
      <w:r>
        <w:rPr>
          <w:rFonts w:hint="eastAsia" w:ascii="黑体" w:hAnsi="宋体" w:eastAsia="黑体" w:cs="微软雅黑"/>
          <w:b/>
          <w:spacing w:val="-2"/>
          <w:kern w:val="0"/>
          <w:sz w:val="28"/>
          <w:szCs w:val="28"/>
          <w:highlight w:val="none"/>
        </w:rPr>
        <w:t>报</w:t>
      </w:r>
      <w:r>
        <w:rPr>
          <w:rFonts w:hint="eastAsia" w:ascii="黑体" w:hAnsi="宋体" w:eastAsia="黑体" w:cs="微软雅黑"/>
          <w:b/>
          <w:kern w:val="0"/>
          <w:sz w:val="28"/>
          <w:szCs w:val="28"/>
          <w:highlight w:val="none"/>
        </w:rPr>
        <w:t>价说明</w:t>
      </w:r>
    </w:p>
    <w:p w14:paraId="0CB12D24">
      <w:pPr>
        <w:autoSpaceDE w:val="0"/>
        <w:autoSpaceDN w:val="0"/>
        <w:adjustRightInd w:val="0"/>
        <w:snapToGrid w:val="0"/>
        <w:spacing w:before="120" w:beforeLines="50" w:line="360" w:lineRule="auto"/>
        <w:jc w:val="left"/>
        <w:rPr>
          <w:rFonts w:hint="eastAsia" w:ascii="宋体" w:hAnsi="宋体" w:cs="微软雅黑"/>
          <w:kern w:val="0"/>
          <w:szCs w:val="21"/>
          <w:highlight w:val="none"/>
        </w:rPr>
      </w:pPr>
    </w:p>
    <w:p w14:paraId="477C1DAA">
      <w:pPr>
        <w:autoSpaceDE w:val="0"/>
        <w:autoSpaceDN w:val="0"/>
        <w:adjustRightInd w:val="0"/>
        <w:snapToGrid w:val="0"/>
        <w:spacing w:before="120" w:beforeLines="50" w:line="360" w:lineRule="auto"/>
        <w:jc w:val="left"/>
        <w:rPr>
          <w:rFonts w:hint="eastAsia" w:ascii="宋体" w:hAnsi="宋体" w:cs="微软雅黑"/>
          <w:kern w:val="0"/>
          <w:szCs w:val="21"/>
          <w:highlight w:val="none"/>
        </w:rPr>
      </w:pPr>
      <w:r>
        <w:rPr>
          <w:rFonts w:hint="eastAsia" w:ascii="宋体" w:hAnsi="宋体"/>
          <w:b/>
          <w:szCs w:val="21"/>
          <w:highlight w:val="none"/>
        </w:rPr>
        <w:t>注</w:t>
      </w:r>
      <w:r>
        <w:rPr>
          <w:rFonts w:hint="eastAsia" w:ascii="宋体" w:hAnsi="宋体" w:cs="微软雅黑"/>
          <w:kern w:val="0"/>
          <w:szCs w:val="21"/>
          <w:highlight w:val="none"/>
        </w:rPr>
        <w:t>：1、供应商应按磋商文件第二章相关要求，对本节</w:t>
      </w:r>
      <w:r>
        <w:rPr>
          <w:rFonts w:hint="eastAsia" w:ascii="宋体" w:hAnsi="宋体"/>
          <w:bCs/>
          <w:szCs w:val="21"/>
          <w:highlight w:val="none"/>
        </w:rPr>
        <w:t>“</w:t>
      </w:r>
      <w:r>
        <w:rPr>
          <w:rFonts w:hint="eastAsia" w:ascii="宋体" w:hAnsi="宋体" w:cs="微软雅黑"/>
          <w:kern w:val="0"/>
          <w:szCs w:val="21"/>
          <w:highlight w:val="none"/>
        </w:rPr>
        <w:t>分项报价明细表</w:t>
      </w:r>
      <w:r>
        <w:rPr>
          <w:rFonts w:hint="eastAsia" w:ascii="宋体" w:hAnsi="宋体"/>
          <w:bCs/>
          <w:szCs w:val="21"/>
          <w:highlight w:val="none"/>
        </w:rPr>
        <w:t>”进行</w:t>
      </w:r>
      <w:r>
        <w:rPr>
          <w:rFonts w:hint="eastAsia" w:ascii="宋体" w:hAnsi="宋体" w:cs="微软雅黑"/>
          <w:kern w:val="0"/>
          <w:szCs w:val="21"/>
          <w:highlight w:val="none"/>
        </w:rPr>
        <w:t>编制，并说明。</w:t>
      </w:r>
    </w:p>
    <w:p w14:paraId="71F9C346">
      <w:pPr>
        <w:keepNext/>
        <w:keepLines/>
        <w:adjustRightInd w:val="0"/>
        <w:snapToGrid w:val="0"/>
        <w:spacing w:before="120" w:beforeLines="50" w:line="360" w:lineRule="auto"/>
        <w:outlineLvl w:val="2"/>
        <w:rPr>
          <w:rFonts w:hint="eastAsia" w:ascii="宋体" w:hAnsi="宋体"/>
          <w:b/>
          <w:bCs/>
          <w:szCs w:val="21"/>
          <w:highlight w:val="none"/>
        </w:rPr>
      </w:pPr>
      <w:bookmarkStart w:id="465" w:name="_Toc107579226"/>
      <w:bookmarkStart w:id="466" w:name="_Toc25710"/>
      <w:bookmarkStart w:id="467" w:name="_Toc22292"/>
      <w:bookmarkStart w:id="468" w:name="_Toc8009"/>
      <w:bookmarkStart w:id="469" w:name="_Toc7207"/>
      <w:bookmarkStart w:id="470" w:name="_Toc9268"/>
      <w:bookmarkStart w:id="471" w:name="_Toc28581"/>
      <w:bookmarkStart w:id="472" w:name="_Toc4508"/>
      <w:bookmarkStart w:id="473" w:name="_Toc27433"/>
      <w:bookmarkStart w:id="474" w:name="_Toc19728"/>
      <w:r>
        <w:rPr>
          <w:rFonts w:hint="eastAsia" w:ascii="宋体" w:hAnsi="宋体" w:cs="宋体"/>
          <w:b/>
          <w:bCs/>
          <w:szCs w:val="21"/>
          <w:highlight w:val="none"/>
        </w:rPr>
        <w:t>附件5-3</w:t>
      </w:r>
      <w:r>
        <w:rPr>
          <w:rFonts w:hint="eastAsia" w:ascii="宋体" w:hAnsi="宋体"/>
          <w:b/>
          <w:bCs/>
          <w:spacing w:val="-2"/>
          <w:position w:val="-3"/>
          <w:szCs w:val="21"/>
          <w:highlight w:val="none"/>
        </w:rPr>
        <w:t>分</w:t>
      </w:r>
      <w:r>
        <w:rPr>
          <w:rFonts w:hint="eastAsia" w:ascii="宋体" w:hAnsi="宋体"/>
          <w:b/>
          <w:bCs/>
          <w:position w:val="-3"/>
          <w:szCs w:val="21"/>
          <w:highlight w:val="none"/>
        </w:rPr>
        <w:t>项</w:t>
      </w:r>
      <w:r>
        <w:rPr>
          <w:rFonts w:hint="eastAsia" w:ascii="宋体" w:hAnsi="宋体"/>
          <w:b/>
          <w:bCs/>
          <w:spacing w:val="-2"/>
          <w:position w:val="-3"/>
          <w:szCs w:val="21"/>
          <w:highlight w:val="none"/>
        </w:rPr>
        <w:t>报</w:t>
      </w:r>
      <w:r>
        <w:rPr>
          <w:rFonts w:hint="eastAsia" w:ascii="宋体" w:hAnsi="宋体"/>
          <w:b/>
          <w:bCs/>
          <w:position w:val="-3"/>
          <w:szCs w:val="21"/>
          <w:highlight w:val="none"/>
        </w:rPr>
        <w:t>价明细表</w:t>
      </w:r>
      <w:bookmarkEnd w:id="465"/>
      <w:bookmarkEnd w:id="466"/>
      <w:bookmarkEnd w:id="467"/>
      <w:bookmarkEnd w:id="468"/>
      <w:bookmarkEnd w:id="469"/>
      <w:bookmarkEnd w:id="470"/>
      <w:r>
        <w:rPr>
          <w:rFonts w:hint="eastAsia" w:ascii="宋体" w:hAnsi="宋体"/>
          <w:b/>
          <w:bCs/>
          <w:position w:val="-3"/>
          <w:szCs w:val="21"/>
          <w:highlight w:val="none"/>
        </w:rPr>
        <w:t>（表格样式供参考，供应商可自行调整表格内容）</w:t>
      </w:r>
      <w:bookmarkEnd w:id="471"/>
      <w:bookmarkEnd w:id="472"/>
      <w:bookmarkEnd w:id="473"/>
      <w:bookmarkEnd w:id="474"/>
    </w:p>
    <w:p w14:paraId="414A7095">
      <w:pPr>
        <w:adjustRightInd w:val="0"/>
        <w:snapToGrid w:val="0"/>
        <w:spacing w:before="120" w:beforeLines="50" w:line="360" w:lineRule="auto"/>
        <w:jc w:val="center"/>
        <w:rPr>
          <w:rFonts w:hint="eastAsia" w:ascii="黑体" w:hAnsi="宋体" w:eastAsia="黑体" w:cs="微软雅黑"/>
          <w:b/>
          <w:kern w:val="0"/>
          <w:position w:val="-3"/>
          <w:sz w:val="28"/>
          <w:szCs w:val="28"/>
          <w:highlight w:val="none"/>
        </w:rPr>
      </w:pPr>
      <w:r>
        <w:rPr>
          <w:rFonts w:hint="eastAsia" w:ascii="黑体" w:hAnsi="宋体" w:eastAsia="黑体" w:cs="微软雅黑"/>
          <w:b/>
          <w:spacing w:val="-2"/>
          <w:kern w:val="0"/>
          <w:position w:val="-3"/>
          <w:sz w:val="28"/>
          <w:szCs w:val="28"/>
          <w:highlight w:val="none"/>
        </w:rPr>
        <w:t>分</w:t>
      </w:r>
      <w:r>
        <w:rPr>
          <w:rFonts w:hint="eastAsia" w:ascii="黑体" w:hAnsi="宋体" w:eastAsia="黑体" w:cs="微软雅黑"/>
          <w:b/>
          <w:kern w:val="0"/>
          <w:position w:val="-3"/>
          <w:sz w:val="28"/>
          <w:szCs w:val="28"/>
          <w:highlight w:val="none"/>
        </w:rPr>
        <w:t>项</w:t>
      </w:r>
      <w:r>
        <w:rPr>
          <w:rFonts w:hint="eastAsia" w:ascii="黑体" w:hAnsi="宋体" w:eastAsia="黑体" w:cs="微软雅黑"/>
          <w:b/>
          <w:spacing w:val="-2"/>
          <w:kern w:val="0"/>
          <w:position w:val="-3"/>
          <w:sz w:val="28"/>
          <w:szCs w:val="28"/>
          <w:highlight w:val="none"/>
        </w:rPr>
        <w:t>报</w:t>
      </w:r>
      <w:r>
        <w:rPr>
          <w:rFonts w:hint="eastAsia" w:ascii="黑体" w:hAnsi="宋体" w:eastAsia="黑体" w:cs="微软雅黑"/>
          <w:b/>
          <w:kern w:val="0"/>
          <w:position w:val="-3"/>
          <w:sz w:val="28"/>
          <w:szCs w:val="28"/>
          <w:highlight w:val="none"/>
        </w:rPr>
        <w:t>价明细表</w:t>
      </w:r>
    </w:p>
    <w:p w14:paraId="61AD2E25">
      <w:pPr>
        <w:adjustRightInd w:val="0"/>
        <w:snapToGrid w:val="0"/>
        <w:spacing w:line="360" w:lineRule="auto"/>
        <w:rPr>
          <w:rFonts w:hint="eastAsia" w:ascii="宋体" w:hAnsi="宋体"/>
          <w:szCs w:val="21"/>
          <w:highlight w:val="none"/>
        </w:rPr>
      </w:pPr>
      <w:r>
        <w:rPr>
          <w:rFonts w:hint="eastAsia" w:ascii="宋体" w:hAnsi="宋体"/>
          <w:szCs w:val="21"/>
          <w:highlight w:val="none"/>
        </w:rPr>
        <w:t>政府采购编号：</w:t>
      </w:r>
      <w:r>
        <w:rPr>
          <w:rFonts w:hint="eastAsia" w:ascii="宋体" w:hAnsi="宋体"/>
          <w:szCs w:val="21"/>
          <w:highlight w:val="none"/>
          <w:u w:val="single"/>
        </w:rPr>
        <w:t xml:space="preserve">                </w:t>
      </w:r>
      <w:r>
        <w:rPr>
          <w:rFonts w:hint="eastAsia" w:ascii="宋体" w:hAnsi="宋体"/>
          <w:szCs w:val="21"/>
          <w:highlight w:val="none"/>
        </w:rPr>
        <w:t xml:space="preserve">                       项目名称：</w:t>
      </w:r>
      <w:r>
        <w:rPr>
          <w:rFonts w:hint="eastAsia" w:ascii="宋体" w:hAnsi="宋体"/>
          <w:szCs w:val="21"/>
          <w:highlight w:val="none"/>
          <w:u w:val="single"/>
        </w:rPr>
        <w:t xml:space="preserve">                </w:t>
      </w:r>
    </w:p>
    <w:tbl>
      <w:tblPr>
        <w:tblStyle w:val="48"/>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5"/>
        <w:gridCol w:w="1137"/>
        <w:gridCol w:w="906"/>
        <w:gridCol w:w="792"/>
        <w:gridCol w:w="1560"/>
        <w:gridCol w:w="708"/>
        <w:gridCol w:w="567"/>
        <w:gridCol w:w="903"/>
        <w:gridCol w:w="906"/>
        <w:gridCol w:w="906"/>
      </w:tblGrid>
      <w:tr w14:paraId="2D8A24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0" w:hRule="atLeast"/>
        </w:trPr>
        <w:tc>
          <w:tcPr>
            <w:tcW w:w="675" w:type="dxa"/>
            <w:vAlign w:val="center"/>
          </w:tcPr>
          <w:p w14:paraId="55C217D7">
            <w:pPr>
              <w:shd w:val="clear" w:color="auto" w:fill="FFFFFF"/>
              <w:spacing w:line="360" w:lineRule="exact"/>
              <w:jc w:val="center"/>
              <w:rPr>
                <w:rFonts w:hint="eastAsia" w:ascii="宋体" w:hAnsi="宋体"/>
                <w:szCs w:val="21"/>
                <w:highlight w:val="none"/>
              </w:rPr>
            </w:pPr>
            <w:bookmarkStart w:id="475" w:name="OLE_LINK4"/>
            <w:r>
              <w:rPr>
                <w:rFonts w:hint="eastAsia" w:ascii="宋体" w:hAnsi="宋体"/>
                <w:szCs w:val="21"/>
                <w:highlight w:val="none"/>
              </w:rPr>
              <w:t>1</w:t>
            </w:r>
          </w:p>
        </w:tc>
        <w:tc>
          <w:tcPr>
            <w:tcW w:w="1137" w:type="dxa"/>
            <w:vAlign w:val="center"/>
          </w:tcPr>
          <w:p w14:paraId="383353DF">
            <w:pPr>
              <w:shd w:val="clear" w:color="auto" w:fill="FFFFFF"/>
              <w:spacing w:line="360" w:lineRule="exact"/>
              <w:jc w:val="center"/>
              <w:rPr>
                <w:rFonts w:hint="eastAsia" w:ascii="宋体" w:hAnsi="宋体"/>
                <w:szCs w:val="21"/>
                <w:highlight w:val="none"/>
              </w:rPr>
            </w:pPr>
            <w:r>
              <w:rPr>
                <w:rFonts w:hint="eastAsia" w:ascii="宋体" w:hAnsi="宋体"/>
                <w:szCs w:val="21"/>
                <w:highlight w:val="none"/>
              </w:rPr>
              <w:t>2</w:t>
            </w:r>
          </w:p>
        </w:tc>
        <w:tc>
          <w:tcPr>
            <w:tcW w:w="906" w:type="dxa"/>
            <w:vAlign w:val="center"/>
          </w:tcPr>
          <w:p w14:paraId="16C1B77C">
            <w:pPr>
              <w:shd w:val="clear" w:color="auto" w:fill="FFFFFF"/>
              <w:spacing w:line="360" w:lineRule="exact"/>
              <w:jc w:val="center"/>
              <w:rPr>
                <w:rFonts w:hint="eastAsia" w:ascii="宋体" w:hAnsi="宋体"/>
                <w:szCs w:val="21"/>
                <w:highlight w:val="none"/>
              </w:rPr>
            </w:pPr>
            <w:r>
              <w:rPr>
                <w:rFonts w:hint="eastAsia" w:ascii="宋体" w:hAnsi="宋体"/>
                <w:szCs w:val="21"/>
                <w:highlight w:val="none"/>
              </w:rPr>
              <w:t>3</w:t>
            </w:r>
          </w:p>
        </w:tc>
        <w:tc>
          <w:tcPr>
            <w:tcW w:w="792" w:type="dxa"/>
            <w:vAlign w:val="center"/>
          </w:tcPr>
          <w:p w14:paraId="31AB40AC">
            <w:pPr>
              <w:shd w:val="clear" w:color="auto" w:fill="FFFFFF"/>
              <w:spacing w:line="360" w:lineRule="exact"/>
              <w:jc w:val="center"/>
              <w:rPr>
                <w:rFonts w:hint="eastAsia" w:ascii="宋体" w:hAnsi="宋体"/>
                <w:szCs w:val="21"/>
                <w:highlight w:val="none"/>
              </w:rPr>
            </w:pPr>
            <w:r>
              <w:rPr>
                <w:rFonts w:hint="eastAsia" w:ascii="宋体" w:hAnsi="宋体"/>
                <w:szCs w:val="21"/>
                <w:highlight w:val="none"/>
              </w:rPr>
              <w:t>4</w:t>
            </w:r>
          </w:p>
        </w:tc>
        <w:tc>
          <w:tcPr>
            <w:tcW w:w="1560" w:type="dxa"/>
            <w:vAlign w:val="center"/>
          </w:tcPr>
          <w:p w14:paraId="449832E1">
            <w:pPr>
              <w:shd w:val="clear" w:color="auto" w:fill="FFFFFF"/>
              <w:spacing w:line="360" w:lineRule="exact"/>
              <w:jc w:val="center"/>
              <w:rPr>
                <w:rFonts w:hint="eastAsia" w:ascii="宋体" w:hAnsi="宋体"/>
                <w:szCs w:val="21"/>
                <w:highlight w:val="none"/>
              </w:rPr>
            </w:pPr>
            <w:r>
              <w:rPr>
                <w:rFonts w:hint="eastAsia" w:ascii="宋体" w:hAnsi="宋体"/>
                <w:szCs w:val="21"/>
                <w:highlight w:val="none"/>
              </w:rPr>
              <w:t>5</w:t>
            </w:r>
          </w:p>
        </w:tc>
        <w:tc>
          <w:tcPr>
            <w:tcW w:w="708" w:type="dxa"/>
            <w:vAlign w:val="center"/>
          </w:tcPr>
          <w:p w14:paraId="073BF536">
            <w:pPr>
              <w:shd w:val="clear" w:color="auto" w:fill="FFFFFF"/>
              <w:spacing w:line="360" w:lineRule="exact"/>
              <w:jc w:val="center"/>
              <w:rPr>
                <w:rFonts w:hint="eastAsia" w:ascii="宋体" w:hAnsi="宋体"/>
                <w:szCs w:val="21"/>
                <w:highlight w:val="none"/>
              </w:rPr>
            </w:pPr>
            <w:r>
              <w:rPr>
                <w:rFonts w:hint="eastAsia" w:ascii="宋体" w:hAnsi="宋体"/>
                <w:szCs w:val="21"/>
                <w:highlight w:val="none"/>
              </w:rPr>
              <w:t>6</w:t>
            </w:r>
          </w:p>
        </w:tc>
        <w:tc>
          <w:tcPr>
            <w:tcW w:w="567" w:type="dxa"/>
            <w:vAlign w:val="center"/>
          </w:tcPr>
          <w:p w14:paraId="773788BF">
            <w:pPr>
              <w:shd w:val="clear" w:color="auto" w:fill="FFFFFF"/>
              <w:spacing w:line="360" w:lineRule="exact"/>
              <w:jc w:val="center"/>
              <w:rPr>
                <w:rFonts w:hint="eastAsia" w:ascii="宋体" w:hAnsi="宋体"/>
                <w:szCs w:val="21"/>
                <w:highlight w:val="none"/>
              </w:rPr>
            </w:pPr>
            <w:r>
              <w:rPr>
                <w:rFonts w:hint="eastAsia" w:ascii="宋体" w:hAnsi="宋体"/>
                <w:szCs w:val="21"/>
                <w:highlight w:val="none"/>
              </w:rPr>
              <w:t>7</w:t>
            </w:r>
          </w:p>
        </w:tc>
        <w:tc>
          <w:tcPr>
            <w:tcW w:w="903" w:type="dxa"/>
            <w:vAlign w:val="center"/>
          </w:tcPr>
          <w:p w14:paraId="3C98932C">
            <w:pPr>
              <w:shd w:val="clear" w:color="auto" w:fill="FFFFFF"/>
              <w:spacing w:line="360" w:lineRule="exact"/>
              <w:jc w:val="center"/>
              <w:rPr>
                <w:rFonts w:hint="eastAsia" w:ascii="宋体" w:hAnsi="宋体"/>
                <w:szCs w:val="21"/>
                <w:highlight w:val="none"/>
              </w:rPr>
            </w:pPr>
            <w:r>
              <w:rPr>
                <w:rFonts w:hint="eastAsia" w:ascii="宋体" w:hAnsi="宋体"/>
                <w:szCs w:val="21"/>
                <w:highlight w:val="none"/>
              </w:rPr>
              <w:t>8</w:t>
            </w:r>
          </w:p>
        </w:tc>
        <w:tc>
          <w:tcPr>
            <w:tcW w:w="906" w:type="dxa"/>
            <w:vAlign w:val="center"/>
          </w:tcPr>
          <w:p w14:paraId="0FFB8B4E">
            <w:pPr>
              <w:shd w:val="clear" w:color="auto" w:fill="FFFFFF"/>
              <w:spacing w:line="360" w:lineRule="exact"/>
              <w:jc w:val="center"/>
              <w:rPr>
                <w:rFonts w:hint="eastAsia" w:ascii="宋体" w:hAnsi="宋体"/>
                <w:szCs w:val="21"/>
                <w:highlight w:val="none"/>
              </w:rPr>
            </w:pPr>
            <w:r>
              <w:rPr>
                <w:rFonts w:hint="eastAsia" w:ascii="宋体" w:hAnsi="宋体"/>
                <w:szCs w:val="21"/>
                <w:highlight w:val="none"/>
              </w:rPr>
              <w:t>9</w:t>
            </w:r>
          </w:p>
        </w:tc>
        <w:tc>
          <w:tcPr>
            <w:tcW w:w="906" w:type="dxa"/>
            <w:vAlign w:val="center"/>
          </w:tcPr>
          <w:p w14:paraId="18E6C438">
            <w:pPr>
              <w:shd w:val="clear" w:color="auto" w:fill="FFFFFF"/>
              <w:spacing w:line="360" w:lineRule="exact"/>
              <w:jc w:val="center"/>
              <w:rPr>
                <w:rFonts w:hint="eastAsia" w:ascii="宋体" w:hAnsi="宋体"/>
                <w:szCs w:val="21"/>
                <w:highlight w:val="none"/>
              </w:rPr>
            </w:pPr>
            <w:r>
              <w:rPr>
                <w:rFonts w:hint="eastAsia" w:ascii="宋体" w:hAnsi="宋体"/>
                <w:szCs w:val="21"/>
                <w:highlight w:val="none"/>
              </w:rPr>
              <w:t>10</w:t>
            </w:r>
          </w:p>
        </w:tc>
      </w:tr>
      <w:tr w14:paraId="5482A8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0" w:hRule="atLeast"/>
        </w:trPr>
        <w:tc>
          <w:tcPr>
            <w:tcW w:w="675" w:type="dxa"/>
            <w:vAlign w:val="center"/>
          </w:tcPr>
          <w:p w14:paraId="0C48BFDB">
            <w:pPr>
              <w:shd w:val="clear" w:color="auto" w:fill="FFFFFF"/>
              <w:spacing w:line="360" w:lineRule="exact"/>
              <w:jc w:val="center"/>
              <w:rPr>
                <w:rFonts w:hint="eastAsia" w:ascii="宋体" w:hAnsi="宋体"/>
                <w:b/>
                <w:highlight w:val="none"/>
              </w:rPr>
            </w:pPr>
            <w:r>
              <w:rPr>
                <w:rFonts w:hint="eastAsia" w:ascii="宋体" w:hAnsi="宋体"/>
                <w:szCs w:val="21"/>
                <w:highlight w:val="none"/>
              </w:rPr>
              <w:t>序号</w:t>
            </w:r>
          </w:p>
        </w:tc>
        <w:tc>
          <w:tcPr>
            <w:tcW w:w="1137" w:type="dxa"/>
            <w:vAlign w:val="center"/>
          </w:tcPr>
          <w:p w14:paraId="78ABD226">
            <w:pPr>
              <w:shd w:val="clear" w:color="auto" w:fill="FFFFFF"/>
              <w:spacing w:line="360" w:lineRule="exact"/>
              <w:jc w:val="center"/>
              <w:rPr>
                <w:rFonts w:hint="eastAsia" w:ascii="宋体" w:hAnsi="宋体"/>
                <w:b/>
                <w:highlight w:val="none"/>
              </w:rPr>
            </w:pPr>
            <w:r>
              <w:rPr>
                <w:rFonts w:hint="eastAsia" w:ascii="宋体" w:hAnsi="宋体"/>
                <w:szCs w:val="21"/>
                <w:highlight w:val="none"/>
              </w:rPr>
              <w:t>服务名称</w:t>
            </w:r>
          </w:p>
        </w:tc>
        <w:tc>
          <w:tcPr>
            <w:tcW w:w="906" w:type="dxa"/>
            <w:vAlign w:val="center"/>
          </w:tcPr>
          <w:p w14:paraId="2113EB39">
            <w:pPr>
              <w:shd w:val="clear" w:color="auto" w:fill="FFFFFF"/>
              <w:spacing w:line="360" w:lineRule="exact"/>
              <w:jc w:val="center"/>
              <w:rPr>
                <w:rFonts w:hint="eastAsia" w:ascii="宋体" w:hAnsi="宋体"/>
                <w:b/>
                <w:highlight w:val="none"/>
              </w:rPr>
            </w:pPr>
            <w:r>
              <w:rPr>
                <w:rFonts w:hint="eastAsia" w:ascii="宋体" w:hAnsi="宋体"/>
                <w:szCs w:val="21"/>
                <w:highlight w:val="none"/>
              </w:rPr>
              <w:t>品目分类编码</w:t>
            </w:r>
          </w:p>
        </w:tc>
        <w:tc>
          <w:tcPr>
            <w:tcW w:w="792" w:type="dxa"/>
            <w:vAlign w:val="center"/>
          </w:tcPr>
          <w:p w14:paraId="595393F7">
            <w:pPr>
              <w:shd w:val="clear" w:color="auto" w:fill="FFFFFF"/>
              <w:spacing w:line="360" w:lineRule="exact"/>
              <w:jc w:val="center"/>
              <w:rPr>
                <w:rFonts w:hint="eastAsia" w:ascii="宋体" w:hAnsi="宋体"/>
                <w:b/>
                <w:highlight w:val="none"/>
              </w:rPr>
            </w:pPr>
            <w:r>
              <w:rPr>
                <w:rFonts w:hint="eastAsia" w:ascii="宋体" w:hAnsi="宋体"/>
                <w:szCs w:val="21"/>
                <w:highlight w:val="none"/>
              </w:rPr>
              <w:t>计量单位</w:t>
            </w:r>
          </w:p>
        </w:tc>
        <w:tc>
          <w:tcPr>
            <w:tcW w:w="1560" w:type="dxa"/>
            <w:vAlign w:val="center"/>
          </w:tcPr>
          <w:p w14:paraId="7C618596">
            <w:pPr>
              <w:shd w:val="clear" w:color="auto" w:fill="FFFFFF"/>
              <w:spacing w:line="360" w:lineRule="exact"/>
              <w:jc w:val="center"/>
              <w:rPr>
                <w:rFonts w:hint="eastAsia" w:ascii="宋体" w:hAnsi="宋体"/>
                <w:b/>
                <w:highlight w:val="none"/>
              </w:rPr>
            </w:pPr>
            <w:r>
              <w:rPr>
                <w:rFonts w:hint="eastAsia" w:ascii="宋体" w:hAnsi="宋体"/>
                <w:szCs w:val="21"/>
                <w:highlight w:val="none"/>
              </w:rPr>
              <w:t>具体要求说明</w:t>
            </w:r>
          </w:p>
        </w:tc>
        <w:tc>
          <w:tcPr>
            <w:tcW w:w="708" w:type="dxa"/>
            <w:vAlign w:val="center"/>
          </w:tcPr>
          <w:p w14:paraId="1CC83D90">
            <w:pPr>
              <w:shd w:val="clear" w:color="auto" w:fill="FFFFFF"/>
              <w:spacing w:line="360" w:lineRule="exact"/>
              <w:jc w:val="center"/>
              <w:rPr>
                <w:rFonts w:hint="eastAsia" w:ascii="宋体" w:hAnsi="宋体"/>
                <w:b/>
                <w:highlight w:val="none"/>
              </w:rPr>
            </w:pPr>
            <w:r>
              <w:rPr>
                <w:rFonts w:hint="eastAsia" w:ascii="宋体" w:hAnsi="宋体"/>
                <w:szCs w:val="21"/>
                <w:highlight w:val="none"/>
              </w:rPr>
              <w:t>单价</w:t>
            </w:r>
          </w:p>
        </w:tc>
        <w:tc>
          <w:tcPr>
            <w:tcW w:w="567" w:type="dxa"/>
            <w:vAlign w:val="center"/>
          </w:tcPr>
          <w:p w14:paraId="286715D3">
            <w:pPr>
              <w:shd w:val="clear" w:color="auto" w:fill="FFFFFF"/>
              <w:spacing w:line="360" w:lineRule="exact"/>
              <w:jc w:val="center"/>
              <w:rPr>
                <w:rFonts w:hint="eastAsia" w:ascii="宋体" w:hAnsi="宋体"/>
                <w:b/>
                <w:highlight w:val="none"/>
              </w:rPr>
            </w:pPr>
            <w:r>
              <w:rPr>
                <w:rFonts w:hint="eastAsia" w:ascii="宋体" w:hAnsi="宋体"/>
                <w:szCs w:val="21"/>
                <w:highlight w:val="none"/>
              </w:rPr>
              <w:t>数量</w:t>
            </w:r>
          </w:p>
        </w:tc>
        <w:tc>
          <w:tcPr>
            <w:tcW w:w="903" w:type="dxa"/>
            <w:vAlign w:val="center"/>
          </w:tcPr>
          <w:p w14:paraId="027347F3">
            <w:pPr>
              <w:shd w:val="clear" w:color="auto" w:fill="FFFFFF"/>
              <w:spacing w:line="360" w:lineRule="exact"/>
              <w:jc w:val="center"/>
              <w:rPr>
                <w:rFonts w:hint="eastAsia" w:ascii="宋体" w:hAnsi="宋体"/>
                <w:b/>
                <w:highlight w:val="none"/>
              </w:rPr>
            </w:pPr>
            <w:r>
              <w:rPr>
                <w:rFonts w:hint="eastAsia" w:ascii="宋体" w:hAnsi="宋体"/>
                <w:szCs w:val="21"/>
                <w:highlight w:val="none"/>
              </w:rPr>
              <w:t>合计</w:t>
            </w:r>
          </w:p>
        </w:tc>
        <w:tc>
          <w:tcPr>
            <w:tcW w:w="906" w:type="dxa"/>
            <w:vAlign w:val="center"/>
          </w:tcPr>
          <w:p w14:paraId="309407D9">
            <w:pPr>
              <w:shd w:val="clear" w:color="auto" w:fill="FFFFFF"/>
              <w:spacing w:line="360" w:lineRule="exact"/>
              <w:jc w:val="center"/>
              <w:rPr>
                <w:rFonts w:hint="eastAsia" w:ascii="宋体" w:hAnsi="宋体"/>
                <w:b/>
                <w:highlight w:val="none"/>
              </w:rPr>
            </w:pPr>
            <w:r>
              <w:rPr>
                <w:rFonts w:hint="eastAsia" w:ascii="宋体" w:hAnsi="宋体"/>
                <w:szCs w:val="21"/>
                <w:highlight w:val="none"/>
              </w:rPr>
              <w:t>政策功能编码</w:t>
            </w:r>
          </w:p>
        </w:tc>
        <w:tc>
          <w:tcPr>
            <w:tcW w:w="906" w:type="dxa"/>
            <w:vAlign w:val="center"/>
          </w:tcPr>
          <w:p w14:paraId="7445E769">
            <w:pPr>
              <w:shd w:val="clear" w:color="auto" w:fill="FFFFFF"/>
              <w:spacing w:line="360" w:lineRule="exact"/>
              <w:jc w:val="center"/>
              <w:rPr>
                <w:rFonts w:hint="eastAsia" w:ascii="宋体" w:hAnsi="宋体"/>
                <w:b/>
                <w:highlight w:val="none"/>
              </w:rPr>
            </w:pPr>
            <w:r>
              <w:rPr>
                <w:rFonts w:hint="eastAsia" w:ascii="宋体" w:hAnsi="宋体"/>
                <w:szCs w:val="21"/>
                <w:highlight w:val="none"/>
              </w:rPr>
              <w:t>备注</w:t>
            </w:r>
          </w:p>
        </w:tc>
      </w:tr>
      <w:tr w14:paraId="64E309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0" w:hRule="atLeast"/>
        </w:trPr>
        <w:tc>
          <w:tcPr>
            <w:tcW w:w="675" w:type="dxa"/>
            <w:vAlign w:val="center"/>
          </w:tcPr>
          <w:p w14:paraId="1480B1AC">
            <w:pPr>
              <w:shd w:val="clear" w:color="auto" w:fill="FFFFFF"/>
              <w:spacing w:line="360" w:lineRule="exact"/>
              <w:jc w:val="center"/>
              <w:rPr>
                <w:rFonts w:hint="eastAsia" w:ascii="宋体" w:hAnsi="宋体"/>
                <w:b/>
                <w:highlight w:val="none"/>
              </w:rPr>
            </w:pPr>
          </w:p>
        </w:tc>
        <w:tc>
          <w:tcPr>
            <w:tcW w:w="1137" w:type="dxa"/>
            <w:vAlign w:val="center"/>
          </w:tcPr>
          <w:p w14:paraId="0450373F">
            <w:pPr>
              <w:shd w:val="clear" w:color="auto" w:fill="FFFFFF"/>
              <w:spacing w:line="360" w:lineRule="exact"/>
              <w:jc w:val="center"/>
              <w:rPr>
                <w:rFonts w:hint="eastAsia" w:ascii="宋体" w:hAnsi="宋体"/>
                <w:b/>
                <w:highlight w:val="none"/>
              </w:rPr>
            </w:pPr>
          </w:p>
        </w:tc>
        <w:tc>
          <w:tcPr>
            <w:tcW w:w="906" w:type="dxa"/>
            <w:vAlign w:val="center"/>
          </w:tcPr>
          <w:p w14:paraId="674A134B">
            <w:pPr>
              <w:shd w:val="clear" w:color="auto" w:fill="FFFFFF"/>
              <w:spacing w:line="360" w:lineRule="exact"/>
              <w:jc w:val="center"/>
              <w:rPr>
                <w:rFonts w:hint="eastAsia" w:ascii="宋体" w:hAnsi="宋体"/>
                <w:b/>
                <w:highlight w:val="none"/>
              </w:rPr>
            </w:pPr>
          </w:p>
        </w:tc>
        <w:tc>
          <w:tcPr>
            <w:tcW w:w="792" w:type="dxa"/>
            <w:vAlign w:val="center"/>
          </w:tcPr>
          <w:p w14:paraId="423E4323">
            <w:pPr>
              <w:shd w:val="clear" w:color="auto" w:fill="FFFFFF"/>
              <w:spacing w:line="360" w:lineRule="exact"/>
              <w:jc w:val="center"/>
              <w:rPr>
                <w:rFonts w:hint="eastAsia" w:ascii="宋体" w:hAnsi="宋体"/>
                <w:b/>
                <w:highlight w:val="none"/>
              </w:rPr>
            </w:pPr>
          </w:p>
        </w:tc>
        <w:tc>
          <w:tcPr>
            <w:tcW w:w="1560" w:type="dxa"/>
            <w:vAlign w:val="center"/>
          </w:tcPr>
          <w:p w14:paraId="2E8DD5CB">
            <w:pPr>
              <w:shd w:val="clear" w:color="auto" w:fill="FFFFFF"/>
              <w:spacing w:line="360" w:lineRule="exact"/>
              <w:jc w:val="center"/>
              <w:rPr>
                <w:rFonts w:hint="eastAsia" w:ascii="宋体" w:hAnsi="宋体"/>
                <w:b/>
                <w:highlight w:val="none"/>
              </w:rPr>
            </w:pPr>
          </w:p>
        </w:tc>
        <w:tc>
          <w:tcPr>
            <w:tcW w:w="708" w:type="dxa"/>
            <w:vAlign w:val="center"/>
          </w:tcPr>
          <w:p w14:paraId="27B3F6C3">
            <w:pPr>
              <w:shd w:val="clear" w:color="auto" w:fill="FFFFFF"/>
              <w:spacing w:line="360" w:lineRule="exact"/>
              <w:jc w:val="center"/>
              <w:rPr>
                <w:rFonts w:hint="eastAsia" w:ascii="宋体" w:hAnsi="宋体"/>
                <w:b/>
                <w:highlight w:val="none"/>
              </w:rPr>
            </w:pPr>
          </w:p>
        </w:tc>
        <w:tc>
          <w:tcPr>
            <w:tcW w:w="567" w:type="dxa"/>
            <w:vAlign w:val="center"/>
          </w:tcPr>
          <w:p w14:paraId="65CD3F8F">
            <w:pPr>
              <w:shd w:val="clear" w:color="auto" w:fill="FFFFFF"/>
              <w:spacing w:line="360" w:lineRule="exact"/>
              <w:jc w:val="center"/>
              <w:rPr>
                <w:rFonts w:hint="eastAsia" w:ascii="宋体" w:hAnsi="宋体"/>
                <w:b/>
                <w:highlight w:val="none"/>
              </w:rPr>
            </w:pPr>
          </w:p>
        </w:tc>
        <w:tc>
          <w:tcPr>
            <w:tcW w:w="903" w:type="dxa"/>
            <w:vAlign w:val="center"/>
          </w:tcPr>
          <w:p w14:paraId="114C8EC5">
            <w:pPr>
              <w:shd w:val="clear" w:color="auto" w:fill="FFFFFF"/>
              <w:spacing w:line="360" w:lineRule="exact"/>
              <w:jc w:val="center"/>
              <w:rPr>
                <w:rFonts w:hint="eastAsia" w:ascii="宋体" w:hAnsi="宋体"/>
                <w:b/>
                <w:highlight w:val="none"/>
              </w:rPr>
            </w:pPr>
          </w:p>
        </w:tc>
        <w:tc>
          <w:tcPr>
            <w:tcW w:w="906" w:type="dxa"/>
            <w:vAlign w:val="center"/>
          </w:tcPr>
          <w:p w14:paraId="604D0A11">
            <w:pPr>
              <w:shd w:val="clear" w:color="auto" w:fill="FFFFFF"/>
              <w:spacing w:line="360" w:lineRule="exact"/>
              <w:jc w:val="center"/>
              <w:rPr>
                <w:rFonts w:hint="eastAsia" w:ascii="宋体" w:hAnsi="宋体"/>
                <w:b/>
                <w:highlight w:val="none"/>
              </w:rPr>
            </w:pPr>
          </w:p>
        </w:tc>
        <w:tc>
          <w:tcPr>
            <w:tcW w:w="906" w:type="dxa"/>
            <w:vAlign w:val="center"/>
          </w:tcPr>
          <w:p w14:paraId="2C520E32">
            <w:pPr>
              <w:shd w:val="clear" w:color="auto" w:fill="FFFFFF"/>
              <w:spacing w:line="360" w:lineRule="exact"/>
              <w:jc w:val="center"/>
              <w:rPr>
                <w:rFonts w:hint="eastAsia" w:ascii="宋体" w:hAnsi="宋体"/>
                <w:b/>
                <w:highlight w:val="none"/>
              </w:rPr>
            </w:pPr>
          </w:p>
        </w:tc>
      </w:tr>
      <w:tr w14:paraId="30C5B2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0" w:hRule="atLeast"/>
        </w:trPr>
        <w:tc>
          <w:tcPr>
            <w:tcW w:w="675" w:type="dxa"/>
            <w:vAlign w:val="center"/>
          </w:tcPr>
          <w:p w14:paraId="22509C63">
            <w:pPr>
              <w:shd w:val="clear" w:color="auto" w:fill="FFFFFF"/>
              <w:spacing w:line="360" w:lineRule="exact"/>
              <w:jc w:val="center"/>
              <w:rPr>
                <w:rFonts w:hint="eastAsia" w:ascii="宋体" w:hAnsi="宋体"/>
                <w:b/>
                <w:highlight w:val="none"/>
              </w:rPr>
            </w:pPr>
          </w:p>
        </w:tc>
        <w:tc>
          <w:tcPr>
            <w:tcW w:w="1137" w:type="dxa"/>
            <w:vAlign w:val="center"/>
          </w:tcPr>
          <w:p w14:paraId="24E35E5A">
            <w:pPr>
              <w:shd w:val="clear" w:color="auto" w:fill="FFFFFF"/>
              <w:spacing w:line="360" w:lineRule="exact"/>
              <w:jc w:val="center"/>
              <w:rPr>
                <w:rFonts w:hint="eastAsia" w:ascii="宋体" w:hAnsi="宋体"/>
                <w:b/>
                <w:highlight w:val="none"/>
              </w:rPr>
            </w:pPr>
          </w:p>
        </w:tc>
        <w:tc>
          <w:tcPr>
            <w:tcW w:w="906" w:type="dxa"/>
            <w:vAlign w:val="center"/>
          </w:tcPr>
          <w:p w14:paraId="7DF6C728">
            <w:pPr>
              <w:shd w:val="clear" w:color="auto" w:fill="FFFFFF"/>
              <w:spacing w:line="360" w:lineRule="exact"/>
              <w:jc w:val="center"/>
              <w:rPr>
                <w:rFonts w:hint="eastAsia" w:ascii="宋体" w:hAnsi="宋体"/>
                <w:b/>
                <w:highlight w:val="none"/>
              </w:rPr>
            </w:pPr>
          </w:p>
        </w:tc>
        <w:tc>
          <w:tcPr>
            <w:tcW w:w="792" w:type="dxa"/>
            <w:vAlign w:val="center"/>
          </w:tcPr>
          <w:p w14:paraId="06821E9D">
            <w:pPr>
              <w:shd w:val="clear" w:color="auto" w:fill="FFFFFF"/>
              <w:spacing w:line="360" w:lineRule="exact"/>
              <w:jc w:val="center"/>
              <w:rPr>
                <w:rFonts w:hint="eastAsia" w:ascii="宋体" w:hAnsi="宋体"/>
                <w:b/>
                <w:highlight w:val="none"/>
              </w:rPr>
            </w:pPr>
          </w:p>
        </w:tc>
        <w:tc>
          <w:tcPr>
            <w:tcW w:w="1560" w:type="dxa"/>
            <w:vAlign w:val="center"/>
          </w:tcPr>
          <w:p w14:paraId="05E4A4AB">
            <w:pPr>
              <w:shd w:val="clear" w:color="auto" w:fill="FFFFFF"/>
              <w:spacing w:line="360" w:lineRule="exact"/>
              <w:jc w:val="center"/>
              <w:rPr>
                <w:rFonts w:hint="eastAsia" w:ascii="宋体" w:hAnsi="宋体"/>
                <w:b/>
                <w:highlight w:val="none"/>
              </w:rPr>
            </w:pPr>
          </w:p>
        </w:tc>
        <w:tc>
          <w:tcPr>
            <w:tcW w:w="708" w:type="dxa"/>
            <w:vAlign w:val="center"/>
          </w:tcPr>
          <w:p w14:paraId="45D307F3">
            <w:pPr>
              <w:shd w:val="clear" w:color="auto" w:fill="FFFFFF"/>
              <w:spacing w:line="360" w:lineRule="exact"/>
              <w:jc w:val="center"/>
              <w:rPr>
                <w:rFonts w:hint="eastAsia" w:ascii="宋体" w:hAnsi="宋体"/>
                <w:b/>
                <w:highlight w:val="none"/>
              </w:rPr>
            </w:pPr>
          </w:p>
        </w:tc>
        <w:tc>
          <w:tcPr>
            <w:tcW w:w="567" w:type="dxa"/>
            <w:vAlign w:val="center"/>
          </w:tcPr>
          <w:p w14:paraId="09665DA8">
            <w:pPr>
              <w:shd w:val="clear" w:color="auto" w:fill="FFFFFF"/>
              <w:spacing w:line="360" w:lineRule="exact"/>
              <w:jc w:val="center"/>
              <w:rPr>
                <w:rFonts w:hint="eastAsia" w:ascii="宋体" w:hAnsi="宋体"/>
                <w:b/>
                <w:highlight w:val="none"/>
              </w:rPr>
            </w:pPr>
          </w:p>
        </w:tc>
        <w:tc>
          <w:tcPr>
            <w:tcW w:w="903" w:type="dxa"/>
            <w:vAlign w:val="center"/>
          </w:tcPr>
          <w:p w14:paraId="61D6EA89">
            <w:pPr>
              <w:shd w:val="clear" w:color="auto" w:fill="FFFFFF"/>
              <w:spacing w:line="360" w:lineRule="exact"/>
              <w:jc w:val="center"/>
              <w:rPr>
                <w:rFonts w:hint="eastAsia" w:ascii="宋体" w:hAnsi="宋体"/>
                <w:b/>
                <w:highlight w:val="none"/>
              </w:rPr>
            </w:pPr>
          </w:p>
        </w:tc>
        <w:tc>
          <w:tcPr>
            <w:tcW w:w="906" w:type="dxa"/>
            <w:vAlign w:val="center"/>
          </w:tcPr>
          <w:p w14:paraId="570EF099">
            <w:pPr>
              <w:shd w:val="clear" w:color="auto" w:fill="FFFFFF"/>
              <w:spacing w:line="360" w:lineRule="exact"/>
              <w:jc w:val="center"/>
              <w:rPr>
                <w:rFonts w:hint="eastAsia" w:ascii="宋体" w:hAnsi="宋体"/>
                <w:b/>
                <w:highlight w:val="none"/>
              </w:rPr>
            </w:pPr>
          </w:p>
        </w:tc>
        <w:tc>
          <w:tcPr>
            <w:tcW w:w="906" w:type="dxa"/>
            <w:vAlign w:val="center"/>
          </w:tcPr>
          <w:p w14:paraId="60FF8244">
            <w:pPr>
              <w:shd w:val="clear" w:color="auto" w:fill="FFFFFF"/>
              <w:spacing w:line="360" w:lineRule="exact"/>
              <w:jc w:val="center"/>
              <w:rPr>
                <w:rFonts w:hint="eastAsia" w:ascii="宋体" w:hAnsi="宋体"/>
                <w:b/>
                <w:highlight w:val="none"/>
              </w:rPr>
            </w:pPr>
          </w:p>
        </w:tc>
      </w:tr>
      <w:tr w14:paraId="438DE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0" w:hRule="atLeast"/>
        </w:trPr>
        <w:tc>
          <w:tcPr>
            <w:tcW w:w="675" w:type="dxa"/>
            <w:vAlign w:val="center"/>
          </w:tcPr>
          <w:p w14:paraId="2F64B229">
            <w:pPr>
              <w:shd w:val="clear" w:color="auto" w:fill="FFFFFF"/>
              <w:spacing w:line="360" w:lineRule="exact"/>
              <w:jc w:val="center"/>
              <w:rPr>
                <w:rFonts w:hint="eastAsia" w:ascii="宋体" w:hAnsi="宋体"/>
                <w:b/>
                <w:highlight w:val="none"/>
              </w:rPr>
            </w:pPr>
          </w:p>
        </w:tc>
        <w:tc>
          <w:tcPr>
            <w:tcW w:w="1137" w:type="dxa"/>
            <w:vAlign w:val="center"/>
          </w:tcPr>
          <w:p w14:paraId="43303485">
            <w:pPr>
              <w:shd w:val="clear" w:color="auto" w:fill="FFFFFF"/>
              <w:spacing w:line="360" w:lineRule="exact"/>
              <w:jc w:val="center"/>
              <w:rPr>
                <w:rFonts w:hint="eastAsia" w:ascii="宋体" w:hAnsi="宋体"/>
                <w:b/>
                <w:highlight w:val="none"/>
              </w:rPr>
            </w:pPr>
          </w:p>
        </w:tc>
        <w:tc>
          <w:tcPr>
            <w:tcW w:w="906" w:type="dxa"/>
            <w:vAlign w:val="center"/>
          </w:tcPr>
          <w:p w14:paraId="5C6B5D2C">
            <w:pPr>
              <w:shd w:val="clear" w:color="auto" w:fill="FFFFFF"/>
              <w:spacing w:line="360" w:lineRule="exact"/>
              <w:jc w:val="center"/>
              <w:rPr>
                <w:rFonts w:hint="eastAsia" w:ascii="宋体" w:hAnsi="宋体"/>
                <w:b/>
                <w:highlight w:val="none"/>
              </w:rPr>
            </w:pPr>
          </w:p>
        </w:tc>
        <w:tc>
          <w:tcPr>
            <w:tcW w:w="792" w:type="dxa"/>
            <w:vAlign w:val="center"/>
          </w:tcPr>
          <w:p w14:paraId="2FBE3667">
            <w:pPr>
              <w:shd w:val="clear" w:color="auto" w:fill="FFFFFF"/>
              <w:spacing w:line="360" w:lineRule="exact"/>
              <w:jc w:val="center"/>
              <w:rPr>
                <w:rFonts w:hint="eastAsia" w:ascii="宋体" w:hAnsi="宋体"/>
                <w:b/>
                <w:highlight w:val="none"/>
              </w:rPr>
            </w:pPr>
          </w:p>
        </w:tc>
        <w:tc>
          <w:tcPr>
            <w:tcW w:w="1560" w:type="dxa"/>
            <w:vAlign w:val="center"/>
          </w:tcPr>
          <w:p w14:paraId="6127147F">
            <w:pPr>
              <w:shd w:val="clear" w:color="auto" w:fill="FFFFFF"/>
              <w:spacing w:line="360" w:lineRule="exact"/>
              <w:jc w:val="center"/>
              <w:rPr>
                <w:rFonts w:hint="eastAsia" w:ascii="宋体" w:hAnsi="宋体"/>
                <w:b/>
                <w:highlight w:val="none"/>
              </w:rPr>
            </w:pPr>
          </w:p>
        </w:tc>
        <w:tc>
          <w:tcPr>
            <w:tcW w:w="708" w:type="dxa"/>
            <w:vAlign w:val="center"/>
          </w:tcPr>
          <w:p w14:paraId="507178B4">
            <w:pPr>
              <w:shd w:val="clear" w:color="auto" w:fill="FFFFFF"/>
              <w:spacing w:line="360" w:lineRule="exact"/>
              <w:jc w:val="center"/>
              <w:rPr>
                <w:rFonts w:hint="eastAsia" w:ascii="宋体" w:hAnsi="宋体"/>
                <w:b/>
                <w:highlight w:val="none"/>
              </w:rPr>
            </w:pPr>
          </w:p>
        </w:tc>
        <w:tc>
          <w:tcPr>
            <w:tcW w:w="567" w:type="dxa"/>
            <w:vAlign w:val="center"/>
          </w:tcPr>
          <w:p w14:paraId="7BC21A3B">
            <w:pPr>
              <w:shd w:val="clear" w:color="auto" w:fill="FFFFFF"/>
              <w:spacing w:line="360" w:lineRule="exact"/>
              <w:jc w:val="center"/>
              <w:rPr>
                <w:rFonts w:hint="eastAsia" w:ascii="宋体" w:hAnsi="宋体"/>
                <w:b/>
                <w:highlight w:val="none"/>
              </w:rPr>
            </w:pPr>
          </w:p>
        </w:tc>
        <w:tc>
          <w:tcPr>
            <w:tcW w:w="903" w:type="dxa"/>
            <w:vAlign w:val="center"/>
          </w:tcPr>
          <w:p w14:paraId="6782F122">
            <w:pPr>
              <w:shd w:val="clear" w:color="auto" w:fill="FFFFFF"/>
              <w:spacing w:line="360" w:lineRule="exact"/>
              <w:jc w:val="center"/>
              <w:rPr>
                <w:rFonts w:hint="eastAsia" w:ascii="宋体" w:hAnsi="宋体"/>
                <w:b/>
                <w:highlight w:val="none"/>
              </w:rPr>
            </w:pPr>
          </w:p>
        </w:tc>
        <w:tc>
          <w:tcPr>
            <w:tcW w:w="906" w:type="dxa"/>
            <w:vAlign w:val="center"/>
          </w:tcPr>
          <w:p w14:paraId="7B86C1D5">
            <w:pPr>
              <w:shd w:val="clear" w:color="auto" w:fill="FFFFFF"/>
              <w:spacing w:line="360" w:lineRule="exact"/>
              <w:jc w:val="center"/>
              <w:rPr>
                <w:rFonts w:hint="eastAsia" w:ascii="宋体" w:hAnsi="宋体"/>
                <w:b/>
                <w:highlight w:val="none"/>
              </w:rPr>
            </w:pPr>
          </w:p>
        </w:tc>
        <w:tc>
          <w:tcPr>
            <w:tcW w:w="906" w:type="dxa"/>
            <w:vAlign w:val="center"/>
          </w:tcPr>
          <w:p w14:paraId="0DE449B3">
            <w:pPr>
              <w:shd w:val="clear" w:color="auto" w:fill="FFFFFF"/>
              <w:spacing w:line="360" w:lineRule="exact"/>
              <w:jc w:val="center"/>
              <w:rPr>
                <w:rFonts w:hint="eastAsia" w:ascii="宋体" w:hAnsi="宋体"/>
                <w:b/>
                <w:highlight w:val="none"/>
              </w:rPr>
            </w:pPr>
          </w:p>
        </w:tc>
      </w:tr>
      <w:tr w14:paraId="1157A2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0" w:hRule="atLeast"/>
        </w:trPr>
        <w:tc>
          <w:tcPr>
            <w:tcW w:w="675" w:type="dxa"/>
            <w:vAlign w:val="center"/>
          </w:tcPr>
          <w:p w14:paraId="604D8949">
            <w:pPr>
              <w:shd w:val="clear" w:color="auto" w:fill="FFFFFF"/>
              <w:spacing w:line="360" w:lineRule="exact"/>
              <w:jc w:val="center"/>
              <w:rPr>
                <w:rFonts w:hint="eastAsia" w:ascii="宋体" w:hAnsi="宋体"/>
                <w:b/>
                <w:highlight w:val="none"/>
              </w:rPr>
            </w:pPr>
          </w:p>
        </w:tc>
        <w:tc>
          <w:tcPr>
            <w:tcW w:w="1137" w:type="dxa"/>
            <w:vAlign w:val="center"/>
          </w:tcPr>
          <w:p w14:paraId="64A41695">
            <w:pPr>
              <w:shd w:val="clear" w:color="auto" w:fill="FFFFFF"/>
              <w:spacing w:line="360" w:lineRule="exact"/>
              <w:jc w:val="center"/>
              <w:rPr>
                <w:rFonts w:hint="eastAsia" w:ascii="宋体" w:hAnsi="宋体"/>
                <w:b/>
                <w:highlight w:val="none"/>
              </w:rPr>
            </w:pPr>
          </w:p>
        </w:tc>
        <w:tc>
          <w:tcPr>
            <w:tcW w:w="906" w:type="dxa"/>
            <w:vAlign w:val="center"/>
          </w:tcPr>
          <w:p w14:paraId="73B27286">
            <w:pPr>
              <w:shd w:val="clear" w:color="auto" w:fill="FFFFFF"/>
              <w:spacing w:line="360" w:lineRule="exact"/>
              <w:jc w:val="center"/>
              <w:rPr>
                <w:rFonts w:hint="eastAsia" w:ascii="宋体" w:hAnsi="宋体"/>
                <w:b/>
                <w:highlight w:val="none"/>
              </w:rPr>
            </w:pPr>
          </w:p>
        </w:tc>
        <w:tc>
          <w:tcPr>
            <w:tcW w:w="792" w:type="dxa"/>
            <w:vAlign w:val="center"/>
          </w:tcPr>
          <w:p w14:paraId="2F321708">
            <w:pPr>
              <w:shd w:val="clear" w:color="auto" w:fill="FFFFFF"/>
              <w:spacing w:line="360" w:lineRule="exact"/>
              <w:jc w:val="center"/>
              <w:rPr>
                <w:rFonts w:hint="eastAsia" w:ascii="宋体" w:hAnsi="宋体"/>
                <w:b/>
                <w:highlight w:val="none"/>
              </w:rPr>
            </w:pPr>
          </w:p>
        </w:tc>
        <w:tc>
          <w:tcPr>
            <w:tcW w:w="1560" w:type="dxa"/>
            <w:vAlign w:val="center"/>
          </w:tcPr>
          <w:p w14:paraId="18686320">
            <w:pPr>
              <w:shd w:val="clear" w:color="auto" w:fill="FFFFFF"/>
              <w:spacing w:line="360" w:lineRule="exact"/>
              <w:jc w:val="center"/>
              <w:rPr>
                <w:rFonts w:hint="eastAsia" w:ascii="宋体" w:hAnsi="宋体"/>
                <w:b/>
                <w:highlight w:val="none"/>
              </w:rPr>
            </w:pPr>
          </w:p>
        </w:tc>
        <w:tc>
          <w:tcPr>
            <w:tcW w:w="708" w:type="dxa"/>
            <w:vAlign w:val="center"/>
          </w:tcPr>
          <w:p w14:paraId="0E2EC352">
            <w:pPr>
              <w:shd w:val="clear" w:color="auto" w:fill="FFFFFF"/>
              <w:spacing w:line="360" w:lineRule="exact"/>
              <w:jc w:val="center"/>
              <w:rPr>
                <w:rFonts w:hint="eastAsia" w:ascii="宋体" w:hAnsi="宋体"/>
                <w:b/>
                <w:highlight w:val="none"/>
              </w:rPr>
            </w:pPr>
          </w:p>
        </w:tc>
        <w:tc>
          <w:tcPr>
            <w:tcW w:w="567" w:type="dxa"/>
            <w:vAlign w:val="center"/>
          </w:tcPr>
          <w:p w14:paraId="6F35DA7C">
            <w:pPr>
              <w:shd w:val="clear" w:color="auto" w:fill="FFFFFF"/>
              <w:spacing w:line="360" w:lineRule="exact"/>
              <w:jc w:val="center"/>
              <w:rPr>
                <w:rFonts w:hint="eastAsia" w:ascii="宋体" w:hAnsi="宋体"/>
                <w:b/>
                <w:highlight w:val="none"/>
              </w:rPr>
            </w:pPr>
          </w:p>
        </w:tc>
        <w:tc>
          <w:tcPr>
            <w:tcW w:w="903" w:type="dxa"/>
            <w:vAlign w:val="center"/>
          </w:tcPr>
          <w:p w14:paraId="18856B0A">
            <w:pPr>
              <w:shd w:val="clear" w:color="auto" w:fill="FFFFFF"/>
              <w:spacing w:line="360" w:lineRule="exact"/>
              <w:jc w:val="center"/>
              <w:rPr>
                <w:rFonts w:hint="eastAsia" w:ascii="宋体" w:hAnsi="宋体"/>
                <w:b/>
                <w:highlight w:val="none"/>
              </w:rPr>
            </w:pPr>
          </w:p>
        </w:tc>
        <w:tc>
          <w:tcPr>
            <w:tcW w:w="906" w:type="dxa"/>
            <w:vAlign w:val="center"/>
          </w:tcPr>
          <w:p w14:paraId="69F61D30">
            <w:pPr>
              <w:shd w:val="clear" w:color="auto" w:fill="FFFFFF"/>
              <w:spacing w:line="360" w:lineRule="exact"/>
              <w:jc w:val="center"/>
              <w:rPr>
                <w:rFonts w:hint="eastAsia" w:ascii="宋体" w:hAnsi="宋体"/>
                <w:b/>
                <w:highlight w:val="none"/>
              </w:rPr>
            </w:pPr>
          </w:p>
        </w:tc>
        <w:tc>
          <w:tcPr>
            <w:tcW w:w="906" w:type="dxa"/>
            <w:vAlign w:val="center"/>
          </w:tcPr>
          <w:p w14:paraId="09DEA8EC">
            <w:pPr>
              <w:shd w:val="clear" w:color="auto" w:fill="FFFFFF"/>
              <w:spacing w:line="360" w:lineRule="exact"/>
              <w:jc w:val="center"/>
              <w:rPr>
                <w:rFonts w:hint="eastAsia" w:ascii="宋体" w:hAnsi="宋体"/>
                <w:b/>
                <w:highlight w:val="none"/>
              </w:rPr>
            </w:pPr>
          </w:p>
        </w:tc>
      </w:tr>
      <w:tr w14:paraId="21FBA1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0" w:hRule="atLeast"/>
        </w:trPr>
        <w:tc>
          <w:tcPr>
            <w:tcW w:w="675" w:type="dxa"/>
            <w:vAlign w:val="center"/>
          </w:tcPr>
          <w:p w14:paraId="23A9E943">
            <w:pPr>
              <w:shd w:val="clear" w:color="auto" w:fill="FFFFFF"/>
              <w:spacing w:line="360" w:lineRule="exact"/>
              <w:jc w:val="center"/>
              <w:rPr>
                <w:rFonts w:hint="eastAsia" w:ascii="宋体" w:hAnsi="宋体"/>
                <w:b/>
                <w:highlight w:val="none"/>
              </w:rPr>
            </w:pPr>
          </w:p>
        </w:tc>
        <w:tc>
          <w:tcPr>
            <w:tcW w:w="1137" w:type="dxa"/>
            <w:vAlign w:val="center"/>
          </w:tcPr>
          <w:p w14:paraId="08D92B2F">
            <w:pPr>
              <w:shd w:val="clear" w:color="auto" w:fill="FFFFFF"/>
              <w:spacing w:line="360" w:lineRule="exact"/>
              <w:jc w:val="center"/>
              <w:rPr>
                <w:rFonts w:hint="eastAsia" w:ascii="宋体" w:hAnsi="宋体"/>
                <w:b/>
                <w:highlight w:val="none"/>
              </w:rPr>
            </w:pPr>
          </w:p>
        </w:tc>
        <w:tc>
          <w:tcPr>
            <w:tcW w:w="906" w:type="dxa"/>
            <w:vAlign w:val="center"/>
          </w:tcPr>
          <w:p w14:paraId="04C0A1B6">
            <w:pPr>
              <w:shd w:val="clear" w:color="auto" w:fill="FFFFFF"/>
              <w:spacing w:line="360" w:lineRule="exact"/>
              <w:jc w:val="center"/>
              <w:rPr>
                <w:rFonts w:hint="eastAsia" w:ascii="宋体" w:hAnsi="宋体"/>
                <w:b/>
                <w:highlight w:val="none"/>
              </w:rPr>
            </w:pPr>
          </w:p>
        </w:tc>
        <w:tc>
          <w:tcPr>
            <w:tcW w:w="792" w:type="dxa"/>
            <w:vAlign w:val="center"/>
          </w:tcPr>
          <w:p w14:paraId="3468319B">
            <w:pPr>
              <w:shd w:val="clear" w:color="auto" w:fill="FFFFFF"/>
              <w:spacing w:line="360" w:lineRule="exact"/>
              <w:jc w:val="center"/>
              <w:rPr>
                <w:rFonts w:hint="eastAsia" w:ascii="宋体" w:hAnsi="宋体"/>
                <w:b/>
                <w:highlight w:val="none"/>
              </w:rPr>
            </w:pPr>
          </w:p>
        </w:tc>
        <w:tc>
          <w:tcPr>
            <w:tcW w:w="1560" w:type="dxa"/>
            <w:vAlign w:val="center"/>
          </w:tcPr>
          <w:p w14:paraId="78DE8C8A">
            <w:pPr>
              <w:shd w:val="clear" w:color="auto" w:fill="FFFFFF"/>
              <w:spacing w:line="360" w:lineRule="exact"/>
              <w:jc w:val="center"/>
              <w:rPr>
                <w:rFonts w:hint="eastAsia" w:ascii="宋体" w:hAnsi="宋体"/>
                <w:b/>
                <w:highlight w:val="none"/>
              </w:rPr>
            </w:pPr>
          </w:p>
        </w:tc>
        <w:tc>
          <w:tcPr>
            <w:tcW w:w="708" w:type="dxa"/>
            <w:vAlign w:val="center"/>
          </w:tcPr>
          <w:p w14:paraId="4DBECAE9">
            <w:pPr>
              <w:shd w:val="clear" w:color="auto" w:fill="FFFFFF"/>
              <w:spacing w:line="360" w:lineRule="exact"/>
              <w:jc w:val="center"/>
              <w:rPr>
                <w:rFonts w:hint="eastAsia" w:ascii="宋体" w:hAnsi="宋体"/>
                <w:b/>
                <w:highlight w:val="none"/>
              </w:rPr>
            </w:pPr>
          </w:p>
        </w:tc>
        <w:tc>
          <w:tcPr>
            <w:tcW w:w="567" w:type="dxa"/>
            <w:vAlign w:val="center"/>
          </w:tcPr>
          <w:p w14:paraId="7BF1A241">
            <w:pPr>
              <w:shd w:val="clear" w:color="auto" w:fill="FFFFFF"/>
              <w:spacing w:line="360" w:lineRule="exact"/>
              <w:jc w:val="center"/>
              <w:rPr>
                <w:rFonts w:hint="eastAsia" w:ascii="宋体" w:hAnsi="宋体"/>
                <w:b/>
                <w:highlight w:val="none"/>
              </w:rPr>
            </w:pPr>
          </w:p>
        </w:tc>
        <w:tc>
          <w:tcPr>
            <w:tcW w:w="903" w:type="dxa"/>
            <w:vAlign w:val="center"/>
          </w:tcPr>
          <w:p w14:paraId="34B577A3">
            <w:pPr>
              <w:shd w:val="clear" w:color="auto" w:fill="FFFFFF"/>
              <w:spacing w:line="360" w:lineRule="exact"/>
              <w:jc w:val="center"/>
              <w:rPr>
                <w:rFonts w:hint="eastAsia" w:ascii="宋体" w:hAnsi="宋体"/>
                <w:b/>
                <w:highlight w:val="none"/>
              </w:rPr>
            </w:pPr>
          </w:p>
        </w:tc>
        <w:tc>
          <w:tcPr>
            <w:tcW w:w="906" w:type="dxa"/>
            <w:vAlign w:val="center"/>
          </w:tcPr>
          <w:p w14:paraId="5D8C746E">
            <w:pPr>
              <w:shd w:val="clear" w:color="auto" w:fill="FFFFFF"/>
              <w:spacing w:line="360" w:lineRule="exact"/>
              <w:jc w:val="center"/>
              <w:rPr>
                <w:rFonts w:hint="eastAsia" w:ascii="宋体" w:hAnsi="宋体"/>
                <w:b/>
                <w:highlight w:val="none"/>
              </w:rPr>
            </w:pPr>
          </w:p>
        </w:tc>
        <w:tc>
          <w:tcPr>
            <w:tcW w:w="906" w:type="dxa"/>
            <w:vAlign w:val="center"/>
          </w:tcPr>
          <w:p w14:paraId="0E17BF5D">
            <w:pPr>
              <w:shd w:val="clear" w:color="auto" w:fill="FFFFFF"/>
              <w:spacing w:line="360" w:lineRule="exact"/>
              <w:jc w:val="center"/>
              <w:rPr>
                <w:rFonts w:hint="eastAsia" w:ascii="宋体" w:hAnsi="宋体"/>
                <w:b/>
                <w:highlight w:val="none"/>
              </w:rPr>
            </w:pPr>
          </w:p>
        </w:tc>
      </w:tr>
      <w:tr w14:paraId="4A2EED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0" w:hRule="atLeast"/>
        </w:trPr>
        <w:tc>
          <w:tcPr>
            <w:tcW w:w="675" w:type="dxa"/>
            <w:vAlign w:val="center"/>
          </w:tcPr>
          <w:p w14:paraId="78B2655F">
            <w:pPr>
              <w:shd w:val="clear" w:color="auto" w:fill="FFFFFF"/>
              <w:spacing w:line="360" w:lineRule="exact"/>
              <w:jc w:val="center"/>
              <w:rPr>
                <w:rFonts w:hint="eastAsia" w:ascii="宋体" w:hAnsi="宋体"/>
                <w:b/>
                <w:highlight w:val="none"/>
              </w:rPr>
            </w:pPr>
          </w:p>
        </w:tc>
        <w:tc>
          <w:tcPr>
            <w:tcW w:w="1137" w:type="dxa"/>
            <w:vAlign w:val="center"/>
          </w:tcPr>
          <w:p w14:paraId="480E27F9">
            <w:pPr>
              <w:shd w:val="clear" w:color="auto" w:fill="FFFFFF"/>
              <w:spacing w:line="360" w:lineRule="exact"/>
              <w:jc w:val="center"/>
              <w:rPr>
                <w:rFonts w:hint="eastAsia" w:ascii="宋体" w:hAnsi="宋体"/>
                <w:b/>
                <w:highlight w:val="none"/>
              </w:rPr>
            </w:pPr>
            <w:r>
              <w:rPr>
                <w:rFonts w:hint="eastAsia" w:ascii="宋体" w:hAnsi="宋体"/>
                <w:szCs w:val="21"/>
                <w:highlight w:val="none"/>
              </w:rPr>
              <w:t>包合计</w:t>
            </w:r>
          </w:p>
        </w:tc>
        <w:tc>
          <w:tcPr>
            <w:tcW w:w="906" w:type="dxa"/>
            <w:vAlign w:val="center"/>
          </w:tcPr>
          <w:p w14:paraId="1C4585B1">
            <w:pPr>
              <w:shd w:val="clear" w:color="auto" w:fill="FFFFFF"/>
              <w:spacing w:line="360" w:lineRule="exact"/>
              <w:jc w:val="center"/>
              <w:rPr>
                <w:rFonts w:hint="eastAsia" w:ascii="宋体" w:hAnsi="宋体"/>
                <w:b/>
                <w:highlight w:val="none"/>
              </w:rPr>
            </w:pPr>
          </w:p>
        </w:tc>
        <w:tc>
          <w:tcPr>
            <w:tcW w:w="792" w:type="dxa"/>
            <w:vAlign w:val="center"/>
          </w:tcPr>
          <w:p w14:paraId="0FDE330D">
            <w:pPr>
              <w:shd w:val="clear" w:color="auto" w:fill="FFFFFF"/>
              <w:spacing w:line="360" w:lineRule="exact"/>
              <w:jc w:val="center"/>
              <w:rPr>
                <w:rFonts w:hint="eastAsia" w:ascii="宋体" w:hAnsi="宋体"/>
                <w:b/>
                <w:highlight w:val="none"/>
              </w:rPr>
            </w:pPr>
          </w:p>
        </w:tc>
        <w:tc>
          <w:tcPr>
            <w:tcW w:w="1560" w:type="dxa"/>
            <w:vAlign w:val="center"/>
          </w:tcPr>
          <w:p w14:paraId="137B568C">
            <w:pPr>
              <w:shd w:val="clear" w:color="auto" w:fill="FFFFFF"/>
              <w:spacing w:line="360" w:lineRule="exact"/>
              <w:jc w:val="center"/>
              <w:rPr>
                <w:rFonts w:hint="eastAsia" w:ascii="宋体" w:hAnsi="宋体"/>
                <w:b/>
                <w:highlight w:val="none"/>
              </w:rPr>
            </w:pPr>
          </w:p>
        </w:tc>
        <w:tc>
          <w:tcPr>
            <w:tcW w:w="708" w:type="dxa"/>
            <w:vAlign w:val="center"/>
          </w:tcPr>
          <w:p w14:paraId="0D9F66F0">
            <w:pPr>
              <w:shd w:val="clear" w:color="auto" w:fill="FFFFFF"/>
              <w:spacing w:line="360" w:lineRule="exact"/>
              <w:jc w:val="center"/>
              <w:rPr>
                <w:rFonts w:hint="eastAsia" w:ascii="宋体" w:hAnsi="宋体"/>
                <w:b/>
                <w:highlight w:val="none"/>
              </w:rPr>
            </w:pPr>
          </w:p>
        </w:tc>
        <w:tc>
          <w:tcPr>
            <w:tcW w:w="567" w:type="dxa"/>
            <w:vAlign w:val="center"/>
          </w:tcPr>
          <w:p w14:paraId="0043C7F3">
            <w:pPr>
              <w:shd w:val="clear" w:color="auto" w:fill="FFFFFF"/>
              <w:spacing w:line="360" w:lineRule="exact"/>
              <w:jc w:val="center"/>
              <w:rPr>
                <w:rFonts w:hint="eastAsia" w:ascii="宋体" w:hAnsi="宋体"/>
                <w:b/>
                <w:highlight w:val="none"/>
              </w:rPr>
            </w:pPr>
          </w:p>
        </w:tc>
        <w:tc>
          <w:tcPr>
            <w:tcW w:w="903" w:type="dxa"/>
            <w:vAlign w:val="center"/>
          </w:tcPr>
          <w:p w14:paraId="1C4396A6">
            <w:pPr>
              <w:shd w:val="clear" w:color="auto" w:fill="FFFFFF"/>
              <w:spacing w:line="360" w:lineRule="exact"/>
              <w:jc w:val="center"/>
              <w:rPr>
                <w:rFonts w:hint="eastAsia" w:ascii="宋体" w:hAnsi="宋体"/>
                <w:b/>
                <w:highlight w:val="none"/>
              </w:rPr>
            </w:pPr>
          </w:p>
        </w:tc>
        <w:tc>
          <w:tcPr>
            <w:tcW w:w="906" w:type="dxa"/>
            <w:vAlign w:val="center"/>
          </w:tcPr>
          <w:p w14:paraId="61A11436">
            <w:pPr>
              <w:shd w:val="clear" w:color="auto" w:fill="FFFFFF"/>
              <w:spacing w:line="360" w:lineRule="exact"/>
              <w:jc w:val="center"/>
              <w:rPr>
                <w:rFonts w:hint="eastAsia" w:ascii="宋体" w:hAnsi="宋体"/>
                <w:b/>
                <w:highlight w:val="none"/>
              </w:rPr>
            </w:pPr>
          </w:p>
        </w:tc>
        <w:tc>
          <w:tcPr>
            <w:tcW w:w="906" w:type="dxa"/>
            <w:vAlign w:val="center"/>
          </w:tcPr>
          <w:p w14:paraId="6255C620">
            <w:pPr>
              <w:shd w:val="clear" w:color="auto" w:fill="FFFFFF"/>
              <w:spacing w:line="360" w:lineRule="exact"/>
              <w:jc w:val="center"/>
              <w:rPr>
                <w:rFonts w:hint="eastAsia" w:ascii="宋体" w:hAnsi="宋体"/>
                <w:b/>
                <w:highlight w:val="none"/>
              </w:rPr>
            </w:pPr>
          </w:p>
        </w:tc>
      </w:tr>
      <w:bookmarkEnd w:id="475"/>
    </w:tbl>
    <w:p w14:paraId="3424D12A">
      <w:pPr>
        <w:adjustRightInd w:val="0"/>
        <w:snapToGrid w:val="0"/>
        <w:spacing w:line="360" w:lineRule="auto"/>
        <w:rPr>
          <w:rFonts w:hint="eastAsia" w:ascii="宋体" w:hAnsi="宋体"/>
          <w:szCs w:val="21"/>
          <w:highlight w:val="none"/>
        </w:rPr>
      </w:pPr>
      <w:r>
        <w:rPr>
          <w:rFonts w:hint="eastAsia" w:ascii="宋体" w:hAnsi="宋体"/>
          <w:b/>
          <w:szCs w:val="21"/>
          <w:highlight w:val="none"/>
        </w:rPr>
        <w:t>注</w:t>
      </w:r>
      <w:r>
        <w:rPr>
          <w:rFonts w:hint="eastAsia" w:ascii="宋体" w:hAnsi="宋体"/>
          <w:szCs w:val="21"/>
          <w:highlight w:val="none"/>
        </w:rPr>
        <w:t>：（1）</w:t>
      </w:r>
      <w:r>
        <w:rPr>
          <w:rFonts w:hint="eastAsia" w:ascii="宋体" w:hAnsi="宋体"/>
          <w:b/>
          <w:szCs w:val="21"/>
          <w:highlight w:val="none"/>
        </w:rPr>
        <w:t>本表应对应</w:t>
      </w:r>
      <w:r>
        <w:rPr>
          <w:rFonts w:hint="eastAsia" w:ascii="宋体" w:hAnsi="宋体"/>
          <w:szCs w:val="21"/>
          <w:highlight w:val="none"/>
        </w:rPr>
        <w:t>“</w:t>
      </w:r>
      <w:r>
        <w:rPr>
          <w:rFonts w:hint="eastAsia" w:ascii="宋体" w:hAnsi="宋体"/>
          <w:b/>
          <w:szCs w:val="21"/>
          <w:highlight w:val="none"/>
        </w:rPr>
        <w:t>报价表</w:t>
      </w:r>
      <w:r>
        <w:rPr>
          <w:rFonts w:hint="eastAsia" w:ascii="宋体" w:hAnsi="宋体"/>
          <w:szCs w:val="21"/>
          <w:highlight w:val="none"/>
        </w:rPr>
        <w:t>”</w:t>
      </w:r>
      <w:r>
        <w:rPr>
          <w:rFonts w:hint="eastAsia" w:ascii="宋体" w:hAnsi="宋体"/>
          <w:b/>
          <w:szCs w:val="21"/>
          <w:highlight w:val="none"/>
        </w:rPr>
        <w:t>，按项填写</w:t>
      </w:r>
      <w:r>
        <w:rPr>
          <w:rFonts w:hint="eastAsia" w:ascii="宋体" w:hAnsi="宋体"/>
          <w:szCs w:val="21"/>
          <w:highlight w:val="none"/>
        </w:rPr>
        <w:t>。供应商如果不提供分项报价明细表，其</w:t>
      </w:r>
      <w:r>
        <w:rPr>
          <w:rFonts w:hint="eastAsia" w:ascii="宋体" w:hAnsi="宋体"/>
          <w:b/>
          <w:szCs w:val="21"/>
          <w:highlight w:val="none"/>
        </w:rPr>
        <w:t>响应无效</w:t>
      </w:r>
      <w:r>
        <w:rPr>
          <w:rFonts w:hint="eastAsia" w:ascii="宋体" w:hAnsi="宋体"/>
          <w:szCs w:val="21"/>
          <w:highlight w:val="none"/>
        </w:rPr>
        <w:t>。</w:t>
      </w:r>
    </w:p>
    <w:p w14:paraId="74DD03B7">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（2）不得填写“免费”或者“赠与”，也不得进行“零”报价，否则</w:t>
      </w:r>
      <w:r>
        <w:rPr>
          <w:rFonts w:hint="eastAsia" w:ascii="宋体" w:hAnsi="宋体"/>
          <w:b/>
          <w:szCs w:val="21"/>
          <w:highlight w:val="none"/>
        </w:rPr>
        <w:t>响应无效</w:t>
      </w:r>
      <w:r>
        <w:rPr>
          <w:rFonts w:hint="eastAsia" w:ascii="宋体" w:hAnsi="宋体"/>
          <w:szCs w:val="21"/>
          <w:highlight w:val="none"/>
        </w:rPr>
        <w:t>。</w:t>
      </w:r>
    </w:p>
    <w:p w14:paraId="0E0E2A46">
      <w:pPr>
        <w:spacing w:after="120"/>
        <w:ind w:firstLine="420" w:firstLineChars="200"/>
        <w:rPr>
          <w:highlight w:val="none"/>
        </w:rPr>
      </w:pPr>
    </w:p>
    <w:p w14:paraId="24453169">
      <w:pPr>
        <w:adjustRightInd w:val="0"/>
        <w:snapToGrid w:val="0"/>
        <w:spacing w:line="360" w:lineRule="auto"/>
        <w:rPr>
          <w:rFonts w:hint="eastAsia" w:ascii="宋体" w:hAnsi="宋体"/>
          <w:szCs w:val="21"/>
          <w:highlight w:val="none"/>
        </w:rPr>
      </w:pPr>
    </w:p>
    <w:p w14:paraId="5A6E7798">
      <w:pPr>
        <w:adjustRightInd w:val="0"/>
        <w:snapToGrid w:val="0"/>
        <w:spacing w:line="360" w:lineRule="auto"/>
        <w:rPr>
          <w:rFonts w:hint="eastAsia" w:ascii="宋体" w:hAnsi="宋体"/>
          <w:szCs w:val="21"/>
          <w:highlight w:val="none"/>
        </w:rPr>
      </w:pPr>
      <w:r>
        <w:rPr>
          <w:rFonts w:hint="eastAsia" w:ascii="宋体" w:hAnsi="宋体"/>
          <w:szCs w:val="21"/>
          <w:highlight w:val="none"/>
        </w:rPr>
        <w:t>供应商名称（盖单位公章）：</w:t>
      </w:r>
      <w:r>
        <w:rPr>
          <w:rFonts w:hint="eastAsia" w:ascii="宋体" w:hAnsi="宋体"/>
          <w:szCs w:val="21"/>
          <w:highlight w:val="none"/>
          <w:u w:val="single"/>
        </w:rPr>
        <w:t xml:space="preserve">                </w:t>
      </w:r>
    </w:p>
    <w:p w14:paraId="0D55CDC5">
      <w:pPr>
        <w:adjustRightInd w:val="0"/>
        <w:snapToGrid w:val="0"/>
        <w:spacing w:line="360" w:lineRule="auto"/>
        <w:rPr>
          <w:rFonts w:hint="eastAsia"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或者其授权的代理人（签字或者印章）：</w:t>
      </w:r>
      <w:r>
        <w:rPr>
          <w:rFonts w:hint="eastAsia" w:ascii="宋体" w:hAnsi="宋体"/>
          <w:szCs w:val="21"/>
          <w:highlight w:val="none"/>
          <w:u w:val="single"/>
        </w:rPr>
        <w:t xml:space="preserve">                </w:t>
      </w:r>
    </w:p>
    <w:p w14:paraId="31974419">
      <w:pPr>
        <w:adjustRightInd w:val="0"/>
        <w:snapToGrid w:val="0"/>
        <w:spacing w:line="360" w:lineRule="auto"/>
        <w:rPr>
          <w:rFonts w:hint="eastAsia" w:ascii="黑体" w:hAnsi="黑体" w:eastAsia="黑体"/>
          <w:bCs/>
          <w:sz w:val="30"/>
          <w:szCs w:val="30"/>
          <w:highlight w:val="none"/>
        </w:rPr>
      </w:pPr>
      <w:r>
        <w:rPr>
          <w:rFonts w:hint="eastAsia" w:ascii="宋体" w:hAnsi="宋体"/>
          <w:szCs w:val="21"/>
          <w:highlight w:val="none"/>
        </w:rPr>
        <w:t>日期：年月日</w:t>
      </w:r>
    </w:p>
    <w:p w14:paraId="36AA5C77">
      <w:pPr>
        <w:spacing w:after="120"/>
        <w:rPr>
          <w:highlight w:val="none"/>
        </w:rPr>
      </w:pPr>
    </w:p>
    <w:p w14:paraId="026F2060">
      <w:pPr>
        <w:adjustRightInd w:val="0"/>
        <w:snapToGrid w:val="0"/>
        <w:spacing w:before="120" w:beforeLines="50" w:line="360" w:lineRule="auto"/>
        <w:rPr>
          <w:highlight w:val="none"/>
        </w:rPr>
      </w:pPr>
      <w:r>
        <w:rPr>
          <w:highlight w:val="none"/>
        </w:rPr>
        <w:br w:type="page"/>
      </w:r>
      <w:bookmarkStart w:id="476" w:name="_Toc22201157"/>
    </w:p>
    <w:p w14:paraId="4A35A308">
      <w:pPr>
        <w:pStyle w:val="8"/>
        <w:jc w:val="center"/>
        <w:rPr>
          <w:rFonts w:hint="eastAsia" w:ascii="黑体" w:hAnsi="黑体" w:eastAsia="黑体"/>
          <w:sz w:val="28"/>
          <w:szCs w:val="28"/>
          <w:highlight w:val="none"/>
        </w:rPr>
      </w:pPr>
      <w:bookmarkStart w:id="477" w:name="_Toc22701"/>
      <w:bookmarkStart w:id="478" w:name="_Toc26942"/>
      <w:bookmarkStart w:id="479" w:name="_Toc24210"/>
      <w:bookmarkStart w:id="480" w:name="_Toc23419"/>
      <w:r>
        <w:rPr>
          <w:rFonts w:hint="eastAsia" w:ascii="黑体" w:hAnsi="黑体" w:eastAsia="黑体"/>
          <w:sz w:val="28"/>
          <w:szCs w:val="28"/>
          <w:highlight w:val="none"/>
        </w:rPr>
        <w:t>六、采购需求的响应</w:t>
      </w:r>
      <w:bookmarkEnd w:id="476"/>
      <w:bookmarkEnd w:id="477"/>
      <w:bookmarkEnd w:id="478"/>
      <w:bookmarkEnd w:id="479"/>
      <w:bookmarkEnd w:id="480"/>
    </w:p>
    <w:p w14:paraId="05F8BDB5">
      <w:pPr>
        <w:adjustRightInd w:val="0"/>
        <w:snapToGrid w:val="0"/>
        <w:spacing w:line="360" w:lineRule="auto"/>
        <w:rPr>
          <w:rFonts w:hint="eastAsia" w:ascii="宋体" w:hAnsi="宋体"/>
          <w:b/>
          <w:szCs w:val="21"/>
          <w:highlight w:val="none"/>
        </w:rPr>
      </w:pPr>
    </w:p>
    <w:p w14:paraId="3B2411B5">
      <w:pPr>
        <w:adjustRightInd w:val="0"/>
        <w:snapToGrid w:val="0"/>
        <w:spacing w:line="360" w:lineRule="auto"/>
        <w:rPr>
          <w:rFonts w:hint="eastAsia" w:ascii="宋体" w:hAnsi="宋体"/>
          <w:b/>
          <w:szCs w:val="21"/>
          <w:highlight w:val="none"/>
        </w:rPr>
      </w:pPr>
    </w:p>
    <w:p w14:paraId="2543EDF7">
      <w:pPr>
        <w:spacing w:line="360" w:lineRule="auto"/>
        <w:rPr>
          <w:rFonts w:eastAsia="Times New Roman"/>
          <w:b/>
          <w:highlight w:val="none"/>
        </w:rPr>
      </w:pPr>
      <w:r>
        <w:rPr>
          <w:rFonts w:ascii="宋体" w:hAnsi="宋体" w:cs="宋体"/>
          <w:b/>
          <w:highlight w:val="none"/>
        </w:rPr>
        <w:t>编制说明</w:t>
      </w:r>
      <w:r>
        <w:rPr>
          <w:rFonts w:ascii="宋体" w:hAnsi="宋体" w:cs="宋体"/>
          <w:highlight w:val="none"/>
        </w:rPr>
        <w:t>：</w:t>
      </w:r>
      <w:r>
        <w:rPr>
          <w:rFonts w:hint="eastAsia" w:ascii="宋体" w:hAnsi="宋体" w:cs="宋体"/>
          <w:b/>
          <w:highlight w:val="none"/>
        </w:rPr>
        <w:t>供应商</w:t>
      </w:r>
      <w:r>
        <w:rPr>
          <w:rFonts w:ascii="宋体" w:hAnsi="宋体" w:cs="宋体"/>
          <w:b/>
          <w:highlight w:val="none"/>
        </w:rPr>
        <w:t>应按</w:t>
      </w:r>
      <w:r>
        <w:rPr>
          <w:rFonts w:hint="eastAsia" w:ascii="宋体" w:hAnsi="宋体" w:cs="宋体"/>
          <w:b/>
          <w:highlight w:val="none"/>
        </w:rPr>
        <w:t>磋商</w:t>
      </w:r>
      <w:r>
        <w:rPr>
          <w:rFonts w:ascii="宋体" w:hAnsi="宋体" w:cs="宋体"/>
          <w:b/>
          <w:highlight w:val="none"/>
        </w:rPr>
        <w:t>文件第</w:t>
      </w:r>
      <w:r>
        <w:rPr>
          <w:rFonts w:hint="eastAsia" w:ascii="宋体" w:hAnsi="宋体" w:cs="宋体"/>
          <w:b/>
          <w:highlight w:val="none"/>
        </w:rPr>
        <w:t>四</w:t>
      </w:r>
      <w:r>
        <w:rPr>
          <w:rFonts w:ascii="宋体" w:hAnsi="宋体" w:cs="宋体"/>
          <w:b/>
          <w:highlight w:val="none"/>
        </w:rPr>
        <w:t>章采购需求自行编写采购需求响应文件（其内容可包括，且不限于详细的</w:t>
      </w:r>
      <w:r>
        <w:rPr>
          <w:rFonts w:hint="eastAsia" w:ascii="宋体" w:hAnsi="宋体" w:cs="宋体"/>
          <w:b/>
          <w:highlight w:val="none"/>
        </w:rPr>
        <w:t>服务方案、</w:t>
      </w:r>
      <w:r>
        <w:rPr>
          <w:rFonts w:ascii="宋体" w:hAnsi="宋体" w:cs="宋体"/>
          <w:b/>
          <w:highlight w:val="none"/>
        </w:rPr>
        <w:t>组织</w:t>
      </w:r>
      <w:r>
        <w:rPr>
          <w:rFonts w:hint="eastAsia" w:ascii="宋体" w:hAnsi="宋体" w:cs="宋体"/>
          <w:b/>
          <w:highlight w:val="none"/>
        </w:rPr>
        <w:t>方案</w:t>
      </w:r>
      <w:r>
        <w:rPr>
          <w:rFonts w:ascii="宋体" w:hAnsi="宋体" w:cs="宋体"/>
          <w:b/>
          <w:highlight w:val="none"/>
        </w:rPr>
        <w:t>及保证措施等，格式自拟）。</w:t>
      </w:r>
    </w:p>
    <w:p w14:paraId="56998F42">
      <w:pPr>
        <w:adjustRightInd w:val="0"/>
        <w:snapToGrid w:val="0"/>
        <w:spacing w:line="360" w:lineRule="auto"/>
        <w:ind w:firstLine="420" w:firstLineChars="200"/>
        <w:rPr>
          <w:rFonts w:hint="eastAsia" w:ascii="宋体" w:hAnsi="宋体"/>
          <w:szCs w:val="21"/>
          <w:highlight w:val="none"/>
        </w:rPr>
      </w:pPr>
    </w:p>
    <w:p w14:paraId="5AC0BEF8">
      <w:pPr>
        <w:adjustRightInd w:val="0"/>
        <w:snapToGrid w:val="0"/>
        <w:spacing w:line="360" w:lineRule="auto"/>
        <w:rPr>
          <w:rFonts w:hint="eastAsia" w:ascii="宋体" w:hAnsi="宋体"/>
          <w:szCs w:val="21"/>
          <w:highlight w:val="none"/>
        </w:rPr>
      </w:pPr>
    </w:p>
    <w:p w14:paraId="0F36CF9C">
      <w:pPr>
        <w:adjustRightInd w:val="0"/>
        <w:snapToGrid w:val="0"/>
        <w:spacing w:line="360" w:lineRule="auto"/>
        <w:rPr>
          <w:rFonts w:hint="eastAsia" w:ascii="宋体" w:hAnsi="宋体"/>
          <w:szCs w:val="21"/>
          <w:highlight w:val="none"/>
        </w:rPr>
      </w:pPr>
    </w:p>
    <w:p w14:paraId="5367D93C">
      <w:pPr>
        <w:adjustRightInd w:val="0"/>
        <w:snapToGrid w:val="0"/>
        <w:spacing w:line="360" w:lineRule="auto"/>
        <w:rPr>
          <w:rFonts w:hint="eastAsia" w:ascii="宋体" w:hAnsi="宋体"/>
          <w:szCs w:val="21"/>
          <w:highlight w:val="none"/>
        </w:rPr>
      </w:pPr>
    </w:p>
    <w:p w14:paraId="1CC450D3">
      <w:pPr>
        <w:adjustRightInd w:val="0"/>
        <w:snapToGrid w:val="0"/>
        <w:spacing w:line="360" w:lineRule="auto"/>
        <w:rPr>
          <w:rFonts w:hint="eastAsia" w:ascii="宋体" w:hAnsi="宋体"/>
          <w:szCs w:val="21"/>
          <w:highlight w:val="none"/>
        </w:rPr>
      </w:pPr>
      <w:r>
        <w:rPr>
          <w:rFonts w:hint="eastAsia" w:ascii="宋体" w:hAnsi="宋体"/>
          <w:szCs w:val="21"/>
          <w:highlight w:val="none"/>
        </w:rPr>
        <w:t>供应商名称（盖单位公章）：</w:t>
      </w:r>
      <w:r>
        <w:rPr>
          <w:rFonts w:hint="eastAsia" w:ascii="宋体" w:hAnsi="宋体"/>
          <w:szCs w:val="21"/>
          <w:highlight w:val="none"/>
          <w:u w:val="single"/>
        </w:rPr>
        <w:t xml:space="preserve">                   </w:t>
      </w:r>
    </w:p>
    <w:p w14:paraId="10CDDA87">
      <w:pPr>
        <w:adjustRightInd w:val="0"/>
        <w:snapToGrid w:val="0"/>
        <w:spacing w:line="360" w:lineRule="auto"/>
        <w:rPr>
          <w:rFonts w:hint="eastAsia" w:ascii="宋体" w:hAnsi="宋体"/>
          <w:szCs w:val="21"/>
          <w:highlight w:val="none"/>
          <w:u w:val="singl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或者其授权的代理人（签字或者印章）：</w:t>
      </w:r>
      <w:r>
        <w:rPr>
          <w:rFonts w:hint="eastAsia" w:ascii="宋体" w:hAnsi="宋体"/>
          <w:szCs w:val="21"/>
          <w:highlight w:val="none"/>
          <w:u w:val="single"/>
        </w:rPr>
        <w:t xml:space="preserve">                   </w:t>
      </w:r>
    </w:p>
    <w:p w14:paraId="7F9AB423">
      <w:pPr>
        <w:adjustRightInd w:val="0"/>
        <w:snapToGrid w:val="0"/>
        <w:spacing w:line="360" w:lineRule="auto"/>
        <w:rPr>
          <w:rFonts w:hint="eastAsia" w:ascii="宋体" w:hAnsi="宋体"/>
          <w:szCs w:val="21"/>
          <w:highlight w:val="none"/>
        </w:rPr>
      </w:pPr>
      <w:r>
        <w:rPr>
          <w:rFonts w:hint="eastAsia" w:ascii="宋体" w:hAnsi="宋体"/>
          <w:szCs w:val="21"/>
          <w:highlight w:val="none"/>
        </w:rPr>
        <w:t>日期：    年  月  日</w:t>
      </w:r>
    </w:p>
    <w:p w14:paraId="0572EC35">
      <w:pPr>
        <w:rPr>
          <w:highlight w:val="none"/>
        </w:rPr>
      </w:pPr>
    </w:p>
    <w:p w14:paraId="65C544BE">
      <w:pPr>
        <w:rPr>
          <w:highlight w:val="none"/>
        </w:rPr>
      </w:pPr>
    </w:p>
    <w:p w14:paraId="55D33350">
      <w:pPr>
        <w:rPr>
          <w:highlight w:val="none"/>
        </w:rPr>
      </w:pPr>
    </w:p>
    <w:p w14:paraId="4FAD1910">
      <w:pPr>
        <w:rPr>
          <w:highlight w:val="none"/>
        </w:rPr>
      </w:pPr>
    </w:p>
    <w:p w14:paraId="7AAD340D">
      <w:pPr>
        <w:rPr>
          <w:highlight w:val="none"/>
        </w:rPr>
      </w:pPr>
    </w:p>
    <w:p w14:paraId="25F598A6">
      <w:pPr>
        <w:rPr>
          <w:highlight w:val="none"/>
        </w:rPr>
      </w:pPr>
    </w:p>
    <w:p w14:paraId="1F6BBF3A">
      <w:pPr>
        <w:rPr>
          <w:highlight w:val="none"/>
        </w:rPr>
      </w:pPr>
    </w:p>
    <w:p w14:paraId="563DF95A">
      <w:pPr>
        <w:rPr>
          <w:highlight w:val="none"/>
        </w:rPr>
      </w:pPr>
    </w:p>
    <w:p w14:paraId="3E75519F">
      <w:pPr>
        <w:rPr>
          <w:highlight w:val="none"/>
        </w:rPr>
      </w:pPr>
    </w:p>
    <w:p w14:paraId="15F92B56">
      <w:pPr>
        <w:rPr>
          <w:highlight w:val="none"/>
        </w:rPr>
      </w:pPr>
    </w:p>
    <w:p w14:paraId="11E8A612">
      <w:pPr>
        <w:rPr>
          <w:highlight w:val="none"/>
        </w:rPr>
      </w:pPr>
    </w:p>
    <w:p w14:paraId="1A65EFAB">
      <w:pPr>
        <w:rPr>
          <w:highlight w:val="none"/>
        </w:rPr>
      </w:pPr>
    </w:p>
    <w:p w14:paraId="18284FEC">
      <w:pPr>
        <w:rPr>
          <w:highlight w:val="none"/>
        </w:rPr>
      </w:pPr>
    </w:p>
    <w:p w14:paraId="52DDBCD2">
      <w:pPr>
        <w:rPr>
          <w:highlight w:val="none"/>
        </w:rPr>
      </w:pPr>
    </w:p>
    <w:p w14:paraId="377FFFC0">
      <w:pPr>
        <w:rPr>
          <w:highlight w:val="none"/>
        </w:rPr>
      </w:pPr>
    </w:p>
    <w:p w14:paraId="71663268">
      <w:pPr>
        <w:rPr>
          <w:highlight w:val="none"/>
        </w:rPr>
      </w:pPr>
    </w:p>
    <w:p w14:paraId="06C4AC70">
      <w:pPr>
        <w:rPr>
          <w:highlight w:val="none"/>
        </w:rPr>
      </w:pPr>
    </w:p>
    <w:p w14:paraId="1B603867">
      <w:pPr>
        <w:rPr>
          <w:highlight w:val="none"/>
        </w:rPr>
      </w:pPr>
    </w:p>
    <w:p w14:paraId="13C104AB">
      <w:pPr>
        <w:rPr>
          <w:highlight w:val="none"/>
        </w:rPr>
      </w:pPr>
    </w:p>
    <w:p w14:paraId="37EB9D7D">
      <w:pPr>
        <w:rPr>
          <w:highlight w:val="none"/>
        </w:rPr>
      </w:pPr>
    </w:p>
    <w:p w14:paraId="10972BBF">
      <w:pPr>
        <w:rPr>
          <w:highlight w:val="none"/>
        </w:rPr>
      </w:pPr>
    </w:p>
    <w:p w14:paraId="479B4992">
      <w:pPr>
        <w:rPr>
          <w:highlight w:val="none"/>
        </w:rPr>
      </w:pPr>
    </w:p>
    <w:p w14:paraId="59869CD0">
      <w:pPr>
        <w:rPr>
          <w:highlight w:val="none"/>
        </w:rPr>
      </w:pPr>
    </w:p>
    <w:p w14:paraId="6944DC42">
      <w:pPr>
        <w:rPr>
          <w:highlight w:val="none"/>
        </w:rPr>
      </w:pPr>
    </w:p>
    <w:p w14:paraId="407B9060">
      <w:pPr>
        <w:rPr>
          <w:highlight w:val="none"/>
        </w:rPr>
      </w:pPr>
    </w:p>
    <w:p w14:paraId="2F51B92B">
      <w:pPr>
        <w:rPr>
          <w:highlight w:val="none"/>
        </w:rPr>
      </w:pPr>
    </w:p>
    <w:p w14:paraId="28601CA7">
      <w:pPr>
        <w:rPr>
          <w:highlight w:val="none"/>
        </w:rPr>
      </w:pPr>
    </w:p>
    <w:p w14:paraId="76DE9FCB">
      <w:pPr>
        <w:rPr>
          <w:highlight w:val="none"/>
        </w:rPr>
      </w:pPr>
    </w:p>
    <w:p w14:paraId="3A9D63FE">
      <w:pPr>
        <w:rPr>
          <w:highlight w:val="none"/>
        </w:rPr>
      </w:pPr>
    </w:p>
    <w:p w14:paraId="394B4D7B">
      <w:pPr>
        <w:rPr>
          <w:highlight w:val="none"/>
        </w:rPr>
      </w:pPr>
    </w:p>
    <w:p w14:paraId="1169F565">
      <w:pPr>
        <w:rPr>
          <w:highlight w:val="none"/>
        </w:rPr>
      </w:pPr>
    </w:p>
    <w:p w14:paraId="358691BB">
      <w:pPr>
        <w:rPr>
          <w:highlight w:val="none"/>
        </w:rPr>
      </w:pPr>
    </w:p>
    <w:p w14:paraId="50C0B6D1">
      <w:pPr>
        <w:rPr>
          <w:highlight w:val="none"/>
        </w:rPr>
      </w:pPr>
    </w:p>
    <w:p w14:paraId="4CB1878C">
      <w:pPr>
        <w:pStyle w:val="9"/>
        <w:rPr>
          <w:rFonts w:hint="eastAsia" w:ascii="宋体" w:hAnsi="宋体"/>
          <w:sz w:val="21"/>
          <w:szCs w:val="21"/>
          <w:highlight w:val="none"/>
        </w:rPr>
      </w:pPr>
      <w:bookmarkStart w:id="481" w:name="_Toc2200"/>
      <w:bookmarkStart w:id="482" w:name="_Toc10632"/>
      <w:bookmarkStart w:id="483" w:name="_Toc22201158"/>
      <w:bookmarkStart w:id="484" w:name="_Toc17437"/>
      <w:bookmarkStart w:id="485" w:name="_Toc4758"/>
      <w:r>
        <w:rPr>
          <w:rFonts w:hint="eastAsia" w:ascii="宋体" w:hAnsi="宋体"/>
          <w:sz w:val="21"/>
          <w:szCs w:val="21"/>
          <w:highlight w:val="none"/>
        </w:rPr>
        <w:t>附件6-1 响应-览表</w:t>
      </w:r>
      <w:bookmarkEnd w:id="481"/>
      <w:bookmarkEnd w:id="482"/>
      <w:bookmarkEnd w:id="483"/>
      <w:bookmarkEnd w:id="484"/>
      <w:bookmarkEnd w:id="485"/>
    </w:p>
    <w:p w14:paraId="10264742">
      <w:pPr>
        <w:adjustRightInd w:val="0"/>
        <w:snapToGrid w:val="0"/>
        <w:spacing w:before="120" w:beforeLines="50" w:line="360" w:lineRule="auto"/>
        <w:jc w:val="center"/>
        <w:rPr>
          <w:rFonts w:hint="eastAsia" w:ascii="黑体" w:hAnsi="黑体" w:eastAsia="黑体"/>
          <w:b/>
          <w:bCs/>
          <w:sz w:val="28"/>
          <w:szCs w:val="28"/>
          <w:highlight w:val="none"/>
        </w:rPr>
      </w:pPr>
      <w:r>
        <w:rPr>
          <w:rFonts w:hint="eastAsia" w:ascii="黑体" w:hAnsi="黑体" w:eastAsia="黑体"/>
          <w:b/>
          <w:bCs/>
          <w:sz w:val="28"/>
          <w:szCs w:val="28"/>
          <w:highlight w:val="none"/>
        </w:rPr>
        <w:t>响应</w:t>
      </w:r>
      <w:r>
        <w:rPr>
          <w:rFonts w:hint="eastAsia" w:ascii="黑体" w:hAnsi="黑体" w:eastAsia="黑体"/>
          <w:b/>
          <w:bCs/>
          <w:sz w:val="28"/>
          <w:szCs w:val="28"/>
          <w:highlight w:val="none"/>
          <w:lang w:val="en-US" w:eastAsia="zh-CN"/>
        </w:rPr>
        <w:t>一</w:t>
      </w:r>
      <w:r>
        <w:rPr>
          <w:rFonts w:hint="eastAsia" w:ascii="黑体" w:hAnsi="黑体" w:eastAsia="黑体"/>
          <w:b/>
          <w:bCs/>
          <w:sz w:val="28"/>
          <w:szCs w:val="28"/>
          <w:highlight w:val="none"/>
        </w:rPr>
        <w:t>览表</w:t>
      </w:r>
    </w:p>
    <w:p w14:paraId="169CD33C">
      <w:pPr>
        <w:rPr>
          <w:rFonts w:hint="eastAsia" w:ascii="宋体" w:hAnsi="宋体"/>
          <w:szCs w:val="21"/>
          <w:highlight w:val="none"/>
        </w:rPr>
      </w:pPr>
      <w:r>
        <w:rPr>
          <w:rFonts w:hint="eastAsia" w:ascii="宋体" w:hAnsi="宋体"/>
          <w:szCs w:val="21"/>
          <w:highlight w:val="none"/>
        </w:rPr>
        <w:t>政府采购编号：</w:t>
      </w:r>
      <w:r>
        <w:rPr>
          <w:rFonts w:hint="eastAsia" w:ascii="宋体" w:hAnsi="宋体"/>
          <w:szCs w:val="21"/>
          <w:highlight w:val="none"/>
          <w:u w:val="single"/>
        </w:rPr>
        <w:t>__    ________</w:t>
      </w:r>
      <w:r>
        <w:rPr>
          <w:rFonts w:hint="eastAsia" w:ascii="宋体" w:hAnsi="宋体"/>
          <w:szCs w:val="21"/>
          <w:highlight w:val="none"/>
        </w:rPr>
        <w:t xml:space="preserve">                       项目名称：</w:t>
      </w:r>
      <w:r>
        <w:rPr>
          <w:rFonts w:hint="eastAsia" w:ascii="宋体" w:hAnsi="宋体"/>
          <w:szCs w:val="21"/>
          <w:highlight w:val="none"/>
          <w:u w:val="single"/>
        </w:rPr>
        <w:t>____            ______</w:t>
      </w:r>
    </w:p>
    <w:tbl>
      <w:tblPr>
        <w:tblStyle w:val="48"/>
        <w:tblW w:w="8962" w:type="dxa"/>
        <w:tblInd w:w="98" w:type="dxa"/>
        <w:tblLayout w:type="fixed"/>
        <w:tblCellMar>
          <w:top w:w="0" w:type="dxa"/>
          <w:left w:w="10" w:type="dxa"/>
          <w:bottom w:w="0" w:type="dxa"/>
          <w:right w:w="10" w:type="dxa"/>
        </w:tblCellMar>
      </w:tblPr>
      <w:tblGrid>
        <w:gridCol w:w="429"/>
        <w:gridCol w:w="947"/>
        <w:gridCol w:w="2096"/>
        <w:gridCol w:w="1999"/>
        <w:gridCol w:w="1081"/>
        <w:gridCol w:w="704"/>
        <w:gridCol w:w="745"/>
        <w:gridCol w:w="961"/>
      </w:tblGrid>
      <w:tr w14:paraId="190DB28A">
        <w:trPr>
          <w:cantSplit/>
          <w:trHeight w:val="446" w:hRule="atLeast"/>
        </w:trPr>
        <w:tc>
          <w:tcPr>
            <w:tcW w:w="429"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BD31AB">
            <w:pPr>
              <w:jc w:val="center"/>
              <w:rPr>
                <w:highlight w:val="none"/>
              </w:rPr>
            </w:pPr>
            <w:r>
              <w:rPr>
                <w:rFonts w:ascii="宋体" w:hAnsi="宋体" w:cs="宋体"/>
                <w:highlight w:val="none"/>
              </w:rPr>
              <w:t>包号</w:t>
            </w:r>
          </w:p>
        </w:tc>
        <w:tc>
          <w:tcPr>
            <w:tcW w:w="947"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F337E48">
            <w:pPr>
              <w:jc w:val="center"/>
              <w:rPr>
                <w:rFonts w:hint="eastAsia" w:ascii="宋体" w:hAnsi="宋体" w:cs="宋体"/>
                <w:highlight w:val="none"/>
              </w:rPr>
            </w:pPr>
            <w:r>
              <w:rPr>
                <w:rFonts w:ascii="宋体" w:hAnsi="宋体" w:cs="宋体"/>
                <w:highlight w:val="none"/>
              </w:rPr>
              <w:t>包名称</w:t>
            </w:r>
          </w:p>
        </w:tc>
        <w:tc>
          <w:tcPr>
            <w:tcW w:w="2096"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F18B905">
            <w:pPr>
              <w:jc w:val="center"/>
              <w:rPr>
                <w:rFonts w:eastAsia="Times New Roman"/>
                <w:highlight w:val="none"/>
              </w:rPr>
            </w:pPr>
            <w:r>
              <w:rPr>
                <w:rFonts w:ascii="宋体" w:hAnsi="宋体" w:cs="宋体"/>
                <w:highlight w:val="none"/>
              </w:rPr>
              <w:t>分项项目名称</w:t>
            </w:r>
          </w:p>
          <w:p w14:paraId="2094B414">
            <w:pPr>
              <w:ind w:right="-151" w:rightChars="-72"/>
              <w:jc w:val="center"/>
              <w:rPr>
                <w:highlight w:val="none"/>
              </w:rPr>
            </w:pPr>
            <w:r>
              <w:rPr>
                <w:rFonts w:ascii="宋体" w:hAnsi="宋体" w:cs="宋体"/>
                <w:highlight w:val="none"/>
              </w:rPr>
              <w:t>（条目号</w:t>
            </w:r>
            <w:r>
              <w:rPr>
                <w:rFonts w:eastAsia="Times New Roman"/>
                <w:highlight w:val="none"/>
              </w:rPr>
              <w:t>/</w:t>
            </w:r>
            <w:r>
              <w:rPr>
                <w:rFonts w:ascii="宋体" w:hAnsi="宋体" w:cs="宋体"/>
                <w:highlight w:val="none"/>
              </w:rPr>
              <w:t>品目名称）</w:t>
            </w:r>
          </w:p>
        </w:tc>
        <w:tc>
          <w:tcPr>
            <w:tcW w:w="1999"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55F161B">
            <w:pPr>
              <w:jc w:val="center"/>
              <w:rPr>
                <w:rFonts w:hint="eastAsia" w:ascii="宋体" w:hAnsi="宋体" w:cs="宋体"/>
                <w:highlight w:val="none"/>
              </w:rPr>
            </w:pPr>
            <w:r>
              <w:rPr>
                <w:rFonts w:ascii="宋体" w:hAnsi="宋体" w:cs="宋体"/>
                <w:highlight w:val="none"/>
              </w:rPr>
              <w:t>主要技术参数或规格</w:t>
            </w:r>
          </w:p>
        </w:tc>
        <w:tc>
          <w:tcPr>
            <w:tcW w:w="1081"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62C37B0">
            <w:pPr>
              <w:jc w:val="center"/>
              <w:rPr>
                <w:highlight w:val="none"/>
              </w:rPr>
            </w:pPr>
            <w:r>
              <w:rPr>
                <w:rFonts w:ascii="宋体" w:hAnsi="宋体" w:cs="宋体"/>
                <w:highlight w:val="none"/>
              </w:rPr>
              <w:t>数量</w:t>
            </w:r>
          </w:p>
        </w:tc>
        <w:tc>
          <w:tcPr>
            <w:tcW w:w="144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BC4445A">
            <w:pPr>
              <w:jc w:val="center"/>
              <w:rPr>
                <w:rFonts w:hint="eastAsia" w:ascii="宋体" w:hAnsi="宋体" w:cs="宋体"/>
                <w:highlight w:val="none"/>
              </w:rPr>
            </w:pPr>
            <w:r>
              <w:rPr>
                <w:rFonts w:hint="eastAsia" w:ascii="宋体" w:hAnsi="宋体" w:cs="宋体"/>
                <w:highlight w:val="none"/>
              </w:rPr>
              <w:t>服务</w:t>
            </w:r>
          </w:p>
        </w:tc>
        <w:tc>
          <w:tcPr>
            <w:tcW w:w="961"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6718AD6">
            <w:pPr>
              <w:jc w:val="center"/>
              <w:rPr>
                <w:rFonts w:hint="eastAsia" w:ascii="宋体" w:hAnsi="宋体" w:cs="宋体"/>
                <w:highlight w:val="none"/>
              </w:rPr>
            </w:pPr>
            <w:r>
              <w:rPr>
                <w:rFonts w:ascii="宋体" w:hAnsi="宋体" w:cs="宋体"/>
                <w:highlight w:val="none"/>
              </w:rPr>
              <w:t>备注</w:t>
            </w:r>
          </w:p>
        </w:tc>
      </w:tr>
      <w:tr w14:paraId="540A8D61">
        <w:tblPrEx>
          <w:tblCellMar>
            <w:top w:w="0" w:type="dxa"/>
            <w:left w:w="10" w:type="dxa"/>
            <w:bottom w:w="0" w:type="dxa"/>
            <w:right w:w="10" w:type="dxa"/>
          </w:tblCellMar>
        </w:tblPrEx>
        <w:trPr>
          <w:cantSplit/>
          <w:trHeight w:val="464" w:hRule="atLeast"/>
        </w:trPr>
        <w:tc>
          <w:tcPr>
            <w:tcW w:w="42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A18A7D6">
            <w:pPr>
              <w:jc w:val="center"/>
              <w:rPr>
                <w:rFonts w:hint="eastAsia" w:ascii="宋体" w:hAnsi="宋体" w:cs="宋体"/>
                <w:sz w:val="22"/>
                <w:highlight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1084E4A">
            <w:pPr>
              <w:jc w:val="center"/>
              <w:rPr>
                <w:rFonts w:hint="eastAsia" w:ascii="宋体" w:hAnsi="宋体" w:cs="宋体"/>
                <w:sz w:val="22"/>
                <w:highlight w:val="none"/>
              </w:rPr>
            </w:pPr>
          </w:p>
        </w:tc>
        <w:tc>
          <w:tcPr>
            <w:tcW w:w="2096"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CA16BC7">
            <w:pPr>
              <w:jc w:val="center"/>
              <w:rPr>
                <w:rFonts w:hint="eastAsia" w:ascii="宋体" w:hAnsi="宋体" w:cs="宋体"/>
                <w:sz w:val="22"/>
                <w:highlight w:val="none"/>
              </w:rPr>
            </w:pPr>
          </w:p>
        </w:tc>
        <w:tc>
          <w:tcPr>
            <w:tcW w:w="199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35822E5">
            <w:pPr>
              <w:jc w:val="center"/>
              <w:rPr>
                <w:rFonts w:hint="eastAsia" w:ascii="宋体" w:hAnsi="宋体" w:cs="宋体"/>
                <w:sz w:val="22"/>
                <w:highlight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C52A11F">
            <w:pPr>
              <w:jc w:val="center"/>
              <w:rPr>
                <w:rFonts w:hint="eastAsia" w:ascii="宋体" w:hAnsi="宋体" w:cs="宋体"/>
                <w:sz w:val="22"/>
                <w:highlight w:val="none"/>
              </w:rPr>
            </w:pPr>
          </w:p>
        </w:tc>
        <w:tc>
          <w:tcPr>
            <w:tcW w:w="7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6B2B619">
            <w:pPr>
              <w:jc w:val="center"/>
              <w:rPr>
                <w:rFonts w:hint="eastAsia" w:ascii="宋体" w:hAnsi="宋体" w:cs="宋体"/>
                <w:highlight w:val="none"/>
              </w:rPr>
            </w:pPr>
            <w:r>
              <w:rPr>
                <w:rFonts w:ascii="宋体" w:hAnsi="宋体" w:cs="宋体"/>
                <w:highlight w:val="none"/>
              </w:rPr>
              <w:t>时间</w:t>
            </w:r>
          </w:p>
        </w:tc>
        <w:tc>
          <w:tcPr>
            <w:tcW w:w="74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43C9929">
            <w:pPr>
              <w:jc w:val="center"/>
              <w:rPr>
                <w:rFonts w:hint="eastAsia" w:ascii="宋体" w:hAnsi="宋体" w:cs="宋体"/>
                <w:highlight w:val="none"/>
              </w:rPr>
            </w:pPr>
            <w:r>
              <w:rPr>
                <w:rFonts w:ascii="宋体" w:hAnsi="宋体" w:cs="宋体"/>
                <w:highlight w:val="none"/>
              </w:rPr>
              <w:t>地点</w:t>
            </w:r>
          </w:p>
        </w:tc>
        <w:tc>
          <w:tcPr>
            <w:tcW w:w="961"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1D4D091">
            <w:pPr>
              <w:jc w:val="center"/>
              <w:rPr>
                <w:rFonts w:hint="eastAsia" w:ascii="宋体" w:hAnsi="宋体" w:cs="宋体"/>
                <w:sz w:val="22"/>
                <w:highlight w:val="none"/>
              </w:rPr>
            </w:pPr>
          </w:p>
        </w:tc>
      </w:tr>
      <w:tr w14:paraId="58CBA6CB">
        <w:tblPrEx>
          <w:tblCellMar>
            <w:top w:w="0" w:type="dxa"/>
            <w:left w:w="10" w:type="dxa"/>
            <w:bottom w:w="0" w:type="dxa"/>
            <w:right w:w="10" w:type="dxa"/>
          </w:tblCellMar>
        </w:tblPrEx>
        <w:trPr>
          <w:cantSplit/>
          <w:trHeight w:val="520" w:hRule="atLeast"/>
        </w:trPr>
        <w:tc>
          <w:tcPr>
            <w:tcW w:w="42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DCC83C5">
            <w:pPr>
              <w:rPr>
                <w:rFonts w:hint="eastAsia" w:ascii="宋体" w:hAnsi="宋体" w:cs="宋体"/>
                <w:sz w:val="22"/>
                <w:highlight w:val="none"/>
              </w:rPr>
            </w:pPr>
          </w:p>
        </w:tc>
        <w:tc>
          <w:tcPr>
            <w:tcW w:w="94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1A98654">
            <w:pPr>
              <w:rPr>
                <w:rFonts w:hint="eastAsia" w:ascii="宋体" w:hAnsi="宋体" w:cs="宋体"/>
                <w:sz w:val="22"/>
                <w:highlight w:val="none"/>
              </w:rPr>
            </w:pPr>
          </w:p>
        </w:tc>
        <w:tc>
          <w:tcPr>
            <w:tcW w:w="209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2B68A1C">
            <w:pPr>
              <w:rPr>
                <w:rFonts w:hint="eastAsia" w:ascii="宋体" w:hAnsi="宋体" w:cs="宋体"/>
                <w:sz w:val="22"/>
                <w:highlight w:val="none"/>
              </w:rPr>
            </w:pPr>
          </w:p>
        </w:tc>
        <w:tc>
          <w:tcPr>
            <w:tcW w:w="199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792653A">
            <w:pPr>
              <w:rPr>
                <w:rFonts w:hint="eastAsia" w:ascii="宋体" w:hAnsi="宋体" w:cs="宋体"/>
                <w:sz w:val="22"/>
                <w:highlight w:val="none"/>
              </w:rPr>
            </w:pPr>
          </w:p>
        </w:tc>
        <w:tc>
          <w:tcPr>
            <w:tcW w:w="108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7C86568">
            <w:pPr>
              <w:rPr>
                <w:rFonts w:hint="eastAsia" w:ascii="宋体" w:hAnsi="宋体" w:cs="宋体"/>
                <w:sz w:val="22"/>
                <w:highlight w:val="none"/>
              </w:rPr>
            </w:pPr>
          </w:p>
        </w:tc>
        <w:tc>
          <w:tcPr>
            <w:tcW w:w="7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B74C402">
            <w:pPr>
              <w:rPr>
                <w:rFonts w:hint="eastAsia" w:ascii="宋体" w:hAnsi="宋体" w:cs="宋体"/>
                <w:sz w:val="22"/>
                <w:highlight w:val="none"/>
              </w:rPr>
            </w:pPr>
          </w:p>
        </w:tc>
        <w:tc>
          <w:tcPr>
            <w:tcW w:w="74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D888F5E">
            <w:pPr>
              <w:rPr>
                <w:rFonts w:hint="eastAsia" w:ascii="宋体" w:hAnsi="宋体" w:cs="宋体"/>
                <w:sz w:val="22"/>
                <w:highlight w:val="none"/>
              </w:rPr>
            </w:pP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F591894">
            <w:pPr>
              <w:rPr>
                <w:rFonts w:hint="eastAsia" w:ascii="宋体" w:hAnsi="宋体" w:cs="宋体"/>
                <w:sz w:val="22"/>
                <w:highlight w:val="none"/>
              </w:rPr>
            </w:pPr>
          </w:p>
        </w:tc>
      </w:tr>
      <w:tr w14:paraId="7A200E6F">
        <w:tblPrEx>
          <w:tblCellMar>
            <w:top w:w="0" w:type="dxa"/>
            <w:left w:w="10" w:type="dxa"/>
            <w:bottom w:w="0" w:type="dxa"/>
            <w:right w:w="10" w:type="dxa"/>
          </w:tblCellMar>
        </w:tblPrEx>
        <w:trPr>
          <w:cantSplit/>
          <w:trHeight w:val="520" w:hRule="atLeast"/>
        </w:trPr>
        <w:tc>
          <w:tcPr>
            <w:tcW w:w="42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B076D02">
            <w:pPr>
              <w:rPr>
                <w:rFonts w:hint="eastAsia" w:ascii="宋体" w:hAnsi="宋体" w:cs="宋体"/>
                <w:sz w:val="22"/>
                <w:highlight w:val="none"/>
              </w:rPr>
            </w:pPr>
          </w:p>
        </w:tc>
        <w:tc>
          <w:tcPr>
            <w:tcW w:w="94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656FAA3">
            <w:pPr>
              <w:rPr>
                <w:rFonts w:hint="eastAsia" w:ascii="宋体" w:hAnsi="宋体" w:cs="宋体"/>
                <w:sz w:val="22"/>
                <w:highlight w:val="none"/>
              </w:rPr>
            </w:pPr>
          </w:p>
        </w:tc>
        <w:tc>
          <w:tcPr>
            <w:tcW w:w="209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83218A5">
            <w:pPr>
              <w:rPr>
                <w:rFonts w:hint="eastAsia" w:ascii="宋体" w:hAnsi="宋体" w:cs="宋体"/>
                <w:sz w:val="22"/>
                <w:highlight w:val="none"/>
              </w:rPr>
            </w:pPr>
          </w:p>
        </w:tc>
        <w:tc>
          <w:tcPr>
            <w:tcW w:w="199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CB901A1">
            <w:pPr>
              <w:rPr>
                <w:rFonts w:hint="eastAsia" w:ascii="宋体" w:hAnsi="宋体" w:cs="宋体"/>
                <w:sz w:val="22"/>
                <w:highlight w:val="none"/>
              </w:rPr>
            </w:pPr>
          </w:p>
        </w:tc>
        <w:tc>
          <w:tcPr>
            <w:tcW w:w="108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6EA7416">
            <w:pPr>
              <w:rPr>
                <w:rFonts w:hint="eastAsia" w:ascii="宋体" w:hAnsi="宋体" w:cs="宋体"/>
                <w:sz w:val="22"/>
                <w:highlight w:val="none"/>
              </w:rPr>
            </w:pPr>
          </w:p>
        </w:tc>
        <w:tc>
          <w:tcPr>
            <w:tcW w:w="7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8DBB311">
            <w:pPr>
              <w:rPr>
                <w:rFonts w:hint="eastAsia" w:ascii="宋体" w:hAnsi="宋体" w:cs="宋体"/>
                <w:sz w:val="22"/>
                <w:highlight w:val="none"/>
              </w:rPr>
            </w:pPr>
          </w:p>
        </w:tc>
        <w:tc>
          <w:tcPr>
            <w:tcW w:w="74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62FAC23">
            <w:pPr>
              <w:rPr>
                <w:rFonts w:hint="eastAsia" w:ascii="宋体" w:hAnsi="宋体" w:cs="宋体"/>
                <w:sz w:val="22"/>
                <w:highlight w:val="none"/>
              </w:rPr>
            </w:pP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1D0F00C">
            <w:pPr>
              <w:rPr>
                <w:rFonts w:hint="eastAsia" w:ascii="宋体" w:hAnsi="宋体" w:cs="宋体"/>
                <w:sz w:val="22"/>
                <w:highlight w:val="none"/>
              </w:rPr>
            </w:pPr>
          </w:p>
        </w:tc>
      </w:tr>
      <w:tr w14:paraId="39D44888">
        <w:tblPrEx>
          <w:tblCellMar>
            <w:top w:w="0" w:type="dxa"/>
            <w:left w:w="10" w:type="dxa"/>
            <w:bottom w:w="0" w:type="dxa"/>
            <w:right w:w="10" w:type="dxa"/>
          </w:tblCellMar>
        </w:tblPrEx>
        <w:trPr>
          <w:cantSplit/>
          <w:trHeight w:val="520" w:hRule="atLeast"/>
        </w:trPr>
        <w:tc>
          <w:tcPr>
            <w:tcW w:w="42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D0615A9">
            <w:pPr>
              <w:rPr>
                <w:rFonts w:hint="eastAsia" w:ascii="宋体" w:hAnsi="宋体" w:cs="宋体"/>
                <w:sz w:val="22"/>
                <w:highlight w:val="none"/>
              </w:rPr>
            </w:pPr>
          </w:p>
        </w:tc>
        <w:tc>
          <w:tcPr>
            <w:tcW w:w="94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677D95E">
            <w:pPr>
              <w:rPr>
                <w:rFonts w:hint="eastAsia" w:ascii="宋体" w:hAnsi="宋体" w:cs="宋体"/>
                <w:sz w:val="22"/>
                <w:highlight w:val="none"/>
              </w:rPr>
            </w:pPr>
          </w:p>
        </w:tc>
        <w:tc>
          <w:tcPr>
            <w:tcW w:w="209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F35F7C7">
            <w:pPr>
              <w:rPr>
                <w:rFonts w:hint="eastAsia" w:ascii="宋体" w:hAnsi="宋体" w:cs="宋体"/>
                <w:sz w:val="22"/>
                <w:highlight w:val="none"/>
              </w:rPr>
            </w:pPr>
          </w:p>
        </w:tc>
        <w:tc>
          <w:tcPr>
            <w:tcW w:w="199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A0FF9B1">
            <w:pPr>
              <w:rPr>
                <w:rFonts w:hint="eastAsia" w:ascii="宋体" w:hAnsi="宋体" w:cs="宋体"/>
                <w:sz w:val="22"/>
                <w:highlight w:val="none"/>
              </w:rPr>
            </w:pPr>
          </w:p>
        </w:tc>
        <w:tc>
          <w:tcPr>
            <w:tcW w:w="108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F46010B">
            <w:pPr>
              <w:rPr>
                <w:rFonts w:hint="eastAsia" w:ascii="宋体" w:hAnsi="宋体" w:cs="宋体"/>
                <w:sz w:val="22"/>
                <w:highlight w:val="none"/>
              </w:rPr>
            </w:pPr>
          </w:p>
        </w:tc>
        <w:tc>
          <w:tcPr>
            <w:tcW w:w="7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E1E21C2">
            <w:pPr>
              <w:rPr>
                <w:rFonts w:hint="eastAsia" w:ascii="宋体" w:hAnsi="宋体" w:cs="宋体"/>
                <w:sz w:val="22"/>
                <w:highlight w:val="none"/>
              </w:rPr>
            </w:pPr>
          </w:p>
        </w:tc>
        <w:tc>
          <w:tcPr>
            <w:tcW w:w="74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61C8CF6">
            <w:pPr>
              <w:rPr>
                <w:rFonts w:hint="eastAsia" w:ascii="宋体" w:hAnsi="宋体" w:cs="宋体"/>
                <w:sz w:val="22"/>
                <w:highlight w:val="none"/>
              </w:rPr>
            </w:pP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58F831F">
            <w:pPr>
              <w:rPr>
                <w:rFonts w:hint="eastAsia" w:ascii="宋体" w:hAnsi="宋体" w:cs="宋体"/>
                <w:sz w:val="22"/>
                <w:highlight w:val="none"/>
              </w:rPr>
            </w:pPr>
          </w:p>
        </w:tc>
      </w:tr>
      <w:tr w14:paraId="198FC02E">
        <w:tblPrEx>
          <w:tblCellMar>
            <w:top w:w="0" w:type="dxa"/>
            <w:left w:w="10" w:type="dxa"/>
            <w:bottom w:w="0" w:type="dxa"/>
            <w:right w:w="10" w:type="dxa"/>
          </w:tblCellMar>
        </w:tblPrEx>
        <w:trPr>
          <w:cantSplit/>
          <w:trHeight w:val="520" w:hRule="atLeast"/>
        </w:trPr>
        <w:tc>
          <w:tcPr>
            <w:tcW w:w="42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C2A1CE5">
            <w:pPr>
              <w:rPr>
                <w:rFonts w:hint="eastAsia" w:ascii="宋体" w:hAnsi="宋体" w:cs="宋体"/>
                <w:sz w:val="22"/>
                <w:highlight w:val="none"/>
              </w:rPr>
            </w:pPr>
          </w:p>
        </w:tc>
        <w:tc>
          <w:tcPr>
            <w:tcW w:w="94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DB48360">
            <w:pPr>
              <w:rPr>
                <w:rFonts w:hint="eastAsia" w:ascii="宋体" w:hAnsi="宋体" w:cs="宋体"/>
                <w:sz w:val="22"/>
                <w:highlight w:val="none"/>
              </w:rPr>
            </w:pPr>
          </w:p>
        </w:tc>
        <w:tc>
          <w:tcPr>
            <w:tcW w:w="209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B697B06">
            <w:pPr>
              <w:rPr>
                <w:rFonts w:hint="eastAsia" w:ascii="宋体" w:hAnsi="宋体" w:cs="宋体"/>
                <w:sz w:val="22"/>
                <w:highlight w:val="none"/>
              </w:rPr>
            </w:pPr>
          </w:p>
        </w:tc>
        <w:tc>
          <w:tcPr>
            <w:tcW w:w="199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AC65BE0">
            <w:pPr>
              <w:rPr>
                <w:rFonts w:hint="eastAsia" w:ascii="宋体" w:hAnsi="宋体" w:cs="宋体"/>
                <w:sz w:val="22"/>
                <w:highlight w:val="none"/>
              </w:rPr>
            </w:pPr>
          </w:p>
        </w:tc>
        <w:tc>
          <w:tcPr>
            <w:tcW w:w="108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601B35A">
            <w:pPr>
              <w:rPr>
                <w:rFonts w:hint="eastAsia" w:ascii="宋体" w:hAnsi="宋体" w:cs="宋体"/>
                <w:sz w:val="22"/>
                <w:highlight w:val="none"/>
              </w:rPr>
            </w:pPr>
          </w:p>
        </w:tc>
        <w:tc>
          <w:tcPr>
            <w:tcW w:w="7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B0EC370">
            <w:pPr>
              <w:rPr>
                <w:rFonts w:hint="eastAsia" w:ascii="宋体" w:hAnsi="宋体" w:cs="宋体"/>
                <w:sz w:val="22"/>
                <w:highlight w:val="none"/>
              </w:rPr>
            </w:pPr>
          </w:p>
        </w:tc>
        <w:tc>
          <w:tcPr>
            <w:tcW w:w="74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0319CD7">
            <w:pPr>
              <w:rPr>
                <w:rFonts w:hint="eastAsia" w:ascii="宋体" w:hAnsi="宋体" w:cs="宋体"/>
                <w:sz w:val="22"/>
                <w:highlight w:val="none"/>
              </w:rPr>
            </w:pP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A9937FE">
            <w:pPr>
              <w:rPr>
                <w:rFonts w:hint="eastAsia" w:ascii="宋体" w:hAnsi="宋体" w:cs="宋体"/>
                <w:sz w:val="22"/>
                <w:highlight w:val="none"/>
              </w:rPr>
            </w:pPr>
          </w:p>
        </w:tc>
      </w:tr>
      <w:tr w14:paraId="56CB1353">
        <w:tblPrEx>
          <w:tblCellMar>
            <w:top w:w="0" w:type="dxa"/>
            <w:left w:w="10" w:type="dxa"/>
            <w:bottom w:w="0" w:type="dxa"/>
            <w:right w:w="10" w:type="dxa"/>
          </w:tblCellMar>
        </w:tblPrEx>
        <w:trPr>
          <w:cantSplit/>
          <w:trHeight w:val="520" w:hRule="atLeast"/>
        </w:trPr>
        <w:tc>
          <w:tcPr>
            <w:tcW w:w="42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F8E8EBC">
            <w:pPr>
              <w:rPr>
                <w:rFonts w:hint="eastAsia" w:ascii="宋体" w:hAnsi="宋体" w:cs="宋体"/>
                <w:sz w:val="22"/>
                <w:highlight w:val="none"/>
              </w:rPr>
            </w:pPr>
          </w:p>
        </w:tc>
        <w:tc>
          <w:tcPr>
            <w:tcW w:w="94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0FAE22A">
            <w:pPr>
              <w:rPr>
                <w:rFonts w:hint="eastAsia" w:ascii="宋体" w:hAnsi="宋体" w:cs="宋体"/>
                <w:sz w:val="22"/>
                <w:highlight w:val="none"/>
              </w:rPr>
            </w:pPr>
          </w:p>
        </w:tc>
        <w:tc>
          <w:tcPr>
            <w:tcW w:w="209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0972C29">
            <w:pPr>
              <w:rPr>
                <w:rFonts w:hint="eastAsia" w:ascii="宋体" w:hAnsi="宋体" w:cs="宋体"/>
                <w:sz w:val="22"/>
                <w:highlight w:val="none"/>
              </w:rPr>
            </w:pPr>
          </w:p>
        </w:tc>
        <w:tc>
          <w:tcPr>
            <w:tcW w:w="199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A838FEB">
            <w:pPr>
              <w:rPr>
                <w:rFonts w:hint="eastAsia" w:ascii="宋体" w:hAnsi="宋体" w:cs="宋体"/>
                <w:sz w:val="22"/>
                <w:highlight w:val="none"/>
              </w:rPr>
            </w:pPr>
          </w:p>
        </w:tc>
        <w:tc>
          <w:tcPr>
            <w:tcW w:w="108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B225016">
            <w:pPr>
              <w:rPr>
                <w:rFonts w:hint="eastAsia" w:ascii="宋体" w:hAnsi="宋体" w:cs="宋体"/>
                <w:sz w:val="22"/>
                <w:highlight w:val="none"/>
              </w:rPr>
            </w:pPr>
          </w:p>
        </w:tc>
        <w:tc>
          <w:tcPr>
            <w:tcW w:w="7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DC0DE05">
            <w:pPr>
              <w:rPr>
                <w:rFonts w:hint="eastAsia" w:ascii="宋体" w:hAnsi="宋体" w:cs="宋体"/>
                <w:sz w:val="22"/>
                <w:highlight w:val="none"/>
              </w:rPr>
            </w:pPr>
          </w:p>
        </w:tc>
        <w:tc>
          <w:tcPr>
            <w:tcW w:w="74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6FB81C7">
            <w:pPr>
              <w:rPr>
                <w:rFonts w:hint="eastAsia" w:ascii="宋体" w:hAnsi="宋体" w:cs="宋体"/>
                <w:sz w:val="22"/>
                <w:highlight w:val="none"/>
              </w:rPr>
            </w:pPr>
          </w:p>
        </w:tc>
        <w:tc>
          <w:tcPr>
            <w:tcW w:w="9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C5D2BD1">
            <w:pPr>
              <w:rPr>
                <w:rFonts w:hint="eastAsia" w:ascii="宋体" w:hAnsi="宋体" w:cs="宋体"/>
                <w:sz w:val="22"/>
                <w:highlight w:val="none"/>
              </w:rPr>
            </w:pPr>
          </w:p>
        </w:tc>
      </w:tr>
    </w:tbl>
    <w:p w14:paraId="41A267B5">
      <w:pPr>
        <w:adjustRightInd w:val="0"/>
        <w:snapToGrid w:val="0"/>
        <w:spacing w:line="360" w:lineRule="auto"/>
        <w:rPr>
          <w:highlight w:val="none"/>
        </w:rPr>
      </w:pPr>
    </w:p>
    <w:p w14:paraId="431B0FE4">
      <w:pPr>
        <w:adjustRightInd w:val="0"/>
        <w:snapToGrid w:val="0"/>
        <w:spacing w:line="360" w:lineRule="auto"/>
        <w:rPr>
          <w:rFonts w:hint="eastAsia" w:ascii="宋体" w:hAnsi="宋体"/>
          <w:szCs w:val="21"/>
          <w:highlight w:val="none"/>
        </w:rPr>
      </w:pPr>
    </w:p>
    <w:p w14:paraId="111D1F34">
      <w:pPr>
        <w:adjustRightInd w:val="0"/>
        <w:snapToGrid w:val="0"/>
        <w:spacing w:line="360" w:lineRule="auto"/>
        <w:rPr>
          <w:rFonts w:hint="eastAsia" w:ascii="宋体" w:hAnsi="宋体"/>
          <w:szCs w:val="21"/>
          <w:highlight w:val="none"/>
        </w:rPr>
      </w:pPr>
    </w:p>
    <w:p w14:paraId="22D36DFB">
      <w:pPr>
        <w:adjustRightInd w:val="0"/>
        <w:snapToGrid w:val="0"/>
        <w:spacing w:line="360" w:lineRule="auto"/>
        <w:rPr>
          <w:rFonts w:hint="eastAsia" w:ascii="宋体" w:hAnsi="宋体"/>
          <w:szCs w:val="21"/>
          <w:highlight w:val="none"/>
        </w:rPr>
      </w:pPr>
      <w:r>
        <w:rPr>
          <w:rFonts w:hint="eastAsia" w:ascii="宋体" w:hAnsi="宋体"/>
          <w:szCs w:val="21"/>
          <w:highlight w:val="none"/>
        </w:rPr>
        <w:t>供应商名称（盖单位公章）：</w:t>
      </w:r>
      <w:r>
        <w:rPr>
          <w:rFonts w:hint="eastAsia" w:ascii="宋体" w:hAnsi="宋体"/>
          <w:szCs w:val="21"/>
          <w:highlight w:val="none"/>
          <w:u w:val="single"/>
        </w:rPr>
        <w:t xml:space="preserve">                   </w:t>
      </w:r>
    </w:p>
    <w:p w14:paraId="5FC2ADA0">
      <w:pPr>
        <w:adjustRightInd w:val="0"/>
        <w:snapToGrid w:val="0"/>
        <w:spacing w:line="360" w:lineRule="auto"/>
        <w:rPr>
          <w:rFonts w:hint="eastAsia" w:ascii="宋体" w:hAnsi="宋体"/>
          <w:szCs w:val="21"/>
          <w:highlight w:val="none"/>
          <w:u w:val="singl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或者其授权的代理人（签字或者印章）：</w:t>
      </w:r>
      <w:r>
        <w:rPr>
          <w:rFonts w:hint="eastAsia" w:ascii="宋体" w:hAnsi="宋体"/>
          <w:szCs w:val="21"/>
          <w:highlight w:val="none"/>
          <w:u w:val="single"/>
        </w:rPr>
        <w:t xml:space="preserve">                   </w:t>
      </w:r>
    </w:p>
    <w:p w14:paraId="2B4FCEA7">
      <w:pPr>
        <w:adjustRightInd w:val="0"/>
        <w:snapToGrid w:val="0"/>
        <w:spacing w:line="360" w:lineRule="auto"/>
        <w:rPr>
          <w:rFonts w:hint="eastAsia" w:ascii="宋体" w:hAnsi="宋体"/>
          <w:szCs w:val="21"/>
          <w:highlight w:val="none"/>
        </w:rPr>
      </w:pPr>
      <w:r>
        <w:rPr>
          <w:rFonts w:hint="eastAsia" w:ascii="宋体" w:hAnsi="宋体"/>
          <w:szCs w:val="21"/>
          <w:highlight w:val="none"/>
        </w:rPr>
        <w:t>日期：    年  月  日</w:t>
      </w:r>
    </w:p>
    <w:p w14:paraId="66622D3A">
      <w:pPr>
        <w:rPr>
          <w:highlight w:val="none"/>
        </w:rPr>
      </w:pPr>
    </w:p>
    <w:p w14:paraId="1EB4B1AC">
      <w:pPr>
        <w:rPr>
          <w:rFonts w:hint="eastAsia" w:ascii="黑体" w:hAnsi="黑体" w:eastAsia="黑体"/>
          <w:sz w:val="28"/>
          <w:szCs w:val="28"/>
          <w:highlight w:val="none"/>
        </w:rPr>
      </w:pPr>
      <w:bookmarkStart w:id="486" w:name="_Toc22201159"/>
      <w:r>
        <w:rPr>
          <w:rFonts w:hint="eastAsia" w:ascii="黑体" w:hAnsi="黑体" w:eastAsia="黑体"/>
          <w:sz w:val="28"/>
          <w:szCs w:val="28"/>
          <w:highlight w:val="none"/>
        </w:rPr>
        <w:br w:type="page"/>
      </w:r>
    </w:p>
    <w:p w14:paraId="0DFED85C">
      <w:pPr>
        <w:pStyle w:val="8"/>
        <w:jc w:val="center"/>
        <w:rPr>
          <w:rFonts w:hint="eastAsia" w:ascii="黑体" w:hAnsi="黑体" w:eastAsia="黑体"/>
          <w:sz w:val="28"/>
          <w:szCs w:val="28"/>
          <w:highlight w:val="none"/>
        </w:rPr>
      </w:pPr>
      <w:bookmarkStart w:id="487" w:name="_Toc10043"/>
      <w:bookmarkStart w:id="488" w:name="_Toc11416"/>
      <w:bookmarkStart w:id="489" w:name="_Toc15245"/>
      <w:bookmarkStart w:id="490" w:name="_Toc22378"/>
      <w:r>
        <w:rPr>
          <w:rFonts w:hint="eastAsia" w:ascii="黑体" w:hAnsi="黑体" w:eastAsia="黑体"/>
          <w:sz w:val="28"/>
          <w:szCs w:val="28"/>
          <w:highlight w:val="none"/>
        </w:rPr>
        <w:t>七、合同条款偏离表</w:t>
      </w:r>
      <w:bookmarkEnd w:id="486"/>
      <w:bookmarkEnd w:id="487"/>
      <w:bookmarkEnd w:id="488"/>
      <w:bookmarkEnd w:id="489"/>
      <w:bookmarkEnd w:id="490"/>
    </w:p>
    <w:p w14:paraId="16D8D07D">
      <w:pPr>
        <w:adjustRightInd w:val="0"/>
        <w:snapToGrid w:val="0"/>
        <w:spacing w:before="120" w:beforeLines="50" w:line="360" w:lineRule="auto"/>
        <w:rPr>
          <w:rFonts w:hint="eastAsia" w:ascii="宋体" w:hAnsi="宋体"/>
          <w:b/>
          <w:szCs w:val="21"/>
          <w:highlight w:val="none"/>
          <w:u w:val="single"/>
        </w:rPr>
      </w:pPr>
      <w:r>
        <w:rPr>
          <w:rFonts w:hint="eastAsia" w:ascii="宋体" w:hAnsi="宋体"/>
          <w:szCs w:val="21"/>
          <w:highlight w:val="none"/>
        </w:rPr>
        <w:t>政府采购编号：</w:t>
      </w:r>
      <w:r>
        <w:rPr>
          <w:rFonts w:hint="eastAsia" w:ascii="宋体" w:hAnsi="宋体"/>
          <w:szCs w:val="21"/>
          <w:highlight w:val="none"/>
          <w:u w:val="single"/>
        </w:rPr>
        <w:t xml:space="preserve">                   </w:t>
      </w:r>
      <w:r>
        <w:rPr>
          <w:rFonts w:hint="eastAsia" w:ascii="宋体" w:hAnsi="宋体"/>
          <w:szCs w:val="21"/>
          <w:highlight w:val="none"/>
        </w:rPr>
        <w:t xml:space="preserve">                       项目名称：</w:t>
      </w:r>
      <w:r>
        <w:rPr>
          <w:rFonts w:hint="eastAsia" w:ascii="宋体" w:hAnsi="宋体"/>
          <w:szCs w:val="21"/>
          <w:highlight w:val="none"/>
          <w:u w:val="single"/>
        </w:rPr>
        <w:t xml:space="preserve">                   </w:t>
      </w:r>
    </w:p>
    <w:tbl>
      <w:tblPr>
        <w:tblStyle w:val="48"/>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089697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0B8B72C9">
            <w:pPr>
              <w:adjustRightInd w:val="0"/>
              <w:snapToGrid w:val="0"/>
              <w:spacing w:before="50" w:line="360" w:lineRule="auto"/>
              <w:ind w:left="-88" w:leftChars="-42"/>
              <w:jc w:val="center"/>
              <w:rPr>
                <w:rFonts w:hint="eastAsia" w:ascii="宋体" w:hAnsi="宋体"/>
                <w:szCs w:val="21"/>
                <w:highlight w:val="none"/>
              </w:rPr>
            </w:pPr>
            <w:r>
              <w:rPr>
                <w:rFonts w:hint="eastAsia" w:ascii="宋体" w:hAnsi="宋体"/>
                <w:bCs/>
                <w:szCs w:val="21"/>
                <w:highlight w:val="none"/>
              </w:rPr>
              <w:t>序</w:t>
            </w:r>
            <w:r>
              <w:rPr>
                <w:rFonts w:hint="eastAsia" w:ascii="宋体" w:hAnsi="宋体"/>
                <w:szCs w:val="21"/>
                <w:highlight w:val="none"/>
              </w:rPr>
              <w:t>号</w:t>
            </w:r>
          </w:p>
        </w:tc>
        <w:tc>
          <w:tcPr>
            <w:tcW w:w="2410" w:type="dxa"/>
            <w:vAlign w:val="center"/>
          </w:tcPr>
          <w:p w14:paraId="71469D4E">
            <w:pPr>
              <w:adjustRightInd w:val="0"/>
              <w:snapToGrid w:val="0"/>
              <w:spacing w:before="50" w:line="360" w:lineRule="auto"/>
              <w:ind w:left="-88" w:leftChars="-42"/>
              <w:jc w:val="center"/>
              <w:rPr>
                <w:rFonts w:hint="eastAsia" w:ascii="宋体" w:hAnsi="宋体"/>
                <w:szCs w:val="21"/>
                <w:highlight w:val="none"/>
              </w:rPr>
            </w:pPr>
            <w:r>
              <w:rPr>
                <w:rFonts w:hint="eastAsia" w:ascii="宋体" w:hAnsi="宋体"/>
                <w:szCs w:val="21"/>
                <w:highlight w:val="none"/>
              </w:rPr>
              <w:t>磋商文件章节</w:t>
            </w:r>
            <w:r>
              <w:rPr>
                <w:rFonts w:hint="eastAsia" w:ascii="宋体" w:hAnsi="宋体"/>
                <w:bCs/>
                <w:szCs w:val="21"/>
                <w:highlight w:val="none"/>
              </w:rPr>
              <w:t>条</w:t>
            </w:r>
            <w:r>
              <w:rPr>
                <w:rFonts w:hint="eastAsia" w:ascii="宋体" w:hAnsi="宋体"/>
                <w:szCs w:val="21"/>
                <w:highlight w:val="none"/>
              </w:rPr>
              <w:t>款号</w:t>
            </w:r>
          </w:p>
        </w:tc>
        <w:tc>
          <w:tcPr>
            <w:tcW w:w="1985" w:type="dxa"/>
            <w:vAlign w:val="center"/>
          </w:tcPr>
          <w:p w14:paraId="413A0F64">
            <w:pPr>
              <w:adjustRightInd w:val="0"/>
              <w:snapToGrid w:val="0"/>
              <w:spacing w:before="50" w:line="360" w:lineRule="auto"/>
              <w:ind w:left="-88" w:leftChars="-42"/>
              <w:jc w:val="center"/>
              <w:rPr>
                <w:rFonts w:hint="eastAsia" w:ascii="宋体" w:hAnsi="宋体"/>
                <w:szCs w:val="21"/>
                <w:highlight w:val="none"/>
              </w:rPr>
            </w:pPr>
            <w:r>
              <w:rPr>
                <w:rFonts w:hint="eastAsia" w:ascii="宋体" w:hAnsi="宋体"/>
                <w:szCs w:val="21"/>
                <w:highlight w:val="none"/>
              </w:rPr>
              <w:t>磋商</w:t>
            </w:r>
            <w:r>
              <w:rPr>
                <w:rFonts w:hint="eastAsia"/>
                <w:highlight w:val="none"/>
              </w:rPr>
              <w:t>文件要求</w:t>
            </w:r>
          </w:p>
        </w:tc>
        <w:tc>
          <w:tcPr>
            <w:tcW w:w="2082" w:type="dxa"/>
            <w:tcBorders>
              <w:right w:val="single" w:color="auto" w:sz="4" w:space="0"/>
            </w:tcBorders>
            <w:vAlign w:val="center"/>
          </w:tcPr>
          <w:p w14:paraId="08974262">
            <w:pPr>
              <w:adjustRightInd w:val="0"/>
              <w:snapToGrid w:val="0"/>
              <w:spacing w:before="50" w:line="360" w:lineRule="auto"/>
              <w:jc w:val="center"/>
              <w:rPr>
                <w:rFonts w:hint="eastAsia" w:ascii="宋体" w:hAnsi="宋体"/>
                <w:szCs w:val="21"/>
                <w:highlight w:val="none"/>
              </w:rPr>
            </w:pPr>
            <w:r>
              <w:rPr>
                <w:rFonts w:hint="eastAsia"/>
                <w:highlight w:val="none"/>
              </w:rPr>
              <w:t>响应文件的应答</w:t>
            </w:r>
          </w:p>
        </w:tc>
        <w:tc>
          <w:tcPr>
            <w:tcW w:w="1942" w:type="dxa"/>
            <w:tcBorders>
              <w:left w:val="single" w:color="auto" w:sz="4" w:space="0"/>
            </w:tcBorders>
            <w:vAlign w:val="center"/>
          </w:tcPr>
          <w:p w14:paraId="4D640FD7">
            <w:pPr>
              <w:adjustRightInd w:val="0"/>
              <w:snapToGrid w:val="0"/>
              <w:spacing w:before="50" w:line="360" w:lineRule="auto"/>
              <w:ind w:left="-88" w:leftChars="-42"/>
              <w:jc w:val="center"/>
              <w:rPr>
                <w:rFonts w:hint="eastAsia" w:ascii="宋体" w:hAnsi="宋体"/>
                <w:szCs w:val="21"/>
                <w:highlight w:val="none"/>
              </w:rPr>
            </w:pPr>
            <w:r>
              <w:rPr>
                <w:rFonts w:hint="eastAsia" w:ascii="宋体" w:hAnsi="宋体"/>
                <w:szCs w:val="21"/>
                <w:highlight w:val="none"/>
              </w:rPr>
              <w:t>偏离说明</w:t>
            </w:r>
          </w:p>
        </w:tc>
      </w:tr>
      <w:tr w14:paraId="383622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B8A301D">
            <w:pPr>
              <w:adjustRightInd w:val="0"/>
              <w:snapToGrid w:val="0"/>
              <w:spacing w:before="50" w:line="360" w:lineRule="auto"/>
              <w:ind w:left="-88" w:leftChars="-42"/>
              <w:jc w:val="center"/>
              <w:rPr>
                <w:rFonts w:hint="eastAsia" w:ascii="宋体" w:hAnsi="宋体"/>
                <w:szCs w:val="21"/>
                <w:highlight w:val="none"/>
              </w:rPr>
            </w:pPr>
          </w:p>
        </w:tc>
        <w:tc>
          <w:tcPr>
            <w:tcW w:w="2410" w:type="dxa"/>
            <w:vAlign w:val="center"/>
          </w:tcPr>
          <w:p w14:paraId="43D54077">
            <w:pPr>
              <w:adjustRightInd w:val="0"/>
              <w:snapToGrid w:val="0"/>
              <w:spacing w:before="50" w:line="360" w:lineRule="auto"/>
              <w:ind w:left="-88" w:leftChars="-42"/>
              <w:jc w:val="center"/>
              <w:rPr>
                <w:rFonts w:hint="eastAsia" w:ascii="宋体" w:hAnsi="宋体"/>
                <w:szCs w:val="21"/>
                <w:highlight w:val="none"/>
              </w:rPr>
            </w:pPr>
          </w:p>
        </w:tc>
        <w:tc>
          <w:tcPr>
            <w:tcW w:w="1985" w:type="dxa"/>
          </w:tcPr>
          <w:p w14:paraId="3352D3B6">
            <w:pPr>
              <w:adjustRightInd w:val="0"/>
              <w:snapToGrid w:val="0"/>
              <w:spacing w:before="50" w:line="360" w:lineRule="auto"/>
              <w:rPr>
                <w:highlight w:val="none"/>
              </w:rPr>
            </w:pPr>
          </w:p>
        </w:tc>
        <w:tc>
          <w:tcPr>
            <w:tcW w:w="2082" w:type="dxa"/>
            <w:tcBorders>
              <w:right w:val="single" w:color="auto" w:sz="4" w:space="0"/>
            </w:tcBorders>
          </w:tcPr>
          <w:p w14:paraId="3A17A6F2">
            <w:pPr>
              <w:adjustRightInd w:val="0"/>
              <w:snapToGrid w:val="0"/>
              <w:spacing w:before="50" w:line="360" w:lineRule="auto"/>
              <w:rPr>
                <w:highlight w:val="none"/>
              </w:rPr>
            </w:pPr>
          </w:p>
        </w:tc>
        <w:tc>
          <w:tcPr>
            <w:tcW w:w="1942" w:type="dxa"/>
            <w:tcBorders>
              <w:left w:val="single" w:color="auto" w:sz="4" w:space="0"/>
            </w:tcBorders>
          </w:tcPr>
          <w:p w14:paraId="70BB049C">
            <w:pPr>
              <w:adjustRightInd w:val="0"/>
              <w:snapToGrid w:val="0"/>
              <w:spacing w:before="50" w:line="360" w:lineRule="auto"/>
              <w:ind w:left="-88" w:leftChars="-42"/>
              <w:jc w:val="center"/>
              <w:rPr>
                <w:rFonts w:hint="eastAsia" w:ascii="宋体" w:hAnsi="宋体"/>
                <w:szCs w:val="21"/>
                <w:highlight w:val="none"/>
              </w:rPr>
            </w:pPr>
          </w:p>
        </w:tc>
      </w:tr>
      <w:tr w14:paraId="3E6E96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830FD66">
            <w:pPr>
              <w:adjustRightInd w:val="0"/>
              <w:snapToGrid w:val="0"/>
              <w:spacing w:before="50" w:line="360" w:lineRule="auto"/>
              <w:ind w:left="-88" w:leftChars="-42"/>
              <w:jc w:val="center"/>
              <w:rPr>
                <w:rFonts w:hint="eastAsia" w:ascii="宋体" w:hAnsi="宋体"/>
                <w:szCs w:val="21"/>
                <w:highlight w:val="none"/>
              </w:rPr>
            </w:pPr>
          </w:p>
        </w:tc>
        <w:tc>
          <w:tcPr>
            <w:tcW w:w="2410" w:type="dxa"/>
            <w:vAlign w:val="center"/>
          </w:tcPr>
          <w:p w14:paraId="055BEE46">
            <w:pPr>
              <w:adjustRightInd w:val="0"/>
              <w:snapToGrid w:val="0"/>
              <w:spacing w:before="50" w:line="360" w:lineRule="auto"/>
              <w:ind w:left="-88" w:leftChars="-42"/>
              <w:jc w:val="center"/>
              <w:rPr>
                <w:rFonts w:hint="eastAsia" w:ascii="宋体" w:hAnsi="宋体"/>
                <w:szCs w:val="21"/>
                <w:highlight w:val="none"/>
              </w:rPr>
            </w:pPr>
          </w:p>
        </w:tc>
        <w:tc>
          <w:tcPr>
            <w:tcW w:w="1985" w:type="dxa"/>
            <w:vAlign w:val="center"/>
          </w:tcPr>
          <w:p w14:paraId="6DCEB8C9">
            <w:pPr>
              <w:adjustRightInd w:val="0"/>
              <w:snapToGrid w:val="0"/>
              <w:spacing w:before="50" w:line="360" w:lineRule="auto"/>
              <w:ind w:left="-88" w:leftChars="-42"/>
              <w:jc w:val="center"/>
              <w:rPr>
                <w:rFonts w:hint="eastAsia" w:ascii="宋体" w:hAnsi="宋体"/>
                <w:szCs w:val="21"/>
                <w:highlight w:val="none"/>
              </w:rPr>
            </w:pPr>
          </w:p>
        </w:tc>
        <w:tc>
          <w:tcPr>
            <w:tcW w:w="2082" w:type="dxa"/>
            <w:tcBorders>
              <w:right w:val="single" w:color="auto" w:sz="4" w:space="0"/>
            </w:tcBorders>
            <w:vAlign w:val="center"/>
          </w:tcPr>
          <w:p w14:paraId="7D023CEA">
            <w:pPr>
              <w:adjustRightInd w:val="0"/>
              <w:snapToGrid w:val="0"/>
              <w:spacing w:before="50" w:line="360" w:lineRule="auto"/>
              <w:ind w:left="-88" w:leftChars="-42"/>
              <w:jc w:val="center"/>
              <w:rPr>
                <w:rFonts w:hint="eastAsia" w:ascii="宋体" w:hAnsi="宋体"/>
                <w:szCs w:val="21"/>
                <w:highlight w:val="none"/>
              </w:rPr>
            </w:pPr>
          </w:p>
        </w:tc>
        <w:tc>
          <w:tcPr>
            <w:tcW w:w="1942" w:type="dxa"/>
            <w:tcBorders>
              <w:left w:val="single" w:color="auto" w:sz="4" w:space="0"/>
            </w:tcBorders>
            <w:vAlign w:val="center"/>
          </w:tcPr>
          <w:p w14:paraId="14E2DC6C">
            <w:pPr>
              <w:adjustRightInd w:val="0"/>
              <w:snapToGrid w:val="0"/>
              <w:spacing w:before="50" w:line="360" w:lineRule="auto"/>
              <w:ind w:left="-88" w:leftChars="-42"/>
              <w:jc w:val="center"/>
              <w:rPr>
                <w:rFonts w:hint="eastAsia" w:ascii="宋体" w:hAnsi="宋体"/>
                <w:szCs w:val="21"/>
                <w:highlight w:val="none"/>
              </w:rPr>
            </w:pPr>
          </w:p>
        </w:tc>
      </w:tr>
      <w:tr w14:paraId="5FFE85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B5394F3">
            <w:pPr>
              <w:adjustRightInd w:val="0"/>
              <w:snapToGrid w:val="0"/>
              <w:spacing w:before="50" w:line="360" w:lineRule="auto"/>
              <w:ind w:left="-88" w:leftChars="-42"/>
              <w:jc w:val="center"/>
              <w:rPr>
                <w:rFonts w:hint="eastAsia" w:ascii="宋体" w:hAnsi="宋体"/>
                <w:szCs w:val="21"/>
                <w:highlight w:val="none"/>
              </w:rPr>
            </w:pPr>
          </w:p>
        </w:tc>
        <w:tc>
          <w:tcPr>
            <w:tcW w:w="2410" w:type="dxa"/>
            <w:vAlign w:val="center"/>
          </w:tcPr>
          <w:p w14:paraId="54F1FECB">
            <w:pPr>
              <w:adjustRightInd w:val="0"/>
              <w:snapToGrid w:val="0"/>
              <w:spacing w:before="50" w:line="360" w:lineRule="auto"/>
              <w:ind w:left="-88" w:leftChars="-42"/>
              <w:jc w:val="center"/>
              <w:rPr>
                <w:rFonts w:hint="eastAsia" w:ascii="宋体" w:hAnsi="宋体"/>
                <w:szCs w:val="21"/>
                <w:highlight w:val="none"/>
              </w:rPr>
            </w:pPr>
          </w:p>
        </w:tc>
        <w:tc>
          <w:tcPr>
            <w:tcW w:w="1985" w:type="dxa"/>
            <w:vAlign w:val="center"/>
          </w:tcPr>
          <w:p w14:paraId="6D1DAE2F">
            <w:pPr>
              <w:adjustRightInd w:val="0"/>
              <w:snapToGrid w:val="0"/>
              <w:spacing w:before="50" w:line="360" w:lineRule="auto"/>
              <w:ind w:left="-88" w:leftChars="-42"/>
              <w:jc w:val="center"/>
              <w:rPr>
                <w:rFonts w:hint="eastAsia" w:ascii="宋体" w:hAnsi="宋体"/>
                <w:szCs w:val="21"/>
                <w:highlight w:val="none"/>
              </w:rPr>
            </w:pPr>
          </w:p>
        </w:tc>
        <w:tc>
          <w:tcPr>
            <w:tcW w:w="2082" w:type="dxa"/>
            <w:tcBorders>
              <w:right w:val="single" w:color="auto" w:sz="4" w:space="0"/>
            </w:tcBorders>
            <w:vAlign w:val="center"/>
          </w:tcPr>
          <w:p w14:paraId="4049341A">
            <w:pPr>
              <w:adjustRightInd w:val="0"/>
              <w:snapToGrid w:val="0"/>
              <w:spacing w:before="50" w:line="360" w:lineRule="auto"/>
              <w:ind w:left="-88" w:leftChars="-42"/>
              <w:jc w:val="center"/>
              <w:rPr>
                <w:rFonts w:hint="eastAsia" w:ascii="宋体" w:hAnsi="宋体"/>
                <w:szCs w:val="21"/>
                <w:highlight w:val="none"/>
              </w:rPr>
            </w:pPr>
          </w:p>
        </w:tc>
        <w:tc>
          <w:tcPr>
            <w:tcW w:w="1942" w:type="dxa"/>
            <w:tcBorders>
              <w:left w:val="single" w:color="auto" w:sz="4" w:space="0"/>
            </w:tcBorders>
            <w:vAlign w:val="center"/>
          </w:tcPr>
          <w:p w14:paraId="31E97EB1">
            <w:pPr>
              <w:adjustRightInd w:val="0"/>
              <w:snapToGrid w:val="0"/>
              <w:spacing w:before="50" w:line="360" w:lineRule="auto"/>
              <w:ind w:left="-88" w:leftChars="-42"/>
              <w:jc w:val="center"/>
              <w:rPr>
                <w:rFonts w:hint="eastAsia" w:ascii="宋体" w:hAnsi="宋体"/>
                <w:szCs w:val="21"/>
                <w:highlight w:val="none"/>
              </w:rPr>
            </w:pPr>
          </w:p>
        </w:tc>
      </w:tr>
      <w:tr w14:paraId="167819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315C16B">
            <w:pPr>
              <w:adjustRightInd w:val="0"/>
              <w:snapToGrid w:val="0"/>
              <w:spacing w:before="50" w:line="360" w:lineRule="auto"/>
              <w:ind w:left="-88" w:leftChars="-42"/>
              <w:jc w:val="center"/>
              <w:rPr>
                <w:rFonts w:hint="eastAsia" w:ascii="宋体" w:hAnsi="宋体"/>
                <w:szCs w:val="21"/>
                <w:highlight w:val="none"/>
              </w:rPr>
            </w:pPr>
          </w:p>
        </w:tc>
        <w:tc>
          <w:tcPr>
            <w:tcW w:w="2410" w:type="dxa"/>
            <w:vAlign w:val="center"/>
          </w:tcPr>
          <w:p w14:paraId="0B0AEFA2">
            <w:pPr>
              <w:adjustRightInd w:val="0"/>
              <w:snapToGrid w:val="0"/>
              <w:spacing w:before="50" w:line="360" w:lineRule="auto"/>
              <w:ind w:left="-88" w:leftChars="-42"/>
              <w:jc w:val="center"/>
              <w:rPr>
                <w:rFonts w:hint="eastAsia" w:ascii="宋体" w:hAnsi="宋体"/>
                <w:szCs w:val="21"/>
                <w:highlight w:val="none"/>
              </w:rPr>
            </w:pPr>
          </w:p>
        </w:tc>
        <w:tc>
          <w:tcPr>
            <w:tcW w:w="1985" w:type="dxa"/>
            <w:vAlign w:val="center"/>
          </w:tcPr>
          <w:p w14:paraId="62555403">
            <w:pPr>
              <w:adjustRightInd w:val="0"/>
              <w:snapToGrid w:val="0"/>
              <w:spacing w:before="50" w:line="360" w:lineRule="auto"/>
              <w:ind w:left="-88" w:leftChars="-42"/>
              <w:jc w:val="center"/>
              <w:rPr>
                <w:rFonts w:hint="eastAsia" w:ascii="宋体" w:hAnsi="宋体"/>
                <w:szCs w:val="21"/>
                <w:highlight w:val="none"/>
              </w:rPr>
            </w:pPr>
          </w:p>
        </w:tc>
        <w:tc>
          <w:tcPr>
            <w:tcW w:w="2082" w:type="dxa"/>
            <w:tcBorders>
              <w:right w:val="single" w:color="auto" w:sz="4" w:space="0"/>
            </w:tcBorders>
            <w:vAlign w:val="center"/>
          </w:tcPr>
          <w:p w14:paraId="6158FE4D">
            <w:pPr>
              <w:adjustRightInd w:val="0"/>
              <w:snapToGrid w:val="0"/>
              <w:spacing w:before="50" w:line="360" w:lineRule="auto"/>
              <w:ind w:left="-88" w:leftChars="-42"/>
              <w:jc w:val="center"/>
              <w:rPr>
                <w:rFonts w:hint="eastAsia" w:ascii="宋体" w:hAnsi="宋体"/>
                <w:szCs w:val="21"/>
                <w:highlight w:val="none"/>
              </w:rPr>
            </w:pPr>
          </w:p>
        </w:tc>
        <w:tc>
          <w:tcPr>
            <w:tcW w:w="1942" w:type="dxa"/>
            <w:tcBorders>
              <w:left w:val="single" w:color="auto" w:sz="4" w:space="0"/>
            </w:tcBorders>
            <w:vAlign w:val="center"/>
          </w:tcPr>
          <w:p w14:paraId="0490066B">
            <w:pPr>
              <w:adjustRightInd w:val="0"/>
              <w:snapToGrid w:val="0"/>
              <w:spacing w:before="50" w:line="360" w:lineRule="auto"/>
              <w:ind w:left="-88" w:leftChars="-42"/>
              <w:jc w:val="center"/>
              <w:rPr>
                <w:rFonts w:hint="eastAsia" w:ascii="宋体" w:hAnsi="宋体"/>
                <w:szCs w:val="21"/>
                <w:highlight w:val="none"/>
              </w:rPr>
            </w:pPr>
          </w:p>
        </w:tc>
      </w:tr>
      <w:tr w14:paraId="5FE59D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C93C20E">
            <w:pPr>
              <w:adjustRightInd w:val="0"/>
              <w:snapToGrid w:val="0"/>
              <w:spacing w:before="50" w:line="360" w:lineRule="auto"/>
              <w:ind w:left="-88" w:leftChars="-42"/>
              <w:jc w:val="center"/>
              <w:rPr>
                <w:rFonts w:hint="eastAsia" w:ascii="宋体" w:hAnsi="宋体"/>
                <w:szCs w:val="21"/>
                <w:highlight w:val="none"/>
              </w:rPr>
            </w:pPr>
          </w:p>
        </w:tc>
        <w:tc>
          <w:tcPr>
            <w:tcW w:w="2410" w:type="dxa"/>
            <w:vAlign w:val="center"/>
          </w:tcPr>
          <w:p w14:paraId="7F5AFF13">
            <w:pPr>
              <w:adjustRightInd w:val="0"/>
              <w:snapToGrid w:val="0"/>
              <w:spacing w:before="50" w:line="360" w:lineRule="auto"/>
              <w:ind w:left="-88" w:leftChars="-42"/>
              <w:jc w:val="center"/>
              <w:rPr>
                <w:rFonts w:hint="eastAsia" w:ascii="宋体" w:hAnsi="宋体"/>
                <w:szCs w:val="21"/>
                <w:highlight w:val="none"/>
              </w:rPr>
            </w:pPr>
          </w:p>
        </w:tc>
        <w:tc>
          <w:tcPr>
            <w:tcW w:w="1985" w:type="dxa"/>
            <w:vAlign w:val="center"/>
          </w:tcPr>
          <w:p w14:paraId="52ECD931">
            <w:pPr>
              <w:adjustRightInd w:val="0"/>
              <w:snapToGrid w:val="0"/>
              <w:spacing w:before="50" w:line="360" w:lineRule="auto"/>
              <w:ind w:left="-88" w:leftChars="-42"/>
              <w:jc w:val="center"/>
              <w:rPr>
                <w:rFonts w:hint="eastAsia" w:ascii="宋体" w:hAnsi="宋体"/>
                <w:szCs w:val="21"/>
                <w:highlight w:val="none"/>
              </w:rPr>
            </w:pPr>
          </w:p>
        </w:tc>
        <w:tc>
          <w:tcPr>
            <w:tcW w:w="2082" w:type="dxa"/>
            <w:tcBorders>
              <w:right w:val="single" w:color="auto" w:sz="4" w:space="0"/>
            </w:tcBorders>
            <w:vAlign w:val="center"/>
          </w:tcPr>
          <w:p w14:paraId="4186F9FA">
            <w:pPr>
              <w:adjustRightInd w:val="0"/>
              <w:snapToGrid w:val="0"/>
              <w:spacing w:before="50" w:line="360" w:lineRule="auto"/>
              <w:ind w:left="-88" w:leftChars="-42"/>
              <w:jc w:val="center"/>
              <w:rPr>
                <w:rFonts w:hint="eastAsia" w:ascii="宋体" w:hAnsi="宋体"/>
                <w:szCs w:val="21"/>
                <w:highlight w:val="none"/>
              </w:rPr>
            </w:pPr>
          </w:p>
        </w:tc>
        <w:tc>
          <w:tcPr>
            <w:tcW w:w="1942" w:type="dxa"/>
            <w:tcBorders>
              <w:left w:val="single" w:color="auto" w:sz="4" w:space="0"/>
            </w:tcBorders>
            <w:vAlign w:val="center"/>
          </w:tcPr>
          <w:p w14:paraId="7C89D13A">
            <w:pPr>
              <w:adjustRightInd w:val="0"/>
              <w:snapToGrid w:val="0"/>
              <w:spacing w:before="50" w:line="360" w:lineRule="auto"/>
              <w:ind w:left="-88" w:leftChars="-42"/>
              <w:jc w:val="center"/>
              <w:rPr>
                <w:rFonts w:hint="eastAsia" w:ascii="宋体" w:hAnsi="宋体"/>
                <w:szCs w:val="21"/>
                <w:highlight w:val="none"/>
              </w:rPr>
            </w:pPr>
          </w:p>
        </w:tc>
      </w:tr>
      <w:tr w14:paraId="69DF36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A144CD1">
            <w:pPr>
              <w:adjustRightInd w:val="0"/>
              <w:snapToGrid w:val="0"/>
              <w:spacing w:before="50" w:line="360" w:lineRule="auto"/>
              <w:ind w:left="-88" w:leftChars="-42"/>
              <w:jc w:val="center"/>
              <w:rPr>
                <w:rFonts w:hint="eastAsia" w:ascii="宋体" w:hAnsi="宋体"/>
                <w:szCs w:val="21"/>
                <w:highlight w:val="none"/>
              </w:rPr>
            </w:pPr>
          </w:p>
        </w:tc>
        <w:tc>
          <w:tcPr>
            <w:tcW w:w="2410" w:type="dxa"/>
            <w:vAlign w:val="center"/>
          </w:tcPr>
          <w:p w14:paraId="518AB4CD">
            <w:pPr>
              <w:adjustRightInd w:val="0"/>
              <w:snapToGrid w:val="0"/>
              <w:spacing w:before="50" w:line="360" w:lineRule="auto"/>
              <w:ind w:left="-88" w:leftChars="-42"/>
              <w:jc w:val="center"/>
              <w:rPr>
                <w:rFonts w:hint="eastAsia" w:ascii="宋体" w:hAnsi="宋体"/>
                <w:szCs w:val="21"/>
                <w:highlight w:val="none"/>
              </w:rPr>
            </w:pPr>
          </w:p>
        </w:tc>
        <w:tc>
          <w:tcPr>
            <w:tcW w:w="1985" w:type="dxa"/>
            <w:vAlign w:val="center"/>
          </w:tcPr>
          <w:p w14:paraId="7230A20D">
            <w:pPr>
              <w:adjustRightInd w:val="0"/>
              <w:snapToGrid w:val="0"/>
              <w:spacing w:before="50" w:line="360" w:lineRule="auto"/>
              <w:ind w:left="-88" w:leftChars="-42"/>
              <w:jc w:val="center"/>
              <w:rPr>
                <w:rFonts w:hint="eastAsia" w:ascii="宋体" w:hAnsi="宋体"/>
                <w:szCs w:val="21"/>
                <w:highlight w:val="none"/>
              </w:rPr>
            </w:pPr>
          </w:p>
        </w:tc>
        <w:tc>
          <w:tcPr>
            <w:tcW w:w="2082" w:type="dxa"/>
            <w:tcBorders>
              <w:right w:val="single" w:color="auto" w:sz="4" w:space="0"/>
            </w:tcBorders>
            <w:vAlign w:val="center"/>
          </w:tcPr>
          <w:p w14:paraId="7DDB745E">
            <w:pPr>
              <w:adjustRightInd w:val="0"/>
              <w:snapToGrid w:val="0"/>
              <w:spacing w:before="50" w:line="360" w:lineRule="auto"/>
              <w:ind w:left="-88" w:leftChars="-42"/>
              <w:jc w:val="center"/>
              <w:rPr>
                <w:rFonts w:hint="eastAsia" w:ascii="宋体" w:hAnsi="宋体"/>
                <w:szCs w:val="21"/>
                <w:highlight w:val="none"/>
              </w:rPr>
            </w:pPr>
          </w:p>
        </w:tc>
        <w:tc>
          <w:tcPr>
            <w:tcW w:w="1942" w:type="dxa"/>
            <w:tcBorders>
              <w:left w:val="single" w:color="auto" w:sz="4" w:space="0"/>
            </w:tcBorders>
            <w:vAlign w:val="center"/>
          </w:tcPr>
          <w:p w14:paraId="098999BC">
            <w:pPr>
              <w:adjustRightInd w:val="0"/>
              <w:snapToGrid w:val="0"/>
              <w:spacing w:before="50" w:line="360" w:lineRule="auto"/>
              <w:ind w:left="-88" w:leftChars="-42"/>
              <w:jc w:val="center"/>
              <w:rPr>
                <w:rFonts w:hint="eastAsia" w:ascii="宋体" w:hAnsi="宋体"/>
                <w:szCs w:val="21"/>
                <w:highlight w:val="none"/>
              </w:rPr>
            </w:pPr>
          </w:p>
        </w:tc>
      </w:tr>
      <w:tr w14:paraId="2A82C2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6383FCB">
            <w:pPr>
              <w:adjustRightInd w:val="0"/>
              <w:snapToGrid w:val="0"/>
              <w:spacing w:before="50" w:line="360" w:lineRule="auto"/>
              <w:ind w:left="-88" w:leftChars="-42"/>
              <w:jc w:val="center"/>
              <w:rPr>
                <w:rFonts w:hint="eastAsia" w:ascii="宋体" w:hAnsi="宋体"/>
                <w:szCs w:val="21"/>
                <w:highlight w:val="none"/>
              </w:rPr>
            </w:pPr>
          </w:p>
        </w:tc>
        <w:tc>
          <w:tcPr>
            <w:tcW w:w="2410" w:type="dxa"/>
            <w:vAlign w:val="center"/>
          </w:tcPr>
          <w:p w14:paraId="7335BE5F">
            <w:pPr>
              <w:adjustRightInd w:val="0"/>
              <w:snapToGrid w:val="0"/>
              <w:spacing w:before="50" w:line="360" w:lineRule="auto"/>
              <w:ind w:left="-88" w:leftChars="-42"/>
              <w:jc w:val="center"/>
              <w:rPr>
                <w:rFonts w:hint="eastAsia" w:ascii="宋体" w:hAnsi="宋体"/>
                <w:szCs w:val="21"/>
                <w:highlight w:val="none"/>
              </w:rPr>
            </w:pPr>
          </w:p>
        </w:tc>
        <w:tc>
          <w:tcPr>
            <w:tcW w:w="1985" w:type="dxa"/>
            <w:vAlign w:val="center"/>
          </w:tcPr>
          <w:p w14:paraId="2AA6ADA1">
            <w:pPr>
              <w:adjustRightInd w:val="0"/>
              <w:snapToGrid w:val="0"/>
              <w:spacing w:before="50" w:line="360" w:lineRule="auto"/>
              <w:ind w:left="-88" w:leftChars="-42"/>
              <w:jc w:val="center"/>
              <w:rPr>
                <w:rFonts w:hint="eastAsia" w:ascii="宋体" w:hAnsi="宋体"/>
                <w:szCs w:val="21"/>
                <w:highlight w:val="none"/>
              </w:rPr>
            </w:pPr>
          </w:p>
        </w:tc>
        <w:tc>
          <w:tcPr>
            <w:tcW w:w="4024" w:type="dxa"/>
            <w:gridSpan w:val="2"/>
            <w:vAlign w:val="center"/>
          </w:tcPr>
          <w:p w14:paraId="031A0A96">
            <w:pPr>
              <w:adjustRightInd w:val="0"/>
              <w:snapToGrid w:val="0"/>
              <w:spacing w:before="50" w:line="360" w:lineRule="auto"/>
              <w:ind w:firstLine="422" w:firstLineChars="200"/>
              <w:jc w:val="left"/>
              <w:rPr>
                <w:rFonts w:hint="eastAsia" w:ascii="宋体" w:hAnsi="宋体"/>
                <w:b/>
                <w:szCs w:val="21"/>
                <w:highlight w:val="none"/>
              </w:rPr>
            </w:pPr>
            <w:r>
              <w:rPr>
                <w:rFonts w:hint="eastAsia" w:ascii="宋体" w:hAnsi="宋体"/>
                <w:b/>
                <w:szCs w:val="21"/>
                <w:highlight w:val="none"/>
              </w:rPr>
              <w:t>供应商保证：除本合同条款偏离表列出的偏离外，我单位对磋商文件的其他商务、合同条款完全响应，无偏离。</w:t>
            </w:r>
          </w:p>
        </w:tc>
      </w:tr>
    </w:tbl>
    <w:p w14:paraId="6117A8B2">
      <w:pPr>
        <w:adjustRightInd w:val="0"/>
        <w:snapToGrid w:val="0"/>
        <w:spacing w:before="50" w:line="360" w:lineRule="auto"/>
        <w:ind w:left="-88" w:leftChars="-42"/>
        <w:rPr>
          <w:rFonts w:hint="eastAsia" w:ascii="宋体" w:hAnsi="宋体"/>
          <w:szCs w:val="21"/>
          <w:highlight w:val="none"/>
        </w:rPr>
      </w:pPr>
      <w:r>
        <w:rPr>
          <w:rFonts w:hint="eastAsia" w:ascii="宋体" w:hAnsi="宋体"/>
          <w:b/>
          <w:szCs w:val="21"/>
          <w:highlight w:val="none"/>
        </w:rPr>
        <w:t>注</w:t>
      </w:r>
      <w:r>
        <w:rPr>
          <w:rFonts w:hint="eastAsia" w:ascii="宋体" w:hAnsi="宋体"/>
          <w:szCs w:val="21"/>
          <w:highlight w:val="none"/>
        </w:rPr>
        <w:t>：（1）供应商应根据磋商文件第五章</w:t>
      </w:r>
      <w:r>
        <w:rPr>
          <w:rFonts w:hint="eastAsia" w:ascii="华文宋体" w:hAnsi="华文宋体" w:eastAsia="华文宋体"/>
          <w:szCs w:val="21"/>
          <w:highlight w:val="none"/>
        </w:rPr>
        <w:t>“</w:t>
      </w:r>
      <w:r>
        <w:rPr>
          <w:rFonts w:hint="eastAsia" w:ascii="宋体" w:hAnsi="宋体"/>
          <w:szCs w:val="21"/>
          <w:highlight w:val="none"/>
        </w:rPr>
        <w:t>合同草案条款</w:t>
      </w:r>
      <w:r>
        <w:rPr>
          <w:rFonts w:hint="eastAsia" w:ascii="华文宋体" w:hAnsi="华文宋体" w:eastAsia="华文宋体"/>
          <w:szCs w:val="21"/>
          <w:highlight w:val="none"/>
        </w:rPr>
        <w:t>”</w:t>
      </w:r>
      <w:r>
        <w:rPr>
          <w:rFonts w:hint="eastAsia" w:ascii="宋体" w:hAnsi="宋体"/>
          <w:szCs w:val="21"/>
          <w:highlight w:val="none"/>
        </w:rPr>
        <w:t>填写本表；</w:t>
      </w:r>
    </w:p>
    <w:p w14:paraId="1ECC6768">
      <w:pPr>
        <w:adjustRightInd w:val="0"/>
        <w:snapToGrid w:val="0"/>
        <w:spacing w:before="50" w:line="360" w:lineRule="auto"/>
        <w:ind w:left="-88" w:leftChars="-42" w:firstLine="420" w:firstLineChars="200"/>
        <w:rPr>
          <w:rFonts w:hint="eastAsia" w:ascii="宋体" w:hAnsi="宋体"/>
          <w:b/>
          <w:szCs w:val="21"/>
          <w:highlight w:val="none"/>
        </w:rPr>
      </w:pPr>
      <w:r>
        <w:rPr>
          <w:rFonts w:hint="eastAsia" w:ascii="宋体" w:hAnsi="宋体"/>
          <w:szCs w:val="21"/>
          <w:highlight w:val="none"/>
        </w:rPr>
        <w:t>（2）</w:t>
      </w:r>
      <w:r>
        <w:rPr>
          <w:rFonts w:hint="eastAsia" w:ascii="宋体" w:hAnsi="宋体"/>
          <w:b/>
          <w:szCs w:val="21"/>
          <w:highlight w:val="none"/>
        </w:rPr>
        <w:t>供应商如果对磋商文件第五章“合同草案条款”的响应有偏离，应将偏离条款逐条如实应答，并作出说明；</w:t>
      </w:r>
    </w:p>
    <w:p w14:paraId="5871D9DD">
      <w:pPr>
        <w:adjustRightInd w:val="0"/>
        <w:snapToGrid w:val="0"/>
        <w:spacing w:before="50" w:line="360" w:lineRule="auto"/>
        <w:ind w:left="-88" w:leftChars="-42" w:firstLine="420" w:firstLineChars="200"/>
        <w:rPr>
          <w:rFonts w:hint="eastAsia" w:ascii="宋体" w:hAnsi="宋体"/>
          <w:szCs w:val="21"/>
          <w:highlight w:val="none"/>
        </w:rPr>
      </w:pPr>
      <w:r>
        <w:rPr>
          <w:rFonts w:hint="eastAsia" w:ascii="宋体" w:hAnsi="宋体"/>
          <w:szCs w:val="21"/>
          <w:highlight w:val="none"/>
        </w:rPr>
        <w:t>（3）如不提供此表，则视为供应商不满足磋商文件第五章的所有条款要求，其</w:t>
      </w:r>
      <w:r>
        <w:rPr>
          <w:rFonts w:hint="eastAsia" w:ascii="宋体" w:hAnsi="宋体"/>
          <w:b/>
          <w:szCs w:val="21"/>
          <w:highlight w:val="none"/>
        </w:rPr>
        <w:t>响应无效</w:t>
      </w:r>
      <w:r>
        <w:rPr>
          <w:rFonts w:hint="eastAsia" w:ascii="宋体" w:hAnsi="宋体"/>
          <w:szCs w:val="21"/>
          <w:highlight w:val="none"/>
        </w:rPr>
        <w:t>。</w:t>
      </w:r>
    </w:p>
    <w:p w14:paraId="489B9B33">
      <w:pPr>
        <w:adjustRightInd w:val="0"/>
        <w:snapToGrid w:val="0"/>
        <w:spacing w:before="50" w:line="360" w:lineRule="auto"/>
        <w:rPr>
          <w:rFonts w:hint="eastAsia" w:ascii="宋体" w:hAnsi="宋体"/>
          <w:szCs w:val="21"/>
          <w:highlight w:val="none"/>
        </w:rPr>
      </w:pPr>
    </w:p>
    <w:p w14:paraId="7AE48856">
      <w:pPr>
        <w:adjustRightInd w:val="0"/>
        <w:snapToGrid w:val="0"/>
        <w:spacing w:before="50" w:line="360" w:lineRule="auto"/>
        <w:rPr>
          <w:rFonts w:hint="eastAsia" w:ascii="宋体" w:hAnsi="宋体"/>
          <w:szCs w:val="21"/>
          <w:highlight w:val="none"/>
        </w:rPr>
      </w:pPr>
    </w:p>
    <w:p w14:paraId="2B99920B">
      <w:pPr>
        <w:adjustRightInd w:val="0"/>
        <w:snapToGrid w:val="0"/>
        <w:spacing w:before="50" w:line="360" w:lineRule="auto"/>
        <w:rPr>
          <w:rFonts w:hint="eastAsia" w:ascii="宋体" w:hAnsi="宋体"/>
          <w:szCs w:val="21"/>
          <w:highlight w:val="none"/>
        </w:rPr>
      </w:pPr>
    </w:p>
    <w:p w14:paraId="3D51411A">
      <w:pPr>
        <w:adjustRightInd w:val="0"/>
        <w:snapToGrid w:val="0"/>
        <w:spacing w:before="50" w:line="360" w:lineRule="auto"/>
        <w:rPr>
          <w:rFonts w:hint="eastAsia" w:ascii="宋体" w:hAnsi="宋体"/>
          <w:szCs w:val="21"/>
          <w:highlight w:val="none"/>
        </w:rPr>
      </w:pPr>
      <w:r>
        <w:rPr>
          <w:rFonts w:hint="eastAsia" w:ascii="宋体" w:hAnsi="宋体"/>
          <w:szCs w:val="21"/>
          <w:highlight w:val="none"/>
        </w:rPr>
        <w:t>供应商名称（盖单位公章）：</w:t>
      </w:r>
      <w:r>
        <w:rPr>
          <w:rFonts w:hint="eastAsia" w:ascii="宋体" w:hAnsi="宋体"/>
          <w:szCs w:val="21"/>
          <w:highlight w:val="none"/>
          <w:u w:val="single"/>
        </w:rPr>
        <w:t xml:space="preserve">                   </w:t>
      </w:r>
    </w:p>
    <w:p w14:paraId="069C640A">
      <w:pPr>
        <w:adjustRightInd w:val="0"/>
        <w:snapToGrid w:val="0"/>
        <w:spacing w:before="50" w:line="360" w:lineRule="auto"/>
        <w:rPr>
          <w:rFonts w:hint="eastAsia"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或者其授权的代理人（签字或者印章）：</w:t>
      </w:r>
      <w:r>
        <w:rPr>
          <w:rFonts w:hint="eastAsia" w:ascii="宋体" w:hAnsi="宋体"/>
          <w:szCs w:val="21"/>
          <w:highlight w:val="none"/>
          <w:u w:val="single"/>
        </w:rPr>
        <w:t xml:space="preserve">                   </w:t>
      </w:r>
    </w:p>
    <w:p w14:paraId="3F08A5CC">
      <w:pPr>
        <w:rPr>
          <w:highlight w:val="none"/>
        </w:rPr>
      </w:pPr>
      <w:r>
        <w:rPr>
          <w:rFonts w:hint="eastAsia"/>
          <w:highlight w:val="none"/>
        </w:rPr>
        <w:t>日期：    年  月  日</w:t>
      </w:r>
    </w:p>
    <w:p w14:paraId="76E71A1B">
      <w:pPr>
        <w:pStyle w:val="8"/>
        <w:jc w:val="center"/>
        <w:rPr>
          <w:rFonts w:ascii="黑体" w:eastAsia="黑体"/>
          <w:sz w:val="28"/>
          <w:szCs w:val="28"/>
          <w:highlight w:val="none"/>
        </w:rPr>
      </w:pPr>
      <w:r>
        <w:rPr>
          <w:rFonts w:ascii="黑体" w:eastAsia="黑体"/>
          <w:sz w:val="28"/>
          <w:szCs w:val="28"/>
          <w:highlight w:val="none"/>
        </w:rPr>
        <w:br w:type="page"/>
      </w:r>
      <w:bookmarkStart w:id="491" w:name="_Toc881"/>
      <w:bookmarkStart w:id="492" w:name="_Toc1792"/>
      <w:bookmarkStart w:id="493" w:name="_Toc23758"/>
      <w:bookmarkStart w:id="494" w:name="_Toc21383"/>
      <w:bookmarkStart w:id="495" w:name="_Toc22201160"/>
      <w:r>
        <w:rPr>
          <w:rFonts w:hint="eastAsia" w:ascii="黑体" w:eastAsia="黑体"/>
          <w:sz w:val="28"/>
          <w:szCs w:val="28"/>
          <w:highlight w:val="none"/>
        </w:rPr>
        <w:t>八、采购需求偏离表</w:t>
      </w:r>
      <w:bookmarkEnd w:id="491"/>
      <w:bookmarkEnd w:id="492"/>
      <w:bookmarkEnd w:id="493"/>
      <w:bookmarkEnd w:id="494"/>
      <w:bookmarkEnd w:id="495"/>
    </w:p>
    <w:p w14:paraId="0C2E089E">
      <w:pPr>
        <w:adjustRightInd w:val="0"/>
        <w:snapToGrid w:val="0"/>
        <w:spacing w:before="120" w:beforeLines="50" w:line="360" w:lineRule="auto"/>
        <w:rPr>
          <w:rFonts w:hint="eastAsia" w:ascii="宋体" w:hAnsi="宋体"/>
          <w:szCs w:val="21"/>
          <w:highlight w:val="none"/>
          <w:u w:val="single"/>
        </w:rPr>
      </w:pPr>
      <w:r>
        <w:rPr>
          <w:rFonts w:hint="eastAsia" w:ascii="宋体" w:hAnsi="宋体"/>
          <w:szCs w:val="21"/>
          <w:highlight w:val="none"/>
        </w:rPr>
        <w:t>政府采购编号：</w:t>
      </w:r>
      <w:r>
        <w:rPr>
          <w:rFonts w:hint="eastAsia" w:ascii="宋体" w:hAnsi="宋体"/>
          <w:szCs w:val="21"/>
          <w:highlight w:val="none"/>
          <w:u w:val="single"/>
        </w:rPr>
        <w:t xml:space="preserve">                   </w:t>
      </w:r>
      <w:r>
        <w:rPr>
          <w:rFonts w:hint="eastAsia" w:ascii="宋体" w:hAnsi="宋体"/>
          <w:szCs w:val="21"/>
          <w:highlight w:val="none"/>
        </w:rPr>
        <w:t xml:space="preserve">                       项目名称：</w:t>
      </w:r>
      <w:r>
        <w:rPr>
          <w:rFonts w:hint="eastAsia" w:ascii="宋体" w:hAnsi="宋体"/>
          <w:szCs w:val="21"/>
          <w:highlight w:val="none"/>
          <w:u w:val="single"/>
        </w:rPr>
        <w:t xml:space="preserve">                   </w:t>
      </w:r>
    </w:p>
    <w:tbl>
      <w:tblPr>
        <w:tblStyle w:val="48"/>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164CE5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04" w:hRule="atLeast"/>
          <w:jc w:val="center"/>
        </w:trPr>
        <w:tc>
          <w:tcPr>
            <w:tcW w:w="737" w:type="dxa"/>
            <w:vAlign w:val="center"/>
          </w:tcPr>
          <w:p w14:paraId="7ACF4B12">
            <w:pPr>
              <w:adjustRightInd w:val="0"/>
              <w:snapToGrid w:val="0"/>
              <w:spacing w:before="50" w:line="360" w:lineRule="auto"/>
              <w:ind w:left="-88" w:leftChars="-42"/>
              <w:jc w:val="center"/>
              <w:rPr>
                <w:rFonts w:hint="eastAsia" w:ascii="宋体" w:hAnsi="宋体"/>
                <w:szCs w:val="21"/>
                <w:highlight w:val="none"/>
              </w:rPr>
            </w:pPr>
            <w:r>
              <w:rPr>
                <w:rFonts w:hint="eastAsia" w:ascii="宋体" w:hAnsi="宋体"/>
                <w:bCs/>
                <w:szCs w:val="21"/>
                <w:highlight w:val="none"/>
              </w:rPr>
              <w:t>序</w:t>
            </w:r>
            <w:r>
              <w:rPr>
                <w:rFonts w:hint="eastAsia" w:ascii="宋体" w:hAnsi="宋体"/>
                <w:szCs w:val="21"/>
                <w:highlight w:val="none"/>
              </w:rPr>
              <w:t>号</w:t>
            </w:r>
          </w:p>
        </w:tc>
        <w:tc>
          <w:tcPr>
            <w:tcW w:w="2410" w:type="dxa"/>
            <w:vAlign w:val="center"/>
          </w:tcPr>
          <w:p w14:paraId="588013B8">
            <w:pPr>
              <w:adjustRightInd w:val="0"/>
              <w:snapToGrid w:val="0"/>
              <w:spacing w:before="50" w:line="360" w:lineRule="auto"/>
              <w:ind w:left="-88" w:leftChars="-42"/>
              <w:jc w:val="center"/>
              <w:rPr>
                <w:rFonts w:hint="eastAsia" w:ascii="宋体" w:hAnsi="宋体"/>
                <w:szCs w:val="21"/>
                <w:highlight w:val="none"/>
              </w:rPr>
            </w:pPr>
            <w:r>
              <w:rPr>
                <w:rFonts w:hint="eastAsia" w:ascii="宋体" w:hAnsi="宋体"/>
                <w:szCs w:val="21"/>
                <w:highlight w:val="none"/>
              </w:rPr>
              <w:t>磋商文件章节</w:t>
            </w:r>
            <w:r>
              <w:rPr>
                <w:rFonts w:hint="eastAsia" w:ascii="宋体" w:hAnsi="宋体"/>
                <w:bCs/>
                <w:szCs w:val="21"/>
                <w:highlight w:val="none"/>
              </w:rPr>
              <w:t>条</w:t>
            </w:r>
            <w:r>
              <w:rPr>
                <w:rFonts w:hint="eastAsia" w:ascii="宋体" w:hAnsi="宋体"/>
                <w:szCs w:val="21"/>
                <w:highlight w:val="none"/>
              </w:rPr>
              <w:t>款号</w:t>
            </w:r>
          </w:p>
        </w:tc>
        <w:tc>
          <w:tcPr>
            <w:tcW w:w="1985" w:type="dxa"/>
            <w:tcBorders>
              <w:right w:val="single" w:color="auto" w:sz="4" w:space="0"/>
            </w:tcBorders>
          </w:tcPr>
          <w:p w14:paraId="4CC668BB">
            <w:pPr>
              <w:adjustRightInd w:val="0"/>
              <w:snapToGrid w:val="0"/>
              <w:spacing w:before="50" w:line="360" w:lineRule="auto"/>
              <w:jc w:val="center"/>
              <w:rPr>
                <w:highlight w:val="none"/>
              </w:rPr>
            </w:pPr>
            <w:r>
              <w:rPr>
                <w:rFonts w:hint="eastAsia" w:ascii="宋体" w:hAnsi="宋体"/>
                <w:szCs w:val="21"/>
                <w:highlight w:val="none"/>
              </w:rPr>
              <w:t>磋商</w:t>
            </w:r>
            <w:r>
              <w:rPr>
                <w:rFonts w:hint="eastAsia"/>
                <w:highlight w:val="none"/>
              </w:rPr>
              <w:t>文件要求</w:t>
            </w:r>
          </w:p>
        </w:tc>
        <w:tc>
          <w:tcPr>
            <w:tcW w:w="2126" w:type="dxa"/>
            <w:tcBorders>
              <w:left w:val="single" w:color="auto" w:sz="4" w:space="0"/>
            </w:tcBorders>
          </w:tcPr>
          <w:p w14:paraId="71811F0A">
            <w:pPr>
              <w:adjustRightInd w:val="0"/>
              <w:snapToGrid w:val="0"/>
              <w:spacing w:before="50" w:line="360" w:lineRule="auto"/>
              <w:jc w:val="center"/>
              <w:rPr>
                <w:highlight w:val="none"/>
              </w:rPr>
            </w:pPr>
            <w:r>
              <w:rPr>
                <w:rFonts w:hint="eastAsia" w:ascii="宋体" w:hAnsi="宋体"/>
                <w:szCs w:val="21"/>
                <w:highlight w:val="none"/>
              </w:rPr>
              <w:t>响应</w:t>
            </w:r>
            <w:r>
              <w:rPr>
                <w:rFonts w:hint="eastAsia"/>
                <w:highlight w:val="none"/>
              </w:rPr>
              <w:t>文件应答</w:t>
            </w:r>
          </w:p>
        </w:tc>
        <w:tc>
          <w:tcPr>
            <w:tcW w:w="1756" w:type="dxa"/>
            <w:vAlign w:val="center"/>
          </w:tcPr>
          <w:p w14:paraId="7B1FB5B7">
            <w:pPr>
              <w:adjustRightInd w:val="0"/>
              <w:snapToGrid w:val="0"/>
              <w:spacing w:before="50" w:line="360" w:lineRule="auto"/>
              <w:ind w:left="-88" w:leftChars="-42"/>
              <w:jc w:val="center"/>
              <w:rPr>
                <w:rFonts w:hint="eastAsia" w:ascii="宋体" w:hAnsi="宋体"/>
                <w:szCs w:val="21"/>
                <w:highlight w:val="none"/>
              </w:rPr>
            </w:pPr>
            <w:r>
              <w:rPr>
                <w:rFonts w:hint="eastAsia" w:ascii="宋体" w:hAnsi="宋体"/>
                <w:szCs w:val="21"/>
                <w:highlight w:val="none"/>
              </w:rPr>
              <w:t>偏离说明</w:t>
            </w:r>
          </w:p>
        </w:tc>
      </w:tr>
      <w:tr w14:paraId="2ABF98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89EA439">
            <w:pPr>
              <w:adjustRightInd w:val="0"/>
              <w:snapToGrid w:val="0"/>
              <w:spacing w:before="50" w:line="360" w:lineRule="auto"/>
              <w:ind w:left="-88" w:leftChars="-42"/>
              <w:jc w:val="center"/>
              <w:rPr>
                <w:rFonts w:hint="eastAsia" w:ascii="宋体" w:hAnsi="宋体"/>
                <w:szCs w:val="21"/>
                <w:highlight w:val="none"/>
              </w:rPr>
            </w:pPr>
          </w:p>
        </w:tc>
        <w:tc>
          <w:tcPr>
            <w:tcW w:w="2410" w:type="dxa"/>
            <w:vAlign w:val="center"/>
          </w:tcPr>
          <w:p w14:paraId="310A1741">
            <w:pPr>
              <w:adjustRightInd w:val="0"/>
              <w:snapToGrid w:val="0"/>
              <w:spacing w:before="50" w:line="360" w:lineRule="auto"/>
              <w:ind w:left="-88" w:leftChars="-42"/>
              <w:jc w:val="center"/>
              <w:rPr>
                <w:rFonts w:hint="eastAsia" w:ascii="宋体" w:hAnsi="宋体"/>
                <w:szCs w:val="21"/>
                <w:highlight w:val="none"/>
              </w:rPr>
            </w:pPr>
          </w:p>
        </w:tc>
        <w:tc>
          <w:tcPr>
            <w:tcW w:w="1985" w:type="dxa"/>
            <w:tcBorders>
              <w:right w:val="single" w:color="auto" w:sz="4" w:space="0"/>
            </w:tcBorders>
            <w:vAlign w:val="center"/>
          </w:tcPr>
          <w:p w14:paraId="34C1A335">
            <w:pPr>
              <w:adjustRightInd w:val="0"/>
              <w:snapToGrid w:val="0"/>
              <w:spacing w:before="50" w:line="360" w:lineRule="auto"/>
              <w:ind w:left="-88" w:leftChars="-42"/>
              <w:jc w:val="center"/>
              <w:rPr>
                <w:rFonts w:hint="eastAsia" w:ascii="宋体" w:hAnsi="宋体"/>
                <w:szCs w:val="21"/>
                <w:highlight w:val="none"/>
              </w:rPr>
            </w:pPr>
          </w:p>
        </w:tc>
        <w:tc>
          <w:tcPr>
            <w:tcW w:w="2126" w:type="dxa"/>
            <w:tcBorders>
              <w:left w:val="single" w:color="auto" w:sz="4" w:space="0"/>
            </w:tcBorders>
            <w:vAlign w:val="center"/>
          </w:tcPr>
          <w:p w14:paraId="76991ADE">
            <w:pPr>
              <w:adjustRightInd w:val="0"/>
              <w:snapToGrid w:val="0"/>
              <w:spacing w:before="50" w:line="360" w:lineRule="auto"/>
              <w:ind w:left="-88" w:leftChars="-42"/>
              <w:jc w:val="center"/>
              <w:rPr>
                <w:rFonts w:hint="eastAsia" w:ascii="宋体" w:hAnsi="宋体"/>
                <w:szCs w:val="21"/>
                <w:highlight w:val="none"/>
              </w:rPr>
            </w:pPr>
          </w:p>
        </w:tc>
        <w:tc>
          <w:tcPr>
            <w:tcW w:w="1756" w:type="dxa"/>
            <w:vAlign w:val="center"/>
          </w:tcPr>
          <w:p w14:paraId="1F9892E9">
            <w:pPr>
              <w:adjustRightInd w:val="0"/>
              <w:snapToGrid w:val="0"/>
              <w:spacing w:before="50" w:line="360" w:lineRule="auto"/>
              <w:ind w:left="-88" w:leftChars="-42"/>
              <w:jc w:val="center"/>
              <w:rPr>
                <w:rFonts w:hint="eastAsia" w:ascii="宋体" w:hAnsi="宋体"/>
                <w:szCs w:val="21"/>
                <w:highlight w:val="none"/>
              </w:rPr>
            </w:pPr>
          </w:p>
        </w:tc>
      </w:tr>
      <w:tr w14:paraId="635AB0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14E3670">
            <w:pPr>
              <w:adjustRightInd w:val="0"/>
              <w:snapToGrid w:val="0"/>
              <w:spacing w:before="50" w:line="360" w:lineRule="auto"/>
              <w:ind w:left="-88" w:leftChars="-42"/>
              <w:jc w:val="center"/>
              <w:rPr>
                <w:rFonts w:hint="eastAsia" w:ascii="宋体" w:hAnsi="宋体"/>
                <w:szCs w:val="21"/>
                <w:highlight w:val="none"/>
              </w:rPr>
            </w:pPr>
          </w:p>
        </w:tc>
        <w:tc>
          <w:tcPr>
            <w:tcW w:w="2410" w:type="dxa"/>
            <w:vAlign w:val="center"/>
          </w:tcPr>
          <w:p w14:paraId="2A49AC0B">
            <w:pPr>
              <w:adjustRightInd w:val="0"/>
              <w:snapToGrid w:val="0"/>
              <w:spacing w:before="50" w:line="360" w:lineRule="auto"/>
              <w:ind w:left="-88" w:leftChars="-42"/>
              <w:jc w:val="center"/>
              <w:rPr>
                <w:rFonts w:hint="eastAsia" w:ascii="宋体" w:hAnsi="宋体"/>
                <w:szCs w:val="21"/>
                <w:highlight w:val="none"/>
              </w:rPr>
            </w:pPr>
          </w:p>
        </w:tc>
        <w:tc>
          <w:tcPr>
            <w:tcW w:w="1985" w:type="dxa"/>
            <w:tcBorders>
              <w:right w:val="single" w:color="auto" w:sz="4" w:space="0"/>
            </w:tcBorders>
            <w:vAlign w:val="center"/>
          </w:tcPr>
          <w:p w14:paraId="427CC6F0">
            <w:pPr>
              <w:adjustRightInd w:val="0"/>
              <w:snapToGrid w:val="0"/>
              <w:spacing w:before="50" w:line="360" w:lineRule="auto"/>
              <w:ind w:left="-88" w:leftChars="-42"/>
              <w:jc w:val="center"/>
              <w:rPr>
                <w:rFonts w:hint="eastAsia" w:ascii="宋体" w:hAnsi="宋体"/>
                <w:szCs w:val="21"/>
                <w:highlight w:val="none"/>
              </w:rPr>
            </w:pPr>
          </w:p>
        </w:tc>
        <w:tc>
          <w:tcPr>
            <w:tcW w:w="2126" w:type="dxa"/>
            <w:tcBorders>
              <w:left w:val="single" w:color="auto" w:sz="4" w:space="0"/>
            </w:tcBorders>
            <w:vAlign w:val="center"/>
          </w:tcPr>
          <w:p w14:paraId="1612ED14">
            <w:pPr>
              <w:adjustRightInd w:val="0"/>
              <w:snapToGrid w:val="0"/>
              <w:spacing w:before="50" w:line="360" w:lineRule="auto"/>
              <w:ind w:left="-88" w:leftChars="-42"/>
              <w:jc w:val="center"/>
              <w:rPr>
                <w:rFonts w:hint="eastAsia" w:ascii="宋体" w:hAnsi="宋体"/>
                <w:szCs w:val="21"/>
                <w:highlight w:val="none"/>
              </w:rPr>
            </w:pPr>
          </w:p>
        </w:tc>
        <w:tc>
          <w:tcPr>
            <w:tcW w:w="1756" w:type="dxa"/>
            <w:vAlign w:val="center"/>
          </w:tcPr>
          <w:p w14:paraId="0B7449A6">
            <w:pPr>
              <w:adjustRightInd w:val="0"/>
              <w:snapToGrid w:val="0"/>
              <w:spacing w:before="50" w:line="360" w:lineRule="auto"/>
              <w:ind w:left="-88" w:leftChars="-42"/>
              <w:jc w:val="center"/>
              <w:rPr>
                <w:rFonts w:hint="eastAsia" w:ascii="宋体" w:hAnsi="宋体"/>
                <w:szCs w:val="21"/>
                <w:highlight w:val="none"/>
              </w:rPr>
            </w:pPr>
          </w:p>
        </w:tc>
      </w:tr>
      <w:tr w14:paraId="7A2993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DB94F02">
            <w:pPr>
              <w:adjustRightInd w:val="0"/>
              <w:snapToGrid w:val="0"/>
              <w:spacing w:before="50" w:line="360" w:lineRule="auto"/>
              <w:ind w:left="-88" w:leftChars="-42"/>
              <w:jc w:val="center"/>
              <w:rPr>
                <w:rFonts w:hint="eastAsia" w:ascii="宋体" w:hAnsi="宋体"/>
                <w:szCs w:val="21"/>
                <w:highlight w:val="none"/>
              </w:rPr>
            </w:pPr>
          </w:p>
        </w:tc>
        <w:tc>
          <w:tcPr>
            <w:tcW w:w="2410" w:type="dxa"/>
            <w:vAlign w:val="center"/>
          </w:tcPr>
          <w:p w14:paraId="41474176">
            <w:pPr>
              <w:adjustRightInd w:val="0"/>
              <w:snapToGrid w:val="0"/>
              <w:spacing w:before="50" w:line="360" w:lineRule="auto"/>
              <w:ind w:left="-88" w:leftChars="-42"/>
              <w:jc w:val="center"/>
              <w:rPr>
                <w:rFonts w:hint="eastAsia" w:ascii="宋体" w:hAnsi="宋体"/>
                <w:szCs w:val="21"/>
                <w:highlight w:val="none"/>
              </w:rPr>
            </w:pPr>
          </w:p>
        </w:tc>
        <w:tc>
          <w:tcPr>
            <w:tcW w:w="1985" w:type="dxa"/>
            <w:tcBorders>
              <w:right w:val="single" w:color="auto" w:sz="4" w:space="0"/>
            </w:tcBorders>
            <w:vAlign w:val="center"/>
          </w:tcPr>
          <w:p w14:paraId="04C83BBA">
            <w:pPr>
              <w:adjustRightInd w:val="0"/>
              <w:snapToGrid w:val="0"/>
              <w:spacing w:before="50" w:line="360" w:lineRule="auto"/>
              <w:ind w:left="-88" w:leftChars="-42"/>
              <w:jc w:val="center"/>
              <w:rPr>
                <w:rFonts w:hint="eastAsia" w:ascii="宋体" w:hAnsi="宋体"/>
                <w:szCs w:val="21"/>
                <w:highlight w:val="none"/>
              </w:rPr>
            </w:pPr>
          </w:p>
        </w:tc>
        <w:tc>
          <w:tcPr>
            <w:tcW w:w="2126" w:type="dxa"/>
            <w:tcBorders>
              <w:left w:val="single" w:color="auto" w:sz="4" w:space="0"/>
            </w:tcBorders>
            <w:vAlign w:val="center"/>
          </w:tcPr>
          <w:p w14:paraId="0E0E3CA1">
            <w:pPr>
              <w:adjustRightInd w:val="0"/>
              <w:snapToGrid w:val="0"/>
              <w:spacing w:before="50" w:line="360" w:lineRule="auto"/>
              <w:ind w:left="-88" w:leftChars="-42"/>
              <w:jc w:val="center"/>
              <w:rPr>
                <w:rFonts w:hint="eastAsia" w:ascii="宋体" w:hAnsi="宋体"/>
                <w:szCs w:val="21"/>
                <w:highlight w:val="none"/>
              </w:rPr>
            </w:pPr>
          </w:p>
        </w:tc>
        <w:tc>
          <w:tcPr>
            <w:tcW w:w="1756" w:type="dxa"/>
            <w:vAlign w:val="center"/>
          </w:tcPr>
          <w:p w14:paraId="6EDD01B1">
            <w:pPr>
              <w:adjustRightInd w:val="0"/>
              <w:snapToGrid w:val="0"/>
              <w:spacing w:before="50" w:line="360" w:lineRule="auto"/>
              <w:ind w:left="-88" w:leftChars="-42"/>
              <w:jc w:val="center"/>
              <w:rPr>
                <w:rFonts w:hint="eastAsia" w:ascii="宋体" w:hAnsi="宋体"/>
                <w:szCs w:val="21"/>
                <w:highlight w:val="none"/>
              </w:rPr>
            </w:pPr>
          </w:p>
        </w:tc>
      </w:tr>
      <w:tr w14:paraId="79F906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2BE12403">
            <w:pPr>
              <w:adjustRightInd w:val="0"/>
              <w:snapToGrid w:val="0"/>
              <w:spacing w:before="50" w:line="360" w:lineRule="auto"/>
              <w:ind w:left="-88" w:leftChars="-42"/>
              <w:jc w:val="center"/>
              <w:rPr>
                <w:rFonts w:hint="eastAsia" w:ascii="宋体" w:hAnsi="宋体"/>
                <w:szCs w:val="21"/>
                <w:highlight w:val="none"/>
              </w:rPr>
            </w:pPr>
          </w:p>
        </w:tc>
        <w:tc>
          <w:tcPr>
            <w:tcW w:w="2410" w:type="dxa"/>
            <w:vAlign w:val="center"/>
          </w:tcPr>
          <w:p w14:paraId="0915FF42">
            <w:pPr>
              <w:adjustRightInd w:val="0"/>
              <w:snapToGrid w:val="0"/>
              <w:spacing w:before="50" w:line="360" w:lineRule="auto"/>
              <w:ind w:left="-88" w:leftChars="-42"/>
              <w:jc w:val="center"/>
              <w:rPr>
                <w:rFonts w:hint="eastAsia" w:ascii="宋体" w:hAnsi="宋体"/>
                <w:szCs w:val="21"/>
                <w:highlight w:val="none"/>
              </w:rPr>
            </w:pPr>
          </w:p>
        </w:tc>
        <w:tc>
          <w:tcPr>
            <w:tcW w:w="1985" w:type="dxa"/>
            <w:tcBorders>
              <w:right w:val="single" w:color="auto" w:sz="4" w:space="0"/>
            </w:tcBorders>
            <w:vAlign w:val="center"/>
          </w:tcPr>
          <w:p w14:paraId="7282D2A1">
            <w:pPr>
              <w:adjustRightInd w:val="0"/>
              <w:snapToGrid w:val="0"/>
              <w:spacing w:before="50" w:line="360" w:lineRule="auto"/>
              <w:ind w:left="-88" w:leftChars="-42"/>
              <w:jc w:val="center"/>
              <w:rPr>
                <w:rFonts w:hint="eastAsia" w:ascii="宋体" w:hAnsi="宋体"/>
                <w:szCs w:val="21"/>
                <w:highlight w:val="none"/>
              </w:rPr>
            </w:pPr>
          </w:p>
        </w:tc>
        <w:tc>
          <w:tcPr>
            <w:tcW w:w="2126" w:type="dxa"/>
            <w:tcBorders>
              <w:left w:val="single" w:color="auto" w:sz="4" w:space="0"/>
            </w:tcBorders>
            <w:vAlign w:val="center"/>
          </w:tcPr>
          <w:p w14:paraId="46BC5708">
            <w:pPr>
              <w:adjustRightInd w:val="0"/>
              <w:snapToGrid w:val="0"/>
              <w:spacing w:before="50" w:line="360" w:lineRule="auto"/>
              <w:ind w:left="-88" w:leftChars="-42"/>
              <w:jc w:val="center"/>
              <w:rPr>
                <w:rFonts w:hint="eastAsia" w:ascii="宋体" w:hAnsi="宋体"/>
                <w:szCs w:val="21"/>
                <w:highlight w:val="none"/>
              </w:rPr>
            </w:pPr>
          </w:p>
        </w:tc>
        <w:tc>
          <w:tcPr>
            <w:tcW w:w="1756" w:type="dxa"/>
            <w:vAlign w:val="center"/>
          </w:tcPr>
          <w:p w14:paraId="359443E8">
            <w:pPr>
              <w:adjustRightInd w:val="0"/>
              <w:snapToGrid w:val="0"/>
              <w:spacing w:before="50" w:line="360" w:lineRule="auto"/>
              <w:ind w:left="-88" w:leftChars="-42"/>
              <w:jc w:val="center"/>
              <w:rPr>
                <w:rFonts w:hint="eastAsia" w:ascii="宋体" w:hAnsi="宋体"/>
                <w:szCs w:val="21"/>
                <w:highlight w:val="none"/>
              </w:rPr>
            </w:pPr>
          </w:p>
        </w:tc>
      </w:tr>
      <w:tr w14:paraId="31A5BF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69F604D">
            <w:pPr>
              <w:adjustRightInd w:val="0"/>
              <w:snapToGrid w:val="0"/>
              <w:spacing w:before="50" w:line="360" w:lineRule="auto"/>
              <w:ind w:left="-88" w:leftChars="-42"/>
              <w:jc w:val="center"/>
              <w:rPr>
                <w:rFonts w:hint="eastAsia" w:ascii="宋体" w:hAnsi="宋体"/>
                <w:szCs w:val="21"/>
                <w:highlight w:val="none"/>
              </w:rPr>
            </w:pPr>
          </w:p>
        </w:tc>
        <w:tc>
          <w:tcPr>
            <w:tcW w:w="2410" w:type="dxa"/>
            <w:vAlign w:val="center"/>
          </w:tcPr>
          <w:p w14:paraId="2BAB2CD9">
            <w:pPr>
              <w:adjustRightInd w:val="0"/>
              <w:snapToGrid w:val="0"/>
              <w:spacing w:before="50" w:line="360" w:lineRule="auto"/>
              <w:ind w:left="-88" w:leftChars="-42"/>
              <w:jc w:val="center"/>
              <w:rPr>
                <w:rFonts w:hint="eastAsia" w:ascii="宋体" w:hAnsi="宋体"/>
                <w:szCs w:val="21"/>
                <w:highlight w:val="none"/>
              </w:rPr>
            </w:pPr>
          </w:p>
        </w:tc>
        <w:tc>
          <w:tcPr>
            <w:tcW w:w="1985" w:type="dxa"/>
            <w:tcBorders>
              <w:right w:val="single" w:color="auto" w:sz="4" w:space="0"/>
            </w:tcBorders>
            <w:vAlign w:val="center"/>
          </w:tcPr>
          <w:p w14:paraId="1BAB219D">
            <w:pPr>
              <w:adjustRightInd w:val="0"/>
              <w:snapToGrid w:val="0"/>
              <w:spacing w:before="50" w:line="360" w:lineRule="auto"/>
              <w:ind w:left="-88" w:leftChars="-42"/>
              <w:jc w:val="center"/>
              <w:rPr>
                <w:rFonts w:hint="eastAsia" w:ascii="宋体" w:hAnsi="宋体"/>
                <w:szCs w:val="21"/>
                <w:highlight w:val="none"/>
              </w:rPr>
            </w:pPr>
          </w:p>
        </w:tc>
        <w:tc>
          <w:tcPr>
            <w:tcW w:w="2126" w:type="dxa"/>
            <w:tcBorders>
              <w:left w:val="single" w:color="auto" w:sz="4" w:space="0"/>
            </w:tcBorders>
            <w:vAlign w:val="center"/>
          </w:tcPr>
          <w:p w14:paraId="7396A9D8">
            <w:pPr>
              <w:adjustRightInd w:val="0"/>
              <w:snapToGrid w:val="0"/>
              <w:spacing w:before="50" w:line="360" w:lineRule="auto"/>
              <w:ind w:left="-88" w:leftChars="-42"/>
              <w:jc w:val="center"/>
              <w:rPr>
                <w:rFonts w:hint="eastAsia" w:ascii="宋体" w:hAnsi="宋体"/>
                <w:szCs w:val="21"/>
                <w:highlight w:val="none"/>
              </w:rPr>
            </w:pPr>
          </w:p>
        </w:tc>
        <w:tc>
          <w:tcPr>
            <w:tcW w:w="1756" w:type="dxa"/>
            <w:vAlign w:val="center"/>
          </w:tcPr>
          <w:p w14:paraId="3FA8C30E">
            <w:pPr>
              <w:adjustRightInd w:val="0"/>
              <w:snapToGrid w:val="0"/>
              <w:spacing w:before="50" w:line="360" w:lineRule="auto"/>
              <w:ind w:left="-88" w:leftChars="-42"/>
              <w:jc w:val="center"/>
              <w:rPr>
                <w:rFonts w:hint="eastAsia" w:ascii="宋体" w:hAnsi="宋体"/>
                <w:szCs w:val="21"/>
                <w:highlight w:val="none"/>
              </w:rPr>
            </w:pPr>
          </w:p>
        </w:tc>
      </w:tr>
      <w:tr w14:paraId="2B0F60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7CBCE07">
            <w:pPr>
              <w:adjustRightInd w:val="0"/>
              <w:snapToGrid w:val="0"/>
              <w:spacing w:before="50" w:line="360" w:lineRule="auto"/>
              <w:ind w:left="-88" w:leftChars="-42"/>
              <w:jc w:val="center"/>
              <w:rPr>
                <w:rFonts w:hint="eastAsia" w:ascii="宋体" w:hAnsi="宋体"/>
                <w:szCs w:val="21"/>
                <w:highlight w:val="none"/>
              </w:rPr>
            </w:pPr>
          </w:p>
        </w:tc>
        <w:tc>
          <w:tcPr>
            <w:tcW w:w="2410" w:type="dxa"/>
            <w:vAlign w:val="center"/>
          </w:tcPr>
          <w:p w14:paraId="6F645C52">
            <w:pPr>
              <w:adjustRightInd w:val="0"/>
              <w:snapToGrid w:val="0"/>
              <w:spacing w:before="50" w:line="360" w:lineRule="auto"/>
              <w:ind w:left="-88" w:leftChars="-42"/>
              <w:jc w:val="center"/>
              <w:rPr>
                <w:rFonts w:hint="eastAsia" w:ascii="宋体" w:hAnsi="宋体"/>
                <w:szCs w:val="21"/>
                <w:highlight w:val="none"/>
              </w:rPr>
            </w:pPr>
          </w:p>
        </w:tc>
        <w:tc>
          <w:tcPr>
            <w:tcW w:w="1985" w:type="dxa"/>
            <w:tcBorders>
              <w:right w:val="single" w:color="auto" w:sz="4" w:space="0"/>
            </w:tcBorders>
            <w:vAlign w:val="center"/>
          </w:tcPr>
          <w:p w14:paraId="6B980E08">
            <w:pPr>
              <w:adjustRightInd w:val="0"/>
              <w:snapToGrid w:val="0"/>
              <w:spacing w:before="50" w:line="360" w:lineRule="auto"/>
              <w:ind w:left="-88" w:leftChars="-42"/>
              <w:jc w:val="center"/>
              <w:rPr>
                <w:rFonts w:hint="eastAsia" w:ascii="宋体" w:hAnsi="宋体"/>
                <w:szCs w:val="21"/>
                <w:highlight w:val="none"/>
              </w:rPr>
            </w:pPr>
          </w:p>
        </w:tc>
        <w:tc>
          <w:tcPr>
            <w:tcW w:w="3882" w:type="dxa"/>
            <w:gridSpan w:val="2"/>
            <w:tcBorders>
              <w:left w:val="single" w:color="auto" w:sz="4" w:space="0"/>
            </w:tcBorders>
            <w:vAlign w:val="center"/>
          </w:tcPr>
          <w:p w14:paraId="2E2FFC2E">
            <w:pPr>
              <w:adjustRightInd w:val="0"/>
              <w:snapToGrid w:val="0"/>
              <w:spacing w:before="50" w:line="360" w:lineRule="auto"/>
              <w:ind w:firstLine="422" w:firstLineChars="200"/>
              <w:rPr>
                <w:rFonts w:hint="eastAsia" w:ascii="宋体" w:hAnsi="宋体"/>
                <w:szCs w:val="21"/>
                <w:highlight w:val="none"/>
              </w:rPr>
            </w:pPr>
            <w:r>
              <w:rPr>
                <w:rFonts w:hint="eastAsia" w:ascii="宋体" w:hAnsi="宋体"/>
                <w:b/>
                <w:szCs w:val="21"/>
                <w:highlight w:val="none"/>
              </w:rPr>
              <w:t>供应商保证：除本采购需求偏离表列出的偏离外，我单位对磋商文件的其他采购需求条款完全响应，无偏离。</w:t>
            </w:r>
          </w:p>
        </w:tc>
      </w:tr>
    </w:tbl>
    <w:p w14:paraId="3AABE263">
      <w:pPr>
        <w:adjustRightInd w:val="0"/>
        <w:snapToGrid w:val="0"/>
        <w:spacing w:before="50" w:line="360" w:lineRule="auto"/>
        <w:ind w:left="-88" w:leftChars="-42"/>
        <w:rPr>
          <w:rFonts w:hint="eastAsia" w:ascii="宋体" w:hAnsi="宋体"/>
          <w:szCs w:val="21"/>
          <w:highlight w:val="none"/>
        </w:rPr>
      </w:pPr>
      <w:r>
        <w:rPr>
          <w:rFonts w:hint="eastAsia" w:ascii="宋体" w:hAnsi="宋体"/>
          <w:b/>
          <w:szCs w:val="21"/>
          <w:highlight w:val="none"/>
        </w:rPr>
        <w:t>注</w:t>
      </w:r>
      <w:r>
        <w:rPr>
          <w:rFonts w:hint="eastAsia" w:ascii="宋体" w:hAnsi="宋体"/>
          <w:szCs w:val="21"/>
          <w:highlight w:val="none"/>
        </w:rPr>
        <w:t>：（1）供应商应根据磋商文件第四章“采购需求”填写本表；</w:t>
      </w:r>
    </w:p>
    <w:p w14:paraId="1F7AF3B8">
      <w:pPr>
        <w:adjustRightInd w:val="0"/>
        <w:snapToGrid w:val="0"/>
        <w:spacing w:before="50" w:line="360" w:lineRule="auto"/>
        <w:ind w:left="-88" w:leftChars="-42" w:firstLine="420" w:firstLineChars="200"/>
        <w:rPr>
          <w:rFonts w:hint="eastAsia" w:ascii="宋体" w:hAnsi="宋体"/>
          <w:b/>
          <w:szCs w:val="21"/>
          <w:highlight w:val="none"/>
        </w:rPr>
      </w:pPr>
      <w:r>
        <w:rPr>
          <w:rFonts w:hint="eastAsia" w:ascii="宋体" w:hAnsi="宋体"/>
          <w:szCs w:val="21"/>
          <w:highlight w:val="none"/>
        </w:rPr>
        <w:t>（2）</w:t>
      </w:r>
      <w:r>
        <w:rPr>
          <w:rFonts w:hint="eastAsia" w:ascii="宋体" w:hAnsi="宋体"/>
          <w:b/>
          <w:szCs w:val="21"/>
          <w:highlight w:val="none"/>
        </w:rPr>
        <w:t>供应商如果对磋商文件第四章“采购需求”的响应有偏离，应将偏离条款逐条如实应答，并作出说明；</w:t>
      </w:r>
    </w:p>
    <w:p w14:paraId="4B1A747F">
      <w:pPr>
        <w:adjustRightInd w:val="0"/>
        <w:snapToGrid w:val="0"/>
        <w:spacing w:before="50" w:line="360" w:lineRule="auto"/>
        <w:ind w:left="-88" w:leftChars="-42" w:firstLine="420" w:firstLineChars="200"/>
        <w:rPr>
          <w:rFonts w:hint="eastAsia" w:ascii="宋体" w:hAnsi="宋体"/>
          <w:szCs w:val="21"/>
          <w:highlight w:val="none"/>
        </w:rPr>
      </w:pPr>
      <w:r>
        <w:rPr>
          <w:rFonts w:hint="eastAsia" w:ascii="宋体" w:hAnsi="宋体"/>
          <w:szCs w:val="21"/>
          <w:highlight w:val="none"/>
        </w:rPr>
        <w:t>（3）如不提供此表，则视为供应商不满足磋商文件第四章的所有条款要求，其</w:t>
      </w:r>
      <w:r>
        <w:rPr>
          <w:rFonts w:hint="eastAsia" w:ascii="宋体" w:hAnsi="宋体"/>
          <w:b/>
          <w:szCs w:val="21"/>
          <w:highlight w:val="none"/>
        </w:rPr>
        <w:t>响应无效</w:t>
      </w:r>
      <w:r>
        <w:rPr>
          <w:rFonts w:hint="eastAsia" w:ascii="宋体" w:hAnsi="宋体"/>
          <w:szCs w:val="21"/>
          <w:highlight w:val="none"/>
        </w:rPr>
        <w:t>。</w:t>
      </w:r>
    </w:p>
    <w:p w14:paraId="6763E251">
      <w:pPr>
        <w:adjustRightInd w:val="0"/>
        <w:snapToGrid w:val="0"/>
        <w:spacing w:before="50" w:line="360" w:lineRule="auto"/>
        <w:rPr>
          <w:rFonts w:hint="eastAsia" w:ascii="宋体" w:hAnsi="宋体"/>
          <w:szCs w:val="21"/>
          <w:highlight w:val="none"/>
        </w:rPr>
      </w:pPr>
    </w:p>
    <w:p w14:paraId="0C5C6A7E">
      <w:pPr>
        <w:adjustRightInd w:val="0"/>
        <w:snapToGrid w:val="0"/>
        <w:spacing w:before="50" w:line="360" w:lineRule="auto"/>
        <w:rPr>
          <w:rFonts w:hint="eastAsia" w:ascii="宋体" w:hAnsi="宋体"/>
          <w:szCs w:val="21"/>
          <w:highlight w:val="none"/>
        </w:rPr>
      </w:pPr>
    </w:p>
    <w:p w14:paraId="7835CF1C">
      <w:pPr>
        <w:adjustRightInd w:val="0"/>
        <w:snapToGrid w:val="0"/>
        <w:spacing w:before="50" w:line="360" w:lineRule="auto"/>
        <w:rPr>
          <w:rFonts w:hint="eastAsia" w:ascii="宋体" w:hAnsi="宋体"/>
          <w:szCs w:val="21"/>
          <w:highlight w:val="none"/>
        </w:rPr>
      </w:pPr>
    </w:p>
    <w:p w14:paraId="032102F9">
      <w:pPr>
        <w:adjustRightInd w:val="0"/>
        <w:snapToGrid w:val="0"/>
        <w:spacing w:before="50" w:line="360" w:lineRule="auto"/>
        <w:rPr>
          <w:rFonts w:hint="eastAsia" w:ascii="宋体" w:hAnsi="宋体"/>
          <w:szCs w:val="21"/>
          <w:highlight w:val="none"/>
        </w:rPr>
      </w:pPr>
      <w:r>
        <w:rPr>
          <w:rFonts w:hint="eastAsia" w:ascii="宋体" w:hAnsi="宋体"/>
          <w:szCs w:val="21"/>
          <w:highlight w:val="none"/>
        </w:rPr>
        <w:t>供应商名称（盖单位公章）：</w:t>
      </w:r>
      <w:r>
        <w:rPr>
          <w:rFonts w:hint="eastAsia" w:ascii="宋体" w:hAnsi="宋体"/>
          <w:szCs w:val="21"/>
          <w:highlight w:val="none"/>
          <w:u w:val="single"/>
        </w:rPr>
        <w:t xml:space="preserve">                   </w:t>
      </w:r>
    </w:p>
    <w:p w14:paraId="4ACB5284">
      <w:pPr>
        <w:adjustRightInd w:val="0"/>
        <w:snapToGrid w:val="0"/>
        <w:spacing w:before="50" w:line="360" w:lineRule="auto"/>
        <w:rPr>
          <w:rFonts w:hint="eastAsia"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或者其授权的代理人（签字或者印章）：</w:t>
      </w:r>
      <w:r>
        <w:rPr>
          <w:rFonts w:hint="eastAsia" w:ascii="宋体" w:hAnsi="宋体"/>
          <w:szCs w:val="21"/>
          <w:highlight w:val="none"/>
          <w:u w:val="single"/>
        </w:rPr>
        <w:t xml:space="preserve">                   </w:t>
      </w:r>
    </w:p>
    <w:p w14:paraId="4C0FBD84">
      <w:pPr>
        <w:adjustRightInd w:val="0"/>
        <w:snapToGrid w:val="0"/>
        <w:spacing w:before="50" w:line="360" w:lineRule="auto"/>
        <w:rPr>
          <w:highlight w:val="none"/>
        </w:rPr>
      </w:pPr>
      <w:r>
        <w:rPr>
          <w:rFonts w:hint="eastAsia" w:ascii="宋体" w:hAnsi="宋体"/>
          <w:szCs w:val="21"/>
          <w:highlight w:val="none"/>
        </w:rPr>
        <w:t>日      期：    年  月  日</w:t>
      </w:r>
    </w:p>
    <w:p w14:paraId="44DCDCAC">
      <w:pPr>
        <w:pStyle w:val="8"/>
        <w:jc w:val="center"/>
        <w:rPr>
          <w:rFonts w:hint="eastAsia" w:ascii="黑体" w:hAnsi="黑体" w:eastAsia="黑体"/>
          <w:sz w:val="28"/>
          <w:szCs w:val="28"/>
          <w:highlight w:val="none"/>
        </w:rPr>
      </w:pPr>
      <w:r>
        <w:rPr>
          <w:highlight w:val="none"/>
        </w:rPr>
        <w:br w:type="page"/>
      </w:r>
      <w:bookmarkStart w:id="496" w:name="_Toc22201161"/>
      <w:bookmarkStart w:id="497" w:name="_Toc22850"/>
      <w:bookmarkStart w:id="498" w:name="_Toc4285"/>
      <w:bookmarkStart w:id="499" w:name="_Toc2876"/>
      <w:bookmarkStart w:id="500" w:name="_Toc3432"/>
      <w:r>
        <w:rPr>
          <w:rFonts w:hint="eastAsia" w:ascii="黑体" w:hAnsi="黑体" w:eastAsia="黑体"/>
          <w:sz w:val="28"/>
          <w:szCs w:val="28"/>
          <w:highlight w:val="none"/>
        </w:rPr>
        <w:t>九、享受政府采购政策的证明资料</w:t>
      </w:r>
      <w:bookmarkEnd w:id="496"/>
      <w:bookmarkEnd w:id="497"/>
      <w:bookmarkEnd w:id="498"/>
      <w:bookmarkEnd w:id="499"/>
      <w:bookmarkEnd w:id="500"/>
    </w:p>
    <w:p w14:paraId="28D313E1">
      <w:pPr>
        <w:adjustRightInd w:val="0"/>
        <w:snapToGrid w:val="0"/>
        <w:spacing w:line="360" w:lineRule="auto"/>
        <w:rPr>
          <w:rFonts w:hint="eastAsia" w:ascii="黑体" w:hAnsi="华文中宋" w:eastAsia="黑体" w:cs="宋体"/>
          <w:bCs/>
          <w:spacing w:val="6"/>
          <w:kern w:val="0"/>
          <w:szCs w:val="21"/>
          <w:highlight w:val="none"/>
        </w:rPr>
      </w:pPr>
    </w:p>
    <w:p w14:paraId="5B178840">
      <w:pPr>
        <w:adjustRightInd w:val="0"/>
        <w:snapToGrid w:val="0"/>
        <w:spacing w:line="360" w:lineRule="auto"/>
        <w:ind w:firstLine="444" w:firstLineChars="200"/>
        <w:rPr>
          <w:rFonts w:hint="eastAsia" w:ascii="宋体" w:hAnsi="宋体" w:cs="宋体"/>
          <w:bCs/>
          <w:spacing w:val="6"/>
          <w:kern w:val="0"/>
          <w:szCs w:val="21"/>
          <w:highlight w:val="none"/>
        </w:rPr>
      </w:pPr>
      <w:r>
        <w:rPr>
          <w:rFonts w:hint="eastAsia" w:ascii="宋体" w:hAnsi="宋体" w:cs="宋体"/>
          <w:bCs/>
          <w:spacing w:val="6"/>
          <w:kern w:val="0"/>
          <w:szCs w:val="21"/>
          <w:highlight w:val="none"/>
        </w:rPr>
        <w:t>供应商符合第二章第37、38、39、40条要求的，应提供下列证明资料，并填写相关数据。</w:t>
      </w:r>
    </w:p>
    <w:p w14:paraId="17062DA9">
      <w:pPr>
        <w:adjustRightInd w:val="0"/>
        <w:snapToGrid w:val="0"/>
        <w:spacing w:line="360" w:lineRule="auto"/>
        <w:rPr>
          <w:rFonts w:hint="eastAsia" w:ascii="黑体" w:hAnsi="华文中宋" w:eastAsia="黑体" w:cs="宋体"/>
          <w:bCs/>
          <w:spacing w:val="6"/>
          <w:kern w:val="0"/>
          <w:szCs w:val="21"/>
          <w:highlight w:val="none"/>
        </w:rPr>
      </w:pPr>
    </w:p>
    <w:p w14:paraId="6CBDB28A">
      <w:pPr>
        <w:pStyle w:val="9"/>
        <w:adjustRightInd w:val="0"/>
        <w:snapToGrid w:val="0"/>
        <w:spacing w:before="0" w:after="0" w:line="360" w:lineRule="auto"/>
        <w:rPr>
          <w:rFonts w:hint="eastAsia" w:ascii="宋体" w:hAnsi="宋体"/>
          <w:sz w:val="21"/>
          <w:szCs w:val="21"/>
          <w:highlight w:val="none"/>
        </w:rPr>
      </w:pPr>
      <w:bookmarkStart w:id="501" w:name="_Toc25259"/>
      <w:bookmarkStart w:id="502" w:name="_Toc11730"/>
      <w:bookmarkStart w:id="503" w:name="_Toc22146"/>
      <w:bookmarkStart w:id="504" w:name="_Toc20513"/>
      <w:r>
        <w:rPr>
          <w:rFonts w:hint="eastAsia" w:ascii="宋体" w:hAnsi="宋体"/>
          <w:sz w:val="21"/>
          <w:szCs w:val="21"/>
          <w:highlight w:val="none"/>
        </w:rPr>
        <w:t>附件9-1中小企业声明函(服务)</w:t>
      </w:r>
      <w:bookmarkEnd w:id="501"/>
      <w:bookmarkEnd w:id="502"/>
      <w:bookmarkEnd w:id="503"/>
      <w:bookmarkEnd w:id="504"/>
    </w:p>
    <w:p w14:paraId="127AADEC">
      <w:pPr>
        <w:widowControl/>
        <w:adjustRightInd w:val="0"/>
        <w:snapToGrid w:val="0"/>
        <w:spacing w:line="360" w:lineRule="auto"/>
        <w:jc w:val="center"/>
        <w:rPr>
          <w:rFonts w:hint="eastAsia" w:ascii="宋体" w:hAnsi="宋体" w:cs="宋体"/>
          <w:b/>
          <w:kern w:val="0"/>
          <w:sz w:val="30"/>
          <w:szCs w:val="30"/>
          <w:highlight w:val="none"/>
        </w:rPr>
      </w:pPr>
      <w:r>
        <w:rPr>
          <w:rFonts w:hint="eastAsia" w:ascii="宋体" w:hAnsi="宋体" w:cs="宋体"/>
          <w:b/>
          <w:kern w:val="0"/>
          <w:sz w:val="30"/>
          <w:szCs w:val="30"/>
          <w:highlight w:val="none"/>
        </w:rPr>
        <w:t>中小企业声明函(服务)</w:t>
      </w:r>
    </w:p>
    <w:p w14:paraId="1541265D">
      <w:pPr>
        <w:adjustRightInd w:val="0"/>
        <w:snapToGrid w:val="0"/>
        <w:spacing w:line="360" w:lineRule="auto"/>
        <w:jc w:val="center"/>
        <w:rPr>
          <w:rFonts w:hint="eastAsia" w:ascii="宋体" w:hAnsi="宋体"/>
          <w:b/>
          <w:spacing w:val="6"/>
          <w:szCs w:val="21"/>
          <w:highlight w:val="none"/>
        </w:rPr>
      </w:pPr>
      <w:r>
        <w:rPr>
          <w:rFonts w:hint="eastAsia" w:ascii="宋体" w:hAnsi="宋体"/>
          <w:b/>
          <w:spacing w:val="6"/>
          <w:szCs w:val="21"/>
          <w:highlight w:val="none"/>
        </w:rPr>
        <w:t>(不符合政策要求的无需提供)</w:t>
      </w:r>
    </w:p>
    <w:p w14:paraId="1E4903E0">
      <w:pPr>
        <w:widowControl/>
        <w:adjustRightInd w:val="0"/>
        <w:snapToGrid w:val="0"/>
        <w:spacing w:line="360" w:lineRule="auto"/>
        <w:ind w:firstLine="420" w:firstLineChars="200"/>
        <w:jc w:val="left"/>
        <w:rPr>
          <w:rFonts w:hint="eastAsia" w:ascii="宋体" w:hAnsi="宋体" w:cs="宋体"/>
          <w:kern w:val="0"/>
          <w:szCs w:val="21"/>
          <w:highlight w:val="none"/>
        </w:rPr>
      </w:pPr>
    </w:p>
    <w:p w14:paraId="707E5169">
      <w:pPr>
        <w:widowControl/>
        <w:adjustRightInd w:val="0"/>
        <w:snapToGrid w:val="0"/>
        <w:spacing w:line="360" w:lineRule="auto"/>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本公司(联合体)郑重声明，根据《政府采购促进中小企业发展管理办法》(财库[2020]46号)的规定，本公司(联合体)参加</w:t>
      </w:r>
      <w:r>
        <w:rPr>
          <w:rFonts w:hint="eastAsia" w:ascii="宋体" w:hAnsi="宋体" w:cs="宋体"/>
          <w:kern w:val="0"/>
          <w:szCs w:val="21"/>
          <w:highlight w:val="none"/>
          <w:u w:val="single"/>
        </w:rPr>
        <w:t>(单位名称)</w:t>
      </w:r>
      <w:r>
        <w:rPr>
          <w:rFonts w:hint="eastAsia" w:ascii="宋体" w:hAnsi="宋体" w:cs="宋体"/>
          <w:kern w:val="0"/>
          <w:szCs w:val="21"/>
          <w:highlight w:val="none"/>
        </w:rPr>
        <w:t>的</w:t>
      </w:r>
      <w:r>
        <w:rPr>
          <w:rFonts w:hint="eastAsia" w:ascii="宋体" w:hAnsi="宋体" w:cs="宋体"/>
          <w:kern w:val="0"/>
          <w:szCs w:val="21"/>
          <w:highlight w:val="none"/>
          <w:u w:val="single"/>
        </w:rPr>
        <w:t xml:space="preserve">  (项目名称)</w:t>
      </w:r>
      <w:r>
        <w:rPr>
          <w:rFonts w:hint="eastAsia" w:ascii="宋体" w:hAnsi="宋体" w:cs="宋体"/>
          <w:kern w:val="0"/>
          <w:szCs w:val="21"/>
          <w:highlight w:val="none"/>
        </w:rPr>
        <w:t>采购活动，工程的承接单位全部为符合政策要求的中小企业(或者：服务全部由符合政策要求的中小企业承接)。相关企业(含联合体中的中小企业、签订分包意向协议的中小企业)的具体情况如下:</w:t>
      </w:r>
    </w:p>
    <w:p w14:paraId="4162BE32">
      <w:pPr>
        <w:widowControl/>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1、</w:t>
      </w:r>
      <w:r>
        <w:rPr>
          <w:rFonts w:hint="eastAsia" w:ascii="宋体" w:hAnsi="宋体"/>
          <w:highlight w:val="none"/>
          <w:u w:val="single"/>
        </w:rPr>
        <w:t xml:space="preserve">   ( 标的名称)</w:t>
      </w:r>
      <w:r>
        <w:rPr>
          <w:rFonts w:hint="eastAsia" w:ascii="宋体" w:hAnsi="宋体"/>
          <w:highlight w:val="none"/>
        </w:rPr>
        <w:t>，属于</w:t>
      </w:r>
      <w:r>
        <w:rPr>
          <w:rFonts w:hint="eastAsia" w:ascii="宋体" w:hAnsi="宋体"/>
          <w:highlight w:val="none"/>
          <w:u w:val="single"/>
        </w:rPr>
        <w:t xml:space="preserve">   (采购文件中明确的所属行业)</w:t>
      </w:r>
      <w:r>
        <w:rPr>
          <w:rFonts w:hint="eastAsia" w:ascii="宋体" w:hAnsi="宋体"/>
          <w:highlight w:val="none"/>
        </w:rPr>
        <w:t xml:space="preserve"> 行业：承建(承接)为</w:t>
      </w:r>
      <w:r>
        <w:rPr>
          <w:rFonts w:hint="eastAsia" w:ascii="宋体" w:hAnsi="宋体"/>
          <w:highlight w:val="none"/>
          <w:u w:val="single"/>
        </w:rPr>
        <w:t xml:space="preserve"> (企业名称)</w:t>
      </w:r>
      <w:r>
        <w:rPr>
          <w:rFonts w:hint="eastAsia" w:ascii="宋体" w:hAnsi="宋体"/>
          <w:highlight w:val="none"/>
        </w:rPr>
        <w:t>，从业人员人，营业收入为万元，资产总额为万元，属于</w:t>
      </w:r>
      <w:r>
        <w:rPr>
          <w:rFonts w:hint="eastAsia" w:ascii="宋体" w:hAnsi="宋体"/>
          <w:highlight w:val="none"/>
          <w:u w:val="single"/>
        </w:rPr>
        <w:t xml:space="preserve">   (中型企业、小型企业，微型企业)</w:t>
      </w:r>
      <w:r>
        <w:rPr>
          <w:rFonts w:hint="eastAsia" w:ascii="宋体" w:hAnsi="宋体"/>
          <w:highlight w:val="none"/>
        </w:rPr>
        <w:t xml:space="preserve"> 。</w:t>
      </w:r>
    </w:p>
    <w:p w14:paraId="5204FD5D">
      <w:pPr>
        <w:widowControl/>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2、</w:t>
      </w:r>
      <w:r>
        <w:rPr>
          <w:rFonts w:hint="eastAsia" w:ascii="宋体" w:hAnsi="宋体"/>
          <w:highlight w:val="none"/>
          <w:u w:val="single"/>
        </w:rPr>
        <w:t xml:space="preserve">   ( 标的名称)</w:t>
      </w:r>
      <w:r>
        <w:rPr>
          <w:rFonts w:hint="eastAsia" w:ascii="宋体" w:hAnsi="宋体"/>
          <w:highlight w:val="none"/>
        </w:rPr>
        <w:t>，属于</w:t>
      </w:r>
      <w:r>
        <w:rPr>
          <w:rFonts w:hint="eastAsia" w:ascii="宋体" w:hAnsi="宋体"/>
          <w:highlight w:val="none"/>
          <w:u w:val="single"/>
        </w:rPr>
        <w:t xml:space="preserve">   (采购文件中明确的所属行业)</w:t>
      </w:r>
      <w:r>
        <w:rPr>
          <w:rFonts w:hint="eastAsia" w:ascii="宋体" w:hAnsi="宋体"/>
          <w:highlight w:val="none"/>
        </w:rPr>
        <w:t xml:space="preserve"> 行业：承建(承接)为</w:t>
      </w:r>
      <w:r>
        <w:rPr>
          <w:rFonts w:hint="eastAsia" w:ascii="宋体" w:hAnsi="宋体"/>
          <w:highlight w:val="none"/>
          <w:u w:val="single"/>
        </w:rPr>
        <w:t xml:space="preserve"> (企业名称)</w:t>
      </w:r>
      <w:r>
        <w:rPr>
          <w:rFonts w:hint="eastAsia" w:ascii="宋体" w:hAnsi="宋体"/>
          <w:highlight w:val="none"/>
        </w:rPr>
        <w:t>，从业人员人，营业收入为万元，资产总额为万元，属于</w:t>
      </w:r>
      <w:r>
        <w:rPr>
          <w:rFonts w:hint="eastAsia" w:ascii="宋体" w:hAnsi="宋体"/>
          <w:highlight w:val="none"/>
          <w:u w:val="single"/>
        </w:rPr>
        <w:t xml:space="preserve">   (中型企业、小型企业，微型企业)</w:t>
      </w:r>
      <w:r>
        <w:rPr>
          <w:rFonts w:hint="eastAsia" w:ascii="宋体" w:hAnsi="宋体"/>
          <w:highlight w:val="none"/>
        </w:rPr>
        <w:t xml:space="preserve"> 。</w:t>
      </w:r>
    </w:p>
    <w:p w14:paraId="21A0090B">
      <w:pPr>
        <w:widowControl/>
        <w:adjustRightInd w:val="0"/>
        <w:snapToGrid w:val="0"/>
        <w:spacing w:line="360" w:lineRule="auto"/>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以上企业，不属于大企业的分支机构，不存在控股股东为大企业的情形，也不存在与大企业的负责人为同一人的情形。</w:t>
      </w:r>
    </w:p>
    <w:p w14:paraId="6D3AE43E">
      <w:pPr>
        <w:widowControl/>
        <w:adjustRightInd w:val="0"/>
        <w:snapToGrid w:val="0"/>
        <w:spacing w:line="360" w:lineRule="auto"/>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本企业对上述声明内容的真实性负责。如有虚假，将法承担相应责任。</w:t>
      </w:r>
    </w:p>
    <w:p w14:paraId="7AE6582F">
      <w:pPr>
        <w:widowControl/>
        <w:adjustRightInd w:val="0"/>
        <w:snapToGrid w:val="0"/>
        <w:spacing w:line="360" w:lineRule="auto"/>
        <w:ind w:firstLine="420" w:firstLineChars="200"/>
        <w:jc w:val="left"/>
        <w:rPr>
          <w:rFonts w:hint="eastAsia" w:ascii="宋体" w:hAnsi="宋体" w:cs="宋体"/>
          <w:kern w:val="0"/>
          <w:szCs w:val="21"/>
          <w:highlight w:val="none"/>
        </w:rPr>
      </w:pPr>
    </w:p>
    <w:p w14:paraId="76710715">
      <w:pPr>
        <w:widowControl/>
        <w:adjustRightInd w:val="0"/>
        <w:snapToGrid w:val="0"/>
        <w:spacing w:line="360" w:lineRule="auto"/>
        <w:ind w:firstLine="4830" w:firstLineChars="2300"/>
        <w:jc w:val="left"/>
        <w:rPr>
          <w:rFonts w:hint="eastAsia" w:ascii="宋体" w:hAnsi="宋体" w:cs="宋体"/>
          <w:kern w:val="0"/>
          <w:szCs w:val="21"/>
          <w:highlight w:val="none"/>
        </w:rPr>
      </w:pPr>
      <w:r>
        <w:rPr>
          <w:rFonts w:hint="eastAsia" w:ascii="宋体" w:hAnsi="宋体" w:cs="宋体"/>
          <w:kern w:val="0"/>
          <w:szCs w:val="21"/>
          <w:highlight w:val="none"/>
        </w:rPr>
        <w:t>企业名称(盖章：</w:t>
      </w:r>
    </w:p>
    <w:p w14:paraId="013900CD">
      <w:pPr>
        <w:widowControl/>
        <w:adjustRightInd w:val="0"/>
        <w:snapToGrid w:val="0"/>
        <w:spacing w:line="360" w:lineRule="auto"/>
        <w:ind w:firstLine="4830" w:firstLineChars="2300"/>
        <w:jc w:val="left"/>
        <w:rPr>
          <w:rFonts w:hint="eastAsia" w:ascii="宋体" w:hAnsi="宋体" w:cs="宋体"/>
          <w:kern w:val="0"/>
          <w:szCs w:val="21"/>
          <w:highlight w:val="none"/>
        </w:rPr>
      </w:pPr>
      <w:r>
        <w:rPr>
          <w:rFonts w:hint="eastAsia" w:ascii="宋体" w:hAnsi="宋体" w:cs="宋体"/>
          <w:kern w:val="0"/>
          <w:szCs w:val="21"/>
          <w:highlight w:val="none"/>
        </w:rPr>
        <w:t>日期：</w:t>
      </w:r>
    </w:p>
    <w:p w14:paraId="14AD0359">
      <w:pPr>
        <w:adjustRightInd w:val="0"/>
        <w:snapToGrid w:val="0"/>
        <w:spacing w:line="360" w:lineRule="auto"/>
        <w:rPr>
          <w:rFonts w:hint="eastAsia" w:ascii="宋体" w:hAnsi="宋体"/>
          <w:highlight w:val="none"/>
          <w:vertAlign w:val="superscript"/>
        </w:rPr>
      </w:pPr>
    </w:p>
    <w:p w14:paraId="0B89EEF6">
      <w:pPr>
        <w:adjustRightInd w:val="0"/>
        <w:snapToGrid w:val="0"/>
        <w:spacing w:line="360" w:lineRule="auto"/>
        <w:rPr>
          <w:rFonts w:hint="eastAsia" w:ascii="宋体" w:hAnsi="宋体"/>
          <w:highlight w:val="none"/>
        </w:rPr>
      </w:pPr>
      <w:r>
        <w:rPr>
          <w:rFonts w:hint="eastAsia" w:ascii="宋体" w:hAnsi="宋体"/>
          <w:highlight w:val="none"/>
        </w:rPr>
        <w:t>注：1、从业人员、营业收入、资产总额填报上一年度数据，无上一年度数据的新成立企业可不填写。</w:t>
      </w:r>
    </w:p>
    <w:p w14:paraId="21A47DEE">
      <w:pPr>
        <w:widowControl/>
        <w:adjustRightInd w:val="0"/>
        <w:snapToGrid w:val="0"/>
        <w:spacing w:line="360" w:lineRule="auto"/>
        <w:ind w:firstLine="420" w:firstLineChars="200"/>
        <w:jc w:val="left"/>
        <w:rPr>
          <w:rFonts w:hint="eastAsia" w:ascii="宋体" w:hAnsi="宋体" w:cs="宋体"/>
          <w:kern w:val="0"/>
          <w:szCs w:val="21"/>
          <w:highlight w:val="none"/>
        </w:rPr>
      </w:pPr>
      <w:r>
        <w:rPr>
          <w:rFonts w:hint="eastAsia" w:ascii="宋体" w:hAnsi="宋体"/>
          <w:highlight w:val="none"/>
        </w:rPr>
        <w:t>2、“采购文件中明确的所属行业”见磋商文件第二章第42.1款第(3)项。</w:t>
      </w:r>
    </w:p>
    <w:p w14:paraId="5197E343">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3、供应商以联合体形式参加采购活动，或者采购项目分包的，还应提供联合体协议，或者分包意向协议。</w:t>
      </w:r>
    </w:p>
    <w:p w14:paraId="0614EE8C">
      <w:pPr>
        <w:keepNext/>
        <w:keepLines/>
        <w:spacing w:before="156" w:line="360" w:lineRule="auto"/>
        <w:jc w:val="left"/>
        <w:rPr>
          <w:rFonts w:hint="eastAsia" w:ascii="黑体" w:hAnsi="黑体" w:eastAsia="黑体" w:cs="黑体"/>
          <w:highlight w:val="none"/>
        </w:rPr>
      </w:pPr>
      <w:r>
        <w:rPr>
          <w:rFonts w:ascii="黑体" w:hAnsi="黑体" w:eastAsia="黑体" w:cs="黑体"/>
          <w:spacing w:val="6"/>
          <w:highlight w:val="none"/>
        </w:rPr>
        <w:br w:type="page"/>
      </w:r>
      <w:r>
        <w:rPr>
          <w:rFonts w:ascii="黑体" w:hAnsi="黑体" w:eastAsia="黑体" w:cs="黑体"/>
          <w:spacing w:val="6"/>
          <w:highlight w:val="none"/>
        </w:rPr>
        <w:t>附页 1</w:t>
      </w:r>
      <w:r>
        <w:rPr>
          <w:rFonts w:ascii="黑体" w:hAnsi="黑体" w:eastAsia="黑体" w:cs="黑体"/>
          <w:highlight w:val="none"/>
        </w:rPr>
        <w:t>价格评审优惠货物清单</w:t>
      </w:r>
    </w:p>
    <w:p w14:paraId="2921DAAF">
      <w:pPr>
        <w:spacing w:before="50" w:line="360" w:lineRule="auto"/>
        <w:jc w:val="center"/>
        <w:rPr>
          <w:rFonts w:hint="eastAsia" w:ascii="宋体" w:hAnsi="宋体" w:cs="宋体"/>
          <w:highlight w:val="none"/>
        </w:rPr>
      </w:pPr>
      <w:r>
        <w:rPr>
          <w:rFonts w:ascii="黑体" w:hAnsi="黑体" w:eastAsia="黑体" w:cs="黑体"/>
          <w:b/>
          <w:sz w:val="28"/>
          <w:highlight w:val="none"/>
        </w:rPr>
        <w:t>价格评审优惠货物清单</w:t>
      </w:r>
    </w:p>
    <w:p w14:paraId="3BD53CC5">
      <w:pPr>
        <w:spacing w:before="50" w:line="360" w:lineRule="auto"/>
        <w:rPr>
          <w:rFonts w:hint="eastAsia" w:ascii="宋体" w:hAnsi="宋体" w:cs="宋体"/>
          <w:highlight w:val="none"/>
        </w:rPr>
      </w:pPr>
      <w:r>
        <w:rPr>
          <w:rFonts w:hint="eastAsia" w:ascii="宋体" w:hAnsi="宋体" w:cs="宋体"/>
          <w:highlight w:val="none"/>
        </w:rPr>
        <w:t>政府采购</w:t>
      </w:r>
      <w:r>
        <w:rPr>
          <w:rFonts w:ascii="宋体" w:hAnsi="宋体" w:cs="宋体"/>
          <w:highlight w:val="none"/>
        </w:rPr>
        <w:t>编号：</w:t>
      </w:r>
      <w:r>
        <w:rPr>
          <w:rFonts w:ascii="宋体" w:hAnsi="宋体" w:cs="宋体"/>
          <w:highlight w:val="none"/>
          <w:u w:val="single"/>
        </w:rPr>
        <w:t>__    ________</w:t>
      </w:r>
      <w:r>
        <w:rPr>
          <w:rFonts w:ascii="宋体" w:hAnsi="宋体" w:cs="宋体"/>
          <w:highlight w:val="none"/>
        </w:rPr>
        <w:t xml:space="preserve">                       项目名称：</w:t>
      </w:r>
      <w:r>
        <w:rPr>
          <w:rFonts w:ascii="宋体" w:hAnsi="宋体" w:cs="宋体"/>
          <w:highlight w:val="none"/>
          <w:u w:val="single"/>
        </w:rPr>
        <w:t>____            ______</w:t>
      </w:r>
    </w:p>
    <w:tbl>
      <w:tblPr>
        <w:tblStyle w:val="48"/>
        <w:tblW w:w="8789" w:type="dxa"/>
        <w:tblInd w:w="108" w:type="dxa"/>
        <w:tblLayout w:type="fixed"/>
        <w:tblCellMar>
          <w:top w:w="0" w:type="dxa"/>
          <w:left w:w="10" w:type="dxa"/>
          <w:bottom w:w="0" w:type="dxa"/>
          <w:right w:w="10" w:type="dxa"/>
        </w:tblCellMar>
      </w:tblPr>
      <w:tblGrid>
        <w:gridCol w:w="709"/>
        <w:gridCol w:w="1134"/>
        <w:gridCol w:w="1134"/>
        <w:gridCol w:w="1134"/>
        <w:gridCol w:w="1701"/>
        <w:gridCol w:w="1843"/>
        <w:gridCol w:w="1134"/>
      </w:tblGrid>
      <w:tr w14:paraId="768A238D">
        <w:tblPrEx>
          <w:tblCellMar>
            <w:top w:w="0" w:type="dxa"/>
            <w:left w:w="10" w:type="dxa"/>
            <w:bottom w:w="0" w:type="dxa"/>
            <w:right w:w="10" w:type="dxa"/>
          </w:tblCellMar>
        </w:tblPrEx>
        <w:trPr>
          <w:trHeight w:val="960" w:hRule="atLeast"/>
        </w:trPr>
        <w:tc>
          <w:tcPr>
            <w:tcW w:w="8789" w:type="dxa"/>
            <w:gridSpan w:val="7"/>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3C075B8">
            <w:pPr>
              <w:spacing w:line="360" w:lineRule="auto"/>
              <w:ind w:firstLine="480"/>
              <w:jc w:val="left"/>
              <w:rPr>
                <w:highlight w:val="none"/>
              </w:rPr>
            </w:pPr>
            <w:r>
              <w:rPr>
                <w:rFonts w:ascii="黑体" w:hAnsi="黑体" w:eastAsia="黑体" w:cs="黑体"/>
                <w:sz w:val="24"/>
                <w:highlight w:val="none"/>
              </w:rPr>
              <w:t>以下为</w:t>
            </w:r>
            <w:r>
              <w:rPr>
                <w:rFonts w:hint="eastAsia" w:ascii="黑体" w:hAnsi="黑体" w:eastAsia="黑体" w:cs="黑体"/>
                <w:sz w:val="24"/>
                <w:highlight w:val="none"/>
              </w:rPr>
              <w:t>供应商</w:t>
            </w:r>
            <w:r>
              <w:rPr>
                <w:rFonts w:ascii="黑体" w:hAnsi="黑体" w:eastAsia="黑体" w:cs="黑体"/>
                <w:sz w:val="24"/>
                <w:highlight w:val="none"/>
              </w:rPr>
              <w:t>提供的享受价格评审优惠的货物，</w:t>
            </w:r>
            <w:r>
              <w:rPr>
                <w:rFonts w:hint="eastAsia" w:ascii="黑体" w:hAnsi="黑体" w:eastAsia="黑体" w:cs="黑体"/>
                <w:sz w:val="24"/>
                <w:highlight w:val="none"/>
              </w:rPr>
              <w:t>供应商</w:t>
            </w:r>
            <w:r>
              <w:rPr>
                <w:rFonts w:ascii="黑体" w:hAnsi="黑体" w:eastAsia="黑体" w:cs="黑体"/>
                <w:sz w:val="24"/>
                <w:highlight w:val="none"/>
              </w:rPr>
              <w:t>对本表的真实性负责。如有虚假，将依法承担相应责任。</w:t>
            </w:r>
          </w:p>
        </w:tc>
      </w:tr>
      <w:tr w14:paraId="767FDEA0">
        <w:tblPrEx>
          <w:tblCellMar>
            <w:top w:w="0" w:type="dxa"/>
            <w:left w:w="10" w:type="dxa"/>
            <w:bottom w:w="0" w:type="dxa"/>
            <w:right w:w="10" w:type="dxa"/>
          </w:tblCellMar>
        </w:tblPrEx>
        <w:trPr>
          <w:trHeight w:val="561" w:hRule="atLeast"/>
        </w:trPr>
        <w:tc>
          <w:tcPr>
            <w:tcW w:w="70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781DB98">
            <w:pPr>
              <w:spacing w:line="360" w:lineRule="auto"/>
              <w:jc w:val="center"/>
              <w:rPr>
                <w:rFonts w:hint="eastAsia" w:ascii="宋体" w:hAnsi="宋体" w:cs="宋体"/>
                <w:highlight w:val="none"/>
              </w:rPr>
            </w:pPr>
            <w:r>
              <w:rPr>
                <w:rFonts w:ascii="宋体" w:hAnsi="宋体" w:cs="宋体"/>
                <w:highlight w:val="none"/>
              </w:rPr>
              <w:t>1</w:t>
            </w: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426D1DE">
            <w:pPr>
              <w:spacing w:line="360" w:lineRule="auto"/>
              <w:jc w:val="center"/>
              <w:rPr>
                <w:rFonts w:hint="eastAsia" w:ascii="宋体" w:hAnsi="宋体" w:cs="宋体"/>
                <w:highlight w:val="none"/>
              </w:rPr>
            </w:pPr>
            <w:r>
              <w:rPr>
                <w:rFonts w:ascii="宋体" w:hAnsi="宋体" w:cs="宋体"/>
                <w:highlight w:val="none"/>
              </w:rPr>
              <w:t>2</w:t>
            </w: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F4DCA0">
            <w:pPr>
              <w:spacing w:line="360" w:lineRule="auto"/>
              <w:jc w:val="center"/>
              <w:rPr>
                <w:rFonts w:hint="eastAsia" w:ascii="宋体" w:hAnsi="宋体" w:cs="宋体"/>
                <w:highlight w:val="none"/>
              </w:rPr>
            </w:pPr>
            <w:r>
              <w:rPr>
                <w:rFonts w:ascii="宋体" w:hAnsi="宋体" w:cs="宋体"/>
                <w:highlight w:val="none"/>
              </w:rPr>
              <w:t>3</w:t>
            </w: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20071C8">
            <w:pPr>
              <w:spacing w:line="360" w:lineRule="auto"/>
              <w:jc w:val="center"/>
              <w:rPr>
                <w:rFonts w:hint="eastAsia" w:ascii="宋体" w:hAnsi="宋体" w:cs="宋体"/>
                <w:highlight w:val="none"/>
              </w:rPr>
            </w:pPr>
            <w:r>
              <w:rPr>
                <w:rFonts w:ascii="宋体" w:hAnsi="宋体" w:cs="宋体"/>
                <w:highlight w:val="none"/>
              </w:rPr>
              <w:t>4</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43ED9FB">
            <w:pPr>
              <w:spacing w:line="360" w:lineRule="auto"/>
              <w:jc w:val="center"/>
              <w:rPr>
                <w:rFonts w:hint="eastAsia" w:ascii="宋体" w:hAnsi="宋体" w:cs="宋体"/>
                <w:highlight w:val="none"/>
              </w:rPr>
            </w:pPr>
            <w:r>
              <w:rPr>
                <w:rFonts w:ascii="宋体" w:hAnsi="宋体" w:cs="宋体"/>
                <w:highlight w:val="none"/>
              </w:rPr>
              <w:t>5</w:t>
            </w:r>
          </w:p>
        </w:tc>
        <w:tc>
          <w:tcPr>
            <w:tcW w:w="184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BF2E1B3">
            <w:pPr>
              <w:spacing w:line="360" w:lineRule="auto"/>
              <w:jc w:val="center"/>
              <w:rPr>
                <w:rFonts w:hint="eastAsia" w:ascii="宋体" w:hAnsi="宋体" w:cs="宋体"/>
                <w:highlight w:val="none"/>
              </w:rPr>
            </w:pPr>
            <w:r>
              <w:rPr>
                <w:rFonts w:ascii="宋体" w:hAnsi="宋体" w:cs="宋体"/>
                <w:highlight w:val="none"/>
              </w:rPr>
              <w:t>6</w:t>
            </w: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1BA04C6">
            <w:pPr>
              <w:spacing w:line="360" w:lineRule="auto"/>
              <w:jc w:val="center"/>
              <w:rPr>
                <w:rFonts w:hint="eastAsia" w:ascii="宋体" w:hAnsi="宋体" w:cs="宋体"/>
                <w:highlight w:val="none"/>
              </w:rPr>
            </w:pPr>
            <w:r>
              <w:rPr>
                <w:rFonts w:ascii="宋体" w:hAnsi="宋体" w:cs="宋体"/>
                <w:highlight w:val="none"/>
              </w:rPr>
              <w:t>7</w:t>
            </w:r>
          </w:p>
        </w:tc>
      </w:tr>
      <w:tr w14:paraId="232B5DD1">
        <w:tblPrEx>
          <w:tblCellMar>
            <w:top w:w="0" w:type="dxa"/>
            <w:left w:w="10" w:type="dxa"/>
            <w:bottom w:w="0" w:type="dxa"/>
            <w:right w:w="10" w:type="dxa"/>
          </w:tblCellMar>
        </w:tblPrEx>
        <w:trPr>
          <w:trHeight w:val="683" w:hRule="atLeast"/>
        </w:trPr>
        <w:tc>
          <w:tcPr>
            <w:tcW w:w="70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E34E63A">
            <w:pPr>
              <w:jc w:val="center"/>
              <w:rPr>
                <w:rFonts w:hint="eastAsia" w:ascii="宋体" w:hAnsi="宋体" w:cs="宋体"/>
                <w:highlight w:val="none"/>
              </w:rPr>
            </w:pPr>
            <w:r>
              <w:rPr>
                <w:rFonts w:ascii="宋体" w:hAnsi="宋体" w:cs="宋体"/>
                <w:highlight w:val="none"/>
              </w:rPr>
              <w:t>序号</w:t>
            </w: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6E6AF42">
            <w:pPr>
              <w:jc w:val="center"/>
              <w:rPr>
                <w:rFonts w:hint="eastAsia" w:ascii="宋体" w:hAnsi="宋体" w:cs="宋体"/>
                <w:highlight w:val="none"/>
              </w:rPr>
            </w:pPr>
            <w:r>
              <w:rPr>
                <w:rFonts w:ascii="宋体" w:hAnsi="宋体" w:cs="宋体"/>
                <w:highlight w:val="none"/>
              </w:rPr>
              <w:t>货物名称</w:t>
            </w: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AA47DE9">
            <w:pPr>
              <w:jc w:val="center"/>
              <w:rPr>
                <w:rFonts w:hint="eastAsia" w:ascii="宋体" w:hAnsi="宋体" w:cs="宋体"/>
                <w:highlight w:val="none"/>
              </w:rPr>
            </w:pPr>
            <w:r>
              <w:rPr>
                <w:rFonts w:ascii="宋体" w:hAnsi="宋体" w:cs="宋体"/>
                <w:highlight w:val="none"/>
              </w:rPr>
              <w:t>规格型号</w:t>
            </w: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002A1A8">
            <w:pPr>
              <w:jc w:val="center"/>
              <w:rPr>
                <w:rFonts w:hint="eastAsia" w:ascii="宋体" w:hAnsi="宋体" w:cs="宋体"/>
                <w:highlight w:val="none"/>
              </w:rPr>
            </w:pPr>
            <w:r>
              <w:rPr>
                <w:rFonts w:ascii="宋体" w:hAnsi="宋体" w:cs="宋体"/>
                <w:highlight w:val="none"/>
              </w:rPr>
              <w:t>价格（元）</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3A6F12C">
            <w:pPr>
              <w:jc w:val="center"/>
              <w:rPr>
                <w:rFonts w:hint="eastAsia" w:ascii="宋体" w:hAnsi="宋体" w:cs="宋体"/>
                <w:highlight w:val="none"/>
              </w:rPr>
            </w:pPr>
            <w:r>
              <w:rPr>
                <w:rFonts w:ascii="宋体" w:hAnsi="宋体" w:cs="宋体"/>
                <w:highlight w:val="none"/>
              </w:rPr>
              <w:t>货物制造商名称</w:t>
            </w:r>
          </w:p>
        </w:tc>
        <w:tc>
          <w:tcPr>
            <w:tcW w:w="184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D2D6510">
            <w:pPr>
              <w:jc w:val="center"/>
              <w:rPr>
                <w:rFonts w:hint="eastAsia" w:ascii="宋体" w:hAnsi="宋体" w:cs="宋体"/>
                <w:highlight w:val="none"/>
              </w:rPr>
            </w:pPr>
            <w:r>
              <w:rPr>
                <w:rFonts w:ascii="宋体" w:hAnsi="宋体" w:cs="宋体"/>
                <w:highlight w:val="none"/>
              </w:rPr>
              <w:t>货物制造商类型</w:t>
            </w: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9924257">
            <w:pPr>
              <w:jc w:val="center"/>
              <w:rPr>
                <w:rFonts w:hint="eastAsia" w:ascii="宋体" w:hAnsi="宋体" w:cs="宋体"/>
                <w:highlight w:val="none"/>
              </w:rPr>
            </w:pPr>
            <w:r>
              <w:rPr>
                <w:rFonts w:ascii="宋体" w:hAnsi="宋体" w:cs="宋体"/>
                <w:highlight w:val="none"/>
              </w:rPr>
              <w:t>商标名称</w:t>
            </w:r>
          </w:p>
        </w:tc>
      </w:tr>
      <w:tr w14:paraId="48CD12F0">
        <w:tblPrEx>
          <w:tblCellMar>
            <w:top w:w="0" w:type="dxa"/>
            <w:left w:w="10" w:type="dxa"/>
            <w:bottom w:w="0" w:type="dxa"/>
            <w:right w:w="10" w:type="dxa"/>
          </w:tblCellMar>
        </w:tblPrEx>
        <w:trPr>
          <w:trHeight w:val="557" w:hRule="atLeast"/>
        </w:trPr>
        <w:tc>
          <w:tcPr>
            <w:tcW w:w="70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7090D3E">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9C7BC22">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837789E">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1157256">
            <w:pPr>
              <w:spacing w:line="360" w:lineRule="auto"/>
              <w:jc w:val="center"/>
              <w:rPr>
                <w:rFonts w:hint="eastAsia" w:ascii="宋体" w:hAnsi="宋体" w:cs="宋体"/>
                <w:sz w:val="22"/>
                <w:highlight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1680B05">
            <w:pPr>
              <w:spacing w:line="360" w:lineRule="auto"/>
              <w:jc w:val="center"/>
              <w:rPr>
                <w:rFonts w:hint="eastAsia" w:ascii="宋体" w:hAnsi="宋体" w:cs="宋体"/>
                <w:sz w:val="22"/>
                <w:highlight w:val="none"/>
              </w:rPr>
            </w:pPr>
          </w:p>
        </w:tc>
        <w:tc>
          <w:tcPr>
            <w:tcW w:w="184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72AFB29">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D717D0B">
            <w:pPr>
              <w:spacing w:line="360" w:lineRule="auto"/>
              <w:jc w:val="center"/>
              <w:rPr>
                <w:rFonts w:hint="eastAsia" w:ascii="宋体" w:hAnsi="宋体" w:cs="宋体"/>
                <w:sz w:val="22"/>
                <w:highlight w:val="none"/>
              </w:rPr>
            </w:pPr>
          </w:p>
        </w:tc>
      </w:tr>
      <w:tr w14:paraId="6ECD551A">
        <w:tblPrEx>
          <w:tblCellMar>
            <w:top w:w="0" w:type="dxa"/>
            <w:left w:w="10" w:type="dxa"/>
            <w:bottom w:w="0" w:type="dxa"/>
            <w:right w:w="10" w:type="dxa"/>
          </w:tblCellMar>
        </w:tblPrEx>
        <w:trPr>
          <w:trHeight w:val="557" w:hRule="atLeast"/>
        </w:trPr>
        <w:tc>
          <w:tcPr>
            <w:tcW w:w="70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2D8BB6F">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D8F99EB">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75FDEEA">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545A88F">
            <w:pPr>
              <w:spacing w:line="360" w:lineRule="auto"/>
              <w:jc w:val="center"/>
              <w:rPr>
                <w:rFonts w:hint="eastAsia" w:ascii="宋体" w:hAnsi="宋体" w:cs="宋体"/>
                <w:sz w:val="22"/>
                <w:highlight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7E8475B">
            <w:pPr>
              <w:spacing w:line="360" w:lineRule="auto"/>
              <w:jc w:val="center"/>
              <w:rPr>
                <w:rFonts w:hint="eastAsia" w:ascii="宋体" w:hAnsi="宋体" w:cs="宋体"/>
                <w:sz w:val="22"/>
                <w:highlight w:val="none"/>
              </w:rPr>
            </w:pPr>
          </w:p>
        </w:tc>
        <w:tc>
          <w:tcPr>
            <w:tcW w:w="184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B567D4B">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CE3E16C">
            <w:pPr>
              <w:spacing w:line="360" w:lineRule="auto"/>
              <w:jc w:val="center"/>
              <w:rPr>
                <w:rFonts w:hint="eastAsia" w:ascii="宋体" w:hAnsi="宋体" w:cs="宋体"/>
                <w:sz w:val="22"/>
                <w:highlight w:val="none"/>
              </w:rPr>
            </w:pPr>
          </w:p>
        </w:tc>
      </w:tr>
      <w:tr w14:paraId="4E71F797">
        <w:tblPrEx>
          <w:tblCellMar>
            <w:top w:w="0" w:type="dxa"/>
            <w:left w:w="10" w:type="dxa"/>
            <w:bottom w:w="0" w:type="dxa"/>
            <w:right w:w="10" w:type="dxa"/>
          </w:tblCellMar>
        </w:tblPrEx>
        <w:trPr>
          <w:trHeight w:val="557" w:hRule="atLeast"/>
        </w:trPr>
        <w:tc>
          <w:tcPr>
            <w:tcW w:w="70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F0A7162">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2D3B390">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4516CF7">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071E45E">
            <w:pPr>
              <w:spacing w:line="360" w:lineRule="auto"/>
              <w:jc w:val="center"/>
              <w:rPr>
                <w:rFonts w:hint="eastAsia" w:ascii="宋体" w:hAnsi="宋体" w:cs="宋体"/>
                <w:sz w:val="22"/>
                <w:highlight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BD3F9FD">
            <w:pPr>
              <w:spacing w:line="360" w:lineRule="auto"/>
              <w:jc w:val="center"/>
              <w:rPr>
                <w:rFonts w:hint="eastAsia" w:ascii="宋体" w:hAnsi="宋体" w:cs="宋体"/>
                <w:sz w:val="22"/>
                <w:highlight w:val="none"/>
              </w:rPr>
            </w:pPr>
          </w:p>
        </w:tc>
        <w:tc>
          <w:tcPr>
            <w:tcW w:w="184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B09EEE4">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63A3AD">
            <w:pPr>
              <w:spacing w:line="360" w:lineRule="auto"/>
              <w:jc w:val="center"/>
              <w:rPr>
                <w:rFonts w:hint="eastAsia" w:ascii="宋体" w:hAnsi="宋体" w:cs="宋体"/>
                <w:sz w:val="22"/>
                <w:highlight w:val="none"/>
              </w:rPr>
            </w:pPr>
          </w:p>
        </w:tc>
      </w:tr>
      <w:tr w14:paraId="05AD78F7">
        <w:tblPrEx>
          <w:tblCellMar>
            <w:top w:w="0" w:type="dxa"/>
            <w:left w:w="10" w:type="dxa"/>
            <w:bottom w:w="0" w:type="dxa"/>
            <w:right w:w="10" w:type="dxa"/>
          </w:tblCellMar>
        </w:tblPrEx>
        <w:trPr>
          <w:trHeight w:val="557" w:hRule="atLeast"/>
        </w:trPr>
        <w:tc>
          <w:tcPr>
            <w:tcW w:w="70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3FBF28">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B22B75">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6970C8B">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1280BA1">
            <w:pPr>
              <w:spacing w:line="360" w:lineRule="auto"/>
              <w:jc w:val="center"/>
              <w:rPr>
                <w:rFonts w:hint="eastAsia" w:ascii="宋体" w:hAnsi="宋体" w:cs="宋体"/>
                <w:sz w:val="22"/>
                <w:highlight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95BCB52">
            <w:pPr>
              <w:spacing w:line="360" w:lineRule="auto"/>
              <w:jc w:val="center"/>
              <w:rPr>
                <w:rFonts w:hint="eastAsia" w:ascii="宋体" w:hAnsi="宋体" w:cs="宋体"/>
                <w:sz w:val="22"/>
                <w:highlight w:val="none"/>
              </w:rPr>
            </w:pPr>
          </w:p>
        </w:tc>
        <w:tc>
          <w:tcPr>
            <w:tcW w:w="184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CC2BE31">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56009BC">
            <w:pPr>
              <w:spacing w:line="360" w:lineRule="auto"/>
              <w:jc w:val="center"/>
              <w:rPr>
                <w:rFonts w:hint="eastAsia" w:ascii="宋体" w:hAnsi="宋体" w:cs="宋体"/>
                <w:sz w:val="22"/>
                <w:highlight w:val="none"/>
              </w:rPr>
            </w:pPr>
          </w:p>
        </w:tc>
      </w:tr>
      <w:tr w14:paraId="0358F6A7">
        <w:tblPrEx>
          <w:tblCellMar>
            <w:top w:w="0" w:type="dxa"/>
            <w:left w:w="10" w:type="dxa"/>
            <w:bottom w:w="0" w:type="dxa"/>
            <w:right w:w="10" w:type="dxa"/>
          </w:tblCellMar>
        </w:tblPrEx>
        <w:trPr>
          <w:trHeight w:val="557" w:hRule="atLeast"/>
        </w:trPr>
        <w:tc>
          <w:tcPr>
            <w:tcW w:w="70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B801C66">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C1AAF5C">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73635B1">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A5499FF">
            <w:pPr>
              <w:spacing w:line="360" w:lineRule="auto"/>
              <w:jc w:val="center"/>
              <w:rPr>
                <w:rFonts w:hint="eastAsia" w:ascii="宋体" w:hAnsi="宋体" w:cs="宋体"/>
                <w:sz w:val="22"/>
                <w:highlight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24B420">
            <w:pPr>
              <w:spacing w:line="360" w:lineRule="auto"/>
              <w:jc w:val="center"/>
              <w:rPr>
                <w:rFonts w:hint="eastAsia" w:ascii="宋体" w:hAnsi="宋体" w:cs="宋体"/>
                <w:sz w:val="22"/>
                <w:highlight w:val="none"/>
              </w:rPr>
            </w:pPr>
          </w:p>
        </w:tc>
        <w:tc>
          <w:tcPr>
            <w:tcW w:w="184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1DDD24D">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FA4F95D">
            <w:pPr>
              <w:spacing w:line="360" w:lineRule="auto"/>
              <w:jc w:val="center"/>
              <w:rPr>
                <w:rFonts w:hint="eastAsia" w:ascii="宋体" w:hAnsi="宋体" w:cs="宋体"/>
                <w:sz w:val="22"/>
                <w:highlight w:val="none"/>
              </w:rPr>
            </w:pPr>
          </w:p>
        </w:tc>
      </w:tr>
      <w:tr w14:paraId="1F08CBCD">
        <w:tblPrEx>
          <w:tblCellMar>
            <w:top w:w="0" w:type="dxa"/>
            <w:left w:w="10" w:type="dxa"/>
            <w:bottom w:w="0" w:type="dxa"/>
            <w:right w:w="10" w:type="dxa"/>
          </w:tblCellMar>
        </w:tblPrEx>
        <w:trPr>
          <w:trHeight w:val="557" w:hRule="atLeast"/>
        </w:trPr>
        <w:tc>
          <w:tcPr>
            <w:tcW w:w="70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0C473D8">
            <w:pPr>
              <w:spacing w:line="360" w:lineRule="auto"/>
              <w:jc w:val="center"/>
              <w:rPr>
                <w:rFonts w:hint="eastAsia" w:ascii="宋体" w:hAnsi="宋体" w:cs="宋体"/>
                <w:highlight w:val="none"/>
              </w:rPr>
            </w:pPr>
            <w:r>
              <w:rPr>
                <w:rFonts w:ascii="宋体" w:hAnsi="宋体" w:cs="宋体"/>
                <w:highlight w:val="none"/>
              </w:rPr>
              <w:t>小计</w:t>
            </w: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059DACF">
            <w:pPr>
              <w:spacing w:line="360" w:lineRule="auto"/>
              <w:jc w:val="center"/>
              <w:rPr>
                <w:rFonts w:hint="eastAsia" w:ascii="宋体" w:hAnsi="宋体" w:cs="宋体"/>
                <w:highlight w:val="none"/>
              </w:rPr>
            </w:pPr>
            <w:r>
              <w:rPr>
                <w:rFonts w:ascii="宋体" w:hAnsi="宋体" w:cs="宋体"/>
                <w:b/>
                <w:highlight w:val="none"/>
              </w:rPr>
              <w:t>/</w:t>
            </w: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E88626">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E7F891">
            <w:pPr>
              <w:spacing w:line="360" w:lineRule="auto"/>
              <w:jc w:val="center"/>
              <w:rPr>
                <w:rFonts w:hint="eastAsia" w:ascii="宋体" w:hAnsi="宋体" w:cs="宋体"/>
                <w:sz w:val="22"/>
                <w:highlight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815BB2E">
            <w:pPr>
              <w:spacing w:line="360" w:lineRule="auto"/>
              <w:jc w:val="center"/>
              <w:rPr>
                <w:rFonts w:hint="eastAsia" w:ascii="宋体" w:hAnsi="宋体" w:cs="宋体"/>
                <w:highlight w:val="none"/>
              </w:rPr>
            </w:pPr>
            <w:r>
              <w:rPr>
                <w:rFonts w:ascii="宋体" w:hAnsi="宋体" w:cs="宋体"/>
                <w:b/>
                <w:highlight w:val="none"/>
              </w:rPr>
              <w:t>/</w:t>
            </w:r>
          </w:p>
        </w:tc>
        <w:tc>
          <w:tcPr>
            <w:tcW w:w="184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CB15D83">
            <w:pPr>
              <w:spacing w:line="360" w:lineRule="auto"/>
              <w:jc w:val="center"/>
              <w:rPr>
                <w:rFonts w:hint="eastAsia" w:ascii="宋体" w:hAnsi="宋体" w:cs="宋体"/>
                <w:highlight w:val="none"/>
              </w:rPr>
            </w:pPr>
            <w:r>
              <w:rPr>
                <w:rFonts w:ascii="宋体" w:hAnsi="宋体" w:cs="宋体"/>
                <w:b/>
                <w:highlight w:val="none"/>
              </w:rPr>
              <w:t>/</w:t>
            </w: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7CF52FC">
            <w:pPr>
              <w:spacing w:line="360" w:lineRule="auto"/>
              <w:jc w:val="center"/>
              <w:rPr>
                <w:rFonts w:hint="eastAsia" w:ascii="宋体" w:hAnsi="宋体" w:cs="宋体"/>
                <w:highlight w:val="none"/>
              </w:rPr>
            </w:pPr>
            <w:r>
              <w:rPr>
                <w:rFonts w:ascii="宋体" w:hAnsi="宋体" w:cs="宋体"/>
                <w:b/>
                <w:highlight w:val="none"/>
              </w:rPr>
              <w:t>/</w:t>
            </w:r>
          </w:p>
        </w:tc>
      </w:tr>
    </w:tbl>
    <w:p w14:paraId="5C38CE9C">
      <w:pPr>
        <w:spacing w:line="360" w:lineRule="auto"/>
        <w:rPr>
          <w:rFonts w:hint="eastAsia" w:ascii="宋体" w:hAnsi="宋体" w:cs="宋体"/>
          <w:highlight w:val="none"/>
        </w:rPr>
      </w:pPr>
      <w:r>
        <w:rPr>
          <w:rFonts w:ascii="宋体" w:hAnsi="宋体" w:cs="宋体"/>
          <w:highlight w:val="none"/>
        </w:rPr>
        <w:t>说明：1、本清单用于计算政府采购价格评审优惠应享受的政府采购政策价格扣除。提供的货物为小型、微型企业制造的，包括视同小型、微型企业，享受评审中价格扣除的监狱企业、残疾人福利性单位制造的货物。货物制造商类型填写小型、微型企业或监狱企业或残疾人福利性单位。</w:t>
      </w:r>
    </w:p>
    <w:p w14:paraId="39375135">
      <w:pPr>
        <w:spacing w:line="360" w:lineRule="auto"/>
        <w:ind w:firstLine="630"/>
        <w:rPr>
          <w:rFonts w:hint="eastAsia" w:ascii="宋体" w:hAnsi="宋体" w:cs="宋体"/>
          <w:highlight w:val="none"/>
        </w:rPr>
      </w:pPr>
      <w:r>
        <w:rPr>
          <w:rFonts w:ascii="宋体" w:hAnsi="宋体" w:cs="宋体"/>
          <w:highlight w:val="none"/>
        </w:rPr>
        <w:t>2、栏目4“价格”为综合单价，包含该货物所有隐含的内容，如运输费、保险费、安装调试费、管理费和利润等。</w:t>
      </w:r>
    </w:p>
    <w:p w14:paraId="4F56817E">
      <w:pPr>
        <w:spacing w:line="360" w:lineRule="auto"/>
        <w:ind w:firstLine="630"/>
        <w:rPr>
          <w:rFonts w:hint="eastAsia" w:ascii="宋体" w:hAnsi="宋体" w:cs="宋体"/>
          <w:b/>
          <w:highlight w:val="none"/>
        </w:rPr>
      </w:pPr>
      <w:r>
        <w:rPr>
          <w:rFonts w:ascii="宋体" w:hAnsi="宋体" w:cs="宋体"/>
          <w:highlight w:val="none"/>
        </w:rPr>
        <w:t>3、</w:t>
      </w:r>
      <w:r>
        <w:rPr>
          <w:rFonts w:hint="eastAsia" w:ascii="宋体" w:hAnsi="宋体" w:cs="宋体"/>
          <w:highlight w:val="none"/>
        </w:rPr>
        <w:t>供应商</w:t>
      </w:r>
      <w:r>
        <w:rPr>
          <w:rFonts w:ascii="宋体" w:hAnsi="宋体" w:cs="宋体"/>
          <w:highlight w:val="none"/>
        </w:rPr>
        <w:t>在截止时间前修改“开标一览表”中的</w:t>
      </w:r>
      <w:r>
        <w:rPr>
          <w:rFonts w:hint="eastAsia" w:ascii="宋体" w:hAnsi="宋体" w:cs="宋体"/>
          <w:highlight w:val="none"/>
        </w:rPr>
        <w:t>响应</w:t>
      </w:r>
      <w:r>
        <w:rPr>
          <w:rFonts w:ascii="宋体" w:hAnsi="宋体" w:cs="宋体"/>
          <w:highlight w:val="none"/>
        </w:rPr>
        <w:t>报价的，应按第二章第13.7款规定修改本表相应内容。否则，评审时涉及本表所有优惠不予以考虑。</w:t>
      </w:r>
    </w:p>
    <w:p w14:paraId="2C5437AE">
      <w:pPr>
        <w:spacing w:line="360" w:lineRule="auto"/>
        <w:ind w:firstLine="630"/>
        <w:rPr>
          <w:rFonts w:hint="eastAsia" w:ascii="宋体" w:hAnsi="宋体" w:cs="宋体"/>
          <w:highlight w:val="none"/>
        </w:rPr>
      </w:pPr>
    </w:p>
    <w:p w14:paraId="1F0F5E7F">
      <w:pPr>
        <w:spacing w:line="360" w:lineRule="auto"/>
        <w:rPr>
          <w:rFonts w:hint="eastAsia" w:ascii="宋体" w:hAnsi="宋体" w:cs="宋体"/>
          <w:highlight w:val="none"/>
        </w:rPr>
      </w:pPr>
      <w:r>
        <w:rPr>
          <w:rFonts w:hint="eastAsia" w:ascii="宋体" w:hAnsi="宋体" w:cs="宋体"/>
          <w:highlight w:val="none"/>
        </w:rPr>
        <w:t>供应商</w:t>
      </w:r>
      <w:r>
        <w:rPr>
          <w:rFonts w:ascii="宋体" w:hAnsi="宋体" w:cs="宋体"/>
          <w:highlight w:val="none"/>
        </w:rPr>
        <w:t>名称（盖单位章）：</w:t>
      </w:r>
      <w:r>
        <w:rPr>
          <w:rFonts w:hint="eastAsia" w:ascii="宋体" w:hAnsi="宋体"/>
          <w:szCs w:val="21"/>
          <w:highlight w:val="none"/>
          <w:u w:val="single"/>
        </w:rPr>
        <w:t xml:space="preserve">                   </w:t>
      </w:r>
    </w:p>
    <w:p w14:paraId="40F8DACA">
      <w:pPr>
        <w:spacing w:line="360" w:lineRule="auto"/>
        <w:rPr>
          <w:rFonts w:hint="eastAsia" w:ascii="宋体" w:hAnsi="宋体" w:cs="宋体"/>
          <w:highlight w:val="none"/>
        </w:rPr>
      </w:pPr>
      <w:r>
        <w:rPr>
          <w:rFonts w:ascii="宋体" w:hAnsi="宋体" w:cs="宋体"/>
          <w:spacing w:val="-2"/>
          <w:highlight w:val="none"/>
        </w:rPr>
        <w:t>法</w:t>
      </w:r>
      <w:r>
        <w:rPr>
          <w:rFonts w:ascii="宋体" w:hAnsi="宋体" w:cs="宋体"/>
          <w:highlight w:val="none"/>
        </w:rPr>
        <w:t>定</w:t>
      </w:r>
      <w:r>
        <w:rPr>
          <w:rFonts w:ascii="宋体" w:hAnsi="宋体" w:cs="宋体"/>
          <w:spacing w:val="-2"/>
          <w:highlight w:val="none"/>
        </w:rPr>
        <w:t>代</w:t>
      </w:r>
      <w:r>
        <w:rPr>
          <w:rFonts w:ascii="宋体" w:hAnsi="宋体" w:cs="宋体"/>
          <w:highlight w:val="none"/>
        </w:rPr>
        <w:t>表</w:t>
      </w:r>
      <w:r>
        <w:rPr>
          <w:rFonts w:ascii="宋体" w:hAnsi="宋体" w:cs="宋体"/>
          <w:spacing w:val="-2"/>
          <w:highlight w:val="none"/>
        </w:rPr>
        <w:t>人</w:t>
      </w:r>
      <w:r>
        <w:rPr>
          <w:rFonts w:ascii="宋体" w:hAnsi="宋体" w:cs="宋体"/>
          <w:highlight w:val="none"/>
        </w:rPr>
        <w:t>（</w:t>
      </w:r>
      <w:r>
        <w:rPr>
          <w:rFonts w:ascii="宋体" w:hAnsi="宋体" w:cs="宋体"/>
          <w:spacing w:val="-2"/>
          <w:highlight w:val="none"/>
        </w:rPr>
        <w:t>单</w:t>
      </w:r>
      <w:r>
        <w:rPr>
          <w:rFonts w:ascii="宋体" w:hAnsi="宋体" w:cs="宋体"/>
          <w:highlight w:val="none"/>
        </w:rPr>
        <w:t>位</w:t>
      </w:r>
      <w:r>
        <w:rPr>
          <w:rFonts w:ascii="宋体" w:hAnsi="宋体" w:cs="宋体"/>
          <w:spacing w:val="-2"/>
          <w:highlight w:val="none"/>
        </w:rPr>
        <w:t>负</w:t>
      </w:r>
      <w:r>
        <w:rPr>
          <w:rFonts w:ascii="宋体" w:hAnsi="宋体" w:cs="宋体"/>
          <w:highlight w:val="none"/>
        </w:rPr>
        <w:t>责人</w:t>
      </w:r>
      <w:r>
        <w:rPr>
          <w:rFonts w:ascii="宋体" w:hAnsi="宋体" w:cs="宋体"/>
          <w:spacing w:val="-2"/>
          <w:highlight w:val="none"/>
        </w:rPr>
        <w:t>）</w:t>
      </w:r>
      <w:r>
        <w:rPr>
          <w:rFonts w:ascii="宋体" w:hAnsi="宋体" w:cs="宋体"/>
          <w:highlight w:val="none"/>
        </w:rPr>
        <w:t>或其委托代理人（签字或</w:t>
      </w:r>
      <w:r>
        <w:rPr>
          <w:rFonts w:hint="eastAsia" w:ascii="宋体" w:hAnsi="宋体" w:cs="宋体"/>
          <w:highlight w:val="none"/>
        </w:rPr>
        <w:t>盖</w:t>
      </w:r>
      <w:r>
        <w:rPr>
          <w:rFonts w:ascii="宋体" w:hAnsi="宋体" w:cs="宋体"/>
          <w:highlight w:val="none"/>
        </w:rPr>
        <w:t>章）：</w:t>
      </w:r>
      <w:r>
        <w:rPr>
          <w:rFonts w:hint="eastAsia" w:ascii="宋体" w:hAnsi="宋体"/>
          <w:szCs w:val="21"/>
          <w:highlight w:val="none"/>
          <w:u w:val="single"/>
        </w:rPr>
        <w:t xml:space="preserve">                   </w:t>
      </w:r>
    </w:p>
    <w:p w14:paraId="6D1324C7">
      <w:pPr>
        <w:spacing w:line="360" w:lineRule="auto"/>
        <w:rPr>
          <w:rFonts w:hint="eastAsia" w:ascii="黑体" w:hAnsi="黑体" w:eastAsia="黑体" w:cs="黑体"/>
          <w:b/>
          <w:spacing w:val="6"/>
          <w:highlight w:val="none"/>
        </w:rPr>
      </w:pPr>
      <w:r>
        <w:rPr>
          <w:rFonts w:ascii="宋体" w:hAnsi="宋体" w:cs="宋体"/>
          <w:highlight w:val="none"/>
        </w:rPr>
        <w:t>日期：</w:t>
      </w:r>
      <w:r>
        <w:rPr>
          <w:rFonts w:hint="eastAsia" w:ascii="宋体" w:hAnsi="宋体" w:cs="宋体"/>
          <w:highlight w:val="none"/>
        </w:rPr>
        <w:t xml:space="preserve">    </w:t>
      </w:r>
      <w:r>
        <w:rPr>
          <w:rFonts w:ascii="宋体" w:hAnsi="宋体" w:cs="宋体"/>
          <w:highlight w:val="none"/>
        </w:rPr>
        <w:t>年</w:t>
      </w:r>
      <w:r>
        <w:rPr>
          <w:rFonts w:hint="eastAsia" w:ascii="宋体" w:hAnsi="宋体" w:cs="宋体"/>
          <w:highlight w:val="none"/>
        </w:rPr>
        <w:t xml:space="preserve">  </w:t>
      </w:r>
      <w:r>
        <w:rPr>
          <w:rFonts w:ascii="宋体" w:hAnsi="宋体" w:cs="宋体"/>
          <w:highlight w:val="none"/>
        </w:rPr>
        <w:t>月</w:t>
      </w:r>
      <w:r>
        <w:rPr>
          <w:rFonts w:hint="eastAsia" w:ascii="宋体" w:hAnsi="宋体" w:cs="宋体"/>
          <w:highlight w:val="none"/>
        </w:rPr>
        <w:t xml:space="preserve">  </w:t>
      </w:r>
      <w:r>
        <w:rPr>
          <w:rFonts w:ascii="宋体" w:hAnsi="宋体" w:cs="宋体"/>
          <w:highlight w:val="none"/>
        </w:rPr>
        <w:t>日</w:t>
      </w:r>
    </w:p>
    <w:p w14:paraId="65F8DFEE">
      <w:pPr>
        <w:widowControl/>
        <w:adjustRightInd w:val="0"/>
        <w:snapToGrid w:val="0"/>
        <w:spacing w:line="360" w:lineRule="auto"/>
        <w:jc w:val="center"/>
        <w:rPr>
          <w:rFonts w:hint="eastAsia" w:ascii="黑体" w:hAnsi="黑体" w:eastAsia="黑体" w:cs="黑体"/>
          <w:b/>
          <w:bCs/>
          <w:spacing w:val="6"/>
          <w:kern w:val="0"/>
          <w:sz w:val="28"/>
          <w:szCs w:val="28"/>
          <w:highlight w:val="none"/>
        </w:rPr>
      </w:pPr>
    </w:p>
    <w:p w14:paraId="078BCA45">
      <w:pPr>
        <w:widowControl/>
        <w:adjustRightInd w:val="0"/>
        <w:snapToGrid w:val="0"/>
        <w:spacing w:line="360" w:lineRule="auto"/>
        <w:jc w:val="center"/>
        <w:rPr>
          <w:rFonts w:hint="eastAsia" w:ascii="黑体" w:hAnsi="黑体" w:eastAsia="黑体" w:cs="黑体"/>
          <w:b/>
          <w:bCs/>
          <w:spacing w:val="6"/>
          <w:kern w:val="0"/>
          <w:sz w:val="28"/>
          <w:szCs w:val="28"/>
          <w:highlight w:val="none"/>
        </w:rPr>
      </w:pPr>
    </w:p>
    <w:p w14:paraId="7BF81819">
      <w:pPr>
        <w:widowControl/>
        <w:adjustRightInd w:val="0"/>
        <w:snapToGrid w:val="0"/>
        <w:spacing w:line="360" w:lineRule="auto"/>
        <w:jc w:val="center"/>
        <w:rPr>
          <w:rFonts w:hint="eastAsia" w:ascii="黑体" w:hAnsi="黑体" w:eastAsia="黑体" w:cs="黑体"/>
          <w:b/>
          <w:bCs/>
          <w:spacing w:val="6"/>
          <w:kern w:val="0"/>
          <w:sz w:val="28"/>
          <w:szCs w:val="28"/>
          <w:highlight w:val="none"/>
        </w:rPr>
      </w:pPr>
    </w:p>
    <w:p w14:paraId="1B6A143C">
      <w:pPr>
        <w:adjustRightInd w:val="0"/>
        <w:snapToGrid w:val="0"/>
        <w:spacing w:line="360" w:lineRule="auto"/>
        <w:rPr>
          <w:rFonts w:hint="eastAsia" w:ascii="宋体" w:hAnsi="宋体" w:cs="宋体"/>
          <w:spacing w:val="6"/>
          <w:kern w:val="0"/>
          <w:highlight w:val="none"/>
        </w:rPr>
      </w:pPr>
      <w:bookmarkStart w:id="505" w:name="_Toc22201164"/>
      <w:bookmarkStart w:id="506" w:name="_Toc25201"/>
      <w:bookmarkStart w:id="507" w:name="_Toc10454"/>
    </w:p>
    <w:p w14:paraId="11B34442">
      <w:pPr>
        <w:pStyle w:val="9"/>
        <w:adjustRightInd w:val="0"/>
        <w:snapToGrid w:val="0"/>
        <w:spacing w:before="0" w:after="0" w:line="360" w:lineRule="auto"/>
        <w:rPr>
          <w:rFonts w:hint="eastAsia" w:ascii="宋体" w:hAnsi="宋体"/>
          <w:spacing w:val="6"/>
          <w:sz w:val="21"/>
          <w:highlight w:val="none"/>
        </w:rPr>
      </w:pPr>
      <w:bookmarkStart w:id="508" w:name="_Toc17168"/>
      <w:bookmarkStart w:id="509" w:name="_Toc8353"/>
      <w:r>
        <w:rPr>
          <w:rFonts w:hint="eastAsia" w:ascii="宋体" w:hAnsi="宋体" w:cs="宋体"/>
          <w:spacing w:val="6"/>
          <w:kern w:val="0"/>
          <w:sz w:val="21"/>
          <w:highlight w:val="none"/>
        </w:rPr>
        <w:t>附件9-2</w:t>
      </w:r>
      <w:r>
        <w:rPr>
          <w:rFonts w:hint="eastAsia" w:ascii="宋体" w:hAnsi="宋体"/>
          <w:spacing w:val="6"/>
          <w:sz w:val="21"/>
          <w:highlight w:val="none"/>
        </w:rPr>
        <w:t>残疾人福利性单位声明函</w:t>
      </w:r>
      <w:bookmarkEnd w:id="505"/>
      <w:bookmarkEnd w:id="506"/>
      <w:bookmarkEnd w:id="507"/>
      <w:bookmarkEnd w:id="508"/>
      <w:bookmarkEnd w:id="509"/>
    </w:p>
    <w:p w14:paraId="718C2606">
      <w:pPr>
        <w:adjustRightInd w:val="0"/>
        <w:snapToGrid w:val="0"/>
        <w:spacing w:line="360" w:lineRule="auto"/>
        <w:jc w:val="center"/>
        <w:rPr>
          <w:rFonts w:hint="eastAsia" w:ascii="黑体" w:hAnsi="黑体" w:eastAsia="黑体"/>
          <w:b/>
          <w:spacing w:val="6"/>
          <w:sz w:val="28"/>
          <w:szCs w:val="28"/>
          <w:highlight w:val="none"/>
        </w:rPr>
      </w:pPr>
    </w:p>
    <w:p w14:paraId="704379E2">
      <w:pPr>
        <w:adjustRightInd w:val="0"/>
        <w:snapToGrid w:val="0"/>
        <w:spacing w:line="360" w:lineRule="auto"/>
        <w:jc w:val="center"/>
        <w:rPr>
          <w:rFonts w:hint="eastAsia" w:ascii="黑体" w:hAnsi="黑体" w:eastAsia="黑体"/>
          <w:b/>
          <w:spacing w:val="6"/>
          <w:sz w:val="28"/>
          <w:szCs w:val="28"/>
          <w:highlight w:val="none"/>
        </w:rPr>
      </w:pPr>
      <w:r>
        <w:rPr>
          <w:rFonts w:hint="eastAsia" w:ascii="黑体" w:hAnsi="黑体" w:eastAsia="黑体"/>
          <w:b/>
          <w:spacing w:val="6"/>
          <w:sz w:val="28"/>
          <w:szCs w:val="28"/>
          <w:highlight w:val="none"/>
        </w:rPr>
        <w:t>残疾人福利性单位声明函</w:t>
      </w:r>
    </w:p>
    <w:p w14:paraId="2F568A03">
      <w:pPr>
        <w:adjustRightInd w:val="0"/>
        <w:snapToGrid w:val="0"/>
        <w:spacing w:line="360" w:lineRule="auto"/>
        <w:jc w:val="center"/>
        <w:rPr>
          <w:rFonts w:hint="eastAsia" w:ascii="宋体" w:hAnsi="宋体"/>
          <w:b/>
          <w:spacing w:val="6"/>
          <w:szCs w:val="21"/>
          <w:highlight w:val="none"/>
        </w:rPr>
      </w:pPr>
      <w:r>
        <w:rPr>
          <w:rFonts w:hint="eastAsia" w:ascii="宋体" w:hAnsi="宋体"/>
          <w:b/>
          <w:spacing w:val="6"/>
          <w:szCs w:val="21"/>
          <w:highlight w:val="none"/>
        </w:rPr>
        <w:t>(不符合政策要求的无需提供)</w:t>
      </w:r>
    </w:p>
    <w:p w14:paraId="3780A871">
      <w:pPr>
        <w:adjustRightInd w:val="0"/>
        <w:snapToGrid w:val="0"/>
        <w:spacing w:line="360" w:lineRule="auto"/>
        <w:ind w:firstLine="444" w:firstLineChars="200"/>
        <w:rPr>
          <w:rFonts w:hint="eastAsia" w:ascii="宋体" w:hAnsi="宋体"/>
          <w:spacing w:val="6"/>
          <w:szCs w:val="21"/>
          <w:highlight w:val="none"/>
        </w:rPr>
      </w:pPr>
    </w:p>
    <w:p w14:paraId="315B3C19">
      <w:pPr>
        <w:adjustRightInd w:val="0"/>
        <w:snapToGrid w:val="0"/>
        <w:spacing w:line="360" w:lineRule="auto"/>
        <w:ind w:firstLine="444" w:firstLineChars="200"/>
        <w:rPr>
          <w:rFonts w:hint="eastAsia" w:ascii="宋体" w:hAnsi="宋体"/>
          <w:spacing w:val="6"/>
          <w:szCs w:val="21"/>
          <w:highlight w:val="none"/>
        </w:rPr>
      </w:pPr>
      <w:r>
        <w:rPr>
          <w:rFonts w:hint="eastAsia" w:ascii="宋体" w:hAnsi="宋体"/>
          <w:spacing w:val="6"/>
          <w:szCs w:val="21"/>
          <w:highlight w:val="none"/>
        </w:rPr>
        <w:t>本单位郑重声明，根据《财政部 民政部 中国残疾人联合会关于促进残疾人就业政府采购政策的通知》（财库</w:t>
      </w:r>
      <w:r>
        <w:rPr>
          <w:rFonts w:hint="eastAsia" w:ascii="宋体" w:hAnsi="宋体"/>
          <w:szCs w:val="21"/>
          <w:highlight w:val="none"/>
        </w:rPr>
        <w:t>〔2017〕141</w:t>
      </w:r>
      <w:r>
        <w:rPr>
          <w:rFonts w:hint="eastAsia" w:ascii="宋体" w:hAnsi="宋体"/>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413D6C5">
      <w:pPr>
        <w:adjustRightInd w:val="0"/>
        <w:snapToGrid w:val="0"/>
        <w:spacing w:line="360" w:lineRule="auto"/>
        <w:ind w:firstLine="444" w:firstLineChars="200"/>
        <w:rPr>
          <w:rFonts w:hint="eastAsia" w:ascii="宋体" w:hAnsi="宋体"/>
          <w:spacing w:val="6"/>
          <w:szCs w:val="21"/>
          <w:highlight w:val="none"/>
        </w:rPr>
      </w:pPr>
      <w:r>
        <w:rPr>
          <w:rFonts w:hint="eastAsia" w:ascii="宋体" w:hAnsi="宋体"/>
          <w:spacing w:val="6"/>
          <w:szCs w:val="21"/>
          <w:highlight w:val="none"/>
        </w:rPr>
        <w:t>本单位对上述声明的真实性负责。如有虚假，将依法承担相应责任。</w:t>
      </w:r>
    </w:p>
    <w:p w14:paraId="12BF1D16">
      <w:pPr>
        <w:adjustRightInd w:val="0"/>
        <w:snapToGrid w:val="0"/>
        <w:spacing w:line="360" w:lineRule="auto"/>
        <w:ind w:firstLine="444" w:firstLineChars="200"/>
        <w:rPr>
          <w:rFonts w:hint="eastAsia" w:ascii="宋体" w:hAnsi="宋体"/>
          <w:spacing w:val="6"/>
          <w:szCs w:val="21"/>
          <w:highlight w:val="none"/>
        </w:rPr>
      </w:pPr>
    </w:p>
    <w:p w14:paraId="7120CF33">
      <w:pPr>
        <w:adjustRightInd w:val="0"/>
        <w:snapToGrid w:val="0"/>
        <w:spacing w:line="360" w:lineRule="auto"/>
        <w:ind w:firstLine="444" w:firstLineChars="200"/>
        <w:rPr>
          <w:rFonts w:hint="eastAsia" w:ascii="宋体" w:hAnsi="宋体"/>
          <w:spacing w:val="6"/>
          <w:szCs w:val="21"/>
          <w:highlight w:val="none"/>
        </w:rPr>
      </w:pPr>
    </w:p>
    <w:p w14:paraId="23E0B704">
      <w:pPr>
        <w:tabs>
          <w:tab w:val="left" w:pos="4860"/>
        </w:tabs>
        <w:adjustRightInd w:val="0"/>
        <w:snapToGrid w:val="0"/>
        <w:spacing w:line="360" w:lineRule="auto"/>
        <w:ind w:right="1560" w:firstLine="444" w:firstLineChars="200"/>
        <w:jc w:val="center"/>
        <w:rPr>
          <w:rFonts w:hint="eastAsia" w:ascii="宋体" w:hAnsi="宋体"/>
          <w:spacing w:val="6"/>
          <w:szCs w:val="21"/>
          <w:highlight w:val="none"/>
        </w:rPr>
      </w:pPr>
      <w:r>
        <w:rPr>
          <w:rFonts w:hint="eastAsia" w:ascii="宋体" w:hAnsi="宋体"/>
          <w:spacing w:val="6"/>
          <w:szCs w:val="21"/>
          <w:highlight w:val="none"/>
        </w:rPr>
        <w:t xml:space="preserve">               单位名称（盖章）：</w:t>
      </w:r>
    </w:p>
    <w:p w14:paraId="7D49FDEB">
      <w:pPr>
        <w:tabs>
          <w:tab w:val="left" w:pos="4860"/>
        </w:tabs>
        <w:adjustRightInd w:val="0"/>
        <w:snapToGrid w:val="0"/>
        <w:spacing w:line="360" w:lineRule="auto"/>
        <w:ind w:right="1560" w:firstLine="444" w:firstLineChars="200"/>
        <w:jc w:val="center"/>
        <w:rPr>
          <w:rFonts w:hint="eastAsia" w:ascii="宋体" w:hAnsi="宋体"/>
          <w:spacing w:val="6"/>
          <w:szCs w:val="21"/>
          <w:highlight w:val="none"/>
        </w:rPr>
      </w:pPr>
      <w:r>
        <w:rPr>
          <w:rFonts w:hint="eastAsia" w:ascii="宋体" w:hAnsi="宋体"/>
          <w:spacing w:val="6"/>
          <w:szCs w:val="21"/>
          <w:highlight w:val="none"/>
        </w:rPr>
        <w:t xml:space="preserve">       日  期：</w:t>
      </w:r>
    </w:p>
    <w:p w14:paraId="51115C20">
      <w:pPr>
        <w:tabs>
          <w:tab w:val="left" w:pos="4860"/>
        </w:tabs>
        <w:adjustRightInd w:val="0"/>
        <w:snapToGrid w:val="0"/>
        <w:spacing w:line="360" w:lineRule="auto"/>
        <w:ind w:right="1560" w:firstLine="444" w:firstLineChars="200"/>
        <w:jc w:val="center"/>
        <w:rPr>
          <w:rFonts w:hint="eastAsia" w:ascii="宋体" w:hAnsi="宋体"/>
          <w:spacing w:val="6"/>
          <w:szCs w:val="21"/>
          <w:highlight w:val="none"/>
        </w:rPr>
      </w:pPr>
    </w:p>
    <w:p w14:paraId="3FD619F6">
      <w:pPr>
        <w:tabs>
          <w:tab w:val="left" w:pos="4860"/>
        </w:tabs>
        <w:adjustRightInd w:val="0"/>
        <w:snapToGrid w:val="0"/>
        <w:spacing w:line="360" w:lineRule="auto"/>
        <w:ind w:right="1560" w:firstLine="444" w:firstLineChars="200"/>
        <w:jc w:val="center"/>
        <w:rPr>
          <w:rFonts w:hint="eastAsia" w:ascii="宋体" w:hAnsi="宋体"/>
          <w:spacing w:val="6"/>
          <w:szCs w:val="21"/>
          <w:highlight w:val="none"/>
        </w:rPr>
      </w:pPr>
    </w:p>
    <w:p w14:paraId="62423E10">
      <w:pPr>
        <w:pStyle w:val="9"/>
        <w:adjustRightInd w:val="0"/>
        <w:snapToGrid w:val="0"/>
        <w:spacing w:before="0" w:after="0" w:line="360" w:lineRule="auto"/>
        <w:rPr>
          <w:rFonts w:hint="eastAsia" w:ascii="宋体" w:hAnsi="宋体"/>
          <w:sz w:val="21"/>
          <w:szCs w:val="21"/>
          <w:highlight w:val="none"/>
        </w:rPr>
      </w:pPr>
      <w:bookmarkStart w:id="510" w:name="_Toc5114"/>
      <w:bookmarkStart w:id="511" w:name="_Toc22201165"/>
      <w:bookmarkStart w:id="512" w:name="_Toc26272"/>
      <w:r>
        <w:rPr>
          <w:rFonts w:hint="eastAsia" w:ascii="宋体" w:hAnsi="宋体" w:cs="宋体"/>
          <w:kern w:val="0"/>
          <w:sz w:val="21"/>
          <w:szCs w:val="21"/>
          <w:highlight w:val="none"/>
        </w:rPr>
        <w:br w:type="page"/>
      </w:r>
      <w:bookmarkStart w:id="513" w:name="_Toc5292"/>
      <w:bookmarkStart w:id="514" w:name="_Toc19384"/>
      <w:r>
        <w:rPr>
          <w:rFonts w:hint="eastAsia" w:ascii="宋体" w:hAnsi="宋体" w:cs="宋体"/>
          <w:kern w:val="0"/>
          <w:sz w:val="21"/>
          <w:szCs w:val="21"/>
          <w:highlight w:val="none"/>
        </w:rPr>
        <w:t>附件9-3</w:t>
      </w:r>
      <w:r>
        <w:rPr>
          <w:rFonts w:hint="eastAsia" w:ascii="宋体" w:hAnsi="宋体"/>
          <w:sz w:val="21"/>
          <w:szCs w:val="21"/>
          <w:highlight w:val="none"/>
        </w:rPr>
        <w:t>监狱企业证明资料</w:t>
      </w:r>
      <w:bookmarkEnd w:id="510"/>
      <w:bookmarkEnd w:id="511"/>
      <w:bookmarkEnd w:id="512"/>
      <w:bookmarkEnd w:id="513"/>
      <w:bookmarkEnd w:id="514"/>
    </w:p>
    <w:p w14:paraId="438CC842">
      <w:pPr>
        <w:adjustRightInd w:val="0"/>
        <w:snapToGrid w:val="0"/>
        <w:spacing w:line="360" w:lineRule="auto"/>
        <w:jc w:val="center"/>
        <w:rPr>
          <w:rFonts w:hint="eastAsia" w:ascii="黑体" w:hAnsi="宋体"/>
          <w:b/>
          <w:sz w:val="28"/>
          <w:szCs w:val="28"/>
          <w:highlight w:val="none"/>
        </w:rPr>
      </w:pPr>
    </w:p>
    <w:p w14:paraId="633B32E8">
      <w:pPr>
        <w:adjustRightInd w:val="0"/>
        <w:snapToGrid w:val="0"/>
        <w:spacing w:line="360" w:lineRule="auto"/>
        <w:jc w:val="center"/>
        <w:rPr>
          <w:rFonts w:hint="eastAsia" w:ascii="黑体" w:hAnsi="宋体"/>
          <w:b/>
          <w:sz w:val="28"/>
          <w:szCs w:val="28"/>
          <w:highlight w:val="none"/>
        </w:rPr>
      </w:pPr>
      <w:r>
        <w:rPr>
          <w:rFonts w:hint="eastAsia" w:ascii="黑体" w:hAnsi="宋体"/>
          <w:b/>
          <w:sz w:val="28"/>
          <w:szCs w:val="28"/>
          <w:highlight w:val="none"/>
        </w:rPr>
        <w:t>监狱企业证明资料</w:t>
      </w:r>
    </w:p>
    <w:p w14:paraId="3F37F620">
      <w:pPr>
        <w:adjustRightInd w:val="0"/>
        <w:snapToGrid w:val="0"/>
        <w:spacing w:line="360" w:lineRule="auto"/>
        <w:jc w:val="center"/>
        <w:rPr>
          <w:rFonts w:hint="eastAsia" w:ascii="宋体" w:hAnsi="宋体"/>
          <w:b/>
          <w:spacing w:val="6"/>
          <w:szCs w:val="21"/>
          <w:highlight w:val="none"/>
        </w:rPr>
      </w:pPr>
      <w:r>
        <w:rPr>
          <w:rFonts w:hint="eastAsia" w:ascii="宋体" w:hAnsi="宋体"/>
          <w:b/>
          <w:spacing w:val="6"/>
          <w:szCs w:val="21"/>
          <w:highlight w:val="none"/>
        </w:rPr>
        <w:t>(不符合政策要求的无需提供)</w:t>
      </w:r>
    </w:p>
    <w:p w14:paraId="46656E9A">
      <w:pPr>
        <w:adjustRightInd w:val="0"/>
        <w:snapToGrid w:val="0"/>
        <w:spacing w:line="360" w:lineRule="auto"/>
        <w:rPr>
          <w:rFonts w:hint="eastAsia" w:ascii="宋体" w:hAnsi="宋体"/>
          <w:szCs w:val="21"/>
          <w:highlight w:val="none"/>
        </w:rPr>
      </w:pPr>
    </w:p>
    <w:p w14:paraId="467989BB">
      <w:pPr>
        <w:adjustRightInd w:val="0"/>
        <w:snapToGrid w:val="0"/>
        <w:spacing w:line="360" w:lineRule="auto"/>
        <w:ind w:firstLine="422" w:firstLineChars="200"/>
        <w:rPr>
          <w:rFonts w:hint="eastAsia" w:ascii="宋体" w:hAnsi="宋体"/>
          <w:szCs w:val="21"/>
          <w:highlight w:val="none"/>
        </w:rPr>
      </w:pPr>
      <w:r>
        <w:rPr>
          <w:rFonts w:hint="eastAsia" w:ascii="宋体" w:hAnsi="宋体"/>
          <w:b/>
          <w:szCs w:val="21"/>
          <w:highlight w:val="none"/>
        </w:rPr>
        <w:t>注</w:t>
      </w:r>
      <w:r>
        <w:rPr>
          <w:rFonts w:hint="eastAsia" w:ascii="宋体" w:hAnsi="宋体" w:cs="宋体"/>
          <w:bCs/>
          <w:spacing w:val="6"/>
          <w:kern w:val="0"/>
          <w:szCs w:val="21"/>
          <w:highlight w:val="none"/>
        </w:rPr>
        <w:t>：</w:t>
      </w:r>
      <w:r>
        <w:rPr>
          <w:rFonts w:hint="eastAsia" w:ascii="宋体" w:hAnsi="宋体"/>
          <w:szCs w:val="21"/>
          <w:highlight w:val="none"/>
        </w:rPr>
        <w:t>按</w:t>
      </w:r>
      <w:r>
        <w:rPr>
          <w:rFonts w:hint="eastAsia" w:ascii="宋体" w:hAnsi="宋体"/>
          <w:spacing w:val="6"/>
          <w:szCs w:val="21"/>
          <w:highlight w:val="none"/>
        </w:rPr>
        <w:t>《</w:t>
      </w:r>
      <w:r>
        <w:rPr>
          <w:rFonts w:hint="eastAsia" w:ascii="宋体" w:hAnsi="宋体"/>
          <w:szCs w:val="21"/>
          <w:highlight w:val="none"/>
        </w:rPr>
        <w:t>财政部 司法部关于政府采购支持监狱企业发展有关问题的通知</w:t>
      </w:r>
      <w:r>
        <w:rPr>
          <w:rFonts w:hint="eastAsia" w:ascii="宋体" w:hAnsi="宋体"/>
          <w:spacing w:val="6"/>
          <w:szCs w:val="21"/>
          <w:highlight w:val="none"/>
        </w:rPr>
        <w:t>》</w:t>
      </w:r>
      <w:r>
        <w:rPr>
          <w:rFonts w:hint="eastAsia" w:ascii="宋体" w:hAnsi="宋体"/>
          <w:szCs w:val="21"/>
          <w:highlight w:val="none"/>
        </w:rPr>
        <w:t>(财库〔2014〕68号)文件规定提供证明文件（复印件）。</w:t>
      </w:r>
    </w:p>
    <w:p w14:paraId="558C2836">
      <w:pPr>
        <w:adjustRightInd w:val="0"/>
        <w:snapToGrid w:val="0"/>
        <w:spacing w:line="360" w:lineRule="auto"/>
        <w:ind w:firstLine="420" w:firstLineChars="200"/>
        <w:rPr>
          <w:rFonts w:hint="eastAsia" w:ascii="宋体" w:hAnsi="宋体"/>
          <w:szCs w:val="21"/>
          <w:highlight w:val="none"/>
        </w:rPr>
      </w:pPr>
    </w:p>
    <w:p w14:paraId="7F42D00B">
      <w:pPr>
        <w:adjustRightInd w:val="0"/>
        <w:snapToGrid w:val="0"/>
        <w:spacing w:line="360" w:lineRule="auto"/>
        <w:ind w:firstLine="420" w:firstLineChars="200"/>
        <w:rPr>
          <w:rFonts w:hint="eastAsia" w:ascii="宋体" w:hAnsi="宋体"/>
          <w:szCs w:val="21"/>
          <w:highlight w:val="none"/>
        </w:rPr>
      </w:pPr>
    </w:p>
    <w:p w14:paraId="07DB5F54">
      <w:pPr>
        <w:pStyle w:val="9"/>
        <w:adjustRightInd w:val="0"/>
        <w:snapToGrid w:val="0"/>
        <w:spacing w:before="0" w:after="0" w:line="360" w:lineRule="auto"/>
        <w:rPr>
          <w:rFonts w:hint="eastAsia" w:ascii="宋体" w:hAnsi="宋体"/>
          <w:sz w:val="21"/>
          <w:szCs w:val="21"/>
          <w:highlight w:val="none"/>
        </w:rPr>
      </w:pPr>
      <w:r>
        <w:rPr>
          <w:rFonts w:hAnsi="华文中宋" w:eastAsia="黑体" w:cs="宋体"/>
          <w:spacing w:val="6"/>
          <w:kern w:val="0"/>
          <w:highlight w:val="none"/>
        </w:rPr>
        <w:br w:type="page"/>
      </w:r>
      <w:bookmarkStart w:id="515" w:name="_Toc28787"/>
      <w:bookmarkStart w:id="516" w:name="_Toc22201166"/>
      <w:bookmarkStart w:id="517" w:name="_Toc2317"/>
      <w:bookmarkStart w:id="518" w:name="_Toc4913"/>
      <w:bookmarkStart w:id="519" w:name="_Toc5379"/>
      <w:r>
        <w:rPr>
          <w:rFonts w:hint="eastAsia" w:ascii="宋体" w:hAnsi="宋体" w:cs="宋体"/>
          <w:spacing w:val="6"/>
          <w:kern w:val="0"/>
          <w:sz w:val="21"/>
          <w:szCs w:val="21"/>
          <w:highlight w:val="none"/>
        </w:rPr>
        <w:t xml:space="preserve">附件9-4 </w:t>
      </w:r>
      <w:r>
        <w:rPr>
          <w:rFonts w:hint="eastAsia" w:ascii="宋体" w:hAnsi="宋体"/>
          <w:sz w:val="21"/>
          <w:szCs w:val="21"/>
          <w:highlight w:val="none"/>
        </w:rPr>
        <w:t>强制采购或者优先采购产品的证明材料</w:t>
      </w:r>
      <w:bookmarkEnd w:id="515"/>
      <w:bookmarkEnd w:id="516"/>
      <w:bookmarkEnd w:id="517"/>
      <w:bookmarkEnd w:id="518"/>
      <w:bookmarkEnd w:id="519"/>
    </w:p>
    <w:p w14:paraId="2F5E24C2">
      <w:pPr>
        <w:adjustRightInd w:val="0"/>
        <w:snapToGrid w:val="0"/>
        <w:spacing w:before="120" w:beforeLines="50" w:line="360" w:lineRule="auto"/>
        <w:jc w:val="center"/>
        <w:rPr>
          <w:rFonts w:hint="eastAsia" w:ascii="黑体" w:hAnsi="黑体" w:eastAsia="黑体"/>
          <w:b/>
          <w:sz w:val="28"/>
          <w:szCs w:val="28"/>
          <w:highlight w:val="none"/>
        </w:rPr>
      </w:pPr>
      <w:r>
        <w:rPr>
          <w:rFonts w:hint="eastAsia" w:ascii="黑体" w:hAnsi="黑体" w:eastAsia="黑体"/>
          <w:b/>
          <w:sz w:val="28"/>
          <w:szCs w:val="28"/>
          <w:highlight w:val="none"/>
        </w:rPr>
        <w:t>强制采购或者优先采购产品</w:t>
      </w:r>
      <w:r>
        <w:rPr>
          <w:rFonts w:hint="eastAsia" w:ascii="黑体" w:hAnsi="黑体" w:eastAsia="黑体"/>
          <w:b/>
          <w:bCs/>
          <w:sz w:val="28"/>
          <w:szCs w:val="28"/>
          <w:highlight w:val="none"/>
        </w:rPr>
        <w:t>的</w:t>
      </w:r>
      <w:r>
        <w:rPr>
          <w:rFonts w:hint="eastAsia" w:ascii="黑体" w:hAnsi="黑体" w:eastAsia="黑体"/>
          <w:b/>
          <w:sz w:val="28"/>
          <w:szCs w:val="28"/>
          <w:highlight w:val="none"/>
        </w:rPr>
        <w:t>证明材料</w:t>
      </w:r>
    </w:p>
    <w:p w14:paraId="56973F04">
      <w:pPr>
        <w:adjustRightInd w:val="0"/>
        <w:snapToGrid w:val="0"/>
        <w:spacing w:before="120" w:beforeLines="50" w:line="360" w:lineRule="auto"/>
        <w:jc w:val="center"/>
        <w:rPr>
          <w:rFonts w:hint="eastAsia" w:ascii="宋体" w:hAnsi="宋体"/>
          <w:b/>
          <w:spacing w:val="6"/>
          <w:szCs w:val="21"/>
          <w:highlight w:val="none"/>
        </w:rPr>
      </w:pPr>
      <w:r>
        <w:rPr>
          <w:rFonts w:hint="eastAsia" w:ascii="宋体" w:hAnsi="宋体"/>
          <w:b/>
          <w:spacing w:val="6"/>
          <w:szCs w:val="21"/>
          <w:highlight w:val="none"/>
        </w:rPr>
        <w:t>(不属于强制采购或者优先采购产品的无需提供)</w:t>
      </w:r>
    </w:p>
    <w:p w14:paraId="5F6E7146">
      <w:pPr>
        <w:adjustRightInd w:val="0"/>
        <w:snapToGrid w:val="0"/>
        <w:spacing w:line="360" w:lineRule="auto"/>
        <w:ind w:firstLine="420" w:firstLineChars="200"/>
        <w:jc w:val="left"/>
        <w:rPr>
          <w:rFonts w:hint="eastAsia" w:ascii="宋体" w:hAnsi="宋体"/>
          <w:szCs w:val="21"/>
          <w:highlight w:val="none"/>
        </w:rPr>
      </w:pPr>
    </w:p>
    <w:p w14:paraId="200D9E32">
      <w:pPr>
        <w:adjustRightInd w:val="0"/>
        <w:snapToGrid w:val="0"/>
        <w:spacing w:line="360" w:lineRule="auto"/>
        <w:jc w:val="left"/>
        <w:rPr>
          <w:rFonts w:hint="eastAsia" w:ascii="宋体" w:hAnsi="宋体"/>
          <w:szCs w:val="21"/>
          <w:highlight w:val="none"/>
        </w:rPr>
      </w:pPr>
      <w:r>
        <w:rPr>
          <w:rFonts w:hint="eastAsia" w:ascii="宋体" w:hAnsi="宋体"/>
          <w:b/>
          <w:szCs w:val="21"/>
          <w:highlight w:val="none"/>
        </w:rPr>
        <w:t>注</w:t>
      </w:r>
      <w:r>
        <w:rPr>
          <w:rFonts w:hint="eastAsia" w:ascii="宋体" w:hAnsi="宋体"/>
          <w:szCs w:val="21"/>
          <w:highlight w:val="none"/>
        </w:rPr>
        <w:t>：1、供应商提供的产品</w:t>
      </w:r>
      <w:r>
        <w:rPr>
          <w:rFonts w:hint="eastAsia" w:ascii="宋体" w:hAnsi="宋体"/>
          <w:bCs/>
          <w:szCs w:val="21"/>
          <w:highlight w:val="none"/>
        </w:rPr>
        <w:t>属于优先采购的</w:t>
      </w:r>
      <w:r>
        <w:rPr>
          <w:rFonts w:hint="eastAsia" w:ascii="宋体" w:hAnsi="宋体"/>
          <w:szCs w:val="21"/>
          <w:highlight w:val="none"/>
        </w:rPr>
        <w:t>，应按第二章第42条规定提供证明材料和本章本节附页2“优先采购产品清单”，并加盖供应商单位公章。</w:t>
      </w:r>
    </w:p>
    <w:p w14:paraId="45D309CA">
      <w:pPr>
        <w:adjustRightInd w:val="0"/>
        <w:snapToGrid w:val="0"/>
        <w:spacing w:line="360" w:lineRule="auto"/>
        <w:ind w:firstLine="630" w:firstLineChars="300"/>
        <w:jc w:val="left"/>
        <w:rPr>
          <w:rFonts w:hint="eastAsia" w:ascii="宋体" w:hAnsi="宋体"/>
          <w:szCs w:val="21"/>
          <w:highlight w:val="none"/>
        </w:rPr>
      </w:pPr>
      <w:r>
        <w:rPr>
          <w:rFonts w:hint="eastAsia" w:ascii="宋体" w:hAnsi="宋体"/>
          <w:szCs w:val="21"/>
          <w:highlight w:val="none"/>
        </w:rPr>
        <w:t>2、节能产品、环境标志产品(强制采购或者优先采购产品)认证证书内容注明“详见证书附件</w:t>
      </w:r>
      <w:r>
        <w:rPr>
          <w:rFonts w:hint="eastAsia" w:ascii="华文中宋" w:hAnsi="华文中宋" w:eastAsia="华文中宋"/>
          <w:szCs w:val="21"/>
          <w:highlight w:val="none"/>
        </w:rPr>
        <w:t>”</w:t>
      </w:r>
      <w:r>
        <w:rPr>
          <w:rFonts w:hint="eastAsia" w:ascii="宋体" w:hAnsi="宋体"/>
          <w:szCs w:val="21"/>
          <w:highlight w:val="none"/>
        </w:rPr>
        <w:t>的，应提供其附件，以证明认证证书与响应文件一致。</w:t>
      </w:r>
    </w:p>
    <w:p w14:paraId="0D073955">
      <w:pPr>
        <w:adjustRightInd w:val="0"/>
        <w:snapToGrid w:val="0"/>
        <w:spacing w:line="360" w:lineRule="auto"/>
        <w:ind w:firstLine="420" w:firstLineChars="200"/>
        <w:jc w:val="left"/>
        <w:rPr>
          <w:rFonts w:hint="eastAsia" w:ascii="宋体" w:hAnsi="宋体"/>
          <w:szCs w:val="21"/>
          <w:highlight w:val="none"/>
        </w:rPr>
      </w:pPr>
    </w:p>
    <w:p w14:paraId="1E008D96">
      <w:pPr>
        <w:keepNext/>
        <w:keepLines/>
        <w:spacing w:before="280" w:after="290" w:line="376" w:lineRule="auto"/>
        <w:jc w:val="left"/>
        <w:rPr>
          <w:rFonts w:hint="eastAsia" w:ascii="黑体" w:hAnsi="黑体" w:eastAsia="黑体" w:cs="黑体"/>
          <w:highlight w:val="none"/>
        </w:rPr>
      </w:pPr>
      <w:r>
        <w:rPr>
          <w:highlight w:val="none"/>
        </w:rPr>
        <w:br w:type="page"/>
      </w:r>
      <w:bookmarkStart w:id="520" w:name="_Toc22201167"/>
      <w:r>
        <w:rPr>
          <w:rFonts w:ascii="黑体" w:hAnsi="黑体" w:eastAsia="黑体" w:cs="黑体"/>
          <w:spacing w:val="6"/>
          <w:highlight w:val="none"/>
        </w:rPr>
        <w:t xml:space="preserve">附页 2 </w:t>
      </w:r>
      <w:r>
        <w:rPr>
          <w:rFonts w:ascii="黑体" w:hAnsi="黑体" w:eastAsia="黑体" w:cs="黑体"/>
          <w:highlight w:val="none"/>
        </w:rPr>
        <w:t>优先采购产品清单</w:t>
      </w:r>
    </w:p>
    <w:p w14:paraId="1DE7099B">
      <w:pPr>
        <w:spacing w:line="360" w:lineRule="auto"/>
        <w:jc w:val="center"/>
        <w:rPr>
          <w:rFonts w:hint="eastAsia" w:ascii="宋体" w:hAnsi="宋体" w:cs="宋体"/>
          <w:b/>
          <w:spacing w:val="6"/>
          <w:highlight w:val="none"/>
        </w:rPr>
      </w:pPr>
      <w:r>
        <w:rPr>
          <w:rFonts w:ascii="黑体" w:hAnsi="黑体" w:eastAsia="黑体" w:cs="黑体"/>
          <w:b/>
          <w:sz w:val="28"/>
          <w:highlight w:val="none"/>
        </w:rPr>
        <w:t>优先采购产品清单</w:t>
      </w:r>
    </w:p>
    <w:p w14:paraId="0528D0D0">
      <w:pPr>
        <w:spacing w:line="360" w:lineRule="auto"/>
        <w:rPr>
          <w:rFonts w:hint="eastAsia" w:ascii="宋体" w:hAnsi="宋体" w:cs="宋体"/>
          <w:highlight w:val="none"/>
        </w:rPr>
      </w:pPr>
      <w:r>
        <w:rPr>
          <w:rFonts w:hint="eastAsia" w:ascii="宋体" w:hAnsi="宋体" w:cs="宋体"/>
          <w:highlight w:val="none"/>
        </w:rPr>
        <w:t>政府采购</w:t>
      </w:r>
      <w:r>
        <w:rPr>
          <w:rFonts w:ascii="宋体" w:hAnsi="宋体" w:cs="宋体"/>
          <w:highlight w:val="none"/>
        </w:rPr>
        <w:t>编号：</w:t>
      </w:r>
      <w:r>
        <w:rPr>
          <w:rFonts w:ascii="宋体" w:hAnsi="宋体" w:cs="宋体"/>
          <w:highlight w:val="none"/>
          <w:u w:val="single"/>
        </w:rPr>
        <w:t>__    ________</w:t>
      </w:r>
      <w:r>
        <w:rPr>
          <w:rFonts w:ascii="宋体" w:hAnsi="宋体" w:cs="宋体"/>
          <w:highlight w:val="none"/>
        </w:rPr>
        <w:t xml:space="preserve">                       项目名称：</w:t>
      </w:r>
      <w:r>
        <w:rPr>
          <w:rFonts w:ascii="宋体" w:hAnsi="宋体" w:cs="宋体"/>
          <w:highlight w:val="none"/>
          <w:u w:val="single"/>
        </w:rPr>
        <w:t>____            ______</w:t>
      </w:r>
    </w:p>
    <w:tbl>
      <w:tblPr>
        <w:tblStyle w:val="48"/>
        <w:tblW w:w="8789" w:type="dxa"/>
        <w:tblInd w:w="108" w:type="dxa"/>
        <w:tblLayout w:type="fixed"/>
        <w:tblCellMar>
          <w:top w:w="0" w:type="dxa"/>
          <w:left w:w="10" w:type="dxa"/>
          <w:bottom w:w="0" w:type="dxa"/>
          <w:right w:w="10" w:type="dxa"/>
        </w:tblCellMar>
      </w:tblPr>
      <w:tblGrid>
        <w:gridCol w:w="671"/>
        <w:gridCol w:w="1739"/>
        <w:gridCol w:w="1134"/>
        <w:gridCol w:w="1418"/>
        <w:gridCol w:w="1984"/>
        <w:gridCol w:w="1843"/>
      </w:tblGrid>
      <w:tr w14:paraId="13AF707F">
        <w:tblPrEx>
          <w:tblCellMar>
            <w:top w:w="0" w:type="dxa"/>
            <w:left w:w="10" w:type="dxa"/>
            <w:bottom w:w="0" w:type="dxa"/>
            <w:right w:w="10" w:type="dxa"/>
          </w:tblCellMar>
        </w:tblPrEx>
        <w:trPr>
          <w:trHeight w:val="57" w:hRule="atLeast"/>
        </w:trPr>
        <w:tc>
          <w:tcPr>
            <w:tcW w:w="8789" w:type="dxa"/>
            <w:gridSpan w:val="6"/>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38ECE96">
            <w:pPr>
              <w:spacing w:line="360" w:lineRule="auto"/>
              <w:ind w:firstLine="480"/>
              <w:jc w:val="left"/>
              <w:rPr>
                <w:highlight w:val="none"/>
              </w:rPr>
            </w:pPr>
            <w:r>
              <w:rPr>
                <w:rFonts w:ascii="黑体" w:hAnsi="黑体" w:eastAsia="黑体" w:cs="黑体"/>
                <w:sz w:val="24"/>
                <w:highlight w:val="none"/>
              </w:rPr>
              <w:t>以下为</w:t>
            </w:r>
            <w:r>
              <w:rPr>
                <w:rFonts w:hint="eastAsia" w:ascii="黑体" w:hAnsi="黑体" w:eastAsia="黑体" w:cs="黑体"/>
                <w:sz w:val="24"/>
                <w:highlight w:val="none"/>
              </w:rPr>
              <w:t>供应商</w:t>
            </w:r>
            <w:r>
              <w:rPr>
                <w:rFonts w:ascii="黑体" w:hAnsi="黑体" w:eastAsia="黑体" w:cs="黑体"/>
                <w:sz w:val="24"/>
                <w:highlight w:val="none"/>
              </w:rPr>
              <w:t>提供的政府采购优先采购产品，</w:t>
            </w:r>
            <w:r>
              <w:rPr>
                <w:rFonts w:hint="eastAsia" w:ascii="黑体" w:hAnsi="黑体" w:eastAsia="黑体" w:cs="黑体"/>
                <w:sz w:val="24"/>
                <w:highlight w:val="none"/>
              </w:rPr>
              <w:t>供应商</w:t>
            </w:r>
            <w:r>
              <w:rPr>
                <w:rFonts w:ascii="黑体" w:hAnsi="黑体" w:eastAsia="黑体" w:cs="黑体"/>
                <w:sz w:val="24"/>
                <w:highlight w:val="none"/>
              </w:rPr>
              <w:t>对本表的真实性负责。如有虚假，将依法承担相应责任。</w:t>
            </w:r>
          </w:p>
        </w:tc>
      </w:tr>
      <w:tr w14:paraId="243D1DCF">
        <w:tblPrEx>
          <w:tblCellMar>
            <w:top w:w="0" w:type="dxa"/>
            <w:left w:w="10" w:type="dxa"/>
            <w:bottom w:w="0" w:type="dxa"/>
            <w:right w:w="10" w:type="dxa"/>
          </w:tblCellMar>
        </w:tblPrEx>
        <w:trPr>
          <w:trHeight w:val="519" w:hRule="atLeast"/>
        </w:trPr>
        <w:tc>
          <w:tcPr>
            <w:tcW w:w="6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175C64D">
            <w:pPr>
              <w:spacing w:line="360" w:lineRule="auto"/>
              <w:jc w:val="center"/>
              <w:rPr>
                <w:rFonts w:hint="eastAsia" w:ascii="宋体" w:hAnsi="宋体" w:cs="宋体"/>
                <w:highlight w:val="none"/>
              </w:rPr>
            </w:pPr>
            <w:r>
              <w:rPr>
                <w:rFonts w:ascii="宋体" w:hAnsi="宋体" w:cs="宋体"/>
                <w:highlight w:val="none"/>
              </w:rPr>
              <w:t>1</w:t>
            </w:r>
          </w:p>
        </w:tc>
        <w:tc>
          <w:tcPr>
            <w:tcW w:w="173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DD556FF">
            <w:pPr>
              <w:spacing w:line="360" w:lineRule="auto"/>
              <w:jc w:val="center"/>
              <w:rPr>
                <w:rFonts w:hint="eastAsia" w:ascii="宋体" w:hAnsi="宋体" w:cs="宋体"/>
                <w:highlight w:val="none"/>
              </w:rPr>
            </w:pPr>
            <w:r>
              <w:rPr>
                <w:rFonts w:ascii="宋体" w:hAnsi="宋体" w:cs="宋体"/>
                <w:highlight w:val="none"/>
              </w:rPr>
              <w:t>2</w:t>
            </w: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FE1F58">
            <w:pPr>
              <w:spacing w:line="360" w:lineRule="auto"/>
              <w:jc w:val="center"/>
              <w:rPr>
                <w:rFonts w:hint="eastAsia" w:ascii="宋体" w:hAnsi="宋体" w:cs="宋体"/>
                <w:highlight w:val="none"/>
              </w:rPr>
            </w:pPr>
            <w:r>
              <w:rPr>
                <w:rFonts w:ascii="宋体" w:hAnsi="宋体" w:cs="宋体"/>
                <w:highlight w:val="none"/>
              </w:rPr>
              <w:t>3</w:t>
            </w:r>
          </w:p>
        </w:tc>
        <w:tc>
          <w:tcPr>
            <w:tcW w:w="141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5B792DE">
            <w:pPr>
              <w:spacing w:line="360" w:lineRule="auto"/>
              <w:jc w:val="center"/>
              <w:rPr>
                <w:rFonts w:hint="eastAsia" w:ascii="宋体" w:hAnsi="宋体" w:cs="宋体"/>
                <w:highlight w:val="none"/>
              </w:rPr>
            </w:pPr>
            <w:r>
              <w:rPr>
                <w:rFonts w:ascii="宋体" w:hAnsi="宋体" w:cs="宋体"/>
                <w:highlight w:val="none"/>
              </w:rPr>
              <w:t>4</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B4D39A2">
            <w:pPr>
              <w:spacing w:line="360" w:lineRule="auto"/>
              <w:jc w:val="center"/>
              <w:rPr>
                <w:rFonts w:hint="eastAsia" w:ascii="宋体" w:hAnsi="宋体" w:cs="宋体"/>
                <w:highlight w:val="none"/>
              </w:rPr>
            </w:pPr>
            <w:r>
              <w:rPr>
                <w:rFonts w:ascii="宋体" w:hAnsi="宋体" w:cs="宋体"/>
                <w:highlight w:val="none"/>
              </w:rPr>
              <w:t>5</w:t>
            </w:r>
          </w:p>
        </w:tc>
        <w:tc>
          <w:tcPr>
            <w:tcW w:w="184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2C06532">
            <w:pPr>
              <w:spacing w:line="360" w:lineRule="auto"/>
              <w:jc w:val="center"/>
              <w:rPr>
                <w:rFonts w:hint="eastAsia" w:ascii="宋体" w:hAnsi="宋体" w:cs="宋体"/>
                <w:highlight w:val="none"/>
              </w:rPr>
            </w:pPr>
            <w:r>
              <w:rPr>
                <w:rFonts w:ascii="宋体" w:hAnsi="宋体" w:cs="宋体"/>
                <w:highlight w:val="none"/>
              </w:rPr>
              <w:t>6</w:t>
            </w:r>
          </w:p>
        </w:tc>
      </w:tr>
      <w:tr w14:paraId="1B650FBA">
        <w:tblPrEx>
          <w:tblCellMar>
            <w:top w:w="0" w:type="dxa"/>
            <w:left w:w="10" w:type="dxa"/>
            <w:bottom w:w="0" w:type="dxa"/>
            <w:right w:w="10" w:type="dxa"/>
          </w:tblCellMar>
        </w:tblPrEx>
        <w:trPr>
          <w:trHeight w:val="550" w:hRule="atLeast"/>
        </w:trPr>
        <w:tc>
          <w:tcPr>
            <w:tcW w:w="6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55507B">
            <w:pPr>
              <w:spacing w:line="360" w:lineRule="auto"/>
              <w:jc w:val="center"/>
              <w:rPr>
                <w:rFonts w:hint="eastAsia" w:ascii="宋体" w:hAnsi="宋体" w:cs="宋体"/>
                <w:highlight w:val="none"/>
              </w:rPr>
            </w:pPr>
            <w:r>
              <w:rPr>
                <w:rFonts w:ascii="宋体" w:hAnsi="宋体" w:cs="宋体"/>
                <w:highlight w:val="none"/>
              </w:rPr>
              <w:t>序号</w:t>
            </w:r>
          </w:p>
        </w:tc>
        <w:tc>
          <w:tcPr>
            <w:tcW w:w="173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FDC76A7">
            <w:pPr>
              <w:spacing w:line="360" w:lineRule="auto"/>
              <w:jc w:val="center"/>
              <w:rPr>
                <w:rFonts w:hint="eastAsia" w:ascii="宋体" w:hAnsi="宋体" w:cs="宋体"/>
                <w:highlight w:val="none"/>
              </w:rPr>
            </w:pPr>
            <w:r>
              <w:rPr>
                <w:rFonts w:ascii="宋体" w:hAnsi="宋体" w:cs="宋体"/>
                <w:highlight w:val="none"/>
              </w:rPr>
              <w:t>货物名称</w:t>
            </w: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4D19AAE">
            <w:pPr>
              <w:spacing w:line="360" w:lineRule="auto"/>
              <w:jc w:val="center"/>
              <w:rPr>
                <w:rFonts w:hint="eastAsia" w:ascii="宋体" w:hAnsi="宋体" w:cs="宋体"/>
                <w:highlight w:val="none"/>
              </w:rPr>
            </w:pPr>
            <w:r>
              <w:rPr>
                <w:rFonts w:ascii="宋体" w:hAnsi="宋体" w:cs="宋体"/>
                <w:highlight w:val="none"/>
              </w:rPr>
              <w:t>规格型号</w:t>
            </w:r>
          </w:p>
        </w:tc>
        <w:tc>
          <w:tcPr>
            <w:tcW w:w="141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A8E40C5">
            <w:pPr>
              <w:spacing w:line="360" w:lineRule="auto"/>
              <w:jc w:val="center"/>
              <w:rPr>
                <w:rFonts w:hint="eastAsia" w:ascii="宋体" w:hAnsi="宋体" w:cs="宋体"/>
                <w:highlight w:val="none"/>
              </w:rPr>
            </w:pPr>
            <w:r>
              <w:rPr>
                <w:rFonts w:ascii="宋体" w:hAnsi="宋体" w:cs="宋体"/>
                <w:highlight w:val="none"/>
              </w:rPr>
              <w:t>价格（元）</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A05DF57">
            <w:pPr>
              <w:spacing w:line="360" w:lineRule="auto"/>
              <w:jc w:val="center"/>
              <w:rPr>
                <w:rFonts w:hint="eastAsia" w:ascii="宋体" w:hAnsi="宋体" w:cs="宋体"/>
                <w:highlight w:val="none"/>
              </w:rPr>
            </w:pPr>
            <w:r>
              <w:rPr>
                <w:rFonts w:ascii="宋体" w:hAnsi="宋体" w:cs="宋体"/>
                <w:highlight w:val="none"/>
              </w:rPr>
              <w:t>货物制造商名称</w:t>
            </w:r>
          </w:p>
        </w:tc>
        <w:tc>
          <w:tcPr>
            <w:tcW w:w="184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89D88D1">
            <w:pPr>
              <w:spacing w:line="360" w:lineRule="auto"/>
              <w:jc w:val="center"/>
              <w:rPr>
                <w:rFonts w:hint="eastAsia" w:ascii="宋体" w:hAnsi="宋体" w:cs="宋体"/>
                <w:highlight w:val="none"/>
              </w:rPr>
            </w:pPr>
            <w:r>
              <w:rPr>
                <w:rFonts w:ascii="宋体" w:hAnsi="宋体" w:cs="宋体"/>
                <w:highlight w:val="none"/>
              </w:rPr>
              <w:t>政策功能编码</w:t>
            </w:r>
          </w:p>
        </w:tc>
      </w:tr>
      <w:tr w14:paraId="238D7A95">
        <w:tblPrEx>
          <w:tblCellMar>
            <w:top w:w="0" w:type="dxa"/>
            <w:left w:w="10" w:type="dxa"/>
            <w:bottom w:w="0" w:type="dxa"/>
            <w:right w:w="10" w:type="dxa"/>
          </w:tblCellMar>
        </w:tblPrEx>
        <w:trPr>
          <w:trHeight w:val="442" w:hRule="atLeast"/>
        </w:trPr>
        <w:tc>
          <w:tcPr>
            <w:tcW w:w="8789" w:type="dxa"/>
            <w:gridSpan w:val="6"/>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B46534D">
            <w:pPr>
              <w:spacing w:line="360" w:lineRule="auto"/>
              <w:jc w:val="left"/>
              <w:rPr>
                <w:rFonts w:hint="eastAsia" w:ascii="宋体" w:hAnsi="宋体" w:cs="宋体"/>
                <w:highlight w:val="none"/>
              </w:rPr>
            </w:pPr>
            <w:r>
              <w:rPr>
                <w:rFonts w:ascii="宋体" w:hAnsi="宋体" w:cs="宋体"/>
                <w:b/>
                <w:highlight w:val="none"/>
              </w:rPr>
              <w:t>节能产品</w:t>
            </w:r>
          </w:p>
        </w:tc>
      </w:tr>
      <w:tr w14:paraId="509CF1EB">
        <w:tblPrEx>
          <w:tblCellMar>
            <w:top w:w="0" w:type="dxa"/>
            <w:left w:w="10" w:type="dxa"/>
            <w:bottom w:w="0" w:type="dxa"/>
            <w:right w:w="10" w:type="dxa"/>
          </w:tblCellMar>
        </w:tblPrEx>
        <w:trPr>
          <w:trHeight w:val="442" w:hRule="atLeast"/>
        </w:trPr>
        <w:tc>
          <w:tcPr>
            <w:tcW w:w="6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2F60794">
            <w:pPr>
              <w:spacing w:line="360" w:lineRule="auto"/>
              <w:jc w:val="center"/>
              <w:rPr>
                <w:rFonts w:hint="eastAsia" w:ascii="宋体" w:hAnsi="宋体" w:cs="宋体"/>
                <w:sz w:val="22"/>
                <w:highlight w:val="none"/>
              </w:rPr>
            </w:pPr>
          </w:p>
        </w:tc>
        <w:tc>
          <w:tcPr>
            <w:tcW w:w="173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B504696">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6F02157">
            <w:pPr>
              <w:spacing w:line="360" w:lineRule="auto"/>
              <w:jc w:val="left"/>
              <w:rPr>
                <w:rFonts w:hint="eastAsia" w:ascii="宋体" w:hAnsi="宋体" w:cs="宋体"/>
                <w:sz w:val="22"/>
                <w:highlight w:val="none"/>
              </w:rPr>
            </w:pPr>
          </w:p>
        </w:tc>
        <w:tc>
          <w:tcPr>
            <w:tcW w:w="141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F81CB8C">
            <w:pPr>
              <w:spacing w:line="360" w:lineRule="auto"/>
              <w:jc w:val="left"/>
              <w:rPr>
                <w:rFonts w:hint="eastAsia" w:ascii="宋体" w:hAnsi="宋体" w:cs="宋体"/>
                <w:sz w:val="22"/>
                <w:highlight w:val="none"/>
              </w:rPr>
            </w:pP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CA782C5">
            <w:pPr>
              <w:spacing w:line="360" w:lineRule="auto"/>
              <w:jc w:val="center"/>
              <w:rPr>
                <w:rFonts w:hint="eastAsia" w:ascii="宋体" w:hAnsi="宋体" w:cs="宋体"/>
                <w:sz w:val="22"/>
                <w:highlight w:val="none"/>
              </w:rPr>
            </w:pPr>
          </w:p>
        </w:tc>
        <w:tc>
          <w:tcPr>
            <w:tcW w:w="184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9E4D4EB">
            <w:pPr>
              <w:spacing w:line="360" w:lineRule="auto"/>
              <w:jc w:val="center"/>
              <w:rPr>
                <w:rFonts w:hint="eastAsia" w:ascii="宋体" w:hAnsi="宋体" w:cs="宋体"/>
                <w:sz w:val="22"/>
                <w:highlight w:val="none"/>
              </w:rPr>
            </w:pPr>
          </w:p>
        </w:tc>
      </w:tr>
      <w:tr w14:paraId="508BBCD1">
        <w:tblPrEx>
          <w:tblCellMar>
            <w:top w:w="0" w:type="dxa"/>
            <w:left w:w="10" w:type="dxa"/>
            <w:bottom w:w="0" w:type="dxa"/>
            <w:right w:w="10" w:type="dxa"/>
          </w:tblCellMar>
        </w:tblPrEx>
        <w:trPr>
          <w:trHeight w:val="442" w:hRule="atLeast"/>
        </w:trPr>
        <w:tc>
          <w:tcPr>
            <w:tcW w:w="6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2E33A79">
            <w:pPr>
              <w:spacing w:line="360" w:lineRule="auto"/>
              <w:jc w:val="center"/>
              <w:rPr>
                <w:rFonts w:hint="eastAsia" w:ascii="宋体" w:hAnsi="宋体" w:cs="宋体"/>
                <w:highlight w:val="none"/>
              </w:rPr>
            </w:pPr>
            <w:r>
              <w:rPr>
                <w:rFonts w:ascii="宋体" w:hAnsi="宋体" w:cs="宋体"/>
                <w:highlight w:val="none"/>
              </w:rPr>
              <w:t>小计</w:t>
            </w:r>
          </w:p>
        </w:tc>
        <w:tc>
          <w:tcPr>
            <w:tcW w:w="173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CB54560">
            <w:pPr>
              <w:spacing w:line="360" w:lineRule="auto"/>
              <w:jc w:val="center"/>
              <w:rPr>
                <w:rFonts w:hint="eastAsia" w:ascii="宋体" w:hAnsi="宋体" w:cs="宋体"/>
                <w:highlight w:val="none"/>
              </w:rPr>
            </w:pPr>
            <w:r>
              <w:rPr>
                <w:rFonts w:ascii="宋体" w:hAnsi="宋体" w:cs="宋体"/>
                <w:b/>
                <w:highlight w:val="none"/>
              </w:rPr>
              <w:t>/</w:t>
            </w: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DD737B9">
            <w:pPr>
              <w:spacing w:line="360" w:lineRule="auto"/>
              <w:jc w:val="left"/>
              <w:rPr>
                <w:rFonts w:hint="eastAsia" w:ascii="宋体" w:hAnsi="宋体" w:cs="宋体"/>
                <w:sz w:val="22"/>
                <w:highlight w:val="none"/>
              </w:rPr>
            </w:pPr>
          </w:p>
        </w:tc>
        <w:tc>
          <w:tcPr>
            <w:tcW w:w="141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83C3FB1">
            <w:pPr>
              <w:spacing w:line="360" w:lineRule="auto"/>
              <w:jc w:val="left"/>
              <w:rPr>
                <w:rFonts w:hint="eastAsia" w:ascii="宋体" w:hAnsi="宋体" w:cs="宋体"/>
                <w:sz w:val="22"/>
                <w:highlight w:val="none"/>
              </w:rPr>
            </w:pP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DB5A486">
            <w:pPr>
              <w:spacing w:line="360" w:lineRule="auto"/>
              <w:jc w:val="center"/>
              <w:rPr>
                <w:rFonts w:hint="eastAsia" w:ascii="宋体" w:hAnsi="宋体" w:cs="宋体"/>
                <w:highlight w:val="none"/>
              </w:rPr>
            </w:pPr>
            <w:r>
              <w:rPr>
                <w:rFonts w:ascii="宋体" w:hAnsi="宋体" w:cs="宋体"/>
                <w:b/>
                <w:highlight w:val="none"/>
              </w:rPr>
              <w:t>/</w:t>
            </w:r>
          </w:p>
        </w:tc>
        <w:tc>
          <w:tcPr>
            <w:tcW w:w="184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F8DCBF8">
            <w:pPr>
              <w:spacing w:line="360" w:lineRule="auto"/>
              <w:jc w:val="center"/>
              <w:rPr>
                <w:rFonts w:hint="eastAsia" w:ascii="宋体" w:hAnsi="宋体" w:cs="宋体"/>
                <w:highlight w:val="none"/>
              </w:rPr>
            </w:pPr>
            <w:r>
              <w:rPr>
                <w:rFonts w:ascii="宋体" w:hAnsi="宋体" w:cs="宋体"/>
                <w:b/>
                <w:highlight w:val="none"/>
              </w:rPr>
              <w:t>/</w:t>
            </w:r>
          </w:p>
        </w:tc>
      </w:tr>
      <w:tr w14:paraId="5FBA8E3E">
        <w:tblPrEx>
          <w:tblCellMar>
            <w:top w:w="0" w:type="dxa"/>
            <w:left w:w="10" w:type="dxa"/>
            <w:bottom w:w="0" w:type="dxa"/>
            <w:right w:w="10" w:type="dxa"/>
          </w:tblCellMar>
        </w:tblPrEx>
        <w:trPr>
          <w:trHeight w:val="442" w:hRule="atLeast"/>
        </w:trPr>
        <w:tc>
          <w:tcPr>
            <w:tcW w:w="8789" w:type="dxa"/>
            <w:gridSpan w:val="6"/>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0C6EC6E">
            <w:pPr>
              <w:spacing w:line="360" w:lineRule="auto"/>
              <w:jc w:val="left"/>
              <w:rPr>
                <w:rFonts w:hint="eastAsia" w:ascii="宋体" w:hAnsi="宋体" w:cs="宋体"/>
                <w:highlight w:val="none"/>
              </w:rPr>
            </w:pPr>
            <w:r>
              <w:rPr>
                <w:rFonts w:ascii="宋体" w:hAnsi="宋体" w:cs="宋体"/>
                <w:b/>
                <w:highlight w:val="none"/>
              </w:rPr>
              <w:t>环境标志产品</w:t>
            </w:r>
          </w:p>
        </w:tc>
      </w:tr>
      <w:tr w14:paraId="12C1EC93">
        <w:tblPrEx>
          <w:tblCellMar>
            <w:top w:w="0" w:type="dxa"/>
            <w:left w:w="10" w:type="dxa"/>
            <w:bottom w:w="0" w:type="dxa"/>
            <w:right w:w="10" w:type="dxa"/>
          </w:tblCellMar>
        </w:tblPrEx>
        <w:trPr>
          <w:trHeight w:val="442" w:hRule="atLeast"/>
        </w:trPr>
        <w:tc>
          <w:tcPr>
            <w:tcW w:w="6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E983E86">
            <w:pPr>
              <w:spacing w:line="360" w:lineRule="auto"/>
              <w:jc w:val="center"/>
              <w:rPr>
                <w:rFonts w:hint="eastAsia" w:ascii="宋体" w:hAnsi="宋体" w:cs="宋体"/>
                <w:sz w:val="22"/>
                <w:highlight w:val="none"/>
              </w:rPr>
            </w:pPr>
          </w:p>
        </w:tc>
        <w:tc>
          <w:tcPr>
            <w:tcW w:w="173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D05649B">
            <w:pPr>
              <w:spacing w:line="360" w:lineRule="auto"/>
              <w:jc w:val="center"/>
              <w:rPr>
                <w:rFonts w:hint="eastAsia" w:ascii="宋体" w:hAnsi="宋体" w:cs="宋体"/>
                <w:sz w:val="22"/>
                <w:highlight w:val="none"/>
              </w:rPr>
            </w:pP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1AABF86">
            <w:pPr>
              <w:spacing w:line="360" w:lineRule="auto"/>
              <w:jc w:val="left"/>
              <w:rPr>
                <w:rFonts w:hint="eastAsia" w:ascii="宋体" w:hAnsi="宋体" w:cs="宋体"/>
                <w:sz w:val="22"/>
                <w:highlight w:val="none"/>
              </w:rPr>
            </w:pPr>
          </w:p>
        </w:tc>
        <w:tc>
          <w:tcPr>
            <w:tcW w:w="141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6232DBF">
            <w:pPr>
              <w:spacing w:line="360" w:lineRule="auto"/>
              <w:jc w:val="left"/>
              <w:rPr>
                <w:rFonts w:hint="eastAsia" w:ascii="宋体" w:hAnsi="宋体" w:cs="宋体"/>
                <w:sz w:val="22"/>
                <w:highlight w:val="none"/>
              </w:rPr>
            </w:pP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96FFAE2">
            <w:pPr>
              <w:spacing w:line="360" w:lineRule="auto"/>
              <w:jc w:val="center"/>
              <w:rPr>
                <w:rFonts w:hint="eastAsia" w:ascii="宋体" w:hAnsi="宋体" w:cs="宋体"/>
                <w:sz w:val="22"/>
                <w:highlight w:val="none"/>
              </w:rPr>
            </w:pPr>
          </w:p>
        </w:tc>
        <w:tc>
          <w:tcPr>
            <w:tcW w:w="184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E08C9EA">
            <w:pPr>
              <w:spacing w:line="360" w:lineRule="auto"/>
              <w:jc w:val="center"/>
              <w:rPr>
                <w:rFonts w:hint="eastAsia" w:ascii="宋体" w:hAnsi="宋体" w:cs="宋体"/>
                <w:sz w:val="22"/>
                <w:highlight w:val="none"/>
              </w:rPr>
            </w:pPr>
          </w:p>
        </w:tc>
      </w:tr>
      <w:tr w14:paraId="21FE994C">
        <w:tblPrEx>
          <w:tblCellMar>
            <w:top w:w="0" w:type="dxa"/>
            <w:left w:w="10" w:type="dxa"/>
            <w:bottom w:w="0" w:type="dxa"/>
            <w:right w:w="10" w:type="dxa"/>
          </w:tblCellMar>
        </w:tblPrEx>
        <w:trPr>
          <w:trHeight w:val="442" w:hRule="atLeast"/>
        </w:trPr>
        <w:tc>
          <w:tcPr>
            <w:tcW w:w="6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3EA4A31">
            <w:pPr>
              <w:spacing w:line="360" w:lineRule="auto"/>
              <w:jc w:val="center"/>
              <w:rPr>
                <w:rFonts w:hint="eastAsia" w:ascii="宋体" w:hAnsi="宋体" w:cs="宋体"/>
                <w:highlight w:val="none"/>
              </w:rPr>
            </w:pPr>
            <w:r>
              <w:rPr>
                <w:rFonts w:ascii="宋体" w:hAnsi="宋体" w:cs="宋体"/>
                <w:highlight w:val="none"/>
              </w:rPr>
              <w:t>小计</w:t>
            </w:r>
          </w:p>
        </w:tc>
        <w:tc>
          <w:tcPr>
            <w:tcW w:w="173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7A5425F">
            <w:pPr>
              <w:spacing w:line="360" w:lineRule="auto"/>
              <w:jc w:val="center"/>
              <w:rPr>
                <w:rFonts w:hint="eastAsia" w:ascii="宋体" w:hAnsi="宋体" w:cs="宋体"/>
                <w:highlight w:val="none"/>
              </w:rPr>
            </w:pPr>
            <w:r>
              <w:rPr>
                <w:rFonts w:ascii="宋体" w:hAnsi="宋体" w:cs="宋体"/>
                <w:b/>
                <w:highlight w:val="none"/>
              </w:rPr>
              <w:t>/</w:t>
            </w:r>
          </w:p>
        </w:tc>
        <w:tc>
          <w:tcPr>
            <w:tcW w:w="113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9A05FB4">
            <w:pPr>
              <w:spacing w:line="360" w:lineRule="auto"/>
              <w:jc w:val="left"/>
              <w:rPr>
                <w:rFonts w:hint="eastAsia" w:ascii="宋体" w:hAnsi="宋体" w:cs="宋体"/>
                <w:sz w:val="22"/>
                <w:highlight w:val="none"/>
              </w:rPr>
            </w:pPr>
          </w:p>
        </w:tc>
        <w:tc>
          <w:tcPr>
            <w:tcW w:w="141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9DD971F">
            <w:pPr>
              <w:spacing w:line="360" w:lineRule="auto"/>
              <w:jc w:val="left"/>
              <w:rPr>
                <w:rFonts w:hint="eastAsia" w:ascii="宋体" w:hAnsi="宋体" w:cs="宋体"/>
                <w:sz w:val="22"/>
                <w:highlight w:val="none"/>
              </w:rPr>
            </w:pP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2388261">
            <w:pPr>
              <w:spacing w:line="360" w:lineRule="auto"/>
              <w:jc w:val="center"/>
              <w:rPr>
                <w:rFonts w:hint="eastAsia" w:ascii="宋体" w:hAnsi="宋体" w:cs="宋体"/>
                <w:highlight w:val="none"/>
              </w:rPr>
            </w:pPr>
            <w:r>
              <w:rPr>
                <w:rFonts w:ascii="宋体" w:hAnsi="宋体" w:cs="宋体"/>
                <w:b/>
                <w:highlight w:val="none"/>
              </w:rPr>
              <w:t>/</w:t>
            </w:r>
          </w:p>
        </w:tc>
        <w:tc>
          <w:tcPr>
            <w:tcW w:w="184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702C631">
            <w:pPr>
              <w:spacing w:line="360" w:lineRule="auto"/>
              <w:jc w:val="center"/>
              <w:rPr>
                <w:rFonts w:hint="eastAsia" w:ascii="宋体" w:hAnsi="宋体" w:cs="宋体"/>
                <w:highlight w:val="none"/>
              </w:rPr>
            </w:pPr>
            <w:r>
              <w:rPr>
                <w:rFonts w:ascii="宋体" w:hAnsi="宋体" w:cs="宋体"/>
                <w:b/>
                <w:highlight w:val="none"/>
              </w:rPr>
              <w:t>/</w:t>
            </w:r>
          </w:p>
        </w:tc>
      </w:tr>
    </w:tbl>
    <w:p w14:paraId="7A6CB3A6">
      <w:pPr>
        <w:spacing w:line="360" w:lineRule="auto"/>
        <w:jc w:val="left"/>
        <w:rPr>
          <w:rFonts w:hint="eastAsia" w:ascii="宋体" w:hAnsi="宋体" w:cs="宋体"/>
          <w:highlight w:val="none"/>
        </w:rPr>
      </w:pPr>
      <w:r>
        <w:rPr>
          <w:rFonts w:ascii="宋体" w:hAnsi="宋体" w:cs="宋体"/>
          <w:highlight w:val="none"/>
        </w:rPr>
        <w:t>说明：1、本表用于计算政府采购优先采购产品（节能产品或环境标志产品）的政府采购政策加分或者价格扣除。</w:t>
      </w:r>
    </w:p>
    <w:p w14:paraId="042A7CBE">
      <w:pPr>
        <w:spacing w:line="360" w:lineRule="auto"/>
        <w:ind w:firstLine="630"/>
        <w:jc w:val="left"/>
        <w:rPr>
          <w:rFonts w:hint="eastAsia" w:ascii="宋体" w:hAnsi="宋体" w:cs="宋体"/>
          <w:highlight w:val="none"/>
        </w:rPr>
      </w:pPr>
      <w:r>
        <w:rPr>
          <w:rFonts w:ascii="宋体" w:hAnsi="宋体" w:cs="宋体"/>
          <w:highlight w:val="none"/>
        </w:rPr>
        <w:t>2、栏目4“价格”为综合单价，包含货物所有隐含的内容，如运输费、保险费、管理费和利润等。</w:t>
      </w:r>
    </w:p>
    <w:p w14:paraId="71ADEB26">
      <w:pPr>
        <w:spacing w:line="360" w:lineRule="auto"/>
        <w:ind w:firstLine="630"/>
        <w:jc w:val="left"/>
        <w:rPr>
          <w:rFonts w:hint="eastAsia" w:ascii="宋体" w:hAnsi="宋体" w:cs="宋体"/>
          <w:highlight w:val="none"/>
        </w:rPr>
      </w:pPr>
      <w:r>
        <w:rPr>
          <w:rFonts w:ascii="宋体" w:hAnsi="宋体" w:cs="宋体"/>
          <w:highlight w:val="none"/>
        </w:rPr>
        <w:t>3、栏目6“政策功能编码”是指货物的中国环境标志认证证书编号、中国节能标志认证证书号（货物同时属于节能产品、环境标志产品的，只须填写一种）。</w:t>
      </w:r>
    </w:p>
    <w:p w14:paraId="4347B461">
      <w:pPr>
        <w:spacing w:line="360" w:lineRule="auto"/>
        <w:ind w:firstLine="630"/>
        <w:rPr>
          <w:rFonts w:hint="eastAsia" w:ascii="宋体" w:hAnsi="宋体" w:cs="宋体"/>
          <w:highlight w:val="none"/>
        </w:rPr>
      </w:pPr>
      <w:r>
        <w:rPr>
          <w:rFonts w:ascii="宋体" w:hAnsi="宋体" w:cs="宋体"/>
          <w:highlight w:val="none"/>
        </w:rPr>
        <w:t>4、供应商在投标截止时间前修改“开标一览表”中的投标报价的，应按第二章第13.7款规定修改本表相应内容。否则，评审时涉及本表所有优惠不予以考虑。</w:t>
      </w:r>
    </w:p>
    <w:p w14:paraId="490951AB">
      <w:pPr>
        <w:spacing w:line="360" w:lineRule="auto"/>
        <w:rPr>
          <w:rFonts w:hint="eastAsia" w:ascii="宋体" w:hAnsi="宋体" w:cs="宋体"/>
          <w:highlight w:val="none"/>
        </w:rPr>
      </w:pPr>
    </w:p>
    <w:p w14:paraId="0AE14D18">
      <w:pPr>
        <w:spacing w:line="360" w:lineRule="auto"/>
        <w:rPr>
          <w:rFonts w:hint="eastAsia" w:ascii="宋体" w:hAnsi="宋体" w:cs="宋体"/>
          <w:highlight w:val="none"/>
        </w:rPr>
      </w:pPr>
      <w:r>
        <w:rPr>
          <w:rFonts w:hint="eastAsia" w:ascii="宋体" w:hAnsi="宋体" w:cs="宋体"/>
          <w:highlight w:val="none"/>
        </w:rPr>
        <w:t>供应商</w:t>
      </w:r>
      <w:r>
        <w:rPr>
          <w:rFonts w:ascii="宋体" w:hAnsi="宋体" w:cs="宋体"/>
          <w:highlight w:val="none"/>
        </w:rPr>
        <w:t>名称（盖单位章）：</w:t>
      </w:r>
      <w:r>
        <w:rPr>
          <w:rFonts w:hint="eastAsia" w:ascii="宋体" w:hAnsi="宋体"/>
          <w:szCs w:val="21"/>
          <w:highlight w:val="none"/>
          <w:u w:val="single"/>
        </w:rPr>
        <w:t xml:space="preserve">                   </w:t>
      </w:r>
    </w:p>
    <w:p w14:paraId="78D73175">
      <w:pPr>
        <w:spacing w:line="360" w:lineRule="auto"/>
        <w:rPr>
          <w:rFonts w:hint="eastAsia" w:ascii="宋体" w:hAnsi="宋体" w:cs="宋体"/>
          <w:highlight w:val="none"/>
        </w:rPr>
      </w:pPr>
      <w:r>
        <w:rPr>
          <w:rFonts w:ascii="宋体" w:hAnsi="宋体" w:cs="宋体"/>
          <w:spacing w:val="-2"/>
          <w:highlight w:val="none"/>
        </w:rPr>
        <w:t>法</w:t>
      </w:r>
      <w:r>
        <w:rPr>
          <w:rFonts w:ascii="宋体" w:hAnsi="宋体" w:cs="宋体"/>
          <w:highlight w:val="none"/>
        </w:rPr>
        <w:t>定</w:t>
      </w:r>
      <w:r>
        <w:rPr>
          <w:rFonts w:ascii="宋体" w:hAnsi="宋体" w:cs="宋体"/>
          <w:spacing w:val="-2"/>
          <w:highlight w:val="none"/>
        </w:rPr>
        <w:t>代</w:t>
      </w:r>
      <w:r>
        <w:rPr>
          <w:rFonts w:ascii="宋体" w:hAnsi="宋体" w:cs="宋体"/>
          <w:highlight w:val="none"/>
        </w:rPr>
        <w:t>表</w:t>
      </w:r>
      <w:r>
        <w:rPr>
          <w:rFonts w:ascii="宋体" w:hAnsi="宋体" w:cs="宋体"/>
          <w:spacing w:val="-2"/>
          <w:highlight w:val="none"/>
        </w:rPr>
        <w:t>人</w:t>
      </w:r>
      <w:r>
        <w:rPr>
          <w:rFonts w:ascii="宋体" w:hAnsi="宋体" w:cs="宋体"/>
          <w:highlight w:val="none"/>
        </w:rPr>
        <w:t>（</w:t>
      </w:r>
      <w:r>
        <w:rPr>
          <w:rFonts w:ascii="宋体" w:hAnsi="宋体" w:cs="宋体"/>
          <w:spacing w:val="-2"/>
          <w:highlight w:val="none"/>
        </w:rPr>
        <w:t>单</w:t>
      </w:r>
      <w:r>
        <w:rPr>
          <w:rFonts w:ascii="宋体" w:hAnsi="宋体" w:cs="宋体"/>
          <w:highlight w:val="none"/>
        </w:rPr>
        <w:t>位</w:t>
      </w:r>
      <w:r>
        <w:rPr>
          <w:rFonts w:ascii="宋体" w:hAnsi="宋体" w:cs="宋体"/>
          <w:spacing w:val="-2"/>
          <w:highlight w:val="none"/>
        </w:rPr>
        <w:t>负</w:t>
      </w:r>
      <w:r>
        <w:rPr>
          <w:rFonts w:ascii="宋体" w:hAnsi="宋体" w:cs="宋体"/>
          <w:highlight w:val="none"/>
        </w:rPr>
        <w:t>责人</w:t>
      </w:r>
      <w:r>
        <w:rPr>
          <w:rFonts w:ascii="宋体" w:hAnsi="宋体" w:cs="宋体"/>
          <w:spacing w:val="-2"/>
          <w:highlight w:val="none"/>
        </w:rPr>
        <w:t>）</w:t>
      </w:r>
      <w:r>
        <w:rPr>
          <w:rFonts w:ascii="宋体" w:hAnsi="宋体" w:cs="宋体"/>
          <w:highlight w:val="none"/>
        </w:rPr>
        <w:t>或其委托代理人</w:t>
      </w:r>
      <w:r>
        <w:rPr>
          <w:rFonts w:hint="eastAsia" w:ascii="宋体" w:hAnsi="宋体" w:cs="宋体"/>
          <w:highlight w:val="none"/>
        </w:rPr>
        <w:t>（签字或盖章）</w:t>
      </w:r>
      <w:r>
        <w:rPr>
          <w:rFonts w:ascii="宋体" w:hAnsi="宋体" w:cs="宋体"/>
          <w:highlight w:val="none"/>
        </w:rPr>
        <w:t>：</w:t>
      </w:r>
      <w:r>
        <w:rPr>
          <w:rFonts w:hint="eastAsia" w:ascii="宋体" w:hAnsi="宋体"/>
          <w:szCs w:val="21"/>
          <w:highlight w:val="none"/>
          <w:u w:val="single"/>
        </w:rPr>
        <w:t xml:space="preserve">                   </w:t>
      </w:r>
    </w:p>
    <w:p w14:paraId="7BF02E66">
      <w:pPr>
        <w:spacing w:line="360" w:lineRule="auto"/>
        <w:rPr>
          <w:rFonts w:hint="eastAsia" w:ascii="宋体" w:hAnsi="宋体" w:cs="宋体"/>
          <w:highlight w:val="none"/>
        </w:rPr>
      </w:pPr>
      <w:r>
        <w:rPr>
          <w:rFonts w:ascii="宋体" w:hAnsi="宋体" w:cs="宋体"/>
          <w:highlight w:val="none"/>
        </w:rPr>
        <w:t>日期：</w:t>
      </w:r>
      <w:r>
        <w:rPr>
          <w:rFonts w:hint="eastAsia" w:ascii="宋体" w:hAnsi="宋体" w:cs="宋体"/>
          <w:highlight w:val="none"/>
        </w:rPr>
        <w:t xml:space="preserve">    </w:t>
      </w:r>
      <w:r>
        <w:rPr>
          <w:rFonts w:ascii="宋体" w:hAnsi="宋体" w:cs="宋体"/>
          <w:highlight w:val="none"/>
        </w:rPr>
        <w:t>年</w:t>
      </w:r>
      <w:r>
        <w:rPr>
          <w:rFonts w:hint="eastAsia" w:ascii="宋体" w:hAnsi="宋体" w:cs="宋体"/>
          <w:highlight w:val="none"/>
        </w:rPr>
        <w:t xml:space="preserve">  </w:t>
      </w:r>
      <w:r>
        <w:rPr>
          <w:rFonts w:ascii="宋体" w:hAnsi="宋体" w:cs="宋体"/>
          <w:highlight w:val="none"/>
        </w:rPr>
        <w:t>月</w:t>
      </w:r>
      <w:r>
        <w:rPr>
          <w:rFonts w:hint="eastAsia" w:ascii="宋体" w:hAnsi="宋体" w:cs="宋体"/>
          <w:highlight w:val="none"/>
        </w:rPr>
        <w:t xml:space="preserve">  </w:t>
      </w:r>
      <w:r>
        <w:rPr>
          <w:rFonts w:ascii="宋体" w:hAnsi="宋体" w:cs="宋体"/>
          <w:highlight w:val="none"/>
        </w:rPr>
        <w:t xml:space="preserve">日 </w:t>
      </w:r>
    </w:p>
    <w:p w14:paraId="3E79E04F">
      <w:pPr>
        <w:rPr>
          <w:rFonts w:hint="eastAsia" w:ascii="宋体" w:hAnsi="宋体"/>
          <w:szCs w:val="21"/>
          <w:highlight w:val="none"/>
        </w:rPr>
      </w:pPr>
      <w:r>
        <w:rPr>
          <w:rFonts w:ascii="宋体" w:hAnsi="宋体"/>
          <w:szCs w:val="21"/>
          <w:highlight w:val="none"/>
        </w:rPr>
        <w:br w:type="page"/>
      </w:r>
    </w:p>
    <w:bookmarkEnd w:id="520"/>
    <w:p w14:paraId="7A2D0F79">
      <w:pPr>
        <w:pStyle w:val="9"/>
        <w:adjustRightInd w:val="0"/>
        <w:snapToGrid w:val="0"/>
        <w:spacing w:before="120" w:beforeLines="50" w:after="0" w:line="360" w:lineRule="auto"/>
        <w:rPr>
          <w:rFonts w:hint="eastAsia" w:ascii="黑体" w:hAnsi="黑体" w:eastAsia="黑体"/>
          <w:sz w:val="21"/>
          <w:szCs w:val="21"/>
          <w:highlight w:val="none"/>
        </w:rPr>
      </w:pPr>
      <w:bookmarkStart w:id="521" w:name="_Toc6756"/>
      <w:bookmarkStart w:id="522" w:name="_Toc18504"/>
      <w:bookmarkStart w:id="523" w:name="_Toc6667"/>
      <w:bookmarkStart w:id="524" w:name="_Toc24585"/>
      <w:r>
        <w:rPr>
          <w:rFonts w:hint="eastAsia" w:ascii="黑体" w:hAnsi="黑体" w:eastAsia="黑体" w:cs="宋体"/>
          <w:spacing w:val="6"/>
          <w:kern w:val="0"/>
          <w:sz w:val="21"/>
          <w:szCs w:val="21"/>
          <w:highlight w:val="none"/>
        </w:rPr>
        <w:t xml:space="preserve">附件9-5 </w:t>
      </w:r>
      <w:r>
        <w:rPr>
          <w:rFonts w:hint="eastAsia" w:ascii="黑体" w:hAnsi="黑体" w:eastAsia="黑体"/>
          <w:sz w:val="21"/>
          <w:szCs w:val="21"/>
          <w:highlight w:val="none"/>
        </w:rPr>
        <w:t>联合体协议书（格式）</w:t>
      </w:r>
      <w:bookmarkEnd w:id="521"/>
      <w:bookmarkEnd w:id="522"/>
      <w:bookmarkEnd w:id="523"/>
      <w:bookmarkEnd w:id="524"/>
    </w:p>
    <w:p w14:paraId="7CC457AC">
      <w:pPr>
        <w:adjustRightInd w:val="0"/>
        <w:snapToGrid w:val="0"/>
        <w:spacing w:before="120" w:beforeLines="50" w:line="360" w:lineRule="auto"/>
        <w:jc w:val="center"/>
        <w:rPr>
          <w:rFonts w:hint="eastAsia" w:ascii="黑体" w:hAnsi="黑体" w:eastAsia="黑体"/>
          <w:b/>
          <w:sz w:val="28"/>
          <w:szCs w:val="28"/>
          <w:highlight w:val="none"/>
        </w:rPr>
      </w:pPr>
      <w:r>
        <w:rPr>
          <w:rFonts w:hint="eastAsia" w:ascii="黑体" w:hAnsi="黑体" w:eastAsia="黑体"/>
          <w:b/>
          <w:sz w:val="28"/>
          <w:szCs w:val="28"/>
          <w:highlight w:val="none"/>
        </w:rPr>
        <w:t>联合体协议书（格式）</w:t>
      </w:r>
    </w:p>
    <w:p w14:paraId="357302A0">
      <w:pPr>
        <w:adjustRightInd w:val="0"/>
        <w:snapToGrid w:val="0"/>
        <w:spacing w:before="120" w:beforeLines="50" w:line="360" w:lineRule="auto"/>
        <w:rPr>
          <w:rFonts w:hint="eastAsia" w:ascii="宋体" w:hAnsi="宋体"/>
          <w:b/>
          <w:szCs w:val="21"/>
          <w:highlight w:val="none"/>
        </w:rPr>
      </w:pPr>
    </w:p>
    <w:p w14:paraId="31227023">
      <w:pPr>
        <w:adjustRightInd w:val="0"/>
        <w:snapToGrid w:val="0"/>
        <w:spacing w:before="120" w:beforeLines="50" w:line="360" w:lineRule="auto"/>
        <w:rPr>
          <w:rFonts w:hint="eastAsia" w:ascii="宋体" w:hAnsi="宋体"/>
          <w:szCs w:val="21"/>
          <w:highlight w:val="none"/>
        </w:rPr>
      </w:pPr>
      <w:r>
        <w:rPr>
          <w:rFonts w:hint="eastAsia" w:ascii="宋体" w:hAnsi="宋体"/>
          <w:szCs w:val="21"/>
          <w:highlight w:val="none"/>
        </w:rPr>
        <w:t>致（采购人、采购代理机构）：</w:t>
      </w:r>
    </w:p>
    <w:p w14:paraId="5946B80D">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经研究，我们决定自愿组成联合体共同参加（项目名称</w:t>
      </w:r>
      <w:r>
        <w:rPr>
          <w:rFonts w:ascii="宋体" w:hAnsi="宋体"/>
          <w:szCs w:val="21"/>
          <w:highlight w:val="none"/>
        </w:rPr>
        <w:t>）</w:t>
      </w:r>
      <w:r>
        <w:rPr>
          <w:rFonts w:hint="eastAsia" w:ascii="宋体" w:hAnsi="宋体"/>
          <w:szCs w:val="21"/>
          <w:highlight w:val="none"/>
        </w:rPr>
        <w:t>（采购代理编号： ）项目的磋商活动。现就联合体事宜订立如下协议：</w:t>
      </w:r>
    </w:p>
    <w:p w14:paraId="2244BFD7">
      <w:pPr>
        <w:adjustRightInd w:val="0"/>
        <w:snapToGrid w:val="0"/>
        <w:spacing w:line="360" w:lineRule="auto"/>
        <w:ind w:firstLine="420" w:firstLineChars="200"/>
        <w:rPr>
          <w:rFonts w:hint="eastAsia" w:ascii="宋体" w:hAnsi="宋体"/>
          <w:szCs w:val="21"/>
          <w:highlight w:val="none"/>
          <w:u w:val="single"/>
        </w:rPr>
      </w:pPr>
      <w:r>
        <w:rPr>
          <w:rFonts w:hint="eastAsia" w:ascii="宋体" w:hAnsi="宋体"/>
          <w:szCs w:val="21"/>
          <w:highlight w:val="none"/>
        </w:rPr>
        <w:t>一、联合体基本信息：（各方公司名称、地址、注册资金、营业执照、</w:t>
      </w: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姓名）</w:t>
      </w:r>
    </w:p>
    <w:p w14:paraId="5DCEE545">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二、（某成员单位名称）为（联合体名称）牵头人。</w:t>
      </w:r>
    </w:p>
    <w:p w14:paraId="61ECDE29">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三、联合体牵头人合法代表联合体各成员负责本项目响应文件编制活动，代表联合体提交和接收相关的资料、信息及指示，并处理与磋商有关的一切事务；联合体成交后，联合体牵头人负责合同订立和合同实施阶段的主办、组织和协调工作。</w:t>
      </w:r>
    </w:p>
    <w:p w14:paraId="4FB952B7">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四．联合体将严格按照磋商文件的各项要求，递交响应文件，参加磋商，履行成交和成交合同义务，并向采购人承担连带责任。</w:t>
      </w:r>
    </w:p>
    <w:p w14:paraId="3A1B1396">
      <w:pPr>
        <w:adjustRightInd w:val="0"/>
        <w:snapToGrid w:val="0"/>
        <w:spacing w:line="360" w:lineRule="auto"/>
        <w:ind w:firstLine="420" w:firstLineChars="200"/>
        <w:rPr>
          <w:rFonts w:hint="eastAsia" w:ascii="宋体" w:hAnsi="宋体"/>
          <w:szCs w:val="21"/>
          <w:highlight w:val="none"/>
          <w:u w:val="single"/>
        </w:rPr>
      </w:pPr>
      <w:r>
        <w:rPr>
          <w:rFonts w:hint="eastAsia" w:ascii="宋体" w:hAnsi="宋体"/>
          <w:szCs w:val="21"/>
          <w:highlight w:val="none"/>
        </w:rPr>
        <w:t>五、联合体各成员单位内部的职责分工如下：。按照本条上述分工，联合体各成员的协议合同金额占联合体协议合同总金额比例如下：。</w:t>
      </w:r>
    </w:p>
    <w:p w14:paraId="68F0A165">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六、本协议书自签署之日起生效，合同履行完毕后自动失效。</w:t>
      </w:r>
    </w:p>
    <w:p w14:paraId="6D12862E">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七、本协议书一式份，联合体成员和采购人各执一份。</w:t>
      </w:r>
    </w:p>
    <w:p w14:paraId="5A63719E">
      <w:pPr>
        <w:adjustRightInd w:val="0"/>
        <w:snapToGrid w:val="0"/>
        <w:spacing w:line="360" w:lineRule="auto"/>
        <w:rPr>
          <w:rFonts w:hint="eastAsia" w:ascii="宋体" w:hAnsi="宋体"/>
          <w:szCs w:val="21"/>
          <w:highlight w:val="none"/>
        </w:rPr>
      </w:pPr>
    </w:p>
    <w:p w14:paraId="6006A2E6">
      <w:pPr>
        <w:adjustRightInd w:val="0"/>
        <w:snapToGrid w:val="0"/>
        <w:spacing w:line="360" w:lineRule="auto"/>
        <w:rPr>
          <w:rFonts w:hint="eastAsia" w:ascii="宋体" w:hAnsi="宋体"/>
          <w:szCs w:val="21"/>
          <w:highlight w:val="none"/>
        </w:rPr>
      </w:pPr>
      <w:r>
        <w:rPr>
          <w:rFonts w:hint="eastAsia" w:ascii="宋体" w:hAnsi="宋体"/>
          <w:szCs w:val="21"/>
          <w:highlight w:val="none"/>
        </w:rPr>
        <w:t>牵头人名称（盖单位章）：</w:t>
      </w:r>
    </w:p>
    <w:p w14:paraId="0F4405EE">
      <w:pPr>
        <w:adjustRightInd w:val="0"/>
        <w:snapToGrid w:val="0"/>
        <w:spacing w:line="360" w:lineRule="auto"/>
        <w:rPr>
          <w:rFonts w:hint="eastAsia"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或其委托代理人（签字或印章）：</w:t>
      </w:r>
    </w:p>
    <w:p w14:paraId="2EE0BD09">
      <w:pPr>
        <w:adjustRightInd w:val="0"/>
        <w:snapToGrid w:val="0"/>
        <w:spacing w:line="360" w:lineRule="auto"/>
        <w:rPr>
          <w:rFonts w:hint="eastAsia" w:ascii="宋体" w:hAnsi="宋体"/>
          <w:szCs w:val="21"/>
          <w:highlight w:val="none"/>
        </w:rPr>
      </w:pPr>
    </w:p>
    <w:p w14:paraId="54899CCA">
      <w:pPr>
        <w:adjustRightInd w:val="0"/>
        <w:snapToGrid w:val="0"/>
        <w:spacing w:line="360" w:lineRule="auto"/>
        <w:rPr>
          <w:rFonts w:hint="eastAsia" w:ascii="宋体" w:hAnsi="宋体"/>
          <w:szCs w:val="21"/>
          <w:highlight w:val="none"/>
        </w:rPr>
      </w:pPr>
      <w:r>
        <w:rPr>
          <w:rFonts w:hint="eastAsia" w:ascii="宋体" w:hAnsi="宋体"/>
          <w:szCs w:val="21"/>
          <w:highlight w:val="none"/>
        </w:rPr>
        <w:t>成员1名称（盖单位章）：</w:t>
      </w:r>
    </w:p>
    <w:p w14:paraId="4C1D7406">
      <w:pPr>
        <w:adjustRightInd w:val="0"/>
        <w:snapToGrid w:val="0"/>
        <w:spacing w:line="360" w:lineRule="auto"/>
        <w:rPr>
          <w:rFonts w:hint="eastAsia"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或其委托代理人（签字或印章）：</w:t>
      </w:r>
    </w:p>
    <w:p w14:paraId="3D7B5D9C">
      <w:pPr>
        <w:adjustRightInd w:val="0"/>
        <w:snapToGrid w:val="0"/>
        <w:spacing w:line="360" w:lineRule="auto"/>
        <w:rPr>
          <w:rFonts w:hint="eastAsia" w:ascii="宋体" w:hAnsi="宋体"/>
          <w:szCs w:val="21"/>
          <w:highlight w:val="none"/>
        </w:rPr>
      </w:pPr>
      <w:r>
        <w:rPr>
          <w:rFonts w:hint="eastAsia" w:ascii="宋体" w:hAnsi="宋体"/>
          <w:szCs w:val="21"/>
          <w:highlight w:val="none"/>
        </w:rPr>
        <w:t>成员2名称（盖单位章）：</w:t>
      </w:r>
    </w:p>
    <w:p w14:paraId="1B5E393B">
      <w:pPr>
        <w:adjustRightInd w:val="0"/>
        <w:snapToGrid w:val="0"/>
        <w:spacing w:line="360" w:lineRule="auto"/>
        <w:rPr>
          <w:rFonts w:hint="eastAsia"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或其委托代理人（签字或印章）：</w:t>
      </w:r>
    </w:p>
    <w:p w14:paraId="7069BF56">
      <w:pPr>
        <w:adjustRightInd w:val="0"/>
        <w:snapToGrid w:val="0"/>
        <w:spacing w:line="360" w:lineRule="auto"/>
        <w:rPr>
          <w:rFonts w:hint="eastAsia" w:ascii="宋体" w:hAnsi="宋体"/>
          <w:szCs w:val="21"/>
          <w:highlight w:val="none"/>
        </w:rPr>
      </w:pPr>
      <w:r>
        <w:rPr>
          <w:rFonts w:ascii="宋体" w:hAnsi="宋体"/>
          <w:szCs w:val="21"/>
          <w:highlight w:val="none"/>
        </w:rPr>
        <w:t>…</w:t>
      </w:r>
    </w:p>
    <w:p w14:paraId="1894B369">
      <w:pPr>
        <w:adjustRightInd w:val="0"/>
        <w:snapToGrid w:val="0"/>
        <w:spacing w:line="360" w:lineRule="auto"/>
        <w:rPr>
          <w:rFonts w:hint="eastAsia" w:ascii="宋体" w:hAnsi="宋体"/>
          <w:szCs w:val="21"/>
          <w:highlight w:val="none"/>
        </w:rPr>
      </w:pPr>
      <w:r>
        <w:rPr>
          <w:rFonts w:hint="eastAsia" w:ascii="宋体" w:hAnsi="宋体"/>
          <w:szCs w:val="21"/>
          <w:highlight w:val="none"/>
        </w:rPr>
        <w:t xml:space="preserve">日期：年月日  </w:t>
      </w:r>
    </w:p>
    <w:p w14:paraId="32946B5E">
      <w:pPr>
        <w:widowControl/>
        <w:adjustRightInd w:val="0"/>
        <w:snapToGrid w:val="0"/>
        <w:spacing w:line="360" w:lineRule="auto"/>
        <w:jc w:val="left"/>
        <w:rPr>
          <w:rFonts w:hint="eastAsia" w:ascii="宋体" w:hAnsi="宋体"/>
          <w:b/>
          <w:szCs w:val="21"/>
          <w:highlight w:val="none"/>
        </w:rPr>
      </w:pPr>
    </w:p>
    <w:p w14:paraId="7DE1080B">
      <w:pPr>
        <w:widowControl/>
        <w:adjustRightInd w:val="0"/>
        <w:snapToGrid w:val="0"/>
        <w:spacing w:line="360" w:lineRule="auto"/>
        <w:jc w:val="left"/>
        <w:rPr>
          <w:rFonts w:hint="eastAsia" w:ascii="宋体" w:hAnsi="宋体"/>
          <w:szCs w:val="21"/>
          <w:highlight w:val="none"/>
        </w:rPr>
      </w:pPr>
      <w:r>
        <w:rPr>
          <w:rFonts w:hint="eastAsia" w:ascii="宋体" w:hAnsi="宋体"/>
          <w:b/>
          <w:szCs w:val="21"/>
          <w:highlight w:val="none"/>
        </w:rPr>
        <w:t>注</w:t>
      </w:r>
      <w:r>
        <w:rPr>
          <w:rFonts w:hint="eastAsia" w:ascii="宋体" w:hAnsi="宋体"/>
          <w:szCs w:val="21"/>
          <w:highlight w:val="none"/>
        </w:rPr>
        <w:t>：本协议书由委托代理人签字的，应附法定代表人（单位负责人）授权委托书。</w:t>
      </w:r>
    </w:p>
    <w:p w14:paraId="570C8EB4">
      <w:pPr>
        <w:jc w:val="center"/>
        <w:rPr>
          <w:rFonts w:hint="eastAsia" w:ascii="黑体" w:hAnsi="黑体" w:eastAsia="黑体"/>
          <w:b/>
          <w:sz w:val="28"/>
          <w:szCs w:val="28"/>
          <w:highlight w:val="none"/>
        </w:rPr>
      </w:pPr>
    </w:p>
    <w:p w14:paraId="566431E0">
      <w:pPr>
        <w:pStyle w:val="9"/>
        <w:adjustRightInd w:val="0"/>
        <w:snapToGrid w:val="0"/>
        <w:spacing w:before="120" w:beforeLines="50" w:after="0" w:line="360" w:lineRule="auto"/>
        <w:rPr>
          <w:rFonts w:hint="eastAsia" w:ascii="黑体" w:hAnsi="黑体" w:eastAsia="黑体"/>
          <w:sz w:val="21"/>
          <w:szCs w:val="21"/>
          <w:highlight w:val="none"/>
        </w:rPr>
      </w:pPr>
      <w:bookmarkStart w:id="525" w:name="_Toc2092"/>
      <w:bookmarkStart w:id="526" w:name="_Toc32439"/>
      <w:bookmarkStart w:id="527" w:name="_Toc1144"/>
      <w:bookmarkStart w:id="528" w:name="_Toc25655"/>
      <w:r>
        <w:rPr>
          <w:rFonts w:hint="eastAsia" w:ascii="黑体" w:hAnsi="黑体" w:eastAsia="黑体" w:cs="宋体"/>
          <w:spacing w:val="6"/>
          <w:kern w:val="0"/>
          <w:sz w:val="21"/>
          <w:szCs w:val="21"/>
          <w:highlight w:val="none"/>
        </w:rPr>
        <w:t>附件9-6</w:t>
      </w:r>
      <w:r>
        <w:rPr>
          <w:rFonts w:hint="eastAsia" w:ascii="黑体" w:hAnsi="黑体" w:eastAsia="黑体"/>
          <w:sz w:val="21"/>
          <w:szCs w:val="21"/>
          <w:highlight w:val="none"/>
        </w:rPr>
        <w:t>分包意向协议书</w:t>
      </w:r>
      <w:bookmarkEnd w:id="525"/>
      <w:bookmarkEnd w:id="526"/>
      <w:bookmarkEnd w:id="527"/>
      <w:bookmarkEnd w:id="528"/>
    </w:p>
    <w:p w14:paraId="18A80524">
      <w:pPr>
        <w:adjustRightInd w:val="0"/>
        <w:snapToGrid w:val="0"/>
        <w:spacing w:before="120" w:beforeLines="50" w:line="360" w:lineRule="auto"/>
        <w:jc w:val="center"/>
        <w:rPr>
          <w:rFonts w:hint="eastAsia" w:ascii="黑体" w:hAnsi="黑体" w:eastAsia="黑体"/>
          <w:b/>
          <w:sz w:val="28"/>
          <w:szCs w:val="28"/>
          <w:highlight w:val="none"/>
        </w:rPr>
      </w:pPr>
      <w:r>
        <w:rPr>
          <w:rFonts w:hint="eastAsia" w:ascii="黑体" w:hAnsi="黑体" w:eastAsia="黑体"/>
          <w:b/>
          <w:sz w:val="28"/>
          <w:szCs w:val="28"/>
          <w:highlight w:val="none"/>
        </w:rPr>
        <w:t>分包意向协议书</w:t>
      </w:r>
    </w:p>
    <w:p w14:paraId="733937E2">
      <w:pPr>
        <w:adjustRightInd w:val="0"/>
        <w:snapToGrid w:val="0"/>
        <w:spacing w:before="120" w:beforeLines="50" w:line="360" w:lineRule="auto"/>
        <w:jc w:val="left"/>
        <w:rPr>
          <w:rFonts w:hint="eastAsia" w:ascii="宋体" w:hAnsi="宋体"/>
          <w:b/>
          <w:szCs w:val="21"/>
          <w:highlight w:val="none"/>
        </w:rPr>
      </w:pPr>
    </w:p>
    <w:p w14:paraId="3363E052">
      <w:pPr>
        <w:adjustRightInd w:val="0"/>
        <w:snapToGrid w:val="0"/>
        <w:spacing w:before="120" w:beforeLines="50" w:line="360" w:lineRule="auto"/>
        <w:jc w:val="left"/>
        <w:rPr>
          <w:rFonts w:hint="eastAsia" w:ascii="黑体" w:hAnsi="黑体" w:eastAsia="黑体"/>
          <w:b/>
          <w:sz w:val="28"/>
          <w:szCs w:val="28"/>
          <w:highlight w:val="none"/>
        </w:rPr>
      </w:pPr>
      <w:r>
        <w:rPr>
          <w:rFonts w:hint="eastAsia" w:ascii="宋体" w:hAnsi="宋体" w:cs="宋体"/>
          <w:szCs w:val="21"/>
          <w:highlight w:val="none"/>
        </w:rPr>
        <w:t>注：内容、格式自拟。</w:t>
      </w:r>
    </w:p>
    <w:p w14:paraId="0915C8EF">
      <w:pPr>
        <w:adjustRightInd w:val="0"/>
        <w:snapToGrid w:val="0"/>
        <w:spacing w:before="120" w:beforeLines="50" w:line="360" w:lineRule="auto"/>
        <w:rPr>
          <w:highlight w:val="none"/>
        </w:rPr>
      </w:pPr>
    </w:p>
    <w:p w14:paraId="76311401">
      <w:pPr>
        <w:widowControl/>
        <w:jc w:val="left"/>
        <w:rPr>
          <w:rFonts w:hint="eastAsia" w:ascii="宋体" w:hAnsi="宋体"/>
          <w:szCs w:val="21"/>
          <w:highlight w:val="none"/>
        </w:rPr>
      </w:pPr>
      <w:r>
        <w:rPr>
          <w:rFonts w:ascii="宋体" w:hAnsi="宋体"/>
          <w:szCs w:val="21"/>
          <w:highlight w:val="none"/>
        </w:rPr>
        <w:br w:type="page"/>
      </w:r>
    </w:p>
    <w:p w14:paraId="23EE535E">
      <w:pPr>
        <w:pStyle w:val="8"/>
        <w:jc w:val="center"/>
        <w:rPr>
          <w:rFonts w:hint="eastAsia" w:ascii="黑体" w:hAnsi="黑体" w:eastAsia="黑体"/>
          <w:sz w:val="28"/>
          <w:szCs w:val="28"/>
          <w:highlight w:val="none"/>
        </w:rPr>
      </w:pPr>
      <w:bookmarkStart w:id="529" w:name="_Toc9803"/>
      <w:bookmarkStart w:id="530" w:name="_Toc23673"/>
      <w:bookmarkStart w:id="531" w:name="_Toc28517"/>
      <w:bookmarkStart w:id="532" w:name="_Toc9365"/>
      <w:r>
        <w:rPr>
          <w:rFonts w:hint="eastAsia" w:ascii="黑体" w:hAnsi="黑体" w:eastAsia="黑体"/>
          <w:sz w:val="28"/>
          <w:szCs w:val="28"/>
          <w:highlight w:val="none"/>
        </w:rPr>
        <w:t>十、供应商提供的资格证明材料</w:t>
      </w:r>
      <w:bookmarkEnd w:id="529"/>
      <w:bookmarkEnd w:id="530"/>
      <w:bookmarkEnd w:id="531"/>
      <w:bookmarkEnd w:id="532"/>
    </w:p>
    <w:p w14:paraId="6015EEF7">
      <w:pPr>
        <w:tabs>
          <w:tab w:val="left" w:pos="4725"/>
        </w:tabs>
        <w:adjustRightInd w:val="0"/>
        <w:snapToGrid w:val="0"/>
        <w:spacing w:before="120" w:beforeLines="50" w:line="360" w:lineRule="auto"/>
        <w:ind w:firstLine="422" w:firstLineChars="200"/>
        <w:rPr>
          <w:rFonts w:hint="eastAsia" w:ascii="宋体" w:hAnsi="宋体"/>
          <w:b/>
          <w:szCs w:val="21"/>
          <w:highlight w:val="none"/>
        </w:rPr>
      </w:pPr>
    </w:p>
    <w:p w14:paraId="24DE5C8B">
      <w:pPr>
        <w:tabs>
          <w:tab w:val="left" w:pos="4725"/>
        </w:tabs>
        <w:adjustRightInd w:val="0"/>
        <w:snapToGrid w:val="0"/>
        <w:spacing w:before="120" w:beforeLines="50" w:line="360" w:lineRule="auto"/>
        <w:ind w:firstLine="422" w:firstLineChars="200"/>
        <w:rPr>
          <w:rFonts w:hint="eastAsia" w:ascii="宋体" w:hAnsi="宋体"/>
          <w:b/>
          <w:bCs/>
          <w:szCs w:val="21"/>
          <w:highlight w:val="none"/>
        </w:rPr>
      </w:pPr>
      <w:r>
        <w:rPr>
          <w:rFonts w:hint="eastAsia" w:ascii="宋体" w:hAnsi="宋体"/>
          <w:b/>
          <w:szCs w:val="21"/>
          <w:highlight w:val="none"/>
        </w:rPr>
        <w:t>供应商应提供的下列资格证明文件应当符合磋商文件要求：</w:t>
      </w:r>
    </w:p>
    <w:p w14:paraId="58640105">
      <w:pPr>
        <w:tabs>
          <w:tab w:val="left" w:pos="4725"/>
        </w:tabs>
        <w:adjustRightInd w:val="0"/>
        <w:snapToGrid w:val="0"/>
        <w:spacing w:before="120" w:beforeLines="50" w:line="360" w:lineRule="auto"/>
        <w:ind w:firstLine="735" w:firstLineChars="350"/>
        <w:rPr>
          <w:rFonts w:hint="eastAsia" w:ascii="宋体" w:hAnsi="宋体"/>
          <w:szCs w:val="21"/>
          <w:highlight w:val="none"/>
        </w:rPr>
      </w:pPr>
      <w:r>
        <w:rPr>
          <w:rFonts w:hint="eastAsia" w:ascii="宋体" w:hAnsi="宋体"/>
          <w:szCs w:val="21"/>
          <w:highlight w:val="none"/>
        </w:rPr>
        <w:t>附件10-1 法人或者其他组织的营业执照等主体资格证明文件，自然人的身份证明</w:t>
      </w:r>
    </w:p>
    <w:p w14:paraId="4B65FC63">
      <w:pPr>
        <w:tabs>
          <w:tab w:val="left" w:pos="4725"/>
        </w:tabs>
        <w:adjustRightInd w:val="0"/>
        <w:snapToGrid w:val="0"/>
        <w:spacing w:before="120" w:beforeLines="50" w:line="360" w:lineRule="auto"/>
        <w:ind w:firstLine="735" w:firstLineChars="350"/>
        <w:rPr>
          <w:rFonts w:hint="eastAsia" w:ascii="宋体" w:hAnsi="宋体"/>
          <w:szCs w:val="21"/>
          <w:highlight w:val="none"/>
        </w:rPr>
      </w:pPr>
      <w:r>
        <w:rPr>
          <w:rFonts w:hint="eastAsia" w:ascii="宋体" w:hAnsi="宋体"/>
          <w:szCs w:val="21"/>
          <w:highlight w:val="none"/>
        </w:rPr>
        <w:t>附件10-2湖南省政府采购供应商资格承诺函(格式)</w:t>
      </w:r>
    </w:p>
    <w:p w14:paraId="46CDF06E">
      <w:pPr>
        <w:tabs>
          <w:tab w:val="left" w:pos="4725"/>
        </w:tabs>
        <w:adjustRightInd w:val="0"/>
        <w:snapToGrid w:val="0"/>
        <w:spacing w:before="120" w:beforeLines="50" w:line="360" w:lineRule="auto"/>
        <w:ind w:firstLine="735" w:firstLineChars="350"/>
        <w:rPr>
          <w:rFonts w:hint="eastAsia" w:ascii="宋体" w:hAnsi="宋体"/>
          <w:szCs w:val="21"/>
          <w:highlight w:val="none"/>
        </w:rPr>
      </w:pPr>
      <w:r>
        <w:rPr>
          <w:rFonts w:hint="eastAsia" w:ascii="宋体" w:hAnsi="宋体"/>
          <w:szCs w:val="21"/>
          <w:highlight w:val="none"/>
        </w:rPr>
        <w:t>附件10-3符合特定资格条件证明材料复印件或者情况说明</w:t>
      </w:r>
    </w:p>
    <w:p w14:paraId="30373A9E">
      <w:pPr>
        <w:tabs>
          <w:tab w:val="left" w:pos="4725"/>
        </w:tabs>
        <w:adjustRightInd w:val="0"/>
        <w:snapToGrid w:val="0"/>
        <w:spacing w:before="120" w:beforeLines="50" w:line="360" w:lineRule="auto"/>
        <w:ind w:firstLine="735" w:firstLineChars="350"/>
        <w:rPr>
          <w:rFonts w:hint="eastAsia" w:ascii="宋体" w:hAnsi="宋体"/>
          <w:szCs w:val="21"/>
          <w:highlight w:val="none"/>
        </w:rPr>
      </w:pPr>
      <w:r>
        <w:rPr>
          <w:rFonts w:hint="eastAsia" w:ascii="宋体" w:hAnsi="宋体"/>
          <w:szCs w:val="21"/>
          <w:highlight w:val="none"/>
        </w:rPr>
        <w:t>附件10-4 符合预留采购份额的证明文件</w:t>
      </w:r>
    </w:p>
    <w:p w14:paraId="4753D89D">
      <w:pPr>
        <w:tabs>
          <w:tab w:val="left" w:pos="4725"/>
        </w:tabs>
        <w:adjustRightInd w:val="0"/>
        <w:snapToGrid w:val="0"/>
        <w:spacing w:before="120" w:beforeLines="50" w:line="360" w:lineRule="auto"/>
        <w:ind w:firstLine="1050" w:firstLineChars="500"/>
        <w:rPr>
          <w:rFonts w:hint="eastAsia" w:ascii="宋体" w:hAnsi="宋体"/>
          <w:szCs w:val="21"/>
          <w:highlight w:val="none"/>
        </w:rPr>
      </w:pPr>
      <w:r>
        <w:rPr>
          <w:rFonts w:hint="eastAsia" w:ascii="宋体" w:hAnsi="宋体"/>
          <w:szCs w:val="21"/>
          <w:highlight w:val="none"/>
        </w:rPr>
        <w:t>附页1《中小企业声明函》</w:t>
      </w:r>
    </w:p>
    <w:p w14:paraId="0CFF287A">
      <w:pPr>
        <w:tabs>
          <w:tab w:val="left" w:pos="4725"/>
        </w:tabs>
        <w:adjustRightInd w:val="0"/>
        <w:snapToGrid w:val="0"/>
        <w:spacing w:before="120" w:beforeLines="50" w:line="360" w:lineRule="auto"/>
        <w:ind w:firstLine="1050" w:firstLineChars="500"/>
        <w:rPr>
          <w:rFonts w:hint="eastAsia" w:ascii="宋体" w:hAnsi="宋体"/>
          <w:szCs w:val="21"/>
          <w:highlight w:val="none"/>
        </w:rPr>
      </w:pPr>
      <w:r>
        <w:rPr>
          <w:rFonts w:hint="eastAsia" w:ascii="宋体" w:hAnsi="宋体"/>
          <w:szCs w:val="21"/>
          <w:highlight w:val="none"/>
        </w:rPr>
        <w:t>附页2 联合体协议书（格式）</w:t>
      </w:r>
    </w:p>
    <w:p w14:paraId="386BE246">
      <w:pPr>
        <w:tabs>
          <w:tab w:val="left" w:pos="4725"/>
        </w:tabs>
        <w:adjustRightInd w:val="0"/>
        <w:snapToGrid w:val="0"/>
        <w:spacing w:before="120" w:beforeLines="50" w:line="360" w:lineRule="auto"/>
        <w:ind w:firstLine="1050" w:firstLineChars="500"/>
        <w:rPr>
          <w:rFonts w:hint="eastAsia" w:ascii="宋体" w:hAnsi="宋体"/>
          <w:szCs w:val="21"/>
          <w:highlight w:val="none"/>
        </w:rPr>
      </w:pPr>
      <w:r>
        <w:rPr>
          <w:rFonts w:hint="eastAsia" w:ascii="宋体" w:hAnsi="宋体"/>
          <w:szCs w:val="21"/>
          <w:highlight w:val="none"/>
        </w:rPr>
        <w:t>附页3分包意向协议书</w:t>
      </w:r>
    </w:p>
    <w:p w14:paraId="31D3335C">
      <w:pPr>
        <w:widowControl/>
        <w:jc w:val="left"/>
        <w:rPr>
          <w:rFonts w:hint="eastAsia" w:ascii="黑体" w:hAnsi="仿宋" w:eastAsia="黑体" w:cs="宋体"/>
          <w:bCs/>
          <w:szCs w:val="21"/>
          <w:highlight w:val="none"/>
        </w:rPr>
      </w:pPr>
      <w:bookmarkStart w:id="533" w:name="_Toc23255920"/>
    </w:p>
    <w:p w14:paraId="6E6542A9">
      <w:pPr>
        <w:pStyle w:val="9"/>
        <w:rPr>
          <w:rFonts w:hint="eastAsia" w:ascii="黑体" w:hAnsi="黑体" w:eastAsia="黑体"/>
          <w:sz w:val="21"/>
          <w:szCs w:val="21"/>
          <w:highlight w:val="none"/>
        </w:rPr>
      </w:pPr>
      <w:bookmarkStart w:id="534" w:name="_Toc26562"/>
      <w:bookmarkStart w:id="535" w:name="_Toc27565"/>
      <w:bookmarkStart w:id="536" w:name="_Toc12762"/>
      <w:bookmarkStart w:id="537" w:name="_Toc31373"/>
      <w:r>
        <w:rPr>
          <w:rFonts w:hint="eastAsia" w:ascii="黑体" w:hAnsi="黑体" w:eastAsia="黑体"/>
          <w:sz w:val="21"/>
          <w:szCs w:val="21"/>
          <w:highlight w:val="none"/>
        </w:rPr>
        <w:t>附件10-1 法人或者其他组织的营业执照等主体资格证明文件，自然人的身份证明</w:t>
      </w:r>
      <w:bookmarkEnd w:id="533"/>
      <w:bookmarkEnd w:id="534"/>
      <w:bookmarkEnd w:id="535"/>
      <w:bookmarkEnd w:id="536"/>
      <w:bookmarkEnd w:id="537"/>
    </w:p>
    <w:p w14:paraId="2A53899B">
      <w:pPr>
        <w:widowControl/>
        <w:adjustRightInd w:val="0"/>
        <w:snapToGrid w:val="0"/>
        <w:spacing w:line="360" w:lineRule="auto"/>
        <w:jc w:val="center"/>
        <w:rPr>
          <w:rFonts w:hint="eastAsia" w:ascii="黑体" w:hAnsi="仿宋" w:eastAsia="黑体" w:cs="宋体"/>
          <w:b/>
          <w:sz w:val="28"/>
          <w:szCs w:val="28"/>
          <w:highlight w:val="none"/>
        </w:rPr>
      </w:pPr>
      <w:r>
        <w:rPr>
          <w:rFonts w:hint="eastAsia" w:ascii="黑体" w:hAnsi="仿宋" w:eastAsia="黑体" w:cs="宋体"/>
          <w:b/>
          <w:sz w:val="28"/>
          <w:szCs w:val="28"/>
          <w:highlight w:val="none"/>
        </w:rPr>
        <w:t>法人或者其他组织的营业执照等主体资格证明文件，自然人的身份证明</w:t>
      </w:r>
    </w:p>
    <w:p w14:paraId="1D9AB59F">
      <w:pPr>
        <w:adjustRightInd w:val="0"/>
        <w:snapToGrid w:val="0"/>
        <w:spacing w:before="120" w:beforeLines="50" w:line="360" w:lineRule="auto"/>
        <w:ind w:firstLine="420" w:firstLineChars="200"/>
        <w:rPr>
          <w:rFonts w:hint="eastAsia" w:ascii="宋体" w:hAnsi="宋体"/>
          <w:highlight w:val="none"/>
        </w:rPr>
      </w:pPr>
      <w:r>
        <w:rPr>
          <w:rFonts w:hint="eastAsia" w:ascii="宋体" w:hAnsi="宋体" w:cs="宋体"/>
          <w:szCs w:val="21"/>
          <w:highlight w:val="none"/>
        </w:rPr>
        <w:t>（1）</w:t>
      </w:r>
      <w:r>
        <w:rPr>
          <w:rFonts w:hint="eastAsia" w:ascii="宋体" w:hAnsi="宋体"/>
          <w:highlight w:val="none"/>
        </w:rPr>
        <w:t>供应商为法人的，应提交营业执照或法人登记证书的复印件；</w:t>
      </w:r>
    </w:p>
    <w:p w14:paraId="777DD775">
      <w:pPr>
        <w:adjustRightInd w:val="0"/>
        <w:snapToGrid w:val="0"/>
        <w:spacing w:before="120" w:beforeLines="50" w:line="360" w:lineRule="auto"/>
        <w:ind w:firstLine="420" w:firstLineChars="200"/>
        <w:rPr>
          <w:rFonts w:hint="eastAsia" w:ascii="宋体" w:hAnsi="宋体"/>
          <w:highlight w:val="none"/>
        </w:rPr>
      </w:pPr>
      <w:r>
        <w:rPr>
          <w:rFonts w:hint="eastAsia" w:ascii="宋体" w:hAnsi="宋体" w:cs="宋体"/>
          <w:szCs w:val="21"/>
          <w:highlight w:val="none"/>
        </w:rPr>
        <w:t>（2）</w:t>
      </w:r>
      <w:r>
        <w:rPr>
          <w:rFonts w:hint="eastAsia" w:ascii="宋体" w:hAnsi="宋体"/>
          <w:highlight w:val="none"/>
        </w:rPr>
        <w:t>供应商为非法人组织的，应提交依法登记证书复印件；</w:t>
      </w:r>
    </w:p>
    <w:p w14:paraId="3FE1D842">
      <w:pPr>
        <w:adjustRightInd w:val="0"/>
        <w:snapToGrid w:val="0"/>
        <w:spacing w:before="120" w:beforeLines="50" w:line="360" w:lineRule="auto"/>
        <w:ind w:firstLine="420" w:firstLineChars="200"/>
        <w:rPr>
          <w:rFonts w:hint="eastAsia" w:ascii="宋体" w:hAnsi="宋体"/>
          <w:highlight w:val="none"/>
        </w:rPr>
      </w:pPr>
      <w:r>
        <w:rPr>
          <w:rFonts w:hint="eastAsia" w:ascii="宋体" w:hAnsi="宋体" w:cs="宋体"/>
          <w:szCs w:val="21"/>
          <w:highlight w:val="none"/>
        </w:rPr>
        <w:t>（3）</w:t>
      </w:r>
      <w:r>
        <w:rPr>
          <w:rFonts w:hint="eastAsia" w:ascii="宋体" w:hAnsi="宋体"/>
          <w:highlight w:val="none"/>
        </w:rPr>
        <w:t>供应商为个体工商户的，应提交个体工商户营业执照复印件；</w:t>
      </w:r>
    </w:p>
    <w:p w14:paraId="43D1069A">
      <w:pPr>
        <w:adjustRightInd w:val="0"/>
        <w:snapToGrid w:val="0"/>
        <w:spacing w:before="120" w:beforeLines="50" w:line="360" w:lineRule="auto"/>
        <w:ind w:firstLine="420" w:firstLineChars="200"/>
        <w:rPr>
          <w:rFonts w:hint="eastAsia" w:ascii="宋体" w:hAnsi="宋体"/>
          <w:highlight w:val="none"/>
        </w:rPr>
      </w:pPr>
      <w:r>
        <w:rPr>
          <w:rFonts w:hint="eastAsia" w:ascii="宋体" w:hAnsi="宋体" w:cs="宋体"/>
          <w:szCs w:val="21"/>
          <w:highlight w:val="none"/>
        </w:rPr>
        <w:t>（4）</w:t>
      </w:r>
      <w:r>
        <w:rPr>
          <w:rFonts w:hint="eastAsia" w:ascii="宋体" w:hAnsi="宋体"/>
          <w:highlight w:val="none"/>
        </w:rPr>
        <w:t>供应商为自然人的，应提交自然人的身份证明复印件。</w:t>
      </w:r>
    </w:p>
    <w:p w14:paraId="43BA25C2">
      <w:pPr>
        <w:widowControl/>
        <w:jc w:val="left"/>
        <w:rPr>
          <w:rFonts w:hint="eastAsia" w:ascii="黑体" w:hAnsi="仿宋" w:eastAsia="黑体" w:cs="宋体"/>
          <w:bCs/>
          <w:szCs w:val="21"/>
          <w:highlight w:val="none"/>
        </w:rPr>
      </w:pPr>
      <w:r>
        <w:rPr>
          <w:rFonts w:ascii="黑体" w:hAnsi="仿宋" w:cs="宋体"/>
          <w:b/>
          <w:szCs w:val="21"/>
          <w:highlight w:val="none"/>
        </w:rPr>
        <w:br w:type="page"/>
      </w:r>
    </w:p>
    <w:p w14:paraId="7D8FF49E">
      <w:pPr>
        <w:pStyle w:val="9"/>
        <w:rPr>
          <w:rFonts w:hint="eastAsia" w:ascii="黑体" w:hAnsi="黑体" w:eastAsia="黑体"/>
          <w:sz w:val="21"/>
          <w:szCs w:val="21"/>
          <w:highlight w:val="none"/>
        </w:rPr>
      </w:pPr>
      <w:bookmarkStart w:id="538" w:name="_Toc8816"/>
      <w:bookmarkStart w:id="539" w:name="_Toc16152"/>
      <w:bookmarkStart w:id="540" w:name="_Toc28602"/>
      <w:bookmarkStart w:id="541" w:name="_Toc24314"/>
      <w:bookmarkStart w:id="542" w:name="_Toc23255921"/>
      <w:r>
        <w:rPr>
          <w:rFonts w:hint="eastAsia" w:ascii="黑体" w:hAnsi="黑体" w:eastAsia="黑体"/>
          <w:sz w:val="21"/>
          <w:szCs w:val="21"/>
          <w:highlight w:val="none"/>
        </w:rPr>
        <w:t>附件10-2湖南省政府采购供应商资格承诺函(格式)</w:t>
      </w:r>
      <w:bookmarkEnd w:id="538"/>
      <w:bookmarkEnd w:id="539"/>
      <w:bookmarkEnd w:id="540"/>
      <w:bookmarkEnd w:id="541"/>
      <w:bookmarkEnd w:id="542"/>
    </w:p>
    <w:p w14:paraId="199EC31F">
      <w:pPr>
        <w:widowControl/>
        <w:adjustRightInd w:val="0"/>
        <w:snapToGrid w:val="0"/>
        <w:spacing w:before="120" w:beforeLines="50" w:line="360" w:lineRule="auto"/>
        <w:jc w:val="center"/>
        <w:rPr>
          <w:rFonts w:hint="eastAsia" w:ascii="宋体" w:hAnsi="宋体" w:cs="宋体"/>
          <w:szCs w:val="21"/>
          <w:highlight w:val="none"/>
        </w:rPr>
      </w:pPr>
      <w:r>
        <w:rPr>
          <w:rFonts w:hint="eastAsia" w:ascii="黑体" w:hAnsi="仿宋" w:eastAsia="黑体" w:cs="宋体"/>
          <w:b/>
          <w:sz w:val="28"/>
          <w:szCs w:val="28"/>
          <w:highlight w:val="none"/>
        </w:rPr>
        <w:t>湖南省政府采购供应商资格承诺函(格式)</w:t>
      </w:r>
    </w:p>
    <w:p w14:paraId="3B87DD6D">
      <w:pPr>
        <w:spacing w:line="480" w:lineRule="exact"/>
        <w:rPr>
          <w:rFonts w:hint="eastAsia" w:ascii="宋体" w:hAnsi="宋体" w:cs="宋体"/>
          <w:sz w:val="24"/>
          <w:highlight w:val="none"/>
        </w:rPr>
      </w:pPr>
      <w:bookmarkStart w:id="543" w:name="_Toc23255922"/>
    </w:p>
    <w:p w14:paraId="742ED2A2">
      <w:pPr>
        <w:spacing w:line="360" w:lineRule="auto"/>
        <w:ind w:firstLine="480" w:firstLineChars="200"/>
        <w:rPr>
          <w:rFonts w:hint="eastAsia" w:ascii="宋体" w:hAnsi="宋体" w:cs="宋体"/>
          <w:sz w:val="24"/>
          <w:highlight w:val="none"/>
        </w:rPr>
      </w:pPr>
      <w:r>
        <w:rPr>
          <w:rFonts w:hint="eastAsia" w:ascii="宋体" w:hAnsi="宋体" w:cs="宋体"/>
          <w:sz w:val="24"/>
          <w:highlight w:val="none"/>
          <w:lang w:bidi="ar"/>
        </w:rPr>
        <w:t>本公司独立承担民事责任、具有良好的商业信誉和健全的财务制度、依法缴纳税收和社会保障资金，在前三年的经营活动中无重大违法记录，未列入严重失信行为名单，符合政府采购供应商的基本资格要求。</w:t>
      </w:r>
    </w:p>
    <w:p w14:paraId="0028AA23">
      <w:pPr>
        <w:spacing w:line="360" w:lineRule="auto"/>
        <w:ind w:firstLine="480" w:firstLineChars="200"/>
        <w:rPr>
          <w:rFonts w:hint="eastAsia" w:ascii="宋体" w:hAnsi="宋体" w:cs="宋体"/>
          <w:sz w:val="24"/>
          <w:highlight w:val="none"/>
        </w:rPr>
      </w:pPr>
      <w:r>
        <w:rPr>
          <w:rFonts w:hint="eastAsia" w:ascii="宋体" w:hAnsi="宋体" w:cs="宋体"/>
          <w:sz w:val="24"/>
          <w:highlight w:val="none"/>
          <w:lang w:bidi="ar"/>
        </w:rPr>
        <w:t>按照《政府采购促进中小企业发展管理办法》（财库[2020]46号），本公司企业规模为：</w:t>
      </w:r>
      <w:r>
        <w:rPr>
          <w:rFonts w:hint="eastAsia" w:ascii="宋体" w:hAnsi="宋体" w:cs="宋体"/>
          <w:b/>
          <w:bCs/>
          <w:sz w:val="24"/>
          <w:highlight w:val="none"/>
          <w:lang w:bidi="ar"/>
        </w:rPr>
        <w:t>大型</w:t>
      </w:r>
      <w:r>
        <w:rPr>
          <w:rFonts w:hint="eastAsia" w:ascii="宋体" w:hAnsi="宋体" w:cs="宋体"/>
          <w:b/>
          <w:bCs/>
          <w:szCs w:val="21"/>
          <w:highlight w:val="none"/>
          <w:lang w:bidi="ar"/>
        </w:rPr>
        <w:t>□</w:t>
      </w:r>
      <w:r>
        <w:rPr>
          <w:rFonts w:hint="eastAsia" w:ascii="宋体" w:hAnsi="宋体" w:cs="宋体"/>
          <w:b/>
          <w:bCs/>
          <w:szCs w:val="21"/>
          <w:highlight w:val="none"/>
          <w:lang w:bidi="ar"/>
        </w:rPr>
        <w:tab/>
      </w:r>
      <w:r>
        <w:rPr>
          <w:rFonts w:hint="eastAsia" w:ascii="宋体" w:hAnsi="宋体" w:cs="宋体"/>
          <w:b/>
          <w:bCs/>
          <w:szCs w:val="21"/>
          <w:highlight w:val="none"/>
          <w:lang w:bidi="ar"/>
        </w:rPr>
        <w:tab/>
      </w:r>
      <w:r>
        <w:rPr>
          <w:rFonts w:hint="eastAsia" w:ascii="宋体" w:hAnsi="宋体" w:cs="宋体"/>
          <w:b/>
          <w:bCs/>
          <w:sz w:val="24"/>
          <w:highlight w:val="none"/>
          <w:lang w:bidi="ar"/>
        </w:rPr>
        <w:t>中型</w:t>
      </w:r>
      <w:r>
        <w:rPr>
          <w:rFonts w:hint="eastAsia" w:ascii="宋体" w:hAnsi="宋体" w:cs="宋体"/>
          <w:b/>
          <w:bCs/>
          <w:szCs w:val="21"/>
          <w:highlight w:val="none"/>
          <w:lang w:bidi="ar"/>
        </w:rPr>
        <w:t>□</w:t>
      </w:r>
      <w:r>
        <w:rPr>
          <w:rFonts w:hint="eastAsia" w:ascii="宋体" w:hAnsi="宋体" w:cs="宋体"/>
          <w:b/>
          <w:bCs/>
          <w:szCs w:val="21"/>
          <w:highlight w:val="none"/>
          <w:lang w:bidi="ar"/>
        </w:rPr>
        <w:tab/>
      </w:r>
      <w:r>
        <w:rPr>
          <w:rFonts w:hint="eastAsia" w:ascii="宋体" w:hAnsi="宋体" w:cs="宋体"/>
          <w:b/>
          <w:bCs/>
          <w:szCs w:val="21"/>
          <w:highlight w:val="none"/>
          <w:lang w:bidi="ar"/>
        </w:rPr>
        <w:tab/>
      </w:r>
      <w:r>
        <w:rPr>
          <w:rFonts w:hint="eastAsia" w:ascii="宋体" w:hAnsi="宋体" w:cs="宋体"/>
          <w:b/>
          <w:bCs/>
          <w:sz w:val="24"/>
          <w:highlight w:val="none"/>
          <w:lang w:bidi="ar"/>
        </w:rPr>
        <w:t>小型</w:t>
      </w:r>
      <w:r>
        <w:rPr>
          <w:rFonts w:hint="eastAsia" w:ascii="宋体" w:hAnsi="宋体" w:cs="宋体"/>
          <w:b/>
          <w:bCs/>
          <w:szCs w:val="21"/>
          <w:highlight w:val="none"/>
          <w:lang w:bidi="ar"/>
        </w:rPr>
        <w:t>□</w:t>
      </w:r>
      <w:r>
        <w:rPr>
          <w:rFonts w:hint="eastAsia" w:ascii="宋体" w:hAnsi="宋体" w:cs="宋体"/>
          <w:b/>
          <w:bCs/>
          <w:szCs w:val="21"/>
          <w:highlight w:val="none"/>
          <w:lang w:bidi="ar"/>
        </w:rPr>
        <w:tab/>
      </w:r>
      <w:r>
        <w:rPr>
          <w:rFonts w:hint="eastAsia" w:ascii="宋体" w:hAnsi="宋体" w:cs="宋体"/>
          <w:b/>
          <w:bCs/>
          <w:szCs w:val="21"/>
          <w:highlight w:val="none"/>
          <w:lang w:bidi="ar"/>
        </w:rPr>
        <w:tab/>
      </w:r>
      <w:r>
        <w:rPr>
          <w:rFonts w:hint="eastAsia" w:ascii="宋体" w:hAnsi="宋体" w:cs="宋体"/>
          <w:b/>
          <w:bCs/>
          <w:sz w:val="24"/>
          <w:highlight w:val="none"/>
          <w:lang w:bidi="ar"/>
        </w:rPr>
        <w:t>微型</w:t>
      </w:r>
      <w:r>
        <w:rPr>
          <w:rFonts w:hint="eastAsia" w:ascii="宋体" w:hAnsi="宋体" w:cs="宋体"/>
          <w:b/>
          <w:bCs/>
          <w:szCs w:val="21"/>
          <w:highlight w:val="none"/>
          <w:lang w:bidi="ar"/>
        </w:rPr>
        <w:t>□</w:t>
      </w:r>
    </w:p>
    <w:p w14:paraId="7DA379BA">
      <w:pPr>
        <w:spacing w:line="360" w:lineRule="auto"/>
        <w:ind w:firstLine="422" w:firstLineChars="200"/>
        <w:rPr>
          <w:rFonts w:hint="eastAsia" w:ascii="宋体" w:hAnsi="宋体" w:cs="宋体"/>
          <w:sz w:val="24"/>
          <w:highlight w:val="none"/>
        </w:rPr>
      </w:pPr>
      <w:r>
        <w:rPr>
          <w:rFonts w:hint="eastAsia" w:ascii="宋体" w:hAnsi="宋体" w:cs="宋体"/>
          <w:b/>
          <w:bCs/>
          <w:szCs w:val="21"/>
          <w:highlight w:val="none"/>
          <w:lang w:bidi="ar"/>
        </w:rPr>
        <w:t>□</w:t>
      </w:r>
      <w:r>
        <w:rPr>
          <w:rFonts w:hint="eastAsia" w:ascii="宋体" w:hAnsi="宋体" w:cs="宋体"/>
          <w:sz w:val="24"/>
          <w:highlight w:val="none"/>
          <w:lang w:bidi="ar"/>
        </w:rPr>
        <w:t>本公司自愿入驻湖南省政府采购电子卖场，遵守《湖南省政府采购电子卖场管理办法》（湘财购[2019]29号），如违反承诺，同意金融机构将征信保证划拨缴国库</w:t>
      </w:r>
      <w:r>
        <w:rPr>
          <w:rFonts w:hint="eastAsia" w:ascii="宋体" w:hAnsi="宋体" w:cs="宋体"/>
          <w:sz w:val="24"/>
          <w:highlight w:val="none"/>
          <w:u w:val="single"/>
          <w:lang w:bidi="ar"/>
        </w:rPr>
        <w:t>（非电子卖场采购活动项目不需勾选）</w:t>
      </w:r>
      <w:r>
        <w:rPr>
          <w:rFonts w:hint="eastAsia" w:ascii="宋体" w:hAnsi="宋体" w:cs="宋体"/>
          <w:sz w:val="24"/>
          <w:highlight w:val="none"/>
          <w:lang w:bidi="ar"/>
        </w:rPr>
        <w:t>。</w:t>
      </w:r>
    </w:p>
    <w:p w14:paraId="6301F9EC">
      <w:pPr>
        <w:spacing w:line="360" w:lineRule="auto"/>
        <w:jc w:val="right"/>
        <w:rPr>
          <w:rFonts w:hint="eastAsia" w:ascii="宋体" w:hAnsi="宋体" w:cs="宋体"/>
          <w:sz w:val="24"/>
          <w:highlight w:val="none"/>
        </w:rPr>
      </w:pPr>
      <w:r>
        <w:rPr>
          <w:rFonts w:hint="eastAsia" w:ascii="宋体" w:hAnsi="宋体" w:cs="宋体"/>
          <w:sz w:val="24"/>
          <w:highlight w:val="none"/>
          <w:lang w:bidi="ar"/>
        </w:rPr>
        <w:t>公司（单位）名称：（盖章）</w:t>
      </w:r>
    </w:p>
    <w:p w14:paraId="7DC8160B">
      <w:pPr>
        <w:wordWrap w:val="0"/>
        <w:spacing w:line="360" w:lineRule="auto"/>
        <w:jc w:val="right"/>
        <w:rPr>
          <w:rFonts w:hint="eastAsia" w:ascii="宋体" w:hAnsi="宋体" w:cs="宋体"/>
          <w:sz w:val="24"/>
          <w:highlight w:val="none"/>
        </w:rPr>
      </w:pPr>
      <w:r>
        <w:rPr>
          <w:rFonts w:hint="eastAsia" w:ascii="宋体" w:hAnsi="宋体" w:cs="宋体"/>
          <w:sz w:val="24"/>
          <w:highlight w:val="none"/>
          <w:lang w:bidi="ar"/>
        </w:rPr>
        <w:t xml:space="preserve">年   月   日     </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3"/>
        <w:gridCol w:w="6159"/>
      </w:tblGrid>
      <w:tr w14:paraId="0F3E4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4" w:type="dxa"/>
            <w:tcBorders>
              <w:top w:val="single" w:color="auto" w:sz="4" w:space="0"/>
              <w:left w:val="single" w:color="auto" w:sz="4" w:space="0"/>
              <w:bottom w:val="single" w:color="auto" w:sz="4" w:space="0"/>
              <w:right w:val="single" w:color="auto" w:sz="4" w:space="0"/>
            </w:tcBorders>
            <w:vAlign w:val="center"/>
          </w:tcPr>
          <w:p w14:paraId="283A24A9">
            <w:pPr>
              <w:spacing w:line="360" w:lineRule="auto"/>
              <w:rPr>
                <w:rFonts w:hint="eastAsia" w:ascii="宋体" w:hAnsi="宋体" w:cs="宋体"/>
                <w:sz w:val="24"/>
                <w:highlight w:val="none"/>
              </w:rPr>
            </w:pPr>
            <w:r>
              <w:rPr>
                <w:rFonts w:hint="eastAsia" w:ascii="宋体" w:hAnsi="宋体" w:cs="宋体"/>
                <w:sz w:val="24"/>
                <w:highlight w:val="none"/>
                <w:lang w:bidi="ar"/>
              </w:rPr>
              <w:t>机构代码：</w:t>
            </w:r>
          </w:p>
        </w:tc>
        <w:tc>
          <w:tcPr>
            <w:tcW w:w="6322" w:type="dxa"/>
            <w:tcBorders>
              <w:top w:val="single" w:color="auto" w:sz="4" w:space="0"/>
              <w:left w:val="single" w:color="auto" w:sz="4" w:space="0"/>
              <w:bottom w:val="single" w:color="auto" w:sz="4" w:space="0"/>
              <w:right w:val="single" w:color="auto" w:sz="4" w:space="0"/>
            </w:tcBorders>
            <w:vAlign w:val="center"/>
          </w:tcPr>
          <w:p w14:paraId="0551F60D">
            <w:pPr>
              <w:spacing w:line="360" w:lineRule="auto"/>
              <w:rPr>
                <w:rFonts w:hint="eastAsia" w:ascii="宋体" w:hAnsi="宋体" w:cs="宋体"/>
                <w:sz w:val="24"/>
                <w:highlight w:val="none"/>
              </w:rPr>
            </w:pPr>
          </w:p>
        </w:tc>
      </w:tr>
      <w:tr w14:paraId="1267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4" w:type="dxa"/>
            <w:tcBorders>
              <w:top w:val="single" w:color="auto" w:sz="4" w:space="0"/>
              <w:left w:val="single" w:color="auto" w:sz="4" w:space="0"/>
              <w:bottom w:val="single" w:color="auto" w:sz="4" w:space="0"/>
              <w:right w:val="single" w:color="auto" w:sz="4" w:space="0"/>
            </w:tcBorders>
            <w:vAlign w:val="center"/>
          </w:tcPr>
          <w:p w14:paraId="53498034">
            <w:pPr>
              <w:spacing w:line="360" w:lineRule="auto"/>
              <w:rPr>
                <w:rFonts w:hint="eastAsia" w:ascii="宋体" w:hAnsi="宋体" w:cs="宋体"/>
                <w:sz w:val="24"/>
                <w:highlight w:val="none"/>
              </w:rPr>
            </w:pPr>
            <w:r>
              <w:rPr>
                <w:rFonts w:hint="eastAsia" w:ascii="宋体" w:hAnsi="宋体" w:cs="宋体"/>
                <w:sz w:val="24"/>
                <w:highlight w:val="none"/>
                <w:lang w:bidi="ar"/>
              </w:rPr>
              <w:t>注册登记机构：</w:t>
            </w:r>
          </w:p>
        </w:tc>
        <w:tc>
          <w:tcPr>
            <w:tcW w:w="6322" w:type="dxa"/>
            <w:tcBorders>
              <w:top w:val="single" w:color="auto" w:sz="4" w:space="0"/>
              <w:left w:val="single" w:color="auto" w:sz="4" w:space="0"/>
              <w:bottom w:val="single" w:color="auto" w:sz="4" w:space="0"/>
              <w:right w:val="single" w:color="auto" w:sz="4" w:space="0"/>
            </w:tcBorders>
            <w:vAlign w:val="center"/>
          </w:tcPr>
          <w:p w14:paraId="6CF34FAE">
            <w:pPr>
              <w:spacing w:line="360" w:lineRule="auto"/>
              <w:rPr>
                <w:rFonts w:hint="eastAsia" w:ascii="宋体" w:hAnsi="宋体" w:cs="宋体"/>
                <w:sz w:val="24"/>
                <w:highlight w:val="none"/>
              </w:rPr>
            </w:pPr>
          </w:p>
        </w:tc>
      </w:tr>
      <w:tr w14:paraId="3EAA0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4" w:type="dxa"/>
            <w:tcBorders>
              <w:top w:val="single" w:color="auto" w:sz="4" w:space="0"/>
              <w:left w:val="single" w:color="auto" w:sz="4" w:space="0"/>
              <w:bottom w:val="single" w:color="auto" w:sz="4" w:space="0"/>
              <w:right w:val="single" w:color="auto" w:sz="4" w:space="0"/>
            </w:tcBorders>
            <w:vAlign w:val="center"/>
          </w:tcPr>
          <w:p w14:paraId="4C75AF08">
            <w:pPr>
              <w:spacing w:line="360" w:lineRule="auto"/>
              <w:rPr>
                <w:rFonts w:hint="eastAsia" w:ascii="宋体" w:hAnsi="宋体" w:cs="宋体"/>
                <w:sz w:val="24"/>
                <w:highlight w:val="none"/>
              </w:rPr>
            </w:pPr>
            <w:r>
              <w:rPr>
                <w:rFonts w:hint="eastAsia" w:ascii="宋体" w:hAnsi="宋体" w:cs="宋体"/>
                <w:sz w:val="24"/>
                <w:highlight w:val="none"/>
                <w:lang w:bidi="ar"/>
              </w:rPr>
              <w:t>日期：</w:t>
            </w:r>
          </w:p>
        </w:tc>
        <w:tc>
          <w:tcPr>
            <w:tcW w:w="6322" w:type="dxa"/>
            <w:tcBorders>
              <w:top w:val="single" w:color="auto" w:sz="4" w:space="0"/>
              <w:left w:val="single" w:color="auto" w:sz="4" w:space="0"/>
              <w:bottom w:val="single" w:color="auto" w:sz="4" w:space="0"/>
              <w:right w:val="single" w:color="auto" w:sz="4" w:space="0"/>
            </w:tcBorders>
            <w:vAlign w:val="center"/>
          </w:tcPr>
          <w:p w14:paraId="7C38135F">
            <w:pPr>
              <w:spacing w:line="360" w:lineRule="auto"/>
              <w:rPr>
                <w:rFonts w:hint="eastAsia" w:ascii="宋体" w:hAnsi="宋体" w:cs="宋体"/>
                <w:sz w:val="24"/>
                <w:highlight w:val="none"/>
              </w:rPr>
            </w:pPr>
          </w:p>
        </w:tc>
      </w:tr>
      <w:tr w14:paraId="382AC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4" w:type="dxa"/>
            <w:tcBorders>
              <w:top w:val="single" w:color="auto" w:sz="4" w:space="0"/>
              <w:left w:val="single" w:color="auto" w:sz="4" w:space="0"/>
              <w:bottom w:val="single" w:color="auto" w:sz="4" w:space="0"/>
              <w:right w:val="single" w:color="auto" w:sz="4" w:space="0"/>
            </w:tcBorders>
            <w:vAlign w:val="center"/>
          </w:tcPr>
          <w:p w14:paraId="5E3F1C4E">
            <w:pPr>
              <w:spacing w:line="360" w:lineRule="auto"/>
              <w:rPr>
                <w:rFonts w:hint="eastAsia" w:ascii="宋体" w:hAnsi="宋体" w:cs="宋体"/>
                <w:sz w:val="24"/>
                <w:highlight w:val="none"/>
              </w:rPr>
            </w:pPr>
            <w:r>
              <w:rPr>
                <w:rFonts w:hint="eastAsia" w:ascii="宋体" w:hAnsi="宋体" w:cs="宋体"/>
                <w:sz w:val="24"/>
                <w:highlight w:val="none"/>
                <w:lang w:bidi="ar"/>
              </w:rPr>
              <w:t>有效期：</w:t>
            </w:r>
          </w:p>
        </w:tc>
        <w:tc>
          <w:tcPr>
            <w:tcW w:w="6322" w:type="dxa"/>
            <w:tcBorders>
              <w:top w:val="single" w:color="auto" w:sz="4" w:space="0"/>
              <w:left w:val="single" w:color="auto" w:sz="4" w:space="0"/>
              <w:bottom w:val="single" w:color="auto" w:sz="4" w:space="0"/>
              <w:right w:val="single" w:color="auto" w:sz="4" w:space="0"/>
            </w:tcBorders>
            <w:vAlign w:val="center"/>
          </w:tcPr>
          <w:p w14:paraId="49FC396B">
            <w:pPr>
              <w:spacing w:line="360" w:lineRule="auto"/>
              <w:rPr>
                <w:rFonts w:hint="eastAsia" w:ascii="宋体" w:hAnsi="宋体" w:cs="宋体"/>
                <w:sz w:val="24"/>
                <w:highlight w:val="none"/>
              </w:rPr>
            </w:pPr>
          </w:p>
        </w:tc>
      </w:tr>
      <w:tr w14:paraId="475C9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4" w:type="dxa"/>
            <w:tcBorders>
              <w:top w:val="single" w:color="auto" w:sz="4" w:space="0"/>
              <w:left w:val="single" w:color="auto" w:sz="4" w:space="0"/>
              <w:bottom w:val="single" w:color="auto" w:sz="4" w:space="0"/>
              <w:right w:val="single" w:color="auto" w:sz="4" w:space="0"/>
            </w:tcBorders>
            <w:vAlign w:val="center"/>
          </w:tcPr>
          <w:p w14:paraId="6D193F19">
            <w:pPr>
              <w:spacing w:line="360" w:lineRule="auto"/>
              <w:rPr>
                <w:rFonts w:hint="eastAsia" w:ascii="宋体" w:hAnsi="宋体" w:cs="宋体"/>
                <w:sz w:val="24"/>
                <w:highlight w:val="none"/>
              </w:rPr>
            </w:pPr>
            <w:r>
              <w:rPr>
                <w:rFonts w:hint="eastAsia" w:ascii="宋体" w:hAnsi="宋体" w:cs="宋体"/>
                <w:sz w:val="24"/>
                <w:highlight w:val="none"/>
                <w:lang w:bidi="ar"/>
              </w:rPr>
              <w:t>注册资本：</w:t>
            </w:r>
          </w:p>
        </w:tc>
        <w:tc>
          <w:tcPr>
            <w:tcW w:w="6322" w:type="dxa"/>
            <w:tcBorders>
              <w:top w:val="single" w:color="auto" w:sz="4" w:space="0"/>
              <w:left w:val="single" w:color="auto" w:sz="4" w:space="0"/>
              <w:bottom w:val="single" w:color="auto" w:sz="4" w:space="0"/>
              <w:right w:val="single" w:color="auto" w:sz="4" w:space="0"/>
            </w:tcBorders>
            <w:vAlign w:val="center"/>
          </w:tcPr>
          <w:p w14:paraId="09E8E80C">
            <w:pPr>
              <w:spacing w:line="360" w:lineRule="auto"/>
              <w:rPr>
                <w:rFonts w:hint="eastAsia" w:ascii="宋体" w:hAnsi="宋体" w:cs="宋体"/>
                <w:sz w:val="24"/>
                <w:highlight w:val="none"/>
              </w:rPr>
            </w:pPr>
          </w:p>
        </w:tc>
      </w:tr>
      <w:tr w14:paraId="1AAD1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4" w:type="dxa"/>
            <w:tcBorders>
              <w:top w:val="single" w:color="auto" w:sz="4" w:space="0"/>
              <w:left w:val="single" w:color="auto" w:sz="4" w:space="0"/>
              <w:bottom w:val="single" w:color="auto" w:sz="4" w:space="0"/>
              <w:right w:val="single" w:color="auto" w:sz="4" w:space="0"/>
            </w:tcBorders>
            <w:vAlign w:val="center"/>
          </w:tcPr>
          <w:p w14:paraId="6A7A2318">
            <w:pPr>
              <w:spacing w:line="360" w:lineRule="auto"/>
              <w:rPr>
                <w:rFonts w:hint="eastAsia" w:ascii="宋体" w:hAnsi="宋体" w:cs="宋体"/>
                <w:sz w:val="24"/>
                <w:highlight w:val="none"/>
              </w:rPr>
            </w:pPr>
            <w:r>
              <w:rPr>
                <w:rFonts w:hint="eastAsia" w:ascii="宋体" w:hAnsi="宋体" w:cs="宋体"/>
                <w:sz w:val="24"/>
                <w:highlight w:val="none"/>
                <w:lang w:bidi="ar"/>
              </w:rPr>
              <w:t>地址：</w:t>
            </w:r>
          </w:p>
        </w:tc>
        <w:tc>
          <w:tcPr>
            <w:tcW w:w="6322" w:type="dxa"/>
            <w:tcBorders>
              <w:top w:val="single" w:color="auto" w:sz="4" w:space="0"/>
              <w:left w:val="single" w:color="auto" w:sz="4" w:space="0"/>
              <w:bottom w:val="single" w:color="auto" w:sz="4" w:space="0"/>
              <w:right w:val="single" w:color="auto" w:sz="4" w:space="0"/>
            </w:tcBorders>
            <w:vAlign w:val="center"/>
          </w:tcPr>
          <w:p w14:paraId="38A8785B">
            <w:pPr>
              <w:spacing w:line="360" w:lineRule="auto"/>
              <w:rPr>
                <w:rFonts w:hint="eastAsia" w:ascii="宋体" w:hAnsi="宋体" w:cs="宋体"/>
                <w:sz w:val="24"/>
                <w:highlight w:val="none"/>
              </w:rPr>
            </w:pPr>
          </w:p>
        </w:tc>
      </w:tr>
      <w:tr w14:paraId="3B938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4" w:type="dxa"/>
            <w:tcBorders>
              <w:top w:val="single" w:color="auto" w:sz="4" w:space="0"/>
              <w:left w:val="single" w:color="auto" w:sz="4" w:space="0"/>
              <w:bottom w:val="single" w:color="auto" w:sz="4" w:space="0"/>
              <w:right w:val="single" w:color="auto" w:sz="4" w:space="0"/>
            </w:tcBorders>
            <w:vAlign w:val="center"/>
          </w:tcPr>
          <w:p w14:paraId="78CE5305">
            <w:pPr>
              <w:spacing w:line="360" w:lineRule="auto"/>
              <w:rPr>
                <w:rFonts w:hint="eastAsia" w:ascii="宋体" w:hAnsi="宋体" w:cs="宋体"/>
                <w:sz w:val="24"/>
                <w:highlight w:val="none"/>
              </w:rPr>
            </w:pPr>
            <w:r>
              <w:rPr>
                <w:rFonts w:hint="eastAsia" w:ascii="宋体" w:hAnsi="宋体" w:cs="宋体"/>
                <w:sz w:val="24"/>
                <w:highlight w:val="none"/>
                <w:lang w:bidi="ar"/>
              </w:rPr>
              <w:t>经济行业：</w:t>
            </w:r>
          </w:p>
        </w:tc>
        <w:tc>
          <w:tcPr>
            <w:tcW w:w="6322" w:type="dxa"/>
            <w:tcBorders>
              <w:top w:val="single" w:color="auto" w:sz="4" w:space="0"/>
              <w:left w:val="single" w:color="auto" w:sz="4" w:space="0"/>
              <w:bottom w:val="single" w:color="auto" w:sz="4" w:space="0"/>
              <w:right w:val="single" w:color="auto" w:sz="4" w:space="0"/>
            </w:tcBorders>
            <w:vAlign w:val="center"/>
          </w:tcPr>
          <w:p w14:paraId="67EC2054">
            <w:pPr>
              <w:spacing w:line="360" w:lineRule="auto"/>
              <w:rPr>
                <w:rFonts w:hint="eastAsia" w:ascii="宋体" w:hAnsi="宋体" w:cs="宋体"/>
                <w:sz w:val="24"/>
                <w:highlight w:val="none"/>
              </w:rPr>
            </w:pPr>
          </w:p>
        </w:tc>
      </w:tr>
      <w:tr w14:paraId="563F1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4" w:type="dxa"/>
            <w:tcBorders>
              <w:top w:val="single" w:color="auto" w:sz="4" w:space="0"/>
              <w:left w:val="single" w:color="auto" w:sz="4" w:space="0"/>
              <w:bottom w:val="single" w:color="auto" w:sz="4" w:space="0"/>
              <w:right w:val="single" w:color="auto" w:sz="4" w:space="0"/>
            </w:tcBorders>
            <w:vAlign w:val="center"/>
          </w:tcPr>
          <w:p w14:paraId="0949DB20">
            <w:pPr>
              <w:spacing w:line="360" w:lineRule="auto"/>
              <w:rPr>
                <w:rFonts w:hint="eastAsia" w:ascii="宋体" w:hAnsi="宋体" w:cs="宋体"/>
                <w:sz w:val="24"/>
                <w:highlight w:val="none"/>
              </w:rPr>
            </w:pPr>
            <w:r>
              <w:rPr>
                <w:rFonts w:hint="eastAsia" w:ascii="宋体" w:hAnsi="宋体" w:cs="宋体"/>
                <w:sz w:val="24"/>
                <w:highlight w:val="none"/>
                <w:lang w:bidi="ar"/>
              </w:rPr>
              <w:t>经济性质：</w:t>
            </w:r>
          </w:p>
        </w:tc>
        <w:tc>
          <w:tcPr>
            <w:tcW w:w="6322" w:type="dxa"/>
            <w:tcBorders>
              <w:top w:val="single" w:color="auto" w:sz="4" w:space="0"/>
              <w:left w:val="single" w:color="auto" w:sz="4" w:space="0"/>
              <w:bottom w:val="single" w:color="auto" w:sz="4" w:space="0"/>
              <w:right w:val="single" w:color="auto" w:sz="4" w:space="0"/>
            </w:tcBorders>
            <w:vAlign w:val="center"/>
          </w:tcPr>
          <w:p w14:paraId="596127C7">
            <w:pPr>
              <w:spacing w:line="360" w:lineRule="auto"/>
              <w:rPr>
                <w:rFonts w:hint="eastAsia" w:ascii="宋体" w:hAnsi="宋体" w:cs="宋体"/>
                <w:sz w:val="24"/>
                <w:highlight w:val="none"/>
              </w:rPr>
            </w:pPr>
          </w:p>
        </w:tc>
      </w:tr>
    </w:tbl>
    <w:p w14:paraId="696A1050">
      <w:pPr>
        <w:spacing w:line="480" w:lineRule="exact"/>
        <w:rPr>
          <w:rFonts w:ascii="黑体" w:hAnsi="Calibri" w:eastAsia="黑体" w:cs="黑体"/>
          <w:sz w:val="24"/>
          <w:highlight w:val="none"/>
        </w:rPr>
      </w:pPr>
      <w:r>
        <w:rPr>
          <w:rFonts w:hint="eastAsia" w:ascii="黑体" w:hAnsi="Calibri" w:eastAsia="黑体" w:cs="黑体"/>
          <w:sz w:val="24"/>
          <w:highlight w:val="none"/>
          <w:lang w:bidi="ar"/>
        </w:rPr>
        <w:t>法定代表人（负责人）姓名（签字）：</w:t>
      </w:r>
      <w:r>
        <w:rPr>
          <w:rFonts w:hint="eastAsia" w:ascii="黑体" w:hAnsi="Calibri" w:eastAsia="黑体" w:cs="黑体"/>
          <w:sz w:val="24"/>
          <w:highlight w:val="none"/>
          <w:lang w:bidi="ar"/>
        </w:rPr>
        <w:tab/>
      </w:r>
      <w:r>
        <w:rPr>
          <w:rFonts w:hint="eastAsia" w:ascii="黑体" w:hAnsi="Calibri" w:eastAsia="黑体" w:cs="黑体"/>
          <w:sz w:val="24"/>
          <w:highlight w:val="none"/>
          <w:lang w:bidi="ar"/>
        </w:rPr>
        <w:tab/>
      </w:r>
      <w:r>
        <w:rPr>
          <w:rFonts w:hint="eastAsia" w:ascii="黑体" w:hAnsi="Calibri" w:eastAsia="黑体" w:cs="黑体"/>
          <w:sz w:val="24"/>
          <w:highlight w:val="none"/>
          <w:lang w:bidi="ar"/>
        </w:rPr>
        <w:tab/>
      </w:r>
      <w:r>
        <w:rPr>
          <w:rFonts w:hint="eastAsia" w:ascii="黑体" w:hAnsi="Calibri" w:eastAsia="黑体" w:cs="黑体"/>
          <w:sz w:val="24"/>
          <w:highlight w:val="none"/>
          <w:lang w:bidi="ar"/>
        </w:rPr>
        <w:tab/>
      </w:r>
      <w:r>
        <w:rPr>
          <w:rFonts w:hint="eastAsia" w:ascii="黑体" w:hAnsi="Calibri" w:eastAsia="黑体" w:cs="黑体"/>
          <w:sz w:val="24"/>
          <w:highlight w:val="none"/>
          <w:lang w:bidi="ar"/>
        </w:rPr>
        <w:t>身份证号：</w:t>
      </w:r>
    </w:p>
    <w:p w14:paraId="24BFE0FC">
      <w:pPr>
        <w:spacing w:line="480" w:lineRule="exact"/>
        <w:rPr>
          <w:rFonts w:ascii="黑体" w:hAnsi="Calibri" w:eastAsia="黑体" w:cs="黑体"/>
          <w:sz w:val="24"/>
          <w:highlight w:val="none"/>
        </w:rPr>
      </w:pPr>
      <w:r>
        <w:rPr>
          <w:rFonts w:hint="eastAsia" w:ascii="黑体" w:hAnsi="Calibri" w:eastAsia="黑体" w:cs="黑体"/>
          <w:sz w:val="24"/>
          <w:highlight w:val="none"/>
          <w:lang w:bidi="ar"/>
        </w:rPr>
        <w:t>手机号：</w:t>
      </w:r>
    </w:p>
    <w:p w14:paraId="636E9163">
      <w:pPr>
        <w:spacing w:line="480" w:lineRule="exact"/>
        <w:rPr>
          <w:rFonts w:ascii="黑体" w:hAnsi="Calibri" w:eastAsia="黑体" w:cs="黑体"/>
          <w:sz w:val="24"/>
          <w:highlight w:val="none"/>
        </w:rPr>
      </w:pPr>
      <w:r>
        <w:rPr>
          <w:rFonts w:hint="eastAsia" w:ascii="黑体" w:hAnsi="Calibri" w:eastAsia="黑体" w:cs="黑体"/>
          <w:sz w:val="24"/>
          <w:highlight w:val="none"/>
          <w:lang w:bidi="ar"/>
        </w:rPr>
        <w:t>授权代表人姓名（签字）：</w:t>
      </w:r>
      <w:r>
        <w:rPr>
          <w:rFonts w:hint="eastAsia" w:ascii="黑体" w:hAnsi="Calibri" w:eastAsia="黑体" w:cs="黑体"/>
          <w:sz w:val="24"/>
          <w:highlight w:val="none"/>
          <w:lang w:bidi="ar"/>
        </w:rPr>
        <w:tab/>
      </w:r>
      <w:r>
        <w:rPr>
          <w:rFonts w:hint="eastAsia" w:ascii="黑体" w:hAnsi="Calibri" w:eastAsia="黑体" w:cs="黑体"/>
          <w:sz w:val="24"/>
          <w:highlight w:val="none"/>
          <w:lang w:bidi="ar"/>
        </w:rPr>
        <w:tab/>
      </w:r>
      <w:r>
        <w:rPr>
          <w:rFonts w:hint="eastAsia" w:ascii="黑体" w:hAnsi="Calibri" w:eastAsia="黑体" w:cs="黑体"/>
          <w:sz w:val="24"/>
          <w:highlight w:val="none"/>
          <w:lang w:bidi="ar"/>
        </w:rPr>
        <w:tab/>
      </w:r>
      <w:r>
        <w:rPr>
          <w:rFonts w:hint="eastAsia" w:ascii="黑体" w:hAnsi="Calibri" w:eastAsia="黑体" w:cs="黑体"/>
          <w:sz w:val="24"/>
          <w:highlight w:val="none"/>
          <w:lang w:bidi="ar"/>
        </w:rPr>
        <w:tab/>
      </w:r>
      <w:r>
        <w:rPr>
          <w:rFonts w:hint="eastAsia" w:ascii="黑体" w:hAnsi="Calibri" w:eastAsia="黑体" w:cs="黑体"/>
          <w:sz w:val="24"/>
          <w:highlight w:val="none"/>
          <w:lang w:bidi="ar"/>
        </w:rPr>
        <w:tab/>
      </w:r>
      <w:r>
        <w:rPr>
          <w:rFonts w:hint="eastAsia" w:ascii="黑体" w:hAnsi="Calibri" w:eastAsia="黑体" w:cs="黑体"/>
          <w:sz w:val="24"/>
          <w:highlight w:val="none"/>
          <w:lang w:bidi="ar"/>
        </w:rPr>
        <w:tab/>
      </w:r>
      <w:r>
        <w:rPr>
          <w:rFonts w:hint="eastAsia" w:ascii="黑体" w:hAnsi="Calibri" w:eastAsia="黑体" w:cs="黑体"/>
          <w:sz w:val="24"/>
          <w:highlight w:val="none"/>
          <w:lang w:bidi="ar"/>
        </w:rPr>
        <w:tab/>
      </w:r>
      <w:r>
        <w:rPr>
          <w:rFonts w:hint="eastAsia" w:ascii="黑体" w:hAnsi="Calibri" w:eastAsia="黑体" w:cs="黑体"/>
          <w:sz w:val="24"/>
          <w:highlight w:val="none"/>
          <w:lang w:bidi="ar"/>
        </w:rPr>
        <w:t>身份证号：</w:t>
      </w:r>
    </w:p>
    <w:p w14:paraId="7CE3B5B0">
      <w:pPr>
        <w:spacing w:line="480" w:lineRule="exact"/>
        <w:rPr>
          <w:rFonts w:ascii="黑体" w:hAnsi="Calibri" w:eastAsia="黑体" w:cs="黑体"/>
          <w:sz w:val="24"/>
          <w:highlight w:val="none"/>
        </w:rPr>
      </w:pPr>
      <w:r>
        <w:rPr>
          <w:rFonts w:hint="eastAsia" w:ascii="黑体" w:hAnsi="Calibri" w:eastAsia="黑体" w:cs="黑体"/>
          <w:sz w:val="24"/>
          <w:highlight w:val="none"/>
          <w:lang w:bidi="ar"/>
        </w:rPr>
        <w:t>手机号：</w:t>
      </w:r>
    </w:p>
    <w:p w14:paraId="7FDAC825">
      <w:pPr>
        <w:widowControl/>
        <w:jc w:val="left"/>
        <w:rPr>
          <w:rFonts w:hint="eastAsia" w:ascii="黑体" w:hAnsi="仿宋" w:eastAsia="黑体" w:cs="宋体"/>
          <w:bCs/>
          <w:szCs w:val="21"/>
          <w:highlight w:val="none"/>
        </w:rPr>
      </w:pPr>
      <w:r>
        <w:rPr>
          <w:rFonts w:ascii="黑体" w:hAnsi="仿宋" w:cs="宋体"/>
          <w:b/>
          <w:szCs w:val="21"/>
          <w:highlight w:val="none"/>
        </w:rPr>
        <w:br w:type="page"/>
      </w:r>
    </w:p>
    <w:p w14:paraId="2595E2E8">
      <w:pPr>
        <w:pStyle w:val="9"/>
        <w:keepNext w:val="0"/>
        <w:keepLines w:val="0"/>
        <w:adjustRightInd w:val="0"/>
        <w:snapToGrid w:val="0"/>
        <w:spacing w:before="120" w:beforeLines="50" w:after="0" w:line="360" w:lineRule="auto"/>
        <w:rPr>
          <w:rFonts w:hint="eastAsia" w:ascii="黑体" w:hAnsi="黑体" w:eastAsia="黑体"/>
          <w:sz w:val="21"/>
          <w:szCs w:val="21"/>
          <w:highlight w:val="none"/>
        </w:rPr>
      </w:pPr>
      <w:bookmarkStart w:id="544" w:name="_Toc8847"/>
      <w:bookmarkStart w:id="545" w:name="_Toc16836"/>
      <w:bookmarkStart w:id="546" w:name="_Toc15927"/>
      <w:bookmarkStart w:id="547" w:name="_Toc8952"/>
      <w:r>
        <w:rPr>
          <w:rFonts w:hint="eastAsia" w:ascii="黑体" w:hAnsi="黑体" w:eastAsia="黑体"/>
          <w:sz w:val="21"/>
          <w:szCs w:val="21"/>
          <w:highlight w:val="none"/>
        </w:rPr>
        <w:t>附件10-3 符合特定资格条件证明材料复印件或者情况说明</w:t>
      </w:r>
      <w:bookmarkEnd w:id="543"/>
      <w:bookmarkEnd w:id="544"/>
      <w:bookmarkEnd w:id="545"/>
      <w:bookmarkEnd w:id="546"/>
      <w:bookmarkEnd w:id="547"/>
    </w:p>
    <w:p w14:paraId="670E34A0">
      <w:pPr>
        <w:adjustRightInd w:val="0"/>
        <w:snapToGrid w:val="0"/>
        <w:spacing w:before="120" w:beforeLines="50" w:line="360" w:lineRule="auto"/>
        <w:jc w:val="center"/>
        <w:rPr>
          <w:rFonts w:hint="eastAsia" w:ascii="黑体" w:hAnsi="仿宋" w:eastAsia="黑体" w:cs="宋体"/>
          <w:b/>
          <w:sz w:val="28"/>
          <w:szCs w:val="28"/>
          <w:highlight w:val="none"/>
        </w:rPr>
      </w:pPr>
      <w:r>
        <w:rPr>
          <w:rFonts w:hint="eastAsia" w:ascii="黑体" w:hAnsi="仿宋" w:eastAsia="黑体" w:cs="宋体"/>
          <w:b/>
          <w:sz w:val="28"/>
          <w:szCs w:val="28"/>
          <w:highlight w:val="none"/>
        </w:rPr>
        <w:t>符合特定资格条件证明材料复印件或者情况说明</w:t>
      </w:r>
    </w:p>
    <w:p w14:paraId="4768D56A">
      <w:pPr>
        <w:adjustRightInd w:val="0"/>
        <w:snapToGrid w:val="0"/>
        <w:spacing w:before="120" w:beforeLines="50" w:line="360" w:lineRule="auto"/>
        <w:jc w:val="left"/>
        <w:rPr>
          <w:rFonts w:hint="eastAsia" w:ascii="宋体" w:hAnsi="宋体" w:cs="宋体"/>
          <w:szCs w:val="21"/>
          <w:highlight w:val="none"/>
        </w:rPr>
      </w:pPr>
      <w:r>
        <w:rPr>
          <w:rFonts w:hint="eastAsia" w:ascii="宋体" w:hAnsi="宋体" w:cs="宋体"/>
          <w:szCs w:val="21"/>
          <w:highlight w:val="none"/>
        </w:rPr>
        <w:t>注：按第二章第</w:t>
      </w:r>
      <w:r>
        <w:rPr>
          <w:rFonts w:ascii="宋体" w:hAnsi="宋体" w:cs="宋体"/>
          <w:szCs w:val="21"/>
          <w:highlight w:val="none"/>
        </w:rPr>
        <w:t>1</w:t>
      </w:r>
      <w:r>
        <w:rPr>
          <w:rFonts w:hint="eastAsia" w:ascii="宋体" w:hAnsi="宋体" w:cs="宋体"/>
          <w:szCs w:val="21"/>
          <w:highlight w:val="none"/>
        </w:rPr>
        <w:t>0</w:t>
      </w:r>
      <w:r>
        <w:rPr>
          <w:rFonts w:ascii="宋体" w:hAnsi="宋体" w:cs="宋体"/>
          <w:szCs w:val="21"/>
          <w:highlight w:val="none"/>
        </w:rPr>
        <w:t>.1</w:t>
      </w:r>
      <w:r>
        <w:rPr>
          <w:rFonts w:hint="eastAsia" w:ascii="宋体" w:hAnsi="宋体" w:cs="宋体"/>
          <w:szCs w:val="21"/>
          <w:highlight w:val="none"/>
        </w:rPr>
        <w:t>（3）项规定提供。</w:t>
      </w:r>
    </w:p>
    <w:p w14:paraId="15C025B4">
      <w:pPr>
        <w:pStyle w:val="9"/>
        <w:keepNext w:val="0"/>
        <w:keepLines w:val="0"/>
        <w:adjustRightInd w:val="0"/>
        <w:snapToGrid w:val="0"/>
        <w:spacing w:before="120" w:beforeLines="50" w:after="0" w:line="360" w:lineRule="auto"/>
        <w:rPr>
          <w:rFonts w:hint="eastAsia" w:ascii="黑体" w:hAnsi="黑体" w:eastAsia="黑体"/>
          <w:sz w:val="21"/>
          <w:szCs w:val="21"/>
          <w:highlight w:val="none"/>
        </w:rPr>
      </w:pPr>
      <w:bookmarkStart w:id="548" w:name="_Toc62223416"/>
      <w:bookmarkStart w:id="549" w:name="_Toc12930"/>
      <w:bookmarkStart w:id="550" w:name="_Toc8984"/>
      <w:bookmarkStart w:id="551" w:name="_Toc14945"/>
      <w:bookmarkStart w:id="552" w:name="_Toc17859"/>
      <w:r>
        <w:rPr>
          <w:rFonts w:hint="eastAsia" w:ascii="黑体" w:hAnsi="黑体" w:eastAsia="黑体"/>
          <w:sz w:val="21"/>
          <w:szCs w:val="21"/>
          <w:highlight w:val="none"/>
        </w:rPr>
        <w:t>附件10-4 符合预留采购份额的证明文件</w:t>
      </w:r>
      <w:bookmarkEnd w:id="548"/>
      <w:bookmarkEnd w:id="549"/>
      <w:bookmarkEnd w:id="550"/>
      <w:bookmarkEnd w:id="551"/>
      <w:bookmarkEnd w:id="552"/>
    </w:p>
    <w:p w14:paraId="3E50D5D0">
      <w:pPr>
        <w:adjustRightInd w:val="0"/>
        <w:snapToGrid w:val="0"/>
        <w:spacing w:before="120" w:beforeLines="50" w:line="360" w:lineRule="auto"/>
        <w:rPr>
          <w:rFonts w:hint="eastAsia" w:ascii="宋体" w:hAnsi="宋体"/>
          <w:highlight w:val="none"/>
        </w:rPr>
      </w:pPr>
      <w:r>
        <w:rPr>
          <w:rFonts w:hint="eastAsia" w:ascii="宋体" w:hAnsi="宋体" w:cs="宋体"/>
          <w:szCs w:val="21"/>
          <w:highlight w:val="none"/>
        </w:rPr>
        <w:t>注：磋商文件规定采购项目或者采购包属于“预留采购份额”的，按</w:t>
      </w:r>
      <w:r>
        <w:rPr>
          <w:rFonts w:hint="eastAsia" w:ascii="宋体" w:hAnsi="宋体"/>
          <w:highlight w:val="none"/>
        </w:rPr>
        <w:t>第二章第</w:t>
      </w:r>
      <w:r>
        <w:rPr>
          <w:rFonts w:ascii="宋体" w:hAnsi="宋体"/>
          <w:highlight w:val="none"/>
        </w:rPr>
        <w:t>1</w:t>
      </w:r>
      <w:r>
        <w:rPr>
          <w:rFonts w:hint="eastAsia" w:ascii="宋体" w:hAnsi="宋体"/>
          <w:highlight w:val="none"/>
        </w:rPr>
        <w:t>0</w:t>
      </w:r>
      <w:r>
        <w:rPr>
          <w:rFonts w:ascii="宋体" w:hAnsi="宋体"/>
          <w:highlight w:val="none"/>
        </w:rPr>
        <w:t>.3</w:t>
      </w:r>
      <w:r>
        <w:rPr>
          <w:rFonts w:hint="eastAsia" w:ascii="宋体" w:hAnsi="宋体"/>
          <w:highlight w:val="none"/>
        </w:rPr>
        <w:t>款规定提供附页1《中小企业声明函》，或者附页1《中小企业声明函》、附页2 联合体协议书（格式），或者附页1《中小企业声明函》、附页3 分包意向协议书。</w:t>
      </w:r>
    </w:p>
    <w:p w14:paraId="11395F8E">
      <w:pPr>
        <w:adjustRightInd w:val="0"/>
        <w:snapToGrid w:val="0"/>
        <w:spacing w:before="120" w:beforeLines="50" w:line="360" w:lineRule="auto"/>
        <w:rPr>
          <w:rFonts w:hint="eastAsia" w:ascii="宋体" w:hAnsi="宋体"/>
          <w:highlight w:val="none"/>
        </w:rPr>
      </w:pPr>
    </w:p>
    <w:p w14:paraId="18AF9FF8">
      <w:pPr>
        <w:pStyle w:val="10"/>
        <w:keepNext w:val="0"/>
        <w:keepLines w:val="0"/>
        <w:adjustRightInd w:val="0"/>
        <w:snapToGrid w:val="0"/>
        <w:spacing w:before="120" w:beforeLines="50" w:after="0" w:line="360" w:lineRule="auto"/>
        <w:rPr>
          <w:rFonts w:hint="eastAsia" w:ascii="黑体" w:hAnsi="黑体"/>
          <w:sz w:val="21"/>
          <w:szCs w:val="21"/>
          <w:highlight w:val="none"/>
        </w:rPr>
      </w:pPr>
      <w:bookmarkStart w:id="553" w:name="_Toc25707"/>
      <w:bookmarkStart w:id="554" w:name="_Toc26059"/>
      <w:bookmarkStart w:id="555" w:name="_Toc14531"/>
      <w:bookmarkStart w:id="556" w:name="_Toc26471"/>
      <w:r>
        <w:rPr>
          <w:rFonts w:hint="eastAsia" w:ascii="黑体" w:hAnsi="黑体"/>
          <w:sz w:val="21"/>
          <w:szCs w:val="21"/>
          <w:highlight w:val="none"/>
        </w:rPr>
        <w:t>附页1《中小企业声明函》</w:t>
      </w:r>
      <w:bookmarkEnd w:id="553"/>
      <w:bookmarkEnd w:id="554"/>
      <w:bookmarkEnd w:id="555"/>
      <w:bookmarkEnd w:id="556"/>
    </w:p>
    <w:p w14:paraId="300D11CE">
      <w:pPr>
        <w:adjustRightInd w:val="0"/>
        <w:snapToGrid w:val="0"/>
        <w:spacing w:before="120" w:beforeLines="50" w:line="360" w:lineRule="auto"/>
        <w:rPr>
          <w:rFonts w:hint="eastAsia" w:ascii="宋体" w:hAnsi="宋体"/>
          <w:highlight w:val="none"/>
        </w:rPr>
      </w:pPr>
      <w:r>
        <w:rPr>
          <w:rFonts w:hint="eastAsia" w:ascii="宋体" w:hAnsi="宋体" w:cs="宋体"/>
          <w:szCs w:val="21"/>
          <w:highlight w:val="none"/>
        </w:rPr>
        <w:t>注：</w:t>
      </w:r>
      <w:r>
        <w:rPr>
          <w:rFonts w:hint="eastAsia" w:ascii="宋体" w:hAnsi="宋体"/>
          <w:highlight w:val="none"/>
        </w:rPr>
        <w:t>磋商文件规定采购项目或者采购包属于“预留采购份额”的，供应商应当按本章附件9-1规定格式提供《中小企业声明函》。</w:t>
      </w:r>
      <w:bookmarkStart w:id="557" w:name="_Toc23255923"/>
      <w:r>
        <w:rPr>
          <w:rFonts w:hint="eastAsia" w:ascii="宋体" w:hAnsi="宋体"/>
          <w:highlight w:val="none"/>
        </w:rPr>
        <w:t>视同中小企业的残疾人福利性单位或者监狱企业，按本章附件9-2规定提供《残疾人福利性单位声明函》或者按本章附件9-3规定提供监狱企业证明资料。</w:t>
      </w:r>
    </w:p>
    <w:p w14:paraId="5E3254BD">
      <w:pPr>
        <w:adjustRightInd w:val="0"/>
        <w:snapToGrid w:val="0"/>
        <w:spacing w:before="120" w:beforeLines="50" w:line="360" w:lineRule="auto"/>
        <w:rPr>
          <w:rFonts w:hint="eastAsia" w:ascii="黑体" w:hAnsi="黑体" w:eastAsia="黑体"/>
          <w:b/>
          <w:bCs/>
          <w:szCs w:val="21"/>
          <w:highlight w:val="none"/>
        </w:rPr>
      </w:pPr>
    </w:p>
    <w:p w14:paraId="1672D1B6">
      <w:pPr>
        <w:pStyle w:val="10"/>
        <w:keepNext w:val="0"/>
        <w:keepLines w:val="0"/>
        <w:adjustRightInd w:val="0"/>
        <w:snapToGrid w:val="0"/>
        <w:spacing w:before="120" w:beforeLines="50" w:after="0" w:line="360" w:lineRule="auto"/>
        <w:rPr>
          <w:rFonts w:hint="eastAsia" w:ascii="黑体" w:hAnsi="黑体"/>
          <w:kern w:val="0"/>
          <w:sz w:val="21"/>
          <w:szCs w:val="21"/>
          <w:highlight w:val="none"/>
        </w:rPr>
      </w:pPr>
      <w:bookmarkStart w:id="558" w:name="_Toc1582"/>
      <w:bookmarkStart w:id="559" w:name="_Toc9230"/>
      <w:bookmarkStart w:id="560" w:name="_Toc20858"/>
      <w:bookmarkStart w:id="561" w:name="_Toc16461"/>
      <w:r>
        <w:rPr>
          <w:rFonts w:hint="eastAsia" w:ascii="黑体" w:hAnsi="黑体"/>
          <w:sz w:val="21"/>
          <w:szCs w:val="21"/>
          <w:highlight w:val="none"/>
        </w:rPr>
        <w:t>附页2 联合体协议书（格式）</w:t>
      </w:r>
      <w:bookmarkEnd w:id="557"/>
      <w:bookmarkEnd w:id="558"/>
      <w:bookmarkEnd w:id="559"/>
      <w:bookmarkEnd w:id="560"/>
      <w:bookmarkEnd w:id="561"/>
    </w:p>
    <w:p w14:paraId="36B35557">
      <w:pPr>
        <w:adjustRightInd w:val="0"/>
        <w:snapToGrid w:val="0"/>
        <w:spacing w:before="120" w:beforeLines="50" w:line="360" w:lineRule="auto"/>
        <w:jc w:val="center"/>
        <w:rPr>
          <w:rFonts w:hint="eastAsia" w:ascii="宋体" w:hAnsi="宋体"/>
          <w:b/>
          <w:szCs w:val="21"/>
          <w:highlight w:val="none"/>
        </w:rPr>
      </w:pPr>
      <w:r>
        <w:rPr>
          <w:rFonts w:hint="eastAsia" w:ascii="黑体" w:hAnsi="仿宋" w:eastAsia="黑体" w:cs="宋体"/>
          <w:b/>
          <w:sz w:val="28"/>
          <w:szCs w:val="28"/>
          <w:highlight w:val="none"/>
        </w:rPr>
        <w:t>联合体协议书（格式）</w:t>
      </w:r>
    </w:p>
    <w:p w14:paraId="4B5C8BE8">
      <w:pPr>
        <w:adjustRightInd w:val="0"/>
        <w:snapToGrid w:val="0"/>
        <w:spacing w:before="120" w:beforeLines="50" w:line="360" w:lineRule="auto"/>
        <w:rPr>
          <w:rFonts w:hint="eastAsia" w:ascii="宋体" w:hAnsi="宋体"/>
          <w:szCs w:val="21"/>
          <w:highlight w:val="none"/>
        </w:rPr>
      </w:pPr>
      <w:r>
        <w:rPr>
          <w:rFonts w:hint="eastAsia" w:ascii="宋体" w:hAnsi="宋体"/>
          <w:b/>
          <w:szCs w:val="21"/>
          <w:highlight w:val="none"/>
        </w:rPr>
        <w:t>注</w:t>
      </w:r>
      <w:r>
        <w:rPr>
          <w:rFonts w:hint="eastAsia" w:ascii="宋体" w:hAnsi="宋体"/>
          <w:szCs w:val="21"/>
          <w:highlight w:val="none"/>
        </w:rPr>
        <w:t>：磋商文件规定采购项目或者采购包属于“预留采购份额”，且要求供应商以联合体形式参加采购活动的，供应商应当提供与第二章第37.1款规定对应的联合体协议书。</w:t>
      </w:r>
    </w:p>
    <w:p w14:paraId="65D8A92E">
      <w:pPr>
        <w:adjustRightInd w:val="0"/>
        <w:snapToGrid w:val="0"/>
        <w:spacing w:before="120" w:beforeLines="50" w:line="360" w:lineRule="auto"/>
        <w:rPr>
          <w:rFonts w:hint="eastAsia" w:ascii="宋体" w:hAnsi="宋体"/>
          <w:szCs w:val="21"/>
          <w:highlight w:val="none"/>
        </w:rPr>
      </w:pPr>
    </w:p>
    <w:p w14:paraId="6ED2E529">
      <w:pPr>
        <w:pStyle w:val="10"/>
        <w:keepNext w:val="0"/>
        <w:keepLines w:val="0"/>
        <w:adjustRightInd w:val="0"/>
        <w:snapToGrid w:val="0"/>
        <w:spacing w:before="120" w:beforeLines="50" w:after="0" w:line="360" w:lineRule="auto"/>
        <w:rPr>
          <w:rFonts w:hint="eastAsia" w:ascii="黑体" w:hAnsi="黑体"/>
          <w:kern w:val="0"/>
          <w:sz w:val="21"/>
          <w:szCs w:val="21"/>
          <w:highlight w:val="none"/>
        </w:rPr>
      </w:pPr>
      <w:bookmarkStart w:id="562" w:name="_Toc12734"/>
      <w:bookmarkStart w:id="563" w:name="_Toc12078"/>
      <w:bookmarkStart w:id="564" w:name="_Toc26637"/>
      <w:bookmarkStart w:id="565" w:name="_Toc22745"/>
      <w:r>
        <w:rPr>
          <w:rFonts w:hint="eastAsia" w:ascii="黑体" w:hAnsi="黑体"/>
          <w:sz w:val="21"/>
          <w:szCs w:val="21"/>
          <w:highlight w:val="none"/>
        </w:rPr>
        <w:t>附页3分包意向协议书</w:t>
      </w:r>
      <w:bookmarkEnd w:id="562"/>
      <w:bookmarkEnd w:id="563"/>
      <w:bookmarkEnd w:id="564"/>
      <w:bookmarkEnd w:id="565"/>
    </w:p>
    <w:p w14:paraId="7C924712">
      <w:pPr>
        <w:adjustRightInd w:val="0"/>
        <w:snapToGrid w:val="0"/>
        <w:spacing w:before="120" w:beforeLines="50" w:line="360" w:lineRule="auto"/>
        <w:jc w:val="center"/>
        <w:rPr>
          <w:rFonts w:hint="eastAsia" w:ascii="黑体" w:hAnsi="仿宋" w:eastAsia="黑体" w:cs="宋体"/>
          <w:b/>
          <w:sz w:val="28"/>
          <w:szCs w:val="28"/>
          <w:highlight w:val="none"/>
        </w:rPr>
      </w:pPr>
      <w:r>
        <w:rPr>
          <w:rFonts w:hint="eastAsia" w:ascii="黑体" w:hAnsi="仿宋" w:eastAsia="黑体" w:cs="宋体"/>
          <w:b/>
          <w:sz w:val="28"/>
          <w:szCs w:val="28"/>
          <w:highlight w:val="none"/>
        </w:rPr>
        <w:t>分包意向协议书</w:t>
      </w:r>
    </w:p>
    <w:p w14:paraId="7263C2CC">
      <w:pPr>
        <w:adjustRightInd w:val="0"/>
        <w:snapToGrid w:val="0"/>
        <w:spacing w:before="120" w:beforeLines="50" w:line="360" w:lineRule="auto"/>
        <w:jc w:val="left"/>
        <w:rPr>
          <w:rFonts w:hint="eastAsia" w:ascii="宋体" w:hAnsi="宋体"/>
          <w:szCs w:val="21"/>
          <w:highlight w:val="none"/>
        </w:rPr>
      </w:pPr>
      <w:r>
        <w:rPr>
          <w:rFonts w:hint="eastAsia" w:ascii="宋体" w:hAnsi="宋体"/>
          <w:b/>
          <w:szCs w:val="21"/>
          <w:highlight w:val="none"/>
        </w:rPr>
        <w:t>注</w:t>
      </w:r>
      <w:r>
        <w:rPr>
          <w:rFonts w:hint="eastAsia" w:ascii="宋体" w:hAnsi="宋体"/>
          <w:szCs w:val="21"/>
          <w:highlight w:val="none"/>
        </w:rPr>
        <w:t>：磋商文件规定采购项目或者采购包属于“预留采购份额”，且要求合同分包的，供应商应当提供与第二章第37.1款规定对应的分包意向协议书。</w:t>
      </w:r>
    </w:p>
    <w:p w14:paraId="1627BDFA">
      <w:pPr>
        <w:pStyle w:val="8"/>
        <w:jc w:val="center"/>
        <w:rPr>
          <w:rFonts w:hint="eastAsia" w:ascii="黑体" w:hAnsi="黑体" w:eastAsia="黑体"/>
          <w:sz w:val="28"/>
          <w:szCs w:val="28"/>
          <w:highlight w:val="none"/>
        </w:rPr>
      </w:pPr>
      <w:r>
        <w:rPr>
          <w:highlight w:val="none"/>
        </w:rPr>
        <w:br w:type="page"/>
      </w:r>
      <w:bookmarkStart w:id="566" w:name="_Toc23723"/>
      <w:bookmarkStart w:id="567" w:name="_Toc19940"/>
      <w:bookmarkStart w:id="568" w:name="_Toc17275"/>
      <w:bookmarkStart w:id="569" w:name="_Toc32646"/>
      <w:r>
        <w:rPr>
          <w:rFonts w:hint="eastAsia" w:ascii="黑体" w:hAnsi="黑体" w:eastAsia="黑体"/>
          <w:sz w:val="28"/>
          <w:szCs w:val="28"/>
          <w:highlight w:val="none"/>
        </w:rPr>
        <w:t>十一、响应标的符合磋商文件规定的证明文件</w:t>
      </w:r>
      <w:bookmarkEnd w:id="566"/>
      <w:bookmarkEnd w:id="567"/>
      <w:bookmarkEnd w:id="568"/>
      <w:bookmarkEnd w:id="569"/>
    </w:p>
    <w:p w14:paraId="196488D2">
      <w:pPr>
        <w:adjustRightInd w:val="0"/>
        <w:snapToGrid w:val="0"/>
        <w:spacing w:line="360" w:lineRule="auto"/>
        <w:rPr>
          <w:rFonts w:hint="eastAsia" w:ascii="宋体" w:hAnsi="宋体"/>
          <w:szCs w:val="21"/>
          <w:highlight w:val="none"/>
        </w:rPr>
      </w:pPr>
    </w:p>
    <w:p w14:paraId="3D13C512">
      <w:pPr>
        <w:adjustRightInd w:val="0"/>
        <w:snapToGrid w:val="0"/>
        <w:spacing w:line="360" w:lineRule="auto"/>
        <w:rPr>
          <w:rFonts w:hint="eastAsia" w:ascii="宋体" w:hAnsi="宋体"/>
          <w:highlight w:val="none"/>
        </w:rPr>
      </w:pPr>
      <w:r>
        <w:rPr>
          <w:rFonts w:hint="eastAsia" w:ascii="宋体" w:hAnsi="宋体"/>
          <w:b/>
          <w:szCs w:val="21"/>
          <w:highlight w:val="none"/>
        </w:rPr>
        <w:t>注</w:t>
      </w:r>
      <w:r>
        <w:rPr>
          <w:rFonts w:hint="eastAsia" w:ascii="宋体" w:hAnsi="宋体"/>
          <w:szCs w:val="21"/>
          <w:highlight w:val="none"/>
        </w:rPr>
        <w:t>：提供第四章规定的证明材料。</w:t>
      </w:r>
    </w:p>
    <w:p w14:paraId="1C622A39">
      <w:pPr>
        <w:pStyle w:val="8"/>
        <w:jc w:val="center"/>
        <w:rPr>
          <w:highlight w:val="none"/>
        </w:rPr>
      </w:pPr>
      <w:r>
        <w:rPr>
          <w:highlight w:val="none"/>
        </w:rPr>
        <w:br w:type="page"/>
      </w:r>
      <w:bookmarkStart w:id="570" w:name="_Toc26565"/>
      <w:bookmarkStart w:id="571" w:name="_Toc22492"/>
      <w:bookmarkStart w:id="572" w:name="_Toc2534"/>
      <w:bookmarkStart w:id="573" w:name="_Toc31960"/>
      <w:r>
        <w:rPr>
          <w:rFonts w:hint="eastAsia"/>
          <w:highlight w:val="none"/>
        </w:rPr>
        <w:t>十二、供应商认为需提供的其他资料</w:t>
      </w:r>
      <w:bookmarkEnd w:id="570"/>
      <w:bookmarkEnd w:id="571"/>
      <w:bookmarkEnd w:id="572"/>
      <w:bookmarkEnd w:id="573"/>
    </w:p>
    <w:p w14:paraId="0DDC0836">
      <w:pPr>
        <w:adjustRightInd w:val="0"/>
        <w:snapToGrid w:val="0"/>
        <w:spacing w:before="120" w:beforeLines="50" w:line="360" w:lineRule="auto"/>
        <w:rPr>
          <w:rFonts w:hint="eastAsia" w:ascii="宋体" w:hAnsi="宋体"/>
          <w:highlight w:val="none"/>
        </w:rPr>
      </w:pPr>
    </w:p>
    <w:p w14:paraId="08991AC0">
      <w:pPr>
        <w:adjustRightInd w:val="0"/>
        <w:snapToGrid w:val="0"/>
        <w:spacing w:before="120" w:beforeLines="50" w:line="360" w:lineRule="auto"/>
        <w:rPr>
          <w:rFonts w:hint="eastAsia" w:ascii="宋体" w:hAnsi="宋体"/>
          <w:highlight w:val="none"/>
        </w:rPr>
      </w:pPr>
      <w:r>
        <w:rPr>
          <w:rFonts w:hint="eastAsia" w:ascii="宋体" w:hAnsi="宋体"/>
          <w:b/>
          <w:szCs w:val="21"/>
          <w:highlight w:val="none"/>
        </w:rPr>
        <w:t>注</w:t>
      </w:r>
      <w:r>
        <w:rPr>
          <w:rFonts w:hint="eastAsia" w:ascii="宋体" w:hAnsi="宋体"/>
          <w:highlight w:val="none"/>
        </w:rPr>
        <w:t>：供应商认为需提供的其他资料包括：</w:t>
      </w:r>
    </w:p>
    <w:p w14:paraId="11C305D6">
      <w:pPr>
        <w:adjustRightInd w:val="0"/>
        <w:snapToGrid w:val="0"/>
        <w:spacing w:before="120" w:beforeLines="50" w:line="360" w:lineRule="auto"/>
        <w:ind w:firstLine="420" w:firstLineChars="200"/>
        <w:rPr>
          <w:rFonts w:hint="eastAsia" w:ascii="宋体" w:hAnsi="宋体"/>
          <w:highlight w:val="none"/>
        </w:rPr>
      </w:pPr>
      <w:r>
        <w:rPr>
          <w:rFonts w:hint="eastAsia" w:ascii="宋体" w:hAnsi="宋体"/>
          <w:highlight w:val="none"/>
        </w:rPr>
        <w:t>（1）磋商文件第四章采购需求要求的其他资料；</w:t>
      </w:r>
    </w:p>
    <w:p w14:paraId="1B0C4214">
      <w:pPr>
        <w:adjustRightInd w:val="0"/>
        <w:snapToGrid w:val="0"/>
        <w:spacing w:before="120" w:beforeLines="50" w:line="360" w:lineRule="auto"/>
        <w:ind w:firstLine="420" w:firstLineChars="200"/>
        <w:rPr>
          <w:rFonts w:hint="eastAsia" w:ascii="宋体" w:hAnsi="宋体"/>
          <w:highlight w:val="none"/>
        </w:rPr>
      </w:pPr>
      <w:r>
        <w:rPr>
          <w:rFonts w:hint="eastAsia" w:ascii="宋体" w:hAnsi="宋体"/>
          <w:highlight w:val="none"/>
        </w:rPr>
        <w:t>（2）磋商文件评分标准及其他要求的相关资料。</w:t>
      </w:r>
    </w:p>
    <w:p w14:paraId="20DB77DF">
      <w:pPr>
        <w:rPr>
          <w:rFonts w:hint="eastAsia" w:ascii="宋体" w:hAnsi="宋体"/>
          <w:highlight w:val="none"/>
        </w:rPr>
      </w:pPr>
      <w:r>
        <w:rPr>
          <w:rFonts w:hint="eastAsia" w:ascii="宋体" w:hAnsi="宋体"/>
          <w:highlight w:val="none"/>
        </w:rPr>
        <w:br w:type="page"/>
      </w:r>
    </w:p>
    <w:p w14:paraId="4FD5619A">
      <w:pPr>
        <w:jc w:val="center"/>
        <w:outlineLvl w:val="1"/>
        <w:rPr>
          <w:rFonts w:ascii="Times New Roman" w:hAnsi="Times New Roman" w:eastAsia="宋体" w:cs="Times New Roman"/>
          <w:color w:val="000000"/>
          <w:highlight w:val="none"/>
        </w:rPr>
      </w:pPr>
      <w:bookmarkStart w:id="574" w:name="_Toc30028"/>
      <w:bookmarkStart w:id="575" w:name="_Toc8259"/>
      <w:r>
        <w:rPr>
          <w:rFonts w:hint="eastAsia" w:ascii="黑体" w:hAnsi="黑体" w:eastAsia="黑体" w:cs="Times New Roman"/>
          <w:b/>
          <w:bCs/>
          <w:color w:val="000000"/>
          <w:sz w:val="28"/>
          <w:szCs w:val="28"/>
          <w:highlight w:val="none"/>
        </w:rPr>
        <w:t>十三、最终报价</w:t>
      </w:r>
      <w:bookmarkEnd w:id="574"/>
      <w:bookmarkEnd w:id="575"/>
    </w:p>
    <w:p w14:paraId="4D78549C">
      <w:pPr>
        <w:adjustRightInd w:val="0"/>
        <w:snapToGrid w:val="0"/>
        <w:spacing w:line="360" w:lineRule="auto"/>
        <w:rPr>
          <w:rFonts w:ascii="宋体" w:hAnsi="宋体" w:eastAsia="宋体" w:cs="Times New Roman"/>
          <w:color w:val="000000"/>
          <w:szCs w:val="21"/>
          <w:highlight w:val="none"/>
        </w:rPr>
      </w:pPr>
    </w:p>
    <w:p w14:paraId="6A61806E">
      <w:pPr>
        <w:adjustRightInd w:val="0"/>
        <w:snapToGrid w:val="0"/>
        <w:spacing w:line="360" w:lineRule="auto"/>
        <w:jc w:val="center"/>
        <w:rPr>
          <w:rFonts w:ascii="宋体" w:hAnsi="宋体" w:eastAsia="宋体" w:cs="Times New Roman"/>
          <w:color w:val="000000"/>
          <w:szCs w:val="21"/>
          <w:highlight w:val="none"/>
        </w:rPr>
      </w:pPr>
    </w:p>
    <w:p w14:paraId="0A5D9569">
      <w:pPr>
        <w:adjustRightInd w:val="0"/>
        <w:snapToGrid w:val="0"/>
        <w:spacing w:line="360" w:lineRule="auto"/>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说明：</w:t>
      </w:r>
    </w:p>
    <w:p w14:paraId="6A3E30C9">
      <w:pPr>
        <w:adjustRightInd w:val="0"/>
        <w:snapToGrid w:val="0"/>
        <w:spacing w:line="360" w:lineRule="auto"/>
        <w:ind w:firstLine="420" w:firstLineChars="200"/>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1、最后报价按第二章磋商须知第26条规定提供，格式按附件5—1、5-2提供。</w:t>
      </w:r>
    </w:p>
    <w:p w14:paraId="4A729901">
      <w:pPr>
        <w:adjustRightInd w:val="0"/>
        <w:snapToGrid w:val="0"/>
        <w:spacing w:line="360" w:lineRule="auto"/>
        <w:ind w:left="-88" w:leftChars="-42" w:firstLine="525" w:firstLineChars="250"/>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2、最后报价需填列报价一览表和分项价格表。</w:t>
      </w:r>
    </w:p>
    <w:p w14:paraId="1E6FB426">
      <w:pPr>
        <w:rPr>
          <w:rFonts w:ascii="Times New Roman" w:hAnsi="Times New Roman" w:eastAsia="宋体" w:cs="Times New Roman"/>
          <w:color w:val="000000"/>
          <w:highlight w:val="none"/>
        </w:rPr>
      </w:pPr>
    </w:p>
    <w:p w14:paraId="484CE511">
      <w:pPr>
        <w:widowControl/>
        <w:spacing w:before="100" w:beforeAutospacing="1" w:after="100" w:afterAutospacing="1" w:line="408" w:lineRule="auto"/>
        <w:ind w:firstLine="316" w:firstLineChars="150"/>
        <w:rPr>
          <w:rFonts w:ascii="Times New Roman" w:hAnsi="Times New Roman" w:eastAsia="宋体" w:cs="Times New Roman"/>
          <w:color w:val="000000"/>
          <w:highlight w:val="none"/>
        </w:rPr>
      </w:pPr>
      <w:bookmarkStart w:id="576" w:name="OLE_LINK20"/>
      <w:r>
        <w:rPr>
          <w:rFonts w:hint="eastAsia" w:ascii="Times New Roman" w:hAnsi="Times New Roman" w:eastAsia="宋体" w:cs="Times New Roman"/>
          <w:b/>
          <w:bCs/>
          <w:color w:val="000000"/>
          <w:highlight w:val="none"/>
          <w:lang w:eastAsia="zh-CN"/>
        </w:rPr>
        <w:t>供应商</w:t>
      </w:r>
      <w:r>
        <w:rPr>
          <w:rFonts w:hint="eastAsia" w:ascii="Times New Roman" w:hAnsi="Times New Roman" w:eastAsia="宋体" w:cs="Times New Roman"/>
          <w:b/>
          <w:bCs/>
          <w:color w:val="000000"/>
          <w:highlight w:val="none"/>
        </w:rPr>
        <w:t>可提前准备最后报价表</w:t>
      </w:r>
      <w:bookmarkEnd w:id="576"/>
      <w:r>
        <w:rPr>
          <w:rFonts w:hint="eastAsia" w:ascii="Times New Roman" w:hAnsi="Times New Roman" w:eastAsia="宋体" w:cs="Times New Roman"/>
          <w:b/>
          <w:bCs/>
          <w:color w:val="000000"/>
          <w:highlight w:val="none"/>
        </w:rPr>
        <w:t>（一式两份，自行保管，不与响应文件一起递交），格式按附件5-1、附件5-2，进行最后报价时由</w:t>
      </w:r>
      <w:r>
        <w:rPr>
          <w:rFonts w:hint="eastAsia" w:ascii="宋体" w:hAnsi="宋体" w:eastAsia="宋体" w:cs="Times New Roman"/>
          <w:b/>
          <w:bCs/>
          <w:color w:val="000000"/>
          <w:szCs w:val="21"/>
          <w:highlight w:val="none"/>
        </w:rPr>
        <w:t>法定代表人或其委托代理人填写并签字确认。</w:t>
      </w:r>
    </w:p>
    <w:p w14:paraId="09BFD9D3">
      <w:pPr>
        <w:pStyle w:val="9"/>
        <w:rPr>
          <w:rFonts w:hint="eastAsia"/>
          <w:highlight w:val="none"/>
        </w:rPr>
      </w:pPr>
    </w:p>
    <w:sectPr>
      <w:footerReference r:id="rId3" w:type="default"/>
      <w:pgSz w:w="11906" w:h="16838"/>
      <w:pgMar w:top="1417" w:right="1417" w:bottom="1134" w:left="141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swiss"/>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7402269-5C54-41B1-B97B-42257902D608}"/>
  </w:font>
  <w:font w:name="Arial">
    <w:panose1 w:val="020B0604020202020204"/>
    <w:charset w:val="01"/>
    <w:family w:val="swiss"/>
    <w:pitch w:val="default"/>
    <w:sig w:usb0="E0002EFF" w:usb1="C000785B" w:usb2="00000009" w:usb3="00000000" w:csb0="400001FF" w:csb1="FFFF0000"/>
    <w:embedRegular r:id="rId2" w:fontKey="{6D5F2818-9522-4B1C-9B88-9B426267F5B1}"/>
  </w:font>
  <w:font w:name="黑体">
    <w:panose1 w:val="02010609060101010101"/>
    <w:charset w:val="86"/>
    <w:family w:val="auto"/>
    <w:pitch w:val="default"/>
    <w:sig w:usb0="800002BF" w:usb1="38CF7CFA" w:usb2="00000016" w:usb3="00000000" w:csb0="00040001" w:csb1="00000000"/>
    <w:embedRegular r:id="rId3" w:fontKey="{C9ED24B9-1E5B-487B-BDA0-6F934F463D7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4" w:fontKey="{E134C3AD-80BC-42A1-8A26-32FEEF08917B}"/>
  </w:font>
  <w:font w:name="仿宋_GB2312">
    <w:panose1 w:val="02010609030101010101"/>
    <w:charset w:val="86"/>
    <w:family w:val="modern"/>
    <w:pitch w:val="default"/>
    <w:sig w:usb0="00000001" w:usb1="080E0000" w:usb2="00000000" w:usb3="00000000" w:csb0="00040000" w:csb1="00000000"/>
    <w:embedRegular r:id="rId5" w:fontKey="{EEB939D1-8AEC-428F-A45B-91EDF321BB81}"/>
  </w:font>
  <w:font w:name="楷体_GB2312">
    <w:altName w:val="楷体"/>
    <w:panose1 w:val="00000000000000000000"/>
    <w:charset w:val="86"/>
    <w:family w:val="modern"/>
    <w:pitch w:val="default"/>
    <w:sig w:usb0="00000000" w:usb1="00000000" w:usb2="00000000" w:usb3="00000000" w:csb0="00040000" w:csb1="00000000"/>
    <w:embedRegular r:id="rId6" w:fontKey="{ED8E11AA-4F8F-4558-8164-BD879B2CF33A}"/>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S Sans Serif">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rail">
    <w:altName w:val="微软雅黑"/>
    <w:panose1 w:val="00000000000000000000"/>
    <w:charset w:val="00"/>
    <w:family w:val="decorative"/>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embedRegular r:id="rId7" w:fontKey="{C1E3C6AA-4A55-4733-AAF2-54737452B5E3}"/>
  </w:font>
  <w:font w:name="font-weight : 700">
    <w:altName w:val="华文中宋"/>
    <w:panose1 w:val="00000000000000000000"/>
    <w:charset w:val="00"/>
    <w:family w:val="auto"/>
    <w:pitch w:val="default"/>
    <w:sig w:usb0="00000000" w:usb1="00000000" w:usb2="00000000" w:usb3="00000000" w:csb0="00040001" w:csb1="00000000"/>
  </w:font>
  <w:font w:name="华文中宋">
    <w:altName w:val="宋体"/>
    <w:panose1 w:val="02010600040101010101"/>
    <w:charset w:val="86"/>
    <w:family w:val="auto"/>
    <w:pitch w:val="default"/>
    <w:sig w:usb0="00000287" w:usb1="080F0000" w:usb2="00000000" w:usb3="00000000" w:csb0="0004009F" w:csb1="DFD70000"/>
    <w:embedRegular r:id="rId8" w:fontKey="{5D3C7C20-A9A9-44A5-96B4-70A5891A6ECF}"/>
  </w:font>
  <w:font w:name="font-weight : 400">
    <w:altName w:val="华文中宋"/>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仿宋"/>
    <w:panose1 w:val="00000000000000000000"/>
    <w:charset w:val="00"/>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9" w:fontKey="{0F88C194-A047-4811-BA02-848616109790}"/>
  </w:font>
  <w:font w:name="Tahoma">
    <w:panose1 w:val="020B0604030504040204"/>
    <w:charset w:val="00"/>
    <w:family w:val="swiss"/>
    <w:pitch w:val="default"/>
    <w:sig w:usb0="E1002EFF" w:usb1="C000605B" w:usb2="00000029" w:usb3="00000000" w:csb0="200101FF" w:csb1="20280000"/>
    <w:embedRegular r:id="rId10" w:fontKey="{E3962E17-7F18-41C0-84AB-354FEF2371EC}"/>
  </w:font>
  <w:font w:name="Arial Unicode MS">
    <w:altName w:val="宋体"/>
    <w:panose1 w:val="020B0604020202020204"/>
    <w:charset w:val="86"/>
    <w:family w:val="swiss"/>
    <w:pitch w:val="default"/>
    <w:sig w:usb0="00000000" w:usb1="00000000" w:usb2="0000003F" w:usb3="00000000" w:csb0="603F01FF" w:csb1="FFFF0000"/>
  </w:font>
  <w:font w:name="Arial Narrow">
    <w:altName w:val="Arial"/>
    <w:panose1 w:val="020B0606020202030204"/>
    <w:charset w:val="00"/>
    <w:family w:val="swiss"/>
    <w:pitch w:val="default"/>
    <w:sig w:usb0="00000000" w:usb1="00000000" w:usb2="00000000" w:usb3="00000000" w:csb0="0000009F" w:csb1="00000000"/>
  </w:font>
  <w:font w:name="TimesNewRomanPSMT">
    <w:altName w:val="Times New Roman"/>
    <w:panose1 w:val="00000000000000000000"/>
    <w:charset w:val="00"/>
    <w:family w:val="roman"/>
    <w:pitch w:val="default"/>
    <w:sig w:usb0="00000000" w:usb1="00000000" w:usb2="00000000" w:usb3="00000000" w:csb0="00000001" w:csb1="00000000"/>
  </w:font>
  <w:font w:name="Helvetica">
    <w:altName w:val="Arial"/>
    <w:panose1 w:val="020B0604020202020204"/>
    <w:charset w:val="00"/>
    <w:family w:val="swiss"/>
    <w:pitch w:val="default"/>
    <w:sig w:usb0="00000000" w:usb1="00000000" w:usb2="00000000" w:usb3="00000000" w:csb0="00000093" w:csb1="00000000"/>
  </w:font>
  <w:font w:name="Garamond">
    <w:altName w:val="PMingLiU-ExtB"/>
    <w:panose1 w:val="02020404030301010803"/>
    <w:charset w:val="00"/>
    <w:family w:val="roman"/>
    <w:pitch w:val="default"/>
    <w:sig w:usb0="00000000" w:usb1="00000000" w:usb2="00000000" w:usb3="00000000" w:csb0="0000009F" w:csb1="00000000"/>
  </w:font>
  <w:font w:name="PMingLiU-ExtB">
    <w:panose1 w:val="02020500000000000000"/>
    <w:charset w:val="88"/>
    <w:family w:val="auto"/>
    <w:pitch w:val="default"/>
    <w:sig w:usb0="8000002F" w:usb1="02000008" w:usb2="00000000" w:usb3="00000000" w:csb0="00100001" w:csb1="00000000"/>
  </w:font>
  <w:font w:name="华文细黑">
    <w:altName w:val="微软雅黑"/>
    <w:panose1 w:val="02010600040101010101"/>
    <w:charset w:val="86"/>
    <w:family w:val="auto"/>
    <w:pitch w:val="default"/>
    <w:sig w:usb0="00000000" w:usb1="00000000" w:usb2="00000010" w:usb3="00000000" w:csb0="0004009F" w:csb1="00000000"/>
  </w:font>
  <w:font w:name="等线 Light">
    <w:panose1 w:val="02010600030101010101"/>
    <w:charset w:val="86"/>
    <w:family w:val="auto"/>
    <w:pitch w:val="default"/>
    <w:sig w:usb0="A00002BF" w:usb1="38CF7CFA" w:usb2="00000016" w:usb3="00000000" w:csb0="0004000F" w:csb1="00000000"/>
  </w:font>
  <w:font w:name="Helvetica Neue">
    <w:altName w:val="Times New Roman"/>
    <w:panose1 w:val="00000000000000000000"/>
    <w:charset w:val="00"/>
    <w:family w:val="roman"/>
    <w:pitch w:val="default"/>
    <w:sig w:usb0="00000000" w:usb1="00000000" w:usb2="00000000" w:usb3="00000000" w:csb0="00040001" w:csb1="00000000"/>
  </w:font>
  <w:font w:name="方正小标宋简体">
    <w:panose1 w:val="02000000000000000000"/>
    <w:charset w:val="86"/>
    <w:family w:val="script"/>
    <w:pitch w:val="default"/>
    <w:sig w:usb0="00000001" w:usb1="08000000" w:usb2="00000000" w:usb3="00000000" w:csb0="00040000" w:csb1="00000000"/>
    <w:embedRegular r:id="rId11" w:fontKey="{450C0DA8-F577-440B-A21F-EFDB022D6FA3}"/>
  </w:font>
  <w:font w:name="隶书">
    <w:panose1 w:val="02010509060101010101"/>
    <w:charset w:val="86"/>
    <w:family w:val="modern"/>
    <w:pitch w:val="default"/>
    <w:sig w:usb0="00000001" w:usb1="080E0000" w:usb2="00000000" w:usb3="00000000" w:csb0="00040000" w:csb1="00000000"/>
    <w:embedRegular r:id="rId12" w:fontKey="{DFBAD909-3371-473E-89BF-3D4452CCE80B}"/>
  </w:font>
  <w:font w:name="Wingdings 2">
    <w:panose1 w:val="05020102010507070707"/>
    <w:charset w:val="02"/>
    <w:family w:val="roman"/>
    <w:pitch w:val="default"/>
    <w:sig w:usb0="00000000" w:usb1="00000000" w:usb2="00000000" w:usb3="00000000" w:csb0="80000000" w:csb1="00000000"/>
    <w:embedRegular r:id="rId13" w:fontKey="{CE4844E0-599E-4E79-8244-DE4BFC8E58A0}"/>
  </w:font>
  <w:font w:name="华文宋体">
    <w:altName w:val="宋体"/>
    <w:panose1 w:val="02010600040101010101"/>
    <w:charset w:val="86"/>
    <w:family w:val="auto"/>
    <w:pitch w:val="default"/>
    <w:sig w:usb0="00000287" w:usb1="080F0000" w:usb2="00000000" w:usb3="00000000" w:csb0="0004009F" w:csb1="DFD70000"/>
    <w:embedRegular r:id="rId14" w:fontKey="{C635D9C9-B3FC-4585-B07D-260AD23348AB}"/>
  </w:font>
  <w:font w:name="WPSEMBED21">
    <w:panose1 w:val="02000000000000000000"/>
    <w:charset w:val="86"/>
    <w:family w:val="auto"/>
    <w:pitch w:val="default"/>
    <w:sig w:usb0="00000001" w:usb1="08000000" w:usb2="00000000" w:usb3="00000000" w:csb0="00040000" w:csb1="00000000"/>
  </w:font>
  <w:font w:name="WPSEMBED19">
    <w:panose1 w:val="02010609030101010101"/>
    <w:charset w:val="86"/>
    <w:family w:val="auto"/>
    <w:pitch w:val="default"/>
    <w:sig w:usb0="00000001" w:usb1="080E0000" w:usb2="00000000" w:usb3="00000000" w:csb0="00040000" w:csb1="00000000"/>
  </w:font>
  <w:font w:name="WPSEMBED22">
    <w:panose1 w:val="02010509060101010101"/>
    <w:charset w:val="86"/>
    <w:family w:val="auto"/>
    <w:pitch w:val="default"/>
    <w:sig w:usb0="00000001" w:usb1="080E0000" w:usb2="00000000" w:usb3="00000000" w:csb0="00040000" w:csb1="00000000"/>
  </w:font>
  <w:font w:name="WPSEMBED23">
    <w:panose1 w:val="05020102010507070707"/>
    <w:charset w:val="00"/>
    <w:family w:val="auto"/>
    <w:pitch w:val="default"/>
    <w:sig w:usb0="00000000" w:usb1="00000000" w:usb2="00000000" w:usb3="00000000" w:csb0="80000000" w:csb1="00000000"/>
  </w:font>
  <w:font w:name="WPSEMBED20">
    <w:panose1 w:val="02010600040101010101"/>
    <w:charset w:val="86"/>
    <w:family w:val="auto"/>
    <w:pitch w:val="default"/>
    <w:sig w:usb0="00000287" w:usb1="080F0000" w:usb2="00000000" w:usb3="00000000" w:csb0="0004009F" w:csb1="DFD70000"/>
  </w:font>
  <w:font w:name="WPSEMBED24">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51448">
    <w:pPr>
      <w:pStyle w:val="35"/>
      <w:ind w:left="240" w:right="359" w:rightChars="171" w:hanging="240" w:hangingChars="100"/>
      <w:jc w:val="center"/>
      <w:rPr>
        <w:rFonts w:eastAsia="楷体_GB2312"/>
        <w:sz w:val="24"/>
        <w:szCs w:val="24"/>
      </w:rPr>
    </w:pPr>
    <w:r>
      <w:rPr>
        <w:rStyle w:val="52"/>
        <w:rFonts w:hint="eastAsia" w:ascii="仿宋_GB2312" w:eastAsia="仿宋_GB2312"/>
        <w:sz w:val="24"/>
        <w:szCs w:val="24"/>
      </w:rPr>
      <w:t>—</w:t>
    </w:r>
    <w:r>
      <w:rPr>
        <w:rStyle w:val="52"/>
        <w:rFonts w:hint="eastAsia" w:ascii="仿宋_GB2312" w:eastAsia="仿宋_GB2312"/>
        <w:sz w:val="24"/>
        <w:szCs w:val="24"/>
      </w:rPr>
      <w:fldChar w:fldCharType="begin"/>
    </w:r>
    <w:r>
      <w:rPr>
        <w:rStyle w:val="52"/>
        <w:rFonts w:hint="eastAsia" w:ascii="仿宋_GB2312" w:eastAsia="仿宋_GB2312"/>
        <w:sz w:val="24"/>
        <w:szCs w:val="24"/>
      </w:rPr>
      <w:instrText xml:space="preserve"> PAGE </w:instrText>
    </w:r>
    <w:r>
      <w:rPr>
        <w:rStyle w:val="52"/>
        <w:rFonts w:hint="eastAsia" w:ascii="仿宋_GB2312" w:eastAsia="仿宋_GB2312"/>
        <w:sz w:val="24"/>
        <w:szCs w:val="24"/>
      </w:rPr>
      <w:fldChar w:fldCharType="separate"/>
    </w:r>
    <w:r>
      <w:rPr>
        <w:rStyle w:val="52"/>
        <w:rFonts w:ascii="仿宋_GB2312" w:eastAsia="仿宋_GB2312"/>
        <w:sz w:val="24"/>
        <w:szCs w:val="24"/>
      </w:rPr>
      <w:t>30</w:t>
    </w:r>
    <w:r>
      <w:rPr>
        <w:rStyle w:val="52"/>
        <w:rFonts w:hint="eastAsia" w:ascii="仿宋_GB2312" w:eastAsia="仿宋_GB2312"/>
        <w:sz w:val="24"/>
        <w:szCs w:val="24"/>
      </w:rPr>
      <w:fldChar w:fldCharType="end"/>
    </w:r>
    <w:r>
      <w:rPr>
        <w:rStyle w:val="52"/>
        <w:rFonts w:hint="eastAsia" w:ascii="仿宋_GB2312" w:eastAsia="仿宋_GB2312"/>
        <w:sz w:val="24"/>
        <w:szCs w:val="24"/>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5"/>
      <w:numFmt w:val="decimal"/>
      <w:suff w:val="nothing"/>
      <w:lvlText w:val="%1、"/>
      <w:lvlJc w:val="left"/>
    </w:lvl>
  </w:abstractNum>
  <w:abstractNum w:abstractNumId="1">
    <w:nsid w:val="00000003"/>
    <w:multiLevelType w:val="multilevel"/>
    <w:tmpl w:val="00000003"/>
    <w:lvl w:ilvl="0" w:tentative="0">
      <w:start w:val="1"/>
      <w:numFmt w:val="bullet"/>
      <w:pStyle w:val="95"/>
      <w:lvlText w:val=""/>
      <w:lvlJc w:val="left"/>
      <w:pPr>
        <w:tabs>
          <w:tab w:val="left" w:pos="420"/>
        </w:tabs>
        <w:ind w:left="420" w:hanging="420"/>
      </w:pPr>
      <w:rPr>
        <w:rFonts w:hint="default" w:ascii="Wingdings" w:hAnsi="Wingdings"/>
        <w:sz w:val="16"/>
        <w:szCs w:val="16"/>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AxZWU5YTEzN2Q4YjE1OTExM2FmNmYzZjk2ZWM4ZTYifQ=="/>
    <w:docVar w:name="KSO_WPS_MARK_KEY" w:val="3a31e91a-4257-4b3a-b28a-068acb403466"/>
  </w:docVars>
  <w:rsids>
    <w:rsidRoot w:val="00172A27"/>
    <w:rsid w:val="00001203"/>
    <w:rsid w:val="000013C5"/>
    <w:rsid w:val="0000150F"/>
    <w:rsid w:val="000016F7"/>
    <w:rsid w:val="00001FCF"/>
    <w:rsid w:val="00002A8D"/>
    <w:rsid w:val="00002E5D"/>
    <w:rsid w:val="00005643"/>
    <w:rsid w:val="00007A5F"/>
    <w:rsid w:val="0001333D"/>
    <w:rsid w:val="00013A1C"/>
    <w:rsid w:val="000144FB"/>
    <w:rsid w:val="00014EE3"/>
    <w:rsid w:val="000151F3"/>
    <w:rsid w:val="000152FB"/>
    <w:rsid w:val="00015504"/>
    <w:rsid w:val="00015C30"/>
    <w:rsid w:val="00015C39"/>
    <w:rsid w:val="00016276"/>
    <w:rsid w:val="00017675"/>
    <w:rsid w:val="00017C1D"/>
    <w:rsid w:val="000201C4"/>
    <w:rsid w:val="0002077F"/>
    <w:rsid w:val="00022E29"/>
    <w:rsid w:val="00025034"/>
    <w:rsid w:val="00026785"/>
    <w:rsid w:val="00026C20"/>
    <w:rsid w:val="00030FE0"/>
    <w:rsid w:val="0003268F"/>
    <w:rsid w:val="000343C1"/>
    <w:rsid w:val="000348CB"/>
    <w:rsid w:val="00034F0A"/>
    <w:rsid w:val="000357A7"/>
    <w:rsid w:val="00035FB7"/>
    <w:rsid w:val="00036BE8"/>
    <w:rsid w:val="00037BBA"/>
    <w:rsid w:val="00037D15"/>
    <w:rsid w:val="00042A1B"/>
    <w:rsid w:val="00043887"/>
    <w:rsid w:val="00045114"/>
    <w:rsid w:val="00046CE6"/>
    <w:rsid w:val="000509DB"/>
    <w:rsid w:val="00052125"/>
    <w:rsid w:val="000537FC"/>
    <w:rsid w:val="00054255"/>
    <w:rsid w:val="0005439A"/>
    <w:rsid w:val="0005663E"/>
    <w:rsid w:val="00057592"/>
    <w:rsid w:val="00060D72"/>
    <w:rsid w:val="00061F7B"/>
    <w:rsid w:val="00062343"/>
    <w:rsid w:val="00063418"/>
    <w:rsid w:val="000647D6"/>
    <w:rsid w:val="00065968"/>
    <w:rsid w:val="0006639E"/>
    <w:rsid w:val="00067522"/>
    <w:rsid w:val="00067BBB"/>
    <w:rsid w:val="0007017E"/>
    <w:rsid w:val="00070255"/>
    <w:rsid w:val="00070869"/>
    <w:rsid w:val="00070A94"/>
    <w:rsid w:val="00071220"/>
    <w:rsid w:val="00074294"/>
    <w:rsid w:val="000744AA"/>
    <w:rsid w:val="00075456"/>
    <w:rsid w:val="0007557A"/>
    <w:rsid w:val="00075FD2"/>
    <w:rsid w:val="000773F1"/>
    <w:rsid w:val="00077901"/>
    <w:rsid w:val="00080614"/>
    <w:rsid w:val="0008258E"/>
    <w:rsid w:val="00082976"/>
    <w:rsid w:val="00082BF4"/>
    <w:rsid w:val="0008370B"/>
    <w:rsid w:val="00084986"/>
    <w:rsid w:val="0008588B"/>
    <w:rsid w:val="00085A75"/>
    <w:rsid w:val="00086C54"/>
    <w:rsid w:val="0009356F"/>
    <w:rsid w:val="000939D8"/>
    <w:rsid w:val="00093D50"/>
    <w:rsid w:val="0009485C"/>
    <w:rsid w:val="0009506C"/>
    <w:rsid w:val="000A05A9"/>
    <w:rsid w:val="000A07D4"/>
    <w:rsid w:val="000A0BFC"/>
    <w:rsid w:val="000A1BC9"/>
    <w:rsid w:val="000A2155"/>
    <w:rsid w:val="000A2EC7"/>
    <w:rsid w:val="000A352C"/>
    <w:rsid w:val="000A4663"/>
    <w:rsid w:val="000A5DEC"/>
    <w:rsid w:val="000A6B57"/>
    <w:rsid w:val="000A78AB"/>
    <w:rsid w:val="000A78E0"/>
    <w:rsid w:val="000A79F2"/>
    <w:rsid w:val="000B0E18"/>
    <w:rsid w:val="000B198C"/>
    <w:rsid w:val="000B2A9E"/>
    <w:rsid w:val="000B35F2"/>
    <w:rsid w:val="000B4267"/>
    <w:rsid w:val="000B4A33"/>
    <w:rsid w:val="000B6910"/>
    <w:rsid w:val="000B7CC4"/>
    <w:rsid w:val="000C0D53"/>
    <w:rsid w:val="000C1157"/>
    <w:rsid w:val="000C37E3"/>
    <w:rsid w:val="000C56B6"/>
    <w:rsid w:val="000C5EEE"/>
    <w:rsid w:val="000C6193"/>
    <w:rsid w:val="000C76D4"/>
    <w:rsid w:val="000C77D6"/>
    <w:rsid w:val="000C7C37"/>
    <w:rsid w:val="000D2E6E"/>
    <w:rsid w:val="000D3266"/>
    <w:rsid w:val="000D35C4"/>
    <w:rsid w:val="000D4C87"/>
    <w:rsid w:val="000D5B9D"/>
    <w:rsid w:val="000D5DBB"/>
    <w:rsid w:val="000D6BE9"/>
    <w:rsid w:val="000E005A"/>
    <w:rsid w:val="000E02B5"/>
    <w:rsid w:val="000E07BF"/>
    <w:rsid w:val="000E1AF8"/>
    <w:rsid w:val="000E1C85"/>
    <w:rsid w:val="000E257B"/>
    <w:rsid w:val="000E2741"/>
    <w:rsid w:val="000E2C6B"/>
    <w:rsid w:val="000E46F6"/>
    <w:rsid w:val="000E4E6A"/>
    <w:rsid w:val="000E72CD"/>
    <w:rsid w:val="000E7E8D"/>
    <w:rsid w:val="000F0691"/>
    <w:rsid w:val="000F2F95"/>
    <w:rsid w:val="000F4678"/>
    <w:rsid w:val="000F4CEF"/>
    <w:rsid w:val="000F6D4E"/>
    <w:rsid w:val="000F731A"/>
    <w:rsid w:val="00101218"/>
    <w:rsid w:val="0010160F"/>
    <w:rsid w:val="00102577"/>
    <w:rsid w:val="001028A7"/>
    <w:rsid w:val="00102BBA"/>
    <w:rsid w:val="00102C6B"/>
    <w:rsid w:val="00103D8E"/>
    <w:rsid w:val="0010602C"/>
    <w:rsid w:val="00106197"/>
    <w:rsid w:val="001067DE"/>
    <w:rsid w:val="0010751A"/>
    <w:rsid w:val="001103DD"/>
    <w:rsid w:val="00111682"/>
    <w:rsid w:val="00111955"/>
    <w:rsid w:val="00112DDB"/>
    <w:rsid w:val="00113E41"/>
    <w:rsid w:val="001152F4"/>
    <w:rsid w:val="001162F6"/>
    <w:rsid w:val="00123E6C"/>
    <w:rsid w:val="00125B74"/>
    <w:rsid w:val="00125C9F"/>
    <w:rsid w:val="00126E22"/>
    <w:rsid w:val="00130B5A"/>
    <w:rsid w:val="00131DE0"/>
    <w:rsid w:val="00133F5D"/>
    <w:rsid w:val="0013400E"/>
    <w:rsid w:val="00134F4B"/>
    <w:rsid w:val="00136E85"/>
    <w:rsid w:val="0013722C"/>
    <w:rsid w:val="0014016B"/>
    <w:rsid w:val="0014099B"/>
    <w:rsid w:val="001414BF"/>
    <w:rsid w:val="00141CAD"/>
    <w:rsid w:val="00143AC7"/>
    <w:rsid w:val="00144BA5"/>
    <w:rsid w:val="00151BB7"/>
    <w:rsid w:val="0015321C"/>
    <w:rsid w:val="001548C2"/>
    <w:rsid w:val="00154AE5"/>
    <w:rsid w:val="00155005"/>
    <w:rsid w:val="0015646E"/>
    <w:rsid w:val="00157274"/>
    <w:rsid w:val="001601A0"/>
    <w:rsid w:val="00160AD1"/>
    <w:rsid w:val="00161962"/>
    <w:rsid w:val="00163D8E"/>
    <w:rsid w:val="00164C7B"/>
    <w:rsid w:val="0016658A"/>
    <w:rsid w:val="00166A8A"/>
    <w:rsid w:val="00167674"/>
    <w:rsid w:val="00170540"/>
    <w:rsid w:val="00172A27"/>
    <w:rsid w:val="00172E78"/>
    <w:rsid w:val="001735D7"/>
    <w:rsid w:val="00176230"/>
    <w:rsid w:val="0018129E"/>
    <w:rsid w:val="00184775"/>
    <w:rsid w:val="001855E8"/>
    <w:rsid w:val="00185770"/>
    <w:rsid w:val="0018656C"/>
    <w:rsid w:val="0018670C"/>
    <w:rsid w:val="00186AFA"/>
    <w:rsid w:val="00191A3A"/>
    <w:rsid w:val="00192F68"/>
    <w:rsid w:val="001930F4"/>
    <w:rsid w:val="00194C92"/>
    <w:rsid w:val="001950EA"/>
    <w:rsid w:val="0019689E"/>
    <w:rsid w:val="00196AC5"/>
    <w:rsid w:val="00196CB6"/>
    <w:rsid w:val="0019792C"/>
    <w:rsid w:val="00197CF0"/>
    <w:rsid w:val="001A0B54"/>
    <w:rsid w:val="001A28E3"/>
    <w:rsid w:val="001A324E"/>
    <w:rsid w:val="001A355F"/>
    <w:rsid w:val="001A43F9"/>
    <w:rsid w:val="001A4D4E"/>
    <w:rsid w:val="001A5EEA"/>
    <w:rsid w:val="001A71DE"/>
    <w:rsid w:val="001A7357"/>
    <w:rsid w:val="001A75B2"/>
    <w:rsid w:val="001A7B2C"/>
    <w:rsid w:val="001B125E"/>
    <w:rsid w:val="001B22A3"/>
    <w:rsid w:val="001B309B"/>
    <w:rsid w:val="001B510A"/>
    <w:rsid w:val="001B5246"/>
    <w:rsid w:val="001B62F0"/>
    <w:rsid w:val="001B7EDB"/>
    <w:rsid w:val="001C159F"/>
    <w:rsid w:val="001C21FA"/>
    <w:rsid w:val="001C2353"/>
    <w:rsid w:val="001C2831"/>
    <w:rsid w:val="001C50C7"/>
    <w:rsid w:val="001C5257"/>
    <w:rsid w:val="001C700F"/>
    <w:rsid w:val="001D0889"/>
    <w:rsid w:val="001D0E7B"/>
    <w:rsid w:val="001D1346"/>
    <w:rsid w:val="001D1FCB"/>
    <w:rsid w:val="001D2D2E"/>
    <w:rsid w:val="001D3938"/>
    <w:rsid w:val="001D3FC6"/>
    <w:rsid w:val="001D44C7"/>
    <w:rsid w:val="001D4BCF"/>
    <w:rsid w:val="001D520B"/>
    <w:rsid w:val="001D5283"/>
    <w:rsid w:val="001D57AF"/>
    <w:rsid w:val="001D6D31"/>
    <w:rsid w:val="001E0685"/>
    <w:rsid w:val="001E1660"/>
    <w:rsid w:val="001E1BCC"/>
    <w:rsid w:val="001E1BEF"/>
    <w:rsid w:val="001E220C"/>
    <w:rsid w:val="001E356E"/>
    <w:rsid w:val="001E5408"/>
    <w:rsid w:val="001E54E1"/>
    <w:rsid w:val="001E6917"/>
    <w:rsid w:val="001E7C11"/>
    <w:rsid w:val="001F0574"/>
    <w:rsid w:val="001F1199"/>
    <w:rsid w:val="001F15D2"/>
    <w:rsid w:val="001F19BB"/>
    <w:rsid w:val="002001C9"/>
    <w:rsid w:val="0020210F"/>
    <w:rsid w:val="0020272C"/>
    <w:rsid w:val="00202BE1"/>
    <w:rsid w:val="00205D3A"/>
    <w:rsid w:val="002063F0"/>
    <w:rsid w:val="00206998"/>
    <w:rsid w:val="002073A4"/>
    <w:rsid w:val="00207707"/>
    <w:rsid w:val="00207E79"/>
    <w:rsid w:val="002105EE"/>
    <w:rsid w:val="00210B32"/>
    <w:rsid w:val="00213011"/>
    <w:rsid w:val="002214CF"/>
    <w:rsid w:val="002248AB"/>
    <w:rsid w:val="00224ED7"/>
    <w:rsid w:val="0022536C"/>
    <w:rsid w:val="00225954"/>
    <w:rsid w:val="00231B52"/>
    <w:rsid w:val="00235F9C"/>
    <w:rsid w:val="00236874"/>
    <w:rsid w:val="00236B66"/>
    <w:rsid w:val="00237EDC"/>
    <w:rsid w:val="00240183"/>
    <w:rsid w:val="0024222C"/>
    <w:rsid w:val="00243517"/>
    <w:rsid w:val="00244B19"/>
    <w:rsid w:val="00244BEE"/>
    <w:rsid w:val="002453DD"/>
    <w:rsid w:val="00247B67"/>
    <w:rsid w:val="002510B6"/>
    <w:rsid w:val="0025125D"/>
    <w:rsid w:val="00251A51"/>
    <w:rsid w:val="00252682"/>
    <w:rsid w:val="00257133"/>
    <w:rsid w:val="00260612"/>
    <w:rsid w:val="00261A46"/>
    <w:rsid w:val="00261E45"/>
    <w:rsid w:val="00264433"/>
    <w:rsid w:val="00266A08"/>
    <w:rsid w:val="00267A26"/>
    <w:rsid w:val="00267F43"/>
    <w:rsid w:val="00267FFE"/>
    <w:rsid w:val="002709FB"/>
    <w:rsid w:val="00272A95"/>
    <w:rsid w:val="0027467E"/>
    <w:rsid w:val="00276DDD"/>
    <w:rsid w:val="002800BE"/>
    <w:rsid w:val="00280941"/>
    <w:rsid w:val="00281883"/>
    <w:rsid w:val="00281A12"/>
    <w:rsid w:val="00284655"/>
    <w:rsid w:val="0028505E"/>
    <w:rsid w:val="0028527D"/>
    <w:rsid w:val="0028675F"/>
    <w:rsid w:val="0029052D"/>
    <w:rsid w:val="00291F43"/>
    <w:rsid w:val="002926C7"/>
    <w:rsid w:val="00293B4A"/>
    <w:rsid w:val="00294365"/>
    <w:rsid w:val="00295DE8"/>
    <w:rsid w:val="00295FC0"/>
    <w:rsid w:val="00296A39"/>
    <w:rsid w:val="00297EEE"/>
    <w:rsid w:val="002A01D9"/>
    <w:rsid w:val="002A067A"/>
    <w:rsid w:val="002A0E49"/>
    <w:rsid w:val="002A4E31"/>
    <w:rsid w:val="002A5356"/>
    <w:rsid w:val="002A6037"/>
    <w:rsid w:val="002A6D72"/>
    <w:rsid w:val="002B17F3"/>
    <w:rsid w:val="002B1F0A"/>
    <w:rsid w:val="002B1FD5"/>
    <w:rsid w:val="002B2E68"/>
    <w:rsid w:val="002B3287"/>
    <w:rsid w:val="002B5570"/>
    <w:rsid w:val="002B6980"/>
    <w:rsid w:val="002B7B24"/>
    <w:rsid w:val="002C074B"/>
    <w:rsid w:val="002C16C2"/>
    <w:rsid w:val="002C34E7"/>
    <w:rsid w:val="002C4149"/>
    <w:rsid w:val="002C4CC5"/>
    <w:rsid w:val="002C5B44"/>
    <w:rsid w:val="002D0DAA"/>
    <w:rsid w:val="002D11D3"/>
    <w:rsid w:val="002D2147"/>
    <w:rsid w:val="002D32F7"/>
    <w:rsid w:val="002D4D77"/>
    <w:rsid w:val="002D7BCF"/>
    <w:rsid w:val="002E1106"/>
    <w:rsid w:val="002E1466"/>
    <w:rsid w:val="002E24C8"/>
    <w:rsid w:val="002E3282"/>
    <w:rsid w:val="002E3318"/>
    <w:rsid w:val="002E39EE"/>
    <w:rsid w:val="002E4BB8"/>
    <w:rsid w:val="002F1B74"/>
    <w:rsid w:val="002F28A9"/>
    <w:rsid w:val="002F2FC2"/>
    <w:rsid w:val="002F459C"/>
    <w:rsid w:val="002F4B7C"/>
    <w:rsid w:val="003007F1"/>
    <w:rsid w:val="00300EB8"/>
    <w:rsid w:val="00301C3C"/>
    <w:rsid w:val="00303905"/>
    <w:rsid w:val="003044E6"/>
    <w:rsid w:val="00304998"/>
    <w:rsid w:val="003052E8"/>
    <w:rsid w:val="00306331"/>
    <w:rsid w:val="003068C2"/>
    <w:rsid w:val="00306B13"/>
    <w:rsid w:val="003076BC"/>
    <w:rsid w:val="00307743"/>
    <w:rsid w:val="00310DCD"/>
    <w:rsid w:val="00313BF8"/>
    <w:rsid w:val="003141F5"/>
    <w:rsid w:val="003143DE"/>
    <w:rsid w:val="0031508F"/>
    <w:rsid w:val="0031547A"/>
    <w:rsid w:val="003156D0"/>
    <w:rsid w:val="00315914"/>
    <w:rsid w:val="00324FC5"/>
    <w:rsid w:val="00325A24"/>
    <w:rsid w:val="00326DE2"/>
    <w:rsid w:val="00327262"/>
    <w:rsid w:val="00327731"/>
    <w:rsid w:val="0033037F"/>
    <w:rsid w:val="003303D9"/>
    <w:rsid w:val="00330D35"/>
    <w:rsid w:val="00332F6A"/>
    <w:rsid w:val="003336A5"/>
    <w:rsid w:val="00333E33"/>
    <w:rsid w:val="00334503"/>
    <w:rsid w:val="00334949"/>
    <w:rsid w:val="00335750"/>
    <w:rsid w:val="00340535"/>
    <w:rsid w:val="00340965"/>
    <w:rsid w:val="00340D1A"/>
    <w:rsid w:val="00341650"/>
    <w:rsid w:val="00341A96"/>
    <w:rsid w:val="00342468"/>
    <w:rsid w:val="003428E5"/>
    <w:rsid w:val="0034448F"/>
    <w:rsid w:val="00345A83"/>
    <w:rsid w:val="003543C9"/>
    <w:rsid w:val="00356894"/>
    <w:rsid w:val="00357AAD"/>
    <w:rsid w:val="00361312"/>
    <w:rsid w:val="00361316"/>
    <w:rsid w:val="0036302E"/>
    <w:rsid w:val="0036386A"/>
    <w:rsid w:val="00363D52"/>
    <w:rsid w:val="003646DD"/>
    <w:rsid w:val="00365BCE"/>
    <w:rsid w:val="00367233"/>
    <w:rsid w:val="00370D39"/>
    <w:rsid w:val="00372D62"/>
    <w:rsid w:val="003739D9"/>
    <w:rsid w:val="00374296"/>
    <w:rsid w:val="0037562E"/>
    <w:rsid w:val="00376EEC"/>
    <w:rsid w:val="00377AE5"/>
    <w:rsid w:val="00380BBE"/>
    <w:rsid w:val="00380CEC"/>
    <w:rsid w:val="0038384F"/>
    <w:rsid w:val="00383C02"/>
    <w:rsid w:val="00383F34"/>
    <w:rsid w:val="00384C19"/>
    <w:rsid w:val="00385438"/>
    <w:rsid w:val="003861D8"/>
    <w:rsid w:val="00386A85"/>
    <w:rsid w:val="003873B5"/>
    <w:rsid w:val="0038788A"/>
    <w:rsid w:val="00387B72"/>
    <w:rsid w:val="0039400E"/>
    <w:rsid w:val="00394E3C"/>
    <w:rsid w:val="00395E81"/>
    <w:rsid w:val="003960AB"/>
    <w:rsid w:val="00396A97"/>
    <w:rsid w:val="00396BC6"/>
    <w:rsid w:val="0039733E"/>
    <w:rsid w:val="003A013F"/>
    <w:rsid w:val="003A0A8D"/>
    <w:rsid w:val="003A0D4C"/>
    <w:rsid w:val="003A2A81"/>
    <w:rsid w:val="003A3D6F"/>
    <w:rsid w:val="003A4BF8"/>
    <w:rsid w:val="003A54DB"/>
    <w:rsid w:val="003A57D9"/>
    <w:rsid w:val="003A6890"/>
    <w:rsid w:val="003A6E77"/>
    <w:rsid w:val="003A74B0"/>
    <w:rsid w:val="003B0282"/>
    <w:rsid w:val="003B02A4"/>
    <w:rsid w:val="003B06F6"/>
    <w:rsid w:val="003B1A05"/>
    <w:rsid w:val="003B2557"/>
    <w:rsid w:val="003B27C0"/>
    <w:rsid w:val="003B2C40"/>
    <w:rsid w:val="003B3F35"/>
    <w:rsid w:val="003B401C"/>
    <w:rsid w:val="003B4249"/>
    <w:rsid w:val="003B4B6B"/>
    <w:rsid w:val="003B51A6"/>
    <w:rsid w:val="003B7716"/>
    <w:rsid w:val="003C0751"/>
    <w:rsid w:val="003C223A"/>
    <w:rsid w:val="003C37B2"/>
    <w:rsid w:val="003C4504"/>
    <w:rsid w:val="003C4FFE"/>
    <w:rsid w:val="003C562D"/>
    <w:rsid w:val="003C71A6"/>
    <w:rsid w:val="003C787C"/>
    <w:rsid w:val="003C7B0D"/>
    <w:rsid w:val="003D0A0F"/>
    <w:rsid w:val="003D149C"/>
    <w:rsid w:val="003D1AFB"/>
    <w:rsid w:val="003D370A"/>
    <w:rsid w:val="003D42AB"/>
    <w:rsid w:val="003D5CE3"/>
    <w:rsid w:val="003D6738"/>
    <w:rsid w:val="003D682B"/>
    <w:rsid w:val="003D7751"/>
    <w:rsid w:val="003E0D9A"/>
    <w:rsid w:val="003E66D0"/>
    <w:rsid w:val="003E6EDF"/>
    <w:rsid w:val="003E6F68"/>
    <w:rsid w:val="003F00E4"/>
    <w:rsid w:val="003F1FA4"/>
    <w:rsid w:val="003F2294"/>
    <w:rsid w:val="003F26E0"/>
    <w:rsid w:val="003F2D8E"/>
    <w:rsid w:val="003F42A5"/>
    <w:rsid w:val="003F51E9"/>
    <w:rsid w:val="003F58B1"/>
    <w:rsid w:val="003F5C08"/>
    <w:rsid w:val="003F6AC0"/>
    <w:rsid w:val="003F7492"/>
    <w:rsid w:val="003F7AD0"/>
    <w:rsid w:val="004006B7"/>
    <w:rsid w:val="00400F0E"/>
    <w:rsid w:val="004030CA"/>
    <w:rsid w:val="004055AD"/>
    <w:rsid w:val="004063C5"/>
    <w:rsid w:val="004067E0"/>
    <w:rsid w:val="00406BE1"/>
    <w:rsid w:val="00406F2B"/>
    <w:rsid w:val="004121D3"/>
    <w:rsid w:val="00416365"/>
    <w:rsid w:val="00420C56"/>
    <w:rsid w:val="00420E9F"/>
    <w:rsid w:val="0042109C"/>
    <w:rsid w:val="00422330"/>
    <w:rsid w:val="00423AC3"/>
    <w:rsid w:val="00423BFD"/>
    <w:rsid w:val="00430677"/>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2F"/>
    <w:rsid w:val="00441062"/>
    <w:rsid w:val="004410A5"/>
    <w:rsid w:val="00441D55"/>
    <w:rsid w:val="00441FB8"/>
    <w:rsid w:val="0044276F"/>
    <w:rsid w:val="004453E6"/>
    <w:rsid w:val="00447B2C"/>
    <w:rsid w:val="00447B8A"/>
    <w:rsid w:val="00447B8D"/>
    <w:rsid w:val="004504B3"/>
    <w:rsid w:val="00450949"/>
    <w:rsid w:val="00450BB1"/>
    <w:rsid w:val="004512A3"/>
    <w:rsid w:val="00451A29"/>
    <w:rsid w:val="00460321"/>
    <w:rsid w:val="00461742"/>
    <w:rsid w:val="004619FD"/>
    <w:rsid w:val="0046404E"/>
    <w:rsid w:val="00466258"/>
    <w:rsid w:val="004665CA"/>
    <w:rsid w:val="004721A0"/>
    <w:rsid w:val="00474252"/>
    <w:rsid w:val="0047516E"/>
    <w:rsid w:val="00475BF8"/>
    <w:rsid w:val="00475EC9"/>
    <w:rsid w:val="00476312"/>
    <w:rsid w:val="00476590"/>
    <w:rsid w:val="004817C4"/>
    <w:rsid w:val="00481AB4"/>
    <w:rsid w:val="00484DF4"/>
    <w:rsid w:val="00484E3D"/>
    <w:rsid w:val="0048525C"/>
    <w:rsid w:val="004866CF"/>
    <w:rsid w:val="004871A2"/>
    <w:rsid w:val="00490444"/>
    <w:rsid w:val="004912A6"/>
    <w:rsid w:val="004917CB"/>
    <w:rsid w:val="00491F32"/>
    <w:rsid w:val="0049306F"/>
    <w:rsid w:val="00493651"/>
    <w:rsid w:val="00495838"/>
    <w:rsid w:val="00496AF2"/>
    <w:rsid w:val="00497716"/>
    <w:rsid w:val="004A00F9"/>
    <w:rsid w:val="004A04C1"/>
    <w:rsid w:val="004A05A9"/>
    <w:rsid w:val="004A0718"/>
    <w:rsid w:val="004A1F9F"/>
    <w:rsid w:val="004A2092"/>
    <w:rsid w:val="004A2CFE"/>
    <w:rsid w:val="004A303F"/>
    <w:rsid w:val="004A53FC"/>
    <w:rsid w:val="004A62B2"/>
    <w:rsid w:val="004A6BAA"/>
    <w:rsid w:val="004A6F11"/>
    <w:rsid w:val="004B021F"/>
    <w:rsid w:val="004B02F0"/>
    <w:rsid w:val="004B0E0F"/>
    <w:rsid w:val="004B26A3"/>
    <w:rsid w:val="004B4DC1"/>
    <w:rsid w:val="004B5A72"/>
    <w:rsid w:val="004B64A6"/>
    <w:rsid w:val="004B64C3"/>
    <w:rsid w:val="004B66B0"/>
    <w:rsid w:val="004B6CB6"/>
    <w:rsid w:val="004B7FE9"/>
    <w:rsid w:val="004C0B7E"/>
    <w:rsid w:val="004C16C5"/>
    <w:rsid w:val="004C2830"/>
    <w:rsid w:val="004C5260"/>
    <w:rsid w:val="004C587E"/>
    <w:rsid w:val="004C5AEE"/>
    <w:rsid w:val="004C6CD6"/>
    <w:rsid w:val="004D0B12"/>
    <w:rsid w:val="004D0BD7"/>
    <w:rsid w:val="004D1061"/>
    <w:rsid w:val="004D13CB"/>
    <w:rsid w:val="004D13EF"/>
    <w:rsid w:val="004D1DDB"/>
    <w:rsid w:val="004D2BD2"/>
    <w:rsid w:val="004D42BB"/>
    <w:rsid w:val="004D42ED"/>
    <w:rsid w:val="004D651C"/>
    <w:rsid w:val="004D7BB9"/>
    <w:rsid w:val="004E50CA"/>
    <w:rsid w:val="004E599B"/>
    <w:rsid w:val="004E6DAB"/>
    <w:rsid w:val="004E6FF6"/>
    <w:rsid w:val="004E7D56"/>
    <w:rsid w:val="004F0A1C"/>
    <w:rsid w:val="004F0EEF"/>
    <w:rsid w:val="004F1CE8"/>
    <w:rsid w:val="004F2D54"/>
    <w:rsid w:val="004F318E"/>
    <w:rsid w:val="004F50E8"/>
    <w:rsid w:val="004F55A5"/>
    <w:rsid w:val="004F6A22"/>
    <w:rsid w:val="004F7776"/>
    <w:rsid w:val="00500505"/>
    <w:rsid w:val="00501271"/>
    <w:rsid w:val="00504E01"/>
    <w:rsid w:val="00504F06"/>
    <w:rsid w:val="00505C57"/>
    <w:rsid w:val="005068B3"/>
    <w:rsid w:val="00507015"/>
    <w:rsid w:val="00507181"/>
    <w:rsid w:val="00507C1B"/>
    <w:rsid w:val="00510B57"/>
    <w:rsid w:val="00511C54"/>
    <w:rsid w:val="0051554C"/>
    <w:rsid w:val="00515973"/>
    <w:rsid w:val="00515A27"/>
    <w:rsid w:val="00516E73"/>
    <w:rsid w:val="0052052F"/>
    <w:rsid w:val="00520B9D"/>
    <w:rsid w:val="0052153D"/>
    <w:rsid w:val="00521E31"/>
    <w:rsid w:val="00524317"/>
    <w:rsid w:val="00524FFE"/>
    <w:rsid w:val="0052627E"/>
    <w:rsid w:val="00526B3A"/>
    <w:rsid w:val="00527266"/>
    <w:rsid w:val="005274BD"/>
    <w:rsid w:val="00527C36"/>
    <w:rsid w:val="00530496"/>
    <w:rsid w:val="005307CA"/>
    <w:rsid w:val="0053223B"/>
    <w:rsid w:val="00533844"/>
    <w:rsid w:val="00533D9F"/>
    <w:rsid w:val="00533F6A"/>
    <w:rsid w:val="005341F4"/>
    <w:rsid w:val="005344D5"/>
    <w:rsid w:val="00534629"/>
    <w:rsid w:val="00535EB7"/>
    <w:rsid w:val="0053690B"/>
    <w:rsid w:val="00536D8A"/>
    <w:rsid w:val="00537701"/>
    <w:rsid w:val="005408DF"/>
    <w:rsid w:val="00541020"/>
    <w:rsid w:val="00541270"/>
    <w:rsid w:val="005421E5"/>
    <w:rsid w:val="00542CFD"/>
    <w:rsid w:val="00547701"/>
    <w:rsid w:val="00547EC4"/>
    <w:rsid w:val="005519A6"/>
    <w:rsid w:val="00553AFE"/>
    <w:rsid w:val="00555619"/>
    <w:rsid w:val="0055599F"/>
    <w:rsid w:val="00560793"/>
    <w:rsid w:val="00560D76"/>
    <w:rsid w:val="00561077"/>
    <w:rsid w:val="005625B5"/>
    <w:rsid w:val="00563585"/>
    <w:rsid w:val="00565D70"/>
    <w:rsid w:val="00565E9E"/>
    <w:rsid w:val="005660BB"/>
    <w:rsid w:val="005671DB"/>
    <w:rsid w:val="00570C10"/>
    <w:rsid w:val="00571947"/>
    <w:rsid w:val="00571F14"/>
    <w:rsid w:val="005732BE"/>
    <w:rsid w:val="00574DD8"/>
    <w:rsid w:val="00575490"/>
    <w:rsid w:val="005804CE"/>
    <w:rsid w:val="005809E2"/>
    <w:rsid w:val="00580CE7"/>
    <w:rsid w:val="005813FE"/>
    <w:rsid w:val="00581930"/>
    <w:rsid w:val="00581BE7"/>
    <w:rsid w:val="005854A3"/>
    <w:rsid w:val="0058665C"/>
    <w:rsid w:val="0058671C"/>
    <w:rsid w:val="0058684A"/>
    <w:rsid w:val="00586FE7"/>
    <w:rsid w:val="00587935"/>
    <w:rsid w:val="00587ACB"/>
    <w:rsid w:val="0059106A"/>
    <w:rsid w:val="005930CA"/>
    <w:rsid w:val="005A06B1"/>
    <w:rsid w:val="005A1250"/>
    <w:rsid w:val="005A1912"/>
    <w:rsid w:val="005A32F1"/>
    <w:rsid w:val="005A347F"/>
    <w:rsid w:val="005A3B9F"/>
    <w:rsid w:val="005A3FA9"/>
    <w:rsid w:val="005A45D9"/>
    <w:rsid w:val="005A4650"/>
    <w:rsid w:val="005A60B0"/>
    <w:rsid w:val="005A6154"/>
    <w:rsid w:val="005B0120"/>
    <w:rsid w:val="005B066F"/>
    <w:rsid w:val="005B0AB3"/>
    <w:rsid w:val="005B2168"/>
    <w:rsid w:val="005B29F1"/>
    <w:rsid w:val="005B3B49"/>
    <w:rsid w:val="005B56E6"/>
    <w:rsid w:val="005B7057"/>
    <w:rsid w:val="005B77AE"/>
    <w:rsid w:val="005B7A55"/>
    <w:rsid w:val="005B7D2E"/>
    <w:rsid w:val="005C1AAB"/>
    <w:rsid w:val="005C5708"/>
    <w:rsid w:val="005C5FA6"/>
    <w:rsid w:val="005C610D"/>
    <w:rsid w:val="005C6437"/>
    <w:rsid w:val="005C6DA7"/>
    <w:rsid w:val="005C7658"/>
    <w:rsid w:val="005C7AE4"/>
    <w:rsid w:val="005D038A"/>
    <w:rsid w:val="005D135A"/>
    <w:rsid w:val="005D2671"/>
    <w:rsid w:val="005D39D1"/>
    <w:rsid w:val="005D3B1A"/>
    <w:rsid w:val="005D40D1"/>
    <w:rsid w:val="005D4AED"/>
    <w:rsid w:val="005D6865"/>
    <w:rsid w:val="005D7888"/>
    <w:rsid w:val="005D7CD9"/>
    <w:rsid w:val="005E0054"/>
    <w:rsid w:val="005E15CA"/>
    <w:rsid w:val="005E19E7"/>
    <w:rsid w:val="005E3C99"/>
    <w:rsid w:val="005E4E32"/>
    <w:rsid w:val="005E4F52"/>
    <w:rsid w:val="005E65A1"/>
    <w:rsid w:val="005E73D5"/>
    <w:rsid w:val="005F0621"/>
    <w:rsid w:val="005F0B80"/>
    <w:rsid w:val="005F2A18"/>
    <w:rsid w:val="005F42F8"/>
    <w:rsid w:val="005F49C1"/>
    <w:rsid w:val="005F5A12"/>
    <w:rsid w:val="00600803"/>
    <w:rsid w:val="00600A62"/>
    <w:rsid w:val="00602247"/>
    <w:rsid w:val="00606776"/>
    <w:rsid w:val="006070F3"/>
    <w:rsid w:val="00607BA5"/>
    <w:rsid w:val="00610549"/>
    <w:rsid w:val="00610EB5"/>
    <w:rsid w:val="00611634"/>
    <w:rsid w:val="00611CF3"/>
    <w:rsid w:val="006134AC"/>
    <w:rsid w:val="00613E0C"/>
    <w:rsid w:val="006152B2"/>
    <w:rsid w:val="0061621F"/>
    <w:rsid w:val="00616F21"/>
    <w:rsid w:val="006204DD"/>
    <w:rsid w:val="00623974"/>
    <w:rsid w:val="00623EF1"/>
    <w:rsid w:val="0062724E"/>
    <w:rsid w:val="006272B5"/>
    <w:rsid w:val="006277C2"/>
    <w:rsid w:val="00627FC2"/>
    <w:rsid w:val="0063003B"/>
    <w:rsid w:val="006305D1"/>
    <w:rsid w:val="0063341B"/>
    <w:rsid w:val="006340B6"/>
    <w:rsid w:val="0063634F"/>
    <w:rsid w:val="00640382"/>
    <w:rsid w:val="00640CDA"/>
    <w:rsid w:val="00641745"/>
    <w:rsid w:val="00641D08"/>
    <w:rsid w:val="006426CE"/>
    <w:rsid w:val="006441CA"/>
    <w:rsid w:val="00644E6B"/>
    <w:rsid w:val="0064519B"/>
    <w:rsid w:val="006477C4"/>
    <w:rsid w:val="00651EFF"/>
    <w:rsid w:val="00654154"/>
    <w:rsid w:val="00654B01"/>
    <w:rsid w:val="00654B77"/>
    <w:rsid w:val="00654D99"/>
    <w:rsid w:val="00655C5B"/>
    <w:rsid w:val="006565E5"/>
    <w:rsid w:val="00657AC0"/>
    <w:rsid w:val="00660329"/>
    <w:rsid w:val="006637E6"/>
    <w:rsid w:val="00663D14"/>
    <w:rsid w:val="00664CBE"/>
    <w:rsid w:val="00665945"/>
    <w:rsid w:val="00666492"/>
    <w:rsid w:val="006669CC"/>
    <w:rsid w:val="00666BB4"/>
    <w:rsid w:val="00666CC6"/>
    <w:rsid w:val="00667A28"/>
    <w:rsid w:val="00667F8B"/>
    <w:rsid w:val="00672F78"/>
    <w:rsid w:val="00674D19"/>
    <w:rsid w:val="00675A32"/>
    <w:rsid w:val="0068086B"/>
    <w:rsid w:val="00680F90"/>
    <w:rsid w:val="006813C2"/>
    <w:rsid w:val="006819DD"/>
    <w:rsid w:val="00681BEE"/>
    <w:rsid w:val="00683DF5"/>
    <w:rsid w:val="00683EFC"/>
    <w:rsid w:val="006848DC"/>
    <w:rsid w:val="00686D28"/>
    <w:rsid w:val="00687B3D"/>
    <w:rsid w:val="00690E34"/>
    <w:rsid w:val="00691316"/>
    <w:rsid w:val="0069134D"/>
    <w:rsid w:val="0069276B"/>
    <w:rsid w:val="00693668"/>
    <w:rsid w:val="006937D8"/>
    <w:rsid w:val="00695CAC"/>
    <w:rsid w:val="006963EC"/>
    <w:rsid w:val="006966BD"/>
    <w:rsid w:val="006977C5"/>
    <w:rsid w:val="006A1623"/>
    <w:rsid w:val="006A1631"/>
    <w:rsid w:val="006A3BB4"/>
    <w:rsid w:val="006A4020"/>
    <w:rsid w:val="006A407F"/>
    <w:rsid w:val="006A6443"/>
    <w:rsid w:val="006B0D8D"/>
    <w:rsid w:val="006B25A1"/>
    <w:rsid w:val="006B313B"/>
    <w:rsid w:val="006B387E"/>
    <w:rsid w:val="006B6344"/>
    <w:rsid w:val="006C0619"/>
    <w:rsid w:val="006C0AC5"/>
    <w:rsid w:val="006C184F"/>
    <w:rsid w:val="006C2034"/>
    <w:rsid w:val="006C3B5C"/>
    <w:rsid w:val="006C45E6"/>
    <w:rsid w:val="006C4CA0"/>
    <w:rsid w:val="006C53F7"/>
    <w:rsid w:val="006C6164"/>
    <w:rsid w:val="006C7834"/>
    <w:rsid w:val="006D0DCA"/>
    <w:rsid w:val="006D0DFB"/>
    <w:rsid w:val="006D1305"/>
    <w:rsid w:val="006D133F"/>
    <w:rsid w:val="006D2FF8"/>
    <w:rsid w:val="006D3BCE"/>
    <w:rsid w:val="006D3F52"/>
    <w:rsid w:val="006D4442"/>
    <w:rsid w:val="006D4742"/>
    <w:rsid w:val="006D58B8"/>
    <w:rsid w:val="006D63B7"/>
    <w:rsid w:val="006D64C2"/>
    <w:rsid w:val="006D6749"/>
    <w:rsid w:val="006D6CDA"/>
    <w:rsid w:val="006E0029"/>
    <w:rsid w:val="006E0551"/>
    <w:rsid w:val="006E0F62"/>
    <w:rsid w:val="006E1253"/>
    <w:rsid w:val="006E23FC"/>
    <w:rsid w:val="006E32B4"/>
    <w:rsid w:val="006E34FD"/>
    <w:rsid w:val="006E4177"/>
    <w:rsid w:val="006E48AD"/>
    <w:rsid w:val="006E4A30"/>
    <w:rsid w:val="006E59DA"/>
    <w:rsid w:val="006E7D34"/>
    <w:rsid w:val="006F07DC"/>
    <w:rsid w:val="006F1BBA"/>
    <w:rsid w:val="006F3526"/>
    <w:rsid w:val="006F56B2"/>
    <w:rsid w:val="006F5929"/>
    <w:rsid w:val="007000CB"/>
    <w:rsid w:val="00700E6A"/>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175DB"/>
    <w:rsid w:val="007208A4"/>
    <w:rsid w:val="007211A9"/>
    <w:rsid w:val="00721DD9"/>
    <w:rsid w:val="007220BE"/>
    <w:rsid w:val="007228F7"/>
    <w:rsid w:val="007237DF"/>
    <w:rsid w:val="00723986"/>
    <w:rsid w:val="0072419F"/>
    <w:rsid w:val="007262DF"/>
    <w:rsid w:val="00726EC5"/>
    <w:rsid w:val="007306AE"/>
    <w:rsid w:val="00732550"/>
    <w:rsid w:val="007354FB"/>
    <w:rsid w:val="00736DF9"/>
    <w:rsid w:val="007402EA"/>
    <w:rsid w:val="00741B8D"/>
    <w:rsid w:val="00742810"/>
    <w:rsid w:val="00747A0F"/>
    <w:rsid w:val="00747C88"/>
    <w:rsid w:val="00751983"/>
    <w:rsid w:val="00751BAF"/>
    <w:rsid w:val="00751BE9"/>
    <w:rsid w:val="0075255A"/>
    <w:rsid w:val="00753151"/>
    <w:rsid w:val="00754804"/>
    <w:rsid w:val="00756EC4"/>
    <w:rsid w:val="007609EB"/>
    <w:rsid w:val="007611C0"/>
    <w:rsid w:val="007626CE"/>
    <w:rsid w:val="00762A49"/>
    <w:rsid w:val="00762C5D"/>
    <w:rsid w:val="00762CF4"/>
    <w:rsid w:val="00764407"/>
    <w:rsid w:val="007652C8"/>
    <w:rsid w:val="00765D1C"/>
    <w:rsid w:val="007660D0"/>
    <w:rsid w:val="0076619E"/>
    <w:rsid w:val="00767FBC"/>
    <w:rsid w:val="007727D0"/>
    <w:rsid w:val="007748E8"/>
    <w:rsid w:val="0077670A"/>
    <w:rsid w:val="00776AB9"/>
    <w:rsid w:val="007778DE"/>
    <w:rsid w:val="007779B9"/>
    <w:rsid w:val="007779E1"/>
    <w:rsid w:val="00777E5E"/>
    <w:rsid w:val="007804C3"/>
    <w:rsid w:val="00790E03"/>
    <w:rsid w:val="00792804"/>
    <w:rsid w:val="00792F54"/>
    <w:rsid w:val="00793DD4"/>
    <w:rsid w:val="00795230"/>
    <w:rsid w:val="00796AD5"/>
    <w:rsid w:val="007A1C20"/>
    <w:rsid w:val="007A245C"/>
    <w:rsid w:val="007A3474"/>
    <w:rsid w:val="007A3AE8"/>
    <w:rsid w:val="007A3E9A"/>
    <w:rsid w:val="007A53D4"/>
    <w:rsid w:val="007A6BCE"/>
    <w:rsid w:val="007A73F4"/>
    <w:rsid w:val="007B0A26"/>
    <w:rsid w:val="007B14A6"/>
    <w:rsid w:val="007B163E"/>
    <w:rsid w:val="007B1AD5"/>
    <w:rsid w:val="007B2A8A"/>
    <w:rsid w:val="007B4941"/>
    <w:rsid w:val="007B4A2E"/>
    <w:rsid w:val="007B6287"/>
    <w:rsid w:val="007C190C"/>
    <w:rsid w:val="007C202D"/>
    <w:rsid w:val="007C3E09"/>
    <w:rsid w:val="007C4458"/>
    <w:rsid w:val="007C4591"/>
    <w:rsid w:val="007C4669"/>
    <w:rsid w:val="007C63D6"/>
    <w:rsid w:val="007C6757"/>
    <w:rsid w:val="007C690B"/>
    <w:rsid w:val="007C6A0F"/>
    <w:rsid w:val="007C7C24"/>
    <w:rsid w:val="007D0BBE"/>
    <w:rsid w:val="007D1FEA"/>
    <w:rsid w:val="007D25A3"/>
    <w:rsid w:val="007D32D8"/>
    <w:rsid w:val="007D3C7F"/>
    <w:rsid w:val="007D5132"/>
    <w:rsid w:val="007D6581"/>
    <w:rsid w:val="007D7809"/>
    <w:rsid w:val="007E1505"/>
    <w:rsid w:val="007E3321"/>
    <w:rsid w:val="007E4A45"/>
    <w:rsid w:val="007E4C63"/>
    <w:rsid w:val="007E5B6A"/>
    <w:rsid w:val="007E6761"/>
    <w:rsid w:val="007E6C5E"/>
    <w:rsid w:val="007E709D"/>
    <w:rsid w:val="007E738E"/>
    <w:rsid w:val="007F02A1"/>
    <w:rsid w:val="007F275E"/>
    <w:rsid w:val="007F29E9"/>
    <w:rsid w:val="007F3435"/>
    <w:rsid w:val="007F3907"/>
    <w:rsid w:val="007F45B4"/>
    <w:rsid w:val="007F4D9F"/>
    <w:rsid w:val="007F57CE"/>
    <w:rsid w:val="007F613F"/>
    <w:rsid w:val="007F6939"/>
    <w:rsid w:val="007F7494"/>
    <w:rsid w:val="00802681"/>
    <w:rsid w:val="00802CCC"/>
    <w:rsid w:val="00805CA5"/>
    <w:rsid w:val="00806889"/>
    <w:rsid w:val="00806D7D"/>
    <w:rsid w:val="0080701E"/>
    <w:rsid w:val="0081014B"/>
    <w:rsid w:val="0081034F"/>
    <w:rsid w:val="00811A15"/>
    <w:rsid w:val="0081266E"/>
    <w:rsid w:val="00812EDE"/>
    <w:rsid w:val="00813424"/>
    <w:rsid w:val="00813524"/>
    <w:rsid w:val="00813A1E"/>
    <w:rsid w:val="00813DA5"/>
    <w:rsid w:val="008142BE"/>
    <w:rsid w:val="0081457C"/>
    <w:rsid w:val="0081630F"/>
    <w:rsid w:val="00816B03"/>
    <w:rsid w:val="008176F5"/>
    <w:rsid w:val="00817A24"/>
    <w:rsid w:val="00817DE6"/>
    <w:rsid w:val="00822171"/>
    <w:rsid w:val="008224CC"/>
    <w:rsid w:val="00822522"/>
    <w:rsid w:val="00822CB3"/>
    <w:rsid w:val="0082331D"/>
    <w:rsid w:val="00823BA0"/>
    <w:rsid w:val="008242D0"/>
    <w:rsid w:val="008254E6"/>
    <w:rsid w:val="00825D9A"/>
    <w:rsid w:val="00825FC8"/>
    <w:rsid w:val="008277AA"/>
    <w:rsid w:val="0082798E"/>
    <w:rsid w:val="008301EA"/>
    <w:rsid w:val="00830D1B"/>
    <w:rsid w:val="00831A89"/>
    <w:rsid w:val="00833DE5"/>
    <w:rsid w:val="008348B3"/>
    <w:rsid w:val="00835DE1"/>
    <w:rsid w:val="008373FE"/>
    <w:rsid w:val="00837B0F"/>
    <w:rsid w:val="0084276D"/>
    <w:rsid w:val="00842E7C"/>
    <w:rsid w:val="00843020"/>
    <w:rsid w:val="00844AB8"/>
    <w:rsid w:val="008457F9"/>
    <w:rsid w:val="00845E4F"/>
    <w:rsid w:val="00847527"/>
    <w:rsid w:val="00851650"/>
    <w:rsid w:val="00852943"/>
    <w:rsid w:val="00854819"/>
    <w:rsid w:val="0085572D"/>
    <w:rsid w:val="008612EB"/>
    <w:rsid w:val="00861A39"/>
    <w:rsid w:val="00863AF1"/>
    <w:rsid w:val="008653CA"/>
    <w:rsid w:val="00870693"/>
    <w:rsid w:val="008707AD"/>
    <w:rsid w:val="00870B1C"/>
    <w:rsid w:val="0087119E"/>
    <w:rsid w:val="00872BD8"/>
    <w:rsid w:val="00874283"/>
    <w:rsid w:val="008742DD"/>
    <w:rsid w:val="0087436F"/>
    <w:rsid w:val="00874963"/>
    <w:rsid w:val="00876480"/>
    <w:rsid w:val="008767BB"/>
    <w:rsid w:val="008768F4"/>
    <w:rsid w:val="008776AA"/>
    <w:rsid w:val="008776C0"/>
    <w:rsid w:val="00880C7D"/>
    <w:rsid w:val="00881ED5"/>
    <w:rsid w:val="00882521"/>
    <w:rsid w:val="00890421"/>
    <w:rsid w:val="008909F0"/>
    <w:rsid w:val="008927B1"/>
    <w:rsid w:val="008931F1"/>
    <w:rsid w:val="008932FD"/>
    <w:rsid w:val="00893A1C"/>
    <w:rsid w:val="00896284"/>
    <w:rsid w:val="00896999"/>
    <w:rsid w:val="00896B5B"/>
    <w:rsid w:val="00896D7F"/>
    <w:rsid w:val="0089759B"/>
    <w:rsid w:val="00897D47"/>
    <w:rsid w:val="008A00A6"/>
    <w:rsid w:val="008A15FB"/>
    <w:rsid w:val="008A1DA0"/>
    <w:rsid w:val="008A3A42"/>
    <w:rsid w:val="008A4914"/>
    <w:rsid w:val="008A5352"/>
    <w:rsid w:val="008A67A3"/>
    <w:rsid w:val="008A6AC2"/>
    <w:rsid w:val="008A7020"/>
    <w:rsid w:val="008A7E5F"/>
    <w:rsid w:val="008B0FA4"/>
    <w:rsid w:val="008B11E8"/>
    <w:rsid w:val="008B188C"/>
    <w:rsid w:val="008B37CF"/>
    <w:rsid w:val="008B383C"/>
    <w:rsid w:val="008B3B26"/>
    <w:rsid w:val="008B4331"/>
    <w:rsid w:val="008B4917"/>
    <w:rsid w:val="008B585B"/>
    <w:rsid w:val="008B7C6C"/>
    <w:rsid w:val="008C0329"/>
    <w:rsid w:val="008C09FA"/>
    <w:rsid w:val="008C09FE"/>
    <w:rsid w:val="008C0ECB"/>
    <w:rsid w:val="008C56B1"/>
    <w:rsid w:val="008C6847"/>
    <w:rsid w:val="008D0341"/>
    <w:rsid w:val="008D0DAC"/>
    <w:rsid w:val="008D0E9A"/>
    <w:rsid w:val="008D171F"/>
    <w:rsid w:val="008D3428"/>
    <w:rsid w:val="008D622B"/>
    <w:rsid w:val="008D6543"/>
    <w:rsid w:val="008D66CD"/>
    <w:rsid w:val="008D6931"/>
    <w:rsid w:val="008D6A29"/>
    <w:rsid w:val="008D6D0C"/>
    <w:rsid w:val="008D6D7F"/>
    <w:rsid w:val="008E16C0"/>
    <w:rsid w:val="008E2E8E"/>
    <w:rsid w:val="008E381C"/>
    <w:rsid w:val="008E4E64"/>
    <w:rsid w:val="008F0754"/>
    <w:rsid w:val="008F1BB1"/>
    <w:rsid w:val="008F1D07"/>
    <w:rsid w:val="008F282C"/>
    <w:rsid w:val="008F2BD1"/>
    <w:rsid w:val="008F542A"/>
    <w:rsid w:val="008F55EE"/>
    <w:rsid w:val="008F59AA"/>
    <w:rsid w:val="009009EB"/>
    <w:rsid w:val="00901271"/>
    <w:rsid w:val="009012B8"/>
    <w:rsid w:val="00902114"/>
    <w:rsid w:val="009037EF"/>
    <w:rsid w:val="0090469F"/>
    <w:rsid w:val="00905A5E"/>
    <w:rsid w:val="00905AB6"/>
    <w:rsid w:val="00906136"/>
    <w:rsid w:val="00906493"/>
    <w:rsid w:val="0091405C"/>
    <w:rsid w:val="00914132"/>
    <w:rsid w:val="0091647E"/>
    <w:rsid w:val="00917ECA"/>
    <w:rsid w:val="00920675"/>
    <w:rsid w:val="00920E39"/>
    <w:rsid w:val="00923801"/>
    <w:rsid w:val="00924CE0"/>
    <w:rsid w:val="0092599E"/>
    <w:rsid w:val="00926883"/>
    <w:rsid w:val="00927E2E"/>
    <w:rsid w:val="009301E7"/>
    <w:rsid w:val="00930404"/>
    <w:rsid w:val="00931733"/>
    <w:rsid w:val="00931E72"/>
    <w:rsid w:val="00932358"/>
    <w:rsid w:val="0093458B"/>
    <w:rsid w:val="00934E5E"/>
    <w:rsid w:val="009350FD"/>
    <w:rsid w:val="009355D2"/>
    <w:rsid w:val="009356F9"/>
    <w:rsid w:val="0093572C"/>
    <w:rsid w:val="0093607F"/>
    <w:rsid w:val="009360C1"/>
    <w:rsid w:val="00936B77"/>
    <w:rsid w:val="00937EF9"/>
    <w:rsid w:val="00941DF0"/>
    <w:rsid w:val="00943D4A"/>
    <w:rsid w:val="009440DD"/>
    <w:rsid w:val="009508B3"/>
    <w:rsid w:val="00952077"/>
    <w:rsid w:val="00952082"/>
    <w:rsid w:val="00955E7A"/>
    <w:rsid w:val="00960886"/>
    <w:rsid w:val="00962726"/>
    <w:rsid w:val="00962CC7"/>
    <w:rsid w:val="00962F46"/>
    <w:rsid w:val="00965AF4"/>
    <w:rsid w:val="00965BCE"/>
    <w:rsid w:val="00966E34"/>
    <w:rsid w:val="00967AEC"/>
    <w:rsid w:val="00971386"/>
    <w:rsid w:val="00974056"/>
    <w:rsid w:val="0097590F"/>
    <w:rsid w:val="0097658E"/>
    <w:rsid w:val="00976C93"/>
    <w:rsid w:val="00977956"/>
    <w:rsid w:val="00983122"/>
    <w:rsid w:val="00984876"/>
    <w:rsid w:val="009866EF"/>
    <w:rsid w:val="00986C71"/>
    <w:rsid w:val="00986F69"/>
    <w:rsid w:val="00987BEA"/>
    <w:rsid w:val="00992C67"/>
    <w:rsid w:val="00992E7B"/>
    <w:rsid w:val="0099330A"/>
    <w:rsid w:val="00993464"/>
    <w:rsid w:val="009934BD"/>
    <w:rsid w:val="009938F3"/>
    <w:rsid w:val="00994065"/>
    <w:rsid w:val="0099506F"/>
    <w:rsid w:val="00996BDD"/>
    <w:rsid w:val="00996D3D"/>
    <w:rsid w:val="00997292"/>
    <w:rsid w:val="009A080F"/>
    <w:rsid w:val="009A1806"/>
    <w:rsid w:val="009A1AB0"/>
    <w:rsid w:val="009A30B7"/>
    <w:rsid w:val="009A3262"/>
    <w:rsid w:val="009A378C"/>
    <w:rsid w:val="009A5030"/>
    <w:rsid w:val="009A572B"/>
    <w:rsid w:val="009A68AE"/>
    <w:rsid w:val="009A706F"/>
    <w:rsid w:val="009A7B10"/>
    <w:rsid w:val="009B01C4"/>
    <w:rsid w:val="009B030B"/>
    <w:rsid w:val="009B0BFF"/>
    <w:rsid w:val="009B1160"/>
    <w:rsid w:val="009B1378"/>
    <w:rsid w:val="009B1968"/>
    <w:rsid w:val="009B2E86"/>
    <w:rsid w:val="009B31C8"/>
    <w:rsid w:val="009B3B61"/>
    <w:rsid w:val="009B455E"/>
    <w:rsid w:val="009B4D37"/>
    <w:rsid w:val="009B5FED"/>
    <w:rsid w:val="009B611C"/>
    <w:rsid w:val="009B66D4"/>
    <w:rsid w:val="009B6F6B"/>
    <w:rsid w:val="009B78E6"/>
    <w:rsid w:val="009B799D"/>
    <w:rsid w:val="009C1B35"/>
    <w:rsid w:val="009C2464"/>
    <w:rsid w:val="009C39DF"/>
    <w:rsid w:val="009C4842"/>
    <w:rsid w:val="009C603F"/>
    <w:rsid w:val="009C6225"/>
    <w:rsid w:val="009C6507"/>
    <w:rsid w:val="009C703F"/>
    <w:rsid w:val="009C7155"/>
    <w:rsid w:val="009D0638"/>
    <w:rsid w:val="009D1399"/>
    <w:rsid w:val="009D257B"/>
    <w:rsid w:val="009D27A0"/>
    <w:rsid w:val="009D508D"/>
    <w:rsid w:val="009D53FD"/>
    <w:rsid w:val="009D570E"/>
    <w:rsid w:val="009D66A8"/>
    <w:rsid w:val="009D6DAD"/>
    <w:rsid w:val="009E228C"/>
    <w:rsid w:val="009E281B"/>
    <w:rsid w:val="009E2F0F"/>
    <w:rsid w:val="009E3791"/>
    <w:rsid w:val="009E4BEB"/>
    <w:rsid w:val="009E5A6B"/>
    <w:rsid w:val="009E7F1E"/>
    <w:rsid w:val="009F1477"/>
    <w:rsid w:val="009F2719"/>
    <w:rsid w:val="009F3069"/>
    <w:rsid w:val="009F3BE2"/>
    <w:rsid w:val="009F3C63"/>
    <w:rsid w:val="009F606B"/>
    <w:rsid w:val="009F6192"/>
    <w:rsid w:val="009F7311"/>
    <w:rsid w:val="009F7FFD"/>
    <w:rsid w:val="00A003C7"/>
    <w:rsid w:val="00A00DF2"/>
    <w:rsid w:val="00A01498"/>
    <w:rsid w:val="00A01A96"/>
    <w:rsid w:val="00A027F5"/>
    <w:rsid w:val="00A03657"/>
    <w:rsid w:val="00A03D36"/>
    <w:rsid w:val="00A03F57"/>
    <w:rsid w:val="00A04171"/>
    <w:rsid w:val="00A05FC7"/>
    <w:rsid w:val="00A06B56"/>
    <w:rsid w:val="00A07BEA"/>
    <w:rsid w:val="00A07C0B"/>
    <w:rsid w:val="00A10073"/>
    <w:rsid w:val="00A228B0"/>
    <w:rsid w:val="00A2373A"/>
    <w:rsid w:val="00A24150"/>
    <w:rsid w:val="00A27212"/>
    <w:rsid w:val="00A305E4"/>
    <w:rsid w:val="00A336E2"/>
    <w:rsid w:val="00A33913"/>
    <w:rsid w:val="00A3447A"/>
    <w:rsid w:val="00A34B2C"/>
    <w:rsid w:val="00A36479"/>
    <w:rsid w:val="00A36A6B"/>
    <w:rsid w:val="00A40E83"/>
    <w:rsid w:val="00A412FF"/>
    <w:rsid w:val="00A42C27"/>
    <w:rsid w:val="00A450CA"/>
    <w:rsid w:val="00A50AB1"/>
    <w:rsid w:val="00A51297"/>
    <w:rsid w:val="00A51AAE"/>
    <w:rsid w:val="00A53486"/>
    <w:rsid w:val="00A5411A"/>
    <w:rsid w:val="00A54609"/>
    <w:rsid w:val="00A56DCF"/>
    <w:rsid w:val="00A57847"/>
    <w:rsid w:val="00A604B7"/>
    <w:rsid w:val="00A61EC7"/>
    <w:rsid w:val="00A622BC"/>
    <w:rsid w:val="00A62565"/>
    <w:rsid w:val="00A62AFC"/>
    <w:rsid w:val="00A650D2"/>
    <w:rsid w:val="00A65CE8"/>
    <w:rsid w:val="00A67A03"/>
    <w:rsid w:val="00A700BC"/>
    <w:rsid w:val="00A708CE"/>
    <w:rsid w:val="00A71A66"/>
    <w:rsid w:val="00A7259D"/>
    <w:rsid w:val="00A736DB"/>
    <w:rsid w:val="00A743CA"/>
    <w:rsid w:val="00A74939"/>
    <w:rsid w:val="00A74A49"/>
    <w:rsid w:val="00A757D8"/>
    <w:rsid w:val="00A757F9"/>
    <w:rsid w:val="00A76FFF"/>
    <w:rsid w:val="00A802BE"/>
    <w:rsid w:val="00A82274"/>
    <w:rsid w:val="00A826E7"/>
    <w:rsid w:val="00A915C0"/>
    <w:rsid w:val="00A91B6B"/>
    <w:rsid w:val="00A931DD"/>
    <w:rsid w:val="00A935A3"/>
    <w:rsid w:val="00A943BF"/>
    <w:rsid w:val="00A94866"/>
    <w:rsid w:val="00A95102"/>
    <w:rsid w:val="00A95FE1"/>
    <w:rsid w:val="00A97E04"/>
    <w:rsid w:val="00AA06F4"/>
    <w:rsid w:val="00AA0A96"/>
    <w:rsid w:val="00AA23FC"/>
    <w:rsid w:val="00AA3409"/>
    <w:rsid w:val="00AA4D72"/>
    <w:rsid w:val="00AA59A3"/>
    <w:rsid w:val="00AA5D3E"/>
    <w:rsid w:val="00AA7AC7"/>
    <w:rsid w:val="00AB02A6"/>
    <w:rsid w:val="00AB2598"/>
    <w:rsid w:val="00AB2880"/>
    <w:rsid w:val="00AB2DD3"/>
    <w:rsid w:val="00AB7D2A"/>
    <w:rsid w:val="00AB7DD3"/>
    <w:rsid w:val="00AB7E34"/>
    <w:rsid w:val="00AB7EE8"/>
    <w:rsid w:val="00AC2713"/>
    <w:rsid w:val="00AC2774"/>
    <w:rsid w:val="00AC2C21"/>
    <w:rsid w:val="00AC36E1"/>
    <w:rsid w:val="00AC4698"/>
    <w:rsid w:val="00AC684A"/>
    <w:rsid w:val="00AD0D61"/>
    <w:rsid w:val="00AD1337"/>
    <w:rsid w:val="00AD19C6"/>
    <w:rsid w:val="00AD1E92"/>
    <w:rsid w:val="00AD1F92"/>
    <w:rsid w:val="00AD25A3"/>
    <w:rsid w:val="00AD34A7"/>
    <w:rsid w:val="00AD39AF"/>
    <w:rsid w:val="00AD4C5F"/>
    <w:rsid w:val="00AD56F0"/>
    <w:rsid w:val="00AD58CD"/>
    <w:rsid w:val="00AD5974"/>
    <w:rsid w:val="00AD71F1"/>
    <w:rsid w:val="00AD7EEB"/>
    <w:rsid w:val="00AE050C"/>
    <w:rsid w:val="00AE0C7F"/>
    <w:rsid w:val="00AE28BD"/>
    <w:rsid w:val="00AE29E6"/>
    <w:rsid w:val="00AE30CE"/>
    <w:rsid w:val="00AE4945"/>
    <w:rsid w:val="00AE5496"/>
    <w:rsid w:val="00AE5ABE"/>
    <w:rsid w:val="00AE637D"/>
    <w:rsid w:val="00AE6777"/>
    <w:rsid w:val="00AE7BB6"/>
    <w:rsid w:val="00AF026C"/>
    <w:rsid w:val="00AF06AB"/>
    <w:rsid w:val="00AF12E1"/>
    <w:rsid w:val="00AF1B42"/>
    <w:rsid w:val="00AF1F58"/>
    <w:rsid w:val="00AF2351"/>
    <w:rsid w:val="00AF25FF"/>
    <w:rsid w:val="00AF3CBA"/>
    <w:rsid w:val="00AF3CE4"/>
    <w:rsid w:val="00AF5A15"/>
    <w:rsid w:val="00AF69A2"/>
    <w:rsid w:val="00AF7094"/>
    <w:rsid w:val="00AF7D01"/>
    <w:rsid w:val="00AF7DEE"/>
    <w:rsid w:val="00B0245D"/>
    <w:rsid w:val="00B040C7"/>
    <w:rsid w:val="00B04FE8"/>
    <w:rsid w:val="00B061D1"/>
    <w:rsid w:val="00B07C43"/>
    <w:rsid w:val="00B101DB"/>
    <w:rsid w:val="00B1152A"/>
    <w:rsid w:val="00B148B7"/>
    <w:rsid w:val="00B16681"/>
    <w:rsid w:val="00B178F9"/>
    <w:rsid w:val="00B227B5"/>
    <w:rsid w:val="00B227F0"/>
    <w:rsid w:val="00B22CFC"/>
    <w:rsid w:val="00B2372A"/>
    <w:rsid w:val="00B2394C"/>
    <w:rsid w:val="00B24A57"/>
    <w:rsid w:val="00B2537A"/>
    <w:rsid w:val="00B258C1"/>
    <w:rsid w:val="00B31A8D"/>
    <w:rsid w:val="00B339B4"/>
    <w:rsid w:val="00B34142"/>
    <w:rsid w:val="00B34278"/>
    <w:rsid w:val="00B3432F"/>
    <w:rsid w:val="00B34A2F"/>
    <w:rsid w:val="00B350C1"/>
    <w:rsid w:val="00B35A05"/>
    <w:rsid w:val="00B37A7A"/>
    <w:rsid w:val="00B409F8"/>
    <w:rsid w:val="00B41242"/>
    <w:rsid w:val="00B42B6A"/>
    <w:rsid w:val="00B435F1"/>
    <w:rsid w:val="00B43C0B"/>
    <w:rsid w:val="00B43D58"/>
    <w:rsid w:val="00B44451"/>
    <w:rsid w:val="00B4682E"/>
    <w:rsid w:val="00B478F6"/>
    <w:rsid w:val="00B500CB"/>
    <w:rsid w:val="00B51775"/>
    <w:rsid w:val="00B51E56"/>
    <w:rsid w:val="00B54937"/>
    <w:rsid w:val="00B553E9"/>
    <w:rsid w:val="00B557A7"/>
    <w:rsid w:val="00B567A8"/>
    <w:rsid w:val="00B5776E"/>
    <w:rsid w:val="00B609C3"/>
    <w:rsid w:val="00B61113"/>
    <w:rsid w:val="00B6128E"/>
    <w:rsid w:val="00B61C56"/>
    <w:rsid w:val="00B620E0"/>
    <w:rsid w:val="00B71018"/>
    <w:rsid w:val="00B71741"/>
    <w:rsid w:val="00B73310"/>
    <w:rsid w:val="00B75703"/>
    <w:rsid w:val="00B75B71"/>
    <w:rsid w:val="00B764F7"/>
    <w:rsid w:val="00B811EE"/>
    <w:rsid w:val="00B81684"/>
    <w:rsid w:val="00B829E4"/>
    <w:rsid w:val="00B839E8"/>
    <w:rsid w:val="00B83FFA"/>
    <w:rsid w:val="00B842F9"/>
    <w:rsid w:val="00B854F1"/>
    <w:rsid w:val="00B85C0C"/>
    <w:rsid w:val="00B87140"/>
    <w:rsid w:val="00B9002F"/>
    <w:rsid w:val="00B902C6"/>
    <w:rsid w:val="00B9052E"/>
    <w:rsid w:val="00B909E7"/>
    <w:rsid w:val="00B91A9D"/>
    <w:rsid w:val="00B93317"/>
    <w:rsid w:val="00B9367D"/>
    <w:rsid w:val="00B9395E"/>
    <w:rsid w:val="00B9428D"/>
    <w:rsid w:val="00B9533E"/>
    <w:rsid w:val="00B95648"/>
    <w:rsid w:val="00B956B1"/>
    <w:rsid w:val="00B97CA1"/>
    <w:rsid w:val="00B97E78"/>
    <w:rsid w:val="00BA21FD"/>
    <w:rsid w:val="00BA2A4B"/>
    <w:rsid w:val="00BA2DD9"/>
    <w:rsid w:val="00BA3A06"/>
    <w:rsid w:val="00BA4878"/>
    <w:rsid w:val="00BA6FA1"/>
    <w:rsid w:val="00BA734A"/>
    <w:rsid w:val="00BA774F"/>
    <w:rsid w:val="00BA7CA9"/>
    <w:rsid w:val="00BB35BD"/>
    <w:rsid w:val="00BB5D75"/>
    <w:rsid w:val="00BC0060"/>
    <w:rsid w:val="00BC0501"/>
    <w:rsid w:val="00BC1941"/>
    <w:rsid w:val="00BC2AFC"/>
    <w:rsid w:val="00BC4477"/>
    <w:rsid w:val="00BC58D6"/>
    <w:rsid w:val="00BC60B6"/>
    <w:rsid w:val="00BC6473"/>
    <w:rsid w:val="00BC6948"/>
    <w:rsid w:val="00BD0914"/>
    <w:rsid w:val="00BD0CDC"/>
    <w:rsid w:val="00BD1CB7"/>
    <w:rsid w:val="00BD2B2D"/>
    <w:rsid w:val="00BD3A8C"/>
    <w:rsid w:val="00BD4CBE"/>
    <w:rsid w:val="00BD5112"/>
    <w:rsid w:val="00BD54D6"/>
    <w:rsid w:val="00BE0435"/>
    <w:rsid w:val="00BE30B8"/>
    <w:rsid w:val="00BE408B"/>
    <w:rsid w:val="00BE40FF"/>
    <w:rsid w:val="00BE464C"/>
    <w:rsid w:val="00BE653F"/>
    <w:rsid w:val="00BE6CE4"/>
    <w:rsid w:val="00BE79A0"/>
    <w:rsid w:val="00BF2A79"/>
    <w:rsid w:val="00BF2BFA"/>
    <w:rsid w:val="00BF3654"/>
    <w:rsid w:val="00BF471B"/>
    <w:rsid w:val="00BF743D"/>
    <w:rsid w:val="00BF7B64"/>
    <w:rsid w:val="00C004DE"/>
    <w:rsid w:val="00C01600"/>
    <w:rsid w:val="00C016A1"/>
    <w:rsid w:val="00C02CDF"/>
    <w:rsid w:val="00C07D12"/>
    <w:rsid w:val="00C10117"/>
    <w:rsid w:val="00C113DE"/>
    <w:rsid w:val="00C126BE"/>
    <w:rsid w:val="00C1453C"/>
    <w:rsid w:val="00C14CD8"/>
    <w:rsid w:val="00C172F1"/>
    <w:rsid w:val="00C174EE"/>
    <w:rsid w:val="00C17C00"/>
    <w:rsid w:val="00C205DC"/>
    <w:rsid w:val="00C21052"/>
    <w:rsid w:val="00C215D4"/>
    <w:rsid w:val="00C21A6F"/>
    <w:rsid w:val="00C22028"/>
    <w:rsid w:val="00C2224F"/>
    <w:rsid w:val="00C23096"/>
    <w:rsid w:val="00C23824"/>
    <w:rsid w:val="00C24AB5"/>
    <w:rsid w:val="00C25500"/>
    <w:rsid w:val="00C27FA4"/>
    <w:rsid w:val="00C30BCF"/>
    <w:rsid w:val="00C3116B"/>
    <w:rsid w:val="00C31321"/>
    <w:rsid w:val="00C31F93"/>
    <w:rsid w:val="00C32595"/>
    <w:rsid w:val="00C32C43"/>
    <w:rsid w:val="00C32F92"/>
    <w:rsid w:val="00C330CE"/>
    <w:rsid w:val="00C33836"/>
    <w:rsid w:val="00C33BB2"/>
    <w:rsid w:val="00C348DA"/>
    <w:rsid w:val="00C36287"/>
    <w:rsid w:val="00C366C2"/>
    <w:rsid w:val="00C370C1"/>
    <w:rsid w:val="00C37114"/>
    <w:rsid w:val="00C404DF"/>
    <w:rsid w:val="00C40830"/>
    <w:rsid w:val="00C4137A"/>
    <w:rsid w:val="00C41DD7"/>
    <w:rsid w:val="00C42D71"/>
    <w:rsid w:val="00C430EA"/>
    <w:rsid w:val="00C439D4"/>
    <w:rsid w:val="00C4420C"/>
    <w:rsid w:val="00C44D31"/>
    <w:rsid w:val="00C4526E"/>
    <w:rsid w:val="00C47806"/>
    <w:rsid w:val="00C5196C"/>
    <w:rsid w:val="00C533CF"/>
    <w:rsid w:val="00C53726"/>
    <w:rsid w:val="00C53F8B"/>
    <w:rsid w:val="00C5462E"/>
    <w:rsid w:val="00C55489"/>
    <w:rsid w:val="00C556EF"/>
    <w:rsid w:val="00C55D8E"/>
    <w:rsid w:val="00C600D7"/>
    <w:rsid w:val="00C621A2"/>
    <w:rsid w:val="00C62F3F"/>
    <w:rsid w:val="00C63B8C"/>
    <w:rsid w:val="00C658FF"/>
    <w:rsid w:val="00C66DDE"/>
    <w:rsid w:val="00C71AC0"/>
    <w:rsid w:val="00C72B30"/>
    <w:rsid w:val="00C73B17"/>
    <w:rsid w:val="00C742FD"/>
    <w:rsid w:val="00C74FAB"/>
    <w:rsid w:val="00C752FB"/>
    <w:rsid w:val="00C7538A"/>
    <w:rsid w:val="00C84F68"/>
    <w:rsid w:val="00C85464"/>
    <w:rsid w:val="00C86F2D"/>
    <w:rsid w:val="00C87BE6"/>
    <w:rsid w:val="00C90BE0"/>
    <w:rsid w:val="00C91103"/>
    <w:rsid w:val="00C91730"/>
    <w:rsid w:val="00C920EE"/>
    <w:rsid w:val="00C92949"/>
    <w:rsid w:val="00C94EC5"/>
    <w:rsid w:val="00C95113"/>
    <w:rsid w:val="00C951CD"/>
    <w:rsid w:val="00C9548C"/>
    <w:rsid w:val="00C95784"/>
    <w:rsid w:val="00C95BB2"/>
    <w:rsid w:val="00CA1C22"/>
    <w:rsid w:val="00CA1F6C"/>
    <w:rsid w:val="00CA3297"/>
    <w:rsid w:val="00CA4BA8"/>
    <w:rsid w:val="00CA596C"/>
    <w:rsid w:val="00CA6942"/>
    <w:rsid w:val="00CA7B01"/>
    <w:rsid w:val="00CB3D6C"/>
    <w:rsid w:val="00CB67ED"/>
    <w:rsid w:val="00CB6964"/>
    <w:rsid w:val="00CB6E3F"/>
    <w:rsid w:val="00CB75C6"/>
    <w:rsid w:val="00CB7DB7"/>
    <w:rsid w:val="00CB7F0E"/>
    <w:rsid w:val="00CC0A19"/>
    <w:rsid w:val="00CC0CB8"/>
    <w:rsid w:val="00CC0D83"/>
    <w:rsid w:val="00CC1A0A"/>
    <w:rsid w:val="00CC2390"/>
    <w:rsid w:val="00CC70B9"/>
    <w:rsid w:val="00CC7226"/>
    <w:rsid w:val="00CC7ECA"/>
    <w:rsid w:val="00CD4B16"/>
    <w:rsid w:val="00CD739E"/>
    <w:rsid w:val="00CE01E3"/>
    <w:rsid w:val="00CE06D8"/>
    <w:rsid w:val="00CE0E39"/>
    <w:rsid w:val="00CE1682"/>
    <w:rsid w:val="00CE3299"/>
    <w:rsid w:val="00CE39B1"/>
    <w:rsid w:val="00CE3AD2"/>
    <w:rsid w:val="00CE4DE4"/>
    <w:rsid w:val="00CE5C37"/>
    <w:rsid w:val="00CE6032"/>
    <w:rsid w:val="00CE6849"/>
    <w:rsid w:val="00CF0C69"/>
    <w:rsid w:val="00CF1573"/>
    <w:rsid w:val="00CF1A50"/>
    <w:rsid w:val="00CF31B1"/>
    <w:rsid w:val="00CF3CCF"/>
    <w:rsid w:val="00CF5912"/>
    <w:rsid w:val="00CF6A78"/>
    <w:rsid w:val="00CF7615"/>
    <w:rsid w:val="00D0091F"/>
    <w:rsid w:val="00D02216"/>
    <w:rsid w:val="00D025E8"/>
    <w:rsid w:val="00D02B30"/>
    <w:rsid w:val="00D03A1D"/>
    <w:rsid w:val="00D04211"/>
    <w:rsid w:val="00D04275"/>
    <w:rsid w:val="00D04AC9"/>
    <w:rsid w:val="00D06F05"/>
    <w:rsid w:val="00D103F1"/>
    <w:rsid w:val="00D10C36"/>
    <w:rsid w:val="00D126DB"/>
    <w:rsid w:val="00D12B20"/>
    <w:rsid w:val="00D14D22"/>
    <w:rsid w:val="00D14F2C"/>
    <w:rsid w:val="00D158F6"/>
    <w:rsid w:val="00D15BC4"/>
    <w:rsid w:val="00D15F64"/>
    <w:rsid w:val="00D166E0"/>
    <w:rsid w:val="00D17BB0"/>
    <w:rsid w:val="00D206D1"/>
    <w:rsid w:val="00D2118E"/>
    <w:rsid w:val="00D21CCA"/>
    <w:rsid w:val="00D22739"/>
    <w:rsid w:val="00D22910"/>
    <w:rsid w:val="00D22FA2"/>
    <w:rsid w:val="00D2368A"/>
    <w:rsid w:val="00D23F91"/>
    <w:rsid w:val="00D24B80"/>
    <w:rsid w:val="00D26234"/>
    <w:rsid w:val="00D26EAC"/>
    <w:rsid w:val="00D27150"/>
    <w:rsid w:val="00D271D7"/>
    <w:rsid w:val="00D273AB"/>
    <w:rsid w:val="00D2798F"/>
    <w:rsid w:val="00D27DC3"/>
    <w:rsid w:val="00D311ED"/>
    <w:rsid w:val="00D3206D"/>
    <w:rsid w:val="00D3233F"/>
    <w:rsid w:val="00D33D13"/>
    <w:rsid w:val="00D354F0"/>
    <w:rsid w:val="00D3634A"/>
    <w:rsid w:val="00D368AF"/>
    <w:rsid w:val="00D3705C"/>
    <w:rsid w:val="00D406D0"/>
    <w:rsid w:val="00D413FD"/>
    <w:rsid w:val="00D41FA2"/>
    <w:rsid w:val="00D42BDF"/>
    <w:rsid w:val="00D42FBD"/>
    <w:rsid w:val="00D442C2"/>
    <w:rsid w:val="00D445B7"/>
    <w:rsid w:val="00D45C98"/>
    <w:rsid w:val="00D463AB"/>
    <w:rsid w:val="00D46F04"/>
    <w:rsid w:val="00D47C47"/>
    <w:rsid w:val="00D50B39"/>
    <w:rsid w:val="00D50D38"/>
    <w:rsid w:val="00D50F8B"/>
    <w:rsid w:val="00D5175B"/>
    <w:rsid w:val="00D518E5"/>
    <w:rsid w:val="00D51C3B"/>
    <w:rsid w:val="00D52394"/>
    <w:rsid w:val="00D53FCD"/>
    <w:rsid w:val="00D557C9"/>
    <w:rsid w:val="00D55D1E"/>
    <w:rsid w:val="00D56D55"/>
    <w:rsid w:val="00D607E3"/>
    <w:rsid w:val="00D62457"/>
    <w:rsid w:val="00D64024"/>
    <w:rsid w:val="00D64EAF"/>
    <w:rsid w:val="00D64F61"/>
    <w:rsid w:val="00D65CD6"/>
    <w:rsid w:val="00D65D5D"/>
    <w:rsid w:val="00D660A1"/>
    <w:rsid w:val="00D679BA"/>
    <w:rsid w:val="00D70521"/>
    <w:rsid w:val="00D71F0C"/>
    <w:rsid w:val="00D7264E"/>
    <w:rsid w:val="00D73194"/>
    <w:rsid w:val="00D73A05"/>
    <w:rsid w:val="00D75422"/>
    <w:rsid w:val="00D76C42"/>
    <w:rsid w:val="00D77B38"/>
    <w:rsid w:val="00D803B7"/>
    <w:rsid w:val="00D81837"/>
    <w:rsid w:val="00D81C0F"/>
    <w:rsid w:val="00D832C5"/>
    <w:rsid w:val="00D839FF"/>
    <w:rsid w:val="00D84A14"/>
    <w:rsid w:val="00D87CB8"/>
    <w:rsid w:val="00D91931"/>
    <w:rsid w:val="00D93F39"/>
    <w:rsid w:val="00D94192"/>
    <w:rsid w:val="00D94715"/>
    <w:rsid w:val="00D95521"/>
    <w:rsid w:val="00D97113"/>
    <w:rsid w:val="00DA153F"/>
    <w:rsid w:val="00DA173D"/>
    <w:rsid w:val="00DA363B"/>
    <w:rsid w:val="00DA3A14"/>
    <w:rsid w:val="00DA4123"/>
    <w:rsid w:val="00DA5246"/>
    <w:rsid w:val="00DA64EC"/>
    <w:rsid w:val="00DA7A76"/>
    <w:rsid w:val="00DB0149"/>
    <w:rsid w:val="00DB26E0"/>
    <w:rsid w:val="00DB2C39"/>
    <w:rsid w:val="00DB2CAD"/>
    <w:rsid w:val="00DB4B9F"/>
    <w:rsid w:val="00DB4D23"/>
    <w:rsid w:val="00DB4EDA"/>
    <w:rsid w:val="00DB53D9"/>
    <w:rsid w:val="00DB5604"/>
    <w:rsid w:val="00DB5AB7"/>
    <w:rsid w:val="00DB7367"/>
    <w:rsid w:val="00DC2F52"/>
    <w:rsid w:val="00DC3672"/>
    <w:rsid w:val="00DC4195"/>
    <w:rsid w:val="00DC4748"/>
    <w:rsid w:val="00DC5110"/>
    <w:rsid w:val="00DC5B03"/>
    <w:rsid w:val="00DC5EE6"/>
    <w:rsid w:val="00DC618A"/>
    <w:rsid w:val="00DC693B"/>
    <w:rsid w:val="00DC7E1C"/>
    <w:rsid w:val="00DD01AB"/>
    <w:rsid w:val="00DD2190"/>
    <w:rsid w:val="00DD2578"/>
    <w:rsid w:val="00DD310D"/>
    <w:rsid w:val="00DD4840"/>
    <w:rsid w:val="00DD5365"/>
    <w:rsid w:val="00DD590E"/>
    <w:rsid w:val="00DD7E55"/>
    <w:rsid w:val="00DE0602"/>
    <w:rsid w:val="00DE1270"/>
    <w:rsid w:val="00DE14C4"/>
    <w:rsid w:val="00DE193E"/>
    <w:rsid w:val="00DE283E"/>
    <w:rsid w:val="00DE3C6B"/>
    <w:rsid w:val="00DE4329"/>
    <w:rsid w:val="00DE64FA"/>
    <w:rsid w:val="00DE6F60"/>
    <w:rsid w:val="00DE7CE4"/>
    <w:rsid w:val="00DF1098"/>
    <w:rsid w:val="00DF2239"/>
    <w:rsid w:val="00DF31A1"/>
    <w:rsid w:val="00DF36D7"/>
    <w:rsid w:val="00DF4F17"/>
    <w:rsid w:val="00DF7706"/>
    <w:rsid w:val="00E001AA"/>
    <w:rsid w:val="00E00846"/>
    <w:rsid w:val="00E00E5E"/>
    <w:rsid w:val="00E0199F"/>
    <w:rsid w:val="00E047FE"/>
    <w:rsid w:val="00E06133"/>
    <w:rsid w:val="00E073C5"/>
    <w:rsid w:val="00E07887"/>
    <w:rsid w:val="00E07CC6"/>
    <w:rsid w:val="00E10710"/>
    <w:rsid w:val="00E128DA"/>
    <w:rsid w:val="00E148C2"/>
    <w:rsid w:val="00E149A0"/>
    <w:rsid w:val="00E16604"/>
    <w:rsid w:val="00E16EC7"/>
    <w:rsid w:val="00E20C84"/>
    <w:rsid w:val="00E21938"/>
    <w:rsid w:val="00E227B5"/>
    <w:rsid w:val="00E22B0B"/>
    <w:rsid w:val="00E23863"/>
    <w:rsid w:val="00E23CF6"/>
    <w:rsid w:val="00E24EC6"/>
    <w:rsid w:val="00E266F2"/>
    <w:rsid w:val="00E27EBE"/>
    <w:rsid w:val="00E27F56"/>
    <w:rsid w:val="00E30467"/>
    <w:rsid w:val="00E31186"/>
    <w:rsid w:val="00E32DAB"/>
    <w:rsid w:val="00E338B9"/>
    <w:rsid w:val="00E347AF"/>
    <w:rsid w:val="00E35ED3"/>
    <w:rsid w:val="00E40C12"/>
    <w:rsid w:val="00E40CF8"/>
    <w:rsid w:val="00E4147C"/>
    <w:rsid w:val="00E42517"/>
    <w:rsid w:val="00E42EF2"/>
    <w:rsid w:val="00E4311B"/>
    <w:rsid w:val="00E438A1"/>
    <w:rsid w:val="00E44A90"/>
    <w:rsid w:val="00E4519C"/>
    <w:rsid w:val="00E45D26"/>
    <w:rsid w:val="00E50136"/>
    <w:rsid w:val="00E5062E"/>
    <w:rsid w:val="00E51CD4"/>
    <w:rsid w:val="00E51D96"/>
    <w:rsid w:val="00E52186"/>
    <w:rsid w:val="00E52423"/>
    <w:rsid w:val="00E54627"/>
    <w:rsid w:val="00E56E3E"/>
    <w:rsid w:val="00E60874"/>
    <w:rsid w:val="00E61081"/>
    <w:rsid w:val="00E61AB6"/>
    <w:rsid w:val="00E630BE"/>
    <w:rsid w:val="00E63156"/>
    <w:rsid w:val="00E63371"/>
    <w:rsid w:val="00E63F16"/>
    <w:rsid w:val="00E6584F"/>
    <w:rsid w:val="00E65F4E"/>
    <w:rsid w:val="00E72FE7"/>
    <w:rsid w:val="00E73729"/>
    <w:rsid w:val="00E74265"/>
    <w:rsid w:val="00E771DF"/>
    <w:rsid w:val="00E80823"/>
    <w:rsid w:val="00E823C4"/>
    <w:rsid w:val="00E8275B"/>
    <w:rsid w:val="00E83464"/>
    <w:rsid w:val="00E83833"/>
    <w:rsid w:val="00E83DA2"/>
    <w:rsid w:val="00E8496D"/>
    <w:rsid w:val="00E84B59"/>
    <w:rsid w:val="00E85ED3"/>
    <w:rsid w:val="00E87276"/>
    <w:rsid w:val="00E90943"/>
    <w:rsid w:val="00E91DD5"/>
    <w:rsid w:val="00E946A5"/>
    <w:rsid w:val="00E95CB2"/>
    <w:rsid w:val="00E95FDF"/>
    <w:rsid w:val="00E9617F"/>
    <w:rsid w:val="00E97408"/>
    <w:rsid w:val="00EA25ED"/>
    <w:rsid w:val="00EA26DA"/>
    <w:rsid w:val="00EA38DC"/>
    <w:rsid w:val="00EA5DEE"/>
    <w:rsid w:val="00EA6472"/>
    <w:rsid w:val="00EB0437"/>
    <w:rsid w:val="00EB0851"/>
    <w:rsid w:val="00EB195A"/>
    <w:rsid w:val="00EB3043"/>
    <w:rsid w:val="00EB38FD"/>
    <w:rsid w:val="00EB4B8E"/>
    <w:rsid w:val="00EB51CD"/>
    <w:rsid w:val="00EB693B"/>
    <w:rsid w:val="00EB6DCA"/>
    <w:rsid w:val="00EC05D7"/>
    <w:rsid w:val="00EC0C55"/>
    <w:rsid w:val="00EC1388"/>
    <w:rsid w:val="00EC181C"/>
    <w:rsid w:val="00EC25BF"/>
    <w:rsid w:val="00EC33B2"/>
    <w:rsid w:val="00EC4423"/>
    <w:rsid w:val="00EC4692"/>
    <w:rsid w:val="00EC6129"/>
    <w:rsid w:val="00EC61FF"/>
    <w:rsid w:val="00ED091C"/>
    <w:rsid w:val="00ED1655"/>
    <w:rsid w:val="00ED1F8C"/>
    <w:rsid w:val="00ED2D90"/>
    <w:rsid w:val="00ED3D41"/>
    <w:rsid w:val="00ED4B71"/>
    <w:rsid w:val="00ED6043"/>
    <w:rsid w:val="00ED6434"/>
    <w:rsid w:val="00ED7D21"/>
    <w:rsid w:val="00EE064F"/>
    <w:rsid w:val="00EE0DCF"/>
    <w:rsid w:val="00EE118B"/>
    <w:rsid w:val="00EE11C7"/>
    <w:rsid w:val="00EE1BAA"/>
    <w:rsid w:val="00EE2E30"/>
    <w:rsid w:val="00EE415C"/>
    <w:rsid w:val="00EE48F2"/>
    <w:rsid w:val="00EE6CCE"/>
    <w:rsid w:val="00EE6DDF"/>
    <w:rsid w:val="00EE7121"/>
    <w:rsid w:val="00EE7BC9"/>
    <w:rsid w:val="00EE7E0D"/>
    <w:rsid w:val="00EF1B52"/>
    <w:rsid w:val="00EF79BA"/>
    <w:rsid w:val="00F01813"/>
    <w:rsid w:val="00F02DC7"/>
    <w:rsid w:val="00F050C7"/>
    <w:rsid w:val="00F058AD"/>
    <w:rsid w:val="00F06DC2"/>
    <w:rsid w:val="00F0707B"/>
    <w:rsid w:val="00F07268"/>
    <w:rsid w:val="00F12368"/>
    <w:rsid w:val="00F125CA"/>
    <w:rsid w:val="00F1285C"/>
    <w:rsid w:val="00F13661"/>
    <w:rsid w:val="00F1404E"/>
    <w:rsid w:val="00F158E9"/>
    <w:rsid w:val="00F17B53"/>
    <w:rsid w:val="00F2004A"/>
    <w:rsid w:val="00F20F59"/>
    <w:rsid w:val="00F21ABF"/>
    <w:rsid w:val="00F2267A"/>
    <w:rsid w:val="00F2376D"/>
    <w:rsid w:val="00F24162"/>
    <w:rsid w:val="00F24A64"/>
    <w:rsid w:val="00F264AE"/>
    <w:rsid w:val="00F270A8"/>
    <w:rsid w:val="00F270D5"/>
    <w:rsid w:val="00F30E07"/>
    <w:rsid w:val="00F31B8F"/>
    <w:rsid w:val="00F31C0C"/>
    <w:rsid w:val="00F31C40"/>
    <w:rsid w:val="00F3601D"/>
    <w:rsid w:val="00F40799"/>
    <w:rsid w:val="00F41D67"/>
    <w:rsid w:val="00F41E0D"/>
    <w:rsid w:val="00F41F29"/>
    <w:rsid w:val="00F42067"/>
    <w:rsid w:val="00F42911"/>
    <w:rsid w:val="00F42C34"/>
    <w:rsid w:val="00F445DA"/>
    <w:rsid w:val="00F4691B"/>
    <w:rsid w:val="00F46B95"/>
    <w:rsid w:val="00F473CA"/>
    <w:rsid w:val="00F47425"/>
    <w:rsid w:val="00F50D13"/>
    <w:rsid w:val="00F50E40"/>
    <w:rsid w:val="00F50F58"/>
    <w:rsid w:val="00F5301C"/>
    <w:rsid w:val="00F53337"/>
    <w:rsid w:val="00F535B3"/>
    <w:rsid w:val="00F53EA0"/>
    <w:rsid w:val="00F544C0"/>
    <w:rsid w:val="00F54724"/>
    <w:rsid w:val="00F55BDA"/>
    <w:rsid w:val="00F56525"/>
    <w:rsid w:val="00F5692F"/>
    <w:rsid w:val="00F57512"/>
    <w:rsid w:val="00F621B1"/>
    <w:rsid w:val="00F62965"/>
    <w:rsid w:val="00F64D30"/>
    <w:rsid w:val="00F66759"/>
    <w:rsid w:val="00F67648"/>
    <w:rsid w:val="00F70A69"/>
    <w:rsid w:val="00F71402"/>
    <w:rsid w:val="00F71406"/>
    <w:rsid w:val="00F7352F"/>
    <w:rsid w:val="00F74411"/>
    <w:rsid w:val="00F746ED"/>
    <w:rsid w:val="00F75603"/>
    <w:rsid w:val="00F75CE3"/>
    <w:rsid w:val="00F77F7E"/>
    <w:rsid w:val="00F8067D"/>
    <w:rsid w:val="00F815F5"/>
    <w:rsid w:val="00F829F3"/>
    <w:rsid w:val="00F82AD9"/>
    <w:rsid w:val="00F841D8"/>
    <w:rsid w:val="00F85F8E"/>
    <w:rsid w:val="00F86936"/>
    <w:rsid w:val="00F87AA9"/>
    <w:rsid w:val="00F87CFD"/>
    <w:rsid w:val="00F9127D"/>
    <w:rsid w:val="00F936F4"/>
    <w:rsid w:val="00F94401"/>
    <w:rsid w:val="00F94819"/>
    <w:rsid w:val="00F95493"/>
    <w:rsid w:val="00F95E36"/>
    <w:rsid w:val="00F967E1"/>
    <w:rsid w:val="00FA1D97"/>
    <w:rsid w:val="00FA1DD6"/>
    <w:rsid w:val="00FA2C27"/>
    <w:rsid w:val="00FA2FDC"/>
    <w:rsid w:val="00FA4CFC"/>
    <w:rsid w:val="00FA548D"/>
    <w:rsid w:val="00FA58D0"/>
    <w:rsid w:val="00FA6B60"/>
    <w:rsid w:val="00FB038F"/>
    <w:rsid w:val="00FB2169"/>
    <w:rsid w:val="00FB580B"/>
    <w:rsid w:val="00FB5846"/>
    <w:rsid w:val="00FB6675"/>
    <w:rsid w:val="00FB754A"/>
    <w:rsid w:val="00FB7AC3"/>
    <w:rsid w:val="00FC0297"/>
    <w:rsid w:val="00FC0FF1"/>
    <w:rsid w:val="00FC21C6"/>
    <w:rsid w:val="00FC227E"/>
    <w:rsid w:val="00FC293B"/>
    <w:rsid w:val="00FC2F5F"/>
    <w:rsid w:val="00FC36BF"/>
    <w:rsid w:val="00FC5F54"/>
    <w:rsid w:val="00FD01A9"/>
    <w:rsid w:val="00FD0C67"/>
    <w:rsid w:val="00FD0C8D"/>
    <w:rsid w:val="00FD16C2"/>
    <w:rsid w:val="00FD2299"/>
    <w:rsid w:val="00FD2902"/>
    <w:rsid w:val="00FD36A3"/>
    <w:rsid w:val="00FD37C4"/>
    <w:rsid w:val="00FD488F"/>
    <w:rsid w:val="00FD7F63"/>
    <w:rsid w:val="00FE2884"/>
    <w:rsid w:val="00FE565D"/>
    <w:rsid w:val="00FE6747"/>
    <w:rsid w:val="00FE736F"/>
    <w:rsid w:val="00FE7A57"/>
    <w:rsid w:val="00FF203E"/>
    <w:rsid w:val="00FF4395"/>
    <w:rsid w:val="00FF44A6"/>
    <w:rsid w:val="00FF480F"/>
    <w:rsid w:val="00FF48A5"/>
    <w:rsid w:val="010D6029"/>
    <w:rsid w:val="01434F6F"/>
    <w:rsid w:val="017172F8"/>
    <w:rsid w:val="01D3730C"/>
    <w:rsid w:val="0230743B"/>
    <w:rsid w:val="02904AA7"/>
    <w:rsid w:val="02C61390"/>
    <w:rsid w:val="02D506BD"/>
    <w:rsid w:val="038134CC"/>
    <w:rsid w:val="03906443"/>
    <w:rsid w:val="03940723"/>
    <w:rsid w:val="03C24974"/>
    <w:rsid w:val="03D80B70"/>
    <w:rsid w:val="03F92894"/>
    <w:rsid w:val="04F01AEE"/>
    <w:rsid w:val="052C6E78"/>
    <w:rsid w:val="05A66531"/>
    <w:rsid w:val="05C00DB5"/>
    <w:rsid w:val="05EC26B0"/>
    <w:rsid w:val="06450013"/>
    <w:rsid w:val="06D16238"/>
    <w:rsid w:val="07D458B8"/>
    <w:rsid w:val="07DE071F"/>
    <w:rsid w:val="080B2D21"/>
    <w:rsid w:val="087208C6"/>
    <w:rsid w:val="08B62A94"/>
    <w:rsid w:val="08DC141A"/>
    <w:rsid w:val="092C1016"/>
    <w:rsid w:val="09371E95"/>
    <w:rsid w:val="09B620EE"/>
    <w:rsid w:val="09D20D4E"/>
    <w:rsid w:val="09D36862"/>
    <w:rsid w:val="0A4F1714"/>
    <w:rsid w:val="0A653A66"/>
    <w:rsid w:val="0B1C4121"/>
    <w:rsid w:val="0B4453CD"/>
    <w:rsid w:val="0B6B6B54"/>
    <w:rsid w:val="0B941820"/>
    <w:rsid w:val="0BCD6AE0"/>
    <w:rsid w:val="0BF978D5"/>
    <w:rsid w:val="0C0051AC"/>
    <w:rsid w:val="0CA77552"/>
    <w:rsid w:val="0CD20366"/>
    <w:rsid w:val="0CE71E24"/>
    <w:rsid w:val="0D8C0655"/>
    <w:rsid w:val="0DBC0BBA"/>
    <w:rsid w:val="0E5750AC"/>
    <w:rsid w:val="0EE859DF"/>
    <w:rsid w:val="0F3765AA"/>
    <w:rsid w:val="0F4C2CED"/>
    <w:rsid w:val="0F782C3A"/>
    <w:rsid w:val="0F895414"/>
    <w:rsid w:val="0FB4473F"/>
    <w:rsid w:val="0FC71A98"/>
    <w:rsid w:val="10DB57FB"/>
    <w:rsid w:val="11214C8D"/>
    <w:rsid w:val="11827C12"/>
    <w:rsid w:val="118E0AC0"/>
    <w:rsid w:val="11A9612F"/>
    <w:rsid w:val="11AE4CBE"/>
    <w:rsid w:val="11E3680C"/>
    <w:rsid w:val="11EE7541"/>
    <w:rsid w:val="120668A8"/>
    <w:rsid w:val="12A4056F"/>
    <w:rsid w:val="12ED5CBA"/>
    <w:rsid w:val="13081D2B"/>
    <w:rsid w:val="132B616F"/>
    <w:rsid w:val="13935A72"/>
    <w:rsid w:val="13C54541"/>
    <w:rsid w:val="144569B4"/>
    <w:rsid w:val="146747F4"/>
    <w:rsid w:val="149535D9"/>
    <w:rsid w:val="14B613EA"/>
    <w:rsid w:val="14E76E65"/>
    <w:rsid w:val="159440C7"/>
    <w:rsid w:val="162514CB"/>
    <w:rsid w:val="167A5AB7"/>
    <w:rsid w:val="16A151A7"/>
    <w:rsid w:val="16AB7825"/>
    <w:rsid w:val="172A667A"/>
    <w:rsid w:val="178D1819"/>
    <w:rsid w:val="17946704"/>
    <w:rsid w:val="17C43170"/>
    <w:rsid w:val="17CA231C"/>
    <w:rsid w:val="18014A9C"/>
    <w:rsid w:val="183D4890"/>
    <w:rsid w:val="183D54F5"/>
    <w:rsid w:val="1885002D"/>
    <w:rsid w:val="195B617A"/>
    <w:rsid w:val="19650358"/>
    <w:rsid w:val="19CC166E"/>
    <w:rsid w:val="19DE010A"/>
    <w:rsid w:val="1A654346"/>
    <w:rsid w:val="1A9D669C"/>
    <w:rsid w:val="1ABE38FF"/>
    <w:rsid w:val="1AF272B8"/>
    <w:rsid w:val="1B5A7A3E"/>
    <w:rsid w:val="1BEE0D32"/>
    <w:rsid w:val="1C4E0CFD"/>
    <w:rsid w:val="1C7E7DCA"/>
    <w:rsid w:val="1C991316"/>
    <w:rsid w:val="1D3826BE"/>
    <w:rsid w:val="1E6C60F0"/>
    <w:rsid w:val="1E97326C"/>
    <w:rsid w:val="1EC473AE"/>
    <w:rsid w:val="1EC51899"/>
    <w:rsid w:val="1F042089"/>
    <w:rsid w:val="1F06438B"/>
    <w:rsid w:val="1F2F00AB"/>
    <w:rsid w:val="1F686DF4"/>
    <w:rsid w:val="1FBF3856"/>
    <w:rsid w:val="1FF00E7A"/>
    <w:rsid w:val="1FF78C10"/>
    <w:rsid w:val="200225B9"/>
    <w:rsid w:val="20D504B9"/>
    <w:rsid w:val="21377492"/>
    <w:rsid w:val="216D147B"/>
    <w:rsid w:val="22082B72"/>
    <w:rsid w:val="22C6389E"/>
    <w:rsid w:val="23307B1E"/>
    <w:rsid w:val="24184FBB"/>
    <w:rsid w:val="246851A0"/>
    <w:rsid w:val="24E0742D"/>
    <w:rsid w:val="25024FBD"/>
    <w:rsid w:val="25733DFD"/>
    <w:rsid w:val="25FB32CE"/>
    <w:rsid w:val="262C77D1"/>
    <w:rsid w:val="26445799"/>
    <w:rsid w:val="269A4824"/>
    <w:rsid w:val="27335561"/>
    <w:rsid w:val="27544E3E"/>
    <w:rsid w:val="281C4C20"/>
    <w:rsid w:val="28557CD3"/>
    <w:rsid w:val="285F68BA"/>
    <w:rsid w:val="28F37050"/>
    <w:rsid w:val="29B1675B"/>
    <w:rsid w:val="29D02D73"/>
    <w:rsid w:val="2A027E45"/>
    <w:rsid w:val="2A5D0744"/>
    <w:rsid w:val="2A81520E"/>
    <w:rsid w:val="2A96076A"/>
    <w:rsid w:val="2A9700E4"/>
    <w:rsid w:val="2AC26CEB"/>
    <w:rsid w:val="2B04149C"/>
    <w:rsid w:val="2B7803BF"/>
    <w:rsid w:val="2BA07916"/>
    <w:rsid w:val="2BA2639C"/>
    <w:rsid w:val="2BBD2276"/>
    <w:rsid w:val="2C7E2444"/>
    <w:rsid w:val="2CBA079D"/>
    <w:rsid w:val="2D044E58"/>
    <w:rsid w:val="2D822C81"/>
    <w:rsid w:val="2D9C283F"/>
    <w:rsid w:val="2DE312CD"/>
    <w:rsid w:val="2E103F50"/>
    <w:rsid w:val="2E2F5AA5"/>
    <w:rsid w:val="2E960B5C"/>
    <w:rsid w:val="2EB207D8"/>
    <w:rsid w:val="2ED52EBC"/>
    <w:rsid w:val="2F032695"/>
    <w:rsid w:val="2F323E87"/>
    <w:rsid w:val="2F437924"/>
    <w:rsid w:val="2F9E416C"/>
    <w:rsid w:val="2FB13E9F"/>
    <w:rsid w:val="2FBA076E"/>
    <w:rsid w:val="30182170"/>
    <w:rsid w:val="305E56A9"/>
    <w:rsid w:val="318B0E63"/>
    <w:rsid w:val="31CD7B38"/>
    <w:rsid w:val="31E61AB8"/>
    <w:rsid w:val="3227503C"/>
    <w:rsid w:val="3243579E"/>
    <w:rsid w:val="32C65EB4"/>
    <w:rsid w:val="333A7B34"/>
    <w:rsid w:val="334F16BF"/>
    <w:rsid w:val="336254B1"/>
    <w:rsid w:val="34060532"/>
    <w:rsid w:val="34833670"/>
    <w:rsid w:val="34B815B7"/>
    <w:rsid w:val="34BC0279"/>
    <w:rsid w:val="34F30AB6"/>
    <w:rsid w:val="34F54560"/>
    <w:rsid w:val="34FF548A"/>
    <w:rsid w:val="351466BE"/>
    <w:rsid w:val="3545332F"/>
    <w:rsid w:val="35797191"/>
    <w:rsid w:val="357A2A6F"/>
    <w:rsid w:val="36080591"/>
    <w:rsid w:val="36284378"/>
    <w:rsid w:val="365A1830"/>
    <w:rsid w:val="366E326E"/>
    <w:rsid w:val="36BE6EF9"/>
    <w:rsid w:val="370D6FA8"/>
    <w:rsid w:val="37505BC8"/>
    <w:rsid w:val="38443C4C"/>
    <w:rsid w:val="384F0971"/>
    <w:rsid w:val="388B616D"/>
    <w:rsid w:val="38E075A3"/>
    <w:rsid w:val="38E56968"/>
    <w:rsid w:val="39C2535E"/>
    <w:rsid w:val="3A0816C3"/>
    <w:rsid w:val="3A255547"/>
    <w:rsid w:val="3A4F4083"/>
    <w:rsid w:val="3A7A7584"/>
    <w:rsid w:val="3AEB438B"/>
    <w:rsid w:val="3AFE1F63"/>
    <w:rsid w:val="3B33182B"/>
    <w:rsid w:val="3B5A363D"/>
    <w:rsid w:val="3BD06F04"/>
    <w:rsid w:val="3BD92F5C"/>
    <w:rsid w:val="3C2170DA"/>
    <w:rsid w:val="3C217A2C"/>
    <w:rsid w:val="3C2679C3"/>
    <w:rsid w:val="3C2D3D3D"/>
    <w:rsid w:val="3C400554"/>
    <w:rsid w:val="3C8F71B4"/>
    <w:rsid w:val="3C917532"/>
    <w:rsid w:val="3CFA5AF9"/>
    <w:rsid w:val="3D344362"/>
    <w:rsid w:val="3D613F43"/>
    <w:rsid w:val="3DB01C3A"/>
    <w:rsid w:val="3DFF227A"/>
    <w:rsid w:val="3E7D40AA"/>
    <w:rsid w:val="3E7D609F"/>
    <w:rsid w:val="3EAB2402"/>
    <w:rsid w:val="3ECA6D2C"/>
    <w:rsid w:val="3EE54C74"/>
    <w:rsid w:val="3EF773F5"/>
    <w:rsid w:val="3EFB33DD"/>
    <w:rsid w:val="3F0D4E6A"/>
    <w:rsid w:val="3F1B1335"/>
    <w:rsid w:val="3FAC4C43"/>
    <w:rsid w:val="3FB41B5B"/>
    <w:rsid w:val="3FE63280"/>
    <w:rsid w:val="3FFD3F29"/>
    <w:rsid w:val="40152B80"/>
    <w:rsid w:val="402C4912"/>
    <w:rsid w:val="407231D7"/>
    <w:rsid w:val="407A208B"/>
    <w:rsid w:val="40A610D2"/>
    <w:rsid w:val="411B386E"/>
    <w:rsid w:val="412641D3"/>
    <w:rsid w:val="41427867"/>
    <w:rsid w:val="415648A7"/>
    <w:rsid w:val="41904A86"/>
    <w:rsid w:val="42A87239"/>
    <w:rsid w:val="42AA2D76"/>
    <w:rsid w:val="43097F3F"/>
    <w:rsid w:val="43607077"/>
    <w:rsid w:val="43665493"/>
    <w:rsid w:val="436F1C50"/>
    <w:rsid w:val="43F30BD7"/>
    <w:rsid w:val="4483532F"/>
    <w:rsid w:val="45021230"/>
    <w:rsid w:val="4511354B"/>
    <w:rsid w:val="452503B2"/>
    <w:rsid w:val="45513FB7"/>
    <w:rsid w:val="45795A5E"/>
    <w:rsid w:val="45C46CD4"/>
    <w:rsid w:val="45DB3613"/>
    <w:rsid w:val="462015DD"/>
    <w:rsid w:val="464648AD"/>
    <w:rsid w:val="467B1578"/>
    <w:rsid w:val="46B1462A"/>
    <w:rsid w:val="47AC2075"/>
    <w:rsid w:val="47C27818"/>
    <w:rsid w:val="47D772EC"/>
    <w:rsid w:val="48173076"/>
    <w:rsid w:val="489C5993"/>
    <w:rsid w:val="48E77C62"/>
    <w:rsid w:val="493F3D3C"/>
    <w:rsid w:val="495E2FA9"/>
    <w:rsid w:val="495F5AFF"/>
    <w:rsid w:val="497201C2"/>
    <w:rsid w:val="49DC7913"/>
    <w:rsid w:val="4A851D59"/>
    <w:rsid w:val="4AA57A29"/>
    <w:rsid w:val="4AA70EF4"/>
    <w:rsid w:val="4AA87406"/>
    <w:rsid w:val="4AAA17BF"/>
    <w:rsid w:val="4AB80380"/>
    <w:rsid w:val="4BB54AE6"/>
    <w:rsid w:val="4C3D6D8F"/>
    <w:rsid w:val="4CC21F5A"/>
    <w:rsid w:val="4D1A4B10"/>
    <w:rsid w:val="4D2F0E65"/>
    <w:rsid w:val="4D610AC1"/>
    <w:rsid w:val="4E1670D2"/>
    <w:rsid w:val="4E5304AB"/>
    <w:rsid w:val="4EB61EE8"/>
    <w:rsid w:val="4EE625F2"/>
    <w:rsid w:val="4F894099"/>
    <w:rsid w:val="4F9F2A2C"/>
    <w:rsid w:val="50493828"/>
    <w:rsid w:val="504D2FC4"/>
    <w:rsid w:val="50935FBB"/>
    <w:rsid w:val="509947B0"/>
    <w:rsid w:val="50C25C1D"/>
    <w:rsid w:val="5117392E"/>
    <w:rsid w:val="51E93C3E"/>
    <w:rsid w:val="52595776"/>
    <w:rsid w:val="528466EE"/>
    <w:rsid w:val="52931090"/>
    <w:rsid w:val="53327C72"/>
    <w:rsid w:val="53763226"/>
    <w:rsid w:val="539A4AC7"/>
    <w:rsid w:val="53AC47FA"/>
    <w:rsid w:val="53C0543B"/>
    <w:rsid w:val="543137BF"/>
    <w:rsid w:val="543151AE"/>
    <w:rsid w:val="547D389E"/>
    <w:rsid w:val="555969F7"/>
    <w:rsid w:val="55725AA3"/>
    <w:rsid w:val="559C5278"/>
    <w:rsid w:val="5627460C"/>
    <w:rsid w:val="565430EE"/>
    <w:rsid w:val="565B291A"/>
    <w:rsid w:val="567E6273"/>
    <w:rsid w:val="56C04B10"/>
    <w:rsid w:val="56E542AB"/>
    <w:rsid w:val="57430FD1"/>
    <w:rsid w:val="57513363"/>
    <w:rsid w:val="57837A36"/>
    <w:rsid w:val="57B34C76"/>
    <w:rsid w:val="57CF0AB7"/>
    <w:rsid w:val="57DE60B0"/>
    <w:rsid w:val="585A2A77"/>
    <w:rsid w:val="5869181F"/>
    <w:rsid w:val="58831FCD"/>
    <w:rsid w:val="588673C8"/>
    <w:rsid w:val="58DC0E3C"/>
    <w:rsid w:val="58F17F3F"/>
    <w:rsid w:val="594159E5"/>
    <w:rsid w:val="595F2EC7"/>
    <w:rsid w:val="59F55747"/>
    <w:rsid w:val="59F760A3"/>
    <w:rsid w:val="5A554E9A"/>
    <w:rsid w:val="5A78610C"/>
    <w:rsid w:val="5A7A11AE"/>
    <w:rsid w:val="5AB94D49"/>
    <w:rsid w:val="5AC42429"/>
    <w:rsid w:val="5AEB5BFA"/>
    <w:rsid w:val="5B0920E0"/>
    <w:rsid w:val="5B381E80"/>
    <w:rsid w:val="5B762ED9"/>
    <w:rsid w:val="5B857223"/>
    <w:rsid w:val="5C263C5A"/>
    <w:rsid w:val="5C83640C"/>
    <w:rsid w:val="5CBA3AE4"/>
    <w:rsid w:val="5CE92072"/>
    <w:rsid w:val="5D2933F0"/>
    <w:rsid w:val="5DA03A2C"/>
    <w:rsid w:val="5DA72606"/>
    <w:rsid w:val="5DED1C97"/>
    <w:rsid w:val="5E652175"/>
    <w:rsid w:val="5ED928E4"/>
    <w:rsid w:val="5F0E3B0A"/>
    <w:rsid w:val="5F1B08E2"/>
    <w:rsid w:val="5F382DFC"/>
    <w:rsid w:val="5FFA6D98"/>
    <w:rsid w:val="604B5FC0"/>
    <w:rsid w:val="609B1C38"/>
    <w:rsid w:val="617B36EC"/>
    <w:rsid w:val="618F63F7"/>
    <w:rsid w:val="6192139A"/>
    <w:rsid w:val="61A31CC8"/>
    <w:rsid w:val="620935EA"/>
    <w:rsid w:val="625366DC"/>
    <w:rsid w:val="6271733B"/>
    <w:rsid w:val="63083953"/>
    <w:rsid w:val="632C7535"/>
    <w:rsid w:val="634E31D8"/>
    <w:rsid w:val="64782C46"/>
    <w:rsid w:val="64A50241"/>
    <w:rsid w:val="6501334D"/>
    <w:rsid w:val="657D31FC"/>
    <w:rsid w:val="65860873"/>
    <w:rsid w:val="6626795D"/>
    <w:rsid w:val="6657630E"/>
    <w:rsid w:val="66CC49D1"/>
    <w:rsid w:val="66EF6A80"/>
    <w:rsid w:val="672777CC"/>
    <w:rsid w:val="674B003E"/>
    <w:rsid w:val="67734619"/>
    <w:rsid w:val="6780592A"/>
    <w:rsid w:val="67907BB4"/>
    <w:rsid w:val="67B97689"/>
    <w:rsid w:val="67BC718A"/>
    <w:rsid w:val="680016CA"/>
    <w:rsid w:val="682D4409"/>
    <w:rsid w:val="68546E33"/>
    <w:rsid w:val="698239A7"/>
    <w:rsid w:val="698D4197"/>
    <w:rsid w:val="69DA274F"/>
    <w:rsid w:val="69EA12FC"/>
    <w:rsid w:val="6A907990"/>
    <w:rsid w:val="6AE306AA"/>
    <w:rsid w:val="6AF43640"/>
    <w:rsid w:val="6B281ECE"/>
    <w:rsid w:val="6B3F1C8E"/>
    <w:rsid w:val="6BB95AAA"/>
    <w:rsid w:val="6C331CAB"/>
    <w:rsid w:val="6C467142"/>
    <w:rsid w:val="6CEF1588"/>
    <w:rsid w:val="6D0415E7"/>
    <w:rsid w:val="6D117DDD"/>
    <w:rsid w:val="6D45389E"/>
    <w:rsid w:val="6D5633A0"/>
    <w:rsid w:val="6D65075F"/>
    <w:rsid w:val="6D716441"/>
    <w:rsid w:val="6D8C046F"/>
    <w:rsid w:val="6DCC43B7"/>
    <w:rsid w:val="6E3B360C"/>
    <w:rsid w:val="6EA039EE"/>
    <w:rsid w:val="6F015937"/>
    <w:rsid w:val="6F3E505C"/>
    <w:rsid w:val="6FB06CA8"/>
    <w:rsid w:val="6FE0165C"/>
    <w:rsid w:val="70591167"/>
    <w:rsid w:val="70622071"/>
    <w:rsid w:val="70E717C8"/>
    <w:rsid w:val="71356EC7"/>
    <w:rsid w:val="713B3A62"/>
    <w:rsid w:val="719D4BB2"/>
    <w:rsid w:val="72683471"/>
    <w:rsid w:val="72966949"/>
    <w:rsid w:val="72A2709C"/>
    <w:rsid w:val="72D0088C"/>
    <w:rsid w:val="72D645B7"/>
    <w:rsid w:val="72D672DE"/>
    <w:rsid w:val="73126984"/>
    <w:rsid w:val="733712EA"/>
    <w:rsid w:val="7361512A"/>
    <w:rsid w:val="737D44D2"/>
    <w:rsid w:val="73AF6424"/>
    <w:rsid w:val="74000C22"/>
    <w:rsid w:val="740427EC"/>
    <w:rsid w:val="741C6D50"/>
    <w:rsid w:val="7446684B"/>
    <w:rsid w:val="74596E0F"/>
    <w:rsid w:val="747800B5"/>
    <w:rsid w:val="748527D2"/>
    <w:rsid w:val="749B1FF5"/>
    <w:rsid w:val="74C87796"/>
    <w:rsid w:val="74C976B2"/>
    <w:rsid w:val="74D62206"/>
    <w:rsid w:val="74FC0C95"/>
    <w:rsid w:val="750A005E"/>
    <w:rsid w:val="75422471"/>
    <w:rsid w:val="75EA6A7B"/>
    <w:rsid w:val="76424E1E"/>
    <w:rsid w:val="7645039A"/>
    <w:rsid w:val="764C5FBF"/>
    <w:rsid w:val="770037CB"/>
    <w:rsid w:val="77846D48"/>
    <w:rsid w:val="77964B6D"/>
    <w:rsid w:val="77C7427F"/>
    <w:rsid w:val="77F04406"/>
    <w:rsid w:val="78342026"/>
    <w:rsid w:val="783E7785"/>
    <w:rsid w:val="788F1F29"/>
    <w:rsid w:val="78986F77"/>
    <w:rsid w:val="78BE55BC"/>
    <w:rsid w:val="78C22246"/>
    <w:rsid w:val="78C551B2"/>
    <w:rsid w:val="79A67472"/>
    <w:rsid w:val="7A5055CB"/>
    <w:rsid w:val="7A715CD2"/>
    <w:rsid w:val="7ABA17A9"/>
    <w:rsid w:val="7ABD52ED"/>
    <w:rsid w:val="7AE41C87"/>
    <w:rsid w:val="7AF16805"/>
    <w:rsid w:val="7B362A78"/>
    <w:rsid w:val="7B5F3D7C"/>
    <w:rsid w:val="7BDA022F"/>
    <w:rsid w:val="7BFF645A"/>
    <w:rsid w:val="7C396C0C"/>
    <w:rsid w:val="7C7C44BA"/>
    <w:rsid w:val="7D1126D2"/>
    <w:rsid w:val="7D3B25C7"/>
    <w:rsid w:val="7D440F8D"/>
    <w:rsid w:val="7D8E0D65"/>
    <w:rsid w:val="7E3F4D3D"/>
    <w:rsid w:val="7EB158F8"/>
    <w:rsid w:val="7ECA3C03"/>
    <w:rsid w:val="7EFB0260"/>
    <w:rsid w:val="7F4A6AF1"/>
    <w:rsid w:val="7FCD37C2"/>
    <w:rsid w:val="AE3E3350"/>
    <w:rsid w:val="FBE73B7A"/>
    <w:rsid w:val="FDD51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7">
    <w:name w:val="heading 1"/>
    <w:basedOn w:val="1"/>
    <w:next w:val="1"/>
    <w:link w:val="66"/>
    <w:qFormat/>
    <w:uiPriority w:val="0"/>
    <w:pPr>
      <w:keepNext/>
      <w:jc w:val="center"/>
      <w:outlineLvl w:val="0"/>
    </w:pPr>
    <w:rPr>
      <w:b/>
      <w:bCs/>
      <w:sz w:val="24"/>
      <w:szCs w:val="20"/>
    </w:rPr>
  </w:style>
  <w:style w:type="paragraph" w:styleId="8">
    <w:name w:val="heading 2"/>
    <w:basedOn w:val="1"/>
    <w:next w:val="1"/>
    <w:link w:val="67"/>
    <w:qFormat/>
    <w:uiPriority w:val="0"/>
    <w:pPr>
      <w:keepNext/>
      <w:keepLines/>
      <w:spacing w:line="360" w:lineRule="auto"/>
      <w:outlineLvl w:val="1"/>
    </w:pPr>
    <w:rPr>
      <w:rFonts w:ascii="Arial" w:hAnsi="Arial"/>
      <w:b/>
      <w:bCs/>
      <w:sz w:val="24"/>
      <w:szCs w:val="32"/>
    </w:rPr>
  </w:style>
  <w:style w:type="paragraph" w:styleId="9">
    <w:name w:val="heading 3"/>
    <w:basedOn w:val="1"/>
    <w:next w:val="1"/>
    <w:link w:val="68"/>
    <w:qFormat/>
    <w:uiPriority w:val="0"/>
    <w:pPr>
      <w:keepNext/>
      <w:keepLines/>
      <w:spacing w:before="260" w:after="260" w:line="416" w:lineRule="auto"/>
      <w:outlineLvl w:val="2"/>
    </w:pPr>
    <w:rPr>
      <w:b/>
      <w:bCs/>
      <w:sz w:val="32"/>
      <w:szCs w:val="32"/>
    </w:rPr>
  </w:style>
  <w:style w:type="paragraph" w:styleId="10">
    <w:name w:val="heading 4"/>
    <w:basedOn w:val="1"/>
    <w:next w:val="1"/>
    <w:link w:val="69"/>
    <w:qFormat/>
    <w:uiPriority w:val="0"/>
    <w:pPr>
      <w:keepNext/>
      <w:keepLines/>
      <w:spacing w:before="280" w:after="290" w:line="376" w:lineRule="auto"/>
      <w:outlineLvl w:val="3"/>
    </w:pPr>
    <w:rPr>
      <w:rFonts w:ascii="Arial" w:hAnsi="Arial" w:eastAsia="黑体"/>
      <w:b/>
      <w:bCs/>
      <w:sz w:val="28"/>
      <w:szCs w:val="28"/>
    </w:rPr>
  </w:style>
  <w:style w:type="paragraph" w:styleId="11">
    <w:name w:val="heading 5"/>
    <w:basedOn w:val="1"/>
    <w:next w:val="1"/>
    <w:link w:val="70"/>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12">
    <w:name w:val="heading 6"/>
    <w:basedOn w:val="1"/>
    <w:next w:val="1"/>
    <w:link w:val="71"/>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13">
    <w:name w:val="heading 7"/>
    <w:basedOn w:val="1"/>
    <w:next w:val="1"/>
    <w:link w:val="65"/>
    <w:qFormat/>
    <w:uiPriority w:val="0"/>
    <w:pPr>
      <w:keepNext/>
      <w:keepLines/>
      <w:adjustRightInd w:val="0"/>
      <w:spacing w:before="240" w:after="64" w:line="320" w:lineRule="atLeast"/>
      <w:jc w:val="left"/>
      <w:textAlignment w:val="baseline"/>
      <w:outlineLvl w:val="6"/>
    </w:pPr>
    <w:rPr>
      <w:b/>
      <w:bCs/>
      <w:kern w:val="0"/>
      <w:sz w:val="24"/>
    </w:rPr>
  </w:style>
  <w:style w:type="paragraph" w:styleId="14">
    <w:name w:val="heading 8"/>
    <w:basedOn w:val="1"/>
    <w:next w:val="1"/>
    <w:link w:val="72"/>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5">
    <w:name w:val="heading 9"/>
    <w:basedOn w:val="1"/>
    <w:next w:val="1"/>
    <w:link w:val="73"/>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6"/>
    <w:link w:val="91"/>
    <w:qFormat/>
    <w:uiPriority w:val="0"/>
    <w:pPr>
      <w:ind w:firstLine="420" w:firstLineChars="200"/>
    </w:pPr>
  </w:style>
  <w:style w:type="paragraph" w:styleId="3">
    <w:name w:val="Body Text Indent"/>
    <w:basedOn w:val="1"/>
    <w:next w:val="4"/>
    <w:link w:val="79"/>
    <w:qFormat/>
    <w:uiPriority w:val="0"/>
    <w:pPr>
      <w:spacing w:after="120"/>
      <w:ind w:left="420" w:leftChars="200"/>
    </w:pPr>
  </w:style>
  <w:style w:type="paragraph" w:styleId="4">
    <w:name w:val="annotation subject"/>
    <w:basedOn w:val="5"/>
    <w:next w:val="1"/>
    <w:link w:val="90"/>
    <w:qFormat/>
    <w:uiPriority w:val="0"/>
    <w:rPr>
      <w:b/>
      <w:bCs/>
    </w:rPr>
  </w:style>
  <w:style w:type="paragraph" w:styleId="5">
    <w:name w:val="annotation text"/>
    <w:basedOn w:val="1"/>
    <w:link w:val="75"/>
    <w:qFormat/>
    <w:uiPriority w:val="0"/>
    <w:pPr>
      <w:jc w:val="left"/>
    </w:pPr>
  </w:style>
  <w:style w:type="paragraph" w:customStyle="1" w:styleId="6">
    <w:name w:val="正文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6">
    <w:name w:val="toc 7"/>
    <w:basedOn w:val="1"/>
    <w:next w:val="1"/>
    <w:qFormat/>
    <w:uiPriority w:val="0"/>
    <w:pPr>
      <w:ind w:left="2520" w:leftChars="1200"/>
    </w:pPr>
    <w:rPr>
      <w:rFonts w:ascii="Calibri" w:hAnsi="Calibri"/>
      <w:szCs w:val="22"/>
    </w:rPr>
  </w:style>
  <w:style w:type="paragraph" w:styleId="17">
    <w:name w:val="Normal Indent"/>
    <w:basedOn w:val="1"/>
    <w:next w:val="18"/>
    <w:qFormat/>
    <w:uiPriority w:val="0"/>
    <w:pPr>
      <w:widowControl/>
      <w:ind w:firstLine="420"/>
      <w:jc w:val="left"/>
    </w:pPr>
    <w:rPr>
      <w:kern w:val="0"/>
      <w:sz w:val="20"/>
      <w:szCs w:val="20"/>
    </w:rPr>
  </w:style>
  <w:style w:type="paragraph" w:customStyle="1" w:styleId="18">
    <w:name w:val="Default"/>
    <w:basedOn w:val="19"/>
    <w:next w:val="20"/>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9">
    <w:name w:val="纯文本1"/>
    <w:basedOn w:val="1"/>
    <w:qFormat/>
    <w:uiPriority w:val="0"/>
    <w:rPr>
      <w:rFonts w:hint="eastAsia" w:ascii="宋体" w:hAnsi="Courier New"/>
    </w:rPr>
  </w:style>
  <w:style w:type="paragraph" w:styleId="20">
    <w:name w:val="Intense Quote"/>
    <w:basedOn w:val="1"/>
    <w:next w:val="1"/>
    <w:qFormat/>
    <w:uiPriority w:val="0"/>
    <w:pPr>
      <w:pBdr>
        <w:bottom w:val="single" w:color="4F81BD" w:sz="4" w:space="4"/>
      </w:pBdr>
      <w:spacing w:before="200" w:after="280"/>
      <w:ind w:left="936" w:right="936"/>
    </w:pPr>
    <w:rPr>
      <w:b/>
      <w:bCs/>
      <w:i/>
      <w:iCs/>
      <w:color w:val="4F81BD"/>
      <w:kern w:val="0"/>
      <w:sz w:val="20"/>
      <w:szCs w:val="20"/>
    </w:rPr>
  </w:style>
  <w:style w:type="paragraph" w:styleId="21">
    <w:name w:val="caption"/>
    <w:basedOn w:val="1"/>
    <w:next w:val="1"/>
    <w:qFormat/>
    <w:uiPriority w:val="0"/>
    <w:rPr>
      <w:rFonts w:eastAsia="黑体"/>
      <w:sz w:val="20"/>
      <w:szCs w:val="20"/>
    </w:rPr>
  </w:style>
  <w:style w:type="paragraph" w:styleId="22">
    <w:name w:val="Document Map"/>
    <w:basedOn w:val="1"/>
    <w:link w:val="74"/>
    <w:qFormat/>
    <w:uiPriority w:val="0"/>
    <w:pPr>
      <w:shd w:val="clear" w:color="auto" w:fill="000080"/>
    </w:pPr>
  </w:style>
  <w:style w:type="paragraph" w:styleId="23">
    <w:name w:val="Salutation"/>
    <w:basedOn w:val="1"/>
    <w:next w:val="1"/>
    <w:link w:val="76"/>
    <w:qFormat/>
    <w:uiPriority w:val="0"/>
    <w:rPr>
      <w:rFonts w:ascii="仿宋_GB2312" w:eastAsia="仿宋_GB2312"/>
      <w:sz w:val="24"/>
    </w:rPr>
  </w:style>
  <w:style w:type="paragraph" w:styleId="24">
    <w:name w:val="Body Text 3"/>
    <w:basedOn w:val="1"/>
    <w:link w:val="77"/>
    <w:qFormat/>
    <w:uiPriority w:val="0"/>
    <w:pPr>
      <w:autoSpaceDE w:val="0"/>
      <w:autoSpaceDN w:val="0"/>
      <w:adjustRightInd w:val="0"/>
      <w:spacing w:line="410" w:lineRule="atLeast"/>
      <w:jc w:val="left"/>
    </w:pPr>
    <w:rPr>
      <w:rFonts w:ascii="宋体"/>
      <w:color w:val="000000"/>
      <w:kern w:val="0"/>
      <w:sz w:val="24"/>
      <w:szCs w:val="20"/>
    </w:rPr>
  </w:style>
  <w:style w:type="paragraph" w:styleId="25">
    <w:name w:val="Body Text"/>
    <w:basedOn w:val="1"/>
    <w:next w:val="26"/>
    <w:link w:val="78"/>
    <w:qFormat/>
    <w:uiPriority w:val="0"/>
    <w:pPr>
      <w:spacing w:after="120"/>
    </w:pPr>
  </w:style>
  <w:style w:type="paragraph" w:styleId="26">
    <w:name w:val="toc 2"/>
    <w:basedOn w:val="1"/>
    <w:next w:val="1"/>
    <w:qFormat/>
    <w:uiPriority w:val="0"/>
    <w:pPr>
      <w:adjustRightInd w:val="0"/>
      <w:snapToGrid w:val="0"/>
      <w:spacing w:line="360" w:lineRule="auto"/>
      <w:ind w:left="200" w:leftChars="200"/>
    </w:pPr>
    <w:rPr>
      <w:sz w:val="24"/>
    </w:rPr>
  </w:style>
  <w:style w:type="paragraph" w:styleId="27">
    <w:name w:val="Block Text"/>
    <w:basedOn w:val="1"/>
    <w:qFormat/>
    <w:uiPriority w:val="0"/>
    <w:pPr>
      <w:ind w:left="1171" w:right="91" w:hanging="1080"/>
    </w:pPr>
    <w:rPr>
      <w:rFonts w:eastAsia="楷体_GB2312"/>
      <w:szCs w:val="20"/>
    </w:rPr>
  </w:style>
  <w:style w:type="paragraph" w:styleId="28">
    <w:name w:val="toc 5"/>
    <w:basedOn w:val="1"/>
    <w:next w:val="1"/>
    <w:qFormat/>
    <w:uiPriority w:val="0"/>
    <w:pPr>
      <w:ind w:left="1680" w:leftChars="800"/>
    </w:pPr>
    <w:rPr>
      <w:rFonts w:ascii="Calibri" w:hAnsi="Calibri"/>
      <w:szCs w:val="22"/>
    </w:rPr>
  </w:style>
  <w:style w:type="paragraph" w:styleId="29">
    <w:name w:val="toc 3"/>
    <w:basedOn w:val="1"/>
    <w:next w:val="1"/>
    <w:qFormat/>
    <w:uiPriority w:val="0"/>
    <w:pPr>
      <w:adjustRightInd w:val="0"/>
      <w:snapToGrid w:val="0"/>
      <w:spacing w:line="360" w:lineRule="auto"/>
      <w:ind w:left="400" w:leftChars="400"/>
    </w:pPr>
    <w:rPr>
      <w:b/>
      <w:sz w:val="24"/>
    </w:rPr>
  </w:style>
  <w:style w:type="paragraph" w:styleId="30">
    <w:name w:val="Plain Text"/>
    <w:basedOn w:val="1"/>
    <w:link w:val="80"/>
    <w:qFormat/>
    <w:uiPriority w:val="0"/>
    <w:rPr>
      <w:rFonts w:ascii="宋体" w:hAnsi="Courier New" w:cs="Courier New"/>
      <w:szCs w:val="21"/>
    </w:rPr>
  </w:style>
  <w:style w:type="paragraph" w:styleId="31">
    <w:name w:val="toc 8"/>
    <w:basedOn w:val="1"/>
    <w:next w:val="1"/>
    <w:qFormat/>
    <w:uiPriority w:val="0"/>
    <w:pPr>
      <w:ind w:left="2940" w:leftChars="1400"/>
    </w:pPr>
    <w:rPr>
      <w:rFonts w:ascii="Calibri" w:hAnsi="Calibri"/>
      <w:szCs w:val="22"/>
    </w:rPr>
  </w:style>
  <w:style w:type="paragraph" w:styleId="32">
    <w:name w:val="Date"/>
    <w:basedOn w:val="1"/>
    <w:next w:val="1"/>
    <w:link w:val="81"/>
    <w:qFormat/>
    <w:uiPriority w:val="0"/>
    <w:rPr>
      <w:sz w:val="24"/>
      <w:szCs w:val="20"/>
    </w:rPr>
  </w:style>
  <w:style w:type="paragraph" w:styleId="33">
    <w:name w:val="Body Text Indent 2"/>
    <w:basedOn w:val="1"/>
    <w:link w:val="82"/>
    <w:qFormat/>
    <w:uiPriority w:val="0"/>
    <w:pPr>
      <w:spacing w:after="120" w:line="480" w:lineRule="auto"/>
      <w:ind w:left="420" w:leftChars="200"/>
    </w:pPr>
  </w:style>
  <w:style w:type="paragraph" w:styleId="34">
    <w:name w:val="Balloon Text"/>
    <w:basedOn w:val="1"/>
    <w:link w:val="83"/>
    <w:qFormat/>
    <w:uiPriority w:val="0"/>
    <w:rPr>
      <w:rFonts w:ascii="Calibri" w:hAnsi="Calibri"/>
      <w:sz w:val="18"/>
      <w:szCs w:val="18"/>
    </w:rPr>
  </w:style>
  <w:style w:type="paragraph" w:styleId="35">
    <w:name w:val="footer"/>
    <w:basedOn w:val="1"/>
    <w:link w:val="84"/>
    <w:qFormat/>
    <w:uiPriority w:val="0"/>
    <w:pPr>
      <w:tabs>
        <w:tab w:val="center" w:pos="4153"/>
        <w:tab w:val="right" w:pos="8306"/>
      </w:tabs>
      <w:snapToGrid w:val="0"/>
      <w:jc w:val="left"/>
    </w:pPr>
    <w:rPr>
      <w:sz w:val="18"/>
      <w:szCs w:val="18"/>
    </w:rPr>
  </w:style>
  <w:style w:type="paragraph" w:styleId="36">
    <w:name w:val="header"/>
    <w:basedOn w:val="1"/>
    <w:link w:val="85"/>
    <w:qFormat/>
    <w:uiPriority w:val="0"/>
    <w:pPr>
      <w:pBdr>
        <w:bottom w:val="single" w:color="auto" w:sz="6" w:space="1"/>
      </w:pBdr>
      <w:tabs>
        <w:tab w:val="center" w:pos="4153"/>
        <w:tab w:val="right" w:pos="8306"/>
      </w:tabs>
      <w:snapToGrid w:val="0"/>
      <w:jc w:val="center"/>
    </w:pPr>
    <w:rPr>
      <w:sz w:val="18"/>
      <w:szCs w:val="18"/>
    </w:rPr>
  </w:style>
  <w:style w:type="paragraph" w:styleId="37">
    <w:name w:val="toc 1"/>
    <w:basedOn w:val="1"/>
    <w:next w:val="1"/>
    <w:qFormat/>
    <w:uiPriority w:val="0"/>
    <w:pPr>
      <w:tabs>
        <w:tab w:val="left" w:pos="993"/>
        <w:tab w:val="right" w:leader="dot" w:pos="9060"/>
      </w:tabs>
      <w:adjustRightInd w:val="0"/>
      <w:snapToGrid w:val="0"/>
      <w:spacing w:beforeLines="50" w:line="360" w:lineRule="auto"/>
    </w:pPr>
    <w:rPr>
      <w:rFonts w:eastAsia="黑体"/>
      <w:b/>
      <w:sz w:val="28"/>
    </w:rPr>
  </w:style>
  <w:style w:type="paragraph" w:styleId="38">
    <w:name w:val="toc 4"/>
    <w:basedOn w:val="1"/>
    <w:next w:val="1"/>
    <w:qFormat/>
    <w:uiPriority w:val="0"/>
    <w:pPr>
      <w:adjustRightInd w:val="0"/>
      <w:snapToGrid w:val="0"/>
      <w:spacing w:line="360" w:lineRule="auto"/>
      <w:ind w:left="600" w:leftChars="600"/>
    </w:pPr>
  </w:style>
  <w:style w:type="paragraph" w:styleId="39">
    <w:name w:val="toc 6"/>
    <w:basedOn w:val="1"/>
    <w:next w:val="1"/>
    <w:qFormat/>
    <w:uiPriority w:val="0"/>
    <w:pPr>
      <w:ind w:left="2100" w:leftChars="1000"/>
    </w:pPr>
    <w:rPr>
      <w:rFonts w:ascii="Calibri" w:hAnsi="Calibri"/>
      <w:szCs w:val="22"/>
    </w:rPr>
  </w:style>
  <w:style w:type="paragraph" w:styleId="40">
    <w:name w:val="Body Text Indent 3"/>
    <w:basedOn w:val="1"/>
    <w:link w:val="86"/>
    <w:qFormat/>
    <w:uiPriority w:val="0"/>
    <w:pPr>
      <w:spacing w:after="120"/>
      <w:ind w:left="420" w:leftChars="200"/>
    </w:pPr>
    <w:rPr>
      <w:sz w:val="16"/>
      <w:szCs w:val="16"/>
    </w:rPr>
  </w:style>
  <w:style w:type="paragraph" w:styleId="41">
    <w:name w:val="toc 9"/>
    <w:basedOn w:val="1"/>
    <w:next w:val="1"/>
    <w:qFormat/>
    <w:uiPriority w:val="0"/>
    <w:pPr>
      <w:ind w:left="3360" w:leftChars="1600"/>
    </w:pPr>
    <w:rPr>
      <w:rFonts w:ascii="Calibri" w:hAnsi="Calibri"/>
      <w:szCs w:val="22"/>
    </w:rPr>
  </w:style>
  <w:style w:type="paragraph" w:styleId="42">
    <w:name w:val="Body Text 2"/>
    <w:basedOn w:val="1"/>
    <w:link w:val="87"/>
    <w:qFormat/>
    <w:uiPriority w:val="0"/>
    <w:pPr>
      <w:spacing w:after="120" w:line="480" w:lineRule="auto"/>
    </w:pPr>
  </w:style>
  <w:style w:type="paragraph" w:styleId="43">
    <w:name w:val="HTML Preformatted"/>
    <w:basedOn w:val="1"/>
    <w:link w:val="8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44">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5">
    <w:name w:val="index 1"/>
    <w:basedOn w:val="1"/>
    <w:next w:val="1"/>
    <w:qFormat/>
    <w:uiPriority w:val="0"/>
    <w:pPr>
      <w:spacing w:line="220" w:lineRule="exact"/>
      <w:jc w:val="center"/>
    </w:pPr>
    <w:rPr>
      <w:rFonts w:ascii="仿宋_GB2312" w:eastAsia="仿宋_GB2312"/>
      <w:szCs w:val="20"/>
    </w:rPr>
  </w:style>
  <w:style w:type="paragraph" w:styleId="46">
    <w:name w:val="Title"/>
    <w:basedOn w:val="1"/>
    <w:next w:val="1"/>
    <w:link w:val="89"/>
    <w:qFormat/>
    <w:uiPriority w:val="0"/>
    <w:pPr>
      <w:spacing w:before="240" w:after="60"/>
      <w:jc w:val="center"/>
      <w:outlineLvl w:val="0"/>
    </w:pPr>
    <w:rPr>
      <w:rFonts w:ascii="Cambria" w:hAnsi="Cambria"/>
      <w:b/>
      <w:sz w:val="32"/>
    </w:rPr>
  </w:style>
  <w:style w:type="paragraph" w:styleId="47">
    <w:name w:val="Body Text First Indent"/>
    <w:basedOn w:val="25"/>
    <w:next w:val="1"/>
    <w:qFormat/>
    <w:uiPriority w:val="0"/>
    <w:pPr>
      <w:autoSpaceDE w:val="0"/>
      <w:autoSpaceDN w:val="0"/>
      <w:adjustRightInd w:val="0"/>
      <w:spacing w:before="72" w:after="48" w:line="306" w:lineRule="exact"/>
      <w:ind w:firstLine="454" w:firstLineChars="200"/>
      <w:jc w:val="left"/>
    </w:pPr>
    <w:rPr>
      <w:sz w:val="24"/>
    </w:rPr>
  </w:style>
  <w:style w:type="table" w:styleId="49">
    <w:name w:val="Table Grid"/>
    <w:basedOn w:val="48"/>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0"/>
    <w:rPr>
      <w:rFonts w:ascii="Times New Roman" w:hAnsi="Times New Roman" w:eastAsia="宋体" w:cs="Times New Roman"/>
      <w:b/>
      <w:bCs/>
    </w:rPr>
  </w:style>
  <w:style w:type="character" w:styleId="52">
    <w:name w:val="page number"/>
    <w:qFormat/>
    <w:uiPriority w:val="0"/>
    <w:rPr>
      <w:rFonts w:ascii="Times New Roman" w:hAnsi="Times New Roman" w:eastAsia="宋体" w:cs="Times New Roman"/>
    </w:rPr>
  </w:style>
  <w:style w:type="character" w:styleId="53">
    <w:name w:val="FollowedHyperlink"/>
    <w:qFormat/>
    <w:uiPriority w:val="0"/>
    <w:rPr>
      <w:rFonts w:ascii="Times New Roman" w:hAnsi="Times New Roman" w:eastAsia="宋体" w:cs="Times New Roman"/>
      <w:color w:val="800080"/>
      <w:u w:val="single"/>
    </w:rPr>
  </w:style>
  <w:style w:type="character" w:styleId="54">
    <w:name w:val="Emphasis"/>
    <w:qFormat/>
    <w:uiPriority w:val="0"/>
    <w:rPr>
      <w:rFonts w:ascii="Times New Roman" w:hAnsi="Times New Roman" w:eastAsia="宋体" w:cs="Times New Roman"/>
    </w:rPr>
  </w:style>
  <w:style w:type="character" w:styleId="55">
    <w:name w:val="HTML Definition"/>
    <w:qFormat/>
    <w:uiPriority w:val="0"/>
    <w:rPr>
      <w:rFonts w:ascii="Times New Roman" w:hAnsi="Times New Roman" w:eastAsia="宋体" w:cs="Times New Roman"/>
    </w:rPr>
  </w:style>
  <w:style w:type="character" w:styleId="56">
    <w:name w:val="HTML Variable"/>
    <w:qFormat/>
    <w:uiPriority w:val="0"/>
    <w:rPr>
      <w:rFonts w:ascii="Times New Roman" w:hAnsi="Times New Roman" w:eastAsia="宋体" w:cs="Times New Roman"/>
    </w:rPr>
  </w:style>
  <w:style w:type="character" w:styleId="57">
    <w:name w:val="Hyperlink"/>
    <w:qFormat/>
    <w:uiPriority w:val="0"/>
    <w:rPr>
      <w:rFonts w:ascii="Times New Roman" w:hAnsi="Times New Roman" w:eastAsia="宋体" w:cs="Times New Roman"/>
      <w:color w:val="136EC2"/>
      <w:u w:val="single"/>
    </w:rPr>
  </w:style>
  <w:style w:type="character" w:styleId="58">
    <w:name w:val="HTML Code"/>
    <w:qFormat/>
    <w:uiPriority w:val="0"/>
    <w:rPr>
      <w:rFonts w:ascii="Courier New" w:hAnsi="Courier New" w:eastAsia="Courier New" w:cs="Courier New"/>
      <w:sz w:val="20"/>
    </w:rPr>
  </w:style>
  <w:style w:type="character" w:styleId="59">
    <w:name w:val="annotation reference"/>
    <w:qFormat/>
    <w:uiPriority w:val="0"/>
    <w:rPr>
      <w:rFonts w:ascii="Times New Roman" w:hAnsi="Times New Roman" w:eastAsia="宋体" w:cs="Times New Roman"/>
      <w:sz w:val="21"/>
      <w:szCs w:val="21"/>
    </w:rPr>
  </w:style>
  <w:style w:type="character" w:styleId="60">
    <w:name w:val="HTML Cite"/>
    <w:qFormat/>
    <w:uiPriority w:val="0"/>
    <w:rPr>
      <w:rFonts w:ascii="Times New Roman" w:hAnsi="Times New Roman" w:eastAsia="宋体" w:cs="Times New Roman"/>
    </w:rPr>
  </w:style>
  <w:style w:type="character" w:styleId="61">
    <w:name w:val="HTML Keyboard"/>
    <w:qFormat/>
    <w:uiPriority w:val="0"/>
    <w:rPr>
      <w:rFonts w:ascii="Courier New" w:hAnsi="Courier New" w:eastAsia="Courier New" w:cs="Courier New"/>
      <w:sz w:val="20"/>
    </w:rPr>
  </w:style>
  <w:style w:type="character" w:styleId="62">
    <w:name w:val="HTML Sample"/>
    <w:qFormat/>
    <w:uiPriority w:val="0"/>
    <w:rPr>
      <w:rFonts w:ascii="Courier New" w:hAnsi="Courier New" w:eastAsia="Courier New" w:cs="Courier New"/>
    </w:rPr>
  </w:style>
  <w:style w:type="paragraph" w:customStyle="1" w:styleId="63">
    <w:name w:val="列出段落1"/>
    <w:basedOn w:val="64"/>
    <w:next w:val="13"/>
    <w:qFormat/>
    <w:uiPriority w:val="0"/>
    <w:pPr>
      <w:ind w:firstLine="420" w:firstLineChars="200"/>
    </w:pPr>
  </w:style>
  <w:style w:type="paragraph" w:customStyle="1" w:styleId="64">
    <w:name w:val="正文_10_43"/>
    <w:qFormat/>
    <w:uiPriority w:val="0"/>
    <w:pPr>
      <w:widowControl w:val="0"/>
      <w:jc w:val="both"/>
    </w:pPr>
    <w:rPr>
      <w:rFonts w:ascii="Calibri" w:hAnsi="Calibri" w:eastAsia="宋体" w:cs="Times New Roman"/>
      <w:kern w:val="2"/>
      <w:sz w:val="24"/>
      <w:szCs w:val="22"/>
      <w:lang w:val="en-US" w:eastAsia="zh-CN" w:bidi="ar-SA"/>
    </w:rPr>
  </w:style>
  <w:style w:type="character" w:customStyle="1" w:styleId="65">
    <w:name w:val="标题 7 字符"/>
    <w:link w:val="13"/>
    <w:qFormat/>
    <w:uiPriority w:val="0"/>
    <w:rPr>
      <w:rFonts w:ascii="Times New Roman" w:hAnsi="Times New Roman" w:eastAsia="宋体" w:cs="Times New Roman"/>
      <w:b/>
      <w:bCs/>
      <w:sz w:val="24"/>
      <w:szCs w:val="24"/>
      <w:lang w:val="en-US" w:eastAsia="zh-CN" w:bidi="ar-SA"/>
    </w:rPr>
  </w:style>
  <w:style w:type="character" w:customStyle="1" w:styleId="66">
    <w:name w:val="标题 1 字符"/>
    <w:link w:val="7"/>
    <w:qFormat/>
    <w:uiPriority w:val="0"/>
    <w:rPr>
      <w:rFonts w:ascii="Times New Roman" w:hAnsi="Times New Roman" w:eastAsia="宋体" w:cs="Times New Roman"/>
      <w:b/>
      <w:bCs/>
      <w:kern w:val="2"/>
      <w:sz w:val="24"/>
      <w:lang w:val="en-US" w:eastAsia="zh-CN" w:bidi="ar-SA"/>
    </w:rPr>
  </w:style>
  <w:style w:type="character" w:customStyle="1" w:styleId="67">
    <w:name w:val="标题 2 字符"/>
    <w:link w:val="8"/>
    <w:qFormat/>
    <w:uiPriority w:val="0"/>
    <w:rPr>
      <w:rFonts w:ascii="Arial" w:hAnsi="Arial" w:eastAsia="宋体" w:cs="Times New Roman"/>
      <w:b/>
      <w:bCs/>
      <w:kern w:val="2"/>
      <w:sz w:val="24"/>
      <w:szCs w:val="32"/>
      <w:lang w:val="en-US" w:eastAsia="zh-CN" w:bidi="ar-SA"/>
    </w:rPr>
  </w:style>
  <w:style w:type="character" w:customStyle="1" w:styleId="68">
    <w:name w:val="标题 3 字符"/>
    <w:link w:val="9"/>
    <w:qFormat/>
    <w:uiPriority w:val="0"/>
    <w:rPr>
      <w:rFonts w:ascii="Times New Roman" w:hAnsi="Times New Roman" w:eastAsia="宋体" w:cs="Times New Roman"/>
      <w:b/>
      <w:bCs/>
      <w:kern w:val="2"/>
      <w:sz w:val="32"/>
      <w:szCs w:val="32"/>
      <w:lang w:val="en-US" w:eastAsia="zh-CN" w:bidi="ar-SA"/>
    </w:rPr>
  </w:style>
  <w:style w:type="character" w:customStyle="1" w:styleId="69">
    <w:name w:val="标题 4 字符"/>
    <w:link w:val="10"/>
    <w:qFormat/>
    <w:uiPriority w:val="0"/>
    <w:rPr>
      <w:rFonts w:ascii="Arial" w:hAnsi="Arial" w:eastAsia="黑体" w:cs="Times New Roman"/>
      <w:b/>
      <w:bCs/>
      <w:kern w:val="2"/>
      <w:sz w:val="28"/>
      <w:szCs w:val="28"/>
      <w:lang w:val="en-US" w:eastAsia="zh-CN" w:bidi="ar-SA"/>
    </w:rPr>
  </w:style>
  <w:style w:type="character" w:customStyle="1" w:styleId="70">
    <w:name w:val="标题 5 字符"/>
    <w:link w:val="11"/>
    <w:qFormat/>
    <w:uiPriority w:val="0"/>
    <w:rPr>
      <w:rFonts w:ascii="Times New Roman" w:hAnsi="Times New Roman" w:eastAsia="宋体" w:cs="Times New Roman"/>
      <w:b/>
      <w:bCs/>
      <w:sz w:val="28"/>
      <w:szCs w:val="28"/>
      <w:lang w:val="en-US" w:eastAsia="zh-CN" w:bidi="ar-SA"/>
    </w:rPr>
  </w:style>
  <w:style w:type="character" w:customStyle="1" w:styleId="71">
    <w:name w:val="标题 6 字符"/>
    <w:link w:val="12"/>
    <w:qFormat/>
    <w:uiPriority w:val="0"/>
    <w:rPr>
      <w:rFonts w:ascii="Arial" w:hAnsi="Arial" w:eastAsia="黑体" w:cs="Times New Roman"/>
      <w:b/>
      <w:bCs/>
      <w:sz w:val="24"/>
      <w:szCs w:val="24"/>
      <w:lang w:val="en-US" w:eastAsia="zh-CN" w:bidi="ar-SA"/>
    </w:rPr>
  </w:style>
  <w:style w:type="character" w:customStyle="1" w:styleId="72">
    <w:name w:val="标题 8 字符"/>
    <w:link w:val="14"/>
    <w:qFormat/>
    <w:uiPriority w:val="0"/>
    <w:rPr>
      <w:rFonts w:ascii="Arial" w:hAnsi="Arial" w:eastAsia="黑体" w:cs="Times New Roman"/>
      <w:sz w:val="24"/>
      <w:szCs w:val="24"/>
      <w:lang w:val="en-US" w:eastAsia="zh-CN" w:bidi="ar-SA"/>
    </w:rPr>
  </w:style>
  <w:style w:type="character" w:customStyle="1" w:styleId="73">
    <w:name w:val="标题 9 字符"/>
    <w:link w:val="15"/>
    <w:qFormat/>
    <w:uiPriority w:val="0"/>
    <w:rPr>
      <w:rFonts w:ascii="Arial" w:hAnsi="Arial" w:eastAsia="黑体" w:cs="Times New Roman"/>
      <w:sz w:val="21"/>
      <w:szCs w:val="21"/>
      <w:lang w:val="en-US" w:eastAsia="zh-CN" w:bidi="ar-SA"/>
    </w:rPr>
  </w:style>
  <w:style w:type="character" w:customStyle="1" w:styleId="74">
    <w:name w:val="文档结构图 字符"/>
    <w:link w:val="22"/>
    <w:qFormat/>
    <w:uiPriority w:val="0"/>
    <w:rPr>
      <w:rFonts w:ascii="Times New Roman" w:hAnsi="Times New Roman" w:eastAsia="宋体" w:cs="Times New Roman"/>
      <w:kern w:val="2"/>
      <w:sz w:val="21"/>
      <w:szCs w:val="24"/>
      <w:shd w:val="clear" w:color="auto" w:fill="000080"/>
    </w:rPr>
  </w:style>
  <w:style w:type="character" w:customStyle="1" w:styleId="75">
    <w:name w:val="批注文字 字符"/>
    <w:link w:val="5"/>
    <w:qFormat/>
    <w:uiPriority w:val="0"/>
    <w:rPr>
      <w:rFonts w:ascii="Times New Roman" w:hAnsi="Times New Roman" w:eastAsia="宋体" w:cs="Times New Roman"/>
      <w:kern w:val="2"/>
      <w:sz w:val="21"/>
      <w:szCs w:val="24"/>
      <w:lang w:val="en-US" w:eastAsia="zh-CN" w:bidi="ar-SA"/>
    </w:rPr>
  </w:style>
  <w:style w:type="character" w:customStyle="1" w:styleId="76">
    <w:name w:val="称呼 字符"/>
    <w:link w:val="23"/>
    <w:qFormat/>
    <w:uiPriority w:val="0"/>
    <w:rPr>
      <w:rFonts w:ascii="仿宋_GB2312" w:hAnsi="Times New Roman" w:eastAsia="仿宋_GB2312" w:cs="Times New Roman"/>
      <w:kern w:val="2"/>
      <w:sz w:val="24"/>
      <w:szCs w:val="24"/>
    </w:rPr>
  </w:style>
  <w:style w:type="character" w:customStyle="1" w:styleId="77">
    <w:name w:val="正文文本 3 字符"/>
    <w:link w:val="24"/>
    <w:qFormat/>
    <w:uiPriority w:val="0"/>
    <w:rPr>
      <w:rFonts w:ascii="宋体" w:hAnsi="Times New Roman" w:eastAsia="宋体" w:cs="Times New Roman"/>
      <w:color w:val="000000"/>
      <w:sz w:val="24"/>
    </w:rPr>
  </w:style>
  <w:style w:type="character" w:customStyle="1" w:styleId="78">
    <w:name w:val="正文文本 字符"/>
    <w:link w:val="25"/>
    <w:qFormat/>
    <w:uiPriority w:val="0"/>
    <w:rPr>
      <w:rFonts w:ascii="Times New Roman" w:hAnsi="Times New Roman" w:eastAsia="宋体" w:cs="Times New Roman"/>
      <w:kern w:val="2"/>
      <w:sz w:val="21"/>
      <w:szCs w:val="24"/>
    </w:rPr>
  </w:style>
  <w:style w:type="character" w:customStyle="1" w:styleId="79">
    <w:name w:val="正文文本缩进 字符"/>
    <w:link w:val="3"/>
    <w:qFormat/>
    <w:uiPriority w:val="0"/>
    <w:rPr>
      <w:rFonts w:ascii="Times New Roman" w:hAnsi="Times New Roman" w:eastAsia="宋体" w:cs="Times New Roman"/>
      <w:kern w:val="2"/>
      <w:sz w:val="21"/>
      <w:szCs w:val="24"/>
      <w:lang w:val="en-US" w:eastAsia="zh-CN" w:bidi="ar-SA"/>
    </w:rPr>
  </w:style>
  <w:style w:type="character" w:customStyle="1" w:styleId="80">
    <w:name w:val="纯文本 字符1"/>
    <w:link w:val="30"/>
    <w:qFormat/>
    <w:uiPriority w:val="0"/>
    <w:rPr>
      <w:rFonts w:ascii="宋体" w:hAnsi="Courier New" w:eastAsia="宋体" w:cs="Courier New"/>
      <w:kern w:val="2"/>
      <w:sz w:val="21"/>
      <w:szCs w:val="21"/>
      <w:lang w:val="en-US" w:eastAsia="zh-CN" w:bidi="ar-SA"/>
    </w:rPr>
  </w:style>
  <w:style w:type="character" w:customStyle="1" w:styleId="81">
    <w:name w:val="日期 字符"/>
    <w:link w:val="32"/>
    <w:qFormat/>
    <w:uiPriority w:val="0"/>
    <w:rPr>
      <w:rFonts w:ascii="Times New Roman" w:hAnsi="Times New Roman" w:eastAsia="宋体" w:cs="Times New Roman"/>
      <w:kern w:val="2"/>
      <w:sz w:val="24"/>
      <w:lang w:val="en-US" w:eastAsia="zh-CN" w:bidi="ar-SA"/>
    </w:rPr>
  </w:style>
  <w:style w:type="character" w:customStyle="1" w:styleId="82">
    <w:name w:val="正文文本缩进 2 字符"/>
    <w:link w:val="33"/>
    <w:qFormat/>
    <w:uiPriority w:val="0"/>
    <w:rPr>
      <w:rFonts w:ascii="Times New Roman" w:hAnsi="Times New Roman" w:eastAsia="宋体" w:cs="Times New Roman"/>
      <w:kern w:val="2"/>
      <w:sz w:val="21"/>
      <w:szCs w:val="24"/>
    </w:rPr>
  </w:style>
  <w:style w:type="character" w:customStyle="1" w:styleId="83">
    <w:name w:val="批注框文本 字符"/>
    <w:link w:val="34"/>
    <w:qFormat/>
    <w:uiPriority w:val="0"/>
    <w:rPr>
      <w:rFonts w:ascii="Calibri" w:hAnsi="Calibri" w:eastAsia="宋体" w:cs="Times New Roman"/>
      <w:kern w:val="2"/>
      <w:sz w:val="18"/>
      <w:szCs w:val="18"/>
      <w:lang w:val="en-US" w:eastAsia="zh-CN" w:bidi="ar-SA"/>
    </w:rPr>
  </w:style>
  <w:style w:type="character" w:customStyle="1" w:styleId="84">
    <w:name w:val="页脚 字符1"/>
    <w:link w:val="35"/>
    <w:qFormat/>
    <w:uiPriority w:val="0"/>
    <w:rPr>
      <w:rFonts w:ascii="Times New Roman" w:hAnsi="Times New Roman" w:eastAsia="宋体" w:cs="Times New Roman"/>
      <w:kern w:val="2"/>
      <w:sz w:val="18"/>
      <w:szCs w:val="18"/>
      <w:lang w:val="en-US" w:eastAsia="zh-CN" w:bidi="ar-SA"/>
    </w:rPr>
  </w:style>
  <w:style w:type="character" w:customStyle="1" w:styleId="85">
    <w:name w:val="页眉 字符"/>
    <w:link w:val="36"/>
    <w:qFormat/>
    <w:uiPriority w:val="0"/>
    <w:rPr>
      <w:rFonts w:ascii="Times New Roman" w:hAnsi="Times New Roman" w:eastAsia="宋体" w:cs="Times New Roman"/>
      <w:kern w:val="2"/>
      <w:sz w:val="18"/>
      <w:szCs w:val="18"/>
      <w:lang w:val="en-US" w:eastAsia="zh-CN" w:bidi="ar-SA"/>
    </w:rPr>
  </w:style>
  <w:style w:type="character" w:customStyle="1" w:styleId="86">
    <w:name w:val="正文文本缩进 3 字符"/>
    <w:link w:val="40"/>
    <w:qFormat/>
    <w:uiPriority w:val="0"/>
    <w:rPr>
      <w:rFonts w:ascii="Times New Roman" w:hAnsi="Times New Roman" w:eastAsia="宋体" w:cs="Times New Roman"/>
      <w:kern w:val="2"/>
      <w:sz w:val="16"/>
      <w:szCs w:val="16"/>
      <w:lang w:val="en-US" w:eastAsia="zh-CN" w:bidi="ar-SA"/>
    </w:rPr>
  </w:style>
  <w:style w:type="character" w:customStyle="1" w:styleId="87">
    <w:name w:val="正文文本 2 字符"/>
    <w:link w:val="42"/>
    <w:qFormat/>
    <w:uiPriority w:val="0"/>
    <w:rPr>
      <w:rFonts w:ascii="Times New Roman" w:hAnsi="Times New Roman" w:eastAsia="宋体" w:cs="Times New Roman"/>
      <w:kern w:val="2"/>
      <w:sz w:val="21"/>
      <w:szCs w:val="24"/>
    </w:rPr>
  </w:style>
  <w:style w:type="character" w:customStyle="1" w:styleId="88">
    <w:name w:val="HTML 预设格式 字符"/>
    <w:link w:val="43"/>
    <w:qFormat/>
    <w:uiPriority w:val="0"/>
    <w:rPr>
      <w:rFonts w:ascii="Arial" w:hAnsi="Arial" w:eastAsia="宋体" w:cs="Arial"/>
      <w:sz w:val="24"/>
      <w:szCs w:val="24"/>
    </w:rPr>
  </w:style>
  <w:style w:type="character" w:customStyle="1" w:styleId="89">
    <w:name w:val="标题 字符"/>
    <w:link w:val="46"/>
    <w:qFormat/>
    <w:uiPriority w:val="0"/>
    <w:rPr>
      <w:rFonts w:ascii="Cambria" w:hAnsi="Cambria" w:eastAsia="宋体" w:cs="Times New Roman"/>
      <w:b/>
      <w:kern w:val="2"/>
      <w:sz w:val="32"/>
      <w:szCs w:val="24"/>
    </w:rPr>
  </w:style>
  <w:style w:type="character" w:customStyle="1" w:styleId="90">
    <w:name w:val="批注主题 字符"/>
    <w:link w:val="4"/>
    <w:qFormat/>
    <w:uiPriority w:val="0"/>
    <w:rPr>
      <w:rFonts w:ascii="Times New Roman" w:hAnsi="Times New Roman" w:eastAsia="宋体" w:cs="Times New Roman"/>
      <w:b/>
      <w:bCs/>
      <w:kern w:val="2"/>
      <w:sz w:val="21"/>
      <w:szCs w:val="24"/>
      <w:lang w:val="en-US" w:eastAsia="zh-CN" w:bidi="ar-SA"/>
    </w:rPr>
  </w:style>
  <w:style w:type="character" w:customStyle="1" w:styleId="91">
    <w:name w:val="正文文本首行缩进 2 字符"/>
    <w:link w:val="2"/>
    <w:qFormat/>
    <w:uiPriority w:val="0"/>
    <w:rPr>
      <w:rFonts w:ascii="Times New Roman" w:hAnsi="Times New Roman" w:eastAsia="宋体" w:cs="Times New Roman"/>
      <w:kern w:val="2"/>
      <w:sz w:val="21"/>
      <w:szCs w:val="24"/>
      <w:lang w:val="en-US" w:eastAsia="zh-CN" w:bidi="ar-SA"/>
    </w:rPr>
  </w:style>
  <w:style w:type="paragraph" w:customStyle="1" w:styleId="92">
    <w:name w:val="标题 7_0"/>
    <w:next w:val="93"/>
    <w:qFormat/>
    <w:uiPriority w:val="0"/>
    <w:pPr>
      <w:keepNext/>
      <w:keepLines/>
      <w:widowControl w:val="0"/>
      <w:adjustRightInd w:val="0"/>
      <w:spacing w:before="240" w:after="64" w:line="320" w:lineRule="atLeast"/>
      <w:textAlignment w:val="baseline"/>
      <w:outlineLvl w:val="6"/>
    </w:pPr>
    <w:rPr>
      <w:rFonts w:ascii="Times New Roman" w:hAnsi="Times New Roman" w:eastAsia="宋体" w:cs="Times New Roman"/>
      <w:b/>
      <w:bCs/>
      <w:sz w:val="24"/>
      <w:szCs w:val="24"/>
      <w:lang w:val="en-US" w:eastAsia="zh-CN" w:bidi="ar-SA"/>
    </w:rPr>
  </w:style>
  <w:style w:type="paragraph" w:customStyle="1" w:styleId="93">
    <w:name w:val="正文_0_0"/>
    <w:next w:val="6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4">
    <w:name w:val="retrait2"/>
    <w:basedOn w:val="1"/>
    <w:qFormat/>
    <w:uiPriority w:val="0"/>
    <w:pPr>
      <w:widowControl/>
      <w:spacing w:before="20" w:after="20"/>
      <w:ind w:left="567"/>
      <w:jc w:val="left"/>
    </w:pPr>
    <w:rPr>
      <w:rFonts w:ascii="Arial" w:hAnsi="Arial"/>
      <w:kern w:val="0"/>
      <w:sz w:val="24"/>
      <w:szCs w:val="20"/>
      <w:lang w:val="en-GB" w:eastAsia="en-US"/>
    </w:rPr>
  </w:style>
  <w:style w:type="paragraph" w:customStyle="1" w:styleId="95">
    <w:name w:val="Puce1"/>
    <w:basedOn w:val="94"/>
    <w:qFormat/>
    <w:uiPriority w:val="0"/>
    <w:pPr>
      <w:numPr>
        <w:ilvl w:val="0"/>
        <w:numId w:val="1"/>
      </w:numPr>
      <w:tabs>
        <w:tab w:val="left" w:pos="625"/>
      </w:tabs>
      <w:spacing w:before="60" w:after="60"/>
      <w:ind w:left="1135" w:hanging="284"/>
    </w:pPr>
    <w:rPr>
      <w:rFonts w:ascii="Times New Roman" w:hAnsi="Times New Roman"/>
    </w:rPr>
  </w:style>
  <w:style w:type="paragraph" w:customStyle="1" w:styleId="96">
    <w:name w:val="文章正文"/>
    <w:basedOn w:val="1"/>
    <w:qFormat/>
    <w:uiPriority w:val="0"/>
    <w:pPr>
      <w:adjustRightInd w:val="0"/>
      <w:snapToGrid w:val="0"/>
      <w:spacing w:beforeLines="100" w:line="360" w:lineRule="auto"/>
      <w:ind w:firstLine="200" w:firstLineChars="200"/>
    </w:pPr>
    <w:rPr>
      <w:sz w:val="24"/>
      <w:szCs w:val="22"/>
    </w:rPr>
  </w:style>
  <w:style w:type="character" w:customStyle="1" w:styleId="97">
    <w:name w:val="p0 Char"/>
    <w:link w:val="98"/>
    <w:qFormat/>
    <w:uiPriority w:val="0"/>
    <w:rPr>
      <w:rFonts w:ascii="Times New Roman" w:hAnsi="Times New Roman" w:eastAsia="宋体" w:cs="Times New Roman"/>
      <w:sz w:val="21"/>
      <w:szCs w:val="21"/>
      <w:lang w:val="en-US" w:eastAsia="zh-CN" w:bidi="ar-SA"/>
    </w:rPr>
  </w:style>
  <w:style w:type="paragraph" w:customStyle="1" w:styleId="98">
    <w:name w:val="p0"/>
    <w:basedOn w:val="1"/>
    <w:link w:val="97"/>
    <w:qFormat/>
    <w:uiPriority w:val="0"/>
    <w:pPr>
      <w:widowControl/>
    </w:pPr>
    <w:rPr>
      <w:kern w:val="0"/>
      <w:szCs w:val="21"/>
    </w:rPr>
  </w:style>
  <w:style w:type="character" w:customStyle="1" w:styleId="99">
    <w:name w:val="fontstyle01"/>
    <w:qFormat/>
    <w:uiPriority w:val="0"/>
    <w:rPr>
      <w:rFonts w:hint="eastAsia" w:ascii="宋体" w:hAnsi="宋体" w:eastAsia="宋体" w:cs="Times New Roman"/>
      <w:color w:val="000000"/>
      <w:sz w:val="24"/>
      <w:szCs w:val="24"/>
    </w:rPr>
  </w:style>
  <w:style w:type="paragraph" w:customStyle="1" w:styleId="100">
    <w:name w:val="标题6"/>
    <w:basedOn w:val="1"/>
    <w:next w:val="1"/>
    <w:qFormat/>
    <w:uiPriority w:val="0"/>
    <w:pPr>
      <w:contextualSpacing/>
    </w:pPr>
  </w:style>
  <w:style w:type="character" w:customStyle="1" w:styleId="101">
    <w:name w:val="标题 2 Char"/>
    <w:qFormat/>
    <w:uiPriority w:val="0"/>
    <w:rPr>
      <w:rFonts w:ascii="Cambria" w:hAnsi="Cambria" w:eastAsia="宋体" w:cs="Times New Roman"/>
      <w:b/>
      <w:bCs/>
      <w:kern w:val="2"/>
      <w:sz w:val="32"/>
      <w:szCs w:val="32"/>
    </w:rPr>
  </w:style>
  <w:style w:type="paragraph" w:customStyle="1" w:styleId="102">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character" w:customStyle="1" w:styleId="103">
    <w:name w:val="sidecatalog-dot"/>
    <w:qFormat/>
    <w:uiPriority w:val="0"/>
    <w:rPr>
      <w:rFonts w:ascii="Times New Roman" w:hAnsi="Times New Roman" w:eastAsia="宋体" w:cs="Times New Roman"/>
    </w:rPr>
  </w:style>
  <w:style w:type="character" w:customStyle="1" w:styleId="104">
    <w:name w:val="标题 Char1"/>
    <w:qFormat/>
    <w:uiPriority w:val="0"/>
    <w:rPr>
      <w:rFonts w:ascii="Cambria" w:hAnsi="Cambria" w:eastAsia="宋体" w:cs="Times New Roman"/>
      <w:b/>
      <w:bCs/>
      <w:sz w:val="32"/>
      <w:szCs w:val="32"/>
    </w:rPr>
  </w:style>
  <w:style w:type="character" w:customStyle="1" w:styleId="105">
    <w:name w:val="Font Style123"/>
    <w:qFormat/>
    <w:uiPriority w:val="0"/>
    <w:rPr>
      <w:rFonts w:hint="eastAsia" w:ascii="宋体" w:hAnsi="宋体" w:eastAsia="宋体" w:cs="Times New Roman"/>
      <w:b/>
      <w:sz w:val="32"/>
    </w:rPr>
  </w:style>
  <w:style w:type="character" w:customStyle="1" w:styleId="106">
    <w:name w:val="font11"/>
    <w:qFormat/>
    <w:uiPriority w:val="0"/>
    <w:rPr>
      <w:rFonts w:hint="eastAsia" w:ascii="宋体" w:hAnsi="宋体" w:eastAsia="宋体" w:cs="宋体"/>
      <w:color w:val="000000"/>
      <w:sz w:val="28"/>
      <w:szCs w:val="28"/>
      <w:u w:val="none"/>
    </w:rPr>
  </w:style>
  <w:style w:type="character" w:customStyle="1" w:styleId="107">
    <w:name w:val="sort1"/>
    <w:qFormat/>
    <w:uiPriority w:val="0"/>
    <w:rPr>
      <w:rFonts w:ascii="Times New Roman" w:hAnsi="Times New Roman" w:eastAsia="宋体" w:cs="Times New Roman"/>
    </w:rPr>
  </w:style>
  <w:style w:type="character" w:customStyle="1" w:styleId="108">
    <w:name w:val="页脚 Char"/>
    <w:qFormat/>
    <w:uiPriority w:val="0"/>
    <w:rPr>
      <w:rFonts w:ascii="Times New Roman" w:hAnsi="Times New Roman" w:eastAsia="宋体" w:cs="Times New Roman"/>
      <w:kern w:val="2"/>
      <w:sz w:val="18"/>
      <w:szCs w:val="18"/>
    </w:rPr>
  </w:style>
  <w:style w:type="character" w:customStyle="1" w:styleId="109">
    <w:name w:val="标题 3 Char"/>
    <w:qFormat/>
    <w:uiPriority w:val="0"/>
    <w:rPr>
      <w:rFonts w:ascii="Times New Roman" w:hAnsi="Times New Roman" w:eastAsia="宋体" w:cs="Times New Roman"/>
      <w:b/>
      <w:bCs/>
      <w:sz w:val="24"/>
      <w:szCs w:val="24"/>
    </w:rPr>
  </w:style>
  <w:style w:type="character" w:customStyle="1" w:styleId="110">
    <w:name w:val="Font Style105"/>
    <w:qFormat/>
    <w:uiPriority w:val="0"/>
    <w:rPr>
      <w:rFonts w:hint="eastAsia" w:ascii="Times New Roman" w:hAnsi="Times New Roman" w:eastAsia="Times New Roman" w:cs="Times New Roman"/>
      <w:w w:val="60"/>
      <w:sz w:val="26"/>
    </w:rPr>
  </w:style>
  <w:style w:type="character" w:customStyle="1" w:styleId="111">
    <w:name w:val="标题 9 Char"/>
    <w:qFormat/>
    <w:uiPriority w:val="0"/>
    <w:rPr>
      <w:rFonts w:ascii="Arial" w:hAnsi="Arial" w:eastAsia="黑体" w:cs="Times New Roman"/>
      <w:sz w:val="21"/>
      <w:szCs w:val="21"/>
    </w:rPr>
  </w:style>
  <w:style w:type="character" w:customStyle="1" w:styleId="112">
    <w:name w:val="标题 7 Char"/>
    <w:qFormat/>
    <w:uiPriority w:val="0"/>
    <w:rPr>
      <w:rFonts w:ascii="Times New Roman" w:hAnsi="Times New Roman" w:eastAsia="宋体" w:cs="Times New Roman"/>
      <w:b/>
      <w:bCs/>
      <w:sz w:val="24"/>
      <w:szCs w:val="24"/>
    </w:rPr>
  </w:style>
  <w:style w:type="character" w:customStyle="1" w:styleId="113">
    <w:name w:val="批注文字 Char Char"/>
    <w:qFormat/>
    <w:uiPriority w:val="0"/>
    <w:rPr>
      <w:rFonts w:ascii="Times New Roman" w:hAnsi="Times New Roman" w:eastAsia="宋体" w:cs="Times New Roman"/>
      <w:kern w:val="2"/>
      <w:sz w:val="21"/>
      <w:szCs w:val="24"/>
      <w:lang w:bidi="ar-SA"/>
    </w:rPr>
  </w:style>
  <w:style w:type="character" w:customStyle="1" w:styleId="114">
    <w:name w:val="Font Style104"/>
    <w:qFormat/>
    <w:uiPriority w:val="0"/>
    <w:rPr>
      <w:rFonts w:hint="eastAsia" w:ascii="宋体" w:hAnsi="宋体" w:eastAsia="宋体" w:cs="Times New Roman"/>
      <w:spacing w:val="30"/>
      <w:sz w:val="18"/>
    </w:rPr>
  </w:style>
  <w:style w:type="character" w:customStyle="1" w:styleId="115">
    <w:name w:val="Font Style134"/>
    <w:qFormat/>
    <w:uiPriority w:val="0"/>
    <w:rPr>
      <w:rFonts w:hint="eastAsia" w:ascii="宋体" w:hAnsi="宋体" w:eastAsia="宋体" w:cs="Times New Roman"/>
      <w:spacing w:val="20"/>
      <w:sz w:val="22"/>
    </w:rPr>
  </w:style>
  <w:style w:type="character" w:customStyle="1" w:styleId="116">
    <w:name w:val="标题 4 Char"/>
    <w:qFormat/>
    <w:uiPriority w:val="0"/>
    <w:rPr>
      <w:rFonts w:ascii="Arial" w:hAnsi="Arial" w:eastAsia="宋体" w:cs="Times New Roman"/>
      <w:b/>
      <w:bCs/>
      <w:szCs w:val="28"/>
    </w:rPr>
  </w:style>
  <w:style w:type="character" w:customStyle="1" w:styleId="117">
    <w:name w:val="纯文本 字符"/>
    <w:qFormat/>
    <w:uiPriority w:val="0"/>
    <w:rPr>
      <w:rFonts w:ascii="宋体" w:hAnsi="Courier New" w:eastAsia="宋体" w:cs="Courier New"/>
      <w:kern w:val="2"/>
      <w:sz w:val="21"/>
      <w:szCs w:val="21"/>
      <w:lang w:val="en-US" w:eastAsia="zh-CN" w:bidi="ar-SA"/>
    </w:rPr>
  </w:style>
  <w:style w:type="character" w:customStyle="1" w:styleId="118">
    <w:name w:val="bds_nopic"/>
    <w:qFormat/>
    <w:uiPriority w:val="0"/>
    <w:rPr>
      <w:rFonts w:ascii="Times New Roman" w:hAnsi="Times New Roman" w:eastAsia="宋体" w:cs="Times New Roman"/>
    </w:rPr>
  </w:style>
  <w:style w:type="character" w:customStyle="1" w:styleId="119">
    <w:name w:val="Font Style126"/>
    <w:qFormat/>
    <w:uiPriority w:val="0"/>
    <w:rPr>
      <w:rFonts w:hint="eastAsia" w:ascii="宋体" w:hAnsi="宋体" w:eastAsia="宋体" w:cs="Times New Roman"/>
      <w:b/>
      <w:spacing w:val="-30"/>
      <w:sz w:val="28"/>
    </w:rPr>
  </w:style>
  <w:style w:type="character" w:customStyle="1" w:styleId="120">
    <w:name w:val="Font Style125"/>
    <w:qFormat/>
    <w:uiPriority w:val="0"/>
    <w:rPr>
      <w:rFonts w:hint="eastAsia" w:ascii="宋体" w:hAnsi="宋体" w:eastAsia="宋体" w:cs="Times New Roman"/>
      <w:b/>
      <w:sz w:val="26"/>
    </w:rPr>
  </w:style>
  <w:style w:type="character" w:customStyle="1" w:styleId="121">
    <w:name w:val="sidecatalog-index1"/>
    <w:qFormat/>
    <w:uiPriority w:val="0"/>
    <w:rPr>
      <w:rFonts w:ascii="Arial" w:hAnsi="Arial" w:eastAsia="宋体" w:cs="Arial"/>
      <w:b/>
      <w:color w:val="999999"/>
      <w:sz w:val="21"/>
      <w:szCs w:val="21"/>
    </w:rPr>
  </w:style>
  <w:style w:type="character" w:customStyle="1" w:styleId="122">
    <w:name w:val="Font Style117"/>
    <w:qFormat/>
    <w:uiPriority w:val="0"/>
    <w:rPr>
      <w:rFonts w:hint="eastAsia" w:ascii="宋体" w:hAnsi="宋体" w:eastAsia="宋体" w:cs="Times New Roman"/>
      <w:spacing w:val="20"/>
      <w:sz w:val="24"/>
    </w:rPr>
  </w:style>
  <w:style w:type="character" w:customStyle="1" w:styleId="123">
    <w:name w:val="标题 4 Char Char"/>
    <w:qFormat/>
    <w:uiPriority w:val="0"/>
    <w:rPr>
      <w:rFonts w:ascii="Arial" w:hAnsi="Arial" w:eastAsia="宋体" w:cs="Times New Roman"/>
      <w:b/>
      <w:bCs/>
      <w:kern w:val="2"/>
      <w:sz w:val="21"/>
      <w:szCs w:val="28"/>
      <w:lang w:val="en-US" w:eastAsia="zh-CN" w:bidi="ar-SA"/>
    </w:rPr>
  </w:style>
  <w:style w:type="character" w:customStyle="1" w:styleId="124">
    <w:name w:val="bds_nopic2"/>
    <w:qFormat/>
    <w:uiPriority w:val="0"/>
    <w:rPr>
      <w:rFonts w:ascii="Times New Roman" w:hAnsi="Times New Roman" w:eastAsia="宋体" w:cs="Times New Roman"/>
    </w:rPr>
  </w:style>
  <w:style w:type="character" w:customStyle="1" w:styleId="125">
    <w:name w:val="标题 6 Char"/>
    <w:qFormat/>
    <w:uiPriority w:val="0"/>
    <w:rPr>
      <w:rFonts w:ascii="Arial" w:hAnsi="Arial" w:eastAsia="黑体" w:cs="Times New Roman"/>
      <w:b/>
      <w:bCs/>
      <w:sz w:val="24"/>
      <w:szCs w:val="24"/>
    </w:rPr>
  </w:style>
  <w:style w:type="character" w:customStyle="1" w:styleId="126">
    <w:name w:val="bds_more6"/>
    <w:qFormat/>
    <w:uiPriority w:val="0"/>
    <w:rPr>
      <w:rFonts w:hint="eastAsia" w:ascii="宋体" w:hAnsi="宋体" w:eastAsia="宋体" w:cs="宋体"/>
    </w:rPr>
  </w:style>
  <w:style w:type="character" w:customStyle="1" w:styleId="127">
    <w:name w:val="标题 1 Char"/>
    <w:qFormat/>
    <w:uiPriority w:val="0"/>
    <w:rPr>
      <w:rFonts w:ascii="Cambria" w:hAnsi="Cambria" w:eastAsia="宋体" w:cs="Times New Roman"/>
      <w:b/>
      <w:bCs/>
      <w:kern w:val="32"/>
      <w:sz w:val="32"/>
      <w:szCs w:val="32"/>
    </w:rPr>
  </w:style>
  <w:style w:type="character" w:customStyle="1" w:styleId="128">
    <w:name w:val="Char Char17"/>
    <w:qFormat/>
    <w:uiPriority w:val="0"/>
    <w:rPr>
      <w:rFonts w:ascii="宋体" w:hAnsi="Times New Roman" w:eastAsia="宋体" w:cs="Times New Roman"/>
      <w:b/>
      <w:sz w:val="28"/>
      <w:lang w:val="en-US" w:eastAsia="zh-CN" w:bidi="ar-SA"/>
    </w:rPr>
  </w:style>
  <w:style w:type="character" w:customStyle="1" w:styleId="129">
    <w:name w:val="polysemyexp"/>
    <w:qFormat/>
    <w:uiPriority w:val="0"/>
    <w:rPr>
      <w:rFonts w:ascii="Times New Roman" w:hAnsi="Times New Roman" w:eastAsia="宋体" w:cs="Times New Roman"/>
      <w:color w:val="AAAAAA"/>
      <w:sz w:val="18"/>
      <w:szCs w:val="18"/>
    </w:rPr>
  </w:style>
  <w:style w:type="character" w:customStyle="1" w:styleId="130">
    <w:name w:val="font51"/>
    <w:qFormat/>
    <w:uiPriority w:val="0"/>
    <w:rPr>
      <w:rFonts w:hint="eastAsia" w:ascii="宋体" w:hAnsi="宋体" w:eastAsia="宋体" w:cs="宋体"/>
      <w:b/>
      <w:color w:val="000000"/>
      <w:sz w:val="20"/>
      <w:szCs w:val="20"/>
      <w:u w:val="none"/>
    </w:rPr>
  </w:style>
  <w:style w:type="character" w:customStyle="1" w:styleId="131">
    <w:name w:val="bds_more10"/>
    <w:qFormat/>
    <w:uiPriority w:val="0"/>
    <w:rPr>
      <w:rFonts w:ascii="Times New Roman" w:hAnsi="Times New Roman" w:eastAsia="宋体" w:cs="Times New Roman"/>
    </w:rPr>
  </w:style>
  <w:style w:type="character" w:customStyle="1" w:styleId="132">
    <w:name w:val="font91"/>
    <w:qFormat/>
    <w:uiPriority w:val="0"/>
    <w:rPr>
      <w:rFonts w:hint="eastAsia" w:ascii="宋体" w:hAnsi="宋体" w:eastAsia="宋体" w:cs="宋体"/>
      <w:color w:val="000000"/>
      <w:sz w:val="20"/>
      <w:szCs w:val="20"/>
      <w:u w:val="none"/>
      <w:vertAlign w:val="superscript"/>
    </w:rPr>
  </w:style>
  <w:style w:type="character" w:customStyle="1" w:styleId="133">
    <w:name w:val="Char Char15"/>
    <w:qFormat/>
    <w:uiPriority w:val="0"/>
    <w:rPr>
      <w:rFonts w:ascii="Times New Roman" w:hAnsi="Times New Roman" w:eastAsia="宋体" w:cs="Times New Roman"/>
      <w:b/>
      <w:bCs/>
      <w:sz w:val="24"/>
      <w:szCs w:val="24"/>
    </w:rPr>
  </w:style>
  <w:style w:type="character" w:customStyle="1" w:styleId="134">
    <w:name w:val="Char Char12"/>
    <w:qFormat/>
    <w:uiPriority w:val="0"/>
    <w:rPr>
      <w:rFonts w:ascii="Arial" w:hAnsi="Arial" w:eastAsia="黑体" w:cs="Times New Roman"/>
      <w:b/>
      <w:bCs/>
      <w:kern w:val="2"/>
      <w:sz w:val="28"/>
      <w:szCs w:val="28"/>
      <w:lang w:val="en-US" w:eastAsia="zh-CN" w:bidi="ar-SA"/>
    </w:rPr>
  </w:style>
  <w:style w:type="character" w:customStyle="1" w:styleId="135">
    <w:name w:val="Font Style122"/>
    <w:qFormat/>
    <w:uiPriority w:val="0"/>
    <w:rPr>
      <w:rFonts w:hint="eastAsia" w:ascii="宋体" w:hAnsi="宋体" w:eastAsia="宋体" w:cs="Times New Roman"/>
      <w:spacing w:val="20"/>
      <w:sz w:val="24"/>
    </w:rPr>
  </w:style>
  <w:style w:type="character" w:customStyle="1" w:styleId="136">
    <w:name w:val="Font Style115"/>
    <w:qFormat/>
    <w:uiPriority w:val="0"/>
    <w:rPr>
      <w:rFonts w:hint="eastAsia" w:ascii="Times New Roman" w:hAnsi="Times New Roman" w:eastAsia="Times New Roman" w:cs="Times New Roman"/>
      <w:sz w:val="16"/>
    </w:rPr>
  </w:style>
  <w:style w:type="character" w:customStyle="1" w:styleId="137">
    <w:name w:val="sidecatalog-dot1"/>
    <w:qFormat/>
    <w:uiPriority w:val="0"/>
    <w:rPr>
      <w:rFonts w:ascii="Times New Roman" w:hAnsi="Times New Roman" w:eastAsia="宋体" w:cs="Times New Roman"/>
    </w:rPr>
  </w:style>
  <w:style w:type="character" w:customStyle="1" w:styleId="138">
    <w:name w:val="font41"/>
    <w:qFormat/>
    <w:uiPriority w:val="0"/>
    <w:rPr>
      <w:rFonts w:hint="eastAsia" w:ascii="宋体" w:hAnsi="宋体" w:eastAsia="宋体" w:cs="宋体"/>
      <w:color w:val="FF0000"/>
      <w:sz w:val="20"/>
      <w:szCs w:val="20"/>
      <w:u w:val="none"/>
    </w:rPr>
  </w:style>
  <w:style w:type="character" w:customStyle="1" w:styleId="139">
    <w:name w:val="lemmatitleh12"/>
    <w:qFormat/>
    <w:uiPriority w:val="0"/>
    <w:rPr>
      <w:rFonts w:ascii="Times New Roman" w:hAnsi="Times New Roman" w:eastAsia="宋体" w:cs="Times New Roman"/>
    </w:rPr>
  </w:style>
  <w:style w:type="character" w:customStyle="1" w:styleId="140">
    <w:name w:val="正文文本缩进 3 Char"/>
    <w:qFormat/>
    <w:uiPriority w:val="0"/>
    <w:rPr>
      <w:rFonts w:ascii="宋体" w:hAnsi="MS Sans Serif" w:eastAsia="宋体" w:cs="Times New Roman"/>
      <w:color w:val="000000"/>
      <w:sz w:val="24"/>
    </w:rPr>
  </w:style>
  <w:style w:type="character" w:customStyle="1" w:styleId="141">
    <w:name w:val="Font Style127"/>
    <w:qFormat/>
    <w:uiPriority w:val="0"/>
    <w:rPr>
      <w:rFonts w:hint="eastAsia" w:ascii="Times New Roman" w:hAnsi="Times New Roman" w:eastAsia="Times New Roman" w:cs="Times New Roman"/>
      <w:sz w:val="20"/>
    </w:rPr>
  </w:style>
  <w:style w:type="character" w:customStyle="1" w:styleId="142">
    <w:name w:val="日期 Char"/>
    <w:qFormat/>
    <w:uiPriority w:val="0"/>
    <w:rPr>
      <w:rFonts w:ascii="Times New Roman" w:hAnsi="Times New Roman" w:eastAsia="宋体" w:cs="Times New Roman"/>
      <w:kern w:val="2"/>
      <w:sz w:val="21"/>
      <w:szCs w:val="24"/>
    </w:rPr>
  </w:style>
  <w:style w:type="character" w:customStyle="1" w:styleId="143">
    <w:name w:val="批注框文本 Char"/>
    <w:qFormat/>
    <w:uiPriority w:val="0"/>
    <w:rPr>
      <w:rFonts w:ascii="Times New Roman" w:hAnsi="Times New Roman" w:eastAsia="宋体" w:cs="Times New Roman"/>
      <w:kern w:val="2"/>
      <w:sz w:val="18"/>
      <w:szCs w:val="18"/>
    </w:rPr>
  </w:style>
  <w:style w:type="character" w:customStyle="1" w:styleId="144">
    <w:name w:val="Font Style131"/>
    <w:qFormat/>
    <w:uiPriority w:val="0"/>
    <w:rPr>
      <w:rFonts w:hint="eastAsia" w:ascii="Times New Roman" w:hAnsi="Times New Roman" w:eastAsia="Times New Roman" w:cs="Times New Roman"/>
      <w:sz w:val="18"/>
    </w:rPr>
  </w:style>
  <w:style w:type="character" w:customStyle="1" w:styleId="145">
    <w:name w:val="批注主题 Char"/>
    <w:qFormat/>
    <w:uiPriority w:val="0"/>
    <w:rPr>
      <w:rFonts w:ascii="Times New Roman" w:hAnsi="Times New Roman" w:eastAsia="宋体" w:cs="Times New Roman"/>
      <w:b/>
      <w:bCs/>
      <w:kern w:val="2"/>
      <w:sz w:val="21"/>
      <w:szCs w:val="24"/>
    </w:rPr>
  </w:style>
  <w:style w:type="character" w:customStyle="1" w:styleId="146">
    <w:name w:val="标题 8 Char"/>
    <w:qFormat/>
    <w:uiPriority w:val="0"/>
    <w:rPr>
      <w:rFonts w:ascii="Arial" w:hAnsi="Arial" w:eastAsia="黑体" w:cs="Times New Roman"/>
      <w:sz w:val="24"/>
      <w:szCs w:val="24"/>
    </w:rPr>
  </w:style>
  <w:style w:type="character" w:customStyle="1" w:styleId="147">
    <w:name w:val="纯文本 Char1"/>
    <w:qFormat/>
    <w:uiPriority w:val="0"/>
    <w:rPr>
      <w:rFonts w:ascii="宋体" w:hAnsi="Courier New" w:eastAsia="宋体" w:cs="Courier New"/>
      <w:kern w:val="2"/>
      <w:sz w:val="21"/>
      <w:szCs w:val="21"/>
      <w:lang w:val="en-US" w:eastAsia="zh-CN" w:bidi="ar-SA"/>
    </w:rPr>
  </w:style>
  <w:style w:type="character" w:customStyle="1" w:styleId="148">
    <w:name w:val="Font Style116"/>
    <w:qFormat/>
    <w:uiPriority w:val="0"/>
    <w:rPr>
      <w:rFonts w:hint="eastAsia" w:ascii="宋体" w:hAnsi="宋体" w:eastAsia="宋体" w:cs="Times New Roman"/>
      <w:spacing w:val="-20"/>
      <w:sz w:val="24"/>
    </w:rPr>
  </w:style>
  <w:style w:type="character" w:customStyle="1" w:styleId="149">
    <w:name w:val="sort"/>
    <w:qFormat/>
    <w:uiPriority w:val="0"/>
    <w:rPr>
      <w:rFonts w:ascii="Times New Roman" w:hAnsi="Times New Roman" w:eastAsia="宋体" w:cs="Times New Roman"/>
      <w:color w:val="FFFFFF"/>
      <w:bdr w:val="single" w:color="auto" w:sz="24" w:space="0"/>
    </w:rPr>
  </w:style>
  <w:style w:type="character" w:customStyle="1" w:styleId="150">
    <w:name w:val="标题 Char"/>
    <w:qFormat/>
    <w:uiPriority w:val="0"/>
    <w:rPr>
      <w:rFonts w:ascii="Cambria" w:hAnsi="Cambria" w:eastAsia="宋体" w:cs="Times New Roman"/>
      <w:b/>
      <w:kern w:val="2"/>
      <w:sz w:val="32"/>
      <w:szCs w:val="24"/>
    </w:rPr>
  </w:style>
  <w:style w:type="character" w:customStyle="1" w:styleId="151">
    <w:name w:val="Char Char13"/>
    <w:qFormat/>
    <w:uiPriority w:val="0"/>
    <w:rPr>
      <w:rFonts w:ascii="Times New Roman" w:hAnsi="Times New Roman" w:eastAsia="宋体" w:cs="Times New Roman"/>
      <w:b/>
      <w:bCs/>
      <w:kern w:val="2"/>
      <w:sz w:val="24"/>
      <w:lang w:val="en-US" w:eastAsia="zh-CN" w:bidi="ar-SA"/>
    </w:rPr>
  </w:style>
  <w:style w:type="character" w:customStyle="1" w:styleId="152">
    <w:name w:val="bds_more7"/>
    <w:qFormat/>
    <w:uiPriority w:val="0"/>
    <w:rPr>
      <w:rFonts w:ascii="Times New Roman" w:hAnsi="Times New Roman" w:eastAsia="宋体" w:cs="Times New Roman"/>
    </w:rPr>
  </w:style>
  <w:style w:type="character" w:customStyle="1" w:styleId="153">
    <w:name w:val="sidecatalog-index2"/>
    <w:qFormat/>
    <w:uiPriority w:val="0"/>
    <w:rPr>
      <w:rFonts w:ascii="Arail" w:hAnsi="Arail" w:eastAsia="Arail" w:cs="Arail"/>
      <w:color w:val="999999"/>
      <w:sz w:val="21"/>
      <w:szCs w:val="21"/>
    </w:rPr>
  </w:style>
  <w:style w:type="character" w:customStyle="1" w:styleId="154">
    <w:name w:val="批注文字 Char"/>
    <w:qFormat/>
    <w:uiPriority w:val="0"/>
    <w:rPr>
      <w:rFonts w:ascii="Times New Roman" w:hAnsi="Times New Roman" w:eastAsia="宋体" w:cs="Times New Roman"/>
      <w:kern w:val="2"/>
      <w:sz w:val="21"/>
      <w:szCs w:val="24"/>
    </w:rPr>
  </w:style>
  <w:style w:type="character" w:customStyle="1" w:styleId="155">
    <w:name w:val="bds_more8"/>
    <w:qFormat/>
    <w:uiPriority w:val="0"/>
    <w:rPr>
      <w:rFonts w:ascii="Times New Roman" w:hAnsi="Times New Roman" w:eastAsia="宋体" w:cs="Times New Roman"/>
    </w:rPr>
  </w:style>
  <w:style w:type="character" w:customStyle="1" w:styleId="156">
    <w:name w:val="font81"/>
    <w:qFormat/>
    <w:uiPriority w:val="0"/>
    <w:rPr>
      <w:rFonts w:ascii="font-weight : 700" w:hAnsi="font-weight : 700" w:eastAsia="font-weight : 700" w:cs="font-weight : 700"/>
      <w:color w:val="000000"/>
      <w:sz w:val="20"/>
      <w:szCs w:val="20"/>
      <w:u w:val="none"/>
    </w:rPr>
  </w:style>
  <w:style w:type="character" w:customStyle="1" w:styleId="157">
    <w:name w:val="content_11"/>
    <w:qFormat/>
    <w:uiPriority w:val="0"/>
    <w:rPr>
      <w:rFonts w:ascii="Times New Roman" w:hAnsi="Times New Roman" w:eastAsia="宋体" w:cs="Times New Roman"/>
      <w:sz w:val="20"/>
      <w:szCs w:val="20"/>
    </w:rPr>
  </w:style>
  <w:style w:type="character" w:customStyle="1" w:styleId="158">
    <w:name w:val="font21"/>
    <w:qFormat/>
    <w:uiPriority w:val="0"/>
    <w:rPr>
      <w:rFonts w:ascii="font-weight : 400" w:hAnsi="font-weight : 400" w:eastAsia="font-weight : 400" w:cs="font-weight : 400"/>
      <w:color w:val="000000"/>
      <w:sz w:val="20"/>
      <w:szCs w:val="20"/>
      <w:u w:val="none"/>
    </w:rPr>
  </w:style>
  <w:style w:type="character" w:customStyle="1" w:styleId="159">
    <w:name w:val="desc"/>
    <w:qFormat/>
    <w:uiPriority w:val="0"/>
    <w:rPr>
      <w:rFonts w:ascii="Times New Roman" w:hAnsi="Times New Roman" w:eastAsia="宋体" w:cs="Times New Roman"/>
      <w:color w:val="000000"/>
      <w:sz w:val="18"/>
      <w:szCs w:val="18"/>
    </w:rPr>
  </w:style>
  <w:style w:type="character" w:customStyle="1" w:styleId="160">
    <w:name w:val="bds_more9"/>
    <w:qFormat/>
    <w:uiPriority w:val="0"/>
    <w:rPr>
      <w:rFonts w:ascii="Times New Roman" w:hAnsi="Times New Roman" w:eastAsia="宋体" w:cs="Times New Roman"/>
    </w:rPr>
  </w:style>
  <w:style w:type="character" w:customStyle="1" w:styleId="161">
    <w:name w:val="p0 Char Char"/>
    <w:qFormat/>
    <w:uiPriority w:val="0"/>
    <w:rPr>
      <w:rFonts w:ascii="Times New Roman" w:hAnsi="Times New Roman" w:eastAsia="宋体" w:cs="Times New Roman"/>
      <w:kern w:val="2"/>
      <w:sz w:val="21"/>
      <w:szCs w:val="21"/>
      <w:lang w:val="en-US" w:eastAsia="zh-CN" w:bidi="ar-SA"/>
    </w:rPr>
  </w:style>
  <w:style w:type="character" w:customStyle="1" w:styleId="162">
    <w:name w:val="页眉 Char"/>
    <w:qFormat/>
    <w:uiPriority w:val="0"/>
    <w:rPr>
      <w:rFonts w:ascii="Times New Roman" w:hAnsi="Times New Roman" w:eastAsia="宋体" w:cs="Times New Roman"/>
      <w:kern w:val="2"/>
      <w:sz w:val="18"/>
      <w:szCs w:val="18"/>
    </w:rPr>
  </w:style>
  <w:style w:type="character" w:customStyle="1" w:styleId="163">
    <w:name w:val="polysemyred"/>
    <w:qFormat/>
    <w:uiPriority w:val="0"/>
    <w:rPr>
      <w:rFonts w:ascii="Times New Roman" w:hAnsi="Times New Roman" w:eastAsia="宋体" w:cs="Times New Roman"/>
      <w:color w:val="FF6666"/>
      <w:sz w:val="18"/>
      <w:szCs w:val="18"/>
    </w:rPr>
  </w:style>
  <w:style w:type="character" w:customStyle="1" w:styleId="164">
    <w:name w:val="Char Char14"/>
    <w:qFormat/>
    <w:uiPriority w:val="0"/>
    <w:rPr>
      <w:rFonts w:ascii="Arial" w:hAnsi="Arial" w:eastAsia="黑体" w:cs="Times New Roman"/>
      <w:b/>
      <w:bCs/>
      <w:sz w:val="28"/>
      <w:szCs w:val="28"/>
      <w:lang w:val="en-US" w:eastAsia="zh-CN" w:bidi="ar-SA"/>
    </w:rPr>
  </w:style>
  <w:style w:type="character" w:customStyle="1" w:styleId="165">
    <w:name w:val="Font Style133"/>
    <w:qFormat/>
    <w:uiPriority w:val="0"/>
    <w:rPr>
      <w:rFonts w:hint="eastAsia" w:ascii="宋体" w:hAnsi="宋体" w:eastAsia="宋体" w:cs="Times New Roman"/>
      <w:spacing w:val="30"/>
      <w:sz w:val="24"/>
    </w:rPr>
  </w:style>
  <w:style w:type="character" w:customStyle="1" w:styleId="166">
    <w:name w:val="Char Char16"/>
    <w:qFormat/>
    <w:uiPriority w:val="0"/>
    <w:rPr>
      <w:rFonts w:ascii="宋体" w:hAnsi="Times New Roman" w:eastAsia="宋体" w:cs="Times New Roman"/>
      <w:b/>
      <w:sz w:val="24"/>
      <w:lang w:val="en-US" w:eastAsia="zh-CN" w:bidi="ar-SA"/>
    </w:rPr>
  </w:style>
  <w:style w:type="character" w:customStyle="1" w:styleId="167">
    <w:name w:val="Font Style121"/>
    <w:qFormat/>
    <w:uiPriority w:val="0"/>
    <w:rPr>
      <w:rFonts w:hint="eastAsia" w:ascii="宋体" w:hAnsi="宋体" w:eastAsia="宋体" w:cs="Times New Roman"/>
      <w:spacing w:val="-10"/>
      <w:sz w:val="30"/>
    </w:rPr>
  </w:style>
  <w:style w:type="character" w:customStyle="1" w:styleId="168">
    <w:name w:val="Font Style94"/>
    <w:qFormat/>
    <w:uiPriority w:val="0"/>
    <w:rPr>
      <w:rFonts w:hint="eastAsia" w:ascii="Times New Roman" w:hAnsi="Times New Roman" w:eastAsia="Times New Roman" w:cs="Times New Roman"/>
      <w:sz w:val="28"/>
    </w:rPr>
  </w:style>
  <w:style w:type="character" w:customStyle="1" w:styleId="169">
    <w:name w:val="Font Style124"/>
    <w:qFormat/>
    <w:uiPriority w:val="0"/>
    <w:rPr>
      <w:rFonts w:hint="eastAsia" w:ascii="宋体" w:hAnsi="宋体" w:eastAsia="宋体" w:cs="Times New Roman"/>
      <w:spacing w:val="30"/>
      <w:sz w:val="24"/>
    </w:rPr>
  </w:style>
  <w:style w:type="character" w:customStyle="1" w:styleId="170">
    <w:name w:val="bds_nopic1"/>
    <w:qFormat/>
    <w:uiPriority w:val="0"/>
    <w:rPr>
      <w:rFonts w:ascii="Times New Roman" w:hAnsi="Times New Roman" w:eastAsia="宋体" w:cs="Times New Roman"/>
    </w:rPr>
  </w:style>
  <w:style w:type="character" w:customStyle="1" w:styleId="171">
    <w:name w:val="morelink-item"/>
    <w:qFormat/>
    <w:uiPriority w:val="0"/>
    <w:rPr>
      <w:rFonts w:ascii="Times New Roman" w:hAnsi="Times New Roman" w:eastAsia="宋体" w:cs="Times New Roman"/>
    </w:rPr>
  </w:style>
  <w:style w:type="character" w:customStyle="1" w:styleId="172">
    <w:name w:val="Font Style86"/>
    <w:qFormat/>
    <w:uiPriority w:val="0"/>
    <w:rPr>
      <w:rFonts w:hint="eastAsia" w:ascii="黑体" w:hAnsi="黑体" w:eastAsia="黑体" w:cs="Times New Roman"/>
      <w:spacing w:val="10"/>
      <w:sz w:val="30"/>
    </w:rPr>
  </w:style>
  <w:style w:type="character" w:customStyle="1" w:styleId="173">
    <w:name w:val="Font Style128"/>
    <w:qFormat/>
    <w:uiPriority w:val="0"/>
    <w:rPr>
      <w:rFonts w:hint="eastAsia" w:ascii="Times New Roman" w:hAnsi="Times New Roman" w:eastAsia="Times New Roman" w:cs="Times New Roman"/>
      <w:sz w:val="16"/>
    </w:rPr>
  </w:style>
  <w:style w:type="character" w:customStyle="1" w:styleId="174">
    <w:name w:val="plus"/>
    <w:qFormat/>
    <w:uiPriority w:val="0"/>
    <w:rPr>
      <w:rFonts w:ascii="Times New Roman" w:hAnsi="Times New Roman" w:eastAsia="宋体" w:cs="Times New Roman"/>
      <w:b/>
      <w:vanish/>
      <w:color w:val="1F8DEF"/>
      <w:sz w:val="24"/>
      <w:szCs w:val="24"/>
    </w:rPr>
  </w:style>
  <w:style w:type="character" w:customStyle="1" w:styleId="175">
    <w:name w:val="Font Style90"/>
    <w:qFormat/>
    <w:uiPriority w:val="0"/>
    <w:rPr>
      <w:rFonts w:hint="eastAsia" w:ascii="宋体" w:hAnsi="宋体" w:eastAsia="宋体" w:cs="Times New Roman"/>
      <w:b/>
      <w:spacing w:val="-20"/>
      <w:sz w:val="40"/>
    </w:rPr>
  </w:style>
  <w:style w:type="character" w:customStyle="1" w:styleId="176">
    <w:name w:val="Font Style119"/>
    <w:qFormat/>
    <w:uiPriority w:val="0"/>
    <w:rPr>
      <w:rFonts w:hint="eastAsia" w:ascii="宋体" w:hAnsi="宋体" w:eastAsia="宋体" w:cs="Times New Roman"/>
      <w:sz w:val="24"/>
    </w:rPr>
  </w:style>
  <w:style w:type="character" w:customStyle="1" w:styleId="177">
    <w:name w:val="标题 5 Char"/>
    <w:qFormat/>
    <w:uiPriority w:val="0"/>
    <w:rPr>
      <w:rFonts w:ascii="Times New Roman" w:hAnsi="Times New Roman" w:eastAsia="宋体" w:cs="Times New Roman"/>
      <w:b/>
      <w:bCs/>
      <w:kern w:val="2"/>
      <w:sz w:val="28"/>
      <w:szCs w:val="28"/>
    </w:rPr>
  </w:style>
  <w:style w:type="paragraph" w:customStyle="1" w:styleId="178">
    <w:name w:val="Char1 Char Char Char 字元 Char Char 字元 Char 字元 Char1 Char Char Char"/>
    <w:basedOn w:val="1"/>
    <w:qFormat/>
    <w:uiPriority w:val="0"/>
    <w:rPr>
      <w:szCs w:val="20"/>
    </w:rPr>
  </w:style>
  <w:style w:type="paragraph" w:customStyle="1" w:styleId="179">
    <w:name w:val="Style9"/>
    <w:basedOn w:val="1"/>
    <w:qFormat/>
    <w:uiPriority w:val="0"/>
  </w:style>
  <w:style w:type="paragraph" w:customStyle="1" w:styleId="180">
    <w:name w:val="Style52"/>
    <w:basedOn w:val="1"/>
    <w:qFormat/>
    <w:uiPriority w:val="0"/>
    <w:pPr>
      <w:spacing w:line="682" w:lineRule="exact"/>
      <w:ind w:firstLine="557"/>
    </w:pPr>
  </w:style>
  <w:style w:type="paragraph" w:customStyle="1" w:styleId="181">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82">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3">
    <w:name w:val="_Style 39"/>
    <w:basedOn w:val="182"/>
    <w:qFormat/>
    <w:uiPriority w:val="0"/>
  </w:style>
  <w:style w:type="paragraph" w:customStyle="1" w:styleId="184">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85">
    <w:name w:val="Style76"/>
    <w:basedOn w:val="1"/>
    <w:qFormat/>
    <w:uiPriority w:val="0"/>
  </w:style>
  <w:style w:type="paragraph" w:customStyle="1" w:styleId="186">
    <w:name w:val="Style36"/>
    <w:basedOn w:val="1"/>
    <w:qFormat/>
    <w:uiPriority w:val="0"/>
  </w:style>
  <w:style w:type="paragraph" w:customStyle="1" w:styleId="187">
    <w:name w:val="Style15"/>
    <w:basedOn w:val="1"/>
    <w:qFormat/>
    <w:uiPriority w:val="0"/>
    <w:pPr>
      <w:spacing w:line="557" w:lineRule="exact"/>
      <w:ind w:firstLine="672"/>
    </w:pPr>
  </w:style>
  <w:style w:type="paragraph" w:customStyle="1" w:styleId="188">
    <w:name w:val="Char"/>
    <w:basedOn w:val="1"/>
    <w:qFormat/>
    <w:uiPriority w:val="0"/>
    <w:pPr>
      <w:tabs>
        <w:tab w:val="left" w:pos="360"/>
      </w:tabs>
      <w:ind w:left="360" w:hanging="360" w:hangingChars="200"/>
    </w:pPr>
    <w:rPr>
      <w:sz w:val="24"/>
    </w:rPr>
  </w:style>
  <w:style w:type="paragraph" w:customStyle="1" w:styleId="189">
    <w:name w:val="NO3"/>
    <w:basedOn w:val="1"/>
    <w:qFormat/>
    <w:uiPriority w:val="0"/>
    <w:pPr>
      <w:tabs>
        <w:tab w:val="left" w:pos="907"/>
      </w:tabs>
      <w:spacing w:line="360" w:lineRule="auto"/>
    </w:pPr>
    <w:rPr>
      <w:rFonts w:ascii="宋体" w:hAnsi="宋体"/>
      <w:sz w:val="24"/>
    </w:rPr>
  </w:style>
  <w:style w:type="paragraph" w:customStyle="1" w:styleId="190">
    <w:name w:val="Style62"/>
    <w:basedOn w:val="1"/>
    <w:qFormat/>
    <w:uiPriority w:val="0"/>
  </w:style>
  <w:style w:type="paragraph" w:customStyle="1" w:styleId="191">
    <w:name w:val="Char Char1 Char Char Char"/>
    <w:basedOn w:val="1"/>
    <w:qFormat/>
    <w:uiPriority w:val="0"/>
    <w:rPr>
      <w:kern w:val="0"/>
      <w:sz w:val="20"/>
      <w:szCs w:val="20"/>
    </w:rPr>
  </w:style>
  <w:style w:type="paragraph" w:customStyle="1" w:styleId="192">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93">
    <w:name w:val="Style73"/>
    <w:basedOn w:val="1"/>
    <w:qFormat/>
    <w:uiPriority w:val="0"/>
    <w:pPr>
      <w:spacing w:line="538" w:lineRule="exact"/>
      <w:ind w:firstLine="533"/>
    </w:pPr>
  </w:style>
  <w:style w:type="paragraph" w:customStyle="1" w:styleId="194">
    <w:name w:val="Style71"/>
    <w:basedOn w:val="1"/>
    <w:qFormat/>
    <w:uiPriority w:val="0"/>
    <w:pPr>
      <w:spacing w:line="538" w:lineRule="exact"/>
      <w:ind w:firstLine="101"/>
    </w:pPr>
  </w:style>
  <w:style w:type="paragraph" w:customStyle="1" w:styleId="195">
    <w:name w:val="Char1 Char Char Char Char Char Char Char Char Char"/>
    <w:basedOn w:val="1"/>
    <w:qFormat/>
    <w:uiPriority w:val="0"/>
    <w:rPr>
      <w:szCs w:val="20"/>
    </w:rPr>
  </w:style>
  <w:style w:type="paragraph" w:customStyle="1" w:styleId="196">
    <w:name w:val="Style4"/>
    <w:basedOn w:val="1"/>
    <w:qFormat/>
    <w:uiPriority w:val="0"/>
  </w:style>
  <w:style w:type="paragraph" w:customStyle="1" w:styleId="197">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98">
    <w:name w:val="Style78"/>
    <w:basedOn w:val="1"/>
    <w:qFormat/>
    <w:uiPriority w:val="0"/>
  </w:style>
  <w:style w:type="paragraph" w:customStyle="1" w:styleId="199">
    <w:name w:val="Style60"/>
    <w:basedOn w:val="1"/>
    <w:qFormat/>
    <w:uiPriority w:val="0"/>
    <w:pPr>
      <w:spacing w:line="566" w:lineRule="exact"/>
    </w:pPr>
  </w:style>
  <w:style w:type="paragraph" w:customStyle="1" w:styleId="200">
    <w:name w:val="1"/>
    <w:basedOn w:val="1"/>
    <w:qFormat/>
    <w:uiPriority w:val="0"/>
    <w:pPr>
      <w:spacing w:afterLines="50" w:line="360" w:lineRule="auto"/>
    </w:pPr>
    <w:rPr>
      <w:rFonts w:ascii="宋体" w:hAnsi="宋体"/>
      <w:b/>
      <w:sz w:val="30"/>
      <w:szCs w:val="21"/>
    </w:rPr>
  </w:style>
  <w:style w:type="paragraph" w:customStyle="1" w:styleId="201">
    <w:name w:val="Style48"/>
    <w:basedOn w:val="1"/>
    <w:qFormat/>
    <w:uiPriority w:val="0"/>
    <w:pPr>
      <w:spacing w:line="542" w:lineRule="exact"/>
      <w:jc w:val="right"/>
    </w:pPr>
  </w:style>
  <w:style w:type="paragraph" w:customStyle="1" w:styleId="202">
    <w:name w:val="Style41"/>
    <w:basedOn w:val="1"/>
    <w:qFormat/>
    <w:uiPriority w:val="0"/>
    <w:pPr>
      <w:spacing w:line="542" w:lineRule="exact"/>
      <w:ind w:firstLine="125"/>
    </w:pPr>
  </w:style>
  <w:style w:type="paragraph" w:customStyle="1" w:styleId="203">
    <w:name w:val="Style50"/>
    <w:basedOn w:val="1"/>
    <w:qFormat/>
    <w:uiPriority w:val="0"/>
  </w:style>
  <w:style w:type="paragraph" w:customStyle="1" w:styleId="204">
    <w:name w:val="Char Char1 Char Char Char Char Char Char Char"/>
    <w:basedOn w:val="1"/>
    <w:qFormat/>
    <w:uiPriority w:val="0"/>
    <w:pPr>
      <w:widowControl/>
      <w:spacing w:after="160" w:line="240" w:lineRule="exact"/>
      <w:jc w:val="left"/>
    </w:pPr>
  </w:style>
  <w:style w:type="paragraph" w:customStyle="1" w:styleId="205">
    <w:name w:val="Style59"/>
    <w:basedOn w:val="1"/>
    <w:qFormat/>
    <w:uiPriority w:val="0"/>
  </w:style>
  <w:style w:type="paragraph" w:customStyle="1" w:styleId="206">
    <w:name w:val="Style27"/>
    <w:basedOn w:val="1"/>
    <w:qFormat/>
    <w:uiPriority w:val="0"/>
  </w:style>
  <w:style w:type="paragraph" w:customStyle="1" w:styleId="207">
    <w:name w:val="Style61"/>
    <w:basedOn w:val="1"/>
    <w:qFormat/>
    <w:uiPriority w:val="0"/>
  </w:style>
  <w:style w:type="paragraph" w:customStyle="1" w:styleId="208">
    <w:name w:val="Style80"/>
    <w:basedOn w:val="1"/>
    <w:qFormat/>
    <w:uiPriority w:val="0"/>
  </w:style>
  <w:style w:type="paragraph" w:customStyle="1" w:styleId="209">
    <w:name w:val="Style12"/>
    <w:basedOn w:val="1"/>
    <w:qFormat/>
    <w:uiPriority w:val="0"/>
    <w:pPr>
      <w:spacing w:line="564" w:lineRule="exact"/>
      <w:ind w:hanging="115"/>
    </w:pPr>
  </w:style>
  <w:style w:type="paragraph" w:customStyle="1" w:styleId="210">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11">
    <w:name w:val="Style46"/>
    <w:basedOn w:val="1"/>
    <w:qFormat/>
    <w:uiPriority w:val="0"/>
    <w:pPr>
      <w:spacing w:line="672" w:lineRule="exact"/>
    </w:pPr>
  </w:style>
  <w:style w:type="paragraph" w:customStyle="1" w:styleId="212">
    <w:name w:val="Style53"/>
    <w:basedOn w:val="1"/>
    <w:qFormat/>
    <w:uiPriority w:val="0"/>
    <w:pPr>
      <w:spacing w:line="533" w:lineRule="exact"/>
      <w:ind w:firstLine="581"/>
    </w:pPr>
  </w:style>
  <w:style w:type="paragraph" w:customStyle="1" w:styleId="213">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14">
    <w:name w:val="样式 标题 2 + Times New Roman 四号 非加粗 段前: 5 磅 段后: 0 磅 行距: 固定值 20..."/>
    <w:basedOn w:val="8"/>
    <w:qFormat/>
    <w:uiPriority w:val="0"/>
    <w:pPr>
      <w:spacing w:before="100" w:line="400" w:lineRule="exact"/>
    </w:pPr>
    <w:rPr>
      <w:rFonts w:ascii="Times New Roman" w:hAnsi="Times New Roman" w:eastAsia="黑体"/>
      <w:b w:val="0"/>
      <w:bCs w:val="0"/>
      <w:sz w:val="28"/>
      <w:szCs w:val="20"/>
    </w:rPr>
  </w:style>
  <w:style w:type="paragraph" w:customStyle="1" w:styleId="215">
    <w:name w:val="修订1"/>
    <w:qFormat/>
    <w:uiPriority w:val="0"/>
    <w:rPr>
      <w:rFonts w:ascii="Times New Roman" w:hAnsi="Times New Roman" w:eastAsia="宋体" w:cs="Times New Roman"/>
      <w:kern w:val="2"/>
      <w:sz w:val="21"/>
      <w:szCs w:val="24"/>
      <w:lang w:val="en-US" w:eastAsia="zh-CN" w:bidi="ar-SA"/>
    </w:rPr>
  </w:style>
  <w:style w:type="paragraph" w:customStyle="1" w:styleId="216">
    <w:name w:val="Style16"/>
    <w:basedOn w:val="1"/>
    <w:qFormat/>
    <w:uiPriority w:val="0"/>
    <w:pPr>
      <w:jc w:val="right"/>
    </w:pPr>
  </w:style>
  <w:style w:type="paragraph" w:customStyle="1" w:styleId="217">
    <w:name w:val="Table Paragraph"/>
    <w:basedOn w:val="1"/>
    <w:qFormat/>
    <w:uiPriority w:val="0"/>
    <w:pPr>
      <w:autoSpaceDE w:val="0"/>
      <w:autoSpaceDN w:val="0"/>
      <w:adjustRightInd w:val="0"/>
      <w:jc w:val="left"/>
    </w:pPr>
    <w:rPr>
      <w:rFonts w:ascii="Calibri" w:hAnsi="Calibri"/>
      <w:kern w:val="0"/>
      <w:sz w:val="24"/>
    </w:rPr>
  </w:style>
  <w:style w:type="paragraph" w:customStyle="1" w:styleId="218">
    <w:name w:val="Style77"/>
    <w:basedOn w:val="1"/>
    <w:qFormat/>
    <w:uiPriority w:val="0"/>
  </w:style>
  <w:style w:type="paragraph" w:customStyle="1" w:styleId="219">
    <w:name w:val="Style68"/>
    <w:basedOn w:val="1"/>
    <w:qFormat/>
    <w:uiPriority w:val="0"/>
    <w:pPr>
      <w:spacing w:line="547" w:lineRule="exact"/>
    </w:pPr>
  </w:style>
  <w:style w:type="paragraph" w:customStyle="1" w:styleId="220">
    <w:name w:val="Style58"/>
    <w:basedOn w:val="1"/>
    <w:qFormat/>
    <w:uiPriority w:val="0"/>
    <w:pPr>
      <w:spacing w:line="413" w:lineRule="exact"/>
    </w:pPr>
  </w:style>
  <w:style w:type="paragraph" w:customStyle="1" w:styleId="221">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22">
    <w:name w:val="Style42"/>
    <w:basedOn w:val="1"/>
    <w:qFormat/>
    <w:uiPriority w:val="0"/>
    <w:pPr>
      <w:spacing w:line="542" w:lineRule="exact"/>
      <w:ind w:firstLine="547"/>
    </w:pPr>
  </w:style>
  <w:style w:type="paragraph" w:customStyle="1" w:styleId="223">
    <w:name w:val="Style69"/>
    <w:basedOn w:val="1"/>
    <w:qFormat/>
    <w:uiPriority w:val="0"/>
    <w:pPr>
      <w:spacing w:line="557" w:lineRule="exact"/>
      <w:ind w:firstLine="1666"/>
    </w:pPr>
  </w:style>
  <w:style w:type="paragraph" w:customStyle="1" w:styleId="224">
    <w:name w:val="标题3"/>
    <w:basedOn w:val="7"/>
    <w:qFormat/>
    <w:uiPriority w:val="0"/>
    <w:pPr>
      <w:spacing w:beforeLines="50" w:afterLines="50" w:line="400" w:lineRule="exact"/>
      <w:jc w:val="both"/>
    </w:pPr>
    <w:rPr>
      <w:rFonts w:ascii="宋体" w:hAnsi="宋体"/>
      <w:kern w:val="32"/>
      <w:szCs w:val="32"/>
    </w:rPr>
  </w:style>
  <w:style w:type="paragraph" w:customStyle="1" w:styleId="225">
    <w:name w:val="Char Char1"/>
    <w:basedOn w:val="1"/>
    <w:qFormat/>
    <w:uiPriority w:val="0"/>
    <w:rPr>
      <w:rFonts w:ascii="Tahoma" w:hAnsi="Tahoma"/>
      <w:sz w:val="24"/>
      <w:szCs w:val="20"/>
    </w:rPr>
  </w:style>
  <w:style w:type="paragraph" w:customStyle="1" w:styleId="226">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27">
    <w:name w:val="Style11"/>
    <w:basedOn w:val="1"/>
    <w:qFormat/>
    <w:uiPriority w:val="0"/>
    <w:pPr>
      <w:spacing w:line="559" w:lineRule="exact"/>
      <w:ind w:firstLine="590"/>
    </w:pPr>
  </w:style>
  <w:style w:type="paragraph" w:customStyle="1" w:styleId="228">
    <w:name w:val="Style23"/>
    <w:basedOn w:val="1"/>
    <w:qFormat/>
    <w:uiPriority w:val="0"/>
  </w:style>
  <w:style w:type="paragraph" w:customStyle="1" w:styleId="229">
    <w:name w:val="标准正文"/>
    <w:basedOn w:val="1"/>
    <w:qFormat/>
    <w:uiPriority w:val="0"/>
    <w:pPr>
      <w:autoSpaceDE w:val="0"/>
      <w:autoSpaceDN w:val="0"/>
      <w:adjustRightInd w:val="0"/>
      <w:snapToGrid w:val="0"/>
      <w:spacing w:afterLines="50" w:line="480" w:lineRule="exact"/>
      <w:jc w:val="left"/>
    </w:pPr>
    <w:rPr>
      <w:rFonts w:ascii="宋体"/>
      <w:kern w:val="0"/>
      <w:szCs w:val="20"/>
      <w:lang w:val="zh-CN"/>
    </w:rPr>
  </w:style>
  <w:style w:type="paragraph" w:customStyle="1" w:styleId="230">
    <w:name w:val="样式 标题 2 + 宋体 五号 行距: 单倍行距"/>
    <w:basedOn w:val="8"/>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31">
    <w:name w:val="1 Char Char Char Char"/>
    <w:basedOn w:val="1"/>
    <w:qFormat/>
    <w:uiPriority w:val="0"/>
  </w:style>
  <w:style w:type="paragraph" w:customStyle="1" w:styleId="232">
    <w:name w:val="Style13"/>
    <w:basedOn w:val="1"/>
    <w:qFormat/>
    <w:uiPriority w:val="0"/>
  </w:style>
  <w:style w:type="paragraph" w:customStyle="1" w:styleId="233">
    <w:name w:val="列出段落2"/>
    <w:basedOn w:val="1"/>
    <w:qFormat/>
    <w:uiPriority w:val="0"/>
    <w:pPr>
      <w:ind w:firstLine="420" w:firstLineChars="200"/>
    </w:pPr>
    <w:rPr>
      <w:rFonts w:ascii="Calibri" w:hAnsi="Calibri" w:cs="Calibri"/>
      <w:szCs w:val="21"/>
    </w:rPr>
  </w:style>
  <w:style w:type="paragraph" w:customStyle="1" w:styleId="234">
    <w:name w:val="Style65"/>
    <w:basedOn w:val="1"/>
    <w:qFormat/>
    <w:uiPriority w:val="0"/>
  </w:style>
  <w:style w:type="paragraph" w:customStyle="1" w:styleId="235">
    <w:name w:val="Char1 Char Char Char"/>
    <w:basedOn w:val="1"/>
    <w:qFormat/>
    <w:uiPriority w:val="0"/>
    <w:pPr>
      <w:widowControl/>
      <w:spacing w:after="160" w:line="240" w:lineRule="exact"/>
      <w:jc w:val="left"/>
    </w:pPr>
    <w:rPr>
      <w:kern w:val="0"/>
      <w:sz w:val="24"/>
      <w:szCs w:val="20"/>
    </w:rPr>
  </w:style>
  <w:style w:type="paragraph" w:customStyle="1" w:styleId="236">
    <w:name w:val="Style70"/>
    <w:basedOn w:val="1"/>
    <w:qFormat/>
    <w:uiPriority w:val="0"/>
    <w:pPr>
      <w:spacing w:line="549" w:lineRule="exact"/>
      <w:ind w:firstLine="686"/>
    </w:pPr>
  </w:style>
  <w:style w:type="paragraph" w:customStyle="1" w:styleId="237">
    <w:name w:val="标题2"/>
    <w:basedOn w:val="46"/>
    <w:qFormat/>
    <w:uiPriority w:val="0"/>
    <w:pPr>
      <w:spacing w:after="240"/>
      <w:jc w:val="left"/>
    </w:pPr>
    <w:rPr>
      <w:rFonts w:ascii="Times New Roman" w:hAnsi="Times New Roman"/>
      <w:sz w:val="30"/>
    </w:rPr>
  </w:style>
  <w:style w:type="paragraph" w:customStyle="1" w:styleId="238">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39">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240">
    <w:name w:val="Char Char1 Char Char Char Char Char1 Char Char Char Char"/>
    <w:basedOn w:val="22"/>
    <w:qFormat/>
    <w:uiPriority w:val="0"/>
    <w:rPr>
      <w:rFonts w:ascii="Tahoma" w:hAnsi="Tahoma"/>
    </w:rPr>
  </w:style>
  <w:style w:type="paragraph" w:customStyle="1" w:styleId="241">
    <w:name w:val="标题 1 +"/>
    <w:basedOn w:val="7"/>
    <w:next w:val="1"/>
    <w:qFormat/>
    <w:uiPriority w:val="0"/>
    <w:pPr>
      <w:keepLines/>
      <w:spacing w:line="600" w:lineRule="auto"/>
    </w:pPr>
    <w:rPr>
      <w:rFonts w:eastAsia="黑体"/>
      <w:kern w:val="0"/>
      <w:sz w:val="32"/>
      <w:szCs w:val="32"/>
    </w:rPr>
  </w:style>
  <w:style w:type="character" w:customStyle="1" w:styleId="242">
    <w:name w:val="样式1 Char Char"/>
    <w:link w:val="243"/>
    <w:qFormat/>
    <w:uiPriority w:val="0"/>
    <w:rPr>
      <w:rFonts w:ascii="宋体" w:hAnsi="宋体" w:eastAsia="宋体" w:cs="Times New Roman"/>
      <w:sz w:val="21"/>
      <w:szCs w:val="21"/>
    </w:rPr>
  </w:style>
  <w:style w:type="paragraph" w:customStyle="1" w:styleId="243">
    <w:name w:val="样式1"/>
    <w:basedOn w:val="1"/>
    <w:link w:val="242"/>
    <w:qFormat/>
    <w:uiPriority w:val="0"/>
    <w:pPr>
      <w:tabs>
        <w:tab w:val="left" w:pos="360"/>
      </w:tabs>
      <w:adjustRightInd w:val="0"/>
      <w:ind w:left="360" w:hanging="360"/>
      <w:textAlignment w:val="baseline"/>
    </w:pPr>
    <w:rPr>
      <w:rFonts w:ascii="宋体" w:hAnsi="宋体"/>
      <w:kern w:val="0"/>
      <w:szCs w:val="21"/>
    </w:rPr>
  </w:style>
  <w:style w:type="paragraph" w:customStyle="1" w:styleId="244">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45">
    <w:name w:val="附录标识"/>
    <w:basedOn w:val="238"/>
    <w:qFormat/>
    <w:uiPriority w:val="0"/>
    <w:pPr>
      <w:tabs>
        <w:tab w:val="left" w:pos="6405"/>
      </w:tabs>
      <w:spacing w:after="200"/>
    </w:pPr>
    <w:rPr>
      <w:rFonts w:ascii="Times New Roman" w:eastAsia="宋体"/>
      <w:sz w:val="21"/>
    </w:rPr>
  </w:style>
  <w:style w:type="paragraph" w:customStyle="1" w:styleId="246">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47">
    <w:name w:val="Style29"/>
    <w:basedOn w:val="1"/>
    <w:qFormat/>
    <w:uiPriority w:val="0"/>
    <w:pPr>
      <w:spacing w:line="547" w:lineRule="exact"/>
      <w:ind w:firstLine="547"/>
    </w:pPr>
  </w:style>
  <w:style w:type="paragraph" w:customStyle="1" w:styleId="248">
    <w:name w:val="Style34"/>
    <w:basedOn w:val="1"/>
    <w:qFormat/>
    <w:uiPriority w:val="0"/>
    <w:pPr>
      <w:spacing w:line="375" w:lineRule="exact"/>
    </w:pPr>
  </w:style>
  <w:style w:type="paragraph" w:customStyle="1" w:styleId="249">
    <w:name w:val="默认段落字体 Para Char Char Char Char Char Char Char Char Char Char Char Char Char Char Char Char Char Char Char"/>
    <w:basedOn w:val="1"/>
    <w:qFormat/>
    <w:uiPriority w:val="0"/>
  </w:style>
  <w:style w:type="paragraph" w:customStyle="1" w:styleId="250">
    <w:name w:val="Table Text"/>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51">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52">
    <w:name w:val="Style74"/>
    <w:basedOn w:val="1"/>
    <w:qFormat/>
    <w:uiPriority w:val="0"/>
    <w:pPr>
      <w:spacing w:line="437" w:lineRule="exact"/>
    </w:pPr>
  </w:style>
  <w:style w:type="paragraph" w:customStyle="1" w:styleId="253">
    <w:name w:val="Style28"/>
    <w:basedOn w:val="1"/>
    <w:qFormat/>
    <w:uiPriority w:val="0"/>
    <w:pPr>
      <w:spacing w:line="552" w:lineRule="exact"/>
      <w:ind w:firstLine="547"/>
    </w:pPr>
  </w:style>
  <w:style w:type="paragraph" w:customStyle="1" w:styleId="254">
    <w:name w:val="Style24"/>
    <w:basedOn w:val="1"/>
    <w:qFormat/>
    <w:uiPriority w:val="0"/>
  </w:style>
  <w:style w:type="paragraph" w:customStyle="1" w:styleId="255">
    <w:name w:val="Style63"/>
    <w:basedOn w:val="1"/>
    <w:qFormat/>
    <w:uiPriority w:val="0"/>
    <w:pPr>
      <w:spacing w:line="564" w:lineRule="exact"/>
      <w:ind w:firstLine="682"/>
    </w:pPr>
  </w:style>
  <w:style w:type="paragraph" w:customStyle="1" w:styleId="256">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7">
    <w:name w:val="Style45"/>
    <w:basedOn w:val="1"/>
    <w:qFormat/>
    <w:uiPriority w:val="0"/>
  </w:style>
  <w:style w:type="paragraph" w:customStyle="1" w:styleId="258">
    <w:name w:val="p16"/>
    <w:basedOn w:val="1"/>
    <w:qFormat/>
    <w:uiPriority w:val="0"/>
    <w:pPr>
      <w:widowControl/>
      <w:jc w:val="left"/>
    </w:pPr>
    <w:rPr>
      <w:kern w:val="0"/>
      <w:szCs w:val="21"/>
    </w:rPr>
  </w:style>
  <w:style w:type="paragraph" w:customStyle="1" w:styleId="259">
    <w:name w:val="Style64"/>
    <w:basedOn w:val="1"/>
    <w:qFormat/>
    <w:uiPriority w:val="0"/>
  </w:style>
  <w:style w:type="paragraph" w:customStyle="1" w:styleId="260">
    <w:name w:val="Style72"/>
    <w:basedOn w:val="1"/>
    <w:qFormat/>
    <w:uiPriority w:val="0"/>
  </w:style>
  <w:style w:type="paragraph" w:customStyle="1" w:styleId="261">
    <w:name w:val="Char Char Char"/>
    <w:basedOn w:val="1"/>
    <w:qFormat/>
    <w:uiPriority w:val="0"/>
    <w:rPr>
      <w:rFonts w:ascii="宋体" w:hAnsi="宋体"/>
      <w:b/>
      <w:sz w:val="28"/>
      <w:szCs w:val="28"/>
    </w:rPr>
  </w:style>
  <w:style w:type="paragraph" w:customStyle="1" w:styleId="262">
    <w:name w:val="Style21"/>
    <w:basedOn w:val="1"/>
    <w:qFormat/>
    <w:uiPriority w:val="0"/>
    <w:pPr>
      <w:spacing w:line="566" w:lineRule="exact"/>
      <w:ind w:firstLine="682"/>
    </w:pPr>
  </w:style>
  <w:style w:type="paragraph" w:customStyle="1" w:styleId="263">
    <w:name w:val="Style26"/>
    <w:basedOn w:val="1"/>
    <w:qFormat/>
    <w:uiPriority w:val="0"/>
  </w:style>
  <w:style w:type="paragraph" w:customStyle="1" w:styleId="264">
    <w:name w:val="表格内容"/>
    <w:basedOn w:val="25"/>
    <w:qFormat/>
    <w:uiPriority w:val="0"/>
    <w:pPr>
      <w:suppressLineNumbers/>
      <w:suppressAutoHyphens/>
      <w:jc w:val="left"/>
    </w:pPr>
    <w:rPr>
      <w:rFonts w:cs="Tahoma"/>
      <w:kern w:val="0"/>
      <w:sz w:val="24"/>
    </w:rPr>
  </w:style>
  <w:style w:type="paragraph" w:customStyle="1" w:styleId="265">
    <w:name w:val="Style47"/>
    <w:basedOn w:val="1"/>
    <w:qFormat/>
    <w:uiPriority w:val="0"/>
  </w:style>
  <w:style w:type="paragraph" w:customStyle="1" w:styleId="266">
    <w:name w:val="Style44"/>
    <w:basedOn w:val="1"/>
    <w:qFormat/>
    <w:uiPriority w:val="0"/>
  </w:style>
  <w:style w:type="paragraph" w:customStyle="1" w:styleId="267">
    <w:name w:val="Char Char Char Char Char Char Char11"/>
    <w:basedOn w:val="1"/>
    <w:qFormat/>
    <w:uiPriority w:val="0"/>
    <w:pPr>
      <w:snapToGrid w:val="0"/>
      <w:spacing w:line="360" w:lineRule="auto"/>
      <w:ind w:firstLine="200" w:firstLineChars="200"/>
    </w:pPr>
    <w:rPr>
      <w:rFonts w:eastAsia="仿宋_GB2312"/>
      <w:sz w:val="24"/>
    </w:rPr>
  </w:style>
  <w:style w:type="paragraph" w:customStyle="1" w:styleId="268">
    <w:name w:val="Style10"/>
    <w:basedOn w:val="1"/>
    <w:qFormat/>
    <w:uiPriority w:val="0"/>
    <w:pPr>
      <w:spacing w:line="538" w:lineRule="exact"/>
    </w:pPr>
  </w:style>
  <w:style w:type="character" w:customStyle="1" w:styleId="269">
    <w:name w:val="列表段落 字符"/>
    <w:link w:val="270"/>
    <w:qFormat/>
    <w:uiPriority w:val="0"/>
    <w:rPr>
      <w:rFonts w:ascii="Calibri" w:hAnsi="Calibri" w:eastAsia="宋体" w:cs="Times New Roman"/>
      <w:kern w:val="2"/>
      <w:sz w:val="21"/>
      <w:szCs w:val="22"/>
    </w:rPr>
  </w:style>
  <w:style w:type="paragraph" w:styleId="270">
    <w:name w:val="List Paragraph"/>
    <w:basedOn w:val="1"/>
    <w:link w:val="269"/>
    <w:qFormat/>
    <w:uiPriority w:val="0"/>
    <w:pPr>
      <w:ind w:firstLine="420" w:firstLineChars="200"/>
    </w:pPr>
    <w:rPr>
      <w:rFonts w:ascii="Calibri" w:hAnsi="Calibri"/>
      <w:szCs w:val="22"/>
    </w:rPr>
  </w:style>
  <w:style w:type="paragraph" w:customStyle="1" w:styleId="271">
    <w:name w:val="Style8"/>
    <w:basedOn w:val="1"/>
    <w:qFormat/>
    <w:uiPriority w:val="0"/>
    <w:pPr>
      <w:spacing w:line="566" w:lineRule="exact"/>
      <w:jc w:val="center"/>
    </w:pPr>
  </w:style>
  <w:style w:type="paragraph" w:customStyle="1" w:styleId="272">
    <w:name w:val="Style54"/>
    <w:basedOn w:val="1"/>
    <w:qFormat/>
    <w:uiPriority w:val="0"/>
  </w:style>
  <w:style w:type="paragraph" w:customStyle="1" w:styleId="273">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74">
    <w:name w:val="Style81"/>
    <w:basedOn w:val="1"/>
    <w:qFormat/>
    <w:uiPriority w:val="0"/>
    <w:pPr>
      <w:spacing w:line="547" w:lineRule="exact"/>
    </w:pPr>
  </w:style>
  <w:style w:type="paragraph" w:customStyle="1" w:styleId="275">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76">
    <w:name w:val="Style56"/>
    <w:basedOn w:val="1"/>
    <w:qFormat/>
    <w:uiPriority w:val="0"/>
  </w:style>
  <w:style w:type="paragraph" w:customStyle="1" w:styleId="277">
    <w:name w:val="Style5"/>
    <w:basedOn w:val="1"/>
    <w:qFormat/>
    <w:uiPriority w:val="0"/>
  </w:style>
  <w:style w:type="paragraph" w:customStyle="1" w:styleId="278">
    <w:name w:val="Style67"/>
    <w:basedOn w:val="1"/>
    <w:qFormat/>
    <w:uiPriority w:val="0"/>
    <w:pPr>
      <w:spacing w:line="566" w:lineRule="exact"/>
      <w:ind w:firstLine="552"/>
    </w:pPr>
  </w:style>
  <w:style w:type="paragraph" w:customStyle="1" w:styleId="27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80">
    <w:name w:val="Char Char Char1"/>
    <w:basedOn w:val="1"/>
    <w:qFormat/>
    <w:uiPriority w:val="0"/>
    <w:rPr>
      <w:rFonts w:ascii="宋体" w:hAnsi="宋体"/>
      <w:b/>
      <w:sz w:val="28"/>
      <w:szCs w:val="28"/>
    </w:rPr>
  </w:style>
  <w:style w:type="paragraph" w:customStyle="1" w:styleId="281">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282">
    <w:name w:val="Char Char Char1 Char1"/>
    <w:basedOn w:val="1"/>
    <w:qFormat/>
    <w:uiPriority w:val="0"/>
    <w:pPr>
      <w:tabs>
        <w:tab w:val="left" w:pos="360"/>
      </w:tabs>
      <w:snapToGrid w:val="0"/>
      <w:spacing w:line="360" w:lineRule="auto"/>
    </w:pPr>
    <w:rPr>
      <w:rFonts w:eastAsia="仿宋_GB2312" w:cs="宋体"/>
      <w:sz w:val="24"/>
    </w:rPr>
  </w:style>
  <w:style w:type="character" w:customStyle="1" w:styleId="283">
    <w:name w:val="fontstyle11"/>
    <w:qFormat/>
    <w:uiPriority w:val="0"/>
    <w:rPr>
      <w:rFonts w:hint="default" w:ascii="TimesNewRomanPSMT" w:hAnsi="TimesNewRomanPSMT" w:eastAsia="宋体" w:cs="Times New Roman"/>
      <w:color w:val="000000"/>
      <w:sz w:val="24"/>
      <w:szCs w:val="24"/>
    </w:rPr>
  </w:style>
  <w:style w:type="paragraph" w:customStyle="1" w:styleId="284">
    <w:name w:val="TOC 标题1"/>
    <w:basedOn w:val="7"/>
    <w:next w:val="1"/>
    <w:qFormat/>
    <w:uiPriority w:val="0"/>
    <w:pPr>
      <w:keepLines/>
      <w:widowControl/>
      <w:spacing w:before="480" w:line="276" w:lineRule="auto"/>
      <w:jc w:val="left"/>
      <w:outlineLvl w:val="9"/>
    </w:pPr>
    <w:rPr>
      <w:rFonts w:ascii="Cambria" w:hAnsi="Cambria"/>
      <w:color w:val="365F91"/>
      <w:kern w:val="0"/>
      <w:sz w:val="28"/>
      <w:szCs w:val="28"/>
    </w:rPr>
  </w:style>
  <w:style w:type="character" w:customStyle="1" w:styleId="285">
    <w:name w:val="fontstyle21"/>
    <w:qFormat/>
    <w:uiPriority w:val="0"/>
    <w:rPr>
      <w:rFonts w:hint="eastAsia" w:ascii="宋体" w:hAnsi="宋体" w:eastAsia="宋体" w:cs="Times New Roman"/>
      <w:color w:val="993300"/>
      <w:sz w:val="24"/>
      <w:szCs w:val="24"/>
    </w:rPr>
  </w:style>
  <w:style w:type="character" w:customStyle="1" w:styleId="286">
    <w:name w:val="fontstyle31"/>
    <w:qFormat/>
    <w:uiPriority w:val="0"/>
    <w:rPr>
      <w:rFonts w:hint="default" w:ascii="Arial" w:hAnsi="Arial" w:eastAsia="宋体" w:cs="Arial"/>
      <w:color w:val="993300"/>
      <w:sz w:val="24"/>
      <w:szCs w:val="24"/>
    </w:rPr>
  </w:style>
  <w:style w:type="character" w:customStyle="1" w:styleId="287">
    <w:name w:val="页眉 Char2"/>
    <w:qFormat/>
    <w:uiPriority w:val="0"/>
    <w:rPr>
      <w:rFonts w:ascii="Times New Roman" w:hAnsi="Times New Roman" w:eastAsia="宋体" w:cs="Times New Roman"/>
      <w:kern w:val="2"/>
      <w:sz w:val="18"/>
      <w:szCs w:val="18"/>
      <w:lang w:val="en-US" w:eastAsia="zh-CN" w:bidi="ar-SA"/>
    </w:rPr>
  </w:style>
  <w:style w:type="character" w:customStyle="1" w:styleId="288">
    <w:name w:val="页脚 Char2"/>
    <w:qFormat/>
    <w:uiPriority w:val="0"/>
    <w:rPr>
      <w:rFonts w:ascii="Times New Roman" w:hAnsi="Times New Roman" w:eastAsia="宋体" w:cs="Times New Roman"/>
      <w:kern w:val="2"/>
      <w:sz w:val="18"/>
      <w:szCs w:val="18"/>
      <w:lang w:val="en-US" w:eastAsia="zh-CN" w:bidi="ar-SA"/>
    </w:rPr>
  </w:style>
  <w:style w:type="paragraph" w:customStyle="1" w:styleId="289">
    <w:name w:val="Char1 Char Char Char1 Char Char Char Char Char Char Char Char1 Char Char Char Char"/>
    <w:basedOn w:val="1"/>
    <w:qFormat/>
    <w:uiPriority w:val="0"/>
    <w:pPr>
      <w:adjustRightInd w:val="0"/>
      <w:spacing w:line="360" w:lineRule="auto"/>
    </w:pPr>
    <w:rPr>
      <w:kern w:val="0"/>
      <w:sz w:val="24"/>
      <w:szCs w:val="20"/>
    </w:rPr>
  </w:style>
  <w:style w:type="paragraph" w:customStyle="1" w:styleId="290">
    <w:name w:val="正文_10_7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1">
    <w:name w:val="Normal_8"/>
    <w:qFormat/>
    <w:uiPriority w:val="0"/>
    <w:rPr>
      <w:rFonts w:ascii="Times New Roman" w:hAnsi="Times New Roman" w:eastAsia="Times New Roman" w:cs="Times New Roman"/>
      <w:sz w:val="24"/>
      <w:szCs w:val="24"/>
      <w:lang w:val="en-US" w:eastAsia="zh-CN" w:bidi="ar-SA"/>
    </w:rPr>
  </w:style>
  <w:style w:type="character" w:customStyle="1" w:styleId="292">
    <w:name w:val="正文样式 Char"/>
    <w:link w:val="293"/>
    <w:qFormat/>
    <w:uiPriority w:val="0"/>
    <w:rPr>
      <w:rFonts w:ascii="Times New Roman" w:hAnsi="Times New Roman" w:eastAsia="宋体" w:cs="Times New Roman"/>
      <w:kern w:val="2"/>
      <w:sz w:val="24"/>
    </w:rPr>
  </w:style>
  <w:style w:type="paragraph" w:customStyle="1" w:styleId="293">
    <w:name w:val="正文样式"/>
    <w:basedOn w:val="1"/>
    <w:link w:val="292"/>
    <w:qFormat/>
    <w:uiPriority w:val="0"/>
    <w:pPr>
      <w:spacing w:line="360" w:lineRule="auto"/>
      <w:ind w:firstLine="200" w:firstLineChars="200"/>
    </w:pPr>
    <w:rPr>
      <w:sz w:val="24"/>
      <w:szCs w:val="20"/>
    </w:rPr>
  </w:style>
  <w:style w:type="paragraph" w:customStyle="1" w:styleId="294">
    <w:name w:val="列表段落1"/>
    <w:basedOn w:val="1"/>
    <w:qFormat/>
    <w:uiPriority w:val="0"/>
    <w:pPr>
      <w:ind w:firstLine="420" w:firstLineChars="200"/>
    </w:pPr>
    <w:rPr>
      <w:rFonts w:ascii="Calibri" w:hAnsi="Calibri"/>
      <w:szCs w:val="22"/>
    </w:rPr>
  </w:style>
  <w:style w:type="paragraph" w:customStyle="1" w:styleId="295">
    <w:name w:val="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296">
    <w:name w:val="Normal_0"/>
    <w:qFormat/>
    <w:uiPriority w:val="0"/>
    <w:rPr>
      <w:rFonts w:ascii="Calibri" w:hAnsi="Calibri" w:eastAsia="宋体" w:cs="Times New Roman"/>
      <w:sz w:val="24"/>
      <w:szCs w:val="24"/>
      <w:lang w:val="en-US" w:eastAsia="zh-CN" w:bidi="ar-SA"/>
    </w:rPr>
  </w:style>
  <w:style w:type="paragraph" w:customStyle="1" w:styleId="297">
    <w:name w:val="Normal_1"/>
    <w:qFormat/>
    <w:uiPriority w:val="0"/>
    <w:rPr>
      <w:rFonts w:ascii="Calibri" w:hAnsi="Calibri" w:eastAsia="宋体" w:cs="Times New Roman"/>
      <w:sz w:val="24"/>
      <w:szCs w:val="24"/>
      <w:lang w:val="en-US" w:eastAsia="zh-CN" w:bidi="ar-SA"/>
    </w:rPr>
  </w:style>
  <w:style w:type="character" w:customStyle="1" w:styleId="298">
    <w:name w:val="apple-style-span"/>
    <w:qFormat/>
    <w:uiPriority w:val="0"/>
    <w:rPr>
      <w:rFonts w:ascii="Times New Roman" w:hAnsi="Times New Roman" w:eastAsia="宋体" w:cs="Times New Roman"/>
    </w:rPr>
  </w:style>
  <w:style w:type="paragraph" w:customStyle="1" w:styleId="299">
    <w:name w:val="_Style 286"/>
    <w:basedOn w:val="1"/>
    <w:next w:val="1"/>
    <w:qFormat/>
    <w:uiPriority w:val="0"/>
    <w:pPr>
      <w:widowControl/>
      <w:ind w:left="1260" w:leftChars="600"/>
      <w:jc w:val="left"/>
    </w:pPr>
    <w:rPr>
      <w:kern w:val="0"/>
      <w:sz w:val="24"/>
      <w:lang w:val="fr-FR" w:eastAsia="fr-FR"/>
    </w:rPr>
  </w:style>
  <w:style w:type="character" w:customStyle="1" w:styleId="300">
    <w:name w:val="headline-content"/>
    <w:qFormat/>
    <w:uiPriority w:val="0"/>
    <w:rPr>
      <w:rFonts w:ascii="Times New Roman" w:hAnsi="Times New Roman" w:eastAsia="宋体" w:cs="Times New Roman"/>
    </w:rPr>
  </w:style>
  <w:style w:type="character" w:customStyle="1" w:styleId="301">
    <w:name w:val="apple-converted-space"/>
    <w:qFormat/>
    <w:uiPriority w:val="0"/>
    <w:rPr>
      <w:rFonts w:ascii="Times New Roman" w:hAnsi="Times New Roman" w:eastAsia="宋体" w:cs="Times New Roman"/>
    </w:rPr>
  </w:style>
  <w:style w:type="paragraph" w:customStyle="1" w:styleId="302">
    <w:name w:val="默认段落字体 Para Char"/>
    <w:basedOn w:val="1"/>
    <w:qFormat/>
    <w:uiPriority w:val="0"/>
    <w:rPr>
      <w:sz w:val="30"/>
      <w:szCs w:val="21"/>
    </w:rPr>
  </w:style>
  <w:style w:type="paragraph" w:customStyle="1" w:styleId="303">
    <w:name w:val="黑体表名"/>
    <w:basedOn w:val="1"/>
    <w:qFormat/>
    <w:uiPriority w:val="0"/>
    <w:pPr>
      <w:adjustRightInd w:val="0"/>
      <w:snapToGrid w:val="0"/>
      <w:spacing w:beforeLines="50" w:line="360" w:lineRule="auto"/>
      <w:jc w:val="center"/>
    </w:pPr>
    <w:rPr>
      <w:rFonts w:eastAsia="黑体"/>
      <w:sz w:val="24"/>
      <w:szCs w:val="20"/>
    </w:rPr>
  </w:style>
  <w:style w:type="paragraph" w:customStyle="1" w:styleId="304">
    <w:name w:val="font10"/>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305">
    <w:name w:val="Absatz"/>
    <w:qFormat/>
    <w:uiPriority w:val="0"/>
    <w:pPr>
      <w:widowControl w:val="0"/>
      <w:tabs>
        <w:tab w:val="left" w:pos="0"/>
        <w:tab w:val="left" w:pos="1418"/>
        <w:tab w:val="left" w:pos="2835"/>
        <w:tab w:val="left" w:pos="4251"/>
      </w:tabs>
      <w:spacing w:after="283" w:line="278" w:lineRule="atLeast"/>
      <w:jc w:val="both"/>
    </w:pPr>
    <w:rPr>
      <w:rFonts w:ascii="Helvetica" w:hAnsi="Helvetica" w:eastAsia="宋体" w:cs="Times New Roman"/>
      <w:sz w:val="24"/>
      <w:lang w:val="de-DE" w:eastAsia="zh-CN" w:bidi="ar-SA"/>
    </w:rPr>
  </w:style>
  <w:style w:type="paragraph" w:customStyle="1" w:styleId="306">
    <w:name w:val="Achievement"/>
    <w:basedOn w:val="25"/>
    <w:qFormat/>
    <w:uiPriority w:val="0"/>
    <w:pPr>
      <w:widowControl/>
      <w:overflowPunct w:val="0"/>
      <w:autoSpaceDE w:val="0"/>
      <w:autoSpaceDN w:val="0"/>
      <w:adjustRightInd w:val="0"/>
      <w:spacing w:after="60" w:line="240" w:lineRule="atLeast"/>
      <w:ind w:left="240" w:hanging="240"/>
      <w:textAlignment w:val="baseline"/>
    </w:pPr>
    <w:rPr>
      <w:rFonts w:ascii="Garamond" w:hAnsi="Garamond"/>
      <w:kern w:val="0"/>
      <w:sz w:val="22"/>
      <w:szCs w:val="20"/>
    </w:rPr>
  </w:style>
  <w:style w:type="paragraph" w:customStyle="1" w:styleId="307">
    <w:name w:val="Style Titre 1 + Blanc"/>
    <w:basedOn w:val="9"/>
    <w:qFormat/>
    <w:uiPriority w:val="0"/>
    <w:pPr>
      <w:keepLines w:val="0"/>
      <w:widowControl/>
      <w:shd w:val="clear" w:color="auto" w:fill="0000FF"/>
      <w:spacing w:before="0" w:after="60" w:line="240" w:lineRule="auto"/>
      <w:jc w:val="left"/>
    </w:pPr>
    <w:rPr>
      <w:rFonts w:ascii="Arial" w:hAnsi="Arial" w:cs="Arial"/>
      <w:color w:val="FFFFFF"/>
      <w:kern w:val="0"/>
      <w:sz w:val="24"/>
      <w:szCs w:val="24"/>
      <w:lang w:val="fr-FR"/>
    </w:rPr>
  </w:style>
  <w:style w:type="paragraph" w:customStyle="1" w:styleId="308">
    <w:name w:val="姓名"/>
    <w:basedOn w:val="25"/>
    <w:qFormat/>
    <w:uiPriority w:val="0"/>
    <w:pPr>
      <w:keepNext/>
      <w:widowControl/>
      <w:pBdr>
        <w:left w:val="single" w:color="auto" w:sz="6" w:space="5"/>
      </w:pBdr>
      <w:overflowPunct w:val="0"/>
      <w:autoSpaceDE w:val="0"/>
      <w:autoSpaceDN w:val="0"/>
      <w:adjustRightInd w:val="0"/>
      <w:spacing w:after="80"/>
      <w:jc w:val="left"/>
      <w:textAlignment w:val="baseline"/>
    </w:pPr>
    <w:rPr>
      <w:rFonts w:ascii="Arial" w:hAnsi="Arial"/>
      <w:b/>
      <w:kern w:val="0"/>
      <w:sz w:val="24"/>
      <w:szCs w:val="20"/>
    </w:rPr>
  </w:style>
  <w:style w:type="paragraph" w:customStyle="1" w:styleId="309">
    <w:name w:val="表格"/>
    <w:basedOn w:val="1"/>
    <w:qFormat/>
    <w:uiPriority w:val="0"/>
    <w:pPr>
      <w:jc w:val="center"/>
      <w:textAlignment w:val="center"/>
    </w:pPr>
    <w:rPr>
      <w:rFonts w:ascii="华文细黑" w:hAnsi="华文细黑"/>
      <w:kern w:val="0"/>
      <w:szCs w:val="20"/>
    </w:rPr>
  </w:style>
  <w:style w:type="paragraph" w:customStyle="1" w:styleId="310">
    <w:name w:val="font6"/>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311">
    <w:name w:val="xl27"/>
    <w:basedOn w:val="1"/>
    <w:qFormat/>
    <w:uiPriority w:val="0"/>
    <w:pPr>
      <w:widowControl/>
      <w:overflowPunct w:val="0"/>
      <w:autoSpaceDE w:val="0"/>
      <w:autoSpaceDN w:val="0"/>
      <w:adjustRightInd w:val="0"/>
      <w:spacing w:before="100" w:after="100"/>
      <w:jc w:val="left"/>
      <w:textAlignment w:val="baseline"/>
    </w:pPr>
    <w:rPr>
      <w:rFonts w:ascii="宋体"/>
      <w:kern w:val="0"/>
      <w:sz w:val="24"/>
      <w:szCs w:val="20"/>
    </w:rPr>
  </w:style>
  <w:style w:type="paragraph" w:customStyle="1" w:styleId="312">
    <w:name w:val="Puce2"/>
    <w:basedOn w:val="94"/>
    <w:qFormat/>
    <w:uiPriority w:val="0"/>
    <w:pPr>
      <w:tabs>
        <w:tab w:val="left" w:pos="360"/>
        <w:tab w:val="left" w:pos="645"/>
      </w:tabs>
      <w:ind w:left="1418" w:hanging="284"/>
    </w:pPr>
    <w:rPr>
      <w:rFonts w:ascii="Times New Roman" w:hAnsi="Times New Roman"/>
    </w:rPr>
  </w:style>
  <w:style w:type="paragraph" w:customStyle="1" w:styleId="313">
    <w:name w:val="HL-1"/>
    <w:basedOn w:val="1"/>
    <w:qFormat/>
    <w:uiPriority w:val="0"/>
    <w:pPr>
      <w:widowControl/>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Lines="100" w:line="360" w:lineRule="auto"/>
      <w:jc w:val="left"/>
    </w:pPr>
    <w:rPr>
      <w:b/>
      <w:color w:val="000000"/>
      <w:kern w:val="0"/>
      <w:szCs w:val="21"/>
      <w:u w:val="single"/>
    </w:rPr>
  </w:style>
  <w:style w:type="paragraph" w:customStyle="1" w:styleId="314">
    <w:name w:val="正文文本 21"/>
    <w:basedOn w:val="1"/>
    <w:qFormat/>
    <w:uiPriority w:val="0"/>
    <w:pPr>
      <w:widowControl/>
      <w:tabs>
        <w:tab w:val="left" w:pos="4230"/>
      </w:tabs>
      <w:overflowPunct w:val="0"/>
      <w:autoSpaceDE w:val="0"/>
      <w:autoSpaceDN w:val="0"/>
      <w:adjustRightInd w:val="0"/>
      <w:ind w:left="-99"/>
      <w:jc w:val="left"/>
      <w:textAlignment w:val="baseline"/>
    </w:pPr>
    <w:rPr>
      <w:rFonts w:ascii="Arial" w:hAnsi="Arial"/>
      <w:kern w:val="0"/>
      <w:sz w:val="24"/>
      <w:szCs w:val="20"/>
      <w:lang w:val="en-GB"/>
    </w:rPr>
  </w:style>
  <w:style w:type="paragraph" w:customStyle="1" w:styleId="315">
    <w:name w:val="签字"/>
    <w:basedOn w:val="1"/>
    <w:qFormat/>
    <w:uiPriority w:val="0"/>
    <w:pPr>
      <w:adjustRightInd w:val="0"/>
      <w:snapToGrid w:val="0"/>
      <w:spacing w:line="300" w:lineRule="auto"/>
      <w:ind w:left="4800" w:leftChars="2000"/>
    </w:pPr>
    <w:rPr>
      <w:sz w:val="24"/>
      <w:szCs w:val="20"/>
    </w:rPr>
  </w:style>
  <w:style w:type="paragraph" w:customStyle="1" w:styleId="316">
    <w:name w:val="默认段落字体 Para Char Char Char Char Char Char Char"/>
    <w:basedOn w:val="1"/>
    <w:qFormat/>
    <w:uiPriority w:val="0"/>
    <w:rPr>
      <w:rFonts w:ascii="Tahoma" w:hAnsi="Tahoma"/>
      <w:sz w:val="24"/>
      <w:szCs w:val="20"/>
    </w:rPr>
  </w:style>
  <w:style w:type="paragraph" w:customStyle="1" w:styleId="317">
    <w:name w:val="xl7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kern w:val="0"/>
      <w:sz w:val="24"/>
    </w:rPr>
  </w:style>
  <w:style w:type="paragraph" w:customStyle="1" w:styleId="318">
    <w:name w:val="Style2"/>
    <w:basedOn w:val="8"/>
    <w:next w:val="8"/>
    <w:qFormat/>
    <w:uiPriority w:val="0"/>
    <w:pPr>
      <w:keepLines w:val="0"/>
      <w:widowControl/>
      <w:spacing w:before="240" w:after="60" w:line="240" w:lineRule="auto"/>
    </w:pPr>
    <w:rPr>
      <w:rFonts w:ascii="Times New Roman" w:hAnsi="Times New Roman" w:cs="Arial"/>
      <w:iCs/>
      <w:color w:val="808080"/>
      <w:kern w:val="0"/>
      <w:sz w:val="28"/>
      <w:szCs w:val="28"/>
      <w:lang w:val="fr-FR" w:eastAsia="fr-FR"/>
    </w:rPr>
  </w:style>
  <w:style w:type="paragraph" w:customStyle="1" w:styleId="31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20">
    <w:name w:val="TOC 标题2"/>
    <w:basedOn w:val="7"/>
    <w:next w:val="1"/>
    <w:qFormat/>
    <w:uiPriority w:val="0"/>
    <w:pPr>
      <w:keepLines/>
      <w:widowControl/>
      <w:spacing w:before="240" w:line="259" w:lineRule="auto"/>
      <w:jc w:val="left"/>
      <w:outlineLvl w:val="9"/>
    </w:pPr>
    <w:rPr>
      <w:rFonts w:ascii="等线 Light" w:hAnsi="等线 Light" w:eastAsia="等线 Light"/>
      <w:b w:val="0"/>
      <w:bCs w:val="0"/>
      <w:color w:val="2F5496"/>
      <w:kern w:val="0"/>
      <w:sz w:val="32"/>
      <w:szCs w:val="32"/>
    </w:rPr>
  </w:style>
  <w:style w:type="character" w:customStyle="1" w:styleId="321">
    <w:name w:val="页脚 字符"/>
    <w:qFormat/>
    <w:uiPriority w:val="0"/>
    <w:rPr>
      <w:rFonts w:ascii="Times New Roman" w:hAnsi="Times New Roman" w:eastAsia="宋体" w:cs="Times New Roman"/>
      <w:sz w:val="24"/>
      <w:szCs w:val="24"/>
      <w:lang w:val="fr-FR" w:eastAsia="fr-FR"/>
    </w:rPr>
  </w:style>
  <w:style w:type="character" w:customStyle="1" w:styleId="322">
    <w:name w:val="标题 字符1"/>
    <w:qFormat/>
    <w:uiPriority w:val="0"/>
    <w:rPr>
      <w:rFonts w:ascii="Cambria" w:hAnsi="Cambria" w:eastAsia="宋体" w:cs="Times New Roman"/>
      <w:b/>
      <w:bCs/>
      <w:kern w:val="0"/>
      <w:sz w:val="32"/>
      <w:szCs w:val="32"/>
      <w:lang w:eastAsia="en-US"/>
    </w:rPr>
  </w:style>
  <w:style w:type="paragraph" w:customStyle="1" w:styleId="323">
    <w:name w:val="列出段落11"/>
    <w:basedOn w:val="1"/>
    <w:qFormat/>
    <w:uiPriority w:val="0"/>
    <w:pPr>
      <w:ind w:firstLine="420" w:firstLineChars="200"/>
    </w:pPr>
    <w:rPr>
      <w:rFonts w:ascii="Calibri" w:hAnsi="Calibri"/>
      <w:szCs w:val="22"/>
    </w:rPr>
  </w:style>
  <w:style w:type="table" w:customStyle="1" w:styleId="324">
    <w:name w:val="网格型3"/>
    <w:basedOn w:val="4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5">
    <w:name w:val="网格型4"/>
    <w:basedOn w:val="4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26">
    <w:name w:val="NormalCharacter"/>
    <w:qFormat/>
    <w:uiPriority w:val="0"/>
    <w:rPr>
      <w:rFonts w:ascii="Times New Roman" w:hAnsi="Times New Roman" w:eastAsia="宋体" w:cs="Times New Roman"/>
    </w:rPr>
  </w:style>
  <w:style w:type="paragraph" w:customStyle="1" w:styleId="327">
    <w:name w:val="正文_2"/>
    <w:next w:val="328"/>
    <w:qFormat/>
    <w:uiPriority w:val="0"/>
    <w:pPr>
      <w:widowControl w:val="0"/>
      <w:jc w:val="both"/>
    </w:pPr>
    <w:rPr>
      <w:rFonts w:ascii="Calibri" w:hAnsi="Calibri" w:eastAsia="宋体" w:cs="Times New Roman"/>
      <w:kern w:val="2"/>
      <w:sz w:val="21"/>
      <w:szCs w:val="22"/>
      <w:lang w:val="en-US" w:eastAsia="zh-CN" w:bidi="ar-SA"/>
    </w:rPr>
  </w:style>
  <w:style w:type="paragraph" w:customStyle="1" w:styleId="328">
    <w:name w:val="列出段落1_1"/>
    <w:basedOn w:val="327"/>
    <w:qFormat/>
    <w:uiPriority w:val="0"/>
    <w:pPr>
      <w:ind w:firstLine="420" w:firstLineChars="200"/>
    </w:pPr>
  </w:style>
  <w:style w:type="paragraph" w:customStyle="1" w:styleId="329">
    <w:name w:val="表内文字"/>
    <w:basedOn w:val="1"/>
    <w:qFormat/>
    <w:uiPriority w:val="0"/>
    <w:pPr>
      <w:widowControl/>
      <w:contextualSpacing/>
      <w:jc w:val="center"/>
    </w:pPr>
    <w:rPr>
      <w:color w:val="000000"/>
    </w:rPr>
  </w:style>
  <w:style w:type="paragraph" w:customStyle="1" w:styleId="330">
    <w:name w:val="默认"/>
    <w:qFormat/>
    <w:uiPriority w:val="0"/>
    <w:pPr>
      <w:framePr w:wrap="around" w:vAnchor="margin" w:hAnchor="text" w:y="1"/>
    </w:pPr>
    <w:rPr>
      <w:rFonts w:ascii="Helvetica Neue" w:hAnsi="Helvetica Neue" w:eastAsia="Helvetica Neue" w:cs="Helvetica Neue"/>
      <w:color w:val="000000"/>
      <w:sz w:val="22"/>
      <w:szCs w:val="22"/>
      <w:lang w:val="en-US" w:eastAsia="zh-CN" w:bidi="ar-SA"/>
    </w:rPr>
  </w:style>
  <w:style w:type="paragraph" w:customStyle="1" w:styleId="331">
    <w:name w:val="_Style 328"/>
    <w:unhideWhenUsed/>
    <w:qFormat/>
    <w:uiPriority w:val="99"/>
    <w:rPr>
      <w:rFonts w:ascii="Times New Roman" w:hAnsi="Times New Roman" w:eastAsia="宋体" w:cs="Times New Roman"/>
      <w:kern w:val="2"/>
      <w:sz w:val="21"/>
      <w:szCs w:val="24"/>
      <w:lang w:val="en-US" w:eastAsia="zh-CN" w:bidi="ar-SA"/>
    </w:rPr>
  </w:style>
  <w:style w:type="paragraph" w:customStyle="1" w:styleId="332">
    <w:name w:val="正文_0"/>
    <w:basedOn w:val="333"/>
    <w:qFormat/>
    <w:uiPriority w:val="0"/>
    <w:rPr>
      <w:rFonts w:ascii="Times New Roman" w:hAnsi="Times New Roman"/>
      <w:szCs w:val="21"/>
    </w:rPr>
  </w:style>
  <w:style w:type="paragraph" w:customStyle="1" w:styleId="333">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4">
    <w:name w:val="标题 4_1"/>
    <w:basedOn w:val="333"/>
    <w:next w:val="333"/>
    <w:qFormat/>
    <w:uiPriority w:val="0"/>
    <w:pPr>
      <w:keepNext/>
      <w:keepLines/>
      <w:spacing w:before="280" w:after="290" w:line="376" w:lineRule="auto"/>
      <w:outlineLvl w:val="3"/>
    </w:pPr>
    <w:rPr>
      <w:rFonts w:ascii="Arial" w:hAnsi="Arial" w:eastAsia="黑体"/>
      <w:b/>
      <w:bCs/>
      <w:kern w:val="0"/>
      <w:sz w:val="28"/>
      <w:szCs w:val="28"/>
    </w:rPr>
  </w:style>
  <w:style w:type="character" w:customStyle="1" w:styleId="335">
    <w:name w:val="10"/>
    <w:qFormat/>
    <w:uiPriority w:val="0"/>
    <w:rPr>
      <w:rFonts w:hint="default" w:ascii="Times New Roman" w:hAnsi="Times New Roman" w:cs="Times New Roman"/>
    </w:rPr>
  </w:style>
  <w:style w:type="paragraph" w:customStyle="1" w:styleId="336">
    <w:name w:val="正文_56"/>
    <w:next w:val="33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7">
    <w:name w:val="纯文本_56"/>
    <w:basedOn w:val="336"/>
    <w:qFormat/>
    <w:uiPriority w:val="0"/>
    <w:rPr>
      <w:rFonts w:ascii="宋体" w:hAnsi="Courier New" w:cs="Courier New"/>
      <w:szCs w:val="21"/>
    </w:rPr>
  </w:style>
  <w:style w:type="paragraph" w:customStyle="1" w:styleId="338">
    <w:name w:val="标题 2_1"/>
    <w:basedOn w:val="333"/>
    <w:next w:val="333"/>
    <w:unhideWhenUsed/>
    <w:qFormat/>
    <w:uiPriority w:val="0"/>
    <w:pPr>
      <w:keepNext/>
      <w:keepLines/>
      <w:spacing w:line="360" w:lineRule="auto"/>
      <w:outlineLvl w:val="1"/>
    </w:pPr>
    <w:rPr>
      <w:rFonts w:ascii="Arial" w:hAnsi="Arial"/>
      <w:b/>
      <w:bCs/>
      <w:sz w:val="24"/>
      <w:szCs w:val="32"/>
    </w:rPr>
  </w:style>
  <w:style w:type="paragraph" w:customStyle="1" w:styleId="339">
    <w:name w:val="正文文本缩进_0"/>
    <w:basedOn w:val="333"/>
    <w:unhideWhenUsed/>
    <w:qFormat/>
    <w:uiPriority w:val="0"/>
    <w:pPr>
      <w:spacing w:after="120"/>
      <w:ind w:left="420" w:leftChars="200"/>
    </w:pPr>
  </w:style>
  <w:style w:type="paragraph" w:customStyle="1" w:styleId="340">
    <w:name w:val="Normal_0_0"/>
    <w:qFormat/>
    <w:uiPriority w:val="0"/>
    <w:rPr>
      <w:rFonts w:ascii="Times New Roman" w:hAnsi="Times New Roman" w:eastAsia="Times New Roman" w:cs="Times New Roman"/>
      <w:sz w:val="24"/>
      <w:szCs w:val="24"/>
      <w:lang w:val="en-US" w:eastAsia="zh-CN" w:bidi="ar-SA"/>
    </w:rPr>
  </w:style>
  <w:style w:type="paragraph" w:customStyle="1" w:styleId="341">
    <w:name w:val="标题 2_0"/>
    <w:next w:val="332"/>
    <w:unhideWhenUsed/>
    <w:qFormat/>
    <w:uiPriority w:val="0"/>
    <w:pPr>
      <w:keepNext/>
      <w:keepLines/>
      <w:widowControl w:val="0"/>
      <w:spacing w:line="360" w:lineRule="auto"/>
      <w:jc w:val="both"/>
      <w:outlineLvl w:val="1"/>
    </w:pPr>
    <w:rPr>
      <w:rFonts w:ascii="Arial" w:hAnsi="Arial" w:eastAsia="宋体" w:cs="Times New Roman"/>
      <w:b/>
      <w:bCs/>
      <w:kern w:val="2"/>
      <w:sz w:val="24"/>
      <w:szCs w:val="32"/>
      <w:lang w:val="en-US" w:eastAsia="zh-CN" w:bidi="ar-SA"/>
    </w:rPr>
  </w:style>
  <w:style w:type="paragraph" w:customStyle="1" w:styleId="342">
    <w:name w:val="正文_14"/>
    <w:next w:val="93"/>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343">
    <w:name w:val="正文_15"/>
    <w:next w:val="93"/>
    <w:qFormat/>
    <w:uiPriority w:val="0"/>
    <w:pPr>
      <w:widowControl w:val="0"/>
      <w:jc w:val="both"/>
    </w:pPr>
    <w:rPr>
      <w:rFonts w:ascii="Times New Roman" w:hAnsi="Times New Roman" w:eastAsia="宋体" w:cs="Times New Roman"/>
      <w:kern w:val="2"/>
      <w:sz w:val="21"/>
      <w:szCs w:val="21"/>
      <w:lang w:val="en-US" w:eastAsia="zh-CN" w:bidi="ar-SA"/>
    </w:rPr>
  </w:style>
  <w:style w:type="table" w:customStyle="1" w:styleId="344">
    <w:name w:val="Table Normal"/>
    <w:unhideWhenUsed/>
    <w:qFormat/>
    <w:uiPriority w:val="0"/>
    <w:tblPr>
      <w:tblCellMar>
        <w:top w:w="0" w:type="dxa"/>
        <w:left w:w="0" w:type="dxa"/>
        <w:bottom w:w="0" w:type="dxa"/>
        <w:right w:w="0" w:type="dxa"/>
      </w:tblCellMar>
    </w:tblPr>
  </w:style>
  <w:style w:type="paragraph" w:customStyle="1" w:styleId="345">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346">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347">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348">
    <w:name w:val="其他"/>
    <w:basedOn w:val="1"/>
    <w:qFormat/>
    <w:uiPriority w:val="0"/>
    <w:pPr>
      <w:spacing w:after="140" w:line="434" w:lineRule="auto"/>
      <w:ind w:firstLine="400"/>
      <w:jc w:val="left"/>
    </w:pPr>
    <w:rPr>
      <w:rFonts w:ascii="宋体" w:hAnsi="宋体" w:cs="宋体"/>
      <w:kern w:val="0"/>
      <w:sz w:val="20"/>
      <w:szCs w:val="20"/>
      <w:lang w:val="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75</Pages>
  <Words>1873</Words>
  <Characters>2229</Characters>
  <Lines>334</Lines>
  <Paragraphs>94</Paragraphs>
  <TotalTime>10</TotalTime>
  <ScaleCrop>false</ScaleCrop>
  <LinksUpToDate>false</LinksUpToDate>
  <CharactersWithSpaces>2393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2026-05-26T07:52:00Z</dcterms:created>
  <dc:creator>微软用户</dc:creator>
  <cp:lastModifiedBy>Administrator</cp:lastModifiedBy>
  <cp:lastPrinted>2025-09-01T07:03:00Z</cp:lastPrinted>
  <dcterms:modified xsi:type="dcterms:W3CDTF">2026-10-15T03:52:56Z</dcterms:modified>
  <dc:title>附件2:</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C5ACD19B8F634958B990C51A5EA9B5A7_13</vt:lpwstr>
  </property>
  <property fmtid="{D5CDD505-2E9C-101B-9397-08002B2CF9AE}" pid="4" name="KSOTemplateDocerSaveRecord">
    <vt:lpwstr>eyJoZGlkIjoiOTg0NTM0MjU1NzhlZjc4ZjQ0Nzk5MzYwZDBiYTUxNzgiLCJ1c2VySWQiOiI1NDU5ODMzMjkifQ==</vt:lpwstr>
  </property>
</Properties>
</file>