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adjustRightInd w:val="0"/>
        <w:snapToGrid w:val="0"/>
        <w:spacing w:line="240" w:lineRule="atLeast"/>
        <w:jc w:val="center"/>
        <w:rPr>
          <w:rFonts w:hint="eastAsia" w:hAnsi="宋体" w:cs="宋体"/>
        </w:rPr>
      </w:pPr>
      <w:bookmarkStart w:id="0" w:name="OLE_LINK180"/>
    </w:p>
    <w:p>
      <w:pPr>
        <w:pStyle w:val="22"/>
        <w:adjustRightInd w:val="0"/>
        <w:snapToGrid w:val="0"/>
        <w:spacing w:line="240" w:lineRule="atLeast"/>
        <w:jc w:val="center"/>
        <w:rPr>
          <w:rFonts w:hint="eastAsia" w:hAnsi="宋体" w:cs="宋体"/>
        </w:rPr>
      </w:pPr>
      <w:r>
        <w:rPr>
          <w:rFonts w:hint="eastAsia"/>
          <w:b/>
          <w:sz w:val="32"/>
          <w:szCs w:val="32"/>
        </w:rPr>
        <w:drawing>
          <wp:anchor distT="0" distB="0" distL="114300" distR="114300" simplePos="0" relativeHeight="251660288" behindDoc="0" locked="0" layoutInCell="1" allowOverlap="1">
            <wp:simplePos x="0" y="0"/>
            <wp:positionH relativeFrom="column">
              <wp:posOffset>-121920</wp:posOffset>
            </wp:positionH>
            <wp:positionV relativeFrom="paragraph">
              <wp:posOffset>-172085</wp:posOffset>
            </wp:positionV>
            <wp:extent cx="1009650" cy="790575"/>
            <wp:effectExtent l="0" t="0" r="0" b="9525"/>
            <wp:wrapNone/>
            <wp:docPr id="11" name="Picture 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222"/>
                    <pic:cNvPicPr>
                      <a:picLocks noChangeAspect="1"/>
                    </pic:cNvPicPr>
                  </pic:nvPicPr>
                  <pic:blipFill>
                    <a:blip r:embed="rId11"/>
                    <a:stretch>
                      <a:fillRect/>
                    </a:stretch>
                  </pic:blipFill>
                  <pic:spPr>
                    <a:xfrm>
                      <a:off x="0" y="0"/>
                      <a:ext cx="1009650" cy="790575"/>
                    </a:xfrm>
                    <a:prstGeom prst="rect">
                      <a:avLst/>
                    </a:prstGeom>
                    <a:noFill/>
                    <a:ln w="9525">
                      <a:noFill/>
                    </a:ln>
                  </pic:spPr>
                </pic:pic>
              </a:graphicData>
            </a:graphic>
          </wp:anchor>
        </w:drawing>
      </w:r>
    </w:p>
    <w:p>
      <w:pPr>
        <w:pStyle w:val="22"/>
        <w:adjustRightInd w:val="0"/>
        <w:snapToGrid w:val="0"/>
        <w:spacing w:line="240" w:lineRule="atLeast"/>
        <w:jc w:val="center"/>
        <w:rPr>
          <w:rFonts w:hint="eastAsia" w:hAnsi="宋体" w:cs="宋体"/>
        </w:rPr>
      </w:pPr>
    </w:p>
    <w:p>
      <w:pPr>
        <w:pStyle w:val="22"/>
        <w:adjustRightInd w:val="0"/>
        <w:snapToGrid w:val="0"/>
        <w:spacing w:line="240" w:lineRule="atLeast"/>
        <w:jc w:val="center"/>
        <w:rPr>
          <w:rFonts w:hint="eastAsia" w:hAnsi="宋体" w:cs="宋体"/>
        </w:rPr>
      </w:pPr>
    </w:p>
    <w:p>
      <w:pPr>
        <w:pStyle w:val="22"/>
        <w:adjustRightInd w:val="0"/>
        <w:snapToGrid w:val="0"/>
        <w:spacing w:line="240" w:lineRule="atLeast"/>
        <w:jc w:val="center"/>
        <w:rPr>
          <w:rFonts w:hint="eastAsia" w:hAnsi="宋体" w:cs="宋体"/>
          <w:b/>
          <w:bCs/>
          <w:sz w:val="84"/>
          <w:szCs w:val="84"/>
        </w:rPr>
      </w:pPr>
    </w:p>
    <w:p>
      <w:pPr>
        <w:pStyle w:val="22"/>
        <w:adjustRightInd w:val="0"/>
        <w:snapToGrid w:val="0"/>
        <w:spacing w:line="240" w:lineRule="atLeast"/>
        <w:jc w:val="center"/>
        <w:rPr>
          <w:rFonts w:hint="eastAsia" w:hAnsi="宋体" w:cs="宋体"/>
          <w:b/>
          <w:bCs/>
          <w:sz w:val="84"/>
          <w:szCs w:val="84"/>
        </w:rPr>
      </w:pPr>
      <w:r>
        <w:rPr>
          <w:rFonts w:hint="eastAsia" w:hAnsi="宋体" w:cs="宋体"/>
          <w:b/>
          <w:bCs/>
          <w:sz w:val="84"/>
          <w:szCs w:val="84"/>
        </w:rPr>
        <w:t>政府采购</w:t>
      </w:r>
    </w:p>
    <w:p>
      <w:pPr>
        <w:pStyle w:val="22"/>
        <w:adjustRightInd w:val="0"/>
        <w:snapToGrid w:val="0"/>
        <w:spacing w:line="240" w:lineRule="atLeast"/>
        <w:ind w:firstLine="420"/>
        <w:jc w:val="center"/>
        <w:rPr>
          <w:rFonts w:hint="eastAsia" w:hAnsi="宋体" w:cs="宋体"/>
          <w:b/>
          <w:bCs/>
          <w:sz w:val="84"/>
          <w:szCs w:val="84"/>
        </w:rPr>
      </w:pPr>
      <w:r>
        <w:rPr>
          <w:rFonts w:hint="eastAsia" w:hAnsi="宋体" w:cs="宋体"/>
          <w:b/>
          <w:bCs/>
          <w:sz w:val="84"/>
          <w:szCs w:val="84"/>
        </w:rPr>
        <w:t>公开招标文件</w:t>
      </w:r>
    </w:p>
    <w:p>
      <w:pPr>
        <w:pStyle w:val="22"/>
        <w:adjustRightInd w:val="0"/>
        <w:snapToGrid w:val="0"/>
        <w:spacing w:line="240" w:lineRule="atLeast"/>
        <w:jc w:val="center"/>
        <w:rPr>
          <w:rFonts w:hint="default" w:hAnsi="宋体" w:eastAsia="宋体" w:cs="宋体"/>
          <w:b/>
          <w:bCs/>
          <w:sz w:val="44"/>
          <w:szCs w:val="44"/>
          <w:lang w:val="en-US" w:eastAsia="zh-CN"/>
        </w:rPr>
      </w:pPr>
    </w:p>
    <w:p>
      <w:pPr>
        <w:pStyle w:val="22"/>
        <w:adjustRightInd w:val="0"/>
        <w:snapToGrid w:val="0"/>
        <w:spacing w:line="240" w:lineRule="atLeast"/>
        <w:jc w:val="center"/>
        <w:rPr>
          <w:rFonts w:hint="eastAsia" w:hAnsi="宋体" w:cs="宋体"/>
          <w:b/>
          <w:bCs/>
          <w:sz w:val="44"/>
          <w:szCs w:val="44"/>
        </w:rPr>
      </w:pPr>
    </w:p>
    <w:p>
      <w:pPr>
        <w:pStyle w:val="22"/>
        <w:adjustRightInd w:val="0"/>
        <w:snapToGrid w:val="0"/>
        <w:spacing w:line="240" w:lineRule="atLeast"/>
        <w:rPr>
          <w:rFonts w:hint="eastAsia" w:hAnsi="宋体" w:cs="宋体"/>
          <w:bCs/>
        </w:rPr>
      </w:pPr>
    </w:p>
    <w:p>
      <w:pPr>
        <w:pStyle w:val="22"/>
        <w:adjustRightInd w:val="0"/>
        <w:snapToGrid w:val="0"/>
        <w:spacing w:line="240" w:lineRule="atLeast"/>
        <w:rPr>
          <w:rFonts w:hint="eastAsia" w:hAnsi="宋体" w:cs="宋体"/>
          <w:bCs/>
        </w:rPr>
      </w:pPr>
    </w:p>
    <w:p>
      <w:pPr>
        <w:adjustRightInd w:val="0"/>
        <w:snapToGrid w:val="0"/>
        <w:spacing w:line="360" w:lineRule="auto"/>
        <w:rPr>
          <w:rFonts w:hint="eastAsia" w:ascii="宋体" w:hAnsi="宋体" w:cs="宋体"/>
          <w:b/>
          <w:color w:val="auto"/>
          <w:sz w:val="32"/>
          <w:szCs w:val="32"/>
          <w:highlight w:val="none"/>
        </w:rPr>
      </w:pPr>
      <w:bookmarkStart w:id="1" w:name="OLE_LINK134"/>
    </w:p>
    <w:p>
      <w:pPr>
        <w:adjustRightInd w:val="0"/>
        <w:snapToGrid w:val="0"/>
        <w:spacing w:line="360" w:lineRule="auto"/>
        <w:ind w:left="3404" w:leftChars="550" w:hanging="2249" w:hangingChars="7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采购项目名称：</w:t>
      </w:r>
      <w:bookmarkStart w:id="2" w:name="OLE_LINK39"/>
      <w:r>
        <w:rPr>
          <w:rFonts w:hint="eastAsia" w:ascii="宋体" w:hAnsi="宋体" w:cs="宋体"/>
          <w:bCs/>
          <w:color w:val="auto"/>
          <w:sz w:val="32"/>
          <w:szCs w:val="32"/>
          <w:highlight w:val="none"/>
          <w:lang w:eastAsia="zh-CN"/>
        </w:rPr>
        <w:t>湖南化工职业技术学院先进制造工程中心（</w:t>
      </w:r>
      <w:bookmarkStart w:id="3" w:name="OLE_LINK88"/>
      <w:r>
        <w:rPr>
          <w:rFonts w:hint="eastAsia" w:ascii="宋体" w:hAnsi="宋体" w:cs="宋体"/>
          <w:bCs/>
          <w:color w:val="auto"/>
          <w:sz w:val="32"/>
          <w:szCs w:val="32"/>
          <w:highlight w:val="none"/>
          <w:lang w:eastAsia="zh-CN"/>
        </w:rPr>
        <w:t>数控加工实训室</w:t>
      </w:r>
      <w:bookmarkEnd w:id="3"/>
      <w:r>
        <w:rPr>
          <w:rFonts w:hint="eastAsia" w:ascii="宋体" w:hAnsi="宋体" w:cs="宋体"/>
          <w:bCs/>
          <w:color w:val="auto"/>
          <w:sz w:val="32"/>
          <w:szCs w:val="32"/>
          <w:highlight w:val="none"/>
          <w:lang w:eastAsia="zh-CN"/>
        </w:rPr>
        <w:t>）</w:t>
      </w:r>
      <w:bookmarkEnd w:id="2"/>
    </w:p>
    <w:p>
      <w:pPr>
        <w:adjustRightInd w:val="0"/>
        <w:snapToGrid w:val="0"/>
        <w:spacing w:line="480" w:lineRule="auto"/>
        <w:ind w:firstLine="1124" w:firstLineChars="350"/>
        <w:rPr>
          <w:rFonts w:hint="eastAsia" w:ascii="宋体" w:hAnsi="宋体" w:cs="宋体"/>
          <w:b/>
          <w:color w:val="auto"/>
          <w:sz w:val="32"/>
          <w:szCs w:val="32"/>
          <w:highlight w:val="none"/>
        </w:rPr>
      </w:pPr>
      <w:r>
        <w:rPr>
          <w:rFonts w:hint="eastAsia" w:ascii="宋体" w:hAnsi="宋体" w:cs="宋体"/>
          <w:b/>
          <w:color w:val="auto"/>
          <w:sz w:val="32"/>
          <w:szCs w:val="32"/>
          <w:highlight w:val="none"/>
        </w:rPr>
        <w:t>政府采购编号：</w:t>
      </w:r>
      <w:bookmarkStart w:id="4" w:name="OLE_LINK135"/>
      <w:r>
        <w:rPr>
          <w:rFonts w:hint="eastAsia" w:ascii="宋体" w:hAnsi="宋体" w:cs="宋体"/>
          <w:bCs/>
          <w:color w:val="auto"/>
          <w:sz w:val="32"/>
          <w:szCs w:val="32"/>
          <w:highlight w:val="none"/>
          <w:lang w:eastAsia="zh-CN"/>
        </w:rPr>
        <w:t>CGXM2026430000000173</w:t>
      </w:r>
      <w:bookmarkEnd w:id="4"/>
    </w:p>
    <w:p>
      <w:pPr>
        <w:adjustRightInd w:val="0"/>
        <w:snapToGrid w:val="0"/>
        <w:spacing w:line="480" w:lineRule="auto"/>
        <w:ind w:firstLine="1124" w:firstLineChars="350"/>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采购代理编号：</w:t>
      </w:r>
      <w:bookmarkStart w:id="5" w:name="OLE_LINK132"/>
      <w:r>
        <w:rPr>
          <w:rFonts w:hint="eastAsia" w:ascii="宋体" w:hAnsi="宋体" w:cs="宋体"/>
          <w:bCs/>
          <w:color w:val="auto"/>
          <w:sz w:val="32"/>
          <w:szCs w:val="32"/>
          <w:highlight w:val="none"/>
          <w:lang w:eastAsia="zh-CN"/>
        </w:rPr>
        <w:t>HNWD-GPA-A26008</w:t>
      </w:r>
      <w:bookmarkEnd w:id="5"/>
    </w:p>
    <w:p>
      <w:pPr>
        <w:adjustRightInd w:val="0"/>
        <w:snapToGrid w:val="0"/>
        <w:spacing w:line="480" w:lineRule="auto"/>
        <w:ind w:firstLine="1124" w:firstLineChars="350"/>
        <w:rPr>
          <w:rFonts w:hint="eastAsia" w:ascii="宋体" w:hAnsi="宋体" w:cs="宋体"/>
          <w:b/>
          <w:color w:val="auto"/>
          <w:sz w:val="32"/>
          <w:szCs w:val="32"/>
          <w:highlight w:val="none"/>
        </w:rPr>
      </w:pPr>
      <w:r>
        <w:rPr>
          <w:rFonts w:hint="eastAsia" w:ascii="宋体" w:hAnsi="宋体" w:cs="宋体"/>
          <w:b/>
          <w:color w:val="auto"/>
          <w:sz w:val="32"/>
          <w:szCs w:val="32"/>
          <w:highlight w:val="none"/>
        </w:rPr>
        <w:t>采   购   人：</w:t>
      </w:r>
      <w:bookmarkStart w:id="6" w:name="OLE_LINK90"/>
      <w:r>
        <w:rPr>
          <w:rFonts w:hint="eastAsia" w:ascii="宋体" w:hAnsi="宋体" w:cs="宋体"/>
          <w:bCs/>
          <w:color w:val="auto"/>
          <w:sz w:val="32"/>
          <w:szCs w:val="32"/>
          <w:highlight w:val="none"/>
        </w:rPr>
        <w:t>湖南化工职业技术学院</w:t>
      </w:r>
      <w:bookmarkEnd w:id="6"/>
    </w:p>
    <w:p>
      <w:pPr>
        <w:adjustRightInd w:val="0"/>
        <w:snapToGrid w:val="0"/>
        <w:spacing w:line="480" w:lineRule="auto"/>
        <w:ind w:firstLine="1124" w:firstLineChars="350"/>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r>
        <w:rPr>
          <w:rFonts w:hint="eastAsia" w:ascii="宋体" w:hAnsi="宋体" w:cs="宋体"/>
          <w:bCs/>
          <w:color w:val="auto"/>
          <w:sz w:val="32"/>
          <w:szCs w:val="32"/>
          <w:highlight w:val="none"/>
        </w:rPr>
        <w:t>湖南万达项目管理有限公司</w:t>
      </w:r>
    </w:p>
    <w:p>
      <w:pPr>
        <w:adjustRightInd w:val="0"/>
        <w:snapToGrid w:val="0"/>
        <w:spacing w:line="480" w:lineRule="auto"/>
        <w:ind w:firstLine="1124" w:firstLineChars="350"/>
        <w:rPr>
          <w:rFonts w:hint="eastAsia" w:ascii="宋体" w:hAnsi="宋体" w:cs="宋体"/>
          <w:bCs/>
          <w:color w:val="auto"/>
          <w:sz w:val="32"/>
          <w:szCs w:val="32"/>
          <w:highlight w:val="none"/>
        </w:rPr>
      </w:pPr>
      <w:r>
        <w:rPr>
          <w:rFonts w:hint="eastAsia" w:ascii="宋体" w:hAnsi="宋体" w:cs="宋体"/>
          <w:b/>
          <w:color w:val="auto"/>
          <w:sz w:val="32"/>
          <w:szCs w:val="32"/>
          <w:highlight w:val="none"/>
        </w:rPr>
        <w:t>日        期：</w:t>
      </w:r>
      <w:r>
        <w:rPr>
          <w:rFonts w:hint="eastAsia" w:ascii="宋体" w:hAnsi="宋体" w:cs="宋体"/>
          <w:bCs/>
          <w:color w:val="auto"/>
          <w:sz w:val="32"/>
          <w:szCs w:val="32"/>
          <w:highlight w:val="none"/>
        </w:rPr>
        <w:t>二〇二</w:t>
      </w:r>
      <w:r>
        <w:rPr>
          <w:rFonts w:hint="eastAsia" w:ascii="宋体" w:hAnsi="宋体" w:cs="宋体"/>
          <w:bCs/>
          <w:color w:val="auto"/>
          <w:sz w:val="32"/>
          <w:szCs w:val="32"/>
          <w:highlight w:val="none"/>
          <w:lang w:eastAsia="zh-CN"/>
        </w:rPr>
        <w:t>六</w:t>
      </w:r>
      <w:r>
        <w:rPr>
          <w:rFonts w:hint="eastAsia" w:ascii="宋体" w:hAnsi="宋体" w:cs="宋体"/>
          <w:bCs/>
          <w:color w:val="auto"/>
          <w:sz w:val="32"/>
          <w:szCs w:val="32"/>
          <w:highlight w:val="none"/>
        </w:rPr>
        <w:t>年</w:t>
      </w:r>
      <w:r>
        <w:rPr>
          <w:rFonts w:hint="eastAsia" w:ascii="宋体" w:hAnsi="宋体" w:cs="宋体"/>
          <w:bCs/>
          <w:color w:val="auto"/>
          <w:sz w:val="32"/>
          <w:szCs w:val="32"/>
          <w:highlight w:val="none"/>
          <w:lang w:eastAsia="zh-CN"/>
        </w:rPr>
        <w:t>七</w:t>
      </w:r>
      <w:r>
        <w:rPr>
          <w:rFonts w:hint="eastAsia" w:ascii="宋体" w:hAnsi="宋体" w:cs="宋体"/>
          <w:bCs/>
          <w:color w:val="auto"/>
          <w:sz w:val="32"/>
          <w:szCs w:val="32"/>
          <w:highlight w:val="none"/>
        </w:rPr>
        <w:t>月</w:t>
      </w:r>
      <w:bookmarkEnd w:id="0"/>
    </w:p>
    <w:p>
      <w:pPr>
        <w:pStyle w:val="22"/>
        <w:adjustRightInd w:val="0"/>
        <w:snapToGrid w:val="0"/>
        <w:spacing w:line="240" w:lineRule="atLeast"/>
        <w:rPr>
          <w:rFonts w:hint="eastAsia" w:hAnsi="宋体" w:cs="宋体"/>
          <w:b/>
          <w:color w:val="auto"/>
          <w:sz w:val="32"/>
          <w:highlight w:val="none"/>
        </w:rPr>
        <w:sectPr>
          <w:headerReference r:id="rId3" w:type="default"/>
          <w:pgSz w:w="11905" w:h="16838"/>
          <w:pgMar w:top="1440" w:right="1417" w:bottom="1440" w:left="1417" w:header="1020" w:footer="567" w:gutter="0"/>
          <w:pgBorders>
            <w:top w:val="none" w:sz="0" w:space="0"/>
            <w:left w:val="none" w:sz="0" w:space="0"/>
            <w:bottom w:val="none" w:sz="0" w:space="0"/>
            <w:right w:val="none" w:sz="0" w:space="0"/>
          </w:pgBorders>
          <w:cols w:space="0" w:num="1"/>
          <w:docGrid w:type="lines" w:linePitch="317" w:charSpace="0"/>
        </w:sectPr>
      </w:pPr>
    </w:p>
    <w:p>
      <w:pPr>
        <w:pStyle w:val="22"/>
        <w:adjustRightInd w:val="0"/>
        <w:snapToGrid w:val="0"/>
        <w:spacing w:line="360" w:lineRule="auto"/>
        <w:jc w:val="center"/>
        <w:rPr>
          <w:rFonts w:hint="eastAsia" w:hAnsi="宋体" w:cs="宋体"/>
          <w:b/>
          <w:color w:val="auto"/>
          <w:spacing w:val="160"/>
          <w:sz w:val="36"/>
          <w:szCs w:val="36"/>
          <w:highlight w:val="none"/>
        </w:rPr>
      </w:pPr>
      <w:r>
        <w:rPr>
          <w:rFonts w:hint="eastAsia" w:hAnsi="宋体" w:cs="宋体"/>
          <w:b/>
          <w:color w:val="auto"/>
          <w:spacing w:val="160"/>
          <w:sz w:val="36"/>
          <w:szCs w:val="36"/>
          <w:highlight w:val="none"/>
        </w:rPr>
        <w:t>目录</w:t>
      </w:r>
    </w:p>
    <w:p>
      <w:pPr>
        <w:pStyle w:val="28"/>
        <w:tabs>
          <w:tab w:val="right" w:leader="dot" w:pos="8731"/>
        </w:tabs>
        <w:rPr>
          <w:rFonts w:hint="eastAsia"/>
          <w:color w:val="auto"/>
          <w:highlight w:val="none"/>
        </w:rPr>
      </w:pPr>
      <w:r>
        <w:rPr>
          <w:rStyle w:val="45"/>
          <w:rFonts w:hint="eastAsia"/>
          <w:b w:val="0"/>
          <w:color w:val="auto"/>
          <w:highlight w:val="none"/>
        </w:rPr>
        <w:fldChar w:fldCharType="begin"/>
      </w:r>
      <w:r>
        <w:rPr>
          <w:rStyle w:val="45"/>
          <w:rFonts w:hint="eastAsia" w:ascii="宋体" w:hAnsi="宋体" w:eastAsia="宋体" w:cs="宋体"/>
          <w:b w:val="0"/>
          <w:color w:val="auto"/>
          <w:highlight w:val="none"/>
        </w:rPr>
        <w:instrText xml:space="preserve"> TOC \o "1-4" \h \z \u </w:instrText>
      </w:r>
      <w:r>
        <w:rPr>
          <w:rStyle w:val="45"/>
          <w:rFonts w:hint="eastAsia"/>
          <w:b w:val="0"/>
          <w:color w:val="auto"/>
          <w:highlight w:val="none"/>
        </w:rPr>
        <w:fldChar w:fldCharType="separate"/>
      </w:r>
      <w:r>
        <w:rPr>
          <w:color w:val="auto"/>
          <w:highlight w:val="none"/>
        </w:rPr>
        <w:fldChar w:fldCharType="begin"/>
      </w:r>
      <w:r>
        <w:rPr>
          <w:color w:val="auto"/>
          <w:highlight w:val="none"/>
        </w:rPr>
        <w:instrText xml:space="preserve"> HYPERLINK \l "_Toc6599" </w:instrText>
      </w:r>
      <w:r>
        <w:rPr>
          <w:color w:val="auto"/>
          <w:highlight w:val="none"/>
        </w:rPr>
        <w:fldChar w:fldCharType="separate"/>
      </w:r>
      <w:r>
        <w:rPr>
          <w:rFonts w:hint="eastAsia" w:ascii="宋体" w:hAnsi="宋体" w:eastAsia="宋体" w:cs="宋体"/>
          <w:color w:val="auto"/>
          <w:szCs w:val="32"/>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_Toc6599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"_Toc14812" </w:instrText>
      </w:r>
      <w:r>
        <w:rPr>
          <w:color w:val="auto"/>
          <w:highlight w:val="none"/>
        </w:rPr>
        <w:fldChar w:fldCharType="separate"/>
      </w:r>
      <w:r>
        <w:rPr>
          <w:rFonts w:hint="eastAsia" w:ascii="宋体" w:hAnsi="宋体" w:eastAsia="宋体" w:cs="宋体"/>
          <w:color w:val="auto"/>
          <w:szCs w:val="32"/>
          <w:highlight w:val="none"/>
        </w:rPr>
        <w:t>第二章 投标须知</w:t>
      </w:r>
      <w:r>
        <w:rPr>
          <w:color w:val="auto"/>
          <w:highlight w:val="none"/>
        </w:rPr>
        <w:tab/>
      </w:r>
      <w:r>
        <w:rPr>
          <w:color w:val="auto"/>
          <w:highlight w:val="none"/>
        </w:rPr>
        <w:fldChar w:fldCharType="begin"/>
      </w:r>
      <w:r>
        <w:rPr>
          <w:color w:val="auto"/>
          <w:highlight w:val="none"/>
        </w:rPr>
        <w:instrText xml:space="preserve"> PAGEREF _Toc14812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"_Toc13073" </w:instrText>
      </w:r>
      <w:r>
        <w:rPr>
          <w:color w:val="auto"/>
          <w:highlight w:val="none"/>
        </w:rPr>
        <w:fldChar w:fldCharType="separate"/>
      </w:r>
      <w:r>
        <w:rPr>
          <w:rFonts w:hint="eastAsia" w:ascii="宋体" w:hAnsi="宋体" w:eastAsia="宋体" w:cs="宋体"/>
          <w:color w:val="auto"/>
          <w:szCs w:val="28"/>
          <w:highlight w:val="none"/>
        </w:rPr>
        <w:t>第一节 投标须知前附表</w:t>
      </w:r>
      <w:r>
        <w:rPr>
          <w:color w:val="auto"/>
          <w:highlight w:val="none"/>
        </w:rPr>
        <w:tab/>
      </w:r>
      <w:r>
        <w:rPr>
          <w:color w:val="auto"/>
          <w:highlight w:val="none"/>
        </w:rPr>
        <w:fldChar w:fldCharType="begin"/>
      </w:r>
      <w:r>
        <w:rPr>
          <w:color w:val="auto"/>
          <w:highlight w:val="none"/>
        </w:rPr>
        <w:instrText xml:space="preserve"> PAGEREF _Toc13073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"_Toc2180" </w:instrText>
      </w:r>
      <w:r>
        <w:rPr>
          <w:color w:val="auto"/>
          <w:highlight w:val="none"/>
        </w:rPr>
        <w:fldChar w:fldCharType="separate"/>
      </w:r>
      <w:r>
        <w:rPr>
          <w:rFonts w:hint="eastAsia" w:ascii="宋体" w:hAnsi="宋体" w:eastAsia="宋体" w:cs="宋体"/>
          <w:color w:val="auto"/>
          <w:szCs w:val="28"/>
          <w:highlight w:val="none"/>
        </w:rPr>
        <w:t>第二节 投标须知</w:t>
      </w:r>
      <w:r>
        <w:rPr>
          <w:color w:val="auto"/>
          <w:highlight w:val="none"/>
        </w:rPr>
        <w:tab/>
      </w:r>
      <w:r>
        <w:rPr>
          <w:color w:val="auto"/>
          <w:highlight w:val="none"/>
        </w:rPr>
        <w:fldChar w:fldCharType="begin"/>
      </w:r>
      <w:r>
        <w:rPr>
          <w:color w:val="auto"/>
          <w:highlight w:val="none"/>
        </w:rPr>
        <w:instrText xml:space="preserve"> PAGEREF _Toc2180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"_Toc7332" </w:instrText>
      </w:r>
      <w:r>
        <w:rPr>
          <w:color w:val="auto"/>
          <w:highlight w:val="none"/>
        </w:rPr>
        <w:fldChar w:fldCharType="separate"/>
      </w:r>
      <w:r>
        <w:rPr>
          <w:rFonts w:hint="eastAsia" w:ascii="宋体" w:hAnsi="宋体" w:eastAsia="宋体" w:cs="宋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_Toc7332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"_Toc23498" </w:instrText>
      </w:r>
      <w:r>
        <w:rPr>
          <w:color w:val="auto"/>
          <w:highlight w:val="none"/>
        </w:rPr>
        <w:fldChar w:fldCharType="separate"/>
      </w:r>
      <w:r>
        <w:rPr>
          <w:rFonts w:hint="eastAsia" w:ascii="宋体" w:hAnsi="宋体" w:eastAsia="宋体" w:cs="宋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_Toc23498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"_Toc16636" </w:instrText>
      </w:r>
      <w:r>
        <w:rPr>
          <w:color w:val="auto"/>
          <w:highlight w:val="none"/>
        </w:rPr>
        <w:fldChar w:fldCharType="separate"/>
      </w:r>
      <w:r>
        <w:rPr>
          <w:rFonts w:hint="eastAsia" w:ascii="宋体" w:hAnsi="宋体" w:eastAsia="宋体" w:cs="宋体"/>
          <w:color w:val="auto"/>
          <w:szCs w:val="28"/>
          <w:highlight w:val="none"/>
        </w:rPr>
        <w:t>三、投标文件</w:t>
      </w:r>
      <w:r>
        <w:rPr>
          <w:color w:val="auto"/>
          <w:highlight w:val="none"/>
        </w:rPr>
        <w:tab/>
      </w:r>
      <w:r>
        <w:rPr>
          <w:color w:val="auto"/>
          <w:highlight w:val="none"/>
        </w:rPr>
        <w:fldChar w:fldCharType="begin"/>
      </w:r>
      <w:r>
        <w:rPr>
          <w:color w:val="auto"/>
          <w:highlight w:val="none"/>
        </w:rPr>
        <w:instrText xml:space="preserve"> PAGEREF _Toc16636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"_Toc10725" </w:instrText>
      </w:r>
      <w:r>
        <w:rPr>
          <w:color w:val="auto"/>
          <w:highlight w:val="none"/>
        </w:rPr>
        <w:fldChar w:fldCharType="separate"/>
      </w:r>
      <w:r>
        <w:rPr>
          <w:rFonts w:hint="eastAsia" w:ascii="宋体" w:hAnsi="宋体" w:eastAsia="宋体" w:cs="宋体"/>
          <w:color w:val="auto"/>
          <w:szCs w:val="28"/>
          <w:highlight w:val="none"/>
        </w:rPr>
        <w:t>四、投标</w:t>
      </w:r>
      <w:r>
        <w:rPr>
          <w:color w:val="auto"/>
          <w:highlight w:val="none"/>
        </w:rPr>
        <w:tab/>
      </w:r>
      <w:r>
        <w:rPr>
          <w:color w:val="auto"/>
          <w:highlight w:val="none"/>
        </w:rPr>
        <w:fldChar w:fldCharType="begin"/>
      </w:r>
      <w:r>
        <w:rPr>
          <w:color w:val="auto"/>
          <w:highlight w:val="none"/>
        </w:rPr>
        <w:instrText xml:space="preserve"> PAGEREF _Toc10725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"_Toc25691" </w:instrText>
      </w:r>
      <w:r>
        <w:rPr>
          <w:color w:val="auto"/>
          <w:highlight w:val="none"/>
        </w:rPr>
        <w:fldChar w:fldCharType="separate"/>
      </w:r>
      <w:r>
        <w:rPr>
          <w:rFonts w:hint="eastAsia" w:ascii="宋体" w:hAnsi="宋体" w:eastAsia="宋体" w:cs="宋体"/>
          <w:color w:val="auto"/>
          <w:szCs w:val="28"/>
          <w:highlight w:val="none"/>
        </w:rPr>
        <w:t>五、开标，资格审查和评标</w:t>
      </w:r>
      <w:r>
        <w:rPr>
          <w:color w:val="auto"/>
          <w:highlight w:val="none"/>
        </w:rPr>
        <w:tab/>
      </w:r>
      <w:r>
        <w:rPr>
          <w:color w:val="auto"/>
          <w:highlight w:val="none"/>
        </w:rPr>
        <w:fldChar w:fldCharType="begin"/>
      </w:r>
      <w:r>
        <w:rPr>
          <w:color w:val="auto"/>
          <w:highlight w:val="none"/>
        </w:rPr>
        <w:instrText xml:space="preserve"> PAGEREF _Toc25691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"_Toc22872" </w:instrText>
      </w:r>
      <w:r>
        <w:rPr>
          <w:color w:val="auto"/>
          <w:highlight w:val="none"/>
        </w:rPr>
        <w:fldChar w:fldCharType="separate"/>
      </w:r>
      <w:r>
        <w:rPr>
          <w:rFonts w:hint="eastAsia" w:ascii="宋体" w:hAnsi="宋体" w:eastAsia="宋体" w:cs="宋体"/>
          <w:color w:val="auto"/>
          <w:szCs w:val="28"/>
          <w:highlight w:val="none"/>
        </w:rPr>
        <w:t>六、中标信息公布</w:t>
      </w:r>
      <w:r>
        <w:rPr>
          <w:color w:val="auto"/>
          <w:highlight w:val="none"/>
        </w:rPr>
        <w:tab/>
      </w:r>
      <w:r>
        <w:rPr>
          <w:color w:val="auto"/>
          <w:highlight w:val="none"/>
        </w:rPr>
        <w:fldChar w:fldCharType="begin"/>
      </w:r>
      <w:r>
        <w:rPr>
          <w:color w:val="auto"/>
          <w:highlight w:val="none"/>
        </w:rPr>
        <w:instrText xml:space="preserve"> PAGEREF _Toc22872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"_Toc16755" </w:instrText>
      </w:r>
      <w:r>
        <w:rPr>
          <w:color w:val="auto"/>
          <w:highlight w:val="none"/>
        </w:rPr>
        <w:fldChar w:fldCharType="separate"/>
      </w:r>
      <w:r>
        <w:rPr>
          <w:rFonts w:hint="eastAsia" w:ascii="宋体" w:hAnsi="宋体" w:eastAsia="宋体" w:cs="宋体"/>
          <w:color w:val="auto"/>
          <w:szCs w:val="28"/>
          <w:highlight w:val="none"/>
        </w:rPr>
        <w:t>七、合同签订</w:t>
      </w:r>
      <w:r>
        <w:rPr>
          <w:color w:val="auto"/>
          <w:highlight w:val="none"/>
        </w:rPr>
        <w:tab/>
      </w:r>
      <w:r>
        <w:rPr>
          <w:color w:val="auto"/>
          <w:highlight w:val="none"/>
        </w:rPr>
        <w:fldChar w:fldCharType="begin"/>
      </w:r>
      <w:r>
        <w:rPr>
          <w:color w:val="auto"/>
          <w:highlight w:val="none"/>
        </w:rPr>
        <w:instrText xml:space="preserve"> PAGEREF _Toc16755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"_Toc22364" </w:instrText>
      </w:r>
      <w:r>
        <w:rPr>
          <w:color w:val="auto"/>
          <w:highlight w:val="none"/>
        </w:rPr>
        <w:fldChar w:fldCharType="separate"/>
      </w:r>
      <w:r>
        <w:rPr>
          <w:rFonts w:hint="eastAsia" w:ascii="宋体" w:hAnsi="宋体" w:eastAsia="宋体" w:cs="宋体"/>
          <w:color w:val="auto"/>
          <w:szCs w:val="28"/>
          <w:highlight w:val="none"/>
        </w:rPr>
        <w:t>八、政府采购政策</w:t>
      </w:r>
      <w:r>
        <w:rPr>
          <w:color w:val="auto"/>
          <w:highlight w:val="none"/>
        </w:rPr>
        <w:tab/>
      </w:r>
      <w:r>
        <w:rPr>
          <w:color w:val="auto"/>
          <w:highlight w:val="none"/>
        </w:rPr>
        <w:fldChar w:fldCharType="begin"/>
      </w:r>
      <w:r>
        <w:rPr>
          <w:color w:val="auto"/>
          <w:highlight w:val="none"/>
        </w:rPr>
        <w:instrText xml:space="preserve"> PAGEREF _Toc22364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"_Toc165" </w:instrText>
      </w:r>
      <w:r>
        <w:rPr>
          <w:color w:val="auto"/>
          <w:highlight w:val="none"/>
        </w:rPr>
        <w:fldChar w:fldCharType="separate"/>
      </w:r>
      <w:r>
        <w:rPr>
          <w:rFonts w:hint="eastAsia" w:ascii="宋体" w:hAnsi="宋体" w:eastAsia="宋体" w:cs="宋体"/>
          <w:color w:val="auto"/>
          <w:szCs w:val="28"/>
          <w:highlight w:val="none"/>
        </w:rPr>
        <w:t>九、其他规定</w:t>
      </w:r>
      <w:r>
        <w:rPr>
          <w:color w:val="auto"/>
          <w:highlight w:val="none"/>
        </w:rPr>
        <w:tab/>
      </w:r>
      <w:bookmarkStart w:id="334" w:name="_GoBack"/>
      <w:bookmarkEnd w:id="334"/>
      <w:r>
        <w:rPr>
          <w:color w:val="auto"/>
          <w:highlight w:val="none"/>
        </w:rPr>
        <w:fldChar w:fldCharType="begin"/>
      </w:r>
      <w:r>
        <w:rPr>
          <w:color w:val="auto"/>
          <w:highlight w:val="none"/>
        </w:rPr>
        <w:instrText xml:space="preserve"> PAGEREF _Toc165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"_Toc688" </w:instrText>
      </w:r>
      <w:r>
        <w:rPr>
          <w:color w:val="auto"/>
          <w:highlight w:val="none"/>
        </w:rPr>
        <w:fldChar w:fldCharType="separate"/>
      </w:r>
      <w:r>
        <w:rPr>
          <w:rFonts w:hint="eastAsia" w:ascii="宋体" w:hAnsi="宋体" w:eastAsia="宋体" w:cs="宋体"/>
          <w:color w:val="auto"/>
          <w:szCs w:val="32"/>
          <w:highlight w:val="none"/>
        </w:rPr>
        <w:t>第三章 资格审查</w:t>
      </w:r>
      <w:r>
        <w:rPr>
          <w:color w:val="auto"/>
          <w:highlight w:val="none"/>
        </w:rPr>
        <w:tab/>
      </w:r>
      <w:r>
        <w:rPr>
          <w:color w:val="auto"/>
          <w:highlight w:val="none"/>
        </w:rPr>
        <w:fldChar w:fldCharType="begin"/>
      </w:r>
      <w:r>
        <w:rPr>
          <w:color w:val="auto"/>
          <w:highlight w:val="none"/>
        </w:rPr>
        <w:instrText xml:space="preserve"> PAGEREF _Toc688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"_Toc1546" </w:instrText>
      </w:r>
      <w:r>
        <w:rPr>
          <w:color w:val="auto"/>
          <w:highlight w:val="none"/>
        </w:rPr>
        <w:fldChar w:fldCharType="separate"/>
      </w:r>
      <w:r>
        <w:rPr>
          <w:rFonts w:hint="eastAsia" w:ascii="宋体" w:hAnsi="宋体" w:eastAsia="宋体" w:cs="宋体"/>
          <w:color w:val="auto"/>
          <w:highlight w:val="none"/>
        </w:rPr>
        <w:t>1．资格审查主体</w:t>
      </w:r>
      <w:r>
        <w:rPr>
          <w:color w:val="auto"/>
          <w:highlight w:val="none"/>
        </w:rPr>
        <w:tab/>
      </w:r>
      <w:r>
        <w:rPr>
          <w:color w:val="auto"/>
          <w:highlight w:val="none"/>
        </w:rPr>
        <w:fldChar w:fldCharType="begin"/>
      </w:r>
      <w:r>
        <w:rPr>
          <w:color w:val="auto"/>
          <w:highlight w:val="none"/>
        </w:rPr>
        <w:instrText xml:space="preserve"> PAGEREF _Toc1546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"_Toc5628" </w:instrText>
      </w:r>
      <w:r>
        <w:rPr>
          <w:color w:val="auto"/>
          <w:highlight w:val="none"/>
        </w:rPr>
        <w:fldChar w:fldCharType="separate"/>
      </w:r>
      <w:r>
        <w:rPr>
          <w:rFonts w:hint="eastAsia" w:ascii="宋体" w:hAnsi="宋体" w:eastAsia="宋体" w:cs="宋体"/>
          <w:color w:val="auto"/>
          <w:highlight w:val="none"/>
        </w:rPr>
        <w:t>2．资格审查</w:t>
      </w:r>
      <w:r>
        <w:rPr>
          <w:color w:val="auto"/>
          <w:highlight w:val="none"/>
        </w:rPr>
        <w:tab/>
      </w:r>
      <w:r>
        <w:rPr>
          <w:color w:val="auto"/>
          <w:highlight w:val="none"/>
        </w:rPr>
        <w:fldChar w:fldCharType="begin"/>
      </w:r>
      <w:r>
        <w:rPr>
          <w:color w:val="auto"/>
          <w:highlight w:val="none"/>
        </w:rPr>
        <w:instrText xml:space="preserve"> PAGEREF _Toc5628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"_Toc13527" </w:instrText>
      </w:r>
      <w:r>
        <w:rPr>
          <w:color w:val="auto"/>
          <w:highlight w:val="none"/>
        </w:rPr>
        <w:fldChar w:fldCharType="separate"/>
      </w:r>
      <w:r>
        <w:rPr>
          <w:rFonts w:hint="eastAsia" w:ascii="宋体" w:hAnsi="宋体" w:eastAsia="宋体" w:cs="宋体"/>
          <w:color w:val="auto"/>
          <w:highlight w:val="none"/>
        </w:rPr>
        <w:t>3．资格审查结果</w:t>
      </w:r>
      <w:r>
        <w:rPr>
          <w:color w:val="auto"/>
          <w:highlight w:val="none"/>
        </w:rPr>
        <w:tab/>
      </w:r>
      <w:r>
        <w:rPr>
          <w:color w:val="auto"/>
          <w:highlight w:val="none"/>
        </w:rPr>
        <w:fldChar w:fldCharType="begin"/>
      </w:r>
      <w:r>
        <w:rPr>
          <w:color w:val="auto"/>
          <w:highlight w:val="none"/>
        </w:rPr>
        <w:instrText xml:space="preserve"> PAGEREF _Toc13527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"_Toc20416" </w:instrText>
      </w:r>
      <w:r>
        <w:rPr>
          <w:color w:val="auto"/>
          <w:highlight w:val="none"/>
        </w:rPr>
        <w:fldChar w:fldCharType="separate"/>
      </w:r>
      <w:r>
        <w:rPr>
          <w:rFonts w:hint="eastAsia" w:ascii="宋体" w:hAnsi="宋体" w:eastAsia="宋体" w:cs="宋体"/>
          <w:color w:val="auto"/>
          <w:szCs w:val="32"/>
          <w:highlight w:val="none"/>
        </w:rPr>
        <w:t>第四章 评标方法及标准</w:t>
      </w:r>
      <w:r>
        <w:rPr>
          <w:color w:val="auto"/>
          <w:highlight w:val="none"/>
        </w:rPr>
        <w:tab/>
      </w:r>
      <w:r>
        <w:rPr>
          <w:color w:val="auto"/>
          <w:highlight w:val="none"/>
        </w:rPr>
        <w:fldChar w:fldCharType="begin"/>
      </w:r>
      <w:r>
        <w:rPr>
          <w:color w:val="auto"/>
          <w:highlight w:val="none"/>
        </w:rPr>
        <w:instrText xml:space="preserve"> PAGEREF _Toc20416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"_Toc18381" </w:instrText>
      </w:r>
      <w:r>
        <w:rPr>
          <w:color w:val="auto"/>
          <w:highlight w:val="none"/>
        </w:rPr>
        <w:fldChar w:fldCharType="separate"/>
      </w:r>
      <w:r>
        <w:rPr>
          <w:rFonts w:hint="eastAsia" w:ascii="宋体" w:hAnsi="宋体" w:eastAsia="宋体" w:cs="宋体"/>
          <w:color w:val="auto"/>
          <w:szCs w:val="28"/>
          <w:highlight w:val="none"/>
        </w:rPr>
        <w:t>第一节 评标方法及标准前附表</w:t>
      </w:r>
      <w:r>
        <w:rPr>
          <w:color w:val="auto"/>
          <w:highlight w:val="none"/>
        </w:rPr>
        <w:tab/>
      </w:r>
      <w:r>
        <w:rPr>
          <w:color w:val="auto"/>
          <w:highlight w:val="none"/>
        </w:rPr>
        <w:fldChar w:fldCharType="begin"/>
      </w:r>
      <w:r>
        <w:rPr>
          <w:color w:val="auto"/>
          <w:highlight w:val="none"/>
        </w:rPr>
        <w:instrText xml:space="preserve"> PAGEREF _Toc18381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"_Toc3671" </w:instrText>
      </w:r>
      <w:r>
        <w:rPr>
          <w:color w:val="auto"/>
          <w:highlight w:val="none"/>
        </w:rPr>
        <w:fldChar w:fldCharType="separate"/>
      </w:r>
      <w:r>
        <w:rPr>
          <w:rFonts w:hint="eastAsia" w:ascii="宋体" w:hAnsi="宋体" w:eastAsia="宋体" w:cs="宋体"/>
          <w:color w:val="auto"/>
          <w:szCs w:val="28"/>
          <w:highlight w:val="none"/>
        </w:rPr>
        <w:t>第二节 评标方法及标准</w:t>
      </w:r>
      <w:r>
        <w:rPr>
          <w:color w:val="auto"/>
          <w:highlight w:val="none"/>
        </w:rPr>
        <w:tab/>
      </w:r>
      <w:r>
        <w:rPr>
          <w:color w:val="auto"/>
          <w:highlight w:val="none"/>
        </w:rPr>
        <w:fldChar w:fldCharType="begin"/>
      </w:r>
      <w:r>
        <w:rPr>
          <w:color w:val="auto"/>
          <w:highlight w:val="none"/>
        </w:rPr>
        <w:instrText xml:space="preserve"> PAGEREF _Toc3671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"_Toc26971" </w:instrText>
      </w:r>
      <w:r>
        <w:rPr>
          <w:color w:val="auto"/>
          <w:highlight w:val="none"/>
        </w:rPr>
        <w:fldChar w:fldCharType="separate"/>
      </w:r>
      <w:r>
        <w:rPr>
          <w:rFonts w:hint="eastAsia" w:ascii="宋体" w:hAnsi="宋体" w:eastAsia="宋体" w:cs="宋体"/>
          <w:color w:val="auto"/>
          <w:highlight w:val="none"/>
        </w:rPr>
        <w:t>1．评标方法</w:t>
      </w:r>
      <w:r>
        <w:rPr>
          <w:color w:val="auto"/>
          <w:highlight w:val="none"/>
        </w:rPr>
        <w:tab/>
      </w:r>
      <w:r>
        <w:rPr>
          <w:color w:val="auto"/>
          <w:highlight w:val="none"/>
        </w:rPr>
        <w:fldChar w:fldCharType="begin"/>
      </w:r>
      <w:r>
        <w:rPr>
          <w:color w:val="auto"/>
          <w:highlight w:val="none"/>
        </w:rPr>
        <w:instrText xml:space="preserve"> PAGEREF _Toc26971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"_Toc23638" </w:instrText>
      </w:r>
      <w:r>
        <w:rPr>
          <w:color w:val="auto"/>
          <w:highlight w:val="none"/>
        </w:rPr>
        <w:fldChar w:fldCharType="separate"/>
      </w:r>
      <w:r>
        <w:rPr>
          <w:rFonts w:hint="eastAsia" w:ascii="宋体" w:hAnsi="宋体" w:eastAsia="宋体" w:cs="宋体"/>
          <w:color w:val="auto"/>
          <w:highlight w:val="none"/>
        </w:rPr>
        <w:t>2．评标程序</w:t>
      </w:r>
      <w:r>
        <w:rPr>
          <w:color w:val="auto"/>
          <w:highlight w:val="none"/>
        </w:rPr>
        <w:tab/>
      </w:r>
      <w:r>
        <w:rPr>
          <w:color w:val="auto"/>
          <w:highlight w:val="none"/>
        </w:rPr>
        <w:fldChar w:fldCharType="begin"/>
      </w:r>
      <w:r>
        <w:rPr>
          <w:color w:val="auto"/>
          <w:highlight w:val="none"/>
        </w:rPr>
        <w:instrText xml:space="preserve"> PAGEREF _Toc23638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"_Toc1922" </w:instrText>
      </w:r>
      <w:r>
        <w:rPr>
          <w:color w:val="auto"/>
          <w:highlight w:val="none"/>
        </w:rPr>
        <w:fldChar w:fldCharType="separate"/>
      </w:r>
      <w:r>
        <w:rPr>
          <w:rFonts w:hint="eastAsia" w:ascii="宋体" w:hAnsi="宋体" w:eastAsia="宋体" w:cs="宋体"/>
          <w:color w:val="auto"/>
          <w:highlight w:val="none"/>
        </w:rPr>
        <w:t>3．投标文件的符合性审查</w:t>
      </w:r>
      <w:r>
        <w:rPr>
          <w:color w:val="auto"/>
          <w:highlight w:val="none"/>
        </w:rPr>
        <w:tab/>
      </w:r>
      <w:r>
        <w:rPr>
          <w:color w:val="auto"/>
          <w:highlight w:val="none"/>
        </w:rPr>
        <w:fldChar w:fldCharType="begin"/>
      </w:r>
      <w:r>
        <w:rPr>
          <w:color w:val="auto"/>
          <w:highlight w:val="none"/>
        </w:rPr>
        <w:instrText xml:space="preserve"> PAGEREF _Toc1922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"_Toc2325" </w:instrText>
      </w:r>
      <w:r>
        <w:rPr>
          <w:color w:val="auto"/>
          <w:highlight w:val="none"/>
        </w:rPr>
        <w:fldChar w:fldCharType="separate"/>
      </w:r>
      <w:r>
        <w:rPr>
          <w:rFonts w:hint="eastAsia" w:ascii="宋体" w:hAnsi="宋体" w:eastAsia="宋体" w:cs="宋体"/>
          <w:color w:val="auto"/>
          <w:highlight w:val="none"/>
        </w:rPr>
        <w:t>4．投标文件的澄清</w:t>
      </w:r>
      <w:r>
        <w:rPr>
          <w:color w:val="auto"/>
          <w:highlight w:val="none"/>
        </w:rPr>
        <w:tab/>
      </w:r>
      <w:r>
        <w:rPr>
          <w:color w:val="auto"/>
          <w:highlight w:val="none"/>
        </w:rPr>
        <w:fldChar w:fldCharType="begin"/>
      </w:r>
      <w:r>
        <w:rPr>
          <w:color w:val="auto"/>
          <w:highlight w:val="none"/>
        </w:rPr>
        <w:instrText xml:space="preserve"> PAGEREF _Toc2325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"_Toc3267" </w:instrText>
      </w:r>
      <w:r>
        <w:rPr>
          <w:color w:val="auto"/>
          <w:highlight w:val="none"/>
        </w:rPr>
        <w:fldChar w:fldCharType="separate"/>
      </w:r>
      <w:r>
        <w:rPr>
          <w:rFonts w:hint="eastAsia" w:ascii="宋体" w:hAnsi="宋体" w:eastAsia="宋体" w:cs="宋体"/>
          <w:color w:val="auto"/>
          <w:highlight w:val="none"/>
        </w:rPr>
        <w:t>5．投标文件的比较与评价</w:t>
      </w:r>
      <w:r>
        <w:rPr>
          <w:color w:val="auto"/>
          <w:highlight w:val="none"/>
        </w:rPr>
        <w:tab/>
      </w:r>
      <w:r>
        <w:rPr>
          <w:color w:val="auto"/>
          <w:highlight w:val="none"/>
        </w:rPr>
        <w:fldChar w:fldCharType="begin"/>
      </w:r>
      <w:r>
        <w:rPr>
          <w:color w:val="auto"/>
          <w:highlight w:val="none"/>
        </w:rPr>
        <w:instrText xml:space="preserve"> PAGEREF _Toc3267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"_Toc29558" </w:instrText>
      </w:r>
      <w:r>
        <w:rPr>
          <w:color w:val="auto"/>
          <w:highlight w:val="none"/>
        </w:rPr>
        <w:fldChar w:fldCharType="separate"/>
      </w:r>
      <w:r>
        <w:rPr>
          <w:rFonts w:hint="eastAsia" w:ascii="宋体" w:hAnsi="宋体" w:eastAsia="宋体" w:cs="宋体"/>
          <w:color w:val="auto"/>
          <w:highlight w:val="none"/>
        </w:rPr>
        <w:t>6．推荐中标候选人</w:t>
      </w:r>
      <w:r>
        <w:rPr>
          <w:color w:val="auto"/>
          <w:highlight w:val="none"/>
        </w:rPr>
        <w:tab/>
      </w:r>
      <w:r>
        <w:rPr>
          <w:color w:val="auto"/>
          <w:highlight w:val="none"/>
        </w:rPr>
        <w:fldChar w:fldCharType="begin"/>
      </w:r>
      <w:r>
        <w:rPr>
          <w:color w:val="auto"/>
          <w:highlight w:val="none"/>
        </w:rPr>
        <w:instrText xml:space="preserve"> PAGEREF _Toc29558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"_Toc2387" </w:instrText>
      </w:r>
      <w:r>
        <w:rPr>
          <w:color w:val="auto"/>
          <w:highlight w:val="none"/>
        </w:rPr>
        <w:fldChar w:fldCharType="separate"/>
      </w:r>
      <w:r>
        <w:rPr>
          <w:rFonts w:hint="eastAsia" w:ascii="宋体" w:hAnsi="宋体" w:eastAsia="宋体" w:cs="宋体"/>
          <w:color w:val="auto"/>
          <w:highlight w:val="none"/>
        </w:rPr>
        <w:t>7．编写评标报告</w:t>
      </w:r>
      <w:r>
        <w:rPr>
          <w:color w:val="auto"/>
          <w:highlight w:val="none"/>
        </w:rPr>
        <w:tab/>
      </w:r>
      <w:r>
        <w:rPr>
          <w:color w:val="auto"/>
          <w:highlight w:val="none"/>
        </w:rPr>
        <w:fldChar w:fldCharType="begin"/>
      </w:r>
      <w:r>
        <w:rPr>
          <w:color w:val="auto"/>
          <w:highlight w:val="none"/>
        </w:rPr>
        <w:instrText xml:space="preserve"> PAGEREF _Toc2387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"_Toc19531" </w:instrText>
      </w:r>
      <w:r>
        <w:rPr>
          <w:color w:val="auto"/>
          <w:highlight w:val="none"/>
        </w:rPr>
        <w:fldChar w:fldCharType="separate"/>
      </w:r>
      <w:r>
        <w:rPr>
          <w:rFonts w:hint="eastAsia" w:ascii="宋体" w:hAnsi="宋体" w:eastAsia="宋体" w:cs="宋体"/>
          <w:color w:val="auto"/>
          <w:highlight w:val="none"/>
        </w:rPr>
        <w:t>8．评标报告复核</w:t>
      </w:r>
      <w:r>
        <w:rPr>
          <w:color w:val="auto"/>
          <w:highlight w:val="none"/>
        </w:rPr>
        <w:tab/>
      </w:r>
      <w:r>
        <w:rPr>
          <w:color w:val="auto"/>
          <w:highlight w:val="none"/>
        </w:rPr>
        <w:fldChar w:fldCharType="begin"/>
      </w:r>
      <w:r>
        <w:rPr>
          <w:color w:val="auto"/>
          <w:highlight w:val="none"/>
        </w:rPr>
        <w:instrText xml:space="preserve"> PAGEREF _Toc19531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"_Toc3690" </w:instrText>
      </w:r>
      <w:r>
        <w:rPr>
          <w:color w:val="auto"/>
          <w:highlight w:val="none"/>
        </w:rPr>
        <w:fldChar w:fldCharType="separate"/>
      </w:r>
      <w:r>
        <w:rPr>
          <w:rFonts w:hint="eastAsia" w:ascii="宋体" w:hAnsi="宋体" w:eastAsia="宋体" w:cs="宋体"/>
          <w:color w:val="auto"/>
          <w:highlight w:val="none"/>
        </w:rPr>
        <w:t>9．停止评标</w:t>
      </w:r>
      <w:r>
        <w:rPr>
          <w:color w:val="auto"/>
          <w:highlight w:val="none"/>
        </w:rPr>
        <w:tab/>
      </w:r>
      <w:r>
        <w:rPr>
          <w:color w:val="auto"/>
          <w:highlight w:val="none"/>
        </w:rPr>
        <w:fldChar w:fldCharType="begin"/>
      </w:r>
      <w:r>
        <w:rPr>
          <w:color w:val="auto"/>
          <w:highlight w:val="none"/>
        </w:rPr>
        <w:instrText xml:space="preserve"> PAGEREF _Toc3690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"_Toc7406" </w:instrText>
      </w:r>
      <w:r>
        <w:rPr>
          <w:color w:val="auto"/>
          <w:highlight w:val="none"/>
        </w:rPr>
        <w:fldChar w:fldCharType="separate"/>
      </w:r>
      <w:r>
        <w:rPr>
          <w:rFonts w:hint="eastAsia" w:ascii="宋体" w:hAnsi="宋体" w:eastAsia="宋体" w:cs="宋体"/>
          <w:color w:val="auto"/>
          <w:kern w:val="0"/>
          <w:highlight w:val="none"/>
        </w:rPr>
        <w:t>11．重新组建评标委员会进行评标</w:t>
      </w:r>
      <w:r>
        <w:rPr>
          <w:color w:val="auto"/>
          <w:highlight w:val="none"/>
        </w:rPr>
        <w:tab/>
      </w:r>
      <w:r>
        <w:rPr>
          <w:color w:val="auto"/>
          <w:highlight w:val="none"/>
        </w:rPr>
        <w:fldChar w:fldCharType="begin"/>
      </w:r>
      <w:r>
        <w:rPr>
          <w:color w:val="auto"/>
          <w:highlight w:val="none"/>
        </w:rPr>
        <w:instrText xml:space="preserve"> PAGEREF _Toc7406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"_Toc20717" </w:instrText>
      </w:r>
      <w:r>
        <w:rPr>
          <w:color w:val="auto"/>
          <w:highlight w:val="none"/>
        </w:rPr>
        <w:fldChar w:fldCharType="separate"/>
      </w:r>
      <w:r>
        <w:rPr>
          <w:rFonts w:hint="eastAsia" w:ascii="宋体" w:hAnsi="宋体" w:eastAsia="宋体" w:cs="宋体"/>
          <w:color w:val="auto"/>
          <w:szCs w:val="28"/>
          <w:highlight w:val="none"/>
        </w:rPr>
        <w:t>第三节 投标文件的符合性审查</w:t>
      </w:r>
      <w:r>
        <w:rPr>
          <w:color w:val="auto"/>
          <w:highlight w:val="none"/>
        </w:rPr>
        <w:tab/>
      </w:r>
      <w:r>
        <w:rPr>
          <w:color w:val="auto"/>
          <w:highlight w:val="none"/>
        </w:rPr>
        <w:fldChar w:fldCharType="begin"/>
      </w:r>
      <w:r>
        <w:rPr>
          <w:color w:val="auto"/>
          <w:highlight w:val="none"/>
        </w:rPr>
        <w:instrText xml:space="preserve"> PAGEREF _Toc20717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"_Toc18545" </w:instrText>
      </w:r>
      <w:r>
        <w:rPr>
          <w:color w:val="auto"/>
          <w:highlight w:val="none"/>
        </w:rPr>
        <w:fldChar w:fldCharType="separate"/>
      </w:r>
      <w:r>
        <w:rPr>
          <w:rFonts w:hint="eastAsia" w:ascii="宋体" w:hAnsi="宋体" w:eastAsia="宋体" w:cs="宋体"/>
          <w:color w:val="auto"/>
          <w:szCs w:val="28"/>
          <w:highlight w:val="none"/>
        </w:rPr>
        <w:t>第四节 投标文件的比较与评价（综合评分法）</w:t>
      </w:r>
      <w:r>
        <w:rPr>
          <w:color w:val="auto"/>
          <w:highlight w:val="none"/>
        </w:rPr>
        <w:tab/>
      </w:r>
      <w:r>
        <w:rPr>
          <w:color w:val="auto"/>
          <w:highlight w:val="none"/>
        </w:rPr>
        <w:fldChar w:fldCharType="begin"/>
      </w:r>
      <w:r>
        <w:rPr>
          <w:color w:val="auto"/>
          <w:highlight w:val="none"/>
        </w:rPr>
        <w:instrText xml:space="preserve"> PAGEREF _Toc18545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"_Toc8556" </w:instrText>
      </w:r>
      <w:r>
        <w:rPr>
          <w:color w:val="auto"/>
          <w:highlight w:val="none"/>
        </w:rPr>
        <w:fldChar w:fldCharType="separate"/>
      </w:r>
      <w:r>
        <w:rPr>
          <w:rFonts w:hint="eastAsia" w:ascii="宋体" w:hAnsi="宋体" w:eastAsia="宋体" w:cs="宋体"/>
          <w:color w:val="auto"/>
          <w:szCs w:val="32"/>
          <w:highlight w:val="none"/>
        </w:rPr>
        <w:t>第五章 采购需求</w:t>
      </w:r>
      <w:r>
        <w:rPr>
          <w:color w:val="auto"/>
          <w:highlight w:val="none"/>
        </w:rPr>
        <w:tab/>
      </w:r>
      <w:r>
        <w:rPr>
          <w:color w:val="auto"/>
          <w:highlight w:val="none"/>
        </w:rPr>
        <w:fldChar w:fldCharType="begin"/>
      </w:r>
      <w:r>
        <w:rPr>
          <w:color w:val="auto"/>
          <w:highlight w:val="none"/>
        </w:rPr>
        <w:instrText xml:space="preserve"> PAGEREF _Toc8556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"_Toc1585" </w:instrText>
      </w:r>
      <w:r>
        <w:rPr>
          <w:color w:val="auto"/>
          <w:highlight w:val="none"/>
        </w:rPr>
        <w:fldChar w:fldCharType="separate"/>
      </w:r>
      <w:r>
        <w:rPr>
          <w:rFonts w:hint="eastAsia" w:ascii="宋体" w:hAnsi="宋体" w:eastAsia="宋体" w:cs="宋体"/>
          <w:color w:val="auto"/>
          <w:szCs w:val="32"/>
          <w:highlight w:val="none"/>
        </w:rPr>
        <w:t>第六章 政府采购合同</w:t>
      </w:r>
      <w:r>
        <w:rPr>
          <w:color w:val="auto"/>
          <w:highlight w:val="none"/>
        </w:rPr>
        <w:tab/>
      </w:r>
      <w:r>
        <w:rPr>
          <w:color w:val="auto"/>
          <w:highlight w:val="none"/>
        </w:rPr>
        <w:fldChar w:fldCharType="begin"/>
      </w:r>
      <w:r>
        <w:rPr>
          <w:color w:val="auto"/>
          <w:highlight w:val="none"/>
        </w:rPr>
        <w:instrText xml:space="preserve"> PAGEREF _Toc1585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"_Toc17570" </w:instrText>
      </w:r>
      <w:r>
        <w:rPr>
          <w:color w:val="auto"/>
          <w:highlight w:val="none"/>
        </w:rPr>
        <w:fldChar w:fldCharType="separate"/>
      </w:r>
      <w:r>
        <w:rPr>
          <w:rFonts w:hint="eastAsia" w:ascii="宋体" w:hAnsi="宋体" w:eastAsia="宋体" w:cs="宋体"/>
          <w:bCs/>
          <w:color w:val="auto"/>
          <w:szCs w:val="32"/>
          <w:highlight w:val="none"/>
        </w:rPr>
        <w:t>第七章 投标文件的组成</w:t>
      </w:r>
      <w:r>
        <w:rPr>
          <w:color w:val="auto"/>
          <w:highlight w:val="none"/>
        </w:rPr>
        <w:tab/>
      </w:r>
      <w:r>
        <w:rPr>
          <w:color w:val="auto"/>
          <w:highlight w:val="none"/>
        </w:rPr>
        <w:fldChar w:fldCharType="begin"/>
      </w:r>
      <w:r>
        <w:rPr>
          <w:color w:val="auto"/>
          <w:highlight w:val="none"/>
        </w:rPr>
        <w:instrText xml:space="preserve"> PAGEREF _Toc17570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"_Toc23611" </w:instrText>
      </w:r>
      <w:r>
        <w:rPr>
          <w:color w:val="auto"/>
          <w:highlight w:val="none"/>
        </w:rPr>
        <w:fldChar w:fldCharType="separate"/>
      </w:r>
      <w:r>
        <w:rPr>
          <w:rFonts w:hint="eastAsia" w:ascii="宋体" w:hAnsi="宋体" w:eastAsia="宋体" w:cs="宋体"/>
          <w:color w:val="auto"/>
          <w:szCs w:val="44"/>
          <w:highlight w:val="none"/>
        </w:rPr>
        <w:t>第一部分 资格证明文件</w:t>
      </w:r>
      <w:r>
        <w:rPr>
          <w:color w:val="auto"/>
          <w:highlight w:val="none"/>
        </w:rPr>
        <w:tab/>
      </w:r>
      <w:r>
        <w:rPr>
          <w:color w:val="auto"/>
          <w:highlight w:val="none"/>
        </w:rPr>
        <w:fldChar w:fldCharType="begin"/>
      </w:r>
      <w:r>
        <w:rPr>
          <w:color w:val="auto"/>
          <w:highlight w:val="none"/>
        </w:rPr>
        <w:instrText xml:space="preserve"> PAGEREF _Toc23611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"_Toc6890" </w:instrText>
      </w:r>
      <w:r>
        <w:rPr>
          <w:color w:val="auto"/>
          <w:highlight w:val="none"/>
        </w:rPr>
        <w:fldChar w:fldCharType="separate"/>
      </w:r>
      <w:r>
        <w:rPr>
          <w:rFonts w:hint="eastAsia" w:ascii="宋体" w:hAnsi="宋体" w:eastAsia="宋体" w:cs="宋体"/>
          <w:color w:val="auto"/>
          <w:szCs w:val="44"/>
          <w:highlight w:val="none"/>
        </w:rPr>
        <w:t>第二部分 商务文件</w:t>
      </w:r>
      <w:r>
        <w:rPr>
          <w:color w:val="auto"/>
          <w:highlight w:val="none"/>
        </w:rPr>
        <w:tab/>
      </w:r>
      <w:r>
        <w:rPr>
          <w:color w:val="auto"/>
          <w:highlight w:val="none"/>
        </w:rPr>
        <w:fldChar w:fldCharType="begin"/>
      </w:r>
      <w:r>
        <w:rPr>
          <w:color w:val="auto"/>
          <w:highlight w:val="none"/>
        </w:rPr>
        <w:instrText xml:space="preserve"> PAGEREF _Toc6890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"_Toc15033" </w:instrText>
      </w:r>
      <w:r>
        <w:rPr>
          <w:color w:val="auto"/>
          <w:highlight w:val="none"/>
        </w:rPr>
        <w:fldChar w:fldCharType="separate"/>
      </w:r>
      <w:r>
        <w:rPr>
          <w:rFonts w:hint="eastAsia" w:ascii="宋体" w:hAnsi="宋体" w:eastAsia="宋体" w:cs="宋体"/>
          <w:color w:val="auto"/>
          <w:szCs w:val="44"/>
          <w:highlight w:val="none"/>
        </w:rPr>
        <w:t>第</w:t>
      </w:r>
      <w:r>
        <w:rPr>
          <w:rFonts w:hint="eastAsia" w:ascii="宋体" w:hAnsi="宋体" w:cs="宋体"/>
          <w:color w:val="auto"/>
          <w:szCs w:val="44"/>
          <w:highlight w:val="none"/>
        </w:rPr>
        <w:t>三</w:t>
      </w:r>
      <w:r>
        <w:rPr>
          <w:rFonts w:hint="eastAsia" w:ascii="宋体" w:hAnsi="宋体" w:eastAsia="宋体" w:cs="宋体"/>
          <w:color w:val="auto"/>
          <w:szCs w:val="44"/>
          <w:highlight w:val="none"/>
        </w:rPr>
        <w:t xml:space="preserve">部分 </w:t>
      </w:r>
      <w:r>
        <w:rPr>
          <w:rFonts w:hint="eastAsia" w:ascii="宋体" w:hAnsi="宋体" w:cs="宋体"/>
          <w:color w:val="auto"/>
          <w:szCs w:val="44"/>
          <w:highlight w:val="none"/>
        </w:rPr>
        <w:t>技术</w:t>
      </w:r>
      <w:r>
        <w:rPr>
          <w:rFonts w:hint="eastAsia" w:ascii="宋体" w:hAnsi="宋体" w:eastAsia="宋体" w:cs="宋体"/>
          <w:color w:val="auto"/>
          <w:szCs w:val="44"/>
          <w:highlight w:val="none"/>
        </w:rPr>
        <w:t>文件</w:t>
      </w:r>
      <w:r>
        <w:rPr>
          <w:color w:val="auto"/>
          <w:highlight w:val="none"/>
        </w:rPr>
        <w:tab/>
      </w:r>
      <w:r>
        <w:rPr>
          <w:color w:val="auto"/>
          <w:highlight w:val="none"/>
        </w:rPr>
        <w:fldChar w:fldCharType="begin"/>
      </w:r>
      <w:r>
        <w:rPr>
          <w:color w:val="auto"/>
          <w:highlight w:val="none"/>
        </w:rPr>
        <w:instrText xml:space="preserve"> PAGEREF _Toc15033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p>
    <w:p>
      <w:pPr>
        <w:pStyle w:val="22"/>
        <w:adjustRightInd w:val="0"/>
        <w:snapToGrid w:val="0"/>
        <w:spacing w:line="360" w:lineRule="auto"/>
        <w:rPr>
          <w:rFonts w:hint="eastAsia" w:hAnsi="宋体" w:cs="宋体"/>
          <w:color w:val="auto"/>
          <w:highlight w:val="none"/>
        </w:rPr>
      </w:pPr>
      <w:r>
        <w:rPr>
          <w:rFonts w:hint="eastAsia" w:hAnsi="宋体" w:cs="宋体"/>
          <w:color w:val="auto"/>
          <w:highlight w:val="none"/>
        </w:rPr>
        <w:fldChar w:fldCharType="end"/>
      </w:r>
      <w:r>
        <w:rPr>
          <w:rFonts w:hint="eastAsia" w:hAnsi="宋体" w:cs="宋体"/>
          <w:color w:val="auto"/>
          <w:highlight w:val="none"/>
        </w:rPr>
        <w:t xml:space="preserve"> </w:t>
      </w:r>
    </w:p>
    <w:p>
      <w:pPr>
        <w:pStyle w:val="2"/>
        <w:rPr>
          <w:rFonts w:hint="eastAsia" w:ascii="宋体" w:hAnsi="宋体" w:cs="宋体"/>
          <w:color w:val="auto"/>
          <w:highlight w:val="none"/>
        </w:rPr>
        <w:sectPr>
          <w:headerReference r:id="rId6" w:type="first"/>
          <w:headerReference r:id="rId4" w:type="default"/>
          <w:footerReference r:id="rId7" w:type="default"/>
          <w:headerReference r:id="rId5" w:type="even"/>
          <w:pgSz w:w="11905" w:h="16838"/>
          <w:pgMar w:top="1440" w:right="1587" w:bottom="1440" w:left="1587" w:header="1020" w:footer="567" w:gutter="0"/>
          <w:pgBorders>
            <w:top w:val="none" w:sz="0" w:space="0"/>
            <w:left w:val="none" w:sz="0" w:space="0"/>
            <w:bottom w:val="none" w:sz="0" w:space="0"/>
            <w:right w:val="none" w:sz="0" w:space="0"/>
          </w:pgBorders>
          <w:pgNumType w:fmt="upperRoman" w:start="1"/>
          <w:cols w:space="0" w:num="1"/>
          <w:docGrid w:type="lines" w:linePitch="317" w:charSpace="0"/>
        </w:sectPr>
      </w:pPr>
      <w:bookmarkStart w:id="7" w:name="_Toc21000471"/>
      <w:bookmarkStart w:id="8" w:name="_Toc53472201"/>
      <w:bookmarkStart w:id="9" w:name="_Toc20988241"/>
      <w:bookmarkStart w:id="10" w:name="_Toc35421027"/>
      <w:bookmarkStart w:id="11" w:name="_Toc21001314"/>
      <w:bookmarkStart w:id="12" w:name="_Toc20642243"/>
      <w:bookmarkStart w:id="13" w:name="_Toc34720698"/>
      <w:bookmarkStart w:id="14" w:name="_Toc20816073"/>
    </w:p>
    <w:p>
      <w:pPr>
        <w:pStyle w:val="2"/>
        <w:rPr>
          <w:rFonts w:hint="eastAsia" w:ascii="宋体" w:hAnsi="宋体" w:cs="宋体"/>
          <w:color w:val="auto"/>
          <w:sz w:val="32"/>
          <w:szCs w:val="32"/>
          <w:highlight w:val="none"/>
        </w:rPr>
      </w:pPr>
      <w:bookmarkStart w:id="15" w:name="_Toc6599"/>
      <w:r>
        <w:rPr>
          <w:rFonts w:hint="eastAsia" w:ascii="宋体" w:hAnsi="宋体" w:cs="宋体"/>
          <w:color w:val="auto"/>
          <w:sz w:val="32"/>
          <w:szCs w:val="32"/>
          <w:highlight w:val="none"/>
        </w:rPr>
        <w:t>第一章 投标邀请</w:t>
      </w:r>
      <w:bookmarkEnd w:id="15"/>
    </w:p>
    <w:p>
      <w:pPr>
        <w:pStyle w:val="22"/>
        <w:adjustRightInd w:val="0"/>
        <w:snapToGrid w:val="0"/>
        <w:spacing w:line="360" w:lineRule="auto"/>
        <w:jc w:val="center"/>
        <w:rPr>
          <w:rFonts w:hint="eastAsia" w:hAnsi="宋体" w:cs="宋体"/>
          <w:iCs/>
          <w:color w:val="auto"/>
          <w:highlight w:val="none"/>
        </w:rPr>
      </w:pPr>
    </w:p>
    <w:p>
      <w:pPr>
        <w:adjustRightInd w:val="0"/>
        <w:snapToGrid w:val="0"/>
        <w:spacing w:line="360" w:lineRule="auto"/>
        <w:ind w:firstLine="420" w:firstLineChars="200"/>
        <w:rPr>
          <w:rFonts w:hint="eastAsia" w:ascii="宋体" w:hAnsi="宋体"/>
          <w:color w:val="auto"/>
          <w:szCs w:val="21"/>
          <w:highlight w:val="none"/>
        </w:rPr>
      </w:pPr>
      <w:bookmarkStart w:id="16" w:name="OLE_LINK170"/>
      <w:r>
        <w:rPr>
          <w:rFonts w:hint="eastAsia" w:ascii="宋体" w:hAnsi="宋体"/>
          <w:color w:val="auto"/>
          <w:szCs w:val="21"/>
          <w:highlight w:val="none"/>
          <w:u w:val="single"/>
        </w:rPr>
        <w:t>湖南化工职业技术学院</w:t>
      </w:r>
      <w:r>
        <w:rPr>
          <w:rFonts w:hint="eastAsia" w:ascii="宋体" w:hAnsi="宋体"/>
          <w:color w:val="auto"/>
          <w:szCs w:val="21"/>
          <w:highlight w:val="none"/>
        </w:rPr>
        <w:t>的</w:t>
      </w:r>
      <w:r>
        <w:rPr>
          <w:rFonts w:hint="eastAsia" w:ascii="宋体" w:hAnsi="宋体"/>
          <w:color w:val="auto"/>
          <w:szCs w:val="21"/>
          <w:highlight w:val="none"/>
          <w:u w:val="single"/>
          <w:lang w:eastAsia="zh-CN"/>
        </w:rPr>
        <w:t>湖南化工职业技术学院先进制造工程中心（数控加工实训室）</w:t>
      </w:r>
      <w:r>
        <w:rPr>
          <w:rFonts w:hint="eastAsia" w:ascii="宋体" w:hAnsi="宋体"/>
          <w:color w:val="auto"/>
          <w:szCs w:val="21"/>
          <w:highlight w:val="none"/>
        </w:rPr>
        <w:t>进行公开招标采购，现邀请合格投标人参加投标。</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一、采购项目基本信息</w:t>
      </w:r>
    </w:p>
    <w:p>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1、采购项目名称：</w:t>
      </w:r>
      <w:r>
        <w:rPr>
          <w:rFonts w:hint="eastAsia" w:ascii="宋体" w:hAnsi="宋体"/>
          <w:color w:val="auto"/>
          <w:szCs w:val="21"/>
          <w:highlight w:val="none"/>
          <w:u w:val="single"/>
          <w:lang w:eastAsia="zh-CN"/>
        </w:rPr>
        <w:t>湖南化工职业技术学院先进制造工程中心（数控加工实训室）</w:t>
      </w:r>
    </w:p>
    <w:p>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2、政府采购计划编号：</w:t>
      </w:r>
      <w:r>
        <w:rPr>
          <w:rFonts w:hint="eastAsia" w:ascii="宋体" w:hAnsi="宋体"/>
          <w:color w:val="auto"/>
          <w:szCs w:val="21"/>
          <w:highlight w:val="none"/>
          <w:u w:val="single" w:color="000000"/>
          <w:lang w:eastAsia="zh-CN"/>
        </w:rPr>
        <w:t>CGXM2026430000000173</w:t>
      </w:r>
    </w:p>
    <w:p>
      <w:pPr>
        <w:adjustRightInd w:val="0"/>
        <w:snapToGrid w:val="0"/>
        <w:spacing w:line="360" w:lineRule="auto"/>
        <w:ind w:firstLine="420" w:firstLineChars="200"/>
        <w:rPr>
          <w:rFonts w:hint="eastAsia" w:ascii="宋体" w:hAnsi="宋体" w:eastAsia="宋体"/>
          <w:i/>
          <w:color w:val="auto"/>
          <w:szCs w:val="21"/>
          <w:highlight w:val="none"/>
          <w:lang w:eastAsia="zh-CN"/>
        </w:rPr>
      </w:pPr>
      <w:r>
        <w:rPr>
          <w:rFonts w:hint="eastAsia" w:ascii="宋体" w:hAnsi="宋体"/>
          <w:color w:val="auto"/>
          <w:szCs w:val="21"/>
          <w:highlight w:val="none"/>
        </w:rPr>
        <w:t>3、委托代理编号：</w:t>
      </w:r>
      <w:r>
        <w:rPr>
          <w:rFonts w:hint="eastAsia" w:ascii="宋体" w:hAnsi="宋体"/>
          <w:color w:val="auto"/>
          <w:szCs w:val="21"/>
          <w:highlight w:val="none"/>
          <w:u w:val="single" w:color="000000"/>
          <w:lang w:eastAsia="zh-CN"/>
        </w:rPr>
        <w:t>HNWD-GPA-A26008</w:t>
      </w:r>
    </w:p>
    <w:p>
      <w:pPr>
        <w:adjustRightInd w:val="0"/>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4、采购项目预算：</w:t>
      </w:r>
      <w:r>
        <w:rPr>
          <w:rFonts w:hint="eastAsia" w:ascii="宋体" w:hAnsi="宋体"/>
          <w:bCs/>
          <w:color w:val="auto"/>
          <w:szCs w:val="21"/>
          <w:highlight w:val="none"/>
          <w:u w:val="single"/>
        </w:rPr>
        <w:t xml:space="preserve"> </w:t>
      </w:r>
      <w:bookmarkStart w:id="17" w:name="OLE_LINK40"/>
      <w:r>
        <w:rPr>
          <w:rFonts w:hint="eastAsia" w:ascii="宋体" w:hAnsi="宋体"/>
          <w:bCs/>
          <w:color w:val="auto"/>
          <w:szCs w:val="21"/>
          <w:highlight w:val="none"/>
          <w:u w:val="single"/>
          <w:lang w:val="en-US" w:eastAsia="zh-CN"/>
        </w:rPr>
        <w:t>3500000</w:t>
      </w:r>
      <w:bookmarkEnd w:id="17"/>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rPr>
        <w:t>元</w:t>
      </w:r>
    </w:p>
    <w:p>
      <w:pPr>
        <w:adjustRightInd w:val="0"/>
        <w:snapToGrid w:val="0"/>
        <w:spacing w:line="360" w:lineRule="auto"/>
        <w:ind w:firstLine="630" w:firstLineChars="300"/>
        <w:rPr>
          <w:rFonts w:hint="eastAsia" w:ascii="宋体" w:hAnsi="宋体"/>
          <w:bCs/>
          <w:color w:val="auto"/>
          <w:szCs w:val="21"/>
          <w:highlight w:val="none"/>
          <w:u w:val="single"/>
        </w:rPr>
      </w:pPr>
      <w:r>
        <w:rPr>
          <w:rFonts w:hint="eastAsia" w:ascii="宋体" w:hAnsi="宋体"/>
          <w:iCs/>
          <w:color w:val="auto"/>
          <w:szCs w:val="21"/>
          <w:highlight w:val="none"/>
        </w:rPr>
        <w:sym w:font="Wingdings" w:char="00A8"/>
      </w:r>
      <w:r>
        <w:rPr>
          <w:rFonts w:hint="eastAsia" w:ascii="宋体" w:hAnsi="宋体"/>
          <w:iCs/>
          <w:color w:val="auto"/>
          <w:szCs w:val="21"/>
          <w:highlight w:val="none"/>
        </w:rPr>
        <w:t>支持</w:t>
      </w:r>
      <w:r>
        <w:rPr>
          <w:rFonts w:hint="eastAsia" w:ascii="宋体" w:hAnsi="宋体"/>
          <w:bCs/>
          <w:color w:val="auto"/>
          <w:szCs w:val="21"/>
          <w:highlight w:val="none"/>
        </w:rPr>
        <w:t>预付款，预付比例：</w:t>
      </w:r>
      <w:r>
        <w:rPr>
          <w:rFonts w:hint="eastAsia" w:ascii="宋体" w:hAnsi="宋体"/>
          <w:bCs/>
          <w:color w:val="auto"/>
          <w:szCs w:val="21"/>
          <w:highlight w:val="none"/>
          <w:u w:val="single"/>
        </w:rPr>
        <w:t xml:space="preserve"> / </w:t>
      </w:r>
    </w:p>
    <w:p>
      <w:pPr>
        <w:adjustRightInd w:val="0"/>
        <w:snapToGrid w:val="0"/>
        <w:spacing w:line="360" w:lineRule="auto"/>
        <w:ind w:firstLine="420" w:firstLineChars="200"/>
        <w:rPr>
          <w:rFonts w:hint="eastAsia" w:ascii="宋体" w:hAnsi="宋体"/>
          <w:color w:val="auto"/>
          <w:szCs w:val="21"/>
          <w:highlight w:val="none"/>
          <w:u w:val="single"/>
        </w:rPr>
      </w:pPr>
      <w:r>
        <w:rPr>
          <w:rFonts w:hint="eastAsia" w:ascii="宋体" w:hAnsi="宋体"/>
          <w:bCs/>
          <w:color w:val="auto"/>
          <w:szCs w:val="21"/>
          <w:highlight w:val="none"/>
        </w:rPr>
        <w:t>5、本项目</w:t>
      </w:r>
      <w:r>
        <w:rPr>
          <w:rFonts w:hint="eastAsia" w:ascii="宋体" w:hAnsi="宋体"/>
          <w:color w:val="auto"/>
          <w:szCs w:val="21"/>
          <w:highlight w:val="none"/>
        </w:rPr>
        <w:t>对应的中小企业划分标准所属行业：</w:t>
      </w:r>
      <w:r>
        <w:rPr>
          <w:rFonts w:hint="eastAsia" w:ascii="宋体" w:hAnsi="宋体"/>
          <w:color w:val="auto"/>
          <w:szCs w:val="21"/>
          <w:highlight w:val="none"/>
          <w:u w:val="single"/>
        </w:rPr>
        <w:t xml:space="preserve"> 工业 </w:t>
      </w:r>
    </w:p>
    <w:p>
      <w:pPr>
        <w:adjustRightInd w:val="0"/>
        <w:snapToGrid w:val="0"/>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6、评标方法：</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最低价法  </w:t>
      </w:r>
      <w:r>
        <w:rPr>
          <w:rFonts w:hint="eastAsia" w:ascii="宋体" w:hAnsi="宋体"/>
          <w:iCs/>
          <w:color w:val="auto"/>
          <w:szCs w:val="21"/>
          <w:highlight w:val="none"/>
        </w:rPr>
        <w:sym w:font="Wingdings" w:char="00FE"/>
      </w:r>
      <w:r>
        <w:rPr>
          <w:rFonts w:hint="eastAsia" w:ascii="宋体" w:hAnsi="宋体"/>
          <w:iCs/>
          <w:color w:val="auto"/>
          <w:szCs w:val="21"/>
          <w:highlight w:val="none"/>
        </w:rPr>
        <w:t>综合评分法</w:t>
      </w:r>
    </w:p>
    <w:p>
      <w:pPr>
        <w:adjustRightInd w:val="0"/>
        <w:snapToGrid w:val="0"/>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7、合同定价方式：</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pPr>
        <w:adjustRightInd w:val="0"/>
        <w:snapToGrid w:val="0"/>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8、合同履行期限：</w:t>
      </w:r>
      <w:r>
        <w:rPr>
          <w:rFonts w:hint="eastAsia" w:ascii="宋体" w:hAnsi="宋体"/>
          <w:bCs/>
          <w:color w:val="auto"/>
          <w:szCs w:val="21"/>
          <w:highlight w:val="none"/>
          <w:u w:val="single"/>
        </w:rPr>
        <w:t xml:space="preserve"> </w:t>
      </w:r>
      <w:bookmarkStart w:id="18" w:name="OLE_LINK171"/>
      <w:r>
        <w:rPr>
          <w:rFonts w:hint="eastAsia" w:ascii="宋体" w:hAnsi="宋体"/>
          <w:bCs/>
          <w:color w:val="auto"/>
          <w:szCs w:val="21"/>
          <w:highlight w:val="none"/>
          <w:u w:val="single"/>
        </w:rPr>
        <w:t>详见采购需求</w:t>
      </w:r>
      <w:bookmarkEnd w:id="18"/>
      <w:r>
        <w:rPr>
          <w:rFonts w:hint="eastAsia" w:ascii="宋体" w:hAnsi="宋体"/>
          <w:bCs/>
          <w:color w:val="auto"/>
          <w:szCs w:val="21"/>
          <w:highlight w:val="none"/>
          <w:u w:val="single"/>
        </w:rPr>
        <w:t xml:space="preserve"> </w:t>
      </w:r>
    </w:p>
    <w:p>
      <w:pPr>
        <w:ind w:firstLine="420" w:firstLineChars="200"/>
        <w:rPr>
          <w:color w:val="auto"/>
          <w:szCs w:val="21"/>
          <w:highlight w:val="none"/>
        </w:rPr>
      </w:pPr>
      <w:r>
        <w:rPr>
          <w:rFonts w:hint="eastAsia" w:ascii="宋体" w:hAnsi="宋体"/>
          <w:bCs/>
          <w:color w:val="auto"/>
          <w:szCs w:val="21"/>
          <w:highlight w:val="none"/>
        </w:rPr>
        <w:t>9、</w:t>
      </w:r>
      <w:r>
        <w:rPr>
          <w:rFonts w:hint="eastAsia"/>
          <w:color w:val="auto"/>
          <w:szCs w:val="21"/>
          <w:highlight w:val="none"/>
        </w:rPr>
        <w:t>本项目分阶段要求投标人提供以下保证：</w:t>
      </w:r>
    </w:p>
    <w:p>
      <w:pPr>
        <w:spacing w:line="360" w:lineRule="auto"/>
        <w:ind w:firstLine="420" w:firstLineChars="200"/>
        <w:rPr>
          <w:rFonts w:hint="eastAsia"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color w:val="auto"/>
          <w:szCs w:val="21"/>
          <w:highlight w:val="none"/>
        </w:rPr>
        <w:t>投标保证金：</w:t>
      </w:r>
      <w:r>
        <w:rPr>
          <w:rFonts w:hint="eastAsia" w:ascii="宋体" w:hAnsi="宋体"/>
          <w:iCs/>
          <w:color w:val="auto"/>
          <w:szCs w:val="21"/>
          <w:highlight w:val="none"/>
        </w:rPr>
        <w:t>采购项目预算的</w:t>
      </w:r>
      <w:r>
        <w:rPr>
          <w:rFonts w:hint="eastAsia" w:ascii="宋体" w:hAnsi="宋体"/>
          <w:iCs/>
          <w:color w:val="auto"/>
          <w:szCs w:val="21"/>
          <w:highlight w:val="none"/>
          <w:u w:val="single"/>
        </w:rPr>
        <w:t xml:space="preserve">   </w:t>
      </w:r>
      <w:r>
        <w:rPr>
          <w:rFonts w:hint="eastAsia" w:ascii="宋体" w:hAnsi="宋体"/>
          <w:iCs/>
          <w:color w:val="auto"/>
          <w:szCs w:val="21"/>
          <w:highlight w:val="none"/>
        </w:rPr>
        <w:t>%</w:t>
      </w:r>
      <w:r>
        <w:rPr>
          <w:rFonts w:hint="eastAsia" w:ascii="宋体" w:hAnsi="宋体"/>
          <w:color w:val="auto"/>
          <w:szCs w:val="21"/>
          <w:highlight w:val="none"/>
        </w:rPr>
        <w:t>；</w:t>
      </w:r>
    </w:p>
    <w:p>
      <w:pPr>
        <w:spacing w:line="360" w:lineRule="auto"/>
        <w:ind w:firstLine="420" w:firstLineChars="200"/>
        <w:rPr>
          <w:rFonts w:hint="eastAsia"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color w:val="auto"/>
          <w:szCs w:val="21"/>
          <w:highlight w:val="none"/>
        </w:rPr>
        <w:t>履约保证金：</w:t>
      </w:r>
      <w:r>
        <w:rPr>
          <w:rFonts w:hint="eastAsia" w:ascii="宋体" w:hAnsi="宋体"/>
          <w:iCs/>
          <w:color w:val="auto"/>
          <w:szCs w:val="21"/>
          <w:highlight w:val="none"/>
        </w:rPr>
        <w:t>中标金额的</w:t>
      </w:r>
      <w:r>
        <w:rPr>
          <w:rFonts w:hint="eastAsia" w:ascii="宋体" w:hAnsi="宋体"/>
          <w:iCs/>
          <w:color w:val="auto"/>
          <w:szCs w:val="21"/>
          <w:highlight w:val="none"/>
          <w:u w:val="single"/>
        </w:rPr>
        <w:t xml:space="preserve">   </w:t>
      </w:r>
      <w:r>
        <w:rPr>
          <w:rFonts w:hint="eastAsia" w:ascii="宋体" w:hAnsi="宋体"/>
          <w:iCs/>
          <w:color w:val="auto"/>
          <w:szCs w:val="21"/>
          <w:highlight w:val="none"/>
        </w:rPr>
        <w:t>%</w:t>
      </w:r>
      <w:r>
        <w:rPr>
          <w:rFonts w:hint="eastAsia" w:ascii="宋体" w:hAnsi="宋体"/>
          <w:color w:val="auto"/>
          <w:szCs w:val="21"/>
          <w:highlight w:val="none"/>
        </w:rPr>
        <w:t>；</w:t>
      </w:r>
    </w:p>
    <w:p>
      <w:pPr>
        <w:spacing w:line="360" w:lineRule="auto"/>
        <w:ind w:firstLine="420" w:firstLineChars="200"/>
        <w:rPr>
          <w:rFonts w:hint="eastAsia"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质量保证金：合同金额的</w:t>
      </w:r>
      <w:r>
        <w:rPr>
          <w:rFonts w:hint="eastAsia" w:ascii="宋体" w:hAnsi="宋体"/>
          <w:iCs/>
          <w:color w:val="auto"/>
          <w:szCs w:val="21"/>
          <w:highlight w:val="none"/>
          <w:u w:val="single"/>
        </w:rPr>
        <w:t xml:space="preserve">   </w:t>
      </w:r>
      <w:r>
        <w:rPr>
          <w:rFonts w:hint="eastAsia" w:ascii="宋体" w:hAnsi="宋体"/>
          <w:iCs/>
          <w:color w:val="auto"/>
          <w:szCs w:val="21"/>
          <w:highlight w:val="none"/>
        </w:rPr>
        <w:t>%。</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二、采购人的采购需求</w:t>
      </w:r>
    </w:p>
    <w:tbl>
      <w:tblPr>
        <w:tblStyle w:val="42"/>
        <w:tblW w:w="960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190"/>
        <w:gridCol w:w="1922"/>
        <w:gridCol w:w="1800"/>
        <w:gridCol w:w="797"/>
        <w:gridCol w:w="1527"/>
        <w:gridCol w:w="737"/>
        <w:gridCol w:w="7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64"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 xml:space="preserve">包名称 </w:t>
            </w:r>
          </w:p>
        </w:tc>
        <w:tc>
          <w:tcPr>
            <w:tcW w:w="1190"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最高限价（元）</w:t>
            </w:r>
          </w:p>
        </w:tc>
        <w:tc>
          <w:tcPr>
            <w:tcW w:w="1922"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标的名称</w:t>
            </w:r>
          </w:p>
        </w:tc>
        <w:tc>
          <w:tcPr>
            <w:tcW w:w="1800"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简要技术要求</w:t>
            </w:r>
          </w:p>
        </w:tc>
        <w:tc>
          <w:tcPr>
            <w:tcW w:w="797" w:type="dxa"/>
            <w:tcBorders>
              <w:tl2br w:val="nil"/>
              <w:tr2bl w:val="nil"/>
            </w:tcBorders>
            <w:vAlign w:val="center"/>
          </w:tcPr>
          <w:p>
            <w:pPr>
              <w:adjustRightInd w:val="0"/>
              <w:snapToGrid w:val="0"/>
              <w:jc w:val="center"/>
              <w:rPr>
                <w:rFonts w:hint="eastAsia" w:ascii="宋体" w:hAnsi="宋体" w:cs="宋体"/>
                <w:color w:val="auto"/>
                <w:kern w:val="0"/>
                <w:szCs w:val="21"/>
                <w:highlight w:val="none"/>
              </w:rPr>
            </w:pPr>
            <w:r>
              <w:rPr>
                <w:rFonts w:hint="eastAsia"/>
                <w:color w:val="auto"/>
                <w:szCs w:val="21"/>
                <w:highlight w:val="none"/>
              </w:rPr>
              <w:t>数量</w:t>
            </w:r>
          </w:p>
        </w:tc>
        <w:tc>
          <w:tcPr>
            <w:tcW w:w="1527"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标的预算（元）</w:t>
            </w:r>
          </w:p>
        </w:tc>
        <w:tc>
          <w:tcPr>
            <w:tcW w:w="737"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节能产品</w:t>
            </w:r>
          </w:p>
        </w:tc>
        <w:tc>
          <w:tcPr>
            <w:tcW w:w="770"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进口产品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864"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包1</w:t>
            </w:r>
          </w:p>
        </w:tc>
        <w:tc>
          <w:tcPr>
            <w:tcW w:w="1190"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3102825.76</w:t>
            </w:r>
          </w:p>
        </w:tc>
        <w:tc>
          <w:tcPr>
            <w:tcW w:w="1922"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湖南化工职业技术学院国家高技能基地项目-先进制造工程中心（数控加工实训室）</w:t>
            </w:r>
          </w:p>
        </w:tc>
        <w:tc>
          <w:tcPr>
            <w:tcW w:w="1800"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详见第五章“第二节 技术要求”</w:t>
            </w:r>
          </w:p>
        </w:tc>
        <w:tc>
          <w:tcPr>
            <w:tcW w:w="797"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1批</w:t>
            </w:r>
          </w:p>
        </w:tc>
        <w:tc>
          <w:tcPr>
            <w:tcW w:w="1527" w:type="dxa"/>
            <w:tcBorders>
              <w:tl2br w:val="nil"/>
              <w:tr2bl w:val="nil"/>
            </w:tcBorders>
            <w:vAlign w:val="center"/>
          </w:tcPr>
          <w:p>
            <w:pPr>
              <w:adjustRightInd w:val="0"/>
              <w:snapToGrid w:val="0"/>
              <w:jc w:val="center"/>
              <w:rPr>
                <w:rFonts w:hint="default" w:hAnsi="宋体"/>
                <w:color w:val="auto"/>
                <w:kern w:val="0"/>
                <w:highlight w:val="none"/>
                <w:lang w:val="en-US" w:eastAsia="zh-CN"/>
              </w:rPr>
            </w:pPr>
            <w:bookmarkStart w:id="19" w:name="OLE_LINK34"/>
            <w:r>
              <w:rPr>
                <w:rFonts w:hint="eastAsia" w:ascii="宋体" w:hAnsi="宋体"/>
                <w:bCs/>
                <w:color w:val="auto"/>
                <w:szCs w:val="21"/>
                <w:highlight w:val="none"/>
                <w:u w:val="single"/>
                <w:lang w:val="en-US" w:eastAsia="zh-CN"/>
              </w:rPr>
              <w:t>3500000</w:t>
            </w:r>
            <w:bookmarkEnd w:id="19"/>
            <w:r>
              <w:rPr>
                <w:rFonts w:hint="eastAsia" w:hAnsi="宋体"/>
                <w:color w:val="auto"/>
                <w:kern w:val="0"/>
                <w:highlight w:val="none"/>
                <w:lang w:val="en-US" w:eastAsia="zh-CN"/>
              </w:rPr>
              <w:t>.00</w:t>
            </w:r>
          </w:p>
        </w:tc>
        <w:tc>
          <w:tcPr>
            <w:tcW w:w="737" w:type="dxa"/>
            <w:tcBorders>
              <w:tl2br w:val="nil"/>
              <w:tr2bl w:val="nil"/>
            </w:tcBorders>
            <w:vAlign w:val="center"/>
          </w:tcPr>
          <w:p>
            <w:pPr>
              <w:adjustRightInd w:val="0"/>
              <w:snapToGrid w:val="0"/>
              <w:spacing w:before="161" w:beforeLines="50"/>
              <w:jc w:val="center"/>
              <w:rPr>
                <w:color w:val="auto"/>
                <w:szCs w:val="21"/>
                <w:highlight w:val="none"/>
              </w:rPr>
            </w:pPr>
            <w:r>
              <w:rPr>
                <w:rFonts w:hint="eastAsia" w:ascii="宋体" w:hAnsi="宋体"/>
                <w:iCs/>
                <w:color w:val="auto"/>
                <w:szCs w:val="21"/>
                <w:highlight w:val="none"/>
              </w:rPr>
              <w:sym w:font="Wingdings" w:char="00A8"/>
            </w:r>
          </w:p>
        </w:tc>
        <w:tc>
          <w:tcPr>
            <w:tcW w:w="770" w:type="dxa"/>
            <w:tcBorders>
              <w:tl2br w:val="nil"/>
              <w:tr2bl w:val="nil"/>
            </w:tcBorders>
            <w:vAlign w:val="center"/>
          </w:tcPr>
          <w:p>
            <w:pPr>
              <w:adjustRightInd w:val="0"/>
              <w:snapToGrid w:val="0"/>
              <w:spacing w:before="161" w:beforeLines="50"/>
              <w:jc w:val="center"/>
              <w:rPr>
                <w:color w:val="auto"/>
                <w:szCs w:val="21"/>
                <w:highlight w:val="none"/>
              </w:rPr>
            </w:pPr>
            <w:r>
              <w:rPr>
                <w:rFonts w:hint="eastAsia" w:ascii="宋体" w:hAnsi="宋体"/>
                <w:iCs/>
                <w:color w:val="auto"/>
                <w:szCs w:val="21"/>
                <w:highlight w:val="none"/>
              </w:rPr>
              <w:sym w:font="Wingdings" w:char="00A8"/>
            </w:r>
          </w:p>
        </w:tc>
      </w:tr>
    </w:tbl>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说明：</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1.节能产品实行</w:t>
      </w:r>
      <w:r>
        <w:rPr>
          <w:rFonts w:hint="eastAsia" w:ascii="宋体" w:hAnsi="宋体"/>
          <w:iCs/>
          <w:color w:val="auto"/>
          <w:szCs w:val="21"/>
          <w:highlight w:val="none"/>
        </w:rPr>
        <w:t>强制采购的</w:t>
      </w:r>
      <w:r>
        <w:rPr>
          <w:rFonts w:hint="eastAsia" w:ascii="宋体" w:hAnsi="宋体"/>
          <w:color w:val="auto"/>
          <w:szCs w:val="21"/>
          <w:highlight w:val="none"/>
        </w:rPr>
        <w:t>，需提供国家认证机构出具的、处于有效期内的节能产品证书。</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2.同意购买进口产品的，不限制满足采购需求的国内产品参与投标。</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三、采购项目需落实的政府采购政策</w:t>
      </w:r>
      <w:r>
        <w:rPr>
          <w:rFonts w:hint="eastAsia" w:ascii="宋体" w:hAnsi="宋体"/>
          <w:color w:val="auto"/>
          <w:szCs w:val="21"/>
          <w:highlight w:val="none"/>
        </w:rPr>
        <w:t>：</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1、优先采购：节能产品、环境标志产品、两型产品享受加分或价格折扣。</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2、支持中小企业：中小企业享受预留采购份额或价格折扣。</w:t>
      </w:r>
    </w:p>
    <w:p>
      <w:pPr>
        <w:adjustRightInd w:val="0"/>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四、投标人的资格要求</w:t>
      </w:r>
      <w:r>
        <w:rPr>
          <w:rFonts w:hint="eastAsia" w:ascii="宋体" w:hAnsi="宋体"/>
          <w:color w:val="auto"/>
          <w:szCs w:val="21"/>
          <w:highlight w:val="none"/>
        </w:rPr>
        <w:t>：</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bookmarkStart w:id="20" w:name="OLE_LINK176"/>
      <w:r>
        <w:rPr>
          <w:rFonts w:hint="eastAsia" w:ascii="宋体" w:hAnsi="宋体"/>
          <w:color w:val="auto"/>
          <w:szCs w:val="21"/>
          <w:highlight w:val="none"/>
        </w:rPr>
        <w:t>投标人的基本资格条件：投标人必须是在中华人民共和国境内注册登记的法人、其他组织或者自然人，且应当符合《政府采购法》第二十二条第一款的规定。</w:t>
      </w:r>
      <w:bookmarkEnd w:id="20"/>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p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专门面向</w:t>
      </w:r>
      <w:r>
        <w:rPr>
          <w:rFonts w:hint="eastAsia" w:ascii="宋体" w:hAnsi="宋体"/>
          <w:bCs/>
          <w:color w:val="auto"/>
          <w:szCs w:val="21"/>
          <w:highlight w:val="none"/>
        </w:rPr>
        <w:t>：</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中小企业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pPr>
        <w:adjustRightInd w:val="0"/>
        <w:snapToGrid w:val="0"/>
        <w:spacing w:line="360" w:lineRule="auto"/>
        <w:ind w:firstLine="630" w:firstLineChars="300"/>
        <w:rPr>
          <w:rFonts w:hint="eastAsia" w:ascii="宋体" w:hAnsi="宋体"/>
          <w:b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分包：大型企业应将采购份额的</w:t>
      </w:r>
      <w:r>
        <w:rPr>
          <w:rFonts w:hint="eastAsia" w:ascii="宋体" w:hAnsi="宋体"/>
          <w:bCs/>
          <w:color w:val="auto"/>
          <w:szCs w:val="21"/>
          <w:highlight w:val="none"/>
          <w:u w:val="single"/>
        </w:rPr>
        <w:t xml:space="preserve">     /    </w:t>
      </w:r>
      <w:r>
        <w:rPr>
          <w:rFonts w:hint="eastAsia" w:ascii="宋体" w:hAnsi="宋体"/>
          <w:bCs/>
          <w:color w:val="auto"/>
          <w:szCs w:val="21"/>
          <w:highlight w:val="none"/>
        </w:rPr>
        <w:t>%分包给中小企业。</w:t>
      </w:r>
    </w:p>
    <w:p>
      <w:pPr>
        <w:numPr>
          <w:ilvl w:val="0"/>
          <w:numId w:val="1"/>
        </w:num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采购项目的特定资格条件：</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包1：</w:t>
      </w:r>
      <w:bookmarkStart w:id="21" w:name="OLE_LINK175"/>
      <w:bookmarkStart w:id="22" w:name="OLE_LINK173"/>
      <w:r>
        <w:rPr>
          <w:rFonts w:hint="eastAsia" w:ascii="宋体" w:hAnsi="宋体"/>
          <w:color w:val="auto"/>
          <w:szCs w:val="21"/>
          <w:highlight w:val="none"/>
        </w:rPr>
        <w:t>无</w:t>
      </w:r>
      <w:bookmarkEnd w:id="21"/>
      <w:r>
        <w:rPr>
          <w:rFonts w:hint="eastAsia" w:ascii="宋体" w:hAnsi="宋体"/>
          <w:color w:val="auto"/>
          <w:szCs w:val="21"/>
          <w:highlight w:val="none"/>
        </w:rPr>
        <w:t>。</w:t>
      </w:r>
      <w:bookmarkEnd w:id="22"/>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4、单位负责人为同一人或者存在直接控股、管理关系的不同投标人，不得参加同一合同项下的政府采购活动。</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5、为本采购项目提供整体设计、规范编制或者项目管理、监理、检测等服务的，不得再参加此项目的其他采购活动。</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6、列入失信被执行人、重大税收违法失信主体名单、政府采购严重违法失信行为记录名单的，拒绝其参与政府采购活动。</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7、联合体投标。本次招标</w:t>
      </w:r>
      <w:r>
        <w:rPr>
          <w:rFonts w:hint="eastAsia" w:ascii="宋体" w:hAnsi="宋体"/>
          <w:color w:val="auto"/>
          <w:szCs w:val="21"/>
          <w:highlight w:val="none"/>
          <w:u w:val="single"/>
        </w:rPr>
        <w:t xml:space="preserve"> 不接受 </w:t>
      </w:r>
      <w:r>
        <w:rPr>
          <w:rFonts w:hint="eastAsia" w:ascii="宋体" w:hAnsi="宋体"/>
          <w:color w:val="auto"/>
          <w:szCs w:val="21"/>
          <w:highlight w:val="none"/>
        </w:rPr>
        <w:t>联合体投标。</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五、获取招标文件的时间、期限、地点及方式</w:t>
      </w:r>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color w:val="auto"/>
          <w:szCs w:val="21"/>
          <w:highlight w:val="none"/>
        </w:rPr>
      </w:pPr>
      <w:r>
        <w:rPr>
          <w:rFonts w:hint="eastAsia" w:ascii="宋体" w:hAnsi="宋体" w:cs="微软雅黑"/>
          <w:color w:val="auto"/>
          <w:kern w:val="0"/>
          <w:szCs w:val="21"/>
          <w:highlight w:val="none"/>
        </w:rPr>
        <w:t>有意参加投标者，于</w:t>
      </w:r>
      <w:bookmarkStart w:id="23" w:name="OLE_LINK101"/>
      <w:r>
        <w:rPr>
          <w:rFonts w:hint="eastAsia" w:ascii="宋体" w:hAnsi="宋体"/>
          <w:color w:val="auto"/>
          <w:szCs w:val="21"/>
          <w:highlight w:val="none"/>
          <w:lang w:eastAsia="zh-CN"/>
        </w:rPr>
        <w:t>2026年</w:t>
      </w:r>
      <w:bookmarkStart w:id="24" w:name="OLE_LINK38"/>
      <w:r>
        <w:rPr>
          <w:rFonts w:hint="eastAsia" w:ascii="宋体" w:hAnsi="宋体"/>
          <w:color w:val="auto"/>
          <w:szCs w:val="21"/>
          <w:highlight w:val="none"/>
          <w:u w:val="single"/>
          <w:lang w:val="en-US" w:eastAsia="zh-CN"/>
        </w:rPr>
        <w:t>7</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13</w:t>
      </w:r>
      <w:r>
        <w:rPr>
          <w:rFonts w:hint="eastAsia" w:ascii="宋体" w:hAnsi="宋体"/>
          <w:color w:val="auto"/>
          <w:szCs w:val="21"/>
          <w:highlight w:val="none"/>
        </w:rPr>
        <w:t>日</w:t>
      </w:r>
      <w:bookmarkEnd w:id="23"/>
      <w:bookmarkEnd w:id="24"/>
      <w:r>
        <w:rPr>
          <w:rFonts w:hint="eastAsia" w:ascii="宋体" w:hAnsi="宋体" w:cs="微软雅黑"/>
          <w:color w:val="auto"/>
          <w:kern w:val="0"/>
          <w:szCs w:val="21"/>
          <w:highlight w:val="none"/>
        </w:rPr>
        <w:t>至</w:t>
      </w:r>
      <w:r>
        <w:rPr>
          <w:rFonts w:hint="eastAsia" w:ascii="宋体" w:hAnsi="宋体"/>
          <w:color w:val="auto"/>
          <w:szCs w:val="21"/>
          <w:highlight w:val="none"/>
          <w:lang w:eastAsia="zh-CN"/>
        </w:rPr>
        <w:t>2026年</w:t>
      </w:r>
      <w:r>
        <w:rPr>
          <w:rFonts w:hint="eastAsia" w:ascii="宋体" w:hAnsi="宋体"/>
          <w:color w:val="auto"/>
          <w:szCs w:val="21"/>
          <w:highlight w:val="none"/>
          <w:u w:val="single"/>
          <w:lang w:val="en-US" w:eastAsia="zh-CN"/>
        </w:rPr>
        <w:t>7</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17</w:t>
      </w:r>
      <w:r>
        <w:rPr>
          <w:rFonts w:hint="eastAsia" w:ascii="宋体" w:hAnsi="宋体"/>
          <w:color w:val="auto"/>
          <w:szCs w:val="21"/>
          <w:highlight w:val="none"/>
        </w:rPr>
        <w:t>日</w:t>
      </w:r>
      <w:r>
        <w:rPr>
          <w:rFonts w:hint="eastAsia" w:ascii="宋体" w:hAnsi="宋体" w:cs="微软雅黑"/>
          <w:color w:val="auto"/>
          <w:kern w:val="0"/>
          <w:szCs w:val="21"/>
          <w:highlight w:val="none"/>
        </w:rPr>
        <w:t>，</w:t>
      </w:r>
      <w:r>
        <w:rPr>
          <w:rFonts w:hint="eastAsia" w:ascii="宋体" w:hAnsi="宋体"/>
          <w:color w:val="auto"/>
          <w:szCs w:val="21"/>
          <w:highlight w:val="none"/>
          <w:u w:val="single"/>
        </w:rPr>
        <w:t>0：00-24：00</w:t>
      </w:r>
      <w:r>
        <w:rPr>
          <w:rFonts w:hint="eastAsia" w:ascii="宋体" w:hAnsi="宋体" w:cs="微软雅黑"/>
          <w:color w:val="auto"/>
          <w:kern w:val="0"/>
          <w:szCs w:val="21"/>
          <w:highlight w:val="none"/>
        </w:rPr>
        <w:t>， 在</w:t>
      </w:r>
      <w:r>
        <w:rPr>
          <w:rFonts w:hint="eastAsia" w:ascii="宋体" w:hAnsi="宋体"/>
          <w:color w:val="auto"/>
          <w:szCs w:val="21"/>
          <w:highlight w:val="none"/>
        </w:rPr>
        <w:t>湖南省公共资源交易服务平台株洲分平台——交易快速通道——政府采购——湖南省公共资源交易服务平台株洲分平台——填写投标信息——选择对应项目报名。也可直接登陆湖南省公共资源交易服务平台株洲分平台（https://zhuzhou.hnsggzy.com/）报名。</w:t>
      </w:r>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cs="微软雅黑"/>
          <w:color w:val="auto"/>
          <w:kern w:val="0"/>
          <w:szCs w:val="21"/>
          <w:highlight w:val="none"/>
        </w:rPr>
      </w:pPr>
      <w:r>
        <w:rPr>
          <w:rFonts w:hint="eastAsia" w:ascii="宋体" w:hAnsi="宋体"/>
          <w:color w:val="auto"/>
          <w:szCs w:val="21"/>
          <w:highlight w:val="none"/>
        </w:rPr>
        <w:sym w:font="Wingdings" w:char="00FE"/>
      </w:r>
      <w:r>
        <w:rPr>
          <w:rFonts w:hint="eastAsia" w:ascii="宋体" w:hAnsi="宋体" w:cs="微软雅黑"/>
          <w:color w:val="auto"/>
          <w:kern w:val="0"/>
          <w:szCs w:val="21"/>
          <w:highlight w:val="none"/>
        </w:rPr>
        <w:t>本项目实行电子交易，有意参加投标者，在</w:t>
      </w:r>
      <w:r>
        <w:rPr>
          <w:rFonts w:hint="eastAsia" w:ascii="宋体" w:hAnsi="宋体"/>
          <w:color w:val="auto"/>
          <w:szCs w:val="21"/>
          <w:highlight w:val="none"/>
        </w:rPr>
        <w:t>湖南省公共资源交易服务平台株洲分平台——交易快速通道——政府采购——湖南省公共资源交易服务平台株洲分平台——填写投标信息——选择对应项目报名，也可直接</w:t>
      </w:r>
      <w:bookmarkStart w:id="25" w:name="OLE_LINK136"/>
      <w:r>
        <w:rPr>
          <w:rFonts w:hint="eastAsia" w:ascii="宋体" w:hAnsi="宋体"/>
          <w:color w:val="auto"/>
          <w:szCs w:val="21"/>
          <w:highlight w:val="none"/>
        </w:rPr>
        <w:t>登陆湖南省公共资源交易服务平台株洲分平台（https://zhuzhou.hnsggzy.com/）报名，</w:t>
      </w:r>
      <w:r>
        <w:rPr>
          <w:rFonts w:hint="eastAsia" w:ascii="宋体" w:hAnsi="宋体" w:cs="微软雅黑"/>
          <w:color w:val="auto"/>
          <w:kern w:val="0"/>
          <w:szCs w:val="21"/>
          <w:highlight w:val="none"/>
        </w:rPr>
        <w:t>获取电子版招标文件。</w:t>
      </w:r>
      <w:bookmarkEnd w:id="25"/>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color w:val="auto"/>
          <w:highlight w:val="none"/>
        </w:rPr>
      </w:pPr>
      <w:r>
        <w:rPr>
          <w:rFonts w:hint="eastAsia" w:ascii="宋体" w:hAnsi="宋体"/>
          <w:iCs/>
          <w:color w:val="auto"/>
          <w:szCs w:val="21"/>
          <w:highlight w:val="none"/>
        </w:rPr>
        <w:sym w:font="Wingdings" w:char="00A8"/>
      </w:r>
      <w:r>
        <w:rPr>
          <w:rFonts w:hint="eastAsia" w:ascii="宋体" w:hAnsi="宋体" w:cs="微软雅黑"/>
          <w:color w:val="auto"/>
          <w:kern w:val="0"/>
          <w:szCs w:val="21"/>
          <w:highlight w:val="none"/>
        </w:rPr>
        <w:t>本项目进行资格预审，招标文件将向所有通过资格预审的供应商提供。</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六、投标截止时间、开标时间及地点</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1、提交投标文件的截止时间：</w:t>
      </w:r>
      <w:bookmarkStart w:id="26" w:name="OLE_LINK102"/>
      <w:r>
        <w:rPr>
          <w:rFonts w:hint="eastAsia" w:ascii="宋体" w:hAnsi="宋体"/>
          <w:color w:val="auto"/>
          <w:szCs w:val="21"/>
          <w:highlight w:val="none"/>
          <w:lang w:eastAsia="zh-CN"/>
        </w:rPr>
        <w:t>2026年</w:t>
      </w:r>
      <w:bookmarkEnd w:id="26"/>
      <w:r>
        <w:rPr>
          <w:rFonts w:hint="eastAsia" w:ascii="宋体" w:hAnsi="宋体"/>
          <w:color w:val="auto"/>
          <w:szCs w:val="21"/>
          <w:highlight w:val="none"/>
          <w:u w:val="single"/>
          <w:lang w:val="en-US" w:eastAsia="zh-CN"/>
        </w:rPr>
        <w:t>8</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3</w:t>
      </w:r>
      <w:r>
        <w:rPr>
          <w:rFonts w:hint="eastAsia" w:ascii="宋体" w:hAnsi="宋体"/>
          <w:color w:val="auto"/>
          <w:szCs w:val="21"/>
          <w:highlight w:val="none"/>
        </w:rPr>
        <w:t>日</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9</w:t>
      </w:r>
      <w:r>
        <w:rPr>
          <w:rFonts w:hint="eastAsia" w:ascii="宋体" w:hAnsi="宋体"/>
          <w:color w:val="auto"/>
          <w:szCs w:val="21"/>
          <w:highlight w:val="none"/>
          <w:u w:val="single"/>
        </w:rPr>
        <w:t xml:space="preserve"> </w:t>
      </w:r>
      <w:r>
        <w:rPr>
          <w:rFonts w:hint="eastAsia" w:ascii="宋体" w:hAnsi="宋体"/>
          <w:color w:val="auto"/>
          <w:szCs w:val="21"/>
          <w:highlight w:val="none"/>
        </w:rPr>
        <w:t>：00（北京时间）</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2、提交投标文件地点：</w:t>
      </w:r>
      <w:bookmarkStart w:id="27" w:name="OLE_LINK172"/>
      <w:bookmarkStart w:id="28" w:name="OLE_LINK137"/>
      <w:r>
        <w:rPr>
          <w:rFonts w:hint="eastAsia" w:ascii="宋体" w:hAnsi="宋体"/>
          <w:color w:val="auto"/>
          <w:szCs w:val="21"/>
          <w:highlight w:val="none"/>
          <w:u w:val="single"/>
        </w:rPr>
        <w:t>湖南省公共资源交易服务平台株洲分平台</w:t>
      </w:r>
      <w:bookmarkEnd w:id="27"/>
      <w:r>
        <w:rPr>
          <w:rFonts w:hint="eastAsia" w:ascii="宋体" w:hAnsi="宋体"/>
          <w:color w:val="auto"/>
          <w:szCs w:val="21"/>
          <w:highlight w:val="none"/>
          <w:u w:val="single"/>
        </w:rPr>
        <w:t>（https：//zhuzhou.hnsggzy.com），请投标人在 “操作指南-下载中心”下载“新点投标文件制作软件（湖南省公共资源版）”编制投标文件，投标人应在投标截止时间前通过电子交易系统递交数据电文形式的投标文件。逾期送达的投标文件，电子交易系统予以拒收。</w:t>
      </w:r>
      <w:bookmarkEnd w:id="28"/>
      <w:r>
        <w:rPr>
          <w:rFonts w:hint="eastAsia" w:ascii="宋体" w:hAnsi="宋体"/>
          <w:color w:val="auto"/>
          <w:szCs w:val="21"/>
          <w:highlight w:val="none"/>
        </w:rPr>
        <w:t xml:space="preserve"> </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3、开标时间：</w:t>
      </w:r>
      <w:r>
        <w:rPr>
          <w:rFonts w:hint="eastAsia" w:ascii="宋体" w:hAnsi="宋体"/>
          <w:color w:val="auto"/>
          <w:szCs w:val="21"/>
          <w:highlight w:val="none"/>
          <w:lang w:eastAsia="zh-CN"/>
        </w:rPr>
        <w:t>2026年</w:t>
      </w:r>
      <w:r>
        <w:rPr>
          <w:rFonts w:hint="eastAsia" w:ascii="宋体" w:hAnsi="宋体"/>
          <w:color w:val="auto"/>
          <w:szCs w:val="21"/>
          <w:highlight w:val="none"/>
          <w:u w:val="single"/>
          <w:lang w:val="en-US" w:eastAsia="zh-CN"/>
        </w:rPr>
        <w:t>8</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3</w:t>
      </w:r>
      <w:r>
        <w:rPr>
          <w:rFonts w:hint="eastAsia" w:ascii="宋体" w:hAnsi="宋体"/>
          <w:color w:val="auto"/>
          <w:szCs w:val="21"/>
          <w:highlight w:val="none"/>
        </w:rPr>
        <w:t>日</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9</w:t>
      </w:r>
      <w:r>
        <w:rPr>
          <w:rFonts w:hint="eastAsia" w:ascii="宋体" w:hAnsi="宋体"/>
          <w:color w:val="auto"/>
          <w:szCs w:val="21"/>
          <w:highlight w:val="none"/>
          <w:u w:val="single"/>
        </w:rPr>
        <w:t xml:space="preserve">  </w:t>
      </w:r>
      <w:r>
        <w:rPr>
          <w:rFonts w:hint="eastAsia" w:ascii="宋体" w:hAnsi="宋体"/>
          <w:color w:val="auto"/>
          <w:szCs w:val="21"/>
          <w:highlight w:val="none"/>
        </w:rPr>
        <w:t>：00（北京时间）</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4、开标地点：</w:t>
      </w:r>
      <w:bookmarkStart w:id="29" w:name="OLE_LINK138"/>
      <w:r>
        <w:rPr>
          <w:rFonts w:hint="eastAsia" w:ascii="宋体" w:hAnsi="宋体"/>
          <w:color w:val="auto"/>
          <w:szCs w:val="21"/>
          <w:highlight w:val="none"/>
          <w:u w:val="single"/>
        </w:rPr>
        <w:t>本项目实行“不见面开标”方式，投标人无需到开标现场，请投标人提前配置好解密电脑和软件环境，在规定时间内使用制作投标文件时的 CA 锁登录“不见面开标大厅：湖南省公共资源交易服务平台株洲分平台（https：//zhuzhou.hnsggzy.com）——智慧服务大厅——开标与电子竞价直播”解密投标文件。</w:t>
      </w:r>
      <w:bookmarkEnd w:id="29"/>
    </w:p>
    <w:p>
      <w:pPr>
        <w:adjustRightInd w:val="0"/>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七、公告期限</w:t>
      </w:r>
      <w:r>
        <w:rPr>
          <w:rFonts w:hint="eastAsia" w:ascii="宋体" w:hAnsi="宋体"/>
          <w:color w:val="auto"/>
          <w:szCs w:val="21"/>
          <w:highlight w:val="none"/>
        </w:rPr>
        <w:t>：</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1、本招标公告在中国湖南政府采购网（www.ccgp-hunan.gov.cn）发布。公告期限从本招标公告发布之日起5个工作日。</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pPr>
        <w:adjustRightInd w:val="0"/>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八、询问及质疑</w:t>
      </w:r>
      <w:r>
        <w:rPr>
          <w:rFonts w:hint="eastAsia" w:ascii="宋体" w:hAnsi="宋体"/>
          <w:color w:val="auto"/>
          <w:szCs w:val="21"/>
          <w:highlight w:val="none"/>
        </w:rPr>
        <w:t>：</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1、投标人对政府采购活动事项如有疑问的，可以向采购人、采购代理机构提出询问。采购人、采购代理机构将在3个工作日内作出答复。</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2、投标人对电子交易平台办理CA证书、操作等如有疑问，请咨询电子交易平台服务机构。</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s="宋体"/>
          <w:color w:val="auto"/>
          <w:highlight w:val="none"/>
        </w:rPr>
        <w:t>潜在供应商认为招标文件或招标公告使自己的合法权益受到损害的，可以在收到招标文件之日或招标公告期限届满之日起7个工作日内，按《湖南省财政厅关于印发＜政府采购质疑答复和投诉处理操作规程＞的通知》(湘财购</w:t>
      </w:r>
      <w:r>
        <w:rPr>
          <w:rFonts w:hint="eastAsia" w:ascii="宋体" w:hAnsi="宋体"/>
          <w:color w:val="auto"/>
          <w:szCs w:val="21"/>
          <w:highlight w:val="none"/>
        </w:rPr>
        <w:t>〔2024〕67号</w:t>
      </w:r>
      <w:r>
        <w:rPr>
          <w:rFonts w:hint="eastAsia" w:ascii="宋体" w:hAnsi="宋体" w:cs="宋体"/>
          <w:color w:val="auto"/>
          <w:highlight w:val="none"/>
        </w:rPr>
        <w:t>)规定，以纸质书面形式向采购人、采购代理机构提出质疑。</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九、投标说明</w:t>
      </w:r>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color w:val="auto"/>
          <w:szCs w:val="21"/>
          <w:highlight w:val="none"/>
        </w:rPr>
      </w:pPr>
      <w:r>
        <w:rPr>
          <w:rFonts w:hint="eastAsia" w:ascii="宋体" w:hAnsi="宋体"/>
          <w:color w:val="auto"/>
          <w:szCs w:val="21"/>
          <w:highlight w:val="none"/>
        </w:rPr>
        <w:t>1、本公告选项：</w:t>
      </w:r>
      <w:r>
        <w:rPr>
          <w:rFonts w:hint="eastAsia" w:ascii="宋体" w:hAnsi="宋体"/>
          <w:color w:val="auto"/>
          <w:szCs w:val="21"/>
          <w:highlight w:val="none"/>
        </w:rPr>
        <w:sym w:font="Wingdings" w:char="00FE"/>
      </w:r>
      <w:r>
        <w:rPr>
          <w:rFonts w:hint="eastAsia" w:ascii="宋体" w:hAnsi="宋体"/>
          <w:color w:val="auto"/>
          <w:szCs w:val="21"/>
          <w:highlight w:val="none"/>
        </w:rPr>
        <w:t>表示选择，</w:t>
      </w:r>
      <w:r>
        <w:rPr>
          <w:rFonts w:hint="eastAsia" w:ascii="宋体" w:hAnsi="宋体"/>
          <w:color w:val="auto"/>
          <w:szCs w:val="21"/>
          <w:highlight w:val="none"/>
        </w:rPr>
        <w:sym w:font="Wingdings" w:char="00A8"/>
      </w:r>
      <w:r>
        <w:rPr>
          <w:rFonts w:hint="eastAsia" w:ascii="宋体" w:hAnsi="宋体"/>
          <w:color w:val="auto"/>
          <w:szCs w:val="21"/>
          <w:highlight w:val="none"/>
        </w:rPr>
        <w:t>表示未选择。</w:t>
      </w:r>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color w:val="auto"/>
          <w:highlight w:val="none"/>
        </w:rPr>
      </w:pPr>
      <w:r>
        <w:rPr>
          <w:rFonts w:hint="eastAsia" w:ascii="宋体" w:hAnsi="宋体"/>
          <w:color w:val="auto"/>
          <w:szCs w:val="21"/>
          <w:highlight w:val="none"/>
        </w:rPr>
        <w:t>2、投标人参与政府采购活动，无需向采购人、代理机构、交易平台缴纳任何费用。</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十、采购项目联系人姓名和电话</w:t>
      </w:r>
    </w:p>
    <w:p>
      <w:pPr>
        <w:adjustRightInd w:val="0"/>
        <w:snapToGrid w:val="0"/>
        <w:spacing w:line="360" w:lineRule="auto"/>
        <w:ind w:firstLine="411" w:firstLineChars="196"/>
        <w:rPr>
          <w:rFonts w:hint="eastAsia" w:ascii="宋体" w:hAnsi="宋体" w:eastAsia="宋体"/>
          <w:color w:val="auto"/>
          <w:szCs w:val="21"/>
          <w:highlight w:val="none"/>
          <w:lang w:eastAsia="zh-CN"/>
        </w:rPr>
      </w:pPr>
      <w:r>
        <w:rPr>
          <w:rFonts w:hint="eastAsia" w:ascii="宋体" w:hAnsi="宋体"/>
          <w:color w:val="auto"/>
          <w:szCs w:val="21"/>
          <w:highlight w:val="none"/>
        </w:rPr>
        <w:t>1、联系人姓名：</w:t>
      </w:r>
      <w:r>
        <w:rPr>
          <w:rFonts w:hint="eastAsia" w:ascii="宋体" w:hAnsi="宋体"/>
          <w:color w:val="auto"/>
          <w:szCs w:val="21"/>
          <w:highlight w:val="none"/>
          <w:lang w:eastAsia="zh-CN"/>
        </w:rPr>
        <w:t>张治坤</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2、电话：0731-22537501</w:t>
      </w:r>
    </w:p>
    <w:p>
      <w:pPr>
        <w:adjustRightInd w:val="0"/>
        <w:snapToGrid w:val="0"/>
        <w:spacing w:line="360" w:lineRule="auto"/>
        <w:ind w:firstLine="413" w:firstLineChars="196"/>
        <w:rPr>
          <w:rFonts w:hint="eastAsia" w:ascii="宋体" w:hAnsi="宋体"/>
          <w:b/>
          <w:bCs/>
          <w:color w:val="auto"/>
          <w:szCs w:val="21"/>
          <w:highlight w:val="none"/>
        </w:rPr>
      </w:pPr>
      <w:r>
        <w:rPr>
          <w:rFonts w:hint="eastAsia" w:ascii="宋体" w:hAnsi="宋体"/>
          <w:b/>
          <w:bCs/>
          <w:color w:val="auto"/>
          <w:szCs w:val="21"/>
          <w:highlight w:val="none"/>
        </w:rPr>
        <w:t>十一、采购人、采购代理机构的名称、地址和联系方法</w:t>
      </w:r>
    </w:p>
    <w:p>
      <w:pPr>
        <w:adjustRightInd w:val="0"/>
        <w:snapToGrid w:val="0"/>
        <w:spacing w:line="360" w:lineRule="auto"/>
        <w:ind w:firstLine="413" w:firstLineChars="196"/>
        <w:rPr>
          <w:rFonts w:hint="eastAsia"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w:t>
      </w:r>
      <w:r>
        <w:rPr>
          <w:rFonts w:hint="eastAsia" w:ascii="宋体" w:hAnsi="宋体"/>
          <w:b/>
          <w:bCs/>
          <w:color w:val="auto"/>
          <w:szCs w:val="21"/>
          <w:highlight w:val="none"/>
        </w:rPr>
        <w:t>采购人信息</w:t>
      </w:r>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 xml:space="preserve">（1）名 称：湖南化工职业技术学院      </w:t>
      </w:r>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 xml:space="preserve">（2）地  址：株洲市云龙职教城智慧大道1号    </w:t>
      </w:r>
    </w:p>
    <w:p>
      <w:pPr>
        <w:adjustRightInd w:val="0"/>
        <w:snapToGrid w:val="0"/>
        <w:spacing w:line="360" w:lineRule="auto"/>
        <w:ind w:firstLine="411" w:firstLineChars="196"/>
        <w:rPr>
          <w:rFonts w:hint="eastAsia" w:ascii="宋体" w:hAnsi="宋体" w:eastAsia="宋体"/>
          <w:color w:val="auto"/>
          <w:szCs w:val="21"/>
          <w:highlight w:val="none"/>
          <w:lang w:eastAsia="zh-CN"/>
        </w:rPr>
      </w:pPr>
      <w:r>
        <w:rPr>
          <w:rFonts w:hint="eastAsia" w:ascii="宋体" w:hAnsi="宋体"/>
          <w:color w:val="auto"/>
          <w:szCs w:val="21"/>
          <w:highlight w:val="none"/>
        </w:rPr>
        <w:t>（3）联系人：</w:t>
      </w:r>
      <w:bookmarkStart w:id="30" w:name="OLE_LINK194"/>
      <w:r>
        <w:rPr>
          <w:rFonts w:hint="eastAsia" w:ascii="宋体" w:hAnsi="宋体"/>
          <w:color w:val="auto"/>
          <w:szCs w:val="21"/>
          <w:highlight w:val="none"/>
          <w:lang w:eastAsia="zh-CN"/>
        </w:rPr>
        <w:t>张治坤</w:t>
      </w:r>
      <w:bookmarkEnd w:id="30"/>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（4）电  话：</w:t>
      </w:r>
      <w:bookmarkStart w:id="31" w:name="OLE_LINK97"/>
      <w:r>
        <w:rPr>
          <w:rFonts w:hint="eastAsia" w:ascii="宋体" w:hAnsi="宋体"/>
          <w:color w:val="auto"/>
          <w:szCs w:val="21"/>
          <w:highlight w:val="none"/>
        </w:rPr>
        <w:t>0731-22537501</w:t>
      </w:r>
      <w:bookmarkEnd w:id="31"/>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 xml:space="preserve">（5）邮  编：412000 </w:t>
      </w:r>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（6）电子邮箱：/</w:t>
      </w:r>
    </w:p>
    <w:p>
      <w:pPr>
        <w:adjustRightInd w:val="0"/>
        <w:snapToGrid w:val="0"/>
        <w:spacing w:line="360" w:lineRule="auto"/>
        <w:ind w:firstLine="413" w:firstLineChars="196"/>
        <w:rPr>
          <w:rFonts w:hint="eastAsia" w:ascii="宋体" w:hAnsi="宋体"/>
          <w:b/>
          <w:bCs/>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w:t>
      </w:r>
      <w:r>
        <w:rPr>
          <w:rFonts w:hint="eastAsia" w:ascii="宋体" w:hAnsi="宋体"/>
          <w:b/>
          <w:bCs/>
          <w:color w:val="auto"/>
          <w:szCs w:val="21"/>
          <w:highlight w:val="none"/>
        </w:rPr>
        <w:t>采购代理机构信息</w:t>
      </w:r>
    </w:p>
    <w:p>
      <w:pPr>
        <w:snapToGrid w:val="0"/>
        <w:spacing w:line="360" w:lineRule="auto"/>
        <w:ind w:firstLine="411" w:firstLineChars="196"/>
        <w:textAlignment w:val="baseline"/>
        <w:rPr>
          <w:rFonts w:hint="eastAsia" w:ascii="宋体" w:hAnsi="宋体"/>
          <w:color w:val="auto"/>
          <w:szCs w:val="21"/>
          <w:highlight w:val="none"/>
        </w:rPr>
      </w:pPr>
      <w:r>
        <w:rPr>
          <w:rFonts w:ascii="宋体" w:hAnsi="宋体"/>
          <w:color w:val="auto"/>
          <w:szCs w:val="21"/>
          <w:highlight w:val="none"/>
        </w:rPr>
        <w:t>（1）</w:t>
      </w:r>
      <w:r>
        <w:rPr>
          <w:rFonts w:ascii="宋体" w:hAnsi="宋体"/>
          <w:bCs/>
          <w:color w:val="auto"/>
          <w:szCs w:val="21"/>
          <w:highlight w:val="none"/>
        </w:rPr>
        <w:t>名  称：</w:t>
      </w:r>
      <w:r>
        <w:rPr>
          <w:rFonts w:hint="eastAsia" w:ascii="宋体" w:hAnsi="宋体"/>
          <w:color w:val="auto"/>
          <w:szCs w:val="21"/>
          <w:highlight w:val="none"/>
        </w:rPr>
        <w:t>湖南万达项目管理有限公司</w:t>
      </w:r>
    </w:p>
    <w:p>
      <w:pPr>
        <w:snapToGrid w:val="0"/>
        <w:spacing w:line="360" w:lineRule="auto"/>
        <w:ind w:firstLine="420" w:firstLineChars="200"/>
        <w:textAlignment w:val="baseline"/>
        <w:rPr>
          <w:rFonts w:hint="eastAsia" w:ascii="宋体" w:hAnsi="宋体"/>
          <w:color w:val="auto"/>
          <w:szCs w:val="21"/>
          <w:highlight w:val="none"/>
        </w:rPr>
      </w:pPr>
      <w:r>
        <w:rPr>
          <w:rFonts w:ascii="宋体" w:hAnsi="宋体"/>
          <w:color w:val="auto"/>
          <w:szCs w:val="21"/>
          <w:highlight w:val="none"/>
        </w:rPr>
        <w:t>（2）地  址：</w:t>
      </w:r>
      <w:r>
        <w:rPr>
          <w:rFonts w:hint="eastAsia" w:ascii="宋体" w:hAnsi="宋体"/>
          <w:color w:val="auto"/>
          <w:szCs w:val="21"/>
          <w:highlight w:val="none"/>
        </w:rPr>
        <w:t>株洲市天元区长江中央商务大厦A座5楼</w:t>
      </w:r>
    </w:p>
    <w:p>
      <w:pPr>
        <w:snapToGrid w:val="0"/>
        <w:spacing w:line="360" w:lineRule="auto"/>
        <w:ind w:firstLine="420" w:firstLineChars="200"/>
        <w:textAlignment w:val="baseline"/>
        <w:rPr>
          <w:rFonts w:hint="eastAsia" w:ascii="宋体" w:hAnsi="宋体"/>
          <w:color w:val="auto"/>
          <w:szCs w:val="21"/>
          <w:highlight w:val="none"/>
        </w:rPr>
      </w:pPr>
      <w:r>
        <w:rPr>
          <w:rFonts w:ascii="宋体" w:hAnsi="宋体"/>
          <w:color w:val="auto"/>
          <w:szCs w:val="21"/>
          <w:highlight w:val="none"/>
        </w:rPr>
        <w:t>（3）联系人：</w:t>
      </w:r>
      <w:r>
        <w:rPr>
          <w:rFonts w:hint="eastAsia" w:ascii="宋体" w:hAnsi="宋体"/>
          <w:color w:val="auto"/>
          <w:szCs w:val="21"/>
          <w:highlight w:val="none"/>
        </w:rPr>
        <w:t>黄曦、李萌、张志勇</w:t>
      </w:r>
    </w:p>
    <w:p>
      <w:pPr>
        <w:snapToGrid w:val="0"/>
        <w:spacing w:line="360" w:lineRule="auto"/>
        <w:ind w:firstLine="420" w:firstLineChars="200"/>
        <w:textAlignment w:val="baseline"/>
        <w:rPr>
          <w:rFonts w:hint="eastAsia" w:ascii="宋体" w:hAnsi="宋体"/>
          <w:color w:val="auto"/>
          <w:szCs w:val="21"/>
          <w:highlight w:val="none"/>
        </w:rPr>
      </w:pPr>
      <w:r>
        <w:rPr>
          <w:rFonts w:ascii="宋体" w:hAnsi="宋体"/>
          <w:color w:val="auto"/>
          <w:szCs w:val="21"/>
          <w:highlight w:val="none"/>
        </w:rPr>
        <w:t>（4）电  话：</w:t>
      </w:r>
      <w:bookmarkStart w:id="32" w:name="OLE_LINK174"/>
      <w:r>
        <w:rPr>
          <w:rFonts w:ascii="宋体" w:hAnsi="宋体"/>
          <w:color w:val="auto"/>
          <w:szCs w:val="21"/>
          <w:highlight w:val="none"/>
        </w:rPr>
        <w:t>0731-</w:t>
      </w:r>
      <w:r>
        <w:rPr>
          <w:rFonts w:hint="eastAsia" w:ascii="宋体" w:hAnsi="宋体"/>
          <w:color w:val="auto"/>
          <w:szCs w:val="21"/>
          <w:highlight w:val="none"/>
          <w:lang w:eastAsia="zh-CN"/>
        </w:rPr>
        <w:t>22885223</w:t>
      </w:r>
      <w:r>
        <w:rPr>
          <w:rFonts w:hint="eastAsia" w:ascii="宋体" w:hAnsi="宋体"/>
          <w:color w:val="auto"/>
          <w:szCs w:val="21"/>
          <w:highlight w:val="none"/>
        </w:rPr>
        <w:t>、15673388059</w:t>
      </w:r>
      <w:bookmarkEnd w:id="32"/>
    </w:p>
    <w:p>
      <w:pPr>
        <w:snapToGrid w:val="0"/>
        <w:spacing w:line="360" w:lineRule="auto"/>
        <w:ind w:firstLine="420" w:firstLineChars="200"/>
        <w:textAlignment w:val="baseline"/>
        <w:rPr>
          <w:rFonts w:hint="eastAsia" w:ascii="宋体" w:hAnsi="宋体"/>
          <w:color w:val="auto"/>
          <w:szCs w:val="21"/>
          <w:highlight w:val="none"/>
        </w:rPr>
      </w:pPr>
      <w:r>
        <w:rPr>
          <w:rFonts w:ascii="宋体" w:hAnsi="宋体"/>
          <w:color w:val="auto"/>
          <w:szCs w:val="21"/>
          <w:highlight w:val="none"/>
        </w:rPr>
        <w:t xml:space="preserve">（5）邮  编：412000 </w:t>
      </w:r>
    </w:p>
    <w:p>
      <w:pPr>
        <w:snapToGrid w:val="0"/>
        <w:spacing w:line="360" w:lineRule="auto"/>
        <w:ind w:firstLine="420" w:firstLineChars="200"/>
        <w:textAlignment w:val="baseline"/>
        <w:rPr>
          <w:color w:val="auto"/>
          <w:szCs w:val="21"/>
          <w:highlight w:val="none"/>
        </w:rPr>
      </w:pPr>
      <w:r>
        <w:rPr>
          <w:rFonts w:ascii="宋体" w:hAnsi="宋体"/>
          <w:color w:val="auto"/>
          <w:szCs w:val="21"/>
          <w:highlight w:val="none"/>
        </w:rPr>
        <w:t>（6）</w:t>
      </w:r>
      <w:r>
        <w:rPr>
          <w:color w:val="auto"/>
          <w:szCs w:val="21"/>
          <w:highlight w:val="none"/>
        </w:rPr>
        <w:t>电子邮箱：</w:t>
      </w:r>
      <w:r>
        <w:rPr>
          <w:rFonts w:hint="eastAsia" w:ascii="宋体" w:hAnsi="宋体" w:cs="宋体"/>
          <w:color w:val="auto"/>
          <w:highlight w:val="none"/>
        </w:rPr>
        <w:t>HNWD88888@163.com</w:t>
      </w:r>
    </w:p>
    <w:p>
      <w:pPr>
        <w:spacing w:line="360" w:lineRule="auto"/>
        <w:ind w:firstLine="422" w:firstLineChars="200"/>
        <w:rPr>
          <w:rFonts w:hint="eastAsia" w:ascii="宋体" w:hAnsi="宋体" w:cs="微软雅黑"/>
          <w:b/>
          <w:bCs/>
          <w:color w:val="auto"/>
          <w:kern w:val="0"/>
          <w:position w:val="-1"/>
          <w:szCs w:val="21"/>
          <w:highlight w:val="none"/>
        </w:rPr>
      </w:pPr>
      <w:r>
        <w:rPr>
          <w:rFonts w:hint="eastAsia" w:ascii="宋体" w:hAnsi="宋体" w:cs="微软雅黑"/>
          <w:b/>
          <w:bCs/>
          <w:color w:val="auto"/>
          <w:kern w:val="0"/>
          <w:position w:val="-1"/>
          <w:szCs w:val="21"/>
          <w:highlight w:val="none"/>
        </w:rPr>
        <w:t>3、电子交易平台服务机构信息</w:t>
      </w:r>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名  称：</w:t>
      </w:r>
      <w:r>
        <w:rPr>
          <w:rFonts w:hint="eastAsia" w:ascii="宋体" w:hAnsi="宋体"/>
          <w:color w:val="auto"/>
          <w:szCs w:val="21"/>
          <w:highlight w:val="none"/>
        </w:rPr>
        <w:t>株洲市公共资源交易网</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（2）联系人：技术支持 </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（3）电  话：0731-28101310 </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（4）电子邮箱：3562613576@qq.com</w:t>
      </w:r>
      <w:bookmarkEnd w:id="16"/>
    </w:p>
    <w:p>
      <w:pPr>
        <w:pStyle w:val="22"/>
        <w:adjustRightInd w:val="0"/>
        <w:snapToGrid w:val="0"/>
        <w:spacing w:line="360" w:lineRule="auto"/>
        <w:jc w:val="center"/>
        <w:rPr>
          <w:rFonts w:hint="eastAsia" w:hAnsi="宋体" w:cs="宋体"/>
          <w:b/>
          <w:color w:val="auto"/>
          <w:sz w:val="32"/>
          <w:szCs w:val="32"/>
          <w:highlight w:val="none"/>
        </w:rPr>
      </w:pPr>
      <w:r>
        <w:rPr>
          <w:rFonts w:hint="eastAsia" w:hAnsi="宋体" w:cs="宋体"/>
          <w:b/>
          <w:color w:val="auto"/>
          <w:sz w:val="32"/>
          <w:szCs w:val="32"/>
          <w:highlight w:val="none"/>
        </w:rPr>
        <w:br w:type="page"/>
      </w:r>
    </w:p>
    <w:p>
      <w:pPr>
        <w:pStyle w:val="22"/>
        <w:adjustRightInd w:val="0"/>
        <w:snapToGrid w:val="0"/>
        <w:spacing w:line="360" w:lineRule="auto"/>
        <w:jc w:val="center"/>
        <w:outlineLvl w:val="0"/>
        <w:rPr>
          <w:rFonts w:hint="eastAsia" w:hAnsi="宋体" w:cs="宋体"/>
          <w:b/>
          <w:color w:val="auto"/>
          <w:spacing w:val="100"/>
          <w:sz w:val="32"/>
          <w:szCs w:val="32"/>
          <w:highlight w:val="none"/>
        </w:rPr>
      </w:pPr>
      <w:bookmarkStart w:id="33" w:name="_Toc14812"/>
      <w:r>
        <w:rPr>
          <w:rFonts w:hint="eastAsia" w:hAnsi="宋体" w:cs="宋体"/>
          <w:b/>
          <w:color w:val="auto"/>
          <w:sz w:val="32"/>
          <w:szCs w:val="32"/>
          <w:highlight w:val="none"/>
        </w:rPr>
        <w:t>第二章 投标须知</w:t>
      </w:r>
      <w:bookmarkEnd w:id="7"/>
      <w:bookmarkEnd w:id="8"/>
      <w:bookmarkEnd w:id="9"/>
      <w:bookmarkEnd w:id="10"/>
      <w:bookmarkEnd w:id="11"/>
      <w:bookmarkEnd w:id="12"/>
      <w:bookmarkEnd w:id="13"/>
      <w:bookmarkEnd w:id="14"/>
      <w:bookmarkEnd w:id="33"/>
    </w:p>
    <w:p>
      <w:pPr>
        <w:pStyle w:val="3"/>
        <w:adjustRightInd w:val="0"/>
        <w:snapToGrid w:val="0"/>
        <w:jc w:val="center"/>
        <w:rPr>
          <w:rFonts w:hint="eastAsia" w:ascii="宋体" w:hAnsi="宋体" w:cs="宋体"/>
          <w:color w:val="auto"/>
          <w:spacing w:val="100"/>
          <w:sz w:val="28"/>
          <w:szCs w:val="28"/>
          <w:highlight w:val="none"/>
        </w:rPr>
      </w:pPr>
      <w:bookmarkStart w:id="34" w:name="_Toc13073"/>
      <w:r>
        <w:rPr>
          <w:rFonts w:hint="eastAsia" w:ascii="宋体" w:hAnsi="宋体" w:cs="宋体"/>
          <w:color w:val="auto"/>
          <w:sz w:val="28"/>
          <w:szCs w:val="28"/>
          <w:highlight w:val="none"/>
        </w:rPr>
        <w:t>第一节 投标须知前附表</w:t>
      </w:r>
      <w:bookmarkEnd w:id="34"/>
    </w:p>
    <w:p>
      <w:pPr>
        <w:adjustRightInd w:val="0"/>
        <w:snapToGrid w:val="0"/>
        <w:spacing w:line="360" w:lineRule="auto"/>
        <w:ind w:right="31" w:rightChars="15" w:firstLine="420" w:firstLineChars="200"/>
        <w:rPr>
          <w:rFonts w:hint="eastAsia" w:ascii="宋体" w:hAnsi="宋体" w:cs="宋体"/>
          <w:iCs/>
          <w:color w:val="auto"/>
          <w:szCs w:val="21"/>
          <w:highlight w:val="none"/>
        </w:rPr>
      </w:pPr>
      <w:r>
        <w:rPr>
          <w:rFonts w:hint="eastAsia" w:ascii="宋体" w:hAnsi="宋体" w:cs="宋体"/>
          <w:iCs/>
          <w:color w:val="auto"/>
          <w:szCs w:val="21"/>
          <w:highlight w:val="none"/>
        </w:rPr>
        <w:t>注：本项目启用的条款在“编列内容规定”栏内以“■”标注。</w:t>
      </w:r>
    </w:p>
    <w:tbl>
      <w:tblPr>
        <w:tblStyle w:val="42"/>
        <w:tblW w:w="89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1620"/>
        <w:gridCol w:w="61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11" w:type="dxa"/>
            <w:tcBorders>
              <w:tl2br w:val="nil"/>
              <w:tr2bl w:val="nil"/>
            </w:tcBorders>
            <w:vAlign w:val="center"/>
          </w:tcPr>
          <w:p>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条款号</w:t>
            </w:r>
          </w:p>
        </w:tc>
        <w:tc>
          <w:tcPr>
            <w:tcW w:w="1620" w:type="dxa"/>
            <w:tcBorders>
              <w:tl2br w:val="nil"/>
              <w:tr2bl w:val="nil"/>
            </w:tcBorders>
            <w:vAlign w:val="center"/>
          </w:tcPr>
          <w:p>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条款名称</w:t>
            </w:r>
          </w:p>
        </w:tc>
        <w:tc>
          <w:tcPr>
            <w:tcW w:w="6100" w:type="dxa"/>
            <w:tcBorders>
              <w:tl2br w:val="nil"/>
              <w:tr2bl w:val="nil"/>
            </w:tcBorders>
            <w:vAlign w:val="center"/>
          </w:tcPr>
          <w:p>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编列内容规定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一、说明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第1.1款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采购项目</w:t>
            </w:r>
          </w:p>
        </w:tc>
        <w:tc>
          <w:tcPr>
            <w:tcW w:w="6100" w:type="dxa"/>
            <w:tcBorders>
              <w:tl2br w:val="nil"/>
              <w:tr2bl w:val="nil"/>
            </w:tcBorders>
            <w:vAlign w:val="center"/>
          </w:tcPr>
          <w:p>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湖南化工职业技术学院先进制造工程中心（数控加工实训室）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adjustRightInd w:val="0"/>
              <w:snapToGrid w:val="0"/>
              <w:spacing w:line="400" w:lineRule="exact"/>
              <w:jc w:val="center"/>
              <w:rPr>
                <w:rFonts w:hint="eastAsia" w:ascii="宋体" w:hAnsi="宋体" w:cs="宋体"/>
                <w:color w:val="auto"/>
                <w:szCs w:val="21"/>
                <w:highlight w:val="none"/>
              </w:rPr>
            </w:pPr>
            <w:r>
              <w:rPr>
                <w:rFonts w:hint="eastAsia" w:ascii="宋体" w:hAnsi="宋体"/>
                <w:color w:val="auto"/>
                <w:szCs w:val="21"/>
                <w:highlight w:val="none"/>
              </w:rPr>
              <w:t>第1.2款</w:t>
            </w:r>
          </w:p>
        </w:tc>
        <w:tc>
          <w:tcPr>
            <w:tcW w:w="1620" w:type="dxa"/>
            <w:tcBorders>
              <w:tl2br w:val="nil"/>
              <w:tr2bl w:val="nil"/>
            </w:tcBorders>
            <w:vAlign w:val="center"/>
          </w:tcPr>
          <w:p>
            <w:pPr>
              <w:adjustRightInd w:val="0"/>
              <w:snapToGrid w:val="0"/>
              <w:spacing w:line="400" w:lineRule="exact"/>
              <w:rPr>
                <w:rFonts w:hint="eastAsia" w:ascii="宋体" w:hAnsi="宋体" w:cs="宋体"/>
                <w:color w:val="auto"/>
                <w:szCs w:val="21"/>
                <w:highlight w:val="none"/>
              </w:rPr>
            </w:pPr>
            <w:r>
              <w:rPr>
                <w:rFonts w:hint="eastAsia" w:ascii="宋体" w:hAnsi="宋体"/>
                <w:color w:val="auto"/>
                <w:szCs w:val="21"/>
                <w:highlight w:val="none"/>
              </w:rPr>
              <w:t>是否预留采购份额</w:t>
            </w:r>
          </w:p>
        </w:tc>
        <w:tc>
          <w:tcPr>
            <w:tcW w:w="6100" w:type="dxa"/>
            <w:tcBorders>
              <w:tl2br w:val="nil"/>
              <w:tr2bl w:val="nil"/>
            </w:tcBorders>
            <w:vAlign w:val="center"/>
          </w:tcPr>
          <w:p>
            <w:pPr>
              <w:adjustRightInd w:val="0"/>
              <w:snapToGrid w:val="0"/>
              <w:spacing w:line="400" w:lineRule="exact"/>
              <w:rPr>
                <w:color w:val="auto"/>
                <w:highlight w:val="none"/>
                <w:u w:val="single"/>
              </w:rPr>
            </w:pPr>
            <w:bookmarkStart w:id="35" w:name="OLE_LINK229"/>
            <w:r>
              <w:rPr>
                <w:rFonts w:hint="eastAsia"/>
                <w:color w:val="auto"/>
                <w:highlight w:val="none"/>
              </w:rPr>
              <w:sym w:font="Wingdings" w:char="00A8"/>
            </w:r>
            <w:bookmarkEnd w:id="35"/>
            <w:r>
              <w:rPr>
                <w:rFonts w:hint="eastAsia"/>
                <w:color w:val="auto"/>
                <w:highlight w:val="none"/>
              </w:rPr>
              <w:t xml:space="preserve"> 是</w:t>
            </w:r>
            <w:r>
              <w:rPr>
                <w:rFonts w:hint="eastAsia"/>
                <w:color w:val="auto"/>
                <w:highlight w:val="none"/>
                <w:u w:val="none"/>
              </w:rPr>
              <w:t>。</w:t>
            </w:r>
          </w:p>
          <w:p>
            <w:pPr>
              <w:pStyle w:val="162"/>
              <w:spacing w:line="400" w:lineRule="exact"/>
              <w:ind w:firstLine="0" w:firstLineChars="0"/>
              <w:rPr>
                <w:rFonts w:hint="eastAsia" w:ascii="宋体" w:hAnsi="宋体" w:cs="宋体"/>
                <w:color w:val="auto"/>
                <w:highlight w:val="none"/>
              </w:rPr>
            </w:pPr>
            <w:r>
              <w:rPr>
                <w:rFonts w:hint="eastAsia" w:ascii="宋体" w:hAnsi="宋体" w:cs="宋体"/>
                <w:iCs/>
                <w:color w:val="auto"/>
                <w:highlight w:val="none"/>
              </w:rPr>
              <w:t>■</w:t>
            </w:r>
            <w:r>
              <w:rPr>
                <w:rFonts w:hint="eastAsia" w:ascii="宋体" w:hAnsi="宋体"/>
                <w:iCs/>
                <w:color w:val="auto"/>
                <w:highlight w:val="none"/>
              </w:rPr>
              <w:t xml:space="preserve"> 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第2.1</w:t>
            </w:r>
            <w:r>
              <w:rPr>
                <w:rFonts w:hint="eastAsia" w:ascii="宋体" w:hAnsi="宋体" w:cs="宋体"/>
                <w:color w:val="auto"/>
                <w:szCs w:val="21"/>
                <w:highlight w:val="none"/>
                <w:lang w:val="zh-CN"/>
              </w:rPr>
              <w:t>款</w:t>
            </w:r>
          </w:p>
        </w:tc>
        <w:tc>
          <w:tcPr>
            <w:tcW w:w="1620" w:type="dxa"/>
            <w:tcBorders>
              <w:tl2br w:val="nil"/>
              <w:tr2bl w:val="nil"/>
            </w:tcBorders>
            <w:vAlign w:val="center"/>
          </w:tcPr>
          <w:p>
            <w:pPr>
              <w:rPr>
                <w:rFonts w:hint="eastAsia" w:ascii="宋体" w:hAnsi="宋体" w:cs="宋体"/>
                <w:color w:val="auto"/>
                <w:szCs w:val="21"/>
                <w:highlight w:val="none"/>
              </w:rPr>
            </w:pPr>
            <w:r>
              <w:rPr>
                <w:rFonts w:hint="eastAsia" w:ascii="宋体" w:hAnsi="宋体" w:cs="宋体"/>
                <w:color w:val="auto"/>
                <w:szCs w:val="21"/>
                <w:highlight w:val="none"/>
              </w:rPr>
              <w:t>采购项目联系人姓名和电话</w:t>
            </w:r>
          </w:p>
        </w:tc>
        <w:tc>
          <w:tcPr>
            <w:tcW w:w="6100" w:type="dxa"/>
            <w:tcBorders>
              <w:tl2br w:val="nil"/>
              <w:tr2bl w:val="nil"/>
            </w:tcBorders>
            <w:vAlign w:val="center"/>
          </w:tcPr>
          <w:p>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采购项目联系人姓名：</w:t>
            </w:r>
            <w:r>
              <w:rPr>
                <w:rFonts w:hint="eastAsia" w:ascii="宋体" w:hAnsi="宋体"/>
                <w:color w:val="auto"/>
                <w:szCs w:val="21"/>
                <w:highlight w:val="none"/>
                <w:lang w:eastAsia="zh-CN"/>
              </w:rPr>
              <w:t>张治坤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采购项目联系人电话：</w:t>
            </w:r>
            <w:r>
              <w:rPr>
                <w:rFonts w:hint="eastAsia" w:ascii="宋体" w:hAnsi="宋体"/>
                <w:color w:val="auto"/>
                <w:szCs w:val="21"/>
                <w:highlight w:val="none"/>
              </w:rPr>
              <w:t>0731-22537501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第2.2</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采购人名称、地址、电话、联系人</w:t>
            </w:r>
          </w:p>
        </w:tc>
        <w:tc>
          <w:tcPr>
            <w:tcW w:w="6100" w:type="dxa"/>
            <w:tcBorders>
              <w:tl2br w:val="nil"/>
              <w:tr2bl w:val="nil"/>
            </w:tcBorders>
            <w:vAlign w:val="center"/>
          </w:tcPr>
          <w:p>
            <w:pPr>
              <w:snapToGrid w:val="0"/>
              <w:spacing w:line="380" w:lineRule="exact"/>
              <w:textAlignment w:val="baseline"/>
              <w:rPr>
                <w:rStyle w:val="151"/>
                <w:rFonts w:hint="eastAsia" w:ascii="宋体" w:hAnsi="宋体"/>
                <w:color w:val="auto"/>
                <w:szCs w:val="21"/>
                <w:highlight w:val="none"/>
              </w:rPr>
            </w:pPr>
            <w:r>
              <w:rPr>
                <w:rStyle w:val="151"/>
                <w:rFonts w:hint="eastAsia" w:ascii="宋体" w:hAnsi="宋体"/>
                <w:color w:val="auto"/>
                <w:szCs w:val="21"/>
                <w:highlight w:val="none"/>
              </w:rPr>
              <w:t>采购人名称：湖南化工职业技术学院</w:t>
            </w:r>
          </w:p>
          <w:p>
            <w:pPr>
              <w:snapToGrid w:val="0"/>
              <w:spacing w:line="380" w:lineRule="exact"/>
              <w:textAlignment w:val="baseline"/>
              <w:rPr>
                <w:rStyle w:val="151"/>
                <w:rFonts w:hint="eastAsia" w:ascii="宋体" w:hAnsi="宋体"/>
                <w:color w:val="auto"/>
                <w:szCs w:val="21"/>
                <w:highlight w:val="none"/>
              </w:rPr>
            </w:pPr>
            <w:r>
              <w:rPr>
                <w:rStyle w:val="151"/>
                <w:rFonts w:hint="eastAsia" w:ascii="宋体" w:hAnsi="宋体"/>
                <w:color w:val="auto"/>
                <w:szCs w:val="21"/>
                <w:highlight w:val="none"/>
              </w:rPr>
              <w:t>地址：</w:t>
            </w:r>
            <w:r>
              <w:rPr>
                <w:rFonts w:hint="eastAsia" w:ascii="宋体" w:hAnsi="宋体"/>
                <w:color w:val="auto"/>
                <w:szCs w:val="21"/>
                <w:highlight w:val="none"/>
              </w:rPr>
              <w:t>株洲市云龙职教城智慧大道1号</w:t>
            </w:r>
            <w:r>
              <w:rPr>
                <w:rStyle w:val="151"/>
                <w:rFonts w:hint="eastAsia" w:ascii="宋体" w:hAnsi="宋体"/>
                <w:color w:val="auto"/>
                <w:szCs w:val="21"/>
                <w:highlight w:val="none"/>
              </w:rPr>
              <w:t xml:space="preserve">  </w:t>
            </w:r>
          </w:p>
          <w:p>
            <w:pPr>
              <w:snapToGrid w:val="0"/>
              <w:spacing w:line="380" w:lineRule="exact"/>
              <w:textAlignment w:val="baseline"/>
              <w:rPr>
                <w:rStyle w:val="151"/>
                <w:rFonts w:hint="eastAsia" w:ascii="宋体" w:hAnsi="宋体" w:eastAsia="宋体"/>
                <w:color w:val="auto"/>
                <w:szCs w:val="21"/>
                <w:highlight w:val="none"/>
                <w:lang w:eastAsia="zh-CN"/>
              </w:rPr>
            </w:pPr>
            <w:r>
              <w:rPr>
                <w:rStyle w:val="151"/>
                <w:rFonts w:hint="eastAsia" w:ascii="宋体" w:hAnsi="宋体"/>
                <w:color w:val="auto"/>
                <w:szCs w:val="21"/>
                <w:highlight w:val="none"/>
              </w:rPr>
              <w:t>联系人：</w:t>
            </w:r>
            <w:r>
              <w:rPr>
                <w:rFonts w:hint="eastAsia" w:ascii="宋体" w:hAnsi="宋体"/>
                <w:color w:val="auto"/>
                <w:szCs w:val="21"/>
                <w:highlight w:val="none"/>
                <w:lang w:eastAsia="zh-CN"/>
              </w:rPr>
              <w:t>张治坤</w:t>
            </w:r>
          </w:p>
          <w:p>
            <w:pPr>
              <w:spacing w:line="360" w:lineRule="auto"/>
              <w:rPr>
                <w:rFonts w:hint="eastAsia" w:ascii="宋体" w:hAnsi="宋体" w:cs="宋体"/>
                <w:color w:val="auto"/>
                <w:szCs w:val="21"/>
                <w:highlight w:val="none"/>
              </w:rPr>
            </w:pPr>
            <w:r>
              <w:rPr>
                <w:rStyle w:val="151"/>
                <w:rFonts w:hint="eastAsia" w:ascii="宋体" w:hAnsi="宋体"/>
                <w:color w:val="auto"/>
                <w:szCs w:val="21"/>
                <w:highlight w:val="none"/>
              </w:rPr>
              <w:t>电话：</w:t>
            </w:r>
            <w:r>
              <w:rPr>
                <w:rFonts w:hint="eastAsia" w:ascii="宋体" w:hAnsi="宋体"/>
                <w:color w:val="auto"/>
                <w:szCs w:val="21"/>
                <w:highlight w:val="none"/>
              </w:rPr>
              <w:t xml:space="preserve">0731-22537501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第2.3</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采购代理机构名称、地址、电话、联系人</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采购代理机构名称：湖南万达项目管理有限公司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地址：湖南省株洲市天元区长江中央商务大厦A座501室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highlight w:val="none"/>
              </w:rPr>
              <w:t>黄曦、李萌、张志勇</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电话：0731-</w:t>
            </w:r>
            <w:r>
              <w:rPr>
                <w:rFonts w:hint="eastAsia" w:ascii="宋体" w:hAnsi="宋体" w:cs="宋体"/>
                <w:color w:val="auto"/>
                <w:szCs w:val="21"/>
                <w:highlight w:val="none"/>
                <w:lang w:eastAsia="zh-CN"/>
              </w:rPr>
              <w:t>22885223</w:t>
            </w:r>
            <w:r>
              <w:rPr>
                <w:rFonts w:hint="eastAsia" w:ascii="宋体" w:hAnsi="宋体"/>
                <w:color w:val="auto"/>
                <w:szCs w:val="21"/>
                <w:highlight w:val="none"/>
              </w:rPr>
              <w:t>、15673388059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投标人资格条件</w:t>
            </w:r>
          </w:p>
        </w:tc>
        <w:tc>
          <w:tcPr>
            <w:tcW w:w="6100" w:type="dxa"/>
            <w:tcBorders>
              <w:tl2br w:val="nil"/>
              <w:tr2bl w:val="nil"/>
            </w:tcBorders>
            <w:vAlign w:val="center"/>
          </w:tcPr>
          <w:p>
            <w:pPr>
              <w:spacing w:line="360" w:lineRule="auto"/>
              <w:rPr>
                <w:color w:val="auto"/>
                <w:highlight w:val="none"/>
              </w:rPr>
            </w:pPr>
            <w:r>
              <w:rPr>
                <w:rFonts w:hint="eastAsia"/>
                <w:color w:val="auto"/>
                <w:highlight w:val="none"/>
              </w:rPr>
              <w:t>1、投标人的基本资格条件：投标人必须是在中华人民共和国境内注册登记的法人、其他组织或者自然人，且应当符合《政府采购法》第二十二条第一款的规定，即：</w:t>
            </w:r>
          </w:p>
          <w:p>
            <w:pPr>
              <w:spacing w:line="360" w:lineRule="auto"/>
              <w:rPr>
                <w:rFonts w:hint="eastAsia" w:ascii="宋体" w:hAnsi="宋体" w:cs="宋体"/>
                <w:color w:val="auto"/>
                <w:szCs w:val="21"/>
                <w:highlight w:val="none"/>
              </w:rPr>
            </w:pPr>
            <w:r>
              <w:rPr>
                <w:rFonts w:hint="eastAsia"/>
                <w:color w:val="auto"/>
                <w:highlight w:val="none"/>
              </w:rPr>
              <w:t>（1）具有独立</w:t>
            </w:r>
            <w:r>
              <w:rPr>
                <w:rFonts w:hint="eastAsia" w:ascii="宋体" w:hAnsi="宋体" w:cs="宋体"/>
                <w:color w:val="auto"/>
                <w:szCs w:val="21"/>
                <w:highlight w:val="none"/>
              </w:rPr>
              <w:t>承担民事责任的能力；</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 重大违法记录；</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（6）法律、行政法规规定的其他条件。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2、采购项目的特定资格条件：</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包1：无。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第3.2</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接受联合体形式投标</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接受</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不接受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第5.1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招标文件提供期限</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详见本项目招标文件第一章“投标邀请”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第5.2</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组织现场考察或者召开答疑会</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不组织</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组织。</w:t>
            </w:r>
          </w:p>
          <w:p>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现场考察或者召开答疑会时间：</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二、招标文件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第7.4</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非实质性偏离的范围和幅度</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一般商务和技术条款负偏离项数之和﹥</w:t>
            </w:r>
            <w:r>
              <w:rPr>
                <w:rFonts w:hint="eastAsia" w:ascii="宋体" w:hAnsi="宋体" w:cs="宋体"/>
                <w:color w:val="auto"/>
                <w:szCs w:val="21"/>
                <w:highlight w:val="none"/>
                <w:u w:val="single"/>
              </w:rPr>
              <w:t>10</w:t>
            </w:r>
            <w:r>
              <w:rPr>
                <w:rFonts w:hint="eastAsia" w:ascii="宋体" w:hAnsi="宋体" w:cs="宋体"/>
                <w:color w:val="auto"/>
                <w:szCs w:val="21"/>
                <w:highlight w:val="none"/>
              </w:rPr>
              <w:t>项，其投标无效。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第9.1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招标公告指定媒体</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中国湖南政府采购网(www.ccgp-hunan.gov.cn)、</w:t>
            </w:r>
          </w:p>
          <w:p>
            <w:pPr>
              <w:spacing w:line="360" w:lineRule="auto"/>
              <w:rPr>
                <w:rFonts w:hint="eastAsia" w:ascii="宋体" w:hAnsi="宋体" w:cs="宋体"/>
                <w:color w:val="auto"/>
                <w:szCs w:val="21"/>
                <w:highlight w:val="none"/>
              </w:rPr>
            </w:pPr>
            <w:r>
              <w:rPr>
                <w:rFonts w:hint="eastAsia" w:ascii="宋体" w:hAnsi="宋体"/>
                <w:color w:val="auto"/>
                <w:szCs w:val="21"/>
                <w:highlight w:val="none"/>
                <w:u w:val="single"/>
              </w:rPr>
              <w:t>湖南省公共资源交易服务平台株洲分平台</w:t>
            </w:r>
            <w:r>
              <w:rPr>
                <w:rFonts w:hint="eastAsia" w:ascii="宋体" w:hAnsi="宋体" w:cs="宋体"/>
                <w:color w:val="auto"/>
                <w:szCs w:val="21"/>
                <w:highlight w:val="none"/>
              </w:rPr>
              <w:t>（</w:t>
            </w:r>
            <w:r>
              <w:rPr>
                <w:rFonts w:hint="eastAsia" w:ascii="宋体" w:hAnsi="宋体"/>
                <w:color w:val="auto"/>
                <w:szCs w:val="21"/>
                <w:highlight w:val="none"/>
                <w:u w:val="single"/>
              </w:rPr>
              <w:t>https：//zhuzhou.hnsggzy.com</w:t>
            </w:r>
            <w:r>
              <w:rPr>
                <w:rFonts w:hint="eastAsia" w:ascii="宋体" w:hAnsi="宋体" w:cs="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三、投标文件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Merge w:val="restart"/>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第13.2</w:t>
            </w:r>
            <w:r>
              <w:rPr>
                <w:rFonts w:hint="eastAsia" w:ascii="宋体" w:hAnsi="宋体" w:cs="宋体"/>
                <w:color w:val="auto"/>
                <w:szCs w:val="21"/>
                <w:highlight w:val="none"/>
                <w:lang w:val="zh-CN"/>
              </w:rPr>
              <w:t>款</w:t>
            </w:r>
          </w:p>
        </w:tc>
        <w:tc>
          <w:tcPr>
            <w:tcW w:w="1620" w:type="dxa"/>
            <w:tcBorders>
              <w:tl2br w:val="nil"/>
              <w:tr2bl w:val="nil"/>
            </w:tcBorders>
            <w:vAlign w:val="center"/>
          </w:tcPr>
          <w:p>
            <w:pPr>
              <w:rPr>
                <w:rFonts w:hint="eastAsia" w:ascii="宋体" w:hAnsi="宋体" w:cs="宋体"/>
                <w:color w:val="auto"/>
                <w:szCs w:val="21"/>
                <w:highlight w:val="none"/>
              </w:rPr>
            </w:pPr>
            <w:r>
              <w:rPr>
                <w:rFonts w:hint="eastAsia" w:ascii="宋体" w:hAnsi="宋体" w:cs="宋体"/>
                <w:color w:val="auto"/>
                <w:szCs w:val="21"/>
                <w:highlight w:val="none"/>
              </w:rPr>
              <w:t>采购项目预算</w:t>
            </w:r>
          </w:p>
        </w:tc>
        <w:tc>
          <w:tcPr>
            <w:tcW w:w="6100" w:type="dxa"/>
            <w:tcBorders>
              <w:tl2br w:val="nil"/>
              <w:tr2bl w:val="nil"/>
            </w:tcBorders>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w:t>
            </w:r>
            <w:bookmarkStart w:id="36" w:name="OLE_LINK96"/>
            <w:r>
              <w:rPr>
                <w:rFonts w:hint="eastAsia" w:ascii="宋体" w:hAnsi="宋体" w:eastAsia="宋体" w:cs="宋体"/>
                <w:bCs/>
                <w:color w:val="auto"/>
                <w:szCs w:val="21"/>
                <w:highlight w:val="none"/>
                <w:u w:val="single"/>
                <w:lang w:val="en-US" w:eastAsia="zh-CN"/>
              </w:rPr>
              <w:t>3500000</w:t>
            </w:r>
            <w:bookmarkEnd w:id="36"/>
            <w:r>
              <w:rPr>
                <w:rFonts w:hint="eastAsia" w:ascii="宋体" w:hAnsi="宋体" w:eastAsia="宋体" w:cs="宋体"/>
                <w:color w:val="auto"/>
                <w:highlight w:val="none"/>
                <w:u w:val="single"/>
                <w:lang w:val="en-US" w:eastAsia="zh-CN"/>
              </w:rPr>
              <w:t>.00</w:t>
            </w:r>
            <w:r>
              <w:rPr>
                <w:rFonts w:hint="eastAsia" w:ascii="宋体" w:hAnsi="宋体" w:eastAsia="宋体" w:cs="宋体"/>
                <w:color w:val="auto"/>
                <w:highlight w:val="none"/>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Merge w:val="continue"/>
            <w:tcBorders>
              <w:tl2br w:val="nil"/>
              <w:tr2bl w:val="nil"/>
            </w:tcBorders>
            <w:vAlign w:val="center"/>
          </w:tcPr>
          <w:p>
            <w:pPr>
              <w:jc w:val="center"/>
              <w:rPr>
                <w:rFonts w:hint="eastAsia" w:ascii="宋体" w:hAnsi="宋体" w:cs="宋体"/>
                <w:color w:val="auto"/>
                <w:szCs w:val="21"/>
                <w:highlight w:val="none"/>
              </w:rPr>
            </w:pPr>
          </w:p>
        </w:tc>
        <w:tc>
          <w:tcPr>
            <w:tcW w:w="1620" w:type="dxa"/>
            <w:tcBorders>
              <w:tl2br w:val="nil"/>
              <w:tr2bl w:val="nil"/>
            </w:tcBorders>
            <w:vAlign w:val="center"/>
          </w:tcPr>
          <w:p>
            <w:pPr>
              <w:rPr>
                <w:rFonts w:hint="eastAsia" w:ascii="宋体" w:hAnsi="宋体" w:cs="宋体"/>
                <w:color w:val="auto"/>
                <w:szCs w:val="21"/>
                <w:highlight w:val="none"/>
              </w:rPr>
            </w:pPr>
            <w:r>
              <w:rPr>
                <w:rFonts w:hint="eastAsia" w:ascii="宋体" w:hAnsi="宋体" w:cs="宋体"/>
                <w:color w:val="auto"/>
                <w:szCs w:val="21"/>
                <w:highlight w:val="none"/>
              </w:rPr>
              <w:t>最高限价</w:t>
            </w:r>
          </w:p>
        </w:tc>
        <w:tc>
          <w:tcPr>
            <w:tcW w:w="6100" w:type="dxa"/>
            <w:tcBorders>
              <w:tl2br w:val="nil"/>
              <w:tr2bl w:val="nil"/>
            </w:tcBorders>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u w:val="single"/>
                <w:lang w:eastAsia="zh-CN"/>
              </w:rPr>
              <w:t>3102825.76</w:t>
            </w:r>
            <w:r>
              <w:rPr>
                <w:rFonts w:hint="eastAsia" w:ascii="宋体" w:hAnsi="宋体" w:eastAsia="宋体" w:cs="宋体"/>
                <w:color w:val="auto"/>
                <w:highlight w:val="none"/>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第13.8款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投标报价的其他要求</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审现场合理的时间内提供书面说明，必要时提供相关证明材料；投标人不能证明其报价合理性的，评标委员会将其作为无效投标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第14.1款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投标人应提供</w:t>
            </w:r>
            <w:r>
              <w:rPr>
                <w:rFonts w:hint="eastAsia" w:ascii="宋体" w:hAnsi="宋体" w:cs="宋体"/>
                <w:color w:val="auto"/>
                <w:szCs w:val="21"/>
                <w:highlight w:val="none"/>
                <w:lang w:eastAsia="zh-CN"/>
              </w:rPr>
              <w:t>的特定</w:t>
            </w:r>
            <w:r>
              <w:rPr>
                <w:rFonts w:hint="eastAsia" w:ascii="宋体" w:hAnsi="宋体" w:cs="宋体"/>
                <w:color w:val="auto"/>
                <w:szCs w:val="21"/>
                <w:highlight w:val="none"/>
              </w:rPr>
              <w:t>资格审查资料</w:t>
            </w:r>
          </w:p>
        </w:tc>
        <w:tc>
          <w:tcPr>
            <w:tcW w:w="6100" w:type="dxa"/>
            <w:tcBorders>
              <w:tl2br w:val="nil"/>
              <w:tr2bl w:val="nil"/>
            </w:tcBorders>
            <w:vAlign w:val="center"/>
          </w:tcPr>
          <w:p>
            <w:pPr>
              <w:spacing w:line="360" w:lineRule="auto"/>
              <w:rPr>
                <w:rFonts w:hint="eastAsia" w:ascii="宋体" w:hAnsi="宋体" w:eastAsia="宋体" w:cs="宋体"/>
                <w:color w:val="auto"/>
                <w:highlight w:val="none"/>
                <w:lang w:eastAsia="zh-CN"/>
              </w:rPr>
            </w:pPr>
            <w:r>
              <w:rPr>
                <w:rFonts w:hint="eastAsia" w:ascii="宋体" w:hAnsi="宋体" w:cs="宋体"/>
                <w:color w:val="auto"/>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第16.1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投标有效期</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90日历天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第17.1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投标保证金</w:t>
            </w:r>
          </w:p>
        </w:tc>
        <w:tc>
          <w:tcPr>
            <w:tcW w:w="6100" w:type="dxa"/>
            <w:tcBorders>
              <w:tl2br w:val="nil"/>
              <w:tr2bl w:val="nil"/>
            </w:tcBorders>
            <w:vAlign w:val="center"/>
          </w:tcPr>
          <w:p>
            <w:pPr>
              <w:spacing w:line="360" w:lineRule="auto"/>
              <w:rPr>
                <w:color w:val="auto"/>
                <w:highlight w:val="none"/>
              </w:rPr>
            </w:pPr>
            <w:r>
              <w:rPr>
                <w:rFonts w:hint="eastAsia"/>
                <w:color w:val="auto"/>
                <w:highlight w:val="none"/>
              </w:rPr>
              <w:t>■不要求提供</w:t>
            </w:r>
          </w:p>
          <w:p>
            <w:pPr>
              <w:spacing w:line="360" w:lineRule="auto"/>
              <w:rPr>
                <w:color w:val="auto"/>
                <w:highlight w:val="none"/>
              </w:rPr>
            </w:pPr>
            <w:bookmarkStart w:id="37" w:name="OLE_LINK230"/>
            <w:r>
              <w:rPr>
                <w:rFonts w:hint="eastAsia" w:ascii="宋体" w:hAnsi="宋体" w:cs="宋体"/>
                <w:color w:val="auto"/>
                <w:szCs w:val="21"/>
                <w:highlight w:val="none"/>
              </w:rPr>
              <w:t>□</w:t>
            </w:r>
            <w:bookmarkEnd w:id="37"/>
            <w:r>
              <w:rPr>
                <w:rFonts w:hint="eastAsia" w:ascii="宋体" w:hAnsi="宋体" w:cs="宋体"/>
                <w:color w:val="auto"/>
                <w:szCs w:val="21"/>
                <w:highlight w:val="none"/>
              </w:rPr>
              <w:t xml:space="preserve"> </w:t>
            </w:r>
            <w:r>
              <w:rPr>
                <w:rFonts w:hint="eastAsia"/>
                <w:color w:val="auto"/>
                <w:highlight w:val="none"/>
              </w:rPr>
              <w:t>要求提供：</w:t>
            </w:r>
          </w:p>
          <w:p>
            <w:pPr>
              <w:spacing w:line="360" w:lineRule="auto"/>
              <w:rPr>
                <w:color w:val="auto"/>
                <w:highlight w:val="none"/>
              </w:rPr>
            </w:pPr>
            <w:r>
              <w:rPr>
                <w:rFonts w:hint="eastAsia"/>
                <w:color w:val="auto"/>
                <w:highlight w:val="none"/>
              </w:rPr>
              <w:t>包1：人民币</w:t>
            </w:r>
            <w:r>
              <w:rPr>
                <w:rFonts w:hint="eastAsia"/>
                <w:b/>
                <w:bCs/>
                <w:color w:val="auto"/>
                <w:highlight w:val="none"/>
                <w:u w:val="single"/>
              </w:rPr>
              <w:t xml:space="preserve"> </w:t>
            </w:r>
            <w:r>
              <w:rPr>
                <w:rFonts w:hint="eastAsia" w:ascii="宋体" w:hAnsi="宋体"/>
                <w:b/>
                <w:bCs/>
                <w:i/>
                <w:color w:val="auto"/>
                <w:kern w:val="0"/>
                <w:szCs w:val="21"/>
                <w:highlight w:val="none"/>
                <w:u w:val="single"/>
              </w:rPr>
              <w:t xml:space="preserve">  /   </w:t>
            </w:r>
            <w:r>
              <w:rPr>
                <w:rFonts w:hint="eastAsia"/>
                <w:color w:val="auto"/>
                <w:highlight w:val="none"/>
              </w:rPr>
              <w:t>元整（￥</w:t>
            </w:r>
            <w:r>
              <w:rPr>
                <w:rFonts w:hint="eastAsia"/>
                <w:color w:val="auto"/>
                <w:highlight w:val="none"/>
                <w:u w:val="single"/>
              </w:rPr>
              <w:t xml:space="preserve">   </w:t>
            </w:r>
            <w:r>
              <w:rPr>
                <w:rFonts w:hint="eastAsia" w:ascii="宋体" w:hAnsi="宋体"/>
                <w:b/>
                <w:bCs/>
                <w:i/>
                <w:color w:val="auto"/>
                <w:kern w:val="0"/>
                <w:szCs w:val="21"/>
                <w:highlight w:val="none"/>
                <w:u w:val="single"/>
              </w:rPr>
              <w:t xml:space="preserve">/ </w:t>
            </w:r>
            <w:r>
              <w:rPr>
                <w:rFonts w:hint="eastAsia"/>
                <w:color w:val="auto"/>
                <w:highlight w:val="none"/>
                <w:u w:val="single"/>
              </w:rPr>
              <w:t xml:space="preserve">  </w:t>
            </w:r>
            <w:r>
              <w:rPr>
                <w:rFonts w:hint="eastAsia"/>
                <w:color w:val="auto"/>
                <w:highlight w:val="none"/>
              </w:rPr>
              <w:t>元）。</w:t>
            </w:r>
          </w:p>
          <w:p>
            <w:pPr>
              <w:spacing w:line="360" w:lineRule="auto"/>
              <w:rPr>
                <w:color w:val="auto"/>
                <w:highlight w:val="none"/>
              </w:rPr>
            </w:pPr>
            <w:r>
              <w:rPr>
                <w:rFonts w:hint="eastAsia"/>
                <w:color w:val="auto"/>
                <w:highlight w:val="none"/>
              </w:rPr>
              <w:t>递交方式：■电子保函；■转账；□其他；</w:t>
            </w:r>
          </w:p>
          <w:p>
            <w:pPr>
              <w:spacing w:line="360" w:lineRule="auto"/>
              <w:rPr>
                <w:color w:val="auto"/>
                <w:highlight w:val="none"/>
              </w:rPr>
            </w:pPr>
            <w:r>
              <w:rPr>
                <w:rFonts w:hint="eastAsia"/>
                <w:color w:val="auto"/>
                <w:highlight w:val="none"/>
              </w:rPr>
              <w:t>1.1转账方式：</w:t>
            </w:r>
          </w:p>
          <w:p>
            <w:pPr>
              <w:spacing w:line="360" w:lineRule="auto"/>
              <w:rPr>
                <w:color w:val="auto"/>
                <w:highlight w:val="none"/>
              </w:rPr>
            </w:pPr>
            <w:r>
              <w:rPr>
                <w:rFonts w:hint="eastAsia"/>
                <w:color w:val="auto"/>
                <w:highlight w:val="none"/>
              </w:rPr>
              <w:t>账户名称：株洲市公共资源交易中心交易保证金专户</w:t>
            </w:r>
          </w:p>
          <w:p>
            <w:pPr>
              <w:spacing w:line="360" w:lineRule="auto"/>
              <w:rPr>
                <w:color w:val="auto"/>
                <w:highlight w:val="none"/>
              </w:rPr>
            </w:pPr>
            <w:r>
              <w:rPr>
                <w:rFonts w:hint="eastAsia"/>
                <w:color w:val="auto"/>
                <w:highlight w:val="none"/>
              </w:rPr>
              <w:t>开户银行：中国建设银行股份有限公司株洲湘银支行</w:t>
            </w:r>
          </w:p>
          <w:p>
            <w:pPr>
              <w:spacing w:line="360" w:lineRule="auto"/>
              <w:rPr>
                <w:color w:val="auto"/>
                <w:highlight w:val="none"/>
              </w:rPr>
            </w:pPr>
            <w:r>
              <w:rPr>
                <w:rFonts w:hint="eastAsia"/>
                <w:color w:val="auto"/>
                <w:highlight w:val="none"/>
              </w:rPr>
              <w:t>银行账号：</w:t>
            </w:r>
          </w:p>
          <w:p>
            <w:pPr>
              <w:spacing w:line="360" w:lineRule="auto"/>
              <w:rPr>
                <w:color w:val="auto"/>
                <w:highlight w:val="none"/>
              </w:rPr>
            </w:pPr>
            <w:r>
              <w:rPr>
                <w:rFonts w:hint="eastAsia"/>
                <w:color w:val="auto"/>
                <w:highlight w:val="none"/>
              </w:rPr>
              <w:t>包1：4300 1500 5620 5966 6666-*****</w:t>
            </w:r>
          </w:p>
          <w:p>
            <w:pPr>
              <w:spacing w:line="360" w:lineRule="auto"/>
              <w:rPr>
                <w:color w:val="auto"/>
                <w:highlight w:val="none"/>
              </w:rPr>
            </w:pPr>
            <w:r>
              <w:rPr>
                <w:rFonts w:hint="eastAsia"/>
                <w:color w:val="auto"/>
                <w:highlight w:val="none"/>
              </w:rPr>
              <w:t>该账号仅为此项目的保证金托管账户，请勿与其他项目的账号混淆，发生串户则视为无效保证金。</w:t>
            </w:r>
          </w:p>
          <w:p>
            <w:pPr>
              <w:spacing w:line="360" w:lineRule="auto"/>
              <w:rPr>
                <w:color w:val="auto"/>
                <w:highlight w:val="none"/>
              </w:rPr>
            </w:pPr>
            <w:r>
              <w:rPr>
                <w:rFonts w:hint="eastAsia"/>
                <w:color w:val="auto"/>
                <w:highlight w:val="none"/>
              </w:rPr>
              <w:t>（1）在转账票据摘要处须注明：“（项目名称）投标保证金”。（如“项目名称”字符过多，转账票据摘要处填写不下的，则“取‘项目名称’前面字符”填入。）</w:t>
            </w:r>
          </w:p>
          <w:p>
            <w:pPr>
              <w:spacing w:line="360" w:lineRule="auto"/>
              <w:rPr>
                <w:color w:val="auto"/>
                <w:highlight w:val="none"/>
              </w:rPr>
            </w:pPr>
            <w:r>
              <w:rPr>
                <w:rFonts w:hint="eastAsia"/>
                <w:color w:val="auto"/>
                <w:highlight w:val="none"/>
              </w:rPr>
              <w:t>（2）投标保证金到账截止时间为投标截止时间。（为确保投标保证金按时到账，请投标人于开标日前一个工作日下午3：00 前提交，并注意交纳保证金的银行账号中含有“-”号。）</w:t>
            </w:r>
          </w:p>
          <w:p>
            <w:pPr>
              <w:spacing w:line="360" w:lineRule="auto"/>
              <w:rPr>
                <w:color w:val="auto"/>
                <w:highlight w:val="none"/>
              </w:rPr>
            </w:pPr>
            <w:r>
              <w:rPr>
                <w:color w:val="auto"/>
                <w:highlight w:val="none"/>
              </w:rPr>
              <w:t xml:space="preserve">1.2 </w:t>
            </w:r>
            <w:r>
              <w:rPr>
                <w:rFonts w:hint="eastAsia"/>
                <w:color w:val="auto"/>
                <w:highlight w:val="none"/>
              </w:rPr>
              <w:t>电子保函：包括银行电子保函、电子担保保函、投标保证保险。电子保函办理网址为：https：//dzbh.zhzhuzhou.cn：28080/，也可从湖南省公共资源交易服务平台株洲分平台（交易系统）跳转。具体操作请登录株洲市公共资源交易中心门户网站—操作指南— 《株洲市电子保函服务平台政府采购投标人操作手册》了解。</w:t>
            </w:r>
          </w:p>
          <w:p>
            <w:pPr>
              <w:spacing w:line="360" w:lineRule="auto"/>
              <w:rPr>
                <w:color w:val="auto"/>
                <w:highlight w:val="none"/>
              </w:rPr>
            </w:pPr>
            <w:r>
              <w:rPr>
                <w:rFonts w:hint="eastAsia"/>
                <w:b/>
                <w:bCs/>
                <w:color w:val="auto"/>
                <w:highlight w:val="none"/>
              </w:rPr>
              <w:t>注：投标保证金金额如与招标文件第一章投标邀请第9条投标保证金计算金额不一致的，以本条金额为准。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第18.1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100" w:type="dxa"/>
            <w:tcBorders>
              <w:tl2br w:val="nil"/>
              <w:tr2bl w:val="nil"/>
            </w:tcBorders>
            <w:vAlign w:val="center"/>
          </w:tcPr>
          <w:p>
            <w:pPr>
              <w:spacing w:line="360" w:lineRule="auto"/>
              <w:rPr>
                <w:rFonts w:hint="eastAsia" w:ascii="宋体" w:hAnsi="宋体" w:cs="宋体"/>
                <w:b/>
                <w:bCs/>
                <w:color w:val="auto"/>
                <w:szCs w:val="21"/>
                <w:highlight w:val="none"/>
              </w:rPr>
            </w:pPr>
            <w:r>
              <w:rPr>
                <w:rFonts w:hint="eastAsia" w:ascii="Times New Roman" w:hAnsi="Times New Roman" w:eastAsia="宋体" w:cs="Times New Roman"/>
                <w:color w:val="auto"/>
                <w:highlight w:val="none"/>
              </w:rPr>
              <w:t>■</w:t>
            </w:r>
            <w:r>
              <w:rPr>
                <w:rFonts w:hint="eastAsia" w:ascii="宋体" w:hAnsi="宋体" w:cs="宋体"/>
                <w:b/>
                <w:bCs/>
                <w:color w:val="auto"/>
                <w:szCs w:val="21"/>
                <w:highlight w:val="none"/>
              </w:rPr>
              <w:t xml:space="preserve"> 不允许</w:t>
            </w:r>
          </w:p>
          <w:p>
            <w:pPr>
              <w:spacing w:line="360" w:lineRule="auto"/>
              <w:rPr>
                <w:rFonts w:hint="eastAsia" w:ascii="宋体" w:hAnsi="宋体" w:cs="宋体"/>
                <w:b/>
                <w:bCs/>
                <w:color w:val="auto"/>
                <w:szCs w:val="21"/>
                <w:highlight w:val="none"/>
                <w:u w:val="single"/>
              </w:rPr>
            </w:pPr>
            <w:r>
              <w:rPr>
                <w:rFonts w:hint="eastAsia" w:ascii="宋体" w:hAnsi="宋体" w:cs="宋体"/>
                <w:color w:val="auto"/>
                <w:szCs w:val="21"/>
                <w:highlight w:val="none"/>
                <w:lang w:eastAsia="zh-CN"/>
              </w:rPr>
              <w:t>□</w:t>
            </w:r>
            <w:r>
              <w:rPr>
                <w:rFonts w:hint="eastAsia" w:ascii="Times New Roman" w:hAnsi="Times New Roman" w:eastAsia="宋体" w:cs="Times New Roman"/>
                <w:color w:val="auto"/>
                <w:highlight w:val="none"/>
              </w:rPr>
              <w:t xml:space="preserve"> 允许，允许在中标后将中标项目的非主体、非关键性工作进行分包，但须满足下列条件：</w:t>
            </w:r>
            <w:r>
              <w:rPr>
                <w:rFonts w:hint="eastAsia" w:cs="Times New Roman"/>
                <w:color w:val="auto"/>
                <w:highlight w:val="none"/>
                <w:u w:val="single"/>
                <w:lang w:val="en-US" w:eastAsia="zh-CN"/>
              </w:rPr>
              <w:t xml:space="preserve">       </w:t>
            </w:r>
            <w:r>
              <w:rPr>
                <w:rFonts w:hint="eastAsia" w:ascii="Times New Roman" w:hAnsi="Times New Roman" w:eastAsia="宋体" w:cs="Times New Roman"/>
                <w:color w:val="auto"/>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第19.1款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投标文件份数</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电子版投标文件 1 份（系统上传）</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中标人在中标后向采购代理机构提供2份与电子投标文件完成一致的胶装纸质投标文件，不分正副本。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四、投标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第21.1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投标截止时间</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详见本项目招标文件第一章“投标邀请”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五、开标、资格审查和评标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第24.1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 xml:space="preserve">开标地点 </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详见本项目招标文件第一章“投标邀请”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第24.4</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需要宣布的其他内容</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六、中标信息公布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第28.2</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中标候选人并列的确定中标人的方式</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按投标报价从低到高确定排序，投标报价相同的按技术总分从高至低确定排序，技术总分相同的由评标组长现场随机抽签确定排序。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第29.3</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接收质疑函的联系部门、联系电话和通讯地址</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1、采购人：湖南化工职业技术学院</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地址：株洲市云龙职教城智慧大道1号  </w:t>
            </w:r>
          </w:p>
          <w:p>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张治坤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电话：0731-22537501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2、采购代理机构：湖南万达项目管理有限公司</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地址：湖南省株洲市天元区长江中央商务大厦A座516室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联系人：张勤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联系电话：0731-22291716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七、合同签订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第31.1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履约担保</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不要求提供</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要求提供：</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履约担保的形式：应当以支票、汇票、本票或者金融机构出具的保函等非现金的形式提交。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履约担保的金额：政府采购合同金额的10%。</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履约担保提交时间：中标通知书发出之日起10日内。</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履约担保退还时间：验收合格后1个月内。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1" w:type="dxa"/>
            <w:gridSpan w:val="3"/>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八、政府采购政策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adjustRightInd w:val="0"/>
              <w:snapToGri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第33.8</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采购进口产品</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■本采购项目拒绝进口产品参加投标。</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□本采购项目已经财政部门审核同意购买进口产品。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九、其他规定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第35.1（1）项</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合同预付款的支付比例和支付条件</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支付比例：</w:t>
            </w:r>
            <w:r>
              <w:rPr>
                <w:rFonts w:hint="eastAsia" w:ascii="宋体" w:hAnsi="宋体" w:cs="宋体"/>
                <w:color w:val="auto"/>
                <w:szCs w:val="21"/>
                <w:highlight w:val="none"/>
                <w:u w:val="single"/>
              </w:rPr>
              <w:t xml:space="preserve">  详见采购需求  </w:t>
            </w:r>
            <w:r>
              <w:rPr>
                <w:rFonts w:hint="eastAsia" w:ascii="宋体" w:hAnsi="宋体" w:cs="宋体"/>
                <w:color w:val="auto"/>
                <w:szCs w:val="21"/>
                <w:highlight w:val="none"/>
              </w:rPr>
              <w:t xml:space="preserve">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支付条件：</w:t>
            </w:r>
            <w:r>
              <w:rPr>
                <w:rFonts w:hint="eastAsia" w:ascii="宋体" w:hAnsi="宋体" w:cs="宋体"/>
                <w:color w:val="auto"/>
                <w:szCs w:val="21"/>
                <w:highlight w:val="none"/>
                <w:u w:val="single"/>
              </w:rPr>
              <w:t xml:space="preserve">  详见采购需求  </w:t>
            </w:r>
            <w:r>
              <w:rPr>
                <w:rFonts w:hint="eastAsia" w:ascii="宋体" w:hAnsi="宋体" w:cs="宋体"/>
                <w:color w:val="auto"/>
                <w:szCs w:val="21"/>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第35.1（2）项</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质量保证金</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Merge w:val="restart"/>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第35.2</w:t>
            </w:r>
            <w:r>
              <w:rPr>
                <w:rFonts w:hint="eastAsia" w:ascii="宋体" w:hAnsi="宋体" w:cs="宋体"/>
                <w:color w:val="auto"/>
                <w:szCs w:val="21"/>
                <w:highlight w:val="none"/>
                <w:lang w:val="zh-CN"/>
              </w:rPr>
              <w:t>款</w:t>
            </w:r>
          </w:p>
        </w:tc>
        <w:tc>
          <w:tcPr>
            <w:tcW w:w="1620" w:type="dxa"/>
            <w:vMerge w:val="restart"/>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其他规定</w:t>
            </w:r>
          </w:p>
        </w:tc>
        <w:tc>
          <w:tcPr>
            <w:tcW w:w="6100" w:type="dxa"/>
            <w:tcBorders>
              <w:tl2br w:val="nil"/>
              <w:tr2bl w:val="nil"/>
            </w:tcBorders>
            <w:vAlign w:val="center"/>
          </w:tcPr>
          <w:p>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本项目所属行业为“工业”，</w:t>
            </w:r>
            <w:r>
              <w:rPr>
                <w:rFonts w:hint="eastAsia" w:ascii="宋体" w:hAnsi="宋体" w:cs="宋体"/>
                <w:color w:val="auto"/>
                <w:szCs w:val="21"/>
                <w:highlight w:val="none"/>
              </w:rPr>
              <w:t>小微企规模认定按照《中小企业划型标准规定》（工信部联企业</w:t>
            </w:r>
            <w:bookmarkStart w:id="38" w:name="OLE_LINK1"/>
            <w:r>
              <w:rPr>
                <w:rFonts w:hint="eastAsia" w:ascii="宋体" w:hAnsi="宋体" w:cs="宋体"/>
                <w:color w:val="auto"/>
                <w:szCs w:val="21"/>
                <w:highlight w:val="none"/>
              </w:rPr>
              <w:t>〔2011〕</w:t>
            </w:r>
            <w:bookmarkEnd w:id="38"/>
            <w:r>
              <w:rPr>
                <w:rFonts w:hint="eastAsia" w:ascii="宋体" w:hAnsi="宋体" w:cs="宋体"/>
                <w:color w:val="auto"/>
                <w:szCs w:val="21"/>
                <w:highlight w:val="none"/>
              </w:rPr>
              <w:t>300号）执行。</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2、本项目履约验收方式为：采购人自行组织验收。</w:t>
            </w:r>
          </w:p>
          <w:p>
            <w:pPr>
              <w:spacing w:line="360" w:lineRule="auto"/>
              <w:rPr>
                <w:rFonts w:hint="eastAsia" w:eastAsia="宋体"/>
                <w:color w:val="auto"/>
                <w:highlight w:val="none"/>
                <w:lang w:val="en-US" w:eastAsia="zh-CN"/>
              </w:rPr>
            </w:pPr>
            <w:r>
              <w:rPr>
                <w:rFonts w:hint="eastAsia" w:ascii="宋体" w:hAnsi="宋体" w:cs="宋体"/>
                <w:color w:val="auto"/>
                <w:szCs w:val="21"/>
                <w:highlight w:val="none"/>
                <w:lang w:val="en-US" w:eastAsia="zh-CN"/>
              </w:rPr>
              <w:t>3、</w:t>
            </w:r>
            <w:bookmarkStart w:id="39" w:name="OLE_LINK133"/>
            <w:r>
              <w:rPr>
                <w:rFonts w:hint="eastAsia" w:ascii="宋体" w:hAnsi="宋体" w:cs="宋体"/>
                <w:color w:val="auto"/>
                <w:szCs w:val="21"/>
                <w:highlight w:val="none"/>
                <w:lang w:val="en-US" w:eastAsia="zh-CN"/>
              </w:rPr>
              <w:t>本项目代</w:t>
            </w:r>
            <w:bookmarkStart w:id="40" w:name="OLE_LINK2"/>
            <w:r>
              <w:rPr>
                <w:rFonts w:hint="eastAsia" w:ascii="宋体" w:hAnsi="宋体" w:eastAsia="宋体" w:cs="宋体"/>
                <w:color w:val="auto"/>
                <w:szCs w:val="21"/>
                <w:highlight w:val="none"/>
                <w:lang w:val="en-US" w:eastAsia="zh-CN"/>
              </w:rPr>
              <w:t>理费</w:t>
            </w:r>
            <w:r>
              <w:rPr>
                <w:rFonts w:hint="eastAsia" w:ascii="宋体" w:hAnsi="宋体" w:eastAsia="宋体" w:cs="宋体"/>
                <w:color w:val="auto"/>
                <w:szCs w:val="21"/>
                <w:highlight w:val="none"/>
              </w:rPr>
              <w:t>按国家计委颁发的计价格〔20</w:t>
            </w:r>
            <w:r>
              <w:rPr>
                <w:rFonts w:hint="eastAsia" w:ascii="宋体" w:hAnsi="宋体" w:eastAsia="宋体" w:cs="宋体"/>
                <w:color w:val="auto"/>
                <w:szCs w:val="21"/>
                <w:highlight w:val="none"/>
                <w:lang w:val="en-US" w:eastAsia="zh-CN"/>
              </w:rPr>
              <w:t>02</w:t>
            </w:r>
            <w:r>
              <w:rPr>
                <w:rFonts w:hint="eastAsia" w:ascii="宋体" w:hAnsi="宋体" w:eastAsia="宋体" w:cs="宋体"/>
                <w:color w:val="auto"/>
                <w:szCs w:val="21"/>
                <w:highlight w:val="none"/>
              </w:rPr>
              <w:t>〕1980号文</w:t>
            </w:r>
            <w:bookmarkStart w:id="41" w:name="OLE_LINK35"/>
            <w:r>
              <w:rPr>
                <w:rFonts w:hint="eastAsia" w:ascii="宋体" w:hAnsi="宋体" w:eastAsia="宋体" w:cs="宋体"/>
                <w:color w:val="auto"/>
                <w:szCs w:val="21"/>
                <w:highlight w:val="none"/>
                <w:lang w:eastAsia="zh-CN"/>
              </w:rPr>
              <w:t>货物类</w:t>
            </w:r>
            <w:bookmarkEnd w:id="41"/>
            <w:r>
              <w:rPr>
                <w:rFonts w:hint="eastAsia" w:ascii="宋体" w:hAnsi="宋体" w:eastAsia="宋体" w:cs="宋体"/>
                <w:color w:val="auto"/>
                <w:szCs w:val="21"/>
                <w:highlight w:val="none"/>
              </w:rPr>
              <w:t>收费标准的</w:t>
            </w:r>
            <w:r>
              <w:rPr>
                <w:rFonts w:hint="eastAsia" w:ascii="宋体" w:hAnsi="宋体" w:eastAsia="宋体" w:cs="宋体"/>
                <w:color w:val="auto"/>
                <w:szCs w:val="21"/>
                <w:highlight w:val="none"/>
                <w:lang w:val="en-US" w:eastAsia="zh-CN"/>
              </w:rPr>
              <w:t>32%</w:t>
            </w:r>
            <w:r>
              <w:rPr>
                <w:rFonts w:hint="eastAsia" w:ascii="宋体" w:hAnsi="宋体" w:eastAsia="宋体" w:cs="宋体"/>
                <w:color w:val="auto"/>
                <w:szCs w:val="21"/>
                <w:highlight w:val="none"/>
              </w:rPr>
              <w:t>计算</w:t>
            </w:r>
            <w:bookmarkEnd w:id="40"/>
            <w:r>
              <w:rPr>
                <w:rFonts w:hint="eastAsia" w:ascii="宋体" w:hAnsi="宋体" w:cs="宋体"/>
                <w:color w:val="auto"/>
                <w:szCs w:val="21"/>
                <w:highlight w:val="none"/>
                <w:lang w:eastAsia="zh-CN"/>
              </w:rPr>
              <w:t>，由采购人支付</w:t>
            </w:r>
            <w:r>
              <w:rPr>
                <w:rFonts w:hint="eastAsia" w:ascii="宋体" w:hAnsi="宋体" w:eastAsia="宋体" w:cs="宋体"/>
                <w:color w:val="auto"/>
                <w:szCs w:val="21"/>
                <w:highlight w:val="none"/>
                <w:lang w:eastAsia="zh-CN"/>
              </w:rPr>
              <w:t>。</w:t>
            </w:r>
            <w:bookmarkEnd w:id="3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Merge w:val="continue"/>
            <w:tcBorders>
              <w:tl2br w:val="nil"/>
              <w:tr2bl w:val="nil"/>
            </w:tcBorders>
            <w:vAlign w:val="center"/>
          </w:tcPr>
          <w:p>
            <w:pPr>
              <w:jc w:val="center"/>
              <w:rPr>
                <w:rFonts w:hint="eastAsia" w:ascii="宋体" w:hAnsi="宋体" w:cs="宋体"/>
                <w:color w:val="auto"/>
                <w:szCs w:val="21"/>
                <w:highlight w:val="none"/>
              </w:rPr>
            </w:pPr>
          </w:p>
        </w:tc>
        <w:tc>
          <w:tcPr>
            <w:tcW w:w="1620" w:type="dxa"/>
            <w:vMerge w:val="continue"/>
            <w:tcBorders>
              <w:tl2br w:val="nil"/>
              <w:tr2bl w:val="nil"/>
            </w:tcBorders>
            <w:vAlign w:val="center"/>
          </w:tcPr>
          <w:p>
            <w:pPr>
              <w:jc w:val="left"/>
              <w:rPr>
                <w:rFonts w:hint="eastAsia" w:ascii="宋体" w:hAnsi="宋体" w:cs="宋体"/>
                <w:color w:val="auto"/>
                <w:szCs w:val="21"/>
                <w:highlight w:val="none"/>
              </w:rPr>
            </w:pPr>
          </w:p>
        </w:tc>
        <w:tc>
          <w:tcPr>
            <w:tcW w:w="6100" w:type="dxa"/>
            <w:tcBorders>
              <w:tl2br w:val="nil"/>
              <w:tr2bl w:val="nil"/>
            </w:tcBorders>
            <w:vAlign w:val="center"/>
          </w:tcPr>
          <w:p>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政府采购电子标项目报名程序：湖南省公共资源交易服务平台株洲分平台——交易快速通道——政府采购——湖南省公共资源交易服务平台株洲分平台——填写投标信息——选择对应项目报名。也可直接登陆湖南省公共资源交易服务平台株洲分平台（https://zhuzhou.hnsggzy.com/）报名。供应商确定参加投标的,应及时登录系统进行报名操作,否则将无法上传电子投标文件。</w:t>
            </w:r>
          </w:p>
          <w:p>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2、请投标人在湖南省公共资源交易服务平台株洲分平台（https：//zhuzhou.hnsggzy.com）——下载中心——政府采购栏目下载“交易系统操作手册”、“不见面开标操作手册”下载操作手册，并按操作手册要求下载相应的软件编制投标文件，投标人应在投标截止时间前通过电子交易系统递交数据电文形式的投标文件。逾期送达的投标文件，电子交易系统予以拒收。</w:t>
            </w:r>
          </w:p>
          <w:p>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3、本项目实行“不见面开标”方式，投标人无需到开标现场，请投标人提前配置好解密电脑和软件环境，在规定时间内使用制作投标文件时的 CA 锁登录“湖南省公共资源交易服务平台株洲分平台（https：//zhuzhou.hnsggzy.com）——智慧服务大厅——开标与电子竞价直播”解密投标文件。电子投标文件的解密截止时间为投标截止后60分钟，因投标人自身原因未在规定时间内完成解密或无法解密的投标文件视为撤销其投标文件，相应责任由投标人自行承担。</w:t>
            </w:r>
          </w:p>
        </w:tc>
      </w:tr>
    </w:tbl>
    <w:p>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br w:type="page"/>
      </w:r>
    </w:p>
    <w:p>
      <w:pPr>
        <w:pStyle w:val="3"/>
        <w:adjustRightInd w:val="0"/>
        <w:snapToGrid w:val="0"/>
        <w:spacing w:before="161" w:beforeLines="50"/>
        <w:jc w:val="center"/>
        <w:rPr>
          <w:rFonts w:hint="eastAsia" w:ascii="宋体" w:hAnsi="宋体" w:cs="宋体"/>
          <w:color w:val="auto"/>
          <w:sz w:val="28"/>
          <w:szCs w:val="28"/>
          <w:highlight w:val="none"/>
        </w:rPr>
      </w:pPr>
      <w:bookmarkStart w:id="42" w:name="_Toc2180"/>
      <w:r>
        <w:rPr>
          <w:rFonts w:hint="eastAsia" w:ascii="宋体" w:hAnsi="宋体" w:cs="宋体"/>
          <w:color w:val="auto"/>
          <w:sz w:val="28"/>
          <w:szCs w:val="28"/>
          <w:highlight w:val="none"/>
        </w:rPr>
        <w:t>第二节 投标须知</w:t>
      </w:r>
      <w:bookmarkEnd w:id="42"/>
    </w:p>
    <w:p>
      <w:pPr>
        <w:pStyle w:val="4"/>
        <w:adjustRightInd w:val="0"/>
        <w:snapToGrid w:val="0"/>
        <w:spacing w:before="161" w:beforeLines="50" w:after="0" w:line="360" w:lineRule="auto"/>
        <w:jc w:val="center"/>
        <w:rPr>
          <w:rFonts w:hint="eastAsia" w:ascii="宋体" w:hAnsi="宋体" w:cs="宋体"/>
          <w:b w:val="0"/>
          <w:color w:val="auto"/>
          <w:sz w:val="28"/>
          <w:szCs w:val="28"/>
          <w:highlight w:val="none"/>
        </w:rPr>
      </w:pPr>
      <w:bookmarkStart w:id="43" w:name="_Toc7332"/>
      <w:r>
        <w:rPr>
          <w:rFonts w:hint="eastAsia" w:ascii="宋体" w:hAnsi="宋体" w:cs="宋体"/>
          <w:color w:val="auto"/>
          <w:sz w:val="28"/>
          <w:szCs w:val="28"/>
          <w:highlight w:val="none"/>
        </w:rPr>
        <w:t>一、总则</w:t>
      </w:r>
      <w:bookmarkEnd w:id="43"/>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1、适用范围</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1.1</w:t>
      </w:r>
      <w:r>
        <w:rPr>
          <w:rFonts w:hint="eastAsia" w:ascii="宋体" w:hAnsi="宋体"/>
          <w:color w:val="auto"/>
          <w:szCs w:val="21"/>
          <w:highlight w:val="none"/>
        </w:rPr>
        <w:t>本招标文件仅适用于本章第一节</w:t>
      </w:r>
      <w:r>
        <w:rPr>
          <w:rFonts w:hint="eastAsia" w:ascii="宋体" w:hAnsi="宋体"/>
          <w:b/>
          <w:bCs/>
          <w:color w:val="auto"/>
          <w:szCs w:val="21"/>
          <w:highlight w:val="none"/>
        </w:rPr>
        <w:t>【投标须知前附表】</w:t>
      </w:r>
      <w:r>
        <w:rPr>
          <w:rFonts w:hint="eastAsia" w:ascii="宋体" w:hAnsi="宋体"/>
          <w:color w:val="auto"/>
          <w:szCs w:val="21"/>
          <w:highlight w:val="none"/>
        </w:rPr>
        <w:t>中所叙述的采购项目</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规定采购项目或者采购包属于“预留采购份额”的，投标人应当符合本章第33.7款规定，否则，其</w:t>
      </w:r>
      <w:r>
        <w:rPr>
          <w:rFonts w:hint="eastAsia" w:ascii="宋体" w:hAnsi="宋体"/>
          <w:b/>
          <w:color w:val="auto"/>
          <w:szCs w:val="21"/>
          <w:highlight w:val="none"/>
        </w:rPr>
        <w:t>投标无效</w:t>
      </w:r>
      <w:r>
        <w:rPr>
          <w:rFonts w:hint="eastAsia" w:ascii="宋体" w:hAnsi="宋体"/>
          <w:color w:val="auto"/>
          <w:szCs w:val="21"/>
          <w:highlight w:val="none"/>
        </w:rPr>
        <w:t>。</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2、定义</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2.1采购项目联系人姓名和电话见</w:t>
      </w:r>
      <w:r>
        <w:rPr>
          <w:rFonts w:hint="eastAsia" w:ascii="宋体" w:hAnsi="宋体" w:cs="宋体"/>
          <w:b/>
          <w:bCs/>
          <w:color w:val="auto"/>
          <w:highlight w:val="none"/>
        </w:rPr>
        <w:t>【投标须知前附表】</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2.2采购人名称、地址、电话、联系人见</w:t>
      </w:r>
      <w:r>
        <w:rPr>
          <w:rFonts w:hint="eastAsia" w:ascii="宋体" w:hAnsi="宋体" w:cs="宋体"/>
          <w:b/>
          <w:bCs/>
          <w:color w:val="auto"/>
          <w:highlight w:val="none"/>
        </w:rPr>
        <w:t>【投标须知前附表】</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2.3采购代理机构名称、地址、电话、联系人见</w:t>
      </w:r>
      <w:r>
        <w:rPr>
          <w:rFonts w:hint="eastAsia" w:ascii="宋体" w:hAnsi="宋体" w:cs="宋体"/>
          <w:b/>
          <w:bCs/>
          <w:color w:val="auto"/>
          <w:highlight w:val="none"/>
        </w:rPr>
        <w:t>【投标须知前附表】</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2.4投标人系指响应招标、参加投标竞争的法人、其他组织或自然人。</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2.5电子招标投标：是指电子招标投标参与各方（采购人、采购代理机构、供应商、评审专家）按照相关法律法规的规定，应用网络信息技术，使用CA数字证书（含电子签章、签名）在电子招标投标交易平台（以下简称交易平台），进行的招标投标活动。</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3、投标人的资格要求</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3.1投标人应当符合</w:t>
      </w:r>
      <w:r>
        <w:rPr>
          <w:rFonts w:hint="eastAsia" w:ascii="宋体" w:hAnsi="宋体" w:cs="宋体"/>
          <w:b/>
          <w:bCs/>
          <w:color w:val="auto"/>
          <w:highlight w:val="none"/>
        </w:rPr>
        <w:t>【投标须知前附表】</w:t>
      </w:r>
      <w:r>
        <w:rPr>
          <w:rFonts w:hint="eastAsia" w:ascii="宋体" w:hAnsi="宋体" w:cs="宋体"/>
          <w:color w:val="auto"/>
          <w:highlight w:val="none"/>
        </w:rPr>
        <w:t>规定的投标人资格条件。</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3.2</w:t>
      </w:r>
      <w:r>
        <w:rPr>
          <w:rFonts w:hint="eastAsia" w:ascii="宋体" w:hAnsi="宋体" w:cs="宋体"/>
          <w:b/>
          <w:bCs/>
          <w:color w:val="auto"/>
          <w:highlight w:val="none"/>
        </w:rPr>
        <w:t>【投标须知前附表】</w:t>
      </w:r>
      <w:r>
        <w:rPr>
          <w:rFonts w:hint="eastAsia" w:ascii="宋体" w:hAnsi="宋体" w:cs="宋体"/>
          <w:color w:val="auto"/>
          <w:highlight w:val="none"/>
        </w:rPr>
        <w:t>规定接受联合体形式投标的，投标人除应符合本章第 3.1 款规定外，还应遵守以下规定：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（1）联合体中有同类资质的投标人按照联合体分工承担相同工作的，应当按照资质等级较低的投标人确定资质等级。</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（2）联合体各方应按招标文件提供的格式签订联合体协议书，明确联合体牵头人和各方的权利义务、合同工作量比例。</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（3）联合体各方签订联合体协议书后，不得再单独参加或者与其他投标人组成新的联合体参加同一合同项下的采购活动。</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4、投标费用</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4.1投标人应自行承担所有参与投标的相关费用，不论投标的结果如何，采购人、采购代理机构均无义务和责任承担这些费用。</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5、组织现场考察或者召开答疑会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5.1采购人、采购代理机构可以在</w:t>
      </w:r>
      <w:r>
        <w:rPr>
          <w:rFonts w:hint="eastAsia" w:ascii="宋体" w:hAnsi="宋体" w:cs="宋体"/>
          <w:b/>
          <w:bCs/>
          <w:color w:val="auto"/>
          <w:highlight w:val="none"/>
        </w:rPr>
        <w:t>【投标须知前附表】</w:t>
      </w:r>
      <w:r>
        <w:rPr>
          <w:rFonts w:hint="eastAsia" w:ascii="宋体" w:hAnsi="宋体" w:cs="宋体"/>
          <w:color w:val="auto"/>
          <w:highlight w:val="none"/>
        </w:rPr>
        <w:t>规定的招标文件提供期限截止后，组织已获取招标文件的潜在投标人现场考察或者召开开标前答疑会。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5.2获取招标文件的潜在投标人应按</w:t>
      </w:r>
      <w:r>
        <w:rPr>
          <w:rFonts w:hint="eastAsia" w:ascii="宋体" w:hAnsi="宋体" w:cs="宋体"/>
          <w:b/>
          <w:bCs/>
          <w:color w:val="auto"/>
          <w:highlight w:val="none"/>
        </w:rPr>
        <w:t>【投标须知前附表】</w:t>
      </w:r>
      <w:r>
        <w:rPr>
          <w:rFonts w:hint="eastAsia" w:ascii="宋体" w:hAnsi="宋体" w:cs="宋体"/>
          <w:color w:val="auto"/>
          <w:highlight w:val="none"/>
        </w:rPr>
        <w:t>规定参加现场考察或者答疑会；如不参加，其风险由其自行承担。</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5.3潜在投标人现场考察或者参加答疑会的费用由自己承担，现场考察期间所发生的人身伤害及财产损失由自己负责。</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5.4采购人、采购代理机构不对投标人据此而做出的推论、理解和结论负责。投标人一旦中标，不得以任何借口，提出额外补偿，或延长合同期限的要求。</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44" w:name="_Toc23498"/>
      <w:r>
        <w:rPr>
          <w:rFonts w:hint="eastAsia" w:ascii="宋体" w:hAnsi="宋体" w:cs="宋体"/>
          <w:color w:val="auto"/>
          <w:sz w:val="28"/>
          <w:szCs w:val="28"/>
          <w:highlight w:val="none"/>
        </w:rPr>
        <w:t>二、招标文件</w:t>
      </w:r>
      <w:bookmarkEnd w:id="44"/>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6、招标文件的构成</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6.1招标文件共七章，各章内容如下：</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第一章 投标邀请</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第二章 投标须知</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第三章 资格审查</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第四章 评标方法及标准</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第五章 采购需求</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第六章 政府采购合同</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第七章 投标文件的组成</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6.2采购人、采购代理机构在提交投标文件截止时间前对招标文件所作的澄清或者修改，构成招标文件的组成部分。</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7、偏离与实质性响应</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7.1投标人应当按照招标文件的要求编制投标文件。投标文件应当对招标文件提出的要求和条件作出明确响应。</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7.2偏离是指投标文件不响应或者不满足招标文件提出的要求和条件，分为实质性偏离和非实质性偏离。</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cs="宋体"/>
          <w:b/>
          <w:bCs/>
          <w:color w:val="auto"/>
          <w:highlight w:val="none"/>
        </w:rPr>
        <w:t>其投标无效</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7.4投标文件偏离招标文件的非实质性要求和条件，为非实质性偏离。非实质性偏离的范围和幅度应当符合</w:t>
      </w:r>
      <w:r>
        <w:rPr>
          <w:rFonts w:hint="eastAsia" w:ascii="宋体" w:hAnsi="宋体" w:cs="宋体"/>
          <w:b/>
          <w:bCs/>
          <w:color w:val="auto"/>
          <w:highlight w:val="none"/>
        </w:rPr>
        <w:t>【投标须知前附表】</w:t>
      </w:r>
      <w:r>
        <w:rPr>
          <w:rFonts w:hint="eastAsia" w:ascii="宋体" w:hAnsi="宋体" w:cs="宋体"/>
          <w:color w:val="auto"/>
          <w:highlight w:val="none"/>
        </w:rPr>
        <w:t>的规定，</w:t>
      </w:r>
      <w:r>
        <w:rPr>
          <w:rFonts w:hint="eastAsia" w:ascii="宋体" w:hAnsi="宋体" w:cs="宋体"/>
          <w:b/>
          <w:bCs/>
          <w:color w:val="auto"/>
          <w:highlight w:val="none"/>
        </w:rPr>
        <w:t>否则投标无效</w:t>
      </w:r>
      <w:r>
        <w:rPr>
          <w:rFonts w:hint="eastAsia" w:ascii="宋体" w:hAnsi="宋体" w:cs="宋体"/>
          <w:color w:val="auto"/>
          <w:highlight w:val="none"/>
        </w:rPr>
        <w:t>。</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8、询问</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8.1潜在投标人应仔细阅读和检查招标文件的全部内容。如有疑问，可以向采购人或者采购代理机构提出询问。</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9、招标文件的澄清或者修改</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9.1采购人、采购代理机构对已发出的招标文件进行必要澄清或者修改的，将在</w:t>
      </w:r>
      <w:r>
        <w:rPr>
          <w:rFonts w:hint="eastAsia" w:ascii="宋体" w:hAnsi="宋体" w:cs="宋体"/>
          <w:b/>
          <w:bCs/>
          <w:color w:val="auto"/>
          <w:highlight w:val="none"/>
        </w:rPr>
        <w:t>【投标须知前附表】</w:t>
      </w:r>
      <w:r>
        <w:rPr>
          <w:rFonts w:hint="eastAsia" w:ascii="宋体" w:hAnsi="宋体" w:cs="宋体"/>
          <w:color w:val="auto"/>
          <w:highlight w:val="none"/>
        </w:rPr>
        <w:t>规定的招标公告指定媒体上发布澄清或者修改公告。</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9.2澄清或者修改的内容可能影响投标文件编制的，采购人、采购代理机构将在提交投标文件截止时间 15 日前，以书面形式通知所有获取招标文件的潜在投标人；不足 15 日的，将相应延长提交投标文件的截止时间。</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9.3招标文件的提供期限届满后，获取招标文件的潜在投标人不足 3 家的，可以顺延提供期限，并在指定媒体上发布修改公告。</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9.4通过电子招标投标交易平台下载招标文件的，请获取招标文件的潜在投标人及时关注招标公告指定媒体发布的澄清或者修改公告，采购人、采购代理机构不再书面通知。</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45" w:name="_Toc16636"/>
      <w:r>
        <w:rPr>
          <w:rFonts w:hint="eastAsia" w:ascii="宋体" w:hAnsi="宋体" w:cs="宋体"/>
          <w:color w:val="auto"/>
          <w:sz w:val="28"/>
          <w:szCs w:val="28"/>
          <w:highlight w:val="none"/>
        </w:rPr>
        <w:t>三、投标文件</w:t>
      </w:r>
      <w:bookmarkEnd w:id="45"/>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10、投标语言</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11、计量单位</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11.1所有计量均采用中华人民共和国法定计量单位。</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12、投标文件的组成</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12.1投标文件由如下内容组成： </w:t>
      </w:r>
    </w:p>
    <w:p>
      <w:pPr>
        <w:adjustRightInd w:val="0"/>
        <w:snapToGrid w:val="0"/>
        <w:spacing w:before="161" w:beforeLines="50"/>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第一部分 资格证明文件</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资格证明文件封面</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一、资格证明材料</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（一）开标一览表</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（二）投标保证金</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（三）法定代表人（单位负责人）身份证明或授权委托书</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（四）投标人提供的资格证明文件</w:t>
      </w:r>
    </w:p>
    <w:p>
      <w:pPr>
        <w:adjustRightInd w:val="0"/>
        <w:snapToGrid w:val="0"/>
        <w:spacing w:before="161" w:beforeLines="50"/>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第二部分 商务文件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商务文件封面</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二、投标函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三、开标一览表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四、分项价格表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五、中小企业声明函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六、残疾人福利性单位声明函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七、商务要求响应情况</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八、培训方案</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九、售后服务</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十、类似经验</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十一、投标人认为需要提供的其他资料</w:t>
      </w:r>
    </w:p>
    <w:p>
      <w:pPr>
        <w:adjustRightInd w:val="0"/>
        <w:snapToGrid w:val="0"/>
        <w:spacing w:before="161" w:beforeLines="50"/>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第三部分 技术文件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技术文件封面</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十二、货物说明一览表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十三、响应偏离表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十四、投标货物符合招标文件规定的证明文件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十五、技术指标和功能要求</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eastAsia="zh-CN"/>
        </w:rPr>
        <w:t>六</w:t>
      </w:r>
      <w:r>
        <w:rPr>
          <w:rFonts w:hint="eastAsia" w:ascii="宋体" w:hAnsi="宋体" w:eastAsia="宋体" w:cs="宋体"/>
          <w:color w:val="auto"/>
          <w:szCs w:val="21"/>
          <w:highlight w:val="none"/>
        </w:rPr>
        <w:t>、视频演示</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七</w:t>
      </w:r>
      <w:r>
        <w:rPr>
          <w:rFonts w:hint="eastAsia" w:ascii="宋体" w:hAnsi="宋体" w:eastAsia="宋体" w:cs="宋体"/>
          <w:color w:val="auto"/>
          <w:szCs w:val="21"/>
          <w:highlight w:val="none"/>
        </w:rPr>
        <w:t>、项目实施方案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12.2投标人可以编制资格审查索引表、符合性审查索引表、评审索引表，以方便采购人、采购代理机构、评标委员会在资格审查及评审时查阅。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3</w:t>
      </w:r>
      <w:r>
        <w:rPr>
          <w:rFonts w:hint="eastAsia" w:ascii="宋体" w:hAnsi="宋体" w:cs="宋体"/>
          <w:color w:val="auto"/>
          <w:szCs w:val="21"/>
          <w:highlight w:val="none"/>
        </w:rPr>
        <w:t>投标人应按照电子招标文件格式及投标工具编制资格证明文件，不得将其编制到商务和技术文件中。否则，由于编制失误所产生的后果，由投标人自行承担。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12.4根据《政府采购法》第四十二条的规定，投标人无论中标与否，其投标文件不予退还。</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13、投标报价</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13.2投标人的投标报价不得超过采购预算，也不得超过最高限价(如果设定)，否则其</w:t>
      </w:r>
      <w:r>
        <w:rPr>
          <w:rFonts w:hint="eastAsia" w:ascii="宋体" w:hAnsi="宋体" w:cs="宋体"/>
          <w:b/>
          <w:bCs/>
          <w:color w:val="auto"/>
          <w:szCs w:val="21"/>
          <w:highlight w:val="none"/>
        </w:rPr>
        <w:t>投标无效</w:t>
      </w:r>
      <w:r>
        <w:rPr>
          <w:rFonts w:hint="eastAsia" w:ascii="宋体" w:hAnsi="宋体" w:cs="宋体"/>
          <w:color w:val="auto"/>
          <w:szCs w:val="21"/>
          <w:highlight w:val="none"/>
        </w:rPr>
        <w:t>。采购项目预算、最高限价见</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13.3投标人应在分项报价明细表中对每项内容给予详细分项报价。</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13.4投标人对采购项目内容只允许有一个投标报价，否则其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13.5采购人不接受投标人给予的赠品、回扣或者与采购无关的其他商品、服务。如有赠与行为，其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13.6投标文件中标明的价格在合同执行过程中是固定不变的，不得以任何理由予以变更。任何包含价格调整要求和条件的投标，其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13.7投标人在投标截止时间前修改“开标一览表”中的投标报价的，应同时修改投标文件“分项报价明细表”“享受政府采购政策优惠的证明资料”以及“联合体协议书”（如果影响）等相关内容。此修改须符合本章第 22.1 款的有关要求。</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13.8投标报价的其他要求见</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14、投标人的资格证明文件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14.1除</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另有规定外，投标人应按下列规定提供资格证明文件。</w:t>
      </w:r>
    </w:p>
    <w:p>
      <w:pPr>
        <w:adjustRightInd w:val="0"/>
        <w:snapToGrid w:val="0"/>
        <w:spacing w:before="161" w:beforeLines="50" w:line="360" w:lineRule="auto"/>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（1）法人或者其他组织的营业执照等主体资格证明文件，自然人的身份证明</w:t>
      </w:r>
      <w:r>
        <w:rPr>
          <w:rFonts w:hint="eastAsia" w:ascii="宋体" w:hAnsi="宋体" w:cs="宋体"/>
          <w:color w:val="auto"/>
          <w:szCs w:val="21"/>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pPr>
        <w:adjustRightInd w:val="0"/>
        <w:snapToGrid w:val="0"/>
        <w:spacing w:before="161" w:beforeLines="50"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（2）湖南省政府采购供应商资格承诺函(格式)</w:t>
      </w:r>
    </w:p>
    <w:p>
      <w:pPr>
        <w:adjustRightInd w:val="0"/>
        <w:snapToGrid w:val="0"/>
        <w:spacing w:before="161" w:beforeLines="50" w:line="360" w:lineRule="auto"/>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（3）符合特定资格条件证明材料复印件或者情况说明。</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14.2投标人以联合体形式投标的，除应提交联合协议(格式)外，参加联合体的各方均应提交上款资格证明材料。</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14.3投标人的资格证明文件均应为有效文件并加盖投标人单位章，并按招标文件规定签署。</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15、投标货物及服务符合招标文件规定的证明文件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15.1投标人应当提交其拟供的合同项下货物及其服务符合招标文件规定的证明文件，该证明文件作为投标文件的一部分。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15.2上述证明文件可以是文字资料、图表、数据、证书等资料，包括但不限于：</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（1）货物主要技术指标和性能的详细说明。对有具体参数要求的指标，投标人应提供具体参数值；</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（2）货物的品牌型号、制造商及原产地等说明；</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（3）招标文件第五章“采购需求”要求的其它文件。</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16、投标有效期</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16.1投标有效期从提交投标文件的截止之日起算。投标文件中承诺的投标有效期应当不少于</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中载明的投标有效期。投标有效期不满足要求的，其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16.2投标有效期内投标人撤销投标文件的，投标人应承担招标文件和法律规定的责任。</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17、投标保证金</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17.1招标文件要求投标人提交投标保证金的，投标人应按</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规定，在提交投标文件的截止时间前提交投标保证金。</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17.2联合体投标的，可以由联合体中的一方或者共同提交投标保证金。以一方名义提交投标保证金的，对联合体各方均具有约束力。</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17.3投标保证金的退还按以下规定办理：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（1）中标投标人的投标保证金，将在政府采购合同签订后 5 个工作日内退还。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（2）未中标的投标人的投标保证金，将在中标通知书发出后 5 个工作日内退还。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（3）终止招标的。对于已递交投标保证金的，采购人、采购代理机构在终止招标公告发布后 5 个工作日内退还。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（4）在投标截止日前撤回投标的，对于已递交投标保证金的，采购人、采购代理机构在收到投标人书面撤回投标通知之日起 5 个工作日内退还。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17.4有以下情形之一的，投标保证金将不予退还，上交国库：</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（1）投标人在招标文件中规定的投标有效期内撤销其投标；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（2）中标人无正当理由不与采购人订立合同，在签订合同时向采购人提出附加条件，或者不按照招标文件要求提交履约保证金。</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18、分包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18.1</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规定投标人分包的，投标人分包承诺不符合招标文件中有关分包规定的，其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18.2投标人应在签订政府采购合同前向采购人提供分包合同，否则，采购人有权拒绝签订采购合同。</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18.3享受中小企业扶持政策获得政府采购合同的，小微企业不得将合同分包给大中型企业，中型企业不得将合同分包给大型企业。</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18.4分包供应商不得再次分包。</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19、投标文件的制作和签署</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bookmarkStart w:id="46" w:name="_bookmark7"/>
      <w:bookmarkEnd w:id="46"/>
      <w:r>
        <w:rPr>
          <w:rFonts w:hint="eastAsia" w:ascii="宋体" w:hAnsi="宋体" w:cs="宋体"/>
          <w:color w:val="auto"/>
          <w:szCs w:val="21"/>
          <w:highlight w:val="none"/>
        </w:rPr>
        <w:t>19.1投标文件份数见</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19.2投标文件的签署要求：</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（1）投标人确认投标后，应从株洲市公共资源交易系统上下载“电子投标文件制作工具”，并使用此工具编制电子投标文件，否则将影响电子投标文件的上传而导致</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（2）投标人应按照电子招标文件要求制作投标文件，并进行电子签章。</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（3）投标人因自身原因导致电子投标文件无法导入电子评标系统的，该投标文件视为无效投标文件。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（4）电子招投标文件具有法律效力，若投标文件与招标文件要求不一致，其内容影响中标结果时，责任由投标人自行承担。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（5）电子投标项目的投标文件均以上传至交易系统的电子投标文件为准。</w:t>
      </w:r>
    </w:p>
    <w:p>
      <w:pPr>
        <w:pStyle w:val="4"/>
        <w:keepNext w:val="0"/>
        <w:keepLines w:val="0"/>
        <w:adjustRightInd w:val="0"/>
        <w:snapToGrid w:val="0"/>
        <w:spacing w:before="161" w:beforeLines="50" w:after="0" w:line="360" w:lineRule="auto"/>
        <w:jc w:val="center"/>
        <w:rPr>
          <w:rFonts w:hint="eastAsia" w:ascii="宋体" w:hAnsi="宋体" w:cs="宋体"/>
          <w:color w:val="auto"/>
          <w:sz w:val="28"/>
          <w:szCs w:val="28"/>
          <w:highlight w:val="none"/>
        </w:rPr>
      </w:pPr>
      <w:bookmarkStart w:id="47" w:name="_Toc10725"/>
      <w:r>
        <w:rPr>
          <w:rFonts w:hint="eastAsia" w:ascii="宋体" w:hAnsi="宋体" w:cs="宋体"/>
          <w:color w:val="auto"/>
          <w:sz w:val="28"/>
          <w:szCs w:val="28"/>
          <w:highlight w:val="none"/>
        </w:rPr>
        <w:t>四、投标</w:t>
      </w:r>
      <w:bookmarkEnd w:id="47"/>
    </w:p>
    <w:p>
      <w:pPr>
        <w:adjustRightInd w:val="0"/>
        <w:snapToGrid w:val="0"/>
        <w:spacing w:before="161" w:beforeLines="50" w:line="360" w:lineRule="auto"/>
        <w:jc w:val="left"/>
        <w:rPr>
          <w:rFonts w:hint="eastAsia" w:ascii="宋体" w:hAnsi="宋体" w:cs="宋体"/>
          <w:color w:val="auto"/>
          <w:szCs w:val="21"/>
          <w:highlight w:val="none"/>
        </w:rPr>
      </w:pPr>
      <w:r>
        <w:rPr>
          <w:rFonts w:hint="eastAsia" w:ascii="宋体" w:hAnsi="宋体" w:cs="宋体"/>
          <w:b/>
          <w:bCs/>
          <w:color w:val="auto"/>
          <w:szCs w:val="21"/>
          <w:highlight w:val="none"/>
        </w:rPr>
        <w:t>20、投标文件的密封和标记</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20.1电子版投标文件的密封和标记要求：通过数字证书进行签章、加密。未按要求签章、加密的投标文件，系统将无法接收， 采购代理机构不予受理。</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21、投标截止期</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21.1投标人应在</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规定的投标截止时间前将电子版投标文件加密上传。</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21.2逾期上传的投标文件，以及未通过资格预审的申请人提交的投标文件（实行资格预审的），采购人、采购代理机构</w:t>
      </w:r>
      <w:r>
        <w:rPr>
          <w:rFonts w:hint="eastAsia" w:ascii="宋体" w:hAnsi="宋体" w:cs="宋体"/>
          <w:b/>
          <w:bCs/>
          <w:color w:val="auto"/>
          <w:szCs w:val="21"/>
          <w:highlight w:val="none"/>
        </w:rPr>
        <w:t>应当拒收</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21.3投标文件的递交</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（1）投标人应在招标文件规定的投标截止时间前将电子投标文件上传到交易系统的指定栏目。逾期不予受理。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（2）如遇系统提示“上传未成功”，投标人应及时重新修改文件或与系统运维机构联系，查明原因，确保上传无误，因自身原因导致不能上传的，由投标人自行承担责任。</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22、投标文件的修改和撤回</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22.1投标人在招标文件规定的投标截止时间前，可以撤回已上传的投标文件，也可以撤回并修改后再重新上传。</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22.2投标人在提交投标文件的截止时间前撤回已提交的投标文件的，采购人、采购代理机构应当自收到投标人书面撤回通知之日起 5 个工作日内，退还已收取的投标保证金，但因投标人自身原因导致无法及时退还的除外。</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23、串通投标行为</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23.1有下列情形之一的，属于恶意串通，对投标人依照政府采购法第七十七条第一款的规定追究法律责任：</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（1）投标人直接或者间接从采购人或者采购代理机构处获得其他投标人的相关情况并修改其投标文件；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（3）投标人之间协商报价、技术方案等投标文件的实质性内容；</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（5）投标人之间事先约定由某一特定投标人中标；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23.2有下列情形之一的，视为投标人串通投标，其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（3）不同投标人的投标文件载明的项目管理成员或者联系人员为同一人；</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（6）不同投标人的投标保证金从同一单位或者个人的账户转出。</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48" w:name="_Toc25691"/>
      <w:r>
        <w:rPr>
          <w:rFonts w:hint="eastAsia" w:ascii="宋体" w:hAnsi="宋体" w:cs="宋体"/>
          <w:color w:val="auto"/>
          <w:sz w:val="28"/>
          <w:szCs w:val="28"/>
          <w:highlight w:val="none"/>
        </w:rPr>
        <w:t>五、开标，资格审查和评标</w:t>
      </w:r>
      <w:bookmarkEnd w:id="48"/>
    </w:p>
    <w:p>
      <w:pPr>
        <w:adjustRightInd w:val="0"/>
        <w:snapToGrid w:val="0"/>
        <w:spacing w:before="161" w:beforeLines="50" w:line="360" w:lineRule="auto"/>
        <w:jc w:val="left"/>
        <w:rPr>
          <w:rFonts w:hint="eastAsia" w:ascii="宋体" w:hAnsi="宋体"/>
          <w:b/>
          <w:bCs/>
          <w:color w:val="auto"/>
          <w:sz w:val="24"/>
          <w:highlight w:val="none"/>
        </w:rPr>
      </w:pPr>
      <w:bookmarkStart w:id="49" w:name="_Toc22872"/>
      <w:r>
        <w:rPr>
          <w:rFonts w:hint="eastAsia" w:ascii="宋体" w:hAnsi="宋体"/>
          <w:b/>
          <w:bCs/>
          <w:color w:val="auto"/>
          <w:sz w:val="24"/>
          <w:highlight w:val="none"/>
        </w:rPr>
        <w:t>24. 开标</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hint="eastAsia" w:ascii="宋体" w:hAnsi="宋体" w:cs="宋体"/>
          <w:color w:val="auto"/>
          <w:highlight w:val="none"/>
        </w:rPr>
        <w:t>24.1采购人、采购代理机构在</w:t>
      </w:r>
      <w:r>
        <w:rPr>
          <w:rFonts w:hint="eastAsia" w:ascii="宋体" w:hAnsi="宋体" w:cs="宋体"/>
          <w:b/>
          <w:bCs/>
          <w:color w:val="auto"/>
          <w:highlight w:val="none"/>
        </w:rPr>
        <w:t>【投标须知前附表】</w:t>
      </w:r>
      <w:r>
        <w:rPr>
          <w:rFonts w:hint="eastAsia" w:ascii="宋体" w:hAnsi="宋体" w:cs="宋体"/>
          <w:color w:val="auto"/>
          <w:highlight w:val="none"/>
        </w:rPr>
        <w:t>规定的开标地点组织开标，投标人通过网上开标系统参加开标会，投标人无需到开标现场，请投标人自行配置好解密电脑和软件环境，在规定时间内使用制作投标文件时的 CA 锁登录“网上开标大厅”解密投标文件（请仔细阅读株洲市公共资源交易平台发布的《投标人不见面开标操作手册》）。</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24.2开标时，出现下列情形之一的，采购代理机构不予受理，不得进入评标：</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（1）经检查数字证书无效的电子投标文件；</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（2）电子投标文件未按要求上传至交易平台的；</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（3）投标人未按照规定的时间解密电子投标文件的；</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（4）其它违反法律、法规的情形。</w:t>
      </w:r>
    </w:p>
    <w:p>
      <w:pPr>
        <w:snapToGrid w:val="0"/>
        <w:spacing w:before="158"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24.3开标程序。采购代理机构在规定的时间内，按下列程序进行开标：</w:t>
      </w:r>
    </w:p>
    <w:p>
      <w:pPr>
        <w:snapToGrid w:val="0"/>
        <w:spacing w:before="158"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（1）公布投标人名称；</w:t>
      </w:r>
    </w:p>
    <w:p>
      <w:pPr>
        <w:snapToGrid w:val="0"/>
        <w:spacing w:before="158"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（2）检查投标保证金缴纳情况；</w:t>
      </w:r>
    </w:p>
    <w:p>
      <w:pPr>
        <w:snapToGrid w:val="0"/>
        <w:spacing w:before="158"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（3）解密投标文件：从投标截止时间起</w:t>
      </w:r>
      <w:r>
        <w:rPr>
          <w:rFonts w:hint="eastAsia" w:ascii="宋体" w:hAnsi="宋体"/>
          <w:color w:val="auto"/>
          <w:szCs w:val="21"/>
          <w:highlight w:val="none"/>
        </w:rPr>
        <w:t>60分钟</w:t>
      </w:r>
      <w:r>
        <w:rPr>
          <w:rFonts w:ascii="宋体" w:hAnsi="宋体"/>
          <w:color w:val="auto"/>
          <w:szCs w:val="21"/>
          <w:highlight w:val="none"/>
        </w:rPr>
        <w:t>内完成。由于投标人自身原因导致投标文件在解密时限内未解密或解密失败的，视为撤销其投标文件，开标继续进行。投标人不足3家的，不得开标。</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（4）唱标：以《开标一览表》为准，未提供的按无效投标处理。所有有效投标人可以在线及时查看、下载生成的《开标记录表》；</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（5）投标人通过电子开标系统在开标记录上确认，未及时确认的系统将默认为确认。</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24.4开标时，由采购人、采购代理机构当众在线展示递交电子投标文件单位。投标人在线解密投标文件后，电子开标系统宣读投标人名称、投标价格和</w:t>
      </w:r>
      <w:r>
        <w:rPr>
          <w:rFonts w:hint="eastAsia" w:ascii="宋体" w:hAnsi="宋体" w:cs="宋体"/>
          <w:b/>
          <w:bCs/>
          <w:color w:val="auto"/>
          <w:highlight w:val="none"/>
        </w:rPr>
        <w:t>【投标须知前附表】</w:t>
      </w:r>
      <w:r>
        <w:rPr>
          <w:rFonts w:hint="eastAsia" w:ascii="宋体" w:hAnsi="宋体" w:cs="宋体"/>
          <w:color w:val="auto"/>
          <w:highlight w:val="none"/>
        </w:rPr>
        <w:t>规定需要宣布的其他内容。投标人不足3家的，不得开标。</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24.5投标人代表对开标过程和开标记录有疑义，以及认为采购人、采购代理机构相关工作人员有《政府采购法实施条例》第九条第一款需要回避的情形的，应在线提出询问或者回避申请。</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24.6采购人、采购代理机构对投标人代表在线提出的询问或者回避申请，按《政府采购法实施条例》有关规定及时处理。</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24.7开标时，出现下列情形之一的，视为投标人撤销其投标：</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（1）投标人未按要求配置开标所需的软硬件设备，导致解密失败的；</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（2）投标人电脑故障或无法上网，导致解密失败的；</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（3）解密锁发生故障、失效、错误等，导致解密失败的；</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（4）解密时间超过规定时限的；</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（5）其他由于投标人自身原因导致解密失效的情形。</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24.8电子招投标的应急措施</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电子开标、评标如出现下列情形，导致系统无法正常运行时，按交易中心应急预案措施执行：</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（1）系统服务器发生故障，无法访问或无法使用系统；</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（2）系统的软件或数据库出现错误，不能进行正常操作；</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（3）系统发现有安全漏洞，有潜在的泄密危险；</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（4）病毒发作或受到外来病毒的攻击；</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（5）其他特殊情况。</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hint="eastAsia" w:ascii="宋体" w:hAnsi="宋体" w:cs="宋体"/>
          <w:color w:val="auto"/>
          <w:highlight w:val="none"/>
        </w:rPr>
        <w:t>出现上述情况之一时，经交易中心相关部门确认：对未开标的暂停开标或作延期开标处理，待系统恢复后再进行开标活动；已在系统内评标的，评标委员会酌情延期进行评审，待系统恢复后再进行评审工作</w:t>
      </w:r>
      <w:r>
        <w:rPr>
          <w:rFonts w:ascii="宋体" w:hAnsi="宋体"/>
          <w:color w:val="auto"/>
          <w:szCs w:val="21"/>
          <w:highlight w:val="none"/>
        </w:rPr>
        <w:t>。</w:t>
      </w:r>
    </w:p>
    <w:p>
      <w:pPr>
        <w:adjustRightInd w:val="0"/>
        <w:snapToGrid w:val="0"/>
        <w:spacing w:before="161" w:beforeLines="50" w:line="360" w:lineRule="auto"/>
        <w:jc w:val="left"/>
        <w:rPr>
          <w:rFonts w:hint="eastAsia" w:ascii="宋体" w:hAnsi="宋体"/>
          <w:b/>
          <w:color w:val="auto"/>
          <w:sz w:val="24"/>
          <w:highlight w:val="none"/>
        </w:rPr>
      </w:pPr>
      <w:r>
        <w:rPr>
          <w:rFonts w:hint="eastAsia" w:ascii="宋体" w:hAnsi="宋体" w:cs="Arial"/>
          <w:b/>
          <w:bCs/>
          <w:color w:val="auto"/>
          <w:sz w:val="24"/>
          <w:highlight w:val="none"/>
        </w:rPr>
        <w:t>25.</w:t>
      </w:r>
      <w:r>
        <w:rPr>
          <w:rFonts w:hint="eastAsia" w:ascii="宋体" w:hAnsi="宋体"/>
          <w:b/>
          <w:color w:val="auto"/>
          <w:sz w:val="24"/>
          <w:highlight w:val="none"/>
        </w:rPr>
        <w:t xml:space="preserve"> 资格审查</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25.1开标结束后，采购人、采购代理机构依法按照第三章</w:t>
      </w:r>
      <w:r>
        <w:rPr>
          <w:rFonts w:hint="eastAsia" w:ascii="华文宋体" w:hAnsi="华文宋体" w:eastAsia="华文宋体"/>
          <w:color w:val="auto"/>
          <w:szCs w:val="21"/>
          <w:highlight w:val="none"/>
        </w:rPr>
        <w:t>“</w:t>
      </w:r>
      <w:r>
        <w:rPr>
          <w:rFonts w:hint="eastAsia" w:ascii="宋体" w:hAnsi="宋体"/>
          <w:color w:val="auto"/>
          <w:szCs w:val="21"/>
          <w:highlight w:val="none"/>
        </w:rPr>
        <w:t>资格审查</w:t>
      </w:r>
      <w:r>
        <w:rPr>
          <w:rFonts w:hint="eastAsia" w:ascii="华文宋体" w:hAnsi="华文宋体" w:eastAsia="华文宋体"/>
          <w:color w:val="auto"/>
          <w:szCs w:val="21"/>
          <w:highlight w:val="none"/>
        </w:rPr>
        <w:t>”</w:t>
      </w:r>
      <w:r>
        <w:rPr>
          <w:rFonts w:hint="eastAsia" w:ascii="宋体" w:hAnsi="宋体"/>
          <w:color w:val="auto"/>
          <w:szCs w:val="21"/>
          <w:highlight w:val="none"/>
        </w:rPr>
        <w:t>规定组织资格审查。</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25.2资格审查结束后，采购人、采购代理机构应将资格审查结果告知评标委员会。资格审查不合格投标人不进入评标；资格审查合格投标人少于3家的，不得评标。</w:t>
      </w:r>
    </w:p>
    <w:p>
      <w:pPr>
        <w:adjustRightInd w:val="0"/>
        <w:snapToGrid w:val="0"/>
        <w:spacing w:before="161" w:beforeLines="50" w:line="360" w:lineRule="auto"/>
        <w:jc w:val="left"/>
        <w:rPr>
          <w:rFonts w:hint="eastAsia" w:ascii="宋体" w:hAnsi="宋体"/>
          <w:b/>
          <w:color w:val="auto"/>
          <w:sz w:val="24"/>
          <w:highlight w:val="none"/>
        </w:rPr>
      </w:pPr>
      <w:r>
        <w:rPr>
          <w:rFonts w:hint="eastAsia" w:ascii="宋体" w:hAnsi="宋体"/>
          <w:b/>
          <w:bCs/>
          <w:color w:val="auto"/>
          <w:sz w:val="24"/>
          <w:highlight w:val="none"/>
        </w:rPr>
        <w:t>26.</w:t>
      </w:r>
      <w:r>
        <w:rPr>
          <w:rFonts w:hint="eastAsia" w:ascii="宋体" w:hAnsi="宋体"/>
          <w:b/>
          <w:color w:val="auto"/>
          <w:sz w:val="24"/>
          <w:highlight w:val="none"/>
        </w:rPr>
        <w:t xml:space="preserve"> 评标委员会</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26.1评标由依法组建的评标委员会负责，评标委员会由采购人代表和评审专家组成。</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26.2评标委员会成员有下列情形之一的，应当回避：</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（1）参加采购活动前三年内，与投标人存在劳动关系，或者担任过投标人的董事、监事，或者是投标人的控股股东或实际控制人；</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（2）与投标人的法定代表人或者负责人有夫妻、直系血亲、三代以内旁系血亲或者近姻亲关系；</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（3）与投标人有其他可能影响政府采购活动公平、公正进行的关系。</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26.3评标委员会负责具体评标事务，并独立履行下列职责：</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（2）要求投标人对投标文件有关事项作出澄清或者说明；</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（3）对投标文件进行比较和评价；</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pPr>
        <w:adjustRightInd w:val="0"/>
        <w:snapToGrid w:val="0"/>
        <w:spacing w:before="161" w:beforeLines="50" w:line="360" w:lineRule="auto"/>
        <w:jc w:val="left"/>
        <w:rPr>
          <w:rFonts w:hint="eastAsia" w:ascii="宋体" w:hAnsi="宋体"/>
          <w:b/>
          <w:bCs/>
          <w:color w:val="auto"/>
          <w:sz w:val="24"/>
          <w:highlight w:val="none"/>
        </w:rPr>
      </w:pPr>
      <w:r>
        <w:rPr>
          <w:rFonts w:hint="eastAsia" w:ascii="宋体" w:hAnsi="宋体"/>
          <w:b/>
          <w:color w:val="auto"/>
          <w:sz w:val="24"/>
          <w:highlight w:val="none"/>
        </w:rPr>
        <w:t>27.</w:t>
      </w:r>
      <w:r>
        <w:rPr>
          <w:rFonts w:hint="eastAsia" w:ascii="宋体" w:hAnsi="宋体"/>
          <w:b/>
          <w:bCs/>
          <w:color w:val="auto"/>
          <w:sz w:val="24"/>
          <w:highlight w:val="none"/>
        </w:rPr>
        <w:t xml:space="preserve"> 评标</w:t>
      </w:r>
    </w:p>
    <w:p>
      <w:pPr>
        <w:adjustRightInd w:val="0"/>
        <w:snapToGrid w:val="0"/>
        <w:spacing w:before="161" w:beforeLines="50" w:line="360" w:lineRule="auto"/>
        <w:ind w:firstLine="420" w:firstLineChars="200"/>
        <w:jc w:val="left"/>
        <w:rPr>
          <w:rFonts w:hint="eastAsia" w:ascii="宋体" w:hAnsi="宋体"/>
          <w:color w:val="auto"/>
          <w:highlight w:val="none"/>
        </w:rPr>
      </w:pPr>
      <w:r>
        <w:rPr>
          <w:rFonts w:hint="eastAsia" w:ascii="宋体" w:hAnsi="宋体"/>
          <w:color w:val="auto"/>
          <w:highlight w:val="none"/>
        </w:rPr>
        <w:t>27.1评标委员会按照</w:t>
      </w:r>
      <w:r>
        <w:rPr>
          <w:rFonts w:hint="eastAsia" w:ascii="宋体" w:hAnsi="宋体"/>
          <w:bCs/>
          <w:color w:val="auto"/>
          <w:highlight w:val="none"/>
        </w:rPr>
        <w:t>第四章</w:t>
      </w:r>
      <w:r>
        <w:rPr>
          <w:rFonts w:hint="eastAsia" w:ascii="华文宋体" w:hAnsi="华文宋体" w:eastAsia="华文宋体"/>
          <w:bCs/>
          <w:color w:val="auto"/>
          <w:highlight w:val="none"/>
        </w:rPr>
        <w:t>“</w:t>
      </w:r>
      <w:r>
        <w:rPr>
          <w:rFonts w:hint="eastAsia" w:ascii="宋体" w:hAnsi="宋体"/>
          <w:bCs/>
          <w:color w:val="auto"/>
          <w:highlight w:val="none"/>
        </w:rPr>
        <w:t>评标方法及标准</w:t>
      </w:r>
      <w:r>
        <w:rPr>
          <w:rFonts w:hint="eastAsia" w:ascii="华文宋体" w:hAnsi="华文宋体" w:eastAsia="华文宋体"/>
          <w:bCs/>
          <w:color w:val="auto"/>
          <w:highlight w:val="none"/>
        </w:rPr>
        <w:t>”</w:t>
      </w:r>
      <w:r>
        <w:rPr>
          <w:rFonts w:hint="eastAsia" w:ascii="宋体" w:hAnsi="宋体"/>
          <w:color w:val="auto"/>
          <w:highlight w:val="none"/>
        </w:rPr>
        <w:t>规定的评标方法、评审因素、标准和程序以及有关法律、法规及规章对投标文件进行评审。</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六、中标信息公布</w:t>
      </w:r>
      <w:bookmarkEnd w:id="49"/>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28、中标通知书与中标信息公布</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28.1采购代理机构应当在评标结束后 2 个工作日内将评标报告送采购人。</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28.2采购人应当自收到评标报告之日起 5 个工作日内，在评标报告确定的中标候选人名单中按顺序确定中标人。中标候选人并列的，按照</w:t>
      </w:r>
      <w:r>
        <w:rPr>
          <w:rFonts w:hint="eastAsia" w:ascii="宋体" w:hAnsi="宋体" w:cs="宋体"/>
          <w:b/>
          <w:bCs/>
          <w:color w:val="auto"/>
          <w:highlight w:val="none"/>
        </w:rPr>
        <w:t>【投标须知前附表】</w:t>
      </w:r>
      <w:r>
        <w:rPr>
          <w:rFonts w:hint="eastAsia" w:ascii="宋体" w:hAnsi="宋体" w:cs="宋体"/>
          <w:color w:val="auto"/>
          <w:highlight w:val="none"/>
        </w:rPr>
        <w:t>规定的方式确定中标人；招标文件未规定的，采取随机抽取的方式确定。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28.3采购人、采购代理机构应当自采购人确定中标投标人之日起2个工作日内，发出中标通知书，并在招标公告指定媒体上公告中标结果，招标文件随中标结果同时公告，中标结果公告期限为1个工作日。</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29、投标人询问及质疑</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29.1投标人对政府采购活动事项有疑问的，可以向采购人、采购代理机构提出询问。采购人或采购代理机构将在 3 个工作日内作出答复。</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29.2投标人认为招标文件、采购过程和中标结果使自己的权益受到损害的，可以在知道或者  应知其权益受到损害之日起 7 个工作日内，按照《湖南省财政厅关于印发＜政府采购质疑答复和投诉处理操作规程＞的通知》(湘财购</w:t>
      </w:r>
      <w:r>
        <w:rPr>
          <w:rFonts w:hint="eastAsia" w:ascii="宋体" w:hAnsi="宋体"/>
          <w:color w:val="auto"/>
          <w:szCs w:val="21"/>
          <w:highlight w:val="none"/>
        </w:rPr>
        <w:t>〔2024〕67号</w:t>
      </w:r>
      <w:r>
        <w:rPr>
          <w:rFonts w:hint="eastAsia" w:ascii="宋体" w:hAnsi="宋体" w:cs="宋体"/>
          <w:color w:val="auto"/>
          <w:highlight w:val="none"/>
        </w:rPr>
        <w:t>)规定，以纸质书面形式向采购人、采购代理机构提出质疑。投标人须在法定质疑期内一次性提出针对同一采购程序环节的质疑。</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29.3投标人提出质疑的，应按照《湖南省财政厅关于印发＜政府采购质疑答复和投诉处理操  作规程＞的通知》规定制作、签署、送达。采购人、采购代理机构接收质疑函的联系部门、联系电话和通讯地址见</w:t>
      </w:r>
      <w:r>
        <w:rPr>
          <w:rFonts w:hint="eastAsia" w:ascii="宋体" w:hAnsi="宋体" w:cs="宋体"/>
          <w:b/>
          <w:bCs/>
          <w:color w:val="auto"/>
          <w:highlight w:val="none"/>
        </w:rPr>
        <w:t>【投标须知前附表】</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29.4采购人、采购代理机构按照《湖南省财政厅关于印发＜政府采购质疑答复和投诉处理操  作规程＞的通知》规定进行质疑答复。</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29.5投标人对采购人、采购代理机构的答复不满意，或采购人或采购代理机构未在规定的期  限作出答复的，可在答复期满后 15 个工作日内，按照《湖南省财政厅关于印发＜政府采购质疑答复和投诉处理操作规程＞的通知》规定向采购人同级财政部门提出投诉。</w:t>
      </w:r>
    </w:p>
    <w:p>
      <w:pPr>
        <w:pStyle w:val="59"/>
        <w:rPr>
          <w:color w:val="auto"/>
          <w:highlight w:val="none"/>
        </w:rPr>
      </w:pPr>
      <w:r>
        <w:rPr>
          <w:rFonts w:hint="eastAsia" w:ascii="宋体" w:hAnsi="宋体" w:cs="宋体"/>
          <w:b w:val="0"/>
          <w:color w:val="auto"/>
          <w:highlight w:val="none"/>
        </w:rPr>
        <w:t>29.6以联合体形式参加政府采购活动的，联合体组成后提出的质疑事项应当由组成联合体的所有投标人共同提出。</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50" w:name="_Toc16755"/>
      <w:r>
        <w:rPr>
          <w:rFonts w:hint="eastAsia" w:ascii="宋体" w:hAnsi="宋体" w:cs="宋体"/>
          <w:color w:val="auto"/>
          <w:sz w:val="28"/>
          <w:szCs w:val="28"/>
          <w:highlight w:val="none"/>
        </w:rPr>
        <w:t>七、合同签订</w:t>
      </w:r>
      <w:bookmarkEnd w:id="50"/>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30、签订合同</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30.1采购人应自中标通知书发出之日起 30 日内，按中标通知书指定的时间、地点与中标人签订政府采购合同。所签订的合同不得对招标文件确定的事项和中标人投标文件作实质性修改。</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30.2招标文件、中标人的投标文件均为签订合同的依据。</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30.3联合体中标的，联合体各方应当共同与采购人签订合同，就中标项目向采购人承担连带  责任。</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30.4中标合同将在招标公告指定媒体上公告，但合同中涉及国家秘密、商业秘密的内容除外。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30.5中标人应当按照合同约定依法履行合同义务。政府采购合同的履行、违约责任和解决争  议的方法等适用《中华人民共和国民法典》。</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31、履约担保</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31.1招标文件要求中标人向采购人提交履约担保的，中标人应按照</w:t>
      </w:r>
      <w:r>
        <w:rPr>
          <w:rFonts w:hint="eastAsia" w:ascii="宋体" w:hAnsi="宋体" w:cs="宋体"/>
          <w:b/>
          <w:bCs/>
          <w:color w:val="auto"/>
          <w:highlight w:val="none"/>
        </w:rPr>
        <w:t>【投标须知前附表】</w:t>
      </w:r>
      <w:r>
        <w:rPr>
          <w:rFonts w:hint="eastAsia" w:ascii="宋体" w:hAnsi="宋体" w:cs="宋体"/>
          <w:color w:val="auto"/>
          <w:highlight w:val="none"/>
        </w:rPr>
        <w:t>的规  定提交。联合体中标的，履约担保由联合体各方或联合体中牵头人的名义提交。</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31.2中标人没有按照本章第 31.1 款规定提交履约担保的，视为</w:t>
      </w:r>
      <w:r>
        <w:rPr>
          <w:rFonts w:hint="eastAsia" w:ascii="宋体" w:hAnsi="宋体" w:cs="宋体"/>
          <w:b/>
          <w:bCs/>
          <w:color w:val="auto"/>
          <w:highlight w:val="none"/>
        </w:rPr>
        <w:t>放弃中标</w:t>
      </w:r>
      <w:r>
        <w:rPr>
          <w:rFonts w:hint="eastAsia" w:ascii="宋体" w:hAnsi="宋体" w:cs="宋体"/>
          <w:color w:val="auto"/>
          <w:highlight w:val="none"/>
        </w:rPr>
        <w:t>，其投标保证金不予退还。</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32、政府采购合同履行中数量的变更</w:t>
      </w:r>
    </w:p>
    <w:p>
      <w:pPr>
        <w:adjustRightInd w:val="0"/>
        <w:snapToGrid w:val="0"/>
        <w:spacing w:before="161" w:beforeLines="50" w:line="360" w:lineRule="auto"/>
        <w:ind w:firstLine="420" w:firstLineChars="200"/>
        <w:jc w:val="left"/>
        <w:rPr>
          <w:rFonts w:hint="eastAsia" w:ascii="宋体" w:hAnsi="宋体" w:cs="宋体"/>
          <w:color w:val="auto"/>
          <w:sz w:val="28"/>
          <w:szCs w:val="28"/>
          <w:highlight w:val="none"/>
        </w:rPr>
      </w:pPr>
      <w:r>
        <w:rPr>
          <w:rFonts w:hint="eastAsia" w:ascii="宋体" w:hAnsi="宋体" w:cs="宋体"/>
          <w:color w:val="auto"/>
          <w:highlight w:val="none"/>
        </w:rPr>
        <w:t>32.1政府采购合同履行中，采购人需追加与合同标的相同的服务的，在不改变合同其他条款的前提下，可以与中标人协商签订补充合同，但所有补充合同的采购金额不得超过原合同采购金额的百分之十。</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51" w:name="_Toc22364"/>
      <w:r>
        <w:rPr>
          <w:rFonts w:hint="eastAsia" w:ascii="宋体" w:hAnsi="宋体" w:cs="宋体"/>
          <w:color w:val="auto"/>
          <w:sz w:val="28"/>
          <w:szCs w:val="28"/>
          <w:highlight w:val="none"/>
        </w:rPr>
        <w:t>八、政府采购政策</w:t>
      </w:r>
      <w:bookmarkEnd w:id="51"/>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33、政府采购政策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33.1优先采购：</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（1）纳入财政部会同国务院有关部门发布的节能产品、环境标志产品政府采购品目清单，实施政府优先采购的，评审时按招标文件第四章第一节有关规定给予一定比例的价格折扣或者加分。</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33.2强制采购：</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纳入财政部会同国务院有关部门发布的节能产品政府采购品目清单，实施政府强制采购的（品目清单标注★符号产品），投标人投标产品应当取得国家确定的认证机构出具的、处于有效期之内的节能产品认证证书，否则其</w:t>
      </w:r>
      <w:r>
        <w:rPr>
          <w:rFonts w:hint="eastAsia" w:ascii="宋体" w:hAnsi="宋体" w:cs="宋体"/>
          <w:b/>
          <w:bCs/>
          <w:color w:val="auto"/>
          <w:highlight w:val="none"/>
        </w:rPr>
        <w:t>投标无效</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33.3价格评审优惠：</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（3）符合中小企业划分标准的个体工商户视同中小企业，享受评审中价格扣除等促进中小企业发展的政府采购政策。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（4）监狱企业、残疾人福利性单位视同小型、微型企业，享受评审中价格扣除等促进中小企业发展的政府采购政策。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 xml:space="preserve">（5）与大企业的负责人为同一人，或者与大企业存在直接控股、管理关系的中小企业，不享受评审中价格扣除等促进中小企业发展的政府采购政策。 </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（6）本章第1.2款规定采购项目或者采购包属于“预留采购份额”的，预留部分不再享受本款“价格评审优惠”的小微企业扶持政策。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33.4政府采购政策交叉与叠加</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（1）投标产品取得两个及以上优先采购产品认证的，评审时只有其中一项产品能享受优先采购优惠（投标人自行选择，并在投标文件中并填报相关信息及数据）</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（2）投标人同时符合小型、微型企业及监狱企业、残疾人福利性单位要求的，评审时只有一种类型享受价格评审优惠政策；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（3）小型和微型企业的价格评审优惠可以与同时属于“节能产品”、“环境标志产品”中的一项优先采购优惠累加计算。</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33.5在货物采购项目中，投标人提供的货物既有中小企业制造货物，也有大型企业制造货物的，不享受政府采购中小企业扶持政策。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33.6投标人符合本章第 33.1 款、第 33.2 款、第 33.3 款规定的，应提供相关证明资料。</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（1）节能产品、环境标志产品：提供国家确定的认证机构出具的、处于有效期之内的节能产品、环境标志产品认证证书。</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（4）监狱企业：按《关于政府采购支持监狱企业发展有关问题的通知》(财库〔2014〕68 号)文件规定提供证明文件。</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（5）残疾人福利性单位：按《关于促进残疾人就业政府采购政策的通知》(财库〔2017〕141  号)文件规定提供《残疾人福利性单位声明函》（格式）。</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33.7执行中小企业预留采购份额政策的规定：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（1）预留份额的采购项目或者采购包，应明确该项目或相关采购包专门面向中小企业采购，并作为投标人资格条件。</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（2）要求以联合体形式参加或者合同分包的，应明确联合协议或者分包意向协议中中小企业合同金额应当达到的比例，并作为投标人资格条件。</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（3）组成联合体或者接受分包合同的中小企业与联合体内其他企业(成员)、分包企业(投标人)之间不得存在直接控股、管理关系。</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33.8采购进口产品</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进口产品是指符合《政府采购进口产品管理办法》（财库〔2007〕119号）和《关于政府采购进口产品管理有关问题的通知》（财办库〔2008〕248号）文件规定的产品。除【投标须知前附表】另有规定外，采购项目拒绝进口产品参加投标。本款规定同意购买进口产品的，不限制满足招标文件要求的国内产品参与投标竞争。</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33.9投标人有融资、担保需求的，可登陆中国湖南政府采购网查询相关银行、担保机构业务。</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52" w:name="_Toc165"/>
      <w:r>
        <w:rPr>
          <w:rFonts w:hint="eastAsia" w:ascii="宋体" w:hAnsi="宋体" w:cs="宋体"/>
          <w:color w:val="auto"/>
          <w:sz w:val="28"/>
          <w:szCs w:val="28"/>
          <w:highlight w:val="none"/>
        </w:rPr>
        <w:t>九、其他规定</w:t>
      </w:r>
      <w:bookmarkEnd w:id="52"/>
    </w:p>
    <w:p>
      <w:pPr>
        <w:adjustRightInd w:val="0"/>
        <w:snapToGrid w:val="0"/>
        <w:spacing w:before="161" w:beforeLines="50" w:line="360" w:lineRule="auto"/>
        <w:jc w:val="left"/>
        <w:rPr>
          <w:rFonts w:hint="eastAsia" w:ascii="宋体" w:hAnsi="宋体" w:cs="宋体"/>
          <w:color w:val="auto"/>
          <w:szCs w:val="21"/>
          <w:highlight w:val="none"/>
        </w:rPr>
      </w:pPr>
      <w:r>
        <w:rPr>
          <w:rFonts w:hint="eastAsia" w:ascii="宋体" w:hAnsi="宋体" w:cs="宋体"/>
          <w:b/>
          <w:bCs/>
          <w:color w:val="auto"/>
          <w:szCs w:val="21"/>
          <w:highlight w:val="none"/>
        </w:rPr>
        <w:t>34、招标不足三家处理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34.1公开招标数额标准以上的采购项目，投标截止后投标人不足 3 家或者通过资格审查或符合性审查的投标人不足 3 家的，除采购任务取消情形外，按照以下方式处理：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（1）招标文件存在不合理条款或者招标程序不符合规定的，采购人、采购代理机构改正后依法重新招标；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（2）招标文件没有不合理条款、招标程序符合规定，需要采用其他采购方式采购的，采购人应当依法报财政部门批准。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34.2属上款第（2）项情形的，评标委员会应出具的招标文件没有不合理条款的论证意见。</w:t>
      </w:r>
    </w:p>
    <w:p>
      <w:pPr>
        <w:adjustRightInd w:val="0"/>
        <w:snapToGrid w:val="0"/>
        <w:spacing w:before="161" w:beforeLines="50" w:line="360" w:lineRule="auto"/>
        <w:jc w:val="left"/>
        <w:rPr>
          <w:rFonts w:hint="eastAsia" w:ascii="宋体" w:hAnsi="宋体" w:cs="宋体"/>
          <w:b/>
          <w:bCs/>
          <w:color w:val="auto"/>
          <w:szCs w:val="21"/>
          <w:highlight w:val="none"/>
          <w:lang w:val="ru-RU"/>
        </w:rPr>
      </w:pPr>
      <w:r>
        <w:rPr>
          <w:rFonts w:hint="eastAsia" w:ascii="宋体" w:hAnsi="宋体" w:cs="宋体"/>
          <w:b/>
          <w:bCs/>
          <w:color w:val="auto"/>
          <w:szCs w:val="21"/>
          <w:highlight w:val="none"/>
          <w:lang w:val="ru-RU"/>
        </w:rPr>
        <w:t>35.需要补充的其他内容</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35.1合同价款支付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（1）招标文件规定支付合同预付款的，采购人应按</w:t>
      </w:r>
      <w:r>
        <w:rPr>
          <w:rFonts w:hint="eastAsia" w:ascii="宋体" w:hAnsi="宋体" w:cs="宋体"/>
          <w:b/>
          <w:bCs/>
          <w:color w:val="auto"/>
          <w:highlight w:val="none"/>
        </w:rPr>
        <w:t>【投标须知前附表】</w:t>
      </w:r>
      <w:r>
        <w:rPr>
          <w:rFonts w:hint="eastAsia" w:ascii="宋体" w:hAnsi="宋体" w:cs="宋体"/>
          <w:color w:val="auto"/>
          <w:szCs w:val="21"/>
          <w:highlight w:val="none"/>
        </w:rPr>
        <w:t>规定的支付比例和支付条件向符合要求的中标供应商及时支付相应款项，并在政府采购合同中进行明确。</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（2）招标文件规定需提交质量保证金的，采购人可以按</w:t>
      </w:r>
      <w:r>
        <w:rPr>
          <w:rFonts w:hint="eastAsia" w:ascii="宋体" w:hAnsi="宋体" w:cs="宋体"/>
          <w:b/>
          <w:bCs/>
          <w:color w:val="auto"/>
          <w:highlight w:val="none"/>
        </w:rPr>
        <w:t>【投标须知前附表】</w:t>
      </w:r>
      <w:r>
        <w:rPr>
          <w:rFonts w:hint="eastAsia" w:ascii="宋体" w:hAnsi="宋体" w:cs="宋体"/>
          <w:color w:val="auto"/>
          <w:szCs w:val="21"/>
          <w:highlight w:val="none"/>
        </w:rPr>
        <w:t>规定要求中标供应商提交质量保证金，并在政府采购合同中进行明确。</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（3）投标人可以保函、电子增信替代预付款担保、质量保证金。</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35.2招标文件需要补充的其他内容见</w:t>
      </w:r>
      <w:r>
        <w:rPr>
          <w:rFonts w:hint="eastAsia" w:ascii="宋体" w:hAnsi="宋体" w:cs="宋体"/>
          <w:b/>
          <w:bCs/>
          <w:color w:val="auto"/>
          <w:highlight w:val="none"/>
        </w:rPr>
        <w:t>【投标须知前附表】</w:t>
      </w:r>
      <w:r>
        <w:rPr>
          <w:rFonts w:hint="eastAsia" w:ascii="宋体" w:hAnsi="宋体" w:cs="宋体"/>
          <w:color w:val="auto"/>
          <w:szCs w:val="21"/>
          <w:highlight w:val="none"/>
        </w:rPr>
        <w:t>。</w:t>
      </w:r>
    </w:p>
    <w:p>
      <w:pPr>
        <w:rPr>
          <w:rFonts w:hint="eastAsia" w:ascii="宋体" w:hAnsi="宋体" w:cs="宋体"/>
          <w:color w:val="auto"/>
          <w:sz w:val="32"/>
          <w:szCs w:val="32"/>
          <w:highlight w:val="none"/>
        </w:rPr>
      </w:pPr>
      <w:bookmarkStart w:id="53" w:name="_Toc688"/>
      <w:r>
        <w:rPr>
          <w:rFonts w:hint="eastAsia" w:ascii="宋体" w:hAnsi="宋体" w:cs="宋体"/>
          <w:color w:val="auto"/>
          <w:sz w:val="32"/>
          <w:szCs w:val="32"/>
          <w:highlight w:val="none"/>
        </w:rPr>
        <w:br w:type="page"/>
      </w:r>
    </w:p>
    <w:p>
      <w:pPr>
        <w:spacing w:line="46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附件1：</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p>
    <w:p>
      <w:pPr>
        <w:spacing w:line="460" w:lineRule="exact"/>
        <w:ind w:firstLine="422" w:firstLineChars="200"/>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株洲市政府采购合同线上融资流程</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（一）、融资申请</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有融资需求的供应商取得《中标通知书》后，在签订采购合同前，通过“株洲市政府采购网”的“政府采购合同融资”链接进入“中征应收账款融资服务平台”，直接向参与金融机构推送融资需求。</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（二）、资料审查</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参与金融机构登录平台查看融资需求及中标（或成交）详情，进行贷前评审，确定融资方案和回款账户，签订《政府采购合同》，确定合同收款账户。</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（三）、签订贷款协议</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参与金融机构登录平台查看采购合同信息，与供应商签订贷款协议，在线填写融资成交单，推送融资成交信息，系统自动将回款账户锁定为银行监管账户。</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（四）、贷款发放</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融资银行核实回款账户无误后，根据贷款协议向供应商发放贷款。</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（五）、按期还款</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合同履行完毕后，采购单位根据合同约定时间和账户在线填写支付申请，向财政部门发送支付指令，财政部门严格按照相关规定将资金支付到采购合同收款账户。</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（六）、业务终止</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贷款偿清后，融资银行解除质押，业务终止。</w:t>
      </w:r>
    </w:p>
    <w:p>
      <w:pPr>
        <w:spacing w:line="460" w:lineRule="exact"/>
        <w:ind w:firstLine="420" w:firstLineChars="200"/>
        <w:jc w:val="left"/>
        <w:rPr>
          <w:rFonts w:hint="eastAsia" w:asciiTheme="minorEastAsia" w:hAnsiTheme="minorEastAsia" w:eastAsiaTheme="minorEastAsia" w:cstheme="minorEastAsia"/>
          <w:b/>
          <w:bCs/>
          <w:color w:val="auto"/>
          <w:szCs w:val="21"/>
          <w:highlight w:val="none"/>
        </w:rPr>
      </w:pPr>
      <w:r>
        <w:rPr>
          <w:rFonts w:hint="eastAsia" w:ascii="仿宋" w:hAnsi="仿宋" w:eastAsia="仿宋" w:cs="仿宋"/>
          <w:bCs/>
          <w:color w:val="auto"/>
          <w:szCs w:val="21"/>
          <w:highlight w:val="none"/>
        </w:rPr>
        <w:br w:type="page"/>
      </w:r>
      <w:r>
        <w:rPr>
          <w:rFonts w:hint="eastAsia" w:asciiTheme="minorEastAsia" w:hAnsiTheme="minorEastAsia" w:eastAsiaTheme="minorEastAsia" w:cstheme="minorEastAsia"/>
          <w:b/>
          <w:bCs/>
          <w:color w:val="auto"/>
          <w:szCs w:val="21"/>
          <w:highlight w:val="none"/>
        </w:rPr>
        <w:t>附件2：</w:t>
      </w:r>
    </w:p>
    <w:p>
      <w:pPr>
        <w:spacing w:line="460" w:lineRule="exact"/>
        <w:ind w:firstLine="422" w:firstLineChars="200"/>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株洲市政府采购合同线上融资业务流程图</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drawing>
          <wp:anchor distT="0" distB="0" distL="114300" distR="114300" simplePos="0" relativeHeight="251661312" behindDoc="1" locked="0" layoutInCell="1" allowOverlap="1">
            <wp:simplePos x="0" y="0"/>
            <wp:positionH relativeFrom="column">
              <wp:align>center</wp:align>
            </wp:positionH>
            <wp:positionV relativeFrom="paragraph">
              <wp:posOffset>175260</wp:posOffset>
            </wp:positionV>
            <wp:extent cx="5707380" cy="4741545"/>
            <wp:effectExtent l="0" t="0" r="7620" b="0"/>
            <wp:wrapTight wrapText="bothSides">
              <wp:wrapPolygon>
                <wp:start x="0" y="0"/>
                <wp:lineTo x="0" y="21522"/>
                <wp:lineTo x="21557" y="21522"/>
                <wp:lineTo x="21557" y="0"/>
                <wp:lineTo x="0" y="0"/>
              </wp:wrapPolygon>
            </wp:wrapTight>
            <wp:docPr id="1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
                    <pic:cNvPicPr>
                      <a:picLocks noChangeAspect="1"/>
                    </pic:cNvPicPr>
                  </pic:nvPicPr>
                  <pic:blipFill>
                    <a:blip r:embed="rId12"/>
                    <a:stretch>
                      <a:fillRect/>
                    </a:stretch>
                  </pic:blipFill>
                  <pic:spPr>
                    <a:xfrm>
                      <a:off x="0" y="0"/>
                      <a:ext cx="5707380" cy="4741545"/>
                    </a:xfrm>
                    <a:prstGeom prst="rect">
                      <a:avLst/>
                    </a:prstGeom>
                    <a:noFill/>
                    <a:ln>
                      <a:noFill/>
                    </a:ln>
                  </pic:spPr>
                </pic:pic>
              </a:graphicData>
            </a:graphic>
          </wp:anchor>
        </w:drawing>
      </w:r>
    </w:p>
    <w:p>
      <w:pPr>
        <w:spacing w:line="460" w:lineRule="exact"/>
        <w:ind w:firstLine="420" w:firstLineChars="200"/>
        <w:jc w:val="left"/>
        <w:rPr>
          <w:rFonts w:hint="eastAsia" w:asciiTheme="minorEastAsia" w:hAnsiTheme="minorEastAsia" w:eastAsiaTheme="minorEastAsia" w:cstheme="minorEastAsia"/>
          <w:b/>
          <w:bCs/>
          <w:color w:val="auto"/>
          <w:szCs w:val="21"/>
          <w:highlight w:val="none"/>
        </w:rPr>
      </w:pPr>
      <w:r>
        <w:rPr>
          <w:rFonts w:hint="eastAsia" w:ascii="仿宋" w:hAnsi="仿宋" w:eastAsia="仿宋" w:cs="仿宋"/>
          <w:bCs/>
          <w:color w:val="auto"/>
          <w:szCs w:val="21"/>
          <w:highlight w:val="none"/>
        </w:rPr>
        <w:br w:type="page"/>
      </w:r>
      <w:r>
        <w:rPr>
          <w:rFonts w:hint="eastAsia" w:asciiTheme="minorEastAsia" w:hAnsiTheme="minorEastAsia" w:eastAsiaTheme="minorEastAsia" w:cstheme="minorEastAsia"/>
          <w:b/>
          <w:bCs/>
          <w:color w:val="auto"/>
          <w:szCs w:val="21"/>
          <w:highlight w:val="none"/>
        </w:rPr>
        <w:t>附件3：</w:t>
      </w:r>
    </w:p>
    <w:p>
      <w:pPr>
        <w:spacing w:line="460" w:lineRule="exact"/>
        <w:ind w:firstLine="422" w:firstLineChars="200"/>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株洲市政府采购合同线上融资业务办理银行联系表</w:t>
      </w:r>
    </w:p>
    <w:p>
      <w:pPr>
        <w:pStyle w:val="131"/>
        <w:rPr>
          <w:rFonts w:hint="eastAsia" w:ascii="仿宋" w:hAnsi="仿宋" w:eastAsia="仿宋" w:cs="仿宋"/>
          <w:color w:val="auto"/>
          <w:highlight w:val="none"/>
        </w:rPr>
      </w:pP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3054"/>
        <w:gridCol w:w="1395"/>
        <w:gridCol w:w="3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序号</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银行名称</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联系人</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交通银行株洲分行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蒋  宁</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15873361819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Merge w:val="restart"/>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p>
        </w:tc>
        <w:tc>
          <w:tcPr>
            <w:tcW w:w="3054" w:type="dxa"/>
            <w:vMerge w:val="restart"/>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长沙银行株洲分行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易思宇</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13762316666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Merge w:val="continue"/>
            <w:vAlign w:val="center"/>
          </w:tcPr>
          <w:p>
            <w:pPr>
              <w:spacing w:line="460" w:lineRule="exact"/>
              <w:jc w:val="center"/>
              <w:rPr>
                <w:rFonts w:hint="eastAsia" w:asciiTheme="minorEastAsia" w:hAnsiTheme="minorEastAsia" w:eastAsiaTheme="minorEastAsia" w:cstheme="minorEastAsia"/>
                <w:bCs/>
                <w:color w:val="auto"/>
                <w:szCs w:val="21"/>
                <w:highlight w:val="none"/>
              </w:rPr>
            </w:pPr>
          </w:p>
        </w:tc>
        <w:tc>
          <w:tcPr>
            <w:tcW w:w="3054" w:type="dxa"/>
            <w:vMerge w:val="continue"/>
            <w:vAlign w:val="center"/>
          </w:tcPr>
          <w:p>
            <w:pPr>
              <w:spacing w:line="460" w:lineRule="exact"/>
              <w:jc w:val="center"/>
              <w:rPr>
                <w:rFonts w:hint="eastAsia" w:asciiTheme="minorEastAsia" w:hAnsiTheme="minorEastAsia" w:eastAsiaTheme="minorEastAsia" w:cstheme="minorEastAsia"/>
                <w:bCs/>
                <w:color w:val="auto"/>
                <w:szCs w:val="21"/>
                <w:highlight w:val="none"/>
              </w:rPr>
            </w:pP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曾名志</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13786360080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农业银行株洲分行开发区支行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张启慧</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15973336667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4</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兴业银行株洲分行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张  维</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13807312821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5</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渤海银行株洲分行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lang w:eastAsia="ru-RU"/>
              </w:rPr>
            </w:pPr>
            <w:r>
              <w:rPr>
                <w:rFonts w:hint="eastAsia" w:asciiTheme="minorEastAsia" w:hAnsiTheme="minorEastAsia" w:eastAsiaTheme="minorEastAsia" w:cstheme="minorEastAsia"/>
                <w:bCs/>
                <w:color w:val="auto"/>
                <w:szCs w:val="21"/>
                <w:highlight w:val="none"/>
              </w:rPr>
              <w:t>颜  震</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lang w:eastAsia="ru-RU"/>
              </w:rPr>
            </w:pPr>
            <w:r>
              <w:rPr>
                <w:rFonts w:hint="eastAsia" w:asciiTheme="minorEastAsia" w:hAnsiTheme="minorEastAsia" w:eastAsiaTheme="minorEastAsia" w:cstheme="minorEastAsia"/>
                <w:bCs/>
                <w:color w:val="auto"/>
                <w:szCs w:val="21"/>
                <w:highlight w:val="none"/>
              </w:rPr>
              <w:t>15673330011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浦发银行株洲分行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蔡  晨</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lang w:eastAsia="ru-RU"/>
              </w:rPr>
            </w:pPr>
            <w:r>
              <w:rPr>
                <w:rFonts w:hint="eastAsia" w:asciiTheme="minorEastAsia" w:hAnsiTheme="minorEastAsia" w:eastAsiaTheme="minorEastAsia" w:cstheme="minorEastAsia"/>
                <w:bCs/>
                <w:color w:val="auto"/>
                <w:szCs w:val="21"/>
                <w:highlight w:val="none"/>
              </w:rPr>
              <w:t>19907493171、28661018</w:t>
            </w:r>
          </w:p>
        </w:tc>
      </w:tr>
    </w:tbl>
    <w:p>
      <w:pPr>
        <w:spacing w:line="460" w:lineRule="exact"/>
        <w:ind w:firstLine="420" w:firstLineChars="200"/>
        <w:jc w:val="left"/>
        <w:rPr>
          <w:rFonts w:hint="eastAsia" w:ascii="仿宋" w:hAnsi="仿宋" w:eastAsia="仿宋" w:cs="仿宋"/>
          <w:bCs/>
          <w:color w:val="auto"/>
          <w:szCs w:val="21"/>
          <w:highlight w:val="none"/>
        </w:rPr>
      </w:pPr>
    </w:p>
    <w:p>
      <w:pPr>
        <w:pStyle w:val="59"/>
        <w:ind w:firstLine="422"/>
        <w:rPr>
          <w:color w:val="auto"/>
          <w:highlight w:val="none"/>
        </w:rPr>
      </w:pP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p>
    <w:p>
      <w:pP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r>
    </w:p>
    <w:p>
      <w:pPr>
        <w:pStyle w:val="2"/>
        <w:rPr>
          <w:rFonts w:hint="eastAsia" w:ascii="宋体" w:hAnsi="宋体" w:cs="宋体"/>
          <w:color w:val="auto"/>
          <w:sz w:val="32"/>
          <w:szCs w:val="32"/>
          <w:highlight w:val="none"/>
        </w:rPr>
      </w:pPr>
      <w:r>
        <w:rPr>
          <w:rFonts w:hint="eastAsia" w:ascii="宋体" w:hAnsi="宋体" w:cs="宋体"/>
          <w:color w:val="auto"/>
          <w:sz w:val="32"/>
          <w:szCs w:val="32"/>
          <w:highlight w:val="none"/>
        </w:rPr>
        <w:t>第三章 资格审查</w:t>
      </w:r>
      <w:bookmarkEnd w:id="53"/>
    </w:p>
    <w:p>
      <w:pPr>
        <w:pStyle w:val="4"/>
        <w:adjustRightInd w:val="0"/>
        <w:snapToGrid w:val="0"/>
        <w:spacing w:before="161" w:beforeLines="50" w:after="0" w:line="360" w:lineRule="auto"/>
        <w:rPr>
          <w:rFonts w:hint="eastAsia" w:ascii="宋体" w:hAnsi="宋体" w:cs="宋体"/>
          <w:color w:val="auto"/>
          <w:sz w:val="24"/>
          <w:szCs w:val="24"/>
          <w:highlight w:val="none"/>
        </w:rPr>
      </w:pPr>
      <w:bookmarkStart w:id="54" w:name="_Toc1546"/>
      <w:r>
        <w:rPr>
          <w:rFonts w:hint="eastAsia" w:ascii="宋体" w:hAnsi="宋体" w:cs="宋体"/>
          <w:color w:val="auto"/>
          <w:sz w:val="24"/>
          <w:szCs w:val="24"/>
          <w:highlight w:val="none"/>
        </w:rPr>
        <w:t>1．资格审查主体</w:t>
      </w:r>
      <w:bookmarkEnd w:id="54"/>
    </w:p>
    <w:p>
      <w:pPr>
        <w:adjustRightInd w:val="0"/>
        <w:snapToGrid w:val="0"/>
        <w:spacing w:before="161" w:beforeLines="50" w:line="360" w:lineRule="auto"/>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1.1资格审查主体：采购人、采购代理机构负责资格审查。</w:t>
      </w:r>
    </w:p>
    <w:p>
      <w:pPr>
        <w:pStyle w:val="4"/>
        <w:adjustRightInd w:val="0"/>
        <w:snapToGrid w:val="0"/>
        <w:spacing w:before="161" w:beforeLines="50" w:after="0" w:line="360" w:lineRule="auto"/>
        <w:rPr>
          <w:rFonts w:hint="eastAsia" w:ascii="宋体" w:hAnsi="宋体" w:cs="宋体"/>
          <w:color w:val="auto"/>
          <w:sz w:val="24"/>
          <w:szCs w:val="24"/>
          <w:highlight w:val="none"/>
        </w:rPr>
      </w:pPr>
      <w:bookmarkStart w:id="55" w:name="_Toc5628"/>
      <w:r>
        <w:rPr>
          <w:rFonts w:hint="eastAsia" w:ascii="宋体" w:hAnsi="宋体" w:cs="宋体"/>
          <w:color w:val="auto"/>
          <w:sz w:val="24"/>
          <w:szCs w:val="24"/>
          <w:highlight w:val="none"/>
        </w:rPr>
        <w:t>2．资格审查</w:t>
      </w:r>
      <w:bookmarkEnd w:id="55"/>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2.1资格审查依据法律法规和招标文件的规定，对投标文件中的资格证明文件、投标保证金、投标报价等进行审查，以确定投标投标人是否具备投标资格。</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2.2采购人、采购代理机构按本章附表1“资格审查表”所列审查项目及审查标准，对投标人资格进行审查。</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2.3在资格审查时，投标人存在下列情况之一的，资格审查不合格，其投标无效：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（1）不具备招标文件中规定的资格要求的，或提交的资格证明文件不符合招标文件要求的；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（2）联合体投标未提交联合体协议书，或未提交联合体各方资格证明文件的；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（3）投标文件的资格证明文件未按照招标文件要求签署、盖章的；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（4）未按照招标文件的规定提交投标保证金的。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（5）投标报价超过招标文件中规定的预算金额或者最高限价的；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（6）法律、法规和招标文件规定的其他投标无效情形的。</w:t>
      </w:r>
    </w:p>
    <w:p>
      <w:pPr>
        <w:adjustRightInd w:val="0"/>
        <w:snapToGrid w:val="0"/>
        <w:spacing w:before="161" w:beforeLines="50" w:line="360" w:lineRule="auto"/>
        <w:ind w:firstLine="420" w:firstLineChars="200"/>
        <w:jc w:val="left"/>
        <w:rPr>
          <w:rFonts w:hint="eastAsia" w:ascii="宋体" w:hAnsi="宋体" w:cs="宋体"/>
          <w:b/>
          <w:color w:val="auto"/>
          <w:sz w:val="32"/>
          <w:szCs w:val="32"/>
          <w:highlight w:val="none"/>
        </w:rPr>
      </w:pPr>
      <w:r>
        <w:rPr>
          <w:rFonts w:hint="eastAsia" w:ascii="宋体" w:hAnsi="宋体" w:cs="宋体"/>
          <w:color w:val="auto"/>
          <w:highlight w:val="none"/>
        </w:rPr>
        <w:t>2.4信用记录。开标结束后</w:t>
      </w:r>
      <w:r>
        <w:rPr>
          <w:rFonts w:hint="eastAsia" w:ascii="宋体" w:hAnsi="宋体" w:cs="宋体"/>
          <w:color w:val="auto"/>
          <w:szCs w:val="21"/>
          <w:highlight w:val="none"/>
        </w:rPr>
        <w:t>资格审查时，采购人、采购代理机构将对投标人信用记录进行甄别。</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（1）信用信息查询的查询渠道：信用中国网（www.creditchina.gov.cn）、中国政府采购网（www.ccgp.gov.cn）；</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不良信用记录是指：投标人在“信用中国”网站被列入失信被执行人和重大税收违法案件当事人名单，或在“中国政府采购网”网站被列入政府采购严重违法失信行为记录名单。投标人有上述不良信用记录的，其</w:t>
      </w:r>
      <w:r>
        <w:rPr>
          <w:rFonts w:hint="eastAsia" w:ascii="宋体" w:hAnsi="宋体" w:cs="宋体"/>
          <w:b/>
          <w:bCs/>
          <w:color w:val="auto"/>
          <w:szCs w:val="21"/>
          <w:highlight w:val="none"/>
        </w:rPr>
        <w:t>投标无效</w:t>
      </w:r>
      <w:r>
        <w:rPr>
          <w:rFonts w:hint="eastAsia" w:ascii="宋体" w:hAnsi="宋体" w:cs="宋体"/>
          <w:color w:val="auto"/>
          <w:szCs w:val="21"/>
          <w:highlight w:val="none"/>
        </w:rPr>
        <w:t>，其中，列入政府采购严重违法失信行为记录名单的，按处罚结果执行。</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（3）联合体形式投标的，联合体成员存在不良信用记录的，视同联合体存在不良信用记录。</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信用信息查询记录和证据留存具体方式：采购人、采购代理机构经办人将查询网页截图、打印、签字，作为查询记录和证据，与其他采购文件一并保存。投标人不良信用记录以采购人、采购代理机构查询结果为准。</w:t>
      </w:r>
    </w:p>
    <w:p>
      <w:pPr>
        <w:pStyle w:val="4"/>
        <w:adjustRightInd w:val="0"/>
        <w:snapToGrid w:val="0"/>
        <w:spacing w:before="161" w:beforeLines="50" w:after="0" w:line="360" w:lineRule="auto"/>
        <w:rPr>
          <w:rFonts w:hint="eastAsia" w:ascii="宋体" w:hAnsi="宋体" w:cs="宋体"/>
          <w:color w:val="auto"/>
          <w:sz w:val="24"/>
          <w:szCs w:val="24"/>
          <w:highlight w:val="none"/>
        </w:rPr>
      </w:pPr>
      <w:bookmarkStart w:id="56" w:name="_Toc13527"/>
      <w:r>
        <w:rPr>
          <w:rFonts w:hint="eastAsia" w:ascii="宋体" w:hAnsi="宋体" w:cs="宋体"/>
          <w:color w:val="auto"/>
          <w:sz w:val="24"/>
          <w:szCs w:val="24"/>
          <w:highlight w:val="none"/>
        </w:rPr>
        <w:t>3．资格审查结果</w:t>
      </w:r>
      <w:bookmarkEnd w:id="56"/>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3.1未通过资格审查的投标人，采购人、采购代理机构应当告知其未通过的原因。</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3.2资格审查结束后，采购人、采购代理机构应将资格审查结果告知评标委员会。</w:t>
      </w:r>
    </w:p>
    <w:p>
      <w:pPr>
        <w:rPr>
          <w:rFonts w:hint="eastAsia" w:ascii="宋体" w:hAnsi="宋体" w:cs="宋体"/>
          <w:color w:val="auto"/>
          <w:szCs w:val="21"/>
          <w:highlight w:val="none"/>
        </w:rPr>
      </w:pPr>
      <w:bookmarkStart w:id="57" w:name="_Toc31461"/>
      <w:r>
        <w:rPr>
          <w:rFonts w:hint="eastAsia" w:ascii="宋体" w:hAnsi="宋体" w:cs="宋体"/>
          <w:color w:val="auto"/>
          <w:szCs w:val="21"/>
          <w:highlight w:val="none"/>
        </w:rPr>
        <w:br w:type="page"/>
      </w:r>
      <w:bookmarkEnd w:id="1"/>
    </w:p>
    <w:p>
      <w:pPr>
        <w:pStyle w:val="5"/>
        <w:adjustRightInd w:val="0"/>
        <w:snapToGrid w:val="0"/>
        <w:spacing w:before="0"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附表1资格审查表</w:t>
      </w:r>
      <w:bookmarkEnd w:id="57"/>
    </w:p>
    <w:p>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资格审查表</w:t>
      </w:r>
    </w:p>
    <w:p>
      <w:pPr>
        <w:adjustRightInd w:val="0"/>
        <w:snapToGrid w:val="0"/>
        <w:spacing w:line="360" w:lineRule="auto"/>
        <w:rPr>
          <w:rFonts w:hint="eastAsia" w:ascii="宋体" w:hAnsi="宋体" w:cs="宋体"/>
          <w:color w:val="auto"/>
          <w:sz w:val="28"/>
          <w:szCs w:val="28"/>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采购代理编号：</w:t>
      </w:r>
      <w:r>
        <w:rPr>
          <w:rFonts w:hint="eastAsia" w:ascii="宋体" w:hAnsi="宋体" w:cs="宋体"/>
          <w:color w:val="auto"/>
          <w:szCs w:val="21"/>
          <w:highlight w:val="none"/>
          <w:u w:val="single"/>
        </w:rPr>
        <w:t xml:space="preserve">       </w:t>
      </w:r>
    </w:p>
    <w:tbl>
      <w:tblPr>
        <w:tblStyle w:val="43"/>
        <w:tblW w:w="90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3247"/>
        <w:gridCol w:w="51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bookmarkStart w:id="58" w:name="OLE_LINK192" w:colFirst="1" w:colLast="2"/>
            <w:r>
              <w:rPr>
                <w:rFonts w:hint="eastAsia" w:ascii="宋体" w:hAnsi="宋体" w:cs="宋体"/>
                <w:b/>
                <w:color w:val="auto"/>
                <w:kern w:val="0"/>
                <w:szCs w:val="21"/>
                <w:highlight w:val="none"/>
              </w:rPr>
              <w:t>序号</w:t>
            </w:r>
          </w:p>
        </w:tc>
        <w:tc>
          <w:tcPr>
            <w:tcW w:w="3247"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5130"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审查标准</w:t>
            </w:r>
          </w:p>
        </w:tc>
      </w:tr>
      <w:bookmarkEnd w:id="58"/>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bookmarkStart w:id="59" w:name="OLE_LINK190" w:colFirst="1" w:colLast="2"/>
            <w:bookmarkStart w:id="60" w:name="OLE_LINK191" w:colFirst="0" w:colLast="2"/>
            <w:r>
              <w:rPr>
                <w:rFonts w:hint="eastAsia" w:ascii="宋体" w:hAnsi="宋体" w:cs="宋体"/>
                <w:color w:val="auto"/>
                <w:kern w:val="0"/>
                <w:szCs w:val="21"/>
                <w:highlight w:val="none"/>
              </w:rPr>
              <w:t>1</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1" w:name="OLE_LINK103"/>
            <w:r>
              <w:rPr>
                <w:rFonts w:hint="eastAsia" w:ascii="宋体" w:hAnsi="宋体" w:cs="宋体"/>
                <w:color w:val="auto"/>
                <w:szCs w:val="21"/>
                <w:highlight w:val="none"/>
              </w:rPr>
              <w:t>资格证明文件的签署、盖章</w:t>
            </w:r>
            <w:bookmarkEnd w:id="61"/>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62" w:name="OLE_LINK104"/>
            <w:r>
              <w:rPr>
                <w:rFonts w:hint="eastAsia" w:ascii="宋体" w:hAnsi="宋体" w:cs="宋体"/>
                <w:color w:val="auto"/>
                <w:szCs w:val="21"/>
                <w:highlight w:val="none"/>
              </w:rPr>
              <w:t>未按招标文件格式及要求签署或盖章的，审查结果为不合格。</w:t>
            </w:r>
            <w:bookmarkEnd w:id="6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3" w:name="OLE_LINK105"/>
            <w:r>
              <w:rPr>
                <w:rFonts w:hint="eastAsia" w:ascii="宋体" w:hAnsi="宋体" w:cs="宋体"/>
                <w:color w:val="auto"/>
                <w:szCs w:val="21"/>
                <w:highlight w:val="none"/>
              </w:rPr>
              <w:t>投标保证金</w:t>
            </w:r>
            <w:bookmarkEnd w:id="63"/>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64" w:name="OLE_LINK106"/>
            <w:r>
              <w:rPr>
                <w:rFonts w:hint="eastAsia" w:ascii="宋体" w:hAnsi="宋体" w:cs="宋体"/>
                <w:color w:val="auto"/>
                <w:szCs w:val="21"/>
                <w:highlight w:val="none"/>
              </w:rPr>
              <w:t>未按招标文件要求提交投标保证金的，审查结果为不合格。</w:t>
            </w:r>
            <w:bookmarkEnd w:id="6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5" w:name="OLE_LINK107"/>
            <w:r>
              <w:rPr>
                <w:rFonts w:hint="eastAsia" w:ascii="宋体" w:hAnsi="宋体" w:cs="宋体"/>
                <w:color w:val="auto"/>
                <w:szCs w:val="21"/>
                <w:highlight w:val="none"/>
              </w:rPr>
              <w:t>投标报价</w:t>
            </w:r>
            <w:bookmarkEnd w:id="65"/>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66" w:name="OLE_LINK108"/>
            <w:r>
              <w:rPr>
                <w:rFonts w:hint="eastAsia" w:ascii="宋体" w:hAnsi="宋体" w:cs="宋体"/>
                <w:color w:val="auto"/>
                <w:szCs w:val="21"/>
                <w:highlight w:val="none"/>
              </w:rPr>
              <w:t>投标人投标报价超过采购预算或最高限价的（如果设定了最高限价），审查结果为不合格。</w:t>
            </w:r>
            <w:bookmarkEnd w:id="66"/>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7" w:name="OLE_LINK109"/>
            <w:r>
              <w:rPr>
                <w:rFonts w:hint="eastAsia" w:ascii="宋体" w:hAnsi="宋体" w:cs="宋体"/>
                <w:color w:val="auto"/>
                <w:szCs w:val="21"/>
                <w:highlight w:val="none"/>
              </w:rPr>
              <w:t>投标代表参与投标的授权书或身份证明</w:t>
            </w:r>
            <w:bookmarkEnd w:id="67"/>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68" w:name="OLE_LINK110"/>
            <w:r>
              <w:rPr>
                <w:rFonts w:hint="eastAsia" w:ascii="宋体" w:hAnsi="宋体" w:cs="宋体"/>
                <w:color w:val="auto"/>
                <w:szCs w:val="21"/>
                <w:highlight w:val="none"/>
              </w:rPr>
              <w:t>法定代表人（单位负责人）身份证明[代理人投标须提供授权委托书并附法定代表人（单位负责人）身份证明]，未按要求提供的，审查结果为不合格。</w:t>
            </w:r>
            <w:bookmarkEnd w:id="68"/>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9" w:name="OLE_LINK111"/>
            <w:r>
              <w:rPr>
                <w:rFonts w:hint="eastAsia" w:ascii="宋体" w:hAnsi="宋体" w:cs="宋体"/>
                <w:color w:val="auto"/>
                <w:szCs w:val="21"/>
                <w:highlight w:val="none"/>
              </w:rPr>
              <w:t>法人或者其他组织的营业执照等主体资格证明文件，自然人的身份证明</w:t>
            </w:r>
            <w:bookmarkEnd w:id="69"/>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70" w:name="OLE_LINK112"/>
            <w:r>
              <w:rPr>
                <w:rFonts w:hint="eastAsia" w:ascii="宋体" w:hAnsi="宋体" w:cs="宋体"/>
                <w:color w:val="auto"/>
                <w:szCs w:val="21"/>
                <w:highlight w:val="none"/>
              </w:rPr>
              <w:t>法人或者其他组织提供加盖单位公章的营业执照等主体资格证明文件复印件，自然人提供本人身份证，否则，审查结果为不合格。</w:t>
            </w:r>
            <w:bookmarkEnd w:id="7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71" w:name="OLE_LINK113"/>
            <w:r>
              <w:rPr>
                <w:rFonts w:hint="eastAsia" w:ascii="宋体" w:hAnsi="宋体" w:cs="宋体"/>
                <w:color w:val="auto"/>
                <w:szCs w:val="21"/>
                <w:highlight w:val="none"/>
              </w:rPr>
              <w:t>湖南省政府采购供应商资格承诺函</w:t>
            </w:r>
            <w:bookmarkEnd w:id="71"/>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72" w:name="OLE_LINK114"/>
            <w:r>
              <w:rPr>
                <w:rFonts w:hint="eastAsia" w:ascii="宋体" w:hAnsi="宋体" w:cs="宋体"/>
                <w:color w:val="auto"/>
                <w:szCs w:val="21"/>
                <w:highlight w:val="none"/>
              </w:rPr>
              <w:t>未按招标文件要求及格式提供湖南省政府采购供应商资格承诺函的，审查结果为不合格。</w:t>
            </w:r>
            <w:bookmarkEnd w:id="7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73" w:name="OLE_LINK115"/>
            <w:r>
              <w:rPr>
                <w:rFonts w:hint="eastAsia" w:ascii="宋体" w:hAnsi="宋体" w:cs="宋体"/>
                <w:color w:val="auto"/>
                <w:szCs w:val="21"/>
                <w:highlight w:val="none"/>
              </w:rPr>
              <w:t>投标人信用查询记录</w:t>
            </w:r>
            <w:bookmarkEnd w:id="73"/>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74" w:name="OLE_LINK116"/>
            <w:r>
              <w:rPr>
                <w:rFonts w:hint="eastAsia" w:ascii="宋体" w:hAnsi="宋体" w:cs="宋体"/>
                <w:color w:val="auto"/>
                <w:szCs w:val="21"/>
                <w:highlight w:val="none"/>
              </w:rPr>
              <w:t>投标人在“信用中国”网站被列入失信被执行人和重大税收违法案件当事人名单，或在“中国政府采购网”网站被列入政府采购严重违法失信行为记录名单的，审查结果为不合格。</w:t>
            </w:r>
            <w:bookmarkEnd w:id="7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75" w:name="OLE_LINK117"/>
            <w:r>
              <w:rPr>
                <w:rFonts w:hint="eastAsia" w:ascii="宋体" w:hAnsi="宋体" w:cs="宋体"/>
                <w:color w:val="auto"/>
                <w:szCs w:val="21"/>
                <w:highlight w:val="none"/>
              </w:rPr>
              <w:t>投标人特定资格证明材料</w:t>
            </w:r>
            <w:bookmarkEnd w:id="75"/>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76" w:name="OLE_LINK118"/>
            <w:r>
              <w:rPr>
                <w:rFonts w:hint="eastAsia" w:ascii="宋体" w:hAnsi="宋体" w:cs="宋体"/>
                <w:color w:val="auto"/>
                <w:szCs w:val="21"/>
                <w:highlight w:val="none"/>
              </w:rPr>
              <w:t>未按招标文件要求提供投标人特定资格证明材料的，审查结果为不合格。</w:t>
            </w:r>
            <w:bookmarkEnd w:id="76"/>
          </w:p>
        </w:tc>
      </w:tr>
      <w:bookmarkEnd w:id="59"/>
      <w:bookmarkEnd w:id="60"/>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结论</w:t>
            </w:r>
          </w:p>
        </w:tc>
        <w:tc>
          <w:tcPr>
            <w:tcW w:w="8377" w:type="dxa"/>
            <w:gridSpan w:val="2"/>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p>
        </w:tc>
      </w:tr>
    </w:tbl>
    <w:p>
      <w:pPr>
        <w:rPr>
          <w:rFonts w:hint="eastAsia" w:ascii="宋体" w:hAnsi="宋体" w:cs="宋体"/>
          <w:color w:val="auto"/>
          <w:highlight w:val="none"/>
        </w:rPr>
      </w:pPr>
    </w:p>
    <w:p>
      <w:pPr>
        <w:widowControl/>
        <w:jc w:val="left"/>
        <w:rPr>
          <w:rFonts w:hint="eastAsia" w:ascii="宋体" w:hAnsi="宋体" w:cs="宋体"/>
          <w:bCs/>
          <w:color w:val="auto"/>
          <w:szCs w:val="21"/>
          <w:highlight w:val="none"/>
        </w:rPr>
      </w:pPr>
      <w:r>
        <w:rPr>
          <w:rFonts w:hint="eastAsia" w:ascii="宋体" w:hAnsi="宋体" w:cs="宋体"/>
          <w:b/>
          <w:color w:val="auto"/>
          <w:szCs w:val="21"/>
          <w:highlight w:val="none"/>
        </w:rPr>
        <w:br w:type="page"/>
      </w:r>
    </w:p>
    <w:p>
      <w:pPr>
        <w:pStyle w:val="5"/>
        <w:adjustRightInd w:val="0"/>
        <w:snapToGrid w:val="0"/>
        <w:spacing w:before="0" w:after="0" w:line="360" w:lineRule="auto"/>
        <w:rPr>
          <w:rFonts w:hint="eastAsia" w:ascii="宋体" w:hAnsi="宋体" w:eastAsia="宋体" w:cs="宋体"/>
          <w:b w:val="0"/>
          <w:color w:val="auto"/>
          <w:sz w:val="21"/>
          <w:szCs w:val="21"/>
          <w:highlight w:val="none"/>
        </w:rPr>
      </w:pPr>
      <w:bookmarkStart w:id="77" w:name="_Toc11304"/>
      <w:r>
        <w:rPr>
          <w:rFonts w:hint="eastAsia" w:ascii="宋体" w:hAnsi="宋体" w:eastAsia="宋体" w:cs="宋体"/>
          <w:b w:val="0"/>
          <w:color w:val="auto"/>
          <w:sz w:val="21"/>
          <w:szCs w:val="21"/>
          <w:highlight w:val="none"/>
        </w:rPr>
        <w:t>附表2 资格审查结果一览表</w:t>
      </w:r>
      <w:bookmarkEnd w:id="77"/>
    </w:p>
    <w:p>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资格审查结果一览表</w:t>
      </w: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采购代理编号：</w:t>
      </w:r>
      <w:r>
        <w:rPr>
          <w:rFonts w:hint="eastAsia" w:ascii="宋体" w:hAnsi="宋体" w:cs="宋体"/>
          <w:color w:val="auto"/>
          <w:szCs w:val="21"/>
          <w:highlight w:val="none"/>
          <w:u w:val="single"/>
        </w:rPr>
        <w:t xml:space="preserve">         </w:t>
      </w:r>
    </w:p>
    <w:tbl>
      <w:tblPr>
        <w:tblStyle w:val="43"/>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963"/>
        <w:gridCol w:w="2439"/>
        <w:gridCol w:w="29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2963"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投标人名称</w:t>
            </w:r>
          </w:p>
        </w:tc>
        <w:tc>
          <w:tcPr>
            <w:tcW w:w="2439"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资格审查结果</w:t>
            </w:r>
          </w:p>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（合格/不合格）</w:t>
            </w:r>
          </w:p>
        </w:tc>
        <w:tc>
          <w:tcPr>
            <w:tcW w:w="2961"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资格审查不合格原因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bl>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采购代理机构（签字）：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widowControl/>
        <w:jc w:val="left"/>
        <w:rPr>
          <w:rFonts w:hint="eastAsia" w:ascii="宋体" w:hAnsi="宋体" w:cs="宋体"/>
          <w:color w:val="auto"/>
          <w:sz w:val="24"/>
          <w:highlight w:val="none"/>
        </w:rPr>
      </w:pPr>
      <w:r>
        <w:rPr>
          <w:rFonts w:hint="eastAsia" w:ascii="宋体" w:hAnsi="宋体" w:cs="宋体"/>
          <w:color w:val="auto"/>
          <w:sz w:val="24"/>
          <w:highlight w:val="none"/>
        </w:rPr>
        <w:br w:type="page"/>
      </w:r>
    </w:p>
    <w:p>
      <w:pPr>
        <w:pStyle w:val="5"/>
        <w:adjustRightInd w:val="0"/>
        <w:snapToGrid w:val="0"/>
        <w:spacing w:before="0" w:after="0" w:line="360" w:lineRule="auto"/>
        <w:rPr>
          <w:rFonts w:hint="eastAsia" w:ascii="宋体" w:hAnsi="宋体" w:eastAsia="宋体" w:cs="宋体"/>
          <w:b w:val="0"/>
          <w:color w:val="auto"/>
          <w:sz w:val="21"/>
          <w:szCs w:val="21"/>
          <w:highlight w:val="none"/>
        </w:rPr>
      </w:pPr>
      <w:bookmarkStart w:id="78" w:name="_Toc19802"/>
      <w:r>
        <w:rPr>
          <w:rFonts w:hint="eastAsia" w:ascii="宋体" w:hAnsi="宋体" w:eastAsia="宋体" w:cs="宋体"/>
          <w:b w:val="0"/>
          <w:color w:val="auto"/>
          <w:sz w:val="21"/>
          <w:szCs w:val="21"/>
          <w:highlight w:val="none"/>
        </w:rPr>
        <w:t>附表3 资格审查合格投标人名单</w:t>
      </w:r>
      <w:bookmarkEnd w:id="78"/>
    </w:p>
    <w:p>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资格审查合格投标人名单</w:t>
      </w:r>
    </w:p>
    <w:p>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采购代理编号：</w:t>
      </w:r>
      <w:r>
        <w:rPr>
          <w:rFonts w:hint="eastAsia" w:ascii="宋体" w:hAnsi="宋体" w:cs="宋体"/>
          <w:color w:val="auto"/>
          <w:szCs w:val="21"/>
          <w:highlight w:val="none"/>
          <w:u w:val="single"/>
        </w:rPr>
        <w:t xml:space="preserve">           </w:t>
      </w:r>
    </w:p>
    <w:tbl>
      <w:tblPr>
        <w:tblStyle w:val="43"/>
        <w:tblW w:w="878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7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7796"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合格投标人名称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Cs w:val="21"/>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bl>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采购代理机构（签字）：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rPr>
          <w:rFonts w:hint="eastAsia" w:ascii="宋体" w:hAnsi="宋体" w:cs="宋体"/>
          <w:b/>
          <w:color w:val="auto"/>
          <w:sz w:val="32"/>
          <w:szCs w:val="32"/>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r>
        <w:rPr>
          <w:rFonts w:hint="eastAsia" w:ascii="宋体" w:hAnsi="宋体" w:cs="宋体"/>
          <w:color w:val="auto"/>
          <w:highlight w:val="none"/>
        </w:rPr>
        <w:br w:type="page"/>
      </w:r>
    </w:p>
    <w:p>
      <w:pPr>
        <w:pStyle w:val="22"/>
        <w:adjustRightInd w:val="0"/>
        <w:snapToGrid w:val="0"/>
        <w:spacing w:line="360" w:lineRule="auto"/>
        <w:jc w:val="center"/>
        <w:outlineLvl w:val="0"/>
        <w:rPr>
          <w:rFonts w:hint="eastAsia" w:hAnsi="宋体" w:cs="宋体"/>
          <w:b/>
          <w:color w:val="auto"/>
          <w:sz w:val="28"/>
          <w:szCs w:val="28"/>
          <w:highlight w:val="none"/>
        </w:rPr>
      </w:pPr>
      <w:bookmarkStart w:id="79" w:name="_Toc20416"/>
      <w:r>
        <w:rPr>
          <w:rFonts w:hint="eastAsia" w:hAnsi="宋体" w:cs="宋体"/>
          <w:b/>
          <w:color w:val="auto"/>
          <w:sz w:val="32"/>
          <w:szCs w:val="32"/>
          <w:highlight w:val="none"/>
        </w:rPr>
        <w:t>第四章 评标方法及标准</w:t>
      </w:r>
      <w:bookmarkEnd w:id="79"/>
    </w:p>
    <w:p>
      <w:pPr>
        <w:pStyle w:val="3"/>
        <w:adjustRightInd w:val="0"/>
        <w:snapToGrid w:val="0"/>
        <w:jc w:val="center"/>
        <w:rPr>
          <w:rFonts w:hint="eastAsia" w:ascii="宋体" w:hAnsi="宋体" w:cs="宋体"/>
          <w:color w:val="auto"/>
          <w:sz w:val="28"/>
          <w:szCs w:val="28"/>
          <w:highlight w:val="none"/>
        </w:rPr>
      </w:pPr>
      <w:bookmarkStart w:id="80" w:name="_Toc18381"/>
      <w:r>
        <w:rPr>
          <w:rFonts w:hint="eastAsia" w:ascii="宋体" w:hAnsi="宋体" w:cs="宋体"/>
          <w:color w:val="auto"/>
          <w:sz w:val="28"/>
          <w:szCs w:val="28"/>
          <w:highlight w:val="none"/>
        </w:rPr>
        <w:t>第一节 评标方法及标准前附表</w:t>
      </w:r>
      <w:bookmarkEnd w:id="80"/>
    </w:p>
    <w:p>
      <w:pPr>
        <w:adjustRightInd w:val="0"/>
        <w:snapToGrid w:val="0"/>
        <w:spacing w:line="360" w:lineRule="auto"/>
        <w:ind w:right="31" w:rightChars="15" w:firstLine="420" w:firstLineChars="200"/>
        <w:rPr>
          <w:rFonts w:hint="eastAsia" w:ascii="宋体" w:hAnsi="宋体" w:cs="宋体"/>
          <w:iCs/>
          <w:color w:val="auto"/>
          <w:szCs w:val="21"/>
          <w:highlight w:val="none"/>
        </w:rPr>
      </w:pPr>
      <w:r>
        <w:rPr>
          <w:rFonts w:hint="eastAsia" w:ascii="宋体" w:hAnsi="宋体" w:cs="宋体"/>
          <w:iCs/>
          <w:color w:val="auto"/>
          <w:szCs w:val="21"/>
          <w:highlight w:val="none"/>
        </w:rPr>
        <w:t>本项目启用的条款在“编列内容规定”栏内以“■”标注。</w:t>
      </w:r>
    </w:p>
    <w:tbl>
      <w:tblPr>
        <w:tblStyle w:val="42"/>
        <w:tblpPr w:leftFromText="180" w:rightFromText="180" w:vertAnchor="text" w:horzAnchor="page" w:tblpX="1560" w:tblpY="407"/>
        <w:tblOverlap w:val="never"/>
        <w:tblW w:w="89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268"/>
        <w:gridCol w:w="50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tcPr>
          <w:p>
            <w:pPr>
              <w:adjustRightInd w:val="0"/>
              <w:snapToGrid w:val="0"/>
              <w:spacing w:before="161" w:beforeLines="50" w:line="360" w:lineRule="auto"/>
              <w:jc w:val="center"/>
              <w:rPr>
                <w:rFonts w:hint="eastAsia" w:ascii="宋体" w:hAnsi="宋体" w:cs="宋体"/>
                <w:b/>
                <w:color w:val="auto"/>
                <w:highlight w:val="none"/>
              </w:rPr>
            </w:pPr>
            <w:r>
              <w:rPr>
                <w:rFonts w:hint="eastAsia" w:ascii="宋体" w:hAnsi="宋体" w:cs="宋体"/>
                <w:b/>
                <w:color w:val="auto"/>
                <w:highlight w:val="none"/>
              </w:rPr>
              <w:t>条款号</w:t>
            </w:r>
          </w:p>
        </w:tc>
        <w:tc>
          <w:tcPr>
            <w:tcW w:w="2268" w:type="dxa"/>
            <w:tcBorders>
              <w:tl2br w:val="nil"/>
              <w:tr2bl w:val="nil"/>
            </w:tcBorders>
          </w:tcPr>
          <w:p>
            <w:pPr>
              <w:adjustRightInd w:val="0"/>
              <w:snapToGrid w:val="0"/>
              <w:spacing w:before="161" w:beforeLines="50" w:line="360" w:lineRule="auto"/>
              <w:jc w:val="center"/>
              <w:rPr>
                <w:rFonts w:hint="eastAsia" w:ascii="宋体" w:hAnsi="宋体" w:cs="宋体"/>
                <w:b/>
                <w:color w:val="auto"/>
                <w:highlight w:val="none"/>
              </w:rPr>
            </w:pPr>
            <w:r>
              <w:rPr>
                <w:rFonts w:hint="eastAsia" w:ascii="宋体" w:hAnsi="宋体" w:cs="宋体"/>
                <w:b/>
                <w:color w:val="auto"/>
                <w:highlight w:val="none"/>
              </w:rPr>
              <w:t>条款名称</w:t>
            </w:r>
          </w:p>
        </w:tc>
        <w:tc>
          <w:tcPr>
            <w:tcW w:w="5007" w:type="dxa"/>
            <w:tcBorders>
              <w:tl2br w:val="nil"/>
              <w:tr2bl w:val="nil"/>
            </w:tcBorders>
          </w:tcPr>
          <w:p>
            <w:pPr>
              <w:adjustRightInd w:val="0"/>
              <w:snapToGrid w:val="0"/>
              <w:spacing w:before="161" w:beforeLines="50" w:line="360" w:lineRule="auto"/>
              <w:jc w:val="center"/>
              <w:rPr>
                <w:rFonts w:hint="eastAsia" w:ascii="宋体" w:hAnsi="宋体" w:cs="宋体"/>
                <w:b/>
                <w:color w:val="auto"/>
                <w:highlight w:val="none"/>
              </w:rPr>
            </w:pPr>
            <w:r>
              <w:rPr>
                <w:rFonts w:hint="eastAsia" w:ascii="宋体" w:hAnsi="宋体" w:cs="宋体"/>
                <w:b/>
                <w:color w:val="auto"/>
                <w:highlight w:val="none"/>
              </w:rPr>
              <w:t>编列内容规定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第1.3</w:t>
            </w:r>
            <w:r>
              <w:rPr>
                <w:rFonts w:hint="eastAsia" w:ascii="宋体" w:hAnsi="宋体" w:cs="宋体"/>
                <w:color w:val="auto"/>
                <w:kern w:val="0"/>
                <w:szCs w:val="21"/>
                <w:highlight w:val="none"/>
                <w:lang w:val="zh-CN"/>
              </w:rPr>
              <w:t>款</w:t>
            </w:r>
          </w:p>
        </w:tc>
        <w:tc>
          <w:tcPr>
            <w:tcW w:w="2268"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5007"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综合评分法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第3.4</w:t>
            </w:r>
            <w:r>
              <w:rPr>
                <w:rFonts w:hint="eastAsia" w:ascii="宋体" w:hAnsi="宋体" w:cs="宋体"/>
                <w:color w:val="auto"/>
                <w:kern w:val="0"/>
                <w:szCs w:val="21"/>
                <w:highlight w:val="none"/>
                <w:lang w:val="zh-CN"/>
              </w:rPr>
              <w:t>款</w:t>
            </w:r>
          </w:p>
        </w:tc>
        <w:tc>
          <w:tcPr>
            <w:tcW w:w="2268" w:type="dxa"/>
            <w:tcBorders>
              <w:tl2br w:val="nil"/>
              <w:tr2bl w:val="nil"/>
            </w:tcBorders>
            <w:vAlign w:val="center"/>
          </w:tcPr>
          <w:p>
            <w:pPr>
              <w:adjustRightInd w:val="0"/>
              <w:snapToGrid w:val="0"/>
              <w:spacing w:before="161" w:beforeLines="50"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非单一产品采购项目的核心产品</w:t>
            </w:r>
          </w:p>
        </w:tc>
        <w:tc>
          <w:tcPr>
            <w:tcW w:w="5007" w:type="dxa"/>
            <w:tcBorders>
              <w:tl2br w:val="nil"/>
              <w:tr2bl w:val="nil"/>
            </w:tcBorders>
            <w:vAlign w:val="center"/>
          </w:tcPr>
          <w:p>
            <w:pPr>
              <w:pStyle w:val="124"/>
              <w:spacing w:before="78" w:line="360" w:lineRule="auto"/>
              <w:ind w:right="87"/>
              <w:rPr>
                <w:rFonts w:hint="eastAsia"/>
                <w:color w:val="auto"/>
                <w:szCs w:val="21"/>
                <w:highlight w:val="none"/>
                <w:lang w:val="en-US" w:bidi="ar-SA"/>
              </w:rPr>
            </w:pPr>
            <w:r>
              <w:rPr>
                <w:rFonts w:hint="eastAsia"/>
                <w:color w:val="auto"/>
                <w:szCs w:val="21"/>
                <w:highlight w:val="none"/>
                <w:lang w:val="en-US" w:bidi="ar-SA"/>
              </w:rPr>
              <w:t>本项目确定的核心产品为：</w:t>
            </w:r>
            <w:r>
              <w:rPr>
                <w:rFonts w:hint="eastAsia" w:ascii="宋体" w:hAnsi="宋体" w:eastAsia="宋体" w:cs="宋体"/>
                <w:b/>
                <w:bCs w:val="0"/>
                <w:color w:val="auto"/>
                <w:sz w:val="21"/>
                <w:szCs w:val="21"/>
                <w:highlight w:val="none"/>
                <w:u w:val="single"/>
              </w:rPr>
              <w:t>四轴加工中心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第4.2</w:t>
            </w:r>
            <w:r>
              <w:rPr>
                <w:rFonts w:hint="eastAsia" w:ascii="宋体" w:hAnsi="宋体" w:cs="宋体"/>
                <w:color w:val="auto"/>
                <w:kern w:val="0"/>
                <w:szCs w:val="21"/>
                <w:highlight w:val="none"/>
                <w:lang w:val="zh-CN"/>
              </w:rPr>
              <w:t>款</w:t>
            </w:r>
          </w:p>
        </w:tc>
        <w:tc>
          <w:tcPr>
            <w:tcW w:w="2268"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投标文件报价出现前后不一致的修正</w:t>
            </w:r>
          </w:p>
        </w:tc>
        <w:tc>
          <w:tcPr>
            <w:tcW w:w="5007" w:type="dxa"/>
            <w:tcBorders>
              <w:tl2br w:val="nil"/>
              <w:tr2bl w:val="nil"/>
            </w:tcBorders>
            <w:vAlign w:val="center"/>
          </w:tcPr>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按本章第二节第4.2款规定修正。</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第5.2（1）</w:t>
            </w:r>
            <w:r>
              <w:rPr>
                <w:rFonts w:hint="eastAsia" w:ascii="宋体" w:hAnsi="宋体" w:cs="宋体"/>
                <w:color w:val="auto"/>
                <w:kern w:val="0"/>
                <w:szCs w:val="21"/>
                <w:highlight w:val="none"/>
                <w:lang w:val="zh-CN"/>
              </w:rPr>
              <w:t>项</w:t>
            </w:r>
          </w:p>
        </w:tc>
        <w:tc>
          <w:tcPr>
            <w:tcW w:w="2268" w:type="dxa"/>
            <w:tcBorders>
              <w:tl2br w:val="nil"/>
              <w:tr2bl w:val="nil"/>
            </w:tcBorders>
            <w:vAlign w:val="center"/>
          </w:tcPr>
          <w:p>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相同品牌产品投标报价相同的</w:t>
            </w:r>
          </w:p>
        </w:tc>
        <w:tc>
          <w:tcPr>
            <w:tcW w:w="5007" w:type="dxa"/>
            <w:tcBorders>
              <w:tl2br w:val="nil"/>
              <w:tr2bl w:val="nil"/>
            </w:tcBorders>
            <w:vAlign w:val="center"/>
          </w:tcPr>
          <w:p>
            <w:pPr>
              <w:pStyle w:val="124"/>
              <w:spacing w:line="360" w:lineRule="auto"/>
              <w:rPr>
                <w:rFonts w:hint="eastAsia"/>
                <w:color w:val="auto"/>
                <w:szCs w:val="21"/>
                <w:highlight w:val="none"/>
                <w:lang w:val="en-US"/>
              </w:rPr>
            </w:pPr>
            <w:r>
              <w:rPr>
                <w:rFonts w:hint="eastAsia"/>
                <w:color w:val="auto"/>
                <w:szCs w:val="21"/>
                <w:highlight w:val="none"/>
                <w:lang w:val="en-US"/>
              </w:rPr>
              <w:t>/（最低评标价法）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第5.2（2）</w:t>
            </w:r>
            <w:r>
              <w:rPr>
                <w:rFonts w:hint="eastAsia" w:ascii="宋体" w:hAnsi="宋体" w:cs="宋体"/>
                <w:color w:val="auto"/>
                <w:kern w:val="0"/>
                <w:szCs w:val="21"/>
                <w:highlight w:val="none"/>
                <w:lang w:val="zh-CN"/>
              </w:rPr>
              <w:t>项</w:t>
            </w:r>
          </w:p>
        </w:tc>
        <w:tc>
          <w:tcPr>
            <w:tcW w:w="2268" w:type="dxa"/>
            <w:tcBorders>
              <w:tl2br w:val="nil"/>
              <w:tr2bl w:val="nil"/>
            </w:tcBorders>
            <w:vAlign w:val="center"/>
          </w:tcPr>
          <w:p>
            <w:pPr>
              <w:adjustRightInd w:val="0"/>
              <w:snapToGrid w:val="0"/>
              <w:spacing w:before="161" w:beforeLines="50"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相同品牌产品评审得分相同的规定</w:t>
            </w:r>
          </w:p>
        </w:tc>
        <w:tc>
          <w:tcPr>
            <w:tcW w:w="5007" w:type="dxa"/>
            <w:tcBorders>
              <w:tl2br w:val="nil"/>
              <w:tr2bl w:val="nil"/>
            </w:tcBorders>
            <w:vAlign w:val="center"/>
          </w:tcPr>
          <w:p>
            <w:pPr>
              <w:pStyle w:val="124"/>
              <w:spacing w:before="78" w:line="360" w:lineRule="auto"/>
              <w:ind w:right="87"/>
              <w:rPr>
                <w:rFonts w:hint="eastAsia"/>
                <w:color w:val="auto"/>
                <w:szCs w:val="21"/>
                <w:highlight w:val="none"/>
              </w:rPr>
            </w:pPr>
            <w:r>
              <w:rPr>
                <w:rFonts w:hint="eastAsia"/>
                <w:color w:val="auto"/>
                <w:szCs w:val="21"/>
                <w:highlight w:val="none"/>
                <w:lang w:val="en-US" w:bidi="ar-SA"/>
              </w:rPr>
              <w:t>评审得分相同的，按照技术和商务两项得分最高的确定一个投标人获得中标推荐资格，招标文件未规定的采取随机抽取方式确定，其他同品牌投标人不作为中标候选人。（综合评分法）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第5.4（1）</w:t>
            </w:r>
            <w:r>
              <w:rPr>
                <w:rFonts w:hint="eastAsia" w:ascii="宋体" w:hAnsi="宋体" w:cs="宋体"/>
                <w:color w:val="auto"/>
                <w:kern w:val="0"/>
                <w:szCs w:val="21"/>
                <w:highlight w:val="none"/>
                <w:lang w:val="zh-CN"/>
              </w:rPr>
              <w:t>项</w:t>
            </w:r>
          </w:p>
        </w:tc>
        <w:tc>
          <w:tcPr>
            <w:tcW w:w="2268" w:type="dxa"/>
            <w:tcBorders>
              <w:tl2br w:val="nil"/>
              <w:tr2bl w:val="nil"/>
            </w:tcBorders>
            <w:vAlign w:val="center"/>
          </w:tcPr>
          <w:p>
            <w:pPr>
              <w:adjustRightInd w:val="0"/>
              <w:snapToGrid w:val="0"/>
              <w:spacing w:before="161" w:beforeLines="50" w:line="360" w:lineRule="auto"/>
              <w:jc w:val="center"/>
              <w:rPr>
                <w:rFonts w:hint="eastAsia" w:ascii="宋体" w:hAnsi="宋体" w:cs="宋体"/>
                <w:bCs/>
                <w:color w:val="auto"/>
                <w:szCs w:val="21"/>
                <w:highlight w:val="none"/>
              </w:rPr>
            </w:pPr>
            <w:r>
              <w:rPr>
                <w:rFonts w:hint="eastAsia" w:ascii="宋体" w:hAnsi="宋体" w:cs="宋体"/>
                <w:color w:val="auto"/>
                <w:szCs w:val="21"/>
                <w:highlight w:val="none"/>
              </w:rPr>
              <w:t>价格评审优惠</w:t>
            </w:r>
          </w:p>
        </w:tc>
        <w:tc>
          <w:tcPr>
            <w:tcW w:w="5007" w:type="dxa"/>
            <w:tcBorders>
              <w:tl2br w:val="nil"/>
              <w:tr2bl w:val="nil"/>
            </w:tcBorders>
            <w:vAlign w:val="center"/>
          </w:tcPr>
          <w:p>
            <w:pPr>
              <w:pStyle w:val="163"/>
              <w:widowControl w:val="0"/>
              <w:adjustRightInd w:val="0"/>
              <w:spacing w:before="0"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①对于经主管预算单位统筹后未预留份额专门面向中小企业采购的采购项目，以及预留份额项目中的非预留部分采购包，采购人、采购代理机构应当</w:t>
            </w:r>
            <w:r>
              <w:rPr>
                <w:rFonts w:hint="eastAsia" w:ascii="宋体" w:hAnsi="宋体" w:eastAsia="宋体" w:cs="宋体"/>
                <w:color w:val="auto"/>
                <w:sz w:val="21"/>
                <w:szCs w:val="21"/>
                <w:highlight w:val="none"/>
                <w:lang w:val="en-US" w:eastAsia="zh-CN"/>
              </w:rPr>
              <w:t>对</w:t>
            </w:r>
            <w:r>
              <w:rPr>
                <w:rFonts w:hint="eastAsia" w:ascii="宋体" w:hAnsi="宋体" w:eastAsia="宋体" w:cs="宋体"/>
                <w:color w:val="auto"/>
                <w:sz w:val="21"/>
                <w:szCs w:val="21"/>
                <w:highlight w:val="none"/>
                <w:lang w:eastAsia="zh-CN"/>
              </w:rPr>
              <w:t>符合《政府采购促进中小企业发展管理办法》（</w:t>
            </w:r>
            <w:r>
              <w:rPr>
                <w:rFonts w:hint="eastAsia" w:ascii="宋体" w:hAnsi="宋体" w:eastAsia="宋体" w:cs="宋体"/>
                <w:color w:val="auto"/>
                <w:sz w:val="21"/>
                <w:szCs w:val="21"/>
                <w:highlight w:val="none"/>
                <w:lang w:val="en-US" w:eastAsia="zh-CN"/>
              </w:rPr>
              <w:t>财库[2020]46号文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湖南省财政厅关于政府采购促进中小企业发展有关措施的通知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湘财购[2022]17号文</w:t>
            </w:r>
            <w:r>
              <w:rPr>
                <w:rFonts w:hint="eastAsia" w:ascii="宋体" w:hAnsi="宋体" w:eastAsia="宋体" w:cs="宋体"/>
                <w:color w:val="auto"/>
                <w:sz w:val="21"/>
                <w:szCs w:val="21"/>
                <w:highlight w:val="none"/>
                <w:lang w:eastAsia="zh-CN"/>
              </w:rPr>
              <w:t>）规定的小微企业报价给予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%（工程项目</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%）的扣除，用扣除后的价格参加评审。具体扣除比例</w:t>
            </w:r>
            <w:r>
              <w:rPr>
                <w:rFonts w:hint="eastAsia" w:ascii="宋体" w:hAnsi="宋体" w:eastAsia="宋体" w:cs="宋体"/>
                <w:color w:val="auto"/>
                <w:sz w:val="21"/>
                <w:szCs w:val="21"/>
                <w:highlight w:val="none"/>
                <w:lang w:val="en-US" w:eastAsia="zh-CN"/>
              </w:rPr>
              <w:t>如下</w:t>
            </w:r>
            <w:r>
              <w:rPr>
                <w:rFonts w:hint="eastAsia" w:ascii="宋体" w:hAnsi="宋体" w:eastAsia="宋体" w:cs="宋体"/>
                <w:color w:val="auto"/>
                <w:sz w:val="21"/>
                <w:szCs w:val="21"/>
                <w:highlight w:val="none"/>
                <w:lang w:eastAsia="zh-CN"/>
              </w:rPr>
              <w:t>：</w:t>
            </w:r>
          </w:p>
          <w:p>
            <w:pPr>
              <w:pStyle w:val="163"/>
              <w:widowControl w:val="0"/>
              <w:adjustRightInd w:val="0"/>
              <w:spacing w:before="0"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iCs/>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货物采购：货物由</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企业制造，即货物由</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企业生产且使用该</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企业商号或者注册商标。</w:t>
            </w:r>
            <w:r>
              <w:rPr>
                <w:rFonts w:hint="eastAsia" w:ascii="宋体" w:hAnsi="宋体" w:eastAsia="宋体" w:cs="宋体"/>
                <w:b/>
                <w:bCs/>
                <w:color w:val="auto"/>
                <w:sz w:val="21"/>
                <w:szCs w:val="21"/>
                <w:highlight w:val="none"/>
                <w:lang w:eastAsia="zh-CN"/>
              </w:rPr>
              <w:t>本项目给予小微企业</w:t>
            </w:r>
            <w:r>
              <w:rPr>
                <w:rFonts w:hint="eastAsia" w:ascii="宋体" w:hAnsi="宋体" w:eastAsia="宋体" w:cs="宋体"/>
                <w:b/>
                <w:bCs/>
                <w:color w:val="auto"/>
                <w:sz w:val="21"/>
                <w:szCs w:val="21"/>
                <w:highlight w:val="none"/>
                <w:u w:val="single"/>
                <w:lang w:val="en-US" w:eastAsia="zh-CN"/>
              </w:rPr>
              <w:t xml:space="preserve"> 10 </w:t>
            </w:r>
            <w:r>
              <w:rPr>
                <w:rFonts w:hint="eastAsia" w:ascii="宋体" w:hAnsi="宋体" w:eastAsia="宋体" w:cs="宋体"/>
                <w:b/>
                <w:bCs/>
                <w:color w:val="auto"/>
                <w:sz w:val="21"/>
                <w:szCs w:val="21"/>
                <w:highlight w:val="none"/>
                <w:lang w:eastAsia="zh-CN"/>
              </w:rPr>
              <w:t>%的扣除。</w:t>
            </w:r>
          </w:p>
          <w:p>
            <w:pPr>
              <w:pStyle w:val="163"/>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□工程采购：工程由</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企业承建，即工程施工单位为</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企业。本项目给予小微企业</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的扣除。</w:t>
            </w:r>
          </w:p>
          <w:p>
            <w:pPr>
              <w:pStyle w:val="163"/>
              <w:widowControl w:val="0"/>
              <w:adjustRightInd w:val="0"/>
              <w:spacing w:before="0" w:after="0"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□服务采购：服务由</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企业承接，即提供服务的人员为</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企业依照《</w:t>
            </w:r>
            <w:r>
              <w:rPr>
                <w:rFonts w:hint="eastAsia" w:ascii="宋体" w:hAnsi="宋体" w:eastAsia="宋体" w:cs="宋体"/>
                <w:color w:val="auto"/>
                <w:sz w:val="21"/>
                <w:szCs w:val="21"/>
                <w:highlight w:val="none"/>
                <w:lang w:val="en-US" w:eastAsia="zh-CN"/>
              </w:rPr>
              <w:t>中华人民共和国劳动合同法</w:t>
            </w:r>
            <w:r>
              <w:rPr>
                <w:rFonts w:hint="eastAsia" w:ascii="宋体" w:hAnsi="宋体" w:eastAsia="宋体" w:cs="宋体"/>
                <w:color w:val="auto"/>
                <w:sz w:val="21"/>
                <w:szCs w:val="21"/>
                <w:highlight w:val="none"/>
                <w:lang w:eastAsia="zh-CN"/>
              </w:rPr>
              <w:t>》订立劳动合同的从业人员。本项目给予小微企业</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eastAsia="zh-CN"/>
              </w:rPr>
              <w:t>%的扣除。</w:t>
            </w:r>
          </w:p>
          <w:p>
            <w:pPr>
              <w:pStyle w:val="164"/>
              <w:widowControl w:val="0"/>
              <w:wordWrap w:val="0"/>
              <w:topLinePunct/>
              <w:adjustRightInd w:val="0"/>
              <w:spacing w:before="0"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人提供的货物既有中小企业制造货物，也有大型企业制造货物的，不享受中小企业扶持政策。根据财政部发布的《政府采购促进中小企业发展政策问答》（http：//gks.mof.gov.cn/guizhangzhidu/202102/t20210220_3659586.htm）：在货物采购项目中，供应商提供的货物既有中型企业制造，也有小微企业制造的，不享受办法规定的小微企业扶持政策。）</w:t>
            </w:r>
          </w:p>
          <w:p>
            <w:pPr>
              <w:pStyle w:val="164"/>
              <w:widowControl w:val="0"/>
              <w:adjustRightInd w:val="0"/>
              <w:spacing w:before="0"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具体扣除比例如下：</w:t>
            </w:r>
          </w:p>
          <w:p>
            <w:pPr>
              <w:pStyle w:val="164"/>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□货物采购：本项目扣除比例为</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eastAsia="zh-CN"/>
              </w:rPr>
              <w:t>%。</w:t>
            </w:r>
          </w:p>
          <w:p>
            <w:pPr>
              <w:pStyle w:val="163"/>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□工程采购：本项目扣除比例为</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eastAsia="zh-CN"/>
              </w:rPr>
              <w:t>%。</w:t>
            </w:r>
          </w:p>
          <w:p>
            <w:pPr>
              <w:pStyle w:val="164"/>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□服务采购：本项目扣除比例为</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eastAsia="zh-CN"/>
              </w:rPr>
              <w:t>%。</w:t>
            </w:r>
          </w:p>
          <w:p>
            <w:pPr>
              <w:pStyle w:val="164"/>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（以联合体形式参加政府采购活动，联合体各方均为小微企业的，联合体视同</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lang w:eastAsia="zh-CN"/>
              </w:rPr>
              <w:t>小微企业。）</w:t>
            </w:r>
          </w:p>
          <w:p>
            <w:pPr>
              <w:pStyle w:val="164"/>
              <w:widowControl w:val="0"/>
              <w:adjustRightInd w:val="0"/>
              <w:spacing w:before="0" w:after="0"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eastAsia="zh-CN"/>
              </w:rPr>
              <w:t>③监狱企业、残疾人福利性单位视同小微企业，享受评审中价格扣除等促进中小企业发展的政府采购政策。用扣除后的价格参与评审，</w:t>
            </w:r>
            <w:r>
              <w:rPr>
                <w:rFonts w:hint="eastAsia" w:ascii="宋体" w:hAnsi="宋体" w:eastAsia="宋体" w:cs="宋体"/>
                <w:b/>
                <w:bCs/>
                <w:color w:val="auto"/>
                <w:sz w:val="21"/>
                <w:szCs w:val="21"/>
                <w:highlight w:val="none"/>
                <w:lang w:eastAsia="zh-CN"/>
              </w:rPr>
              <w:t>本项目具体扣除比例为</w:t>
            </w:r>
            <w:r>
              <w:rPr>
                <w:rFonts w:hint="eastAsia" w:ascii="宋体" w:hAnsi="宋体" w:eastAsia="宋体" w:cs="宋体"/>
                <w:b/>
                <w:bCs/>
                <w:color w:val="auto"/>
                <w:sz w:val="21"/>
                <w:szCs w:val="21"/>
                <w:highlight w:val="none"/>
                <w:u w:val="single"/>
                <w:lang w:val="en-US" w:eastAsia="zh-CN"/>
              </w:rPr>
              <w:t xml:space="preserve"> 10 </w:t>
            </w:r>
            <w:r>
              <w:rPr>
                <w:rFonts w:hint="eastAsia" w:ascii="宋体" w:hAnsi="宋体" w:eastAsia="宋体" w:cs="宋体"/>
                <w:b/>
                <w:bCs/>
                <w:color w:val="auto"/>
                <w:sz w:val="21"/>
                <w:szCs w:val="21"/>
                <w:highlight w:val="none"/>
                <w:lang w:eastAsia="zh-CN"/>
              </w:rPr>
              <w:t>%。</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（监狱企业、残疾人福利性单位同时属于小微企业的，不重复享受价格评审优惠政策）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Merge w:val="restart"/>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第5.4（2）</w:t>
            </w:r>
            <w:r>
              <w:rPr>
                <w:rFonts w:hint="eastAsia" w:ascii="宋体" w:hAnsi="宋体" w:cs="宋体"/>
                <w:color w:val="auto"/>
                <w:kern w:val="0"/>
                <w:szCs w:val="21"/>
                <w:highlight w:val="none"/>
                <w:lang w:val="zh-CN"/>
              </w:rPr>
              <w:t>项</w:t>
            </w:r>
          </w:p>
        </w:tc>
        <w:tc>
          <w:tcPr>
            <w:tcW w:w="2268" w:type="dxa"/>
            <w:vMerge w:val="restart"/>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优先采购</w:t>
            </w:r>
          </w:p>
        </w:tc>
        <w:tc>
          <w:tcPr>
            <w:tcW w:w="5007" w:type="dxa"/>
            <w:tcBorders>
              <w:tl2br w:val="nil"/>
              <w:tr2bl w:val="nil"/>
            </w:tcBorders>
          </w:tcPr>
          <w:p>
            <w:pPr>
              <w:spacing w:line="360" w:lineRule="auto"/>
              <w:rPr>
                <w:rFonts w:hint="eastAsia" w:ascii="宋体" w:hAnsi="宋体" w:cs="宋体"/>
                <w:color w:val="auto"/>
                <w:highlight w:val="none"/>
              </w:rPr>
            </w:pPr>
            <w:r>
              <w:rPr>
                <w:rFonts w:hint="eastAsia" w:ascii="宋体" w:hAnsi="宋体" w:cs="宋体"/>
                <w:color w:val="auto"/>
                <w:highlight w:val="none"/>
              </w:rPr>
              <w:t>最低评标价法：</w:t>
            </w:r>
          </w:p>
          <w:p>
            <w:pPr>
              <w:spacing w:line="360" w:lineRule="auto"/>
              <w:rPr>
                <w:rFonts w:hint="eastAsia" w:ascii="宋体" w:hAnsi="宋体" w:cs="宋体"/>
                <w:color w:val="auto"/>
                <w:szCs w:val="21"/>
                <w:highlight w:val="none"/>
              </w:rPr>
            </w:pPr>
            <w:r>
              <w:rPr>
                <w:rFonts w:hint="eastAsia" w:ascii="宋体" w:hAnsi="宋体" w:cs="宋体"/>
                <w:color w:val="auto"/>
                <w:highlight w:val="none"/>
              </w:rPr>
              <w:t>符合节能产品、环境标志产品优先采购政策的，对于投标报价，应给予 5%-10%的价格扣除，本项目具体扣除比例为</w:t>
            </w:r>
            <w:r>
              <w:rPr>
                <w:rFonts w:hint="eastAsia" w:ascii="宋体" w:hAnsi="宋体" w:cs="宋体"/>
                <w:color w:val="auto"/>
                <w:highlight w:val="none"/>
                <w:u w:val="single"/>
              </w:rPr>
              <w:t xml:space="preserve"> / </w:t>
            </w:r>
            <w:r>
              <w:rPr>
                <w:rFonts w:hint="eastAsia" w:ascii="宋体" w:hAnsi="宋体" w:cs="宋体"/>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Merge w:val="continue"/>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p>
        </w:tc>
        <w:tc>
          <w:tcPr>
            <w:tcW w:w="2268" w:type="dxa"/>
            <w:vMerge w:val="continue"/>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p>
        </w:tc>
        <w:tc>
          <w:tcPr>
            <w:tcW w:w="5007" w:type="dxa"/>
            <w:tcBorders>
              <w:tl2br w:val="nil"/>
              <w:tr2bl w:val="nil"/>
            </w:tcBorders>
          </w:tcPr>
          <w:p>
            <w:pPr>
              <w:spacing w:line="360" w:lineRule="auto"/>
              <w:rPr>
                <w:rFonts w:hint="eastAsia" w:ascii="宋体" w:hAnsi="宋体" w:cs="宋体"/>
                <w:color w:val="auto"/>
                <w:highlight w:val="none"/>
              </w:rPr>
            </w:pPr>
            <w:r>
              <w:rPr>
                <w:rFonts w:hint="eastAsia" w:ascii="宋体" w:hAnsi="宋体" w:cs="宋体"/>
                <w:color w:val="auto"/>
                <w:highlight w:val="none"/>
              </w:rPr>
              <w:t>综合评分法：</w:t>
            </w:r>
          </w:p>
          <w:p>
            <w:pPr>
              <w:spacing w:line="360" w:lineRule="auto"/>
              <w:rPr>
                <w:rFonts w:hint="eastAsia" w:ascii="宋体" w:hAnsi="宋体" w:cs="宋体"/>
                <w:color w:val="auto"/>
                <w:highlight w:val="none"/>
              </w:rPr>
            </w:pPr>
            <w:r>
              <w:rPr>
                <w:rFonts w:hint="eastAsia" w:ascii="宋体" w:hAnsi="宋体" w:cs="宋体"/>
                <w:color w:val="auto"/>
                <w:highlight w:val="none"/>
              </w:rPr>
              <w:t>A、投标产品为《节能产品政府采购品目清单》非“</w:t>
            </w:r>
            <w:r>
              <w:rPr>
                <w:rFonts w:hint="eastAsia" w:ascii="仿宋" w:hAnsi="仿宋" w:eastAsia="仿宋" w:cs="仿宋"/>
                <w:color w:val="auto"/>
                <w:szCs w:val="21"/>
                <w:highlight w:val="none"/>
              </w:rPr>
              <w:sym w:font="Wingdings" w:char="00AB"/>
            </w:r>
            <w:r>
              <w:rPr>
                <w:rFonts w:hint="eastAsia" w:ascii="宋体" w:hAnsi="宋体" w:cs="宋体"/>
                <w:color w:val="auto"/>
                <w:highlight w:val="none"/>
              </w:rPr>
              <w:t>”产品、《环境标志产品政府采购品目清单》产品的，对于价格和技术分，应分别给予总分值4%-8%的加分。投标人必需提供有效的节能或环境标志产品认证证书复印件，未按以上要求提供认证证书复印件或不是有效清单内的产品，评审时不予优先采购。</w:t>
            </w:r>
          </w:p>
          <w:p>
            <w:pPr>
              <w:spacing w:line="360" w:lineRule="auto"/>
              <w:rPr>
                <w:rFonts w:hint="eastAsia" w:ascii="宋体" w:hAnsi="宋体" w:cs="宋体"/>
                <w:color w:val="auto"/>
                <w:highlight w:val="none"/>
              </w:rPr>
            </w:pPr>
            <w:r>
              <w:rPr>
                <w:rFonts w:hint="eastAsia" w:ascii="宋体" w:hAnsi="宋体" w:cs="宋体"/>
                <w:b/>
                <w:bCs/>
                <w:color w:val="auto"/>
                <w:highlight w:val="none"/>
              </w:rPr>
              <w:t>本项目具体加分比例分别为：价格总分值</w:t>
            </w:r>
            <w:r>
              <w:rPr>
                <w:rFonts w:hint="eastAsia" w:ascii="宋体" w:hAnsi="宋体" w:cs="宋体"/>
                <w:b/>
                <w:bCs/>
                <w:color w:val="auto"/>
                <w:highlight w:val="none"/>
                <w:u w:val="single"/>
              </w:rPr>
              <w:t xml:space="preserve"> 4 </w:t>
            </w:r>
            <w:r>
              <w:rPr>
                <w:rFonts w:hint="eastAsia" w:ascii="宋体" w:hAnsi="宋体" w:cs="宋体"/>
                <w:b/>
                <w:bCs/>
                <w:color w:val="auto"/>
                <w:highlight w:val="none"/>
              </w:rPr>
              <w:t>%的加分、技术总分值</w:t>
            </w:r>
            <w:r>
              <w:rPr>
                <w:rFonts w:hint="eastAsia" w:ascii="宋体" w:hAnsi="宋体" w:cs="宋体"/>
                <w:b/>
                <w:bCs/>
                <w:color w:val="auto"/>
                <w:highlight w:val="none"/>
                <w:u w:val="single"/>
              </w:rPr>
              <w:t xml:space="preserve"> 4 </w:t>
            </w:r>
            <w:r>
              <w:rPr>
                <w:rFonts w:hint="eastAsia" w:ascii="宋体" w:hAnsi="宋体" w:cs="宋体"/>
                <w:b/>
                <w:bCs/>
                <w:color w:val="auto"/>
                <w:highlight w:val="none"/>
              </w:rPr>
              <w:t>%的加分。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Merge w:val="continue"/>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p>
        </w:tc>
        <w:tc>
          <w:tcPr>
            <w:tcW w:w="2268" w:type="dxa"/>
            <w:vMerge w:val="continue"/>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p>
        </w:tc>
        <w:tc>
          <w:tcPr>
            <w:tcW w:w="5007" w:type="dxa"/>
            <w:tcBorders>
              <w:tl2br w:val="nil"/>
              <w:tr2bl w:val="nil"/>
            </w:tcBorders>
          </w:tcPr>
          <w:p>
            <w:pPr>
              <w:spacing w:line="360" w:lineRule="auto"/>
              <w:rPr>
                <w:rFonts w:hint="eastAsia" w:ascii="宋体" w:hAnsi="宋体" w:cs="宋体"/>
                <w:color w:val="auto"/>
                <w:highlight w:val="none"/>
              </w:rPr>
            </w:pPr>
            <w:r>
              <w:rPr>
                <w:rFonts w:hint="eastAsia" w:ascii="宋体" w:hAnsi="宋体" w:cs="宋体"/>
                <w:color w:val="auto"/>
                <w:highlight w:val="none"/>
              </w:rPr>
              <w:t>备注：</w:t>
            </w:r>
          </w:p>
          <w:p>
            <w:pPr>
              <w:spacing w:line="360" w:lineRule="auto"/>
              <w:rPr>
                <w:rFonts w:hint="eastAsia" w:ascii="宋体" w:hAnsi="宋体" w:cs="宋体"/>
                <w:color w:val="auto"/>
                <w:highlight w:val="none"/>
              </w:rPr>
            </w:pPr>
            <w:r>
              <w:rPr>
                <w:rFonts w:hint="eastAsia" w:ascii="宋体" w:hAnsi="宋体" w:cs="宋体"/>
                <w:color w:val="auto"/>
                <w:highlight w:val="none"/>
              </w:rPr>
              <w:t>（1）优先采购同时属于“节能产品”、“环境标志产品”的，评审时只有其中一项产品能享受优先采购优惠（投标人自行选择，并在投标文件中填报相关信息及数据）。</w:t>
            </w:r>
          </w:p>
          <w:p>
            <w:pPr>
              <w:spacing w:line="360" w:lineRule="auto"/>
              <w:rPr>
                <w:rFonts w:hint="eastAsia" w:ascii="宋体" w:hAnsi="宋体" w:cs="宋体"/>
                <w:color w:val="auto"/>
                <w:highlight w:val="none"/>
              </w:rPr>
            </w:pPr>
            <w:r>
              <w:rPr>
                <w:rFonts w:hint="eastAsia" w:ascii="宋体" w:hAnsi="宋体" w:cs="宋体"/>
                <w:color w:val="auto"/>
                <w:highlight w:val="none"/>
              </w:rPr>
              <w:t>（2）小型和微型企业的价格评审优惠可以与同时属于“节能产品”、“环境标志产品”中的一项优先采购优惠累加计算。</w:t>
            </w:r>
          </w:p>
          <w:p>
            <w:pPr>
              <w:spacing w:line="360" w:lineRule="auto"/>
              <w:rPr>
                <w:rFonts w:hint="eastAsia" w:ascii="宋体" w:hAnsi="宋体" w:cs="宋体"/>
                <w:color w:val="auto"/>
                <w:highlight w:val="none"/>
              </w:rPr>
            </w:pPr>
            <w:r>
              <w:rPr>
                <w:rFonts w:hint="eastAsia" w:ascii="宋体" w:hAnsi="宋体" w:cs="宋体"/>
                <w:color w:val="auto"/>
                <w:highlight w:val="none"/>
              </w:rPr>
              <w:t>（3）投标人符合第二章第33.1款、第33.2款、第33.3款规定的，应按第二章第33.6款规定提供相关证明资料。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第6.1</w:t>
            </w:r>
            <w:r>
              <w:rPr>
                <w:rFonts w:hint="eastAsia" w:ascii="宋体" w:hAnsi="宋体" w:cs="宋体"/>
                <w:color w:val="auto"/>
                <w:kern w:val="0"/>
                <w:szCs w:val="21"/>
                <w:highlight w:val="none"/>
                <w:lang w:val="zh-CN"/>
              </w:rPr>
              <w:t>款</w:t>
            </w:r>
          </w:p>
        </w:tc>
        <w:tc>
          <w:tcPr>
            <w:tcW w:w="2268"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中标候选人并列的确定中标人的方式</w:t>
            </w:r>
          </w:p>
        </w:tc>
        <w:tc>
          <w:tcPr>
            <w:tcW w:w="5007" w:type="dxa"/>
            <w:tcBorders>
              <w:tl2br w:val="nil"/>
              <w:tr2bl w:val="nil"/>
            </w:tcBorders>
            <w:vAlign w:val="center"/>
          </w:tcPr>
          <w:p>
            <w:pPr>
              <w:pStyle w:val="124"/>
              <w:spacing w:before="78" w:line="360" w:lineRule="auto"/>
              <w:ind w:right="87"/>
              <w:rPr>
                <w:rFonts w:hint="eastAsia"/>
                <w:color w:val="auto"/>
                <w:szCs w:val="21"/>
                <w:highlight w:val="none"/>
                <w:lang w:val="en-US"/>
              </w:rPr>
            </w:pPr>
            <w:r>
              <w:rPr>
                <w:rFonts w:hint="eastAsia"/>
                <w:color w:val="auto"/>
                <w:szCs w:val="21"/>
                <w:highlight w:val="none"/>
                <w:lang w:val="en-US"/>
              </w:rPr>
              <w:t>/（最低评标价法）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第6.2</w:t>
            </w:r>
            <w:r>
              <w:rPr>
                <w:rFonts w:hint="eastAsia" w:ascii="宋体" w:hAnsi="宋体" w:cs="宋体"/>
                <w:color w:val="auto"/>
                <w:kern w:val="0"/>
                <w:szCs w:val="21"/>
                <w:highlight w:val="none"/>
                <w:lang w:val="zh-CN"/>
              </w:rPr>
              <w:t>款</w:t>
            </w:r>
          </w:p>
        </w:tc>
        <w:tc>
          <w:tcPr>
            <w:tcW w:w="2268"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中标候选人并列的确定中标人的方式</w:t>
            </w:r>
          </w:p>
        </w:tc>
        <w:tc>
          <w:tcPr>
            <w:tcW w:w="5007" w:type="dxa"/>
            <w:tcBorders>
              <w:tl2br w:val="nil"/>
              <w:tr2bl w:val="nil"/>
            </w:tcBorders>
            <w:vAlign w:val="center"/>
          </w:tcPr>
          <w:p>
            <w:pPr>
              <w:pStyle w:val="124"/>
              <w:spacing w:before="78" w:line="360" w:lineRule="auto"/>
              <w:ind w:right="87"/>
              <w:rPr>
                <w:rFonts w:hint="eastAsia"/>
                <w:color w:val="auto"/>
                <w:szCs w:val="21"/>
                <w:highlight w:val="none"/>
              </w:rPr>
            </w:pPr>
            <w:r>
              <w:rPr>
                <w:rFonts w:hint="eastAsia"/>
                <w:color w:val="auto"/>
                <w:szCs w:val="21"/>
                <w:highlight w:val="none"/>
              </w:rPr>
              <w:t>按技术总分从高至低确定排序，技术总分相同的由评标组长现场随机抽签确定排序。</w:t>
            </w:r>
            <w:r>
              <w:rPr>
                <w:rFonts w:hint="eastAsia"/>
                <w:color w:val="auto"/>
                <w:szCs w:val="21"/>
                <w:highlight w:val="none"/>
                <w:lang w:val="en-US" w:bidi="ar-SA"/>
              </w:rPr>
              <w:t>（综合评分法）。</w:t>
            </w:r>
          </w:p>
        </w:tc>
      </w:tr>
    </w:tbl>
    <w:p>
      <w:pPr>
        <w:adjustRightInd w:val="0"/>
        <w:snapToGrid w:val="0"/>
        <w:spacing w:before="161" w:beforeLines="50" w:line="360" w:lineRule="auto"/>
        <w:ind w:firstLine="420" w:firstLineChars="200"/>
        <w:jc w:val="left"/>
        <w:rPr>
          <w:rFonts w:hint="eastAsia" w:ascii="宋体" w:hAnsi="宋体" w:cs="宋体"/>
          <w:b/>
          <w:color w:val="auto"/>
          <w:sz w:val="28"/>
          <w:szCs w:val="28"/>
          <w:highlight w:val="none"/>
        </w:rPr>
      </w:pPr>
      <w:r>
        <w:rPr>
          <w:rFonts w:hint="eastAsia" w:ascii="宋体" w:hAnsi="宋体" w:cs="宋体"/>
          <w:color w:val="auto"/>
          <w:highlight w:val="none"/>
        </w:rPr>
        <w:br w:type="page"/>
      </w:r>
    </w:p>
    <w:p>
      <w:pPr>
        <w:pStyle w:val="3"/>
        <w:keepNext w:val="0"/>
        <w:keepLines w:val="0"/>
        <w:adjustRightInd w:val="0"/>
        <w:snapToGrid w:val="0"/>
        <w:spacing w:before="161" w:beforeLines="50"/>
        <w:jc w:val="center"/>
        <w:rPr>
          <w:rFonts w:hint="eastAsia" w:ascii="宋体" w:hAnsi="宋体" w:cs="宋体"/>
          <w:color w:val="auto"/>
          <w:sz w:val="28"/>
          <w:szCs w:val="28"/>
          <w:highlight w:val="none"/>
        </w:rPr>
      </w:pPr>
      <w:bookmarkStart w:id="81" w:name="_Toc3671"/>
      <w:r>
        <w:rPr>
          <w:rFonts w:hint="eastAsia" w:ascii="宋体" w:hAnsi="宋体" w:cs="宋体"/>
          <w:color w:val="auto"/>
          <w:sz w:val="28"/>
          <w:szCs w:val="28"/>
          <w:highlight w:val="none"/>
        </w:rPr>
        <w:t>第二节 评标方法及标准</w:t>
      </w:r>
      <w:bookmarkEnd w:id="81"/>
    </w:p>
    <w:p>
      <w:pPr>
        <w:pStyle w:val="4"/>
        <w:keepNext w:val="0"/>
        <w:keepLines w:val="0"/>
        <w:adjustRightInd w:val="0"/>
        <w:snapToGrid w:val="0"/>
        <w:spacing w:before="161" w:beforeLines="50" w:after="0" w:line="360" w:lineRule="auto"/>
        <w:rPr>
          <w:rFonts w:hint="eastAsia" w:ascii="宋体" w:hAnsi="宋体" w:cs="宋体"/>
          <w:color w:val="auto"/>
          <w:sz w:val="24"/>
          <w:szCs w:val="24"/>
          <w:highlight w:val="none"/>
        </w:rPr>
      </w:pPr>
      <w:bookmarkStart w:id="82" w:name="_Toc26971"/>
      <w:r>
        <w:rPr>
          <w:rFonts w:hint="eastAsia" w:ascii="宋体" w:hAnsi="宋体" w:cs="宋体"/>
          <w:color w:val="auto"/>
          <w:sz w:val="24"/>
          <w:szCs w:val="24"/>
          <w:highlight w:val="none"/>
        </w:rPr>
        <w:t>1．评标方法</w:t>
      </w:r>
      <w:bookmarkEnd w:id="82"/>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1.1综合评分法，指投标文件满足招标文件全部实质性要求，且按照评审因素的量化指标评审得分最高的投标人为中标候选人的评标方法。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1.2最低评标价，是指投标文件满足招标文件全部实质性要求，且投标报价最低的投标人为中标候选人的评标方法。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1.3本采购项目评标方法见本章第一节</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83" w:name="_Toc23638"/>
      <w:r>
        <w:rPr>
          <w:rFonts w:hint="eastAsia" w:ascii="宋体" w:hAnsi="宋体" w:cs="宋体"/>
          <w:bCs w:val="0"/>
          <w:color w:val="auto"/>
          <w:sz w:val="24"/>
          <w:szCs w:val="24"/>
          <w:highlight w:val="none"/>
        </w:rPr>
        <w:t>2．评标程序</w:t>
      </w:r>
      <w:bookmarkEnd w:id="83"/>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2.1评标程序分为投标文件符合性审查、澄清有关问题、比较和评价、推荐中标候选人。</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84" w:name="_Toc1922"/>
      <w:r>
        <w:rPr>
          <w:rFonts w:hint="eastAsia" w:ascii="宋体" w:hAnsi="宋体" w:cs="宋体"/>
          <w:bCs w:val="0"/>
          <w:color w:val="auto"/>
          <w:sz w:val="24"/>
          <w:szCs w:val="24"/>
          <w:highlight w:val="none"/>
        </w:rPr>
        <w:t>3．投标文件的符合性审查</w:t>
      </w:r>
      <w:bookmarkEnd w:id="84"/>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3.1资格审查结束后，评标委员会依法按照本章第三节“投标文件的符合性审查”规定进行投标文件符合性。</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3.2符合性审查合格投标人少于3家的，应予废标。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3.3单一产品采购项目：提供相同品牌产品的不同投标人参加同一合同项下投标的，按一家投标人计算。提供不同品牌产品的投标人不足三家的，应予废标。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3.4非单一产品采购项目：采购人或者采购代理机构将在</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中载明核心产品。多家投标人提供的核心产品品牌相同的，视为相同品牌，按本章本节第3.3款规定处理。</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85" w:name="_Toc2325"/>
      <w:r>
        <w:rPr>
          <w:rFonts w:hint="eastAsia" w:ascii="宋体" w:hAnsi="宋体" w:cs="宋体"/>
          <w:bCs w:val="0"/>
          <w:color w:val="auto"/>
          <w:sz w:val="24"/>
          <w:szCs w:val="24"/>
          <w:highlight w:val="none"/>
        </w:rPr>
        <w:t>4．投标文件的澄清</w:t>
      </w:r>
      <w:bookmarkEnd w:id="85"/>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4.1对于投标文件中含义不明确、同类问题表述不一致或者有明显文字和计算错误的内容，评标委员会应当以书面形式要求投标人作出必要的澄清、说明或者补正。</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4.2投标文件的投标报价出现前后不一致的，除</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另有规定外，按照下列规定修正：</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（1）投标文件中开标一览表内容与投标文件中相应内容不一致的，以开标一览表为准；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（3）单价金额小数点或者百分比有明显错位的，以开标一览表的总价为准，并修改单价；</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bookmarkStart w:id="86" w:name="OLE_LINK36"/>
      <w:r>
        <w:rPr>
          <w:rFonts w:hint="eastAsia" w:ascii="宋体" w:hAnsi="宋体" w:cs="宋体"/>
          <w:color w:val="auto"/>
          <w:szCs w:val="21"/>
          <w:highlight w:val="none"/>
        </w:rPr>
        <w:t>4.5有效的书面澄清材料，是投标文件的补充材料，成为投标文件的组成部分。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4.6投标人的报价符合下列情形之一的，评标委员会应当启动异常低价投标审查程序：</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（1）算术平均值比较：投标报价低于全部通过符合性审查供应商投标报价算术平均值50%的（即：投标报价&lt;全部有效报价算术平均值×50%）；</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（2）次低报价比较：投标报价低于通过符合性审查的次低报价50%的（即：投标报价 &lt;评标委员会次低报价评标委员会×评标委员会50%）；</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（3）最高限价比较：投标报价低于采购项目最高限价45%的（即：投标报价评标委员会&lt;评标委员会最高限价评标委员会×评标委员会45%）；</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（4）专业判断：评标委员会基于专业经验判断，认为供应商报价明显低于市场合理价格，有可能影响产品质量或者不能诚信履约的其他情形。</w:t>
      </w:r>
    </w:p>
    <w:bookmarkEnd w:id="86"/>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评标委员会启动异常低价投标审查后，属于前述第（1）项至第（4）项情形的，应当要求相关投标人在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可不再重复提交。 </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87" w:name="_Toc3267"/>
      <w:r>
        <w:rPr>
          <w:rFonts w:hint="eastAsia" w:ascii="宋体" w:hAnsi="宋体" w:cs="宋体"/>
          <w:bCs w:val="0"/>
          <w:color w:val="auto"/>
          <w:sz w:val="24"/>
          <w:szCs w:val="24"/>
          <w:highlight w:val="none"/>
        </w:rPr>
        <w:t>5．投标文件的比较与评价</w:t>
      </w:r>
      <w:bookmarkEnd w:id="87"/>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5.1评标委员会依法按照本章第三节“投标文件的比较与评价”规定，对资格性检查和符合性检查合格的投标文件进行比较和评价。</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5.2单一产品采购项目：</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（1）最低评标价法：</w:t>
      </w:r>
      <w:r>
        <w:rPr>
          <w:rFonts w:hint="eastAsia" w:ascii="宋体" w:hAnsi="宋体" w:cs="宋体"/>
          <w:bCs/>
          <w:color w:val="auto"/>
          <w:szCs w:val="21"/>
          <w:highlight w:val="none"/>
        </w:rPr>
        <w:t>提供相同品牌产品的不同投标人参加同一合同项下投标的，以其中通过资格审查、符合性审查且报价最低的参加评标，其他投标无效；报价相同的，按照</w:t>
      </w:r>
      <w:r>
        <w:rPr>
          <w:rFonts w:hint="eastAsia" w:ascii="宋体" w:hAnsi="宋体" w:cs="宋体"/>
          <w:b/>
          <w:bCs/>
          <w:color w:val="auto"/>
          <w:szCs w:val="21"/>
          <w:highlight w:val="none"/>
        </w:rPr>
        <w:t>【评标方法及标准前附表】</w:t>
      </w:r>
      <w:r>
        <w:rPr>
          <w:rFonts w:hint="eastAsia" w:ascii="宋体" w:hAnsi="宋体" w:cs="宋体"/>
          <w:bCs/>
          <w:color w:val="auto"/>
          <w:szCs w:val="21"/>
          <w:highlight w:val="none"/>
        </w:rPr>
        <w:t>规定的方式确定一个参加评标的投标人，招标文件未规定的采取随机抽取方式确定，其他</w:t>
      </w:r>
      <w:r>
        <w:rPr>
          <w:rFonts w:hint="eastAsia" w:ascii="宋体" w:hAnsi="宋体" w:cs="宋体"/>
          <w:b/>
          <w:bCs/>
          <w:color w:val="auto"/>
          <w:szCs w:val="21"/>
          <w:highlight w:val="none"/>
        </w:rPr>
        <w:t>投标无效</w:t>
      </w:r>
      <w:r>
        <w:rPr>
          <w:rFonts w:hint="eastAsia" w:ascii="宋体" w:hAnsi="宋体" w:cs="宋体"/>
          <w:bCs/>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规定的方式确定一个投标人获得中标人推荐资格，招标文件未规定的采取随机抽取方式确定，其他同品牌投标人</w:t>
      </w:r>
      <w:r>
        <w:rPr>
          <w:rFonts w:hint="eastAsia" w:ascii="宋体" w:hAnsi="宋体" w:cs="宋体"/>
          <w:b/>
          <w:color w:val="auto"/>
          <w:szCs w:val="21"/>
          <w:highlight w:val="none"/>
        </w:rPr>
        <w:t>不作为中标候选人</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5.3非单一产品采购项目：多家投标人提供的核心产品品牌均相同的，视为相同品牌，按本章本节第 5.2 款规定处理。</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5.4政府采购政策：</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价格评审优惠：</w:t>
      </w:r>
      <w:r>
        <w:rPr>
          <w:rFonts w:hint="eastAsia" w:ascii="宋体" w:hAnsi="宋体" w:cs="宋体"/>
          <w:color w:val="auto"/>
          <w:szCs w:val="21"/>
          <w:highlight w:val="none"/>
        </w:rPr>
        <w:t>按</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及第二章“投标须知”的相关规定给予一定的价格折扣。</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（2）优先采购：</w:t>
      </w:r>
      <w:r>
        <w:rPr>
          <w:rFonts w:hint="eastAsia" w:ascii="宋体" w:hAnsi="宋体" w:cs="宋体"/>
          <w:bCs/>
          <w:color w:val="auto"/>
          <w:szCs w:val="21"/>
          <w:highlight w:val="none"/>
        </w:rPr>
        <w:t>评审时按</w:t>
      </w:r>
      <w:r>
        <w:rPr>
          <w:rFonts w:hint="eastAsia" w:ascii="宋体" w:hAnsi="宋体" w:cs="宋体"/>
          <w:b/>
          <w:color w:val="auto"/>
          <w:szCs w:val="21"/>
          <w:highlight w:val="none"/>
        </w:rPr>
        <w:t>【评标方法及标准前附表】</w:t>
      </w:r>
      <w:r>
        <w:rPr>
          <w:rFonts w:hint="eastAsia" w:ascii="宋体" w:hAnsi="宋体" w:cs="宋体"/>
          <w:bCs/>
          <w:color w:val="auto"/>
          <w:szCs w:val="21"/>
          <w:highlight w:val="none"/>
        </w:rPr>
        <w:t>及第二章</w:t>
      </w:r>
      <w:r>
        <w:rPr>
          <w:rFonts w:hint="eastAsia" w:ascii="宋体" w:hAnsi="宋体" w:cs="宋体"/>
          <w:color w:val="auto"/>
          <w:szCs w:val="21"/>
          <w:highlight w:val="none"/>
        </w:rPr>
        <w:t>“投标须知”</w:t>
      </w:r>
      <w:r>
        <w:rPr>
          <w:rFonts w:hint="eastAsia" w:ascii="宋体" w:hAnsi="宋体" w:cs="宋体"/>
          <w:bCs/>
          <w:color w:val="auto"/>
          <w:szCs w:val="21"/>
          <w:highlight w:val="none"/>
        </w:rPr>
        <w:t>的相关规定给予价格折扣或者加分。</w:t>
      </w:r>
    </w:p>
    <w:p>
      <w:pPr>
        <w:pStyle w:val="4"/>
        <w:keepNext w:val="0"/>
        <w:keepLines w:val="0"/>
        <w:adjustRightInd w:val="0"/>
        <w:snapToGrid w:val="0"/>
        <w:spacing w:before="161" w:beforeLines="50" w:after="0" w:line="360" w:lineRule="auto"/>
        <w:rPr>
          <w:rFonts w:hint="eastAsia" w:ascii="宋体" w:hAnsi="宋体" w:cs="宋体"/>
          <w:color w:val="auto"/>
          <w:sz w:val="24"/>
          <w:szCs w:val="24"/>
          <w:highlight w:val="none"/>
        </w:rPr>
      </w:pPr>
      <w:bookmarkStart w:id="88" w:name="_Toc29558"/>
      <w:r>
        <w:rPr>
          <w:rFonts w:hint="eastAsia" w:ascii="宋体" w:hAnsi="宋体" w:cs="宋体"/>
          <w:bCs w:val="0"/>
          <w:color w:val="auto"/>
          <w:sz w:val="24"/>
          <w:szCs w:val="24"/>
          <w:highlight w:val="none"/>
        </w:rPr>
        <w:t>6．</w:t>
      </w:r>
      <w:r>
        <w:rPr>
          <w:rFonts w:hint="eastAsia" w:ascii="宋体" w:hAnsi="宋体" w:cs="宋体"/>
          <w:color w:val="auto"/>
          <w:sz w:val="24"/>
          <w:szCs w:val="24"/>
          <w:highlight w:val="none"/>
        </w:rPr>
        <w:t>推荐中标候选人</w:t>
      </w:r>
      <w:bookmarkEnd w:id="88"/>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6.1最低评标价法：</w:t>
      </w:r>
      <w:r>
        <w:rPr>
          <w:rFonts w:hint="eastAsia" w:ascii="宋体" w:hAnsi="宋体" w:cs="宋体"/>
          <w:bCs/>
          <w:color w:val="auto"/>
          <w:szCs w:val="21"/>
          <w:highlight w:val="none"/>
        </w:rPr>
        <w:t>评标结果按算术修正和落实政府采购政策需进行的价格扣除后的投标报价由低到高顺序排列。报价相同的并列，按</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规定的方式确定中标人；</w:t>
      </w:r>
      <w:r>
        <w:rPr>
          <w:rFonts w:hint="eastAsia" w:ascii="宋体" w:hAnsi="宋体" w:cs="宋体"/>
          <w:bCs/>
          <w:color w:val="auto"/>
          <w:szCs w:val="21"/>
          <w:highlight w:val="none"/>
        </w:rPr>
        <w:t>招标文件未规定的，采取随机抽取的方式确定。</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6.2综合评分法：评标结果按评审后得分由高到低顺序排列。得分相同的，按投标报价由低到高顺序排列。得分且投标报价相同的并列，按</w:t>
      </w:r>
      <w:r>
        <w:rPr>
          <w:rFonts w:hint="eastAsia" w:ascii="宋体" w:hAnsi="宋体" w:cs="宋体"/>
          <w:b/>
          <w:bCs/>
          <w:color w:val="auto"/>
          <w:szCs w:val="21"/>
          <w:highlight w:val="none"/>
        </w:rPr>
        <w:t>【评标方法及标准前附表】</w:t>
      </w:r>
      <w:r>
        <w:rPr>
          <w:rFonts w:hint="eastAsia" w:ascii="宋体" w:hAnsi="宋体" w:cs="宋体"/>
          <w:bCs/>
          <w:color w:val="auto"/>
          <w:szCs w:val="21"/>
          <w:highlight w:val="none"/>
        </w:rPr>
        <w:t>规定的方式确定中标人；招标文件未规定的，采取随机抽取的方式确定。</w:t>
      </w:r>
    </w:p>
    <w:p>
      <w:pPr>
        <w:pStyle w:val="4"/>
        <w:keepNext w:val="0"/>
        <w:keepLines w:val="0"/>
        <w:adjustRightInd w:val="0"/>
        <w:snapToGrid w:val="0"/>
        <w:spacing w:before="161" w:beforeLines="50" w:after="0" w:line="360" w:lineRule="auto"/>
        <w:rPr>
          <w:rFonts w:hint="eastAsia" w:ascii="宋体" w:hAnsi="宋体" w:cs="宋体"/>
          <w:color w:val="auto"/>
          <w:sz w:val="24"/>
          <w:szCs w:val="24"/>
          <w:highlight w:val="none"/>
        </w:rPr>
      </w:pPr>
      <w:bookmarkStart w:id="89" w:name="_Toc2387"/>
      <w:r>
        <w:rPr>
          <w:rFonts w:hint="eastAsia" w:ascii="宋体" w:hAnsi="宋体" w:cs="宋体"/>
          <w:bCs w:val="0"/>
          <w:color w:val="auto"/>
          <w:sz w:val="24"/>
          <w:szCs w:val="24"/>
          <w:highlight w:val="none"/>
        </w:rPr>
        <w:t>7．</w:t>
      </w:r>
      <w:r>
        <w:rPr>
          <w:rFonts w:hint="eastAsia" w:ascii="宋体" w:hAnsi="宋体" w:cs="宋体"/>
          <w:color w:val="auto"/>
          <w:sz w:val="24"/>
          <w:szCs w:val="24"/>
          <w:highlight w:val="none"/>
        </w:rPr>
        <w:t>编写评标报告</w:t>
      </w:r>
      <w:bookmarkEnd w:id="89"/>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7.1评标</w:t>
      </w:r>
      <w:r>
        <w:rPr>
          <w:rFonts w:hint="eastAsia" w:ascii="宋体" w:hAnsi="宋体" w:cs="宋体"/>
          <w:bCs/>
          <w:color w:val="auto"/>
          <w:szCs w:val="21"/>
          <w:highlight w:val="none"/>
        </w:rPr>
        <w:t>委员会</w:t>
      </w:r>
      <w:r>
        <w:rPr>
          <w:rFonts w:hint="eastAsia" w:ascii="宋体" w:hAnsi="宋体" w:cs="宋体"/>
          <w:color w:val="auto"/>
          <w:szCs w:val="21"/>
          <w:highlight w:val="none"/>
        </w:rPr>
        <w:t>根据全体评标成员签字的原始评标记录和评标结果编写评标报告。</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7.2</w:t>
      </w:r>
      <w:r>
        <w:rPr>
          <w:rFonts w:hint="eastAsia" w:ascii="宋体" w:hAnsi="宋体" w:cs="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90" w:name="_Toc19531"/>
      <w:r>
        <w:rPr>
          <w:rFonts w:hint="eastAsia" w:ascii="宋体" w:hAnsi="宋体" w:cs="宋体"/>
          <w:bCs w:val="0"/>
          <w:color w:val="auto"/>
          <w:sz w:val="24"/>
          <w:szCs w:val="24"/>
          <w:highlight w:val="none"/>
        </w:rPr>
        <w:t>8．</w:t>
      </w:r>
      <w:r>
        <w:rPr>
          <w:rFonts w:hint="eastAsia" w:ascii="宋体" w:hAnsi="宋体" w:cs="宋体"/>
          <w:color w:val="auto"/>
          <w:sz w:val="24"/>
          <w:szCs w:val="24"/>
          <w:highlight w:val="none"/>
        </w:rPr>
        <w:t>评标报告</w:t>
      </w:r>
      <w:r>
        <w:rPr>
          <w:rFonts w:hint="eastAsia" w:ascii="宋体" w:hAnsi="宋体" w:cs="宋体"/>
          <w:bCs w:val="0"/>
          <w:color w:val="auto"/>
          <w:sz w:val="24"/>
          <w:szCs w:val="24"/>
          <w:highlight w:val="none"/>
        </w:rPr>
        <w:t>复核</w:t>
      </w:r>
      <w:bookmarkEnd w:id="90"/>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8.1汇总结束后，评标委员会应当进行复核，特别要对拟推荐为中标候选投标人的、报价最低的、投标文件被认定为无效的进行重点复核。</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8.2汇总完成后，除下列情形外，任何人不得修改评标结果：</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（1）分值汇总计算错误的；</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（2）分项评分超出评分标准范围的；</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（3）评标委员会成员对客观评审因素评分不一致的；</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（4）经评标委员会认定评分畸高、畸低的。</w:t>
      </w:r>
    </w:p>
    <w:p>
      <w:pPr>
        <w:adjustRightInd w:val="0"/>
        <w:snapToGrid w:val="0"/>
        <w:spacing w:before="161" w:beforeLines="50" w:line="360" w:lineRule="auto"/>
        <w:ind w:firstLine="420" w:firstLineChars="200"/>
        <w:jc w:val="left"/>
        <w:rPr>
          <w:rFonts w:hint="eastAsia" w:ascii="宋体" w:hAnsi="宋体" w:cs="宋体"/>
          <w:b/>
          <w:bCs/>
          <w:color w:val="auto"/>
          <w:szCs w:val="21"/>
          <w:highlight w:val="none"/>
        </w:rPr>
      </w:pPr>
      <w:r>
        <w:rPr>
          <w:rFonts w:hint="eastAsia" w:ascii="宋体" w:hAnsi="宋体" w:cs="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91" w:name="_Toc3690"/>
      <w:r>
        <w:rPr>
          <w:rFonts w:hint="eastAsia" w:ascii="宋体" w:hAnsi="宋体" w:cs="宋体"/>
          <w:color w:val="auto"/>
          <w:sz w:val="24"/>
          <w:szCs w:val="24"/>
          <w:highlight w:val="none"/>
        </w:rPr>
        <w:t>9．</w:t>
      </w:r>
      <w:r>
        <w:rPr>
          <w:rFonts w:hint="eastAsia" w:ascii="宋体" w:hAnsi="宋体" w:cs="宋体"/>
          <w:bCs w:val="0"/>
          <w:color w:val="auto"/>
          <w:sz w:val="24"/>
          <w:szCs w:val="24"/>
          <w:highlight w:val="none"/>
        </w:rPr>
        <w:t>停止评标</w:t>
      </w:r>
      <w:bookmarkEnd w:id="91"/>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bCs/>
          <w:color w:val="auto"/>
          <w:szCs w:val="21"/>
          <w:highlight w:val="none"/>
        </w:rPr>
        <w:t>9.1</w:t>
      </w:r>
      <w:r>
        <w:rPr>
          <w:rFonts w:hint="eastAsia" w:ascii="宋体" w:hAnsi="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pPr>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10.废标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10.1 根据有关法律法规和招标文件的有关规定，如出现下列情况之一的，应予以废标：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bookmarkStart w:id="92" w:name="OLE_LINK208"/>
      <w:r>
        <w:rPr>
          <w:rFonts w:hint="eastAsia" w:ascii="宋体" w:hAnsi="宋体" w:cs="宋体"/>
          <w:color w:val="auto"/>
          <w:szCs w:val="21"/>
          <w:highlight w:val="none"/>
        </w:rPr>
        <w:t>（1）</w:t>
      </w:r>
      <w:bookmarkStart w:id="93" w:name="OLE_LINK139"/>
      <w:r>
        <w:rPr>
          <w:rFonts w:hint="eastAsia" w:ascii="宋体" w:hAnsi="宋体" w:cs="宋体"/>
          <w:color w:val="auto"/>
          <w:szCs w:val="21"/>
          <w:highlight w:val="none"/>
        </w:rPr>
        <w:t>符合专业条件的投标人或者对招标文件作实质响应的投标人不足三家的</w:t>
      </w:r>
      <w:bookmarkEnd w:id="93"/>
      <w:r>
        <w:rPr>
          <w:rFonts w:hint="eastAsia" w:ascii="宋体" w:hAnsi="宋体" w:cs="宋体"/>
          <w:color w:val="auto"/>
          <w:szCs w:val="21"/>
          <w:highlight w:val="none"/>
        </w:rPr>
        <w:t>；</w:t>
      </w:r>
    </w:p>
    <w:bookmarkEnd w:id="92"/>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bookmarkStart w:id="94" w:name="OLE_LINK140"/>
      <w:bookmarkStart w:id="95" w:name="OLE_LINK209"/>
      <w:r>
        <w:rPr>
          <w:rFonts w:hint="eastAsia" w:ascii="宋体" w:hAnsi="宋体" w:cs="宋体"/>
          <w:color w:val="auto"/>
          <w:szCs w:val="21"/>
          <w:highlight w:val="none"/>
        </w:rPr>
        <w:t>出现影响采购公正的违法、违规行为的</w:t>
      </w:r>
      <w:bookmarkEnd w:id="94"/>
      <w:r>
        <w:rPr>
          <w:rFonts w:hint="eastAsia" w:ascii="宋体" w:hAnsi="宋体" w:cs="宋体"/>
          <w:color w:val="auto"/>
          <w:szCs w:val="21"/>
          <w:highlight w:val="none"/>
        </w:rPr>
        <w:t>；</w:t>
      </w:r>
      <w:bookmarkEnd w:id="95"/>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w:t>
      </w:r>
      <w:bookmarkStart w:id="96" w:name="OLE_LINK141"/>
      <w:bookmarkStart w:id="97" w:name="OLE_LINK210"/>
      <w:r>
        <w:rPr>
          <w:rFonts w:hint="eastAsia" w:ascii="宋体" w:hAnsi="宋体" w:cs="宋体"/>
          <w:color w:val="auto"/>
          <w:szCs w:val="21"/>
          <w:highlight w:val="none"/>
        </w:rPr>
        <w:t>投标人的报价均超过采购人项目采购预算，采购人不能支付的</w:t>
      </w:r>
      <w:bookmarkEnd w:id="96"/>
      <w:r>
        <w:rPr>
          <w:rFonts w:hint="eastAsia" w:ascii="宋体" w:hAnsi="宋体" w:cs="宋体"/>
          <w:color w:val="auto"/>
          <w:szCs w:val="21"/>
          <w:highlight w:val="none"/>
        </w:rPr>
        <w:t>；</w:t>
      </w:r>
      <w:bookmarkEnd w:id="97"/>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w:t>
      </w:r>
      <w:bookmarkStart w:id="98" w:name="OLE_LINK142"/>
      <w:bookmarkStart w:id="99" w:name="OLE_LINK211"/>
      <w:r>
        <w:rPr>
          <w:rFonts w:hint="eastAsia" w:ascii="宋体" w:hAnsi="宋体" w:cs="宋体"/>
          <w:color w:val="auto"/>
          <w:szCs w:val="21"/>
          <w:highlight w:val="none"/>
        </w:rPr>
        <w:t>因重大变故，采购任务取消的</w:t>
      </w:r>
      <w:bookmarkEnd w:id="98"/>
      <w:r>
        <w:rPr>
          <w:rFonts w:hint="eastAsia" w:ascii="宋体" w:hAnsi="宋体" w:cs="宋体"/>
          <w:color w:val="auto"/>
          <w:szCs w:val="21"/>
          <w:highlight w:val="none"/>
        </w:rPr>
        <w:t>。</w:t>
      </w:r>
      <w:bookmarkEnd w:id="99"/>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100" w:name="_Toc7406"/>
      <w:r>
        <w:rPr>
          <w:rFonts w:hint="eastAsia" w:ascii="宋体" w:hAnsi="宋体" w:cs="宋体"/>
          <w:color w:val="auto"/>
          <w:kern w:val="0"/>
          <w:sz w:val="24"/>
          <w:szCs w:val="24"/>
          <w:highlight w:val="none"/>
        </w:rPr>
        <w:t>11．重新组建评标委员会进行评标</w:t>
      </w:r>
      <w:bookmarkEnd w:id="100"/>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（1）评标委员会组成不符合《政府采购货物和服务招标投标管理办法》规定的；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（2）有《政府采购货物和服务招标投标管理办法》第六十二条第一至五项情形的；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（3）评标委员会及其成员独立评标受到非法干预的；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（4）有政府采购法实施条例第七十五条规定的违法行为的。</w:t>
      </w:r>
    </w:p>
    <w:p>
      <w:pPr>
        <w:adjustRightInd w:val="0"/>
        <w:snapToGrid w:val="0"/>
        <w:spacing w:before="161" w:beforeLines="50" w:line="360" w:lineRule="auto"/>
        <w:ind w:firstLine="420" w:firstLineChars="200"/>
        <w:jc w:val="left"/>
        <w:rPr>
          <w:rFonts w:hint="eastAsia" w:ascii="宋体" w:hAnsi="宋体" w:cs="宋体"/>
          <w:b/>
          <w:color w:val="auto"/>
          <w:sz w:val="32"/>
          <w:szCs w:val="32"/>
          <w:highlight w:val="none"/>
        </w:rPr>
      </w:pPr>
      <w:r>
        <w:rPr>
          <w:rFonts w:hint="eastAsia" w:ascii="宋体" w:hAnsi="宋体" w:cs="宋体"/>
          <w:color w:val="auto"/>
          <w:szCs w:val="21"/>
          <w:highlight w:val="none"/>
        </w:rPr>
        <w:t>11.2有违法违规行为的原评标委员会成员不得参加重新组建的评标委员会。</w:t>
      </w:r>
      <w:r>
        <w:rPr>
          <w:rFonts w:hint="eastAsia" w:ascii="宋体" w:hAnsi="宋体" w:cs="宋体"/>
          <w:b/>
          <w:color w:val="auto"/>
          <w:sz w:val="32"/>
          <w:szCs w:val="32"/>
          <w:highlight w:val="none"/>
        </w:rPr>
        <w:br w:type="page"/>
      </w:r>
    </w:p>
    <w:p>
      <w:pPr>
        <w:pStyle w:val="3"/>
        <w:adjustRightInd w:val="0"/>
        <w:snapToGrid w:val="0"/>
        <w:jc w:val="center"/>
        <w:rPr>
          <w:rFonts w:hint="eastAsia" w:ascii="宋体" w:hAnsi="宋体" w:cs="宋体"/>
          <w:color w:val="auto"/>
          <w:sz w:val="28"/>
          <w:szCs w:val="28"/>
          <w:highlight w:val="none"/>
        </w:rPr>
      </w:pPr>
      <w:bookmarkStart w:id="101" w:name="_Toc20717"/>
      <w:r>
        <w:rPr>
          <w:rFonts w:hint="eastAsia" w:ascii="宋体" w:hAnsi="宋体" w:cs="宋体"/>
          <w:color w:val="auto"/>
          <w:sz w:val="28"/>
          <w:szCs w:val="28"/>
          <w:highlight w:val="none"/>
        </w:rPr>
        <w:t>第三节 投标文件的符合性审查</w:t>
      </w:r>
      <w:bookmarkEnd w:id="101"/>
    </w:p>
    <w:p>
      <w:pPr>
        <w:adjustRightInd w:val="0"/>
        <w:snapToGrid w:val="0"/>
        <w:spacing w:before="161" w:beforeLines="50" w:line="360" w:lineRule="auto"/>
        <w:rPr>
          <w:rFonts w:hint="eastAsia" w:ascii="宋体" w:hAnsi="宋体" w:cs="宋体"/>
          <w:b/>
          <w:color w:val="auto"/>
          <w:sz w:val="24"/>
          <w:highlight w:val="none"/>
        </w:rPr>
      </w:pPr>
      <w:r>
        <w:rPr>
          <w:rFonts w:hint="eastAsia" w:ascii="宋体" w:hAnsi="宋体" w:cs="宋体"/>
          <w:b/>
          <w:color w:val="auto"/>
          <w:sz w:val="24"/>
          <w:highlight w:val="none"/>
        </w:rPr>
        <w:t>1.符合性审查</w:t>
      </w:r>
    </w:p>
    <w:p>
      <w:pPr>
        <w:adjustRightInd w:val="0"/>
        <w:snapToGrid w:val="0"/>
        <w:spacing w:before="161" w:beforeLines="50"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w:t>
      </w:r>
      <w:r>
        <w:rPr>
          <w:rFonts w:hint="eastAsia" w:ascii="宋体" w:hAnsi="宋体" w:cs="宋体"/>
          <w:color w:val="auto"/>
          <w:szCs w:val="21"/>
          <w:highlight w:val="none"/>
        </w:rPr>
        <w:t>评标委员会应按本章本节附表1“符合性审查表”所列审查项目及审查标准，</w:t>
      </w:r>
      <w:r>
        <w:rPr>
          <w:rFonts w:hint="eastAsia" w:ascii="宋体" w:hAnsi="宋体" w:cs="宋体"/>
          <w:color w:val="auto"/>
          <w:highlight w:val="none"/>
        </w:rPr>
        <w:t>对符合资格条件的投标人的投标文件进行符合性审查，以确定其是否满足招标文件的实质性要求。</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（2）投标人不得通过修正或撤销不合要求的偏离从而使其投标成为实质上响应的投标。</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kern w:val="0"/>
          <w:szCs w:val="21"/>
          <w:highlight w:val="none"/>
        </w:rPr>
        <w:t>1.2</w:t>
      </w:r>
      <w:r>
        <w:rPr>
          <w:rFonts w:hint="eastAsia" w:ascii="宋体" w:hAnsi="宋体" w:cs="宋体"/>
          <w:color w:val="auto"/>
          <w:highlight w:val="none"/>
        </w:rPr>
        <w:t>未通过符合性审查的投标人，其投标将被认定为投标无效，不能进入下一阶段评审。通过符合性审查的投标人数量不足 3 家的，不得作进一步的比较和评价。</w:t>
      </w:r>
    </w:p>
    <w:p>
      <w:pPr>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2.投标无效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2.1投标人存在下列情况之一的，符合性审查不合格，投标无效：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（1）投标文件中商务技术文件未按照招标文件规定要求签署、盖章的；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（2）投标文件没有对招标文件的实质性要求和条件作出响应，或者对招标文件的偏离超出招标文件规定的偏离</w:t>
      </w:r>
      <w:r>
        <w:rPr>
          <w:rFonts w:hint="eastAsia" w:ascii="宋体" w:hAnsi="宋体" w:cs="宋体"/>
          <w:color w:val="auto"/>
          <w:highlight w:val="none"/>
        </w:rPr>
        <w:t>范围和幅度</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（3）投标有效期不足的；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（4）投标文件含有采购人不能接受的附加条件的；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（5）不符合本节第1.1款规定符合性审查标准的；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（6）法律、法规和招标文件规定的其他投标无效情形的。</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，并书面报告本级财政部门。</w:t>
      </w:r>
    </w:p>
    <w:p>
      <w:pPr>
        <w:rPr>
          <w:rFonts w:hint="eastAsia" w:ascii="宋体" w:hAnsi="宋体" w:cs="宋体"/>
          <w:color w:val="auto"/>
          <w:highlight w:val="none"/>
        </w:rPr>
      </w:pPr>
    </w:p>
    <w:p>
      <w:pPr>
        <w:rPr>
          <w:rFonts w:hint="eastAsia" w:ascii="宋体" w:hAnsi="宋体" w:cs="宋体"/>
          <w:color w:val="auto"/>
          <w:highlight w:val="none"/>
        </w:rPr>
      </w:pPr>
    </w:p>
    <w:p>
      <w:pPr>
        <w:widowControl/>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p>
    <w:p>
      <w:pPr>
        <w:pStyle w:val="4"/>
        <w:adjustRightInd w:val="0"/>
        <w:snapToGrid w:val="0"/>
        <w:spacing w:before="161" w:beforeLines="50" w:after="0" w:line="360" w:lineRule="auto"/>
        <w:rPr>
          <w:rFonts w:hint="eastAsia" w:ascii="宋体" w:hAnsi="宋体" w:cs="宋体"/>
          <w:color w:val="auto"/>
          <w:sz w:val="21"/>
          <w:szCs w:val="21"/>
          <w:highlight w:val="none"/>
        </w:rPr>
      </w:pPr>
      <w:bookmarkStart w:id="102" w:name="_Toc15295"/>
      <w:r>
        <w:rPr>
          <w:rFonts w:hint="eastAsia" w:ascii="宋体" w:hAnsi="宋体" w:cs="宋体"/>
          <w:color w:val="auto"/>
          <w:sz w:val="21"/>
          <w:szCs w:val="21"/>
          <w:highlight w:val="none"/>
        </w:rPr>
        <w:t>附表1 符合性审查表</w:t>
      </w:r>
      <w:bookmarkEnd w:id="102"/>
    </w:p>
    <w:p>
      <w:pPr>
        <w:adjustRightInd w:val="0"/>
        <w:snapToGrid w:val="0"/>
        <w:spacing w:before="161" w:beforeLines="50"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符合性审查表</w:t>
      </w:r>
    </w:p>
    <w:p>
      <w:pPr>
        <w:adjustRightInd w:val="0"/>
        <w:snapToGrid w:val="0"/>
        <w:spacing w:before="161" w:beforeLines="50"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项目名称：                                           采购代理编号： </w:t>
      </w:r>
    </w:p>
    <w:tbl>
      <w:tblPr>
        <w:tblStyle w:val="43"/>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2686"/>
        <w:gridCol w:w="56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2686"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5691"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3" w:name="OLE_LINK119"/>
            <w:r>
              <w:rPr>
                <w:rFonts w:hint="eastAsia" w:ascii="宋体" w:hAnsi="宋体" w:cs="宋体"/>
                <w:color w:val="auto"/>
                <w:highlight w:val="none"/>
              </w:rPr>
              <w:t>投标文件的签署、盖章</w:t>
            </w:r>
            <w:bookmarkEnd w:id="103"/>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4" w:name="OLE_LINK120"/>
            <w:r>
              <w:rPr>
                <w:rFonts w:hint="eastAsia" w:ascii="宋体" w:hAnsi="宋体" w:cs="宋体"/>
                <w:color w:val="auto"/>
                <w:highlight w:val="none"/>
              </w:rPr>
              <w:t>投标文件中商务技术文件未按照招标文件规定要求签署、盖 章的，其符合性审查不合格。</w:t>
            </w:r>
            <w:bookmarkEnd w:id="10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5" w:name="OLE_LINK121"/>
            <w:r>
              <w:rPr>
                <w:rFonts w:hint="eastAsia" w:ascii="宋体" w:hAnsi="宋体" w:cs="宋体"/>
                <w:color w:val="auto"/>
                <w:highlight w:val="none"/>
              </w:rPr>
              <w:t>对招标文件条款的响应</w:t>
            </w:r>
            <w:bookmarkEnd w:id="105"/>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6" w:name="OLE_LINK122"/>
            <w:r>
              <w:rPr>
                <w:rFonts w:hint="eastAsia" w:ascii="宋体" w:hAnsi="宋体" w:cs="宋体"/>
                <w:color w:val="auto"/>
                <w:highlight w:val="none"/>
              </w:rPr>
              <w:t>投标文件没有对招标文件的实质性要求和条件作出响应，或 者对招标文件的偏离超出招标文件规定的偏离范围和幅度的，其符合性审查不合格。</w:t>
            </w:r>
            <w:bookmarkEnd w:id="106"/>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7" w:name="OLE_LINK123"/>
            <w:r>
              <w:rPr>
                <w:rFonts w:hint="eastAsia" w:ascii="宋体" w:hAnsi="宋体" w:cs="宋体"/>
                <w:color w:val="auto"/>
                <w:highlight w:val="none"/>
              </w:rPr>
              <w:t>投标有效期</w:t>
            </w:r>
            <w:bookmarkEnd w:id="107"/>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8" w:name="OLE_LINK124"/>
            <w:r>
              <w:rPr>
                <w:rFonts w:hint="eastAsia" w:ascii="宋体" w:hAnsi="宋体" w:cs="宋体"/>
                <w:color w:val="auto"/>
                <w:highlight w:val="none"/>
              </w:rPr>
              <w:t>投标有效期不足的，其符合性审查不合格。</w:t>
            </w:r>
            <w:bookmarkEnd w:id="108"/>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9" w:name="OLE_LINK125"/>
            <w:r>
              <w:rPr>
                <w:rFonts w:hint="eastAsia" w:ascii="宋体" w:hAnsi="宋体" w:cs="宋体"/>
                <w:color w:val="auto"/>
                <w:highlight w:val="none"/>
              </w:rPr>
              <w:t>附加条件</w:t>
            </w:r>
            <w:bookmarkEnd w:id="109"/>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10" w:name="OLE_LINK126"/>
            <w:r>
              <w:rPr>
                <w:rFonts w:hint="eastAsia" w:ascii="宋体" w:hAnsi="宋体" w:cs="宋体"/>
                <w:color w:val="auto"/>
                <w:highlight w:val="none"/>
              </w:rPr>
              <w:t>投标文件含有采购人不能接受的附加条件的，其符合性审查 不合格。</w:t>
            </w:r>
            <w:bookmarkEnd w:id="11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11" w:name="OLE_LINK127"/>
            <w:r>
              <w:rPr>
                <w:rFonts w:hint="eastAsia" w:ascii="宋体" w:hAnsi="宋体" w:cs="宋体"/>
                <w:color w:val="auto"/>
                <w:highlight w:val="none"/>
              </w:rPr>
              <w:t>其他情形</w:t>
            </w:r>
            <w:bookmarkEnd w:id="111"/>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12" w:name="OLE_LINK128"/>
            <w:r>
              <w:rPr>
                <w:rFonts w:hint="eastAsia" w:ascii="宋体" w:hAnsi="宋体" w:cs="宋体"/>
                <w:color w:val="auto"/>
                <w:highlight w:val="none"/>
              </w:rPr>
              <w:t>存在不符合本章第三节第 1.1 款规定符合性审查标准的，或者法律、法规和招标文件规定的其他投标无效情形的，其符 合性审查不合格。</w:t>
            </w:r>
            <w:bookmarkEnd w:id="11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结论</w:t>
            </w:r>
          </w:p>
        </w:tc>
        <w:tc>
          <w:tcPr>
            <w:tcW w:w="8377" w:type="dxa"/>
            <w:gridSpan w:val="2"/>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 w:val="20"/>
                <w:szCs w:val="21"/>
                <w:highlight w:val="none"/>
              </w:rPr>
            </w:pPr>
          </w:p>
        </w:tc>
      </w:tr>
    </w:tbl>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pPr>
        <w:widowControl/>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pPr>
        <w:pStyle w:val="4"/>
        <w:rPr>
          <w:rFonts w:hint="eastAsia" w:ascii="宋体" w:hAnsi="宋体" w:cs="宋体"/>
          <w:color w:val="auto"/>
          <w:sz w:val="21"/>
          <w:szCs w:val="21"/>
          <w:highlight w:val="none"/>
        </w:rPr>
      </w:pPr>
      <w:bookmarkStart w:id="113" w:name="_Toc13959"/>
      <w:r>
        <w:rPr>
          <w:rFonts w:hint="eastAsia" w:ascii="宋体" w:hAnsi="宋体" w:cs="宋体"/>
          <w:color w:val="auto"/>
          <w:sz w:val="21"/>
          <w:szCs w:val="21"/>
          <w:highlight w:val="none"/>
        </w:rPr>
        <w:t>附表2 符合性审查结果一览表</w:t>
      </w:r>
      <w:bookmarkEnd w:id="113"/>
    </w:p>
    <w:p>
      <w:pPr>
        <w:adjustRightInd w:val="0"/>
        <w:snapToGrid w:val="0"/>
        <w:spacing w:before="161" w:beforeLines="50"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符合性审查结果一览表</w:t>
      </w:r>
    </w:p>
    <w:p>
      <w:pPr>
        <w:adjustRightInd w:val="0"/>
        <w:snapToGrid w:val="0"/>
        <w:spacing w:before="161" w:beforeLines="50"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                                           采购代理编号：</w:t>
      </w:r>
    </w:p>
    <w:tbl>
      <w:tblPr>
        <w:tblStyle w:val="43"/>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963"/>
        <w:gridCol w:w="2439"/>
        <w:gridCol w:w="29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2963"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投标人名称</w:t>
            </w:r>
          </w:p>
        </w:tc>
        <w:tc>
          <w:tcPr>
            <w:tcW w:w="2439"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符合性审查结果</w:t>
            </w:r>
          </w:p>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（合格/不合格）</w:t>
            </w:r>
          </w:p>
        </w:tc>
        <w:tc>
          <w:tcPr>
            <w:tcW w:w="2961"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符合性审查不合格原因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bl>
    <w:p>
      <w:pPr>
        <w:widowControl/>
        <w:jc w:val="left"/>
        <w:rPr>
          <w:rFonts w:hint="eastAsia" w:ascii="宋体" w:hAnsi="宋体" w:cs="宋体"/>
          <w:bCs/>
          <w:color w:val="auto"/>
          <w:szCs w:val="21"/>
          <w:highlight w:val="none"/>
        </w:rPr>
      </w:pPr>
      <w:r>
        <w:rPr>
          <w:rFonts w:hint="eastAsia" w:ascii="宋体" w:hAnsi="宋体" w:cs="宋体"/>
          <w:b/>
          <w:color w:val="auto"/>
          <w:szCs w:val="21"/>
          <w:highlight w:val="none"/>
        </w:rPr>
        <w:br w:type="page"/>
      </w:r>
    </w:p>
    <w:p>
      <w:pPr>
        <w:pStyle w:val="4"/>
        <w:rPr>
          <w:rFonts w:hint="eastAsia" w:ascii="宋体" w:hAnsi="宋体" w:cs="宋体"/>
          <w:color w:val="auto"/>
          <w:sz w:val="21"/>
          <w:szCs w:val="21"/>
          <w:highlight w:val="none"/>
        </w:rPr>
      </w:pPr>
      <w:bookmarkStart w:id="114" w:name="_Toc25953"/>
      <w:r>
        <w:rPr>
          <w:rFonts w:hint="eastAsia" w:ascii="宋体" w:hAnsi="宋体" w:cs="宋体"/>
          <w:color w:val="auto"/>
          <w:sz w:val="21"/>
          <w:szCs w:val="21"/>
          <w:highlight w:val="none"/>
        </w:rPr>
        <w:t>附表3 符合性审查合格投标人名单</w:t>
      </w:r>
      <w:bookmarkEnd w:id="114"/>
    </w:p>
    <w:p>
      <w:pPr>
        <w:adjustRightInd w:val="0"/>
        <w:snapToGrid w:val="0"/>
        <w:spacing w:before="161" w:beforeLines="50"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符合性审查合格投标人名单</w:t>
      </w:r>
    </w:p>
    <w:p>
      <w:pPr>
        <w:adjustRightInd w:val="0"/>
        <w:snapToGrid w:val="0"/>
        <w:spacing w:before="161" w:beforeLines="50" w:line="360" w:lineRule="auto"/>
        <w:rPr>
          <w:rFonts w:hint="eastAsia" w:ascii="宋体" w:hAnsi="宋体" w:cs="宋体"/>
          <w:color w:val="auto"/>
          <w:sz w:val="32"/>
          <w:szCs w:val="32"/>
          <w:highlight w:val="none"/>
        </w:rPr>
      </w:pPr>
      <w:r>
        <w:rPr>
          <w:rFonts w:hint="eastAsia" w:ascii="宋体" w:hAnsi="宋体" w:cs="宋体"/>
          <w:color w:val="auto"/>
          <w:szCs w:val="21"/>
          <w:highlight w:val="none"/>
        </w:rPr>
        <w:t>项目名称：                                        采购代理编号：</w:t>
      </w:r>
    </w:p>
    <w:tbl>
      <w:tblPr>
        <w:tblStyle w:val="43"/>
        <w:tblW w:w="878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7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7796"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合格投标人名称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Cs w:val="21"/>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bl>
    <w:p>
      <w:pPr>
        <w:rPr>
          <w:rFonts w:hint="eastAsia" w:ascii="宋体" w:hAnsi="宋体" w:cs="宋体"/>
          <w:color w:val="auto"/>
          <w:w w:val="90"/>
          <w:highlight w:val="none"/>
        </w:rPr>
      </w:pPr>
    </w:p>
    <w:p>
      <w:pPr>
        <w:rPr>
          <w:rFonts w:hint="eastAsia" w:ascii="宋体" w:hAnsi="宋体" w:cs="宋体"/>
          <w:b/>
          <w:color w:val="auto"/>
          <w:sz w:val="32"/>
          <w:szCs w:val="32"/>
          <w:highlight w:val="none"/>
        </w:rPr>
      </w:pPr>
    </w:p>
    <w:p>
      <w:pPr>
        <w:pStyle w:val="3"/>
        <w:adjustRightInd w:val="0"/>
        <w:snapToGrid w:val="0"/>
        <w:jc w:val="center"/>
        <w:rPr>
          <w:rFonts w:hint="eastAsia" w:ascii="宋体" w:hAnsi="宋体" w:cs="宋体"/>
          <w:color w:val="auto"/>
          <w:sz w:val="28"/>
          <w:szCs w:val="28"/>
          <w:highlight w:val="none"/>
        </w:rPr>
      </w:pPr>
      <w:r>
        <w:rPr>
          <w:rFonts w:hint="eastAsia" w:ascii="宋体" w:hAnsi="宋体" w:cs="宋体"/>
          <w:b w:val="0"/>
          <w:color w:val="auto"/>
          <w:sz w:val="32"/>
          <w:highlight w:val="none"/>
        </w:rPr>
        <w:br w:type="page"/>
      </w:r>
      <w:bookmarkStart w:id="115" w:name="_Toc18545"/>
      <w:r>
        <w:rPr>
          <w:rFonts w:hint="eastAsia" w:ascii="宋体" w:hAnsi="宋体" w:cs="宋体"/>
          <w:color w:val="auto"/>
          <w:sz w:val="28"/>
          <w:szCs w:val="28"/>
          <w:highlight w:val="none"/>
        </w:rPr>
        <w:t>第四节 投标文件的比较与评价（综合评分法）</w:t>
      </w:r>
      <w:bookmarkEnd w:id="115"/>
    </w:p>
    <w:p>
      <w:pPr>
        <w:widowControl/>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1.</w:t>
      </w:r>
      <w:r>
        <w:rPr>
          <w:rFonts w:hint="eastAsia" w:ascii="宋体" w:hAnsi="宋体" w:cs="宋体"/>
          <w:color w:val="auto"/>
          <w:highlight w:val="none"/>
        </w:rPr>
        <w:t xml:space="preserve"> </w:t>
      </w:r>
      <w:r>
        <w:rPr>
          <w:rFonts w:hint="eastAsia" w:ascii="宋体" w:hAnsi="宋体" w:cs="宋体"/>
          <w:b/>
          <w:color w:val="auto"/>
          <w:sz w:val="24"/>
          <w:highlight w:val="none"/>
        </w:rPr>
        <w:t>综合评分法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1.1综合评分法，指投标文件满足招标文件全部实质性要求，且按照评审因素的量化指标评审得分最高的投标人为中标候选人的评标方法。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1.3未通过符合性审查的投标文件不得进入比较与评价。</w:t>
      </w:r>
    </w:p>
    <w:p>
      <w:pPr>
        <w:adjustRightInd w:val="0"/>
        <w:snapToGrid w:val="0"/>
        <w:spacing w:before="161" w:beforeLines="50" w:line="360" w:lineRule="auto"/>
        <w:jc w:val="left"/>
        <w:rPr>
          <w:rFonts w:hint="eastAsia" w:ascii="宋体" w:hAnsi="宋体" w:cs="宋体"/>
          <w:b/>
          <w:bCs/>
          <w:color w:val="auto"/>
          <w:sz w:val="24"/>
          <w:highlight w:val="none"/>
        </w:rPr>
      </w:pPr>
      <w:r>
        <w:rPr>
          <w:rFonts w:hint="eastAsia" w:ascii="宋体" w:hAnsi="宋体" w:cs="宋体"/>
          <w:b/>
          <w:bCs/>
          <w:color w:val="auto"/>
          <w:sz w:val="24"/>
          <w:highlight w:val="none"/>
        </w:rPr>
        <w:t>2.</w:t>
      </w:r>
      <w:r>
        <w:rPr>
          <w:rFonts w:hint="eastAsia" w:ascii="宋体" w:hAnsi="宋体" w:cs="宋体"/>
          <w:color w:val="auto"/>
          <w:highlight w:val="none"/>
        </w:rPr>
        <w:t xml:space="preserve"> </w:t>
      </w:r>
      <w:r>
        <w:rPr>
          <w:rFonts w:hint="eastAsia" w:ascii="宋体" w:hAnsi="宋体" w:cs="宋体"/>
          <w:b/>
          <w:bCs/>
          <w:color w:val="auto"/>
          <w:sz w:val="24"/>
          <w:highlight w:val="none"/>
        </w:rPr>
        <w:t>投标报价的算术修正及政府采购政策调整</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2.1如果有算术错误，投标报价将按本章第二节第4.2款、第4.3款规定进行算术修正。</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2.2需落实政府采购政策（价格评审优惠）的，按第二章“投标须知”及本章第二节第5.4（1）项的相关规定进行价格调整。</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2.3按本章本节第2.1款、第2.2款规定，以修正或调整后的价格确定投标人的投标报价和评标基准价，用于投标报价评价。</w:t>
      </w:r>
    </w:p>
    <w:p>
      <w:pPr>
        <w:adjustRightInd w:val="0"/>
        <w:snapToGrid w:val="0"/>
        <w:spacing w:before="161" w:beforeLines="50" w:line="360" w:lineRule="auto"/>
        <w:jc w:val="left"/>
        <w:rPr>
          <w:rFonts w:hint="eastAsia" w:ascii="宋体" w:hAnsi="宋体" w:cs="宋体"/>
          <w:b/>
          <w:bCs/>
          <w:color w:val="auto"/>
          <w:sz w:val="24"/>
          <w:highlight w:val="none"/>
        </w:rPr>
      </w:pPr>
      <w:r>
        <w:rPr>
          <w:rFonts w:hint="eastAsia" w:ascii="宋体" w:hAnsi="宋体" w:cs="宋体"/>
          <w:b/>
          <w:bCs/>
          <w:color w:val="auto"/>
          <w:sz w:val="24"/>
          <w:highlight w:val="none"/>
        </w:rPr>
        <w:t>3.</w:t>
      </w:r>
      <w:r>
        <w:rPr>
          <w:rFonts w:hint="eastAsia" w:ascii="宋体" w:hAnsi="宋体" w:cs="宋体"/>
          <w:color w:val="auto"/>
          <w:highlight w:val="none"/>
        </w:rPr>
        <w:t xml:space="preserve"> </w:t>
      </w:r>
      <w:r>
        <w:rPr>
          <w:rFonts w:hint="eastAsia" w:ascii="宋体" w:hAnsi="宋体" w:cs="宋体"/>
          <w:b/>
          <w:bCs/>
          <w:color w:val="auto"/>
          <w:sz w:val="24"/>
          <w:highlight w:val="none"/>
        </w:rPr>
        <w:t>投标报价评价</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投标报价得分=（评标基准价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／投标报价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 × 报价权重分</w:t>
      </w:r>
    </w:p>
    <w:p>
      <w:pPr>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4.商务、技术等评分项响应评价及政府采购政策加分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4.1商务、技术等评分项响应评分。按</w:t>
      </w:r>
      <w:r>
        <w:rPr>
          <w:rFonts w:hint="eastAsia" w:ascii="宋体" w:hAnsi="宋体" w:cs="宋体"/>
          <w:bCs/>
          <w:color w:val="auto"/>
          <w:szCs w:val="21"/>
          <w:highlight w:val="none"/>
        </w:rPr>
        <w:t>本章</w:t>
      </w:r>
      <w:r>
        <w:rPr>
          <w:rFonts w:hint="eastAsia" w:ascii="宋体" w:hAnsi="宋体" w:cs="宋体"/>
          <w:color w:val="auto"/>
          <w:szCs w:val="21"/>
          <w:highlight w:val="none"/>
        </w:rPr>
        <w:t>本节附页1“评标方法及标准表”规定的评标因素和标准，对商务、技术等评分项计算得分。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4.2需落实政府采购政策（优先采购）的，按第二章、本章第二节第5.4（2）项以及本节附页1“评标方法及标准表”的相关规定进行价格、商务、技术项得分(加分)计算。</w:t>
      </w:r>
    </w:p>
    <w:p>
      <w:pPr>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5.评标总得分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5.1评标总得分为投标报价、商务、技术等评分项得分(含优先采购政策加分)之和。</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评标总得分＝A</w:t>
      </w:r>
      <w:r>
        <w:rPr>
          <w:rFonts w:hint="eastAsia" w:ascii="宋体" w:hAnsi="宋体" w:cs="宋体"/>
          <w:color w:val="auto"/>
          <w:szCs w:val="21"/>
          <w:highlight w:val="none"/>
          <w:vertAlign w:val="subscript"/>
        </w:rPr>
        <w:t>投标报价得分</w:t>
      </w:r>
      <w:r>
        <w:rPr>
          <w:rFonts w:hint="eastAsia" w:ascii="宋体" w:hAnsi="宋体" w:cs="宋体"/>
          <w:color w:val="auto"/>
          <w:szCs w:val="21"/>
          <w:highlight w:val="none"/>
        </w:rPr>
        <w:t>＋A</w:t>
      </w:r>
      <w:r>
        <w:rPr>
          <w:rFonts w:hint="eastAsia" w:ascii="宋体" w:hAnsi="宋体" w:cs="宋体"/>
          <w:color w:val="auto"/>
          <w:szCs w:val="21"/>
          <w:highlight w:val="none"/>
          <w:vertAlign w:val="subscript"/>
        </w:rPr>
        <w:t>商务项得分</w:t>
      </w:r>
      <w:r>
        <w:rPr>
          <w:rFonts w:hint="eastAsia" w:ascii="宋体" w:hAnsi="宋体" w:cs="宋体"/>
          <w:color w:val="auto"/>
          <w:szCs w:val="21"/>
          <w:highlight w:val="none"/>
        </w:rPr>
        <w:t>＋A</w:t>
      </w:r>
      <w:r>
        <w:rPr>
          <w:rFonts w:hint="eastAsia" w:ascii="宋体" w:hAnsi="宋体" w:cs="宋体"/>
          <w:color w:val="auto"/>
          <w:szCs w:val="21"/>
          <w:highlight w:val="none"/>
          <w:vertAlign w:val="subscript"/>
        </w:rPr>
        <w:t>技术项得分</w:t>
      </w:r>
      <w:r>
        <w:rPr>
          <w:rFonts w:hint="eastAsia" w:ascii="宋体" w:hAnsi="宋体" w:cs="宋体"/>
          <w:color w:val="auto"/>
          <w:szCs w:val="21"/>
          <w:highlight w:val="none"/>
        </w:rPr>
        <w:t>＋A</w:t>
      </w:r>
      <w:r>
        <w:rPr>
          <w:rFonts w:hint="eastAsia" w:ascii="宋体" w:hAnsi="宋体" w:cs="宋体"/>
          <w:color w:val="auto"/>
          <w:szCs w:val="21"/>
          <w:highlight w:val="none"/>
          <w:vertAlign w:val="subscript"/>
        </w:rPr>
        <w:t>优先采购加分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5.2评分分值计算保留小数点后两位，小数点后第三位“四舍五入”。</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5.3</w:t>
      </w:r>
      <w:r>
        <w:rPr>
          <w:rFonts w:hint="eastAsia" w:ascii="宋体" w:hAnsi="宋体" w:cs="宋体"/>
          <w:color w:val="auto"/>
          <w:szCs w:val="21"/>
          <w:highlight w:val="none"/>
        </w:rPr>
        <w:t>评标时，评标委员会成员应当独立对满足招标文件全部实质性要求投标人的</w:t>
      </w:r>
      <w:r>
        <w:rPr>
          <w:rFonts w:hint="eastAsia" w:ascii="宋体" w:hAnsi="宋体" w:cs="宋体"/>
          <w:bCs/>
          <w:color w:val="auto"/>
          <w:szCs w:val="21"/>
          <w:highlight w:val="none"/>
        </w:rPr>
        <w:t>投标文件</w:t>
      </w:r>
      <w:r>
        <w:rPr>
          <w:rFonts w:hint="eastAsia" w:ascii="宋体" w:hAnsi="宋体" w:cs="宋体"/>
          <w:color w:val="auto"/>
          <w:szCs w:val="21"/>
          <w:highlight w:val="none"/>
        </w:rPr>
        <w:t>进行评价、评分，然后汇总每个投标人每项评分因素的得分。每个投标人的最终得分为所有评标委员会成员评分的算术平均值。</w:t>
      </w:r>
    </w:p>
    <w:p>
      <w:pPr>
        <w:adjustRightInd w:val="0"/>
        <w:snapToGrid w:val="0"/>
        <w:spacing w:before="161" w:beforeLines="50" w:line="360" w:lineRule="auto"/>
        <w:jc w:val="left"/>
        <w:rPr>
          <w:rFonts w:hint="eastAsia" w:ascii="宋体" w:hAnsi="宋体" w:cs="宋体"/>
          <w:b/>
          <w:bCs/>
          <w:color w:val="auto"/>
          <w:sz w:val="24"/>
          <w:highlight w:val="none"/>
        </w:rPr>
      </w:pPr>
      <w:r>
        <w:rPr>
          <w:rFonts w:hint="eastAsia" w:ascii="宋体" w:hAnsi="宋体" w:cs="宋体"/>
          <w:b/>
          <w:bCs/>
          <w:color w:val="auto"/>
          <w:sz w:val="24"/>
          <w:highlight w:val="none"/>
        </w:rPr>
        <w:t>6.中标候选人的推荐方法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6.2得分且投标报价相同的并列，按本章第二节规定确定中标候选人。</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p>
    <w:p>
      <w:pPr>
        <w:widowControl/>
        <w:jc w:val="left"/>
        <w:rPr>
          <w:rFonts w:hint="eastAsia" w:ascii="宋体" w:hAnsi="宋体" w:cs="宋体"/>
          <w:bCs/>
          <w:color w:val="auto"/>
          <w:szCs w:val="21"/>
          <w:highlight w:val="none"/>
        </w:rPr>
      </w:pPr>
      <w:r>
        <w:rPr>
          <w:rFonts w:hint="eastAsia" w:ascii="宋体" w:hAnsi="宋体" w:cs="宋体"/>
          <w:bCs/>
          <w:color w:val="auto"/>
          <w:szCs w:val="21"/>
          <w:highlight w:val="none"/>
        </w:rPr>
        <w:br w:type="page"/>
      </w:r>
    </w:p>
    <w:p>
      <w:pPr>
        <w:pStyle w:val="4"/>
        <w:adjustRightInd w:val="0"/>
        <w:snapToGrid w:val="0"/>
        <w:spacing w:before="161" w:beforeLines="50" w:after="0" w:line="360" w:lineRule="auto"/>
        <w:rPr>
          <w:rFonts w:hint="eastAsia" w:ascii="宋体" w:hAnsi="宋体" w:cs="宋体"/>
          <w:color w:val="auto"/>
          <w:sz w:val="21"/>
          <w:szCs w:val="21"/>
          <w:highlight w:val="none"/>
        </w:rPr>
      </w:pPr>
      <w:bookmarkStart w:id="116" w:name="_Toc10462"/>
      <w:r>
        <w:rPr>
          <w:rFonts w:hint="eastAsia" w:ascii="宋体" w:hAnsi="宋体" w:cs="宋体"/>
          <w:color w:val="auto"/>
          <w:sz w:val="21"/>
          <w:szCs w:val="21"/>
          <w:highlight w:val="none"/>
        </w:rPr>
        <w:t>附页1 评标方法及标准表</w:t>
      </w:r>
      <w:bookmarkEnd w:id="116"/>
    </w:p>
    <w:p>
      <w:pPr>
        <w:spacing w:before="96" w:beforeLines="30" w:after="96" w:afterLines="30"/>
        <w:jc w:val="center"/>
        <w:rPr>
          <w:rFonts w:hint="eastAsia" w:ascii="宋体" w:hAnsi="宋体" w:eastAsia="宋体" w:cs="宋体"/>
          <w:b/>
          <w:color w:val="auto"/>
          <w:highlight w:val="none"/>
        </w:rPr>
      </w:pPr>
      <w:r>
        <w:rPr>
          <w:rFonts w:hint="eastAsia" w:ascii="宋体" w:hAnsi="宋体" w:eastAsia="宋体" w:cs="宋体"/>
          <w:b/>
          <w:color w:val="auto"/>
          <w:highlight w:val="none"/>
        </w:rPr>
        <w:t>附表 1、包1的权值见下表</w:t>
      </w:r>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4620"/>
        <w:gridCol w:w="3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0"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序号</w:t>
            </w:r>
          </w:p>
        </w:tc>
        <w:tc>
          <w:tcPr>
            <w:tcW w:w="4620"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项</w:t>
            </w:r>
            <w:r>
              <w:rPr>
                <w:rFonts w:hint="eastAsia" w:ascii="宋体" w:hAnsi="宋体" w:eastAsia="宋体" w:cs="宋体"/>
                <w:b/>
                <w:bCs/>
                <w:color w:val="auto"/>
                <w:sz w:val="18"/>
                <w:szCs w:val="18"/>
                <w:highlight w:val="none"/>
              </w:rPr>
              <w:tab/>
            </w:r>
            <w:r>
              <w:rPr>
                <w:rFonts w:hint="eastAsia" w:ascii="宋体" w:hAnsi="宋体" w:eastAsia="宋体" w:cs="宋体"/>
                <w:b/>
                <w:bCs/>
                <w:color w:val="auto"/>
                <w:sz w:val="18"/>
                <w:szCs w:val="18"/>
                <w:highlight w:val="none"/>
              </w:rPr>
              <w:t>目</w:t>
            </w:r>
          </w:p>
        </w:tc>
        <w:tc>
          <w:tcPr>
            <w:tcW w:w="3487"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权值的取值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462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报价（A1）</w:t>
            </w:r>
          </w:p>
        </w:tc>
        <w:tc>
          <w:tcPr>
            <w:tcW w:w="3487"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0.</w:t>
            </w:r>
            <w:r>
              <w:rPr>
                <w:rFonts w:hint="eastAsia" w:ascii="宋体" w:hAnsi="宋体" w:cs="宋体"/>
                <w:color w:val="auto"/>
                <w:sz w:val="18"/>
                <w:szCs w:val="18"/>
                <w:highlight w:val="none"/>
                <w:lang w:val="en-US" w:eastAsia="zh-CN"/>
              </w:rPr>
              <w:t>4</w:t>
            </w:r>
            <w:r>
              <w:rPr>
                <w:rFonts w:hint="eastAsia" w:ascii="宋体" w:hAnsi="宋体" w:eastAsia="宋体" w:cs="宋体"/>
                <w:color w:val="auto"/>
                <w:sz w:val="18"/>
                <w:szCs w:val="18"/>
                <w:highlight w:val="none"/>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462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商务（A2）</w:t>
            </w:r>
          </w:p>
        </w:tc>
        <w:tc>
          <w:tcPr>
            <w:tcW w:w="3487" w:type="dxa"/>
            <w:tcBorders>
              <w:tl2br w:val="nil"/>
              <w:tr2bl w:val="nil"/>
            </w:tcBorders>
            <w:vAlign w:val="center"/>
          </w:tcPr>
          <w:p>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0.</w:t>
            </w:r>
            <w:r>
              <w:rPr>
                <w:rFonts w:hint="eastAsia" w:ascii="宋体" w:hAnsi="宋体" w:cs="宋体"/>
                <w:color w:val="auto"/>
                <w:sz w:val="18"/>
                <w:szCs w:val="18"/>
                <w:highlight w:val="none"/>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462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技术（A3）</w:t>
            </w:r>
          </w:p>
        </w:tc>
        <w:tc>
          <w:tcPr>
            <w:tcW w:w="3487" w:type="dxa"/>
            <w:tcBorders>
              <w:tl2br w:val="nil"/>
              <w:tr2bl w:val="nil"/>
            </w:tcBorders>
            <w:vAlign w:val="center"/>
          </w:tcPr>
          <w:p>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0.</w:t>
            </w:r>
            <w:r>
              <w:rPr>
                <w:rFonts w:hint="eastAsia" w:ascii="宋体" w:hAnsi="宋体" w:cs="宋体"/>
                <w:color w:val="auto"/>
                <w:sz w:val="18"/>
                <w:szCs w:val="18"/>
                <w:highlight w:val="none"/>
                <w:lang w:val="en-US" w:eastAsia="zh-CN"/>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460" w:type="dxa"/>
            <w:gridSpan w:val="2"/>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合计</w:t>
            </w:r>
          </w:p>
        </w:tc>
        <w:tc>
          <w:tcPr>
            <w:tcW w:w="3487"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r>
    </w:tbl>
    <w:p>
      <w:pPr>
        <w:widowControl w:val="0"/>
        <w:spacing w:after="120"/>
        <w:ind w:left="420" w:leftChars="200" w:firstLine="420" w:firstLineChars="200"/>
        <w:jc w:val="both"/>
        <w:rPr>
          <w:rFonts w:ascii="Times New Roman" w:hAnsi="Times New Roman" w:eastAsia="宋体" w:cs="Times New Roman"/>
          <w:color w:val="auto"/>
          <w:kern w:val="2"/>
          <w:sz w:val="21"/>
          <w:szCs w:val="24"/>
          <w:highlight w:val="none"/>
          <w:lang w:val="en-US" w:eastAsia="zh-CN" w:bidi="ar-SA"/>
        </w:rPr>
      </w:pPr>
    </w:p>
    <w:p>
      <w:pPr>
        <w:rPr>
          <w:rFonts w:hint="eastAsia" w:ascii="宋体" w:hAnsi="宋体" w:eastAsia="宋体" w:cs="宋体"/>
          <w:b/>
          <w:color w:val="auto"/>
          <w:highlight w:val="none"/>
        </w:rPr>
      </w:pPr>
      <w:r>
        <w:rPr>
          <w:rFonts w:hint="eastAsia" w:ascii="宋体" w:hAnsi="宋体" w:eastAsia="宋体" w:cs="宋体"/>
          <w:b/>
          <w:color w:val="auto"/>
          <w:highlight w:val="none"/>
        </w:rPr>
        <w:br w:type="page"/>
      </w:r>
    </w:p>
    <w:p>
      <w:pPr>
        <w:spacing w:before="96" w:beforeLines="30" w:after="96" w:afterLines="3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附表 1.1 包1投标报价评审标准表</w:t>
      </w:r>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2110"/>
        <w:gridCol w:w="57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640"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序号</w:t>
            </w:r>
          </w:p>
        </w:tc>
        <w:tc>
          <w:tcPr>
            <w:tcW w:w="2110"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评标因素（权重分）</w:t>
            </w:r>
          </w:p>
        </w:tc>
        <w:tc>
          <w:tcPr>
            <w:tcW w:w="5772"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评标标准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6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211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价格评价项</w:t>
            </w:r>
          </w:p>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（F=100 分）</w:t>
            </w:r>
          </w:p>
        </w:tc>
        <w:tc>
          <w:tcPr>
            <w:tcW w:w="5772" w:type="dxa"/>
            <w:tcBorders>
              <w:tl2br w:val="nil"/>
              <w:tr2bl w:val="nil"/>
            </w:tcBorders>
            <w:vAlign w:val="center"/>
          </w:tcPr>
          <w:p>
            <w:pPr>
              <w:widowControl w:val="0"/>
              <w:spacing w:before="42"/>
              <w:ind w:firstLine="328" w:firstLineChars="200"/>
              <w:jc w:val="both"/>
              <w:rPr>
                <w:rFonts w:hint="eastAsia" w:ascii="宋体" w:hAnsi="宋体" w:eastAsia="宋体" w:cs="宋体"/>
                <w:color w:val="auto"/>
                <w:kern w:val="2"/>
                <w:sz w:val="18"/>
                <w:szCs w:val="24"/>
                <w:highlight w:val="none"/>
                <w:lang w:val="zh-CN" w:eastAsia="zh-CN" w:bidi="zh-CN"/>
              </w:rPr>
            </w:pPr>
            <w:bookmarkStart w:id="117" w:name="OLE_LINK189"/>
            <w:r>
              <w:rPr>
                <w:rFonts w:hint="eastAsia" w:ascii="宋体" w:hAnsi="宋体" w:eastAsia="宋体" w:cs="宋体"/>
                <w:color w:val="auto"/>
                <w:spacing w:val="-8"/>
                <w:kern w:val="2"/>
                <w:sz w:val="18"/>
                <w:szCs w:val="24"/>
                <w:highlight w:val="none"/>
                <w:lang w:val="zh-CN" w:eastAsia="zh-CN" w:bidi="zh-CN"/>
              </w:rPr>
              <w:t>满足招标文件要求且投标价格最低的投标报价为评标基准价，投标报价得分=</w:t>
            </w:r>
            <w:r>
              <w:rPr>
                <w:rFonts w:hint="eastAsia" w:ascii="宋体" w:hAnsi="宋体" w:eastAsia="宋体" w:cs="宋体"/>
                <w:color w:val="auto"/>
                <w:spacing w:val="-3"/>
                <w:kern w:val="2"/>
                <w:sz w:val="18"/>
                <w:szCs w:val="24"/>
                <w:highlight w:val="none"/>
                <w:lang w:val="zh-CN" w:eastAsia="zh-CN" w:bidi="zh-CN"/>
              </w:rPr>
              <w:t>（</w:t>
            </w:r>
            <w:r>
              <w:rPr>
                <w:rFonts w:hint="eastAsia" w:ascii="宋体" w:hAnsi="宋体" w:eastAsia="宋体" w:cs="宋体"/>
                <w:color w:val="auto"/>
                <w:kern w:val="2"/>
                <w:sz w:val="18"/>
                <w:szCs w:val="24"/>
                <w:highlight w:val="none"/>
                <w:lang w:val="zh-CN" w:eastAsia="zh-CN" w:bidi="zh-CN"/>
              </w:rPr>
              <w:t>评标基准价</w:t>
            </w:r>
            <w:r>
              <w:rPr>
                <w:rFonts w:hint="eastAsia" w:ascii="宋体" w:hAnsi="宋体" w:eastAsia="宋体" w:cs="宋体"/>
                <w:color w:val="auto"/>
                <w:kern w:val="2"/>
                <w:position w:val="-2"/>
                <w:sz w:val="9"/>
                <w:szCs w:val="24"/>
                <w:highlight w:val="none"/>
                <w:lang w:val="zh-CN" w:eastAsia="zh-CN" w:bidi="zh-CN"/>
              </w:rPr>
              <w:t>修正或调整</w:t>
            </w:r>
            <w:r>
              <w:rPr>
                <w:rFonts w:hint="eastAsia" w:ascii="宋体" w:hAnsi="宋体" w:eastAsia="宋体" w:cs="宋体"/>
                <w:color w:val="auto"/>
                <w:kern w:val="2"/>
                <w:sz w:val="18"/>
                <w:szCs w:val="24"/>
                <w:highlight w:val="none"/>
                <w:lang w:val="zh-CN" w:eastAsia="zh-CN" w:bidi="zh-CN"/>
              </w:rPr>
              <w:t>／投标报价</w:t>
            </w:r>
            <w:r>
              <w:rPr>
                <w:rFonts w:hint="eastAsia" w:ascii="宋体" w:hAnsi="宋体" w:eastAsia="宋体" w:cs="宋体"/>
                <w:color w:val="auto"/>
                <w:kern w:val="2"/>
                <w:position w:val="-2"/>
                <w:sz w:val="9"/>
                <w:szCs w:val="24"/>
                <w:highlight w:val="none"/>
                <w:lang w:val="zh-CN" w:eastAsia="zh-CN" w:bidi="zh-CN"/>
              </w:rPr>
              <w:t>修正或调整</w:t>
            </w:r>
            <w:r>
              <w:rPr>
                <w:rFonts w:hint="eastAsia" w:ascii="宋体" w:hAnsi="宋体" w:eastAsia="宋体" w:cs="宋体"/>
                <w:color w:val="auto"/>
                <w:kern w:val="2"/>
                <w:sz w:val="18"/>
                <w:szCs w:val="24"/>
                <w:highlight w:val="none"/>
                <w:lang w:val="zh-CN" w:eastAsia="zh-CN" w:bidi="zh-CN"/>
              </w:rPr>
              <w:t>）×100 分。</w:t>
            </w:r>
          </w:p>
          <w:p>
            <w:pPr>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11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211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pacing w:val="-14"/>
                <w:sz w:val="18"/>
                <w:highlight w:val="none"/>
              </w:rPr>
              <w:t>优先采购加分</w:t>
            </w:r>
            <w:r>
              <w:rPr>
                <w:rFonts w:hint="eastAsia" w:ascii="宋体" w:hAnsi="宋体" w:eastAsia="宋体" w:cs="宋体"/>
                <w:color w:val="auto"/>
                <w:sz w:val="18"/>
                <w:highlight w:val="none"/>
              </w:rPr>
              <w:t>（F</w:t>
            </w:r>
            <w:r>
              <w:rPr>
                <w:rFonts w:hint="eastAsia" w:ascii="宋体" w:hAnsi="宋体" w:eastAsia="宋体" w:cs="宋体"/>
                <w:color w:val="auto"/>
                <w:spacing w:val="-47"/>
                <w:sz w:val="18"/>
                <w:highlight w:val="none"/>
              </w:rPr>
              <w:t xml:space="preserve"> </w:t>
            </w:r>
            <w:r>
              <w:rPr>
                <w:rFonts w:hint="eastAsia" w:ascii="宋体" w:hAnsi="宋体" w:eastAsia="宋体" w:cs="宋体"/>
                <w:color w:val="auto"/>
                <w:position w:val="-2"/>
                <w:sz w:val="9"/>
                <w:highlight w:val="none"/>
              </w:rPr>
              <w:t>优先采购加分</w:t>
            </w:r>
            <w:r>
              <w:rPr>
                <w:rFonts w:hint="eastAsia" w:ascii="宋体" w:hAnsi="宋体" w:eastAsia="宋体" w:cs="宋体"/>
                <w:color w:val="auto"/>
                <w:sz w:val="18"/>
                <w:highlight w:val="none"/>
              </w:rPr>
              <w:t>）</w:t>
            </w:r>
          </w:p>
        </w:tc>
        <w:tc>
          <w:tcPr>
            <w:tcW w:w="5772" w:type="dxa"/>
            <w:tcBorders>
              <w:tl2br w:val="nil"/>
              <w:tr2bl w:val="nil"/>
            </w:tcBorders>
          </w:tcPr>
          <w:p>
            <w:pPr>
              <w:ind w:firstLine="480" w:firstLineChars="200"/>
              <w:rPr>
                <w:rFonts w:hint="eastAsia" w:ascii="宋体" w:hAnsi="宋体" w:eastAsia="宋体" w:cs="宋体"/>
                <w:color w:val="auto"/>
                <w:sz w:val="18"/>
                <w:szCs w:val="18"/>
                <w:highlight w:val="none"/>
              </w:rPr>
            </w:pPr>
            <w:r>
              <w:rPr>
                <w:rFonts w:ascii="仿宋" w:hAnsi="仿宋" w:eastAsia="仿宋" w:cs="Times New Roman"/>
                <w:color w:val="auto"/>
                <w:position w:val="-16"/>
                <w:sz w:val="24"/>
                <w:highlight w:val="none"/>
              </w:rPr>
              <w:object>
                <v:shape id="_x0000_i1025" o:spt="75" type="#_x0000_t75" style="height:20.8pt;width:101.55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r>
              <w:rPr>
                <w:rFonts w:hint="eastAsia" w:ascii="宋体" w:hAnsi="宋体" w:eastAsia="宋体" w:cs="Times New Roman"/>
                <w:color w:val="auto"/>
                <w:sz w:val="18"/>
                <w:szCs w:val="18"/>
                <w:highlight w:val="none"/>
              </w:rPr>
              <w:t>×100×本项目加分比例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40" w:type="dxa"/>
            <w:tcBorders>
              <w:tl2br w:val="nil"/>
              <w:tr2bl w:val="nil"/>
            </w:tcBorders>
          </w:tcPr>
          <w:p>
            <w:pPr>
              <w:widowControl w:val="0"/>
              <w:spacing w:before="91"/>
              <w:jc w:val="center"/>
              <w:rPr>
                <w:rFonts w:hint="eastAsia" w:ascii="宋体" w:hAnsi="宋体" w:eastAsia="宋体" w:cs="宋体"/>
                <w:color w:val="auto"/>
                <w:kern w:val="2"/>
                <w:sz w:val="18"/>
                <w:szCs w:val="18"/>
                <w:highlight w:val="none"/>
                <w:lang w:val="zh-CN" w:eastAsia="zh-CN" w:bidi="zh-CN"/>
              </w:rPr>
            </w:pPr>
            <w:r>
              <w:rPr>
                <w:rFonts w:hint="eastAsia" w:ascii="宋体" w:hAnsi="宋体" w:eastAsia="宋体" w:cs="宋体"/>
                <w:color w:val="auto"/>
                <w:kern w:val="2"/>
                <w:sz w:val="18"/>
                <w:szCs w:val="24"/>
                <w:highlight w:val="none"/>
                <w:lang w:val="zh-CN" w:eastAsia="zh-CN" w:bidi="zh-CN"/>
              </w:rPr>
              <w:t>∑</w:t>
            </w:r>
          </w:p>
        </w:tc>
        <w:tc>
          <w:tcPr>
            <w:tcW w:w="7882" w:type="dxa"/>
            <w:gridSpan w:val="2"/>
            <w:tcBorders>
              <w:tl2br w:val="nil"/>
              <w:tr2bl w:val="nil"/>
            </w:tcBorders>
          </w:tcPr>
          <w:p>
            <w:pPr>
              <w:widowControl w:val="0"/>
              <w:spacing w:before="95"/>
              <w:ind w:left="107"/>
              <w:jc w:val="both"/>
              <w:rPr>
                <w:rFonts w:hint="eastAsia" w:ascii="宋体" w:hAnsi="宋体" w:eastAsia="宋体" w:cs="宋体"/>
                <w:color w:val="auto"/>
                <w:kern w:val="2"/>
                <w:sz w:val="18"/>
                <w:szCs w:val="18"/>
                <w:highlight w:val="none"/>
                <w:lang w:val="zh-CN" w:eastAsia="zh-CN" w:bidi="zh-CN"/>
              </w:rPr>
            </w:pPr>
            <w:r>
              <w:rPr>
                <w:rFonts w:hint="eastAsia" w:ascii="宋体" w:hAnsi="宋体" w:eastAsia="宋体" w:cs="宋体"/>
                <w:color w:val="auto"/>
                <w:kern w:val="2"/>
                <w:position w:val="2"/>
                <w:sz w:val="18"/>
                <w:szCs w:val="24"/>
                <w:highlight w:val="none"/>
                <w:lang w:val="zh-CN" w:eastAsia="zh-CN" w:bidi="zh-CN"/>
              </w:rPr>
              <w:t>F</w:t>
            </w:r>
            <w:r>
              <w:rPr>
                <w:rFonts w:hint="eastAsia" w:ascii="宋体" w:hAnsi="宋体" w:eastAsia="宋体" w:cs="宋体"/>
                <w:color w:val="auto"/>
                <w:kern w:val="2"/>
                <w:sz w:val="9"/>
                <w:szCs w:val="24"/>
                <w:highlight w:val="none"/>
                <w:lang w:val="zh-CN" w:eastAsia="zh-CN" w:bidi="zh-CN"/>
              </w:rPr>
              <w:t>1</w:t>
            </w:r>
            <w:r>
              <w:rPr>
                <w:rFonts w:hint="eastAsia" w:ascii="宋体" w:hAnsi="宋体" w:eastAsia="宋体" w:cs="宋体"/>
                <w:color w:val="auto"/>
                <w:kern w:val="2"/>
                <w:position w:val="2"/>
                <w:sz w:val="18"/>
                <w:szCs w:val="24"/>
                <w:highlight w:val="none"/>
                <w:lang w:val="zh-CN" w:eastAsia="zh-CN" w:bidi="zh-CN"/>
              </w:rPr>
              <w:t xml:space="preserve">=F+ F </w:t>
            </w:r>
            <w:r>
              <w:rPr>
                <w:rFonts w:hint="eastAsia" w:ascii="宋体" w:hAnsi="宋体" w:eastAsia="宋体" w:cs="宋体"/>
                <w:color w:val="auto"/>
                <w:kern w:val="2"/>
                <w:sz w:val="9"/>
                <w:szCs w:val="24"/>
                <w:highlight w:val="none"/>
                <w:lang w:val="zh-CN" w:eastAsia="zh-CN" w:bidi="zh-CN"/>
              </w:rPr>
              <w:t>优先采购加分</w:t>
            </w:r>
          </w:p>
        </w:tc>
      </w:tr>
    </w:tbl>
    <w:p>
      <w:pPr>
        <w:rPr>
          <w:rFonts w:hint="eastAsia" w:ascii="宋体" w:hAnsi="宋体" w:eastAsia="宋体" w:cs="宋体"/>
          <w:b/>
          <w:color w:val="auto"/>
          <w:highlight w:val="none"/>
        </w:rPr>
      </w:pPr>
    </w:p>
    <w:p>
      <w:pPr>
        <w:rPr>
          <w:rFonts w:hint="eastAsia" w:ascii="宋体" w:hAnsi="宋体" w:eastAsia="宋体" w:cs="宋体"/>
          <w:b/>
          <w:color w:val="auto"/>
          <w:highlight w:val="none"/>
        </w:rPr>
      </w:pPr>
      <w:r>
        <w:rPr>
          <w:rFonts w:hint="eastAsia" w:ascii="宋体" w:hAnsi="宋体" w:eastAsia="宋体" w:cs="宋体"/>
          <w:b/>
          <w:color w:val="auto"/>
          <w:highlight w:val="none"/>
        </w:rPr>
        <w:br w:type="page"/>
      </w:r>
    </w:p>
    <w:p>
      <w:pPr>
        <w:spacing w:before="96" w:beforeLines="30" w:after="96" w:afterLines="3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附表 1.2 包1商务部分评审标准表</w:t>
      </w:r>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915"/>
        <w:gridCol w:w="1068"/>
        <w:gridCol w:w="59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b/>
                <w:bCs/>
                <w:color w:val="auto"/>
                <w:sz w:val="18"/>
                <w:szCs w:val="18"/>
                <w:highlight w:val="none"/>
              </w:rPr>
              <w:t>序号</w:t>
            </w:r>
          </w:p>
        </w:tc>
        <w:tc>
          <w:tcPr>
            <w:tcW w:w="1983" w:type="dxa"/>
            <w:gridSpan w:val="2"/>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b/>
                <w:bCs/>
                <w:color w:val="auto"/>
                <w:sz w:val="18"/>
                <w:szCs w:val="18"/>
                <w:highlight w:val="none"/>
              </w:rPr>
              <w:t>评标因素（权重分）</w:t>
            </w:r>
          </w:p>
        </w:tc>
        <w:tc>
          <w:tcPr>
            <w:tcW w:w="5957" w:type="dxa"/>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b/>
                <w:bCs/>
                <w:color w:val="auto"/>
                <w:sz w:val="18"/>
                <w:szCs w:val="18"/>
                <w:highlight w:val="none"/>
              </w:rPr>
              <w:t>评标标准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82" w:type="dxa"/>
            <w:vMerge w:val="restart"/>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15" w:type="dxa"/>
            <w:vMerge w:val="restart"/>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商务评价项</w:t>
            </w:r>
          </w:p>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（F=100 分）</w:t>
            </w: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rPr>
            </w:pPr>
            <w:bookmarkStart w:id="118" w:name="OLE_LINK178"/>
            <w:r>
              <w:rPr>
                <w:rFonts w:hint="eastAsia" w:ascii="宋体" w:hAnsi="宋体" w:eastAsia="宋体" w:cs="新宋体"/>
                <w:color w:val="auto"/>
                <w:kern w:val="0"/>
                <w:sz w:val="18"/>
                <w:szCs w:val="18"/>
                <w:highlight w:val="none"/>
              </w:rPr>
              <w:t>商务要求响应情况</w:t>
            </w:r>
          </w:p>
          <w:bookmarkEnd w:id="118"/>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（10分）</w:t>
            </w:r>
          </w:p>
        </w:tc>
        <w:tc>
          <w:tcPr>
            <w:tcW w:w="595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19" w:name="OLE_LINK177"/>
            <w:r>
              <w:rPr>
                <w:rFonts w:hint="eastAsia" w:ascii="宋体" w:hAnsi="宋体" w:eastAsia="宋体" w:cs="新宋体"/>
                <w:color w:val="auto"/>
                <w:kern w:val="0"/>
                <w:sz w:val="18"/>
                <w:szCs w:val="18"/>
                <w:highlight w:val="none"/>
              </w:rPr>
              <w:t>满足招标文件商务要求（第六章第三节政府采购合同专用条款）的计10分，每偏离一项扣5分，扣完为止。</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注：投标文件未提供《合同条款偏离表》的，本项不计分。</w:t>
            </w:r>
            <w:bookmarkEnd w:id="11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59" w:hRule="atLeast"/>
        </w:trPr>
        <w:tc>
          <w:tcPr>
            <w:tcW w:w="582" w:type="dxa"/>
            <w:vMerge w:val="continue"/>
            <w:tcBorders>
              <w:tl2br w:val="nil"/>
              <w:tr2bl w:val="nil"/>
            </w:tcBorders>
            <w:vAlign w:val="center"/>
          </w:tcPr>
          <w:p>
            <w:pPr>
              <w:jc w:val="center"/>
              <w:rPr>
                <w:rFonts w:hint="eastAsia" w:ascii="宋体" w:hAnsi="宋体" w:eastAsia="宋体" w:cs="宋体"/>
                <w:color w:val="auto"/>
                <w:szCs w:val="21"/>
                <w:highlight w:val="none"/>
              </w:rPr>
            </w:pPr>
          </w:p>
        </w:tc>
        <w:tc>
          <w:tcPr>
            <w:tcW w:w="915" w:type="dxa"/>
            <w:vMerge w:val="continue"/>
            <w:tcBorders>
              <w:tl2br w:val="nil"/>
              <w:tr2bl w:val="nil"/>
            </w:tcBorders>
            <w:vAlign w:val="center"/>
          </w:tcPr>
          <w:p>
            <w:pPr>
              <w:jc w:val="center"/>
              <w:rPr>
                <w:rFonts w:hint="eastAsia" w:ascii="宋体" w:hAnsi="宋体" w:eastAsia="宋体" w:cs="宋体"/>
                <w:color w:val="auto"/>
                <w:sz w:val="18"/>
                <w:szCs w:val="18"/>
                <w:highlight w:val="none"/>
              </w:rPr>
            </w:pP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lang w:eastAsia="en-US"/>
              </w:rPr>
            </w:pPr>
            <w:bookmarkStart w:id="120" w:name="OLE_LINK179"/>
            <w:r>
              <w:rPr>
                <w:rFonts w:hint="eastAsia" w:ascii="宋体" w:hAnsi="宋体" w:eastAsia="宋体" w:cs="新宋体"/>
                <w:color w:val="auto"/>
                <w:kern w:val="0"/>
                <w:sz w:val="18"/>
                <w:szCs w:val="18"/>
                <w:highlight w:val="none"/>
                <w:lang w:eastAsia="en-US"/>
              </w:rPr>
              <w:t>培训方案</w:t>
            </w:r>
          </w:p>
          <w:bookmarkEnd w:id="120"/>
          <w:p>
            <w:pPr>
              <w:jc w:val="center"/>
              <w:rPr>
                <w:rFonts w:hint="eastAsia" w:ascii="宋体" w:hAnsi="宋体" w:eastAsia="宋体" w:cs="新宋体"/>
                <w:color w:val="auto"/>
                <w:kern w:val="0"/>
                <w:sz w:val="18"/>
                <w:szCs w:val="18"/>
                <w:highlight w:val="none"/>
                <w:lang w:eastAsia="en-US"/>
              </w:rPr>
            </w:pPr>
            <w:r>
              <w:rPr>
                <w:rFonts w:hint="eastAsia" w:ascii="宋体" w:hAnsi="宋体" w:eastAsia="宋体" w:cs="新宋体"/>
                <w:color w:val="auto"/>
                <w:kern w:val="0"/>
                <w:sz w:val="18"/>
                <w:szCs w:val="18"/>
                <w:highlight w:val="none"/>
              </w:rPr>
              <w:t>（20分）</w:t>
            </w:r>
          </w:p>
        </w:tc>
        <w:tc>
          <w:tcPr>
            <w:tcW w:w="595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21" w:name="OLE_LINK181"/>
            <w:r>
              <w:rPr>
                <w:rFonts w:hint="eastAsia" w:ascii="宋体" w:hAnsi="宋体" w:eastAsia="宋体" w:cs="新宋体"/>
                <w:color w:val="auto"/>
                <w:kern w:val="0"/>
                <w:sz w:val="18"/>
                <w:szCs w:val="18"/>
                <w:highlight w:val="none"/>
              </w:rPr>
              <w:t>投标人根据采购需求提供针对本项目的培训方案，内容应包括但不限于：</w:t>
            </w:r>
            <w:r>
              <w:rPr>
                <w:rFonts w:hint="eastAsia" w:ascii="宋体" w:hAnsi="宋体" w:eastAsia="宋体" w:cs="宋体"/>
                <w:color w:val="auto"/>
                <w:sz w:val="18"/>
                <w:szCs w:val="18"/>
                <w:highlight w:val="none"/>
              </w:rPr>
              <w:t>①培训计划、②培训内容、③培训技术力量、④培训资料、⑤培训方式等方案</w:t>
            </w:r>
            <w:r>
              <w:rPr>
                <w:rFonts w:hint="eastAsia" w:ascii="宋体" w:hAnsi="宋体" w:eastAsia="宋体" w:cs="新宋体"/>
                <w:color w:val="auto"/>
                <w:kern w:val="0"/>
                <w:sz w:val="18"/>
                <w:szCs w:val="18"/>
                <w:highlight w:val="none"/>
              </w:rPr>
              <w:t>。方案包含以上全部内容且结合本项目实际阐述详实、清晰的计20分；内容有缺漏的每项扣</w:t>
            </w:r>
            <w:r>
              <w:rPr>
                <w:rFonts w:hint="eastAsia" w:ascii="宋体" w:hAnsi="宋体" w:eastAsia="宋体" w:cs="宋体"/>
                <w:color w:val="auto"/>
                <w:sz w:val="18"/>
                <w:szCs w:val="18"/>
                <w:highlight w:val="none"/>
              </w:rPr>
              <w:t>4分</w:t>
            </w:r>
            <w:r>
              <w:rPr>
                <w:rFonts w:hint="eastAsia" w:ascii="宋体" w:hAnsi="宋体" w:eastAsia="宋体" w:cs="新宋体"/>
                <w:color w:val="auto"/>
                <w:kern w:val="0"/>
                <w:sz w:val="18"/>
                <w:szCs w:val="18"/>
                <w:highlight w:val="none"/>
              </w:rPr>
              <w:t>；每有一项内容不完整或不合理或有缺陷或与项目不匹配的扣</w:t>
            </w:r>
            <w:r>
              <w:rPr>
                <w:rFonts w:hint="eastAsia" w:ascii="宋体" w:hAnsi="宋体" w:eastAsia="宋体" w:cs="宋体"/>
                <w:color w:val="auto"/>
                <w:sz w:val="18"/>
                <w:szCs w:val="18"/>
                <w:highlight w:val="none"/>
              </w:rPr>
              <w:t>2分</w:t>
            </w:r>
            <w:r>
              <w:rPr>
                <w:rFonts w:hint="eastAsia" w:ascii="宋体" w:hAnsi="宋体" w:eastAsia="宋体" w:cs="新宋体"/>
                <w:color w:val="auto"/>
                <w:kern w:val="0"/>
                <w:sz w:val="18"/>
                <w:szCs w:val="18"/>
                <w:highlight w:val="none"/>
              </w:rPr>
              <w:t>，扣完为止；未提供的不计分。</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内容不完整或不合理或有缺陷或与项目不匹配是指：非专门针对本项目或不适用项目特性的情形、内容不完整或缺少关键节点、套用其他项目方案、内容前后矛盾、涉及的规范及标准错误、不利于项目实施、不可能实现的情形等任意一种情形。</w:t>
            </w:r>
            <w:bookmarkEnd w:id="121"/>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vMerge w:val="continue"/>
            <w:tcBorders>
              <w:tl2br w:val="nil"/>
              <w:tr2bl w:val="nil"/>
            </w:tcBorders>
            <w:vAlign w:val="center"/>
          </w:tcPr>
          <w:p>
            <w:pPr>
              <w:jc w:val="center"/>
              <w:rPr>
                <w:rFonts w:hint="eastAsia" w:ascii="宋体" w:hAnsi="宋体" w:eastAsia="宋体" w:cs="宋体"/>
                <w:color w:val="auto"/>
                <w:szCs w:val="21"/>
                <w:highlight w:val="none"/>
              </w:rPr>
            </w:pPr>
          </w:p>
        </w:tc>
        <w:tc>
          <w:tcPr>
            <w:tcW w:w="915" w:type="dxa"/>
            <w:vMerge w:val="continue"/>
            <w:tcBorders>
              <w:tl2br w:val="nil"/>
              <w:tr2bl w:val="nil"/>
            </w:tcBorders>
            <w:vAlign w:val="center"/>
          </w:tcPr>
          <w:p>
            <w:pPr>
              <w:jc w:val="center"/>
              <w:rPr>
                <w:rFonts w:hint="eastAsia" w:ascii="宋体" w:hAnsi="宋体" w:eastAsia="宋体" w:cs="宋体"/>
                <w:color w:val="auto"/>
                <w:sz w:val="18"/>
                <w:szCs w:val="18"/>
                <w:highlight w:val="none"/>
              </w:rPr>
            </w:pP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rPr>
            </w:pPr>
            <w:bookmarkStart w:id="122" w:name="OLE_LINK205"/>
            <w:r>
              <w:rPr>
                <w:rFonts w:hint="eastAsia" w:ascii="宋体" w:hAnsi="宋体" w:eastAsia="宋体" w:cs="新宋体"/>
                <w:color w:val="auto"/>
                <w:kern w:val="0"/>
                <w:sz w:val="18"/>
                <w:szCs w:val="18"/>
                <w:highlight w:val="none"/>
              </w:rPr>
              <w:t>售后服务</w:t>
            </w:r>
          </w:p>
          <w:bookmarkEnd w:id="122"/>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（40分）</w:t>
            </w:r>
          </w:p>
        </w:tc>
        <w:tc>
          <w:tcPr>
            <w:tcW w:w="595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23" w:name="OLE_LINK182"/>
            <w:r>
              <w:rPr>
                <w:rFonts w:hint="eastAsia" w:ascii="宋体" w:hAnsi="宋体" w:eastAsia="宋体" w:cs="新宋体"/>
                <w:color w:val="auto"/>
                <w:kern w:val="0"/>
                <w:sz w:val="18"/>
                <w:szCs w:val="18"/>
                <w:highlight w:val="none"/>
              </w:rPr>
              <w:t>投标人提供的售后服务方案，包括但不限于：</w:t>
            </w:r>
            <w:r>
              <w:rPr>
                <w:rFonts w:hint="eastAsia" w:ascii="宋体" w:hAnsi="宋体" w:eastAsia="宋体" w:cs="宋体"/>
                <w:color w:val="auto"/>
                <w:sz w:val="18"/>
                <w:szCs w:val="18"/>
                <w:highlight w:val="none"/>
              </w:rPr>
              <w:t>①免费售后服务年限、②质量保证计划、③维护技术力量、④服务响应时间、⑤质保期满后服务措施</w:t>
            </w:r>
            <w:r>
              <w:rPr>
                <w:rFonts w:hint="eastAsia" w:ascii="宋体" w:hAnsi="宋体" w:eastAsia="宋体" w:cs="新宋体"/>
                <w:color w:val="auto"/>
                <w:kern w:val="0"/>
                <w:sz w:val="18"/>
                <w:szCs w:val="18"/>
                <w:highlight w:val="none"/>
              </w:rPr>
              <w:t>等方案。方案包含以上全部内容且结合本项目实际阐述详实完整、合理、针对性强的计40分，每缺一项扣</w:t>
            </w:r>
            <w:r>
              <w:rPr>
                <w:rFonts w:hint="eastAsia" w:ascii="宋体" w:hAnsi="宋体" w:eastAsia="宋体" w:cs="宋体"/>
                <w:color w:val="auto"/>
                <w:sz w:val="18"/>
                <w:szCs w:val="18"/>
                <w:highlight w:val="none"/>
              </w:rPr>
              <w:t>8分</w:t>
            </w:r>
            <w:r>
              <w:rPr>
                <w:rFonts w:hint="eastAsia" w:ascii="宋体" w:hAnsi="宋体" w:eastAsia="宋体" w:cs="新宋体"/>
                <w:color w:val="auto"/>
                <w:kern w:val="0"/>
                <w:sz w:val="18"/>
                <w:szCs w:val="18"/>
                <w:highlight w:val="none"/>
              </w:rPr>
              <w:t>，每有一项内容不完整或不合理或有缺陷或与项目不匹配的扣</w:t>
            </w:r>
            <w:r>
              <w:rPr>
                <w:rFonts w:hint="eastAsia" w:ascii="宋体" w:hAnsi="宋体" w:eastAsia="宋体" w:cs="宋体"/>
                <w:color w:val="auto"/>
                <w:sz w:val="18"/>
                <w:szCs w:val="18"/>
                <w:highlight w:val="none"/>
              </w:rPr>
              <w:t>4分</w:t>
            </w:r>
            <w:r>
              <w:rPr>
                <w:rFonts w:hint="eastAsia" w:ascii="宋体" w:hAnsi="宋体" w:eastAsia="宋体" w:cs="新宋体"/>
                <w:color w:val="auto"/>
                <w:kern w:val="0"/>
                <w:sz w:val="18"/>
                <w:szCs w:val="18"/>
                <w:highlight w:val="none"/>
              </w:rPr>
              <w:t>，扣完为止；未提供的不计分。</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内容不完整或不合理或有缺陷或与项目不匹配是指：非专门针对本项目或不适用项目特性的情形、内容不完整或缺少关键节点、套用其他项目方案、内容前后矛盾、涉及的规范及标准错误、不利于项目实施、不可能实现的情形等任意一种情形。</w:t>
            </w:r>
            <w:bookmarkEnd w:id="123"/>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vMerge w:val="continue"/>
            <w:tcBorders>
              <w:tl2br w:val="nil"/>
              <w:tr2bl w:val="nil"/>
            </w:tcBorders>
            <w:vAlign w:val="center"/>
          </w:tcPr>
          <w:p>
            <w:pPr>
              <w:jc w:val="center"/>
              <w:rPr>
                <w:rFonts w:hint="eastAsia" w:ascii="宋体" w:hAnsi="宋体" w:eastAsia="宋体" w:cs="宋体"/>
                <w:color w:val="auto"/>
                <w:highlight w:val="none"/>
              </w:rPr>
            </w:pPr>
          </w:p>
        </w:tc>
        <w:tc>
          <w:tcPr>
            <w:tcW w:w="915" w:type="dxa"/>
            <w:vMerge w:val="continue"/>
            <w:tcBorders>
              <w:tl2br w:val="nil"/>
              <w:tr2bl w:val="nil"/>
            </w:tcBorders>
          </w:tcPr>
          <w:p>
            <w:pPr>
              <w:jc w:val="center"/>
              <w:rPr>
                <w:rFonts w:hint="eastAsia" w:ascii="宋体" w:hAnsi="宋体" w:eastAsia="宋体" w:cs="宋体"/>
                <w:color w:val="auto"/>
                <w:highlight w:val="none"/>
              </w:rPr>
            </w:pP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lang w:eastAsia="en-US"/>
              </w:rPr>
            </w:pPr>
            <w:bookmarkStart w:id="124" w:name="OLE_LINK206"/>
            <w:r>
              <w:rPr>
                <w:rFonts w:hint="eastAsia" w:ascii="宋体" w:hAnsi="宋体" w:eastAsia="宋体" w:cs="新宋体"/>
                <w:color w:val="auto"/>
                <w:kern w:val="0"/>
                <w:sz w:val="18"/>
                <w:szCs w:val="18"/>
                <w:highlight w:val="none"/>
                <w:lang w:eastAsia="en-US"/>
              </w:rPr>
              <w:t>类似经验</w:t>
            </w:r>
          </w:p>
          <w:bookmarkEnd w:id="124"/>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（30分）</w:t>
            </w:r>
          </w:p>
        </w:tc>
        <w:tc>
          <w:tcPr>
            <w:tcW w:w="595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25" w:name="OLE_LINK183"/>
            <w:r>
              <w:rPr>
                <w:rFonts w:hint="eastAsia" w:ascii="宋体" w:hAnsi="宋体" w:eastAsia="宋体" w:cs="新宋体"/>
                <w:color w:val="auto"/>
                <w:kern w:val="0"/>
                <w:sz w:val="18"/>
                <w:szCs w:val="18"/>
                <w:highlight w:val="none"/>
              </w:rPr>
              <w:t>投标人近三年（指投标文件递交截止时间上推三年，具体以合同签订时间为准）具有类似业绩</w:t>
            </w:r>
            <w:r>
              <w:rPr>
                <w:rFonts w:hint="eastAsia" w:ascii="宋体" w:hAnsi="宋体" w:cs="新宋体"/>
                <w:color w:val="auto"/>
                <w:kern w:val="0"/>
                <w:sz w:val="18"/>
                <w:szCs w:val="18"/>
                <w:highlight w:val="none"/>
                <w:lang w:eastAsia="zh-CN"/>
              </w:rPr>
              <w:t>（至少包括本项目核心产品的销售）</w:t>
            </w:r>
            <w:r>
              <w:rPr>
                <w:rFonts w:hint="eastAsia" w:ascii="宋体" w:hAnsi="宋体" w:eastAsia="宋体" w:cs="新宋体"/>
                <w:color w:val="auto"/>
                <w:kern w:val="0"/>
                <w:sz w:val="18"/>
                <w:szCs w:val="18"/>
                <w:highlight w:val="none"/>
              </w:rPr>
              <w:t>的，每个计6分，最多计30分。</w:t>
            </w:r>
          </w:p>
          <w:p>
            <w:pPr>
              <w:ind w:firstLine="361" w:firstLineChars="200"/>
              <w:jc w:val="left"/>
              <w:rPr>
                <w:rFonts w:hint="eastAsia" w:ascii="宋体" w:hAnsi="宋体" w:eastAsia="宋体" w:cs="新宋体"/>
                <w:color w:val="auto"/>
                <w:kern w:val="0"/>
                <w:sz w:val="18"/>
                <w:szCs w:val="18"/>
                <w:highlight w:val="none"/>
                <w:lang w:val="zh-CN"/>
              </w:rPr>
            </w:pPr>
            <w:r>
              <w:rPr>
                <w:rFonts w:hint="eastAsia" w:ascii="宋体" w:hAnsi="宋体" w:eastAsia="宋体" w:cs="新宋体"/>
                <w:b/>
                <w:bCs/>
                <w:color w:val="auto"/>
                <w:kern w:val="0"/>
                <w:sz w:val="18"/>
                <w:szCs w:val="18"/>
                <w:highlight w:val="none"/>
              </w:rPr>
              <w:t>注：投标文件中需提供合同复印件（至少包括合同首页、关键页及签章页）并加盖投标人单位公章</w:t>
            </w:r>
            <w:r>
              <w:rPr>
                <w:rFonts w:hint="eastAsia" w:ascii="宋体" w:hAnsi="宋体" w:eastAsia="宋体" w:cs="新宋体"/>
                <w:b/>
                <w:bCs/>
                <w:color w:val="auto"/>
                <w:kern w:val="0"/>
                <w:sz w:val="18"/>
                <w:szCs w:val="18"/>
                <w:highlight w:val="none"/>
                <w:lang w:val="zh-CN"/>
              </w:rPr>
              <w:t>，否则不计分</w:t>
            </w:r>
            <w:r>
              <w:rPr>
                <w:rFonts w:hint="eastAsia" w:ascii="宋体" w:hAnsi="宋体" w:eastAsia="宋体" w:cs="新宋体"/>
                <w:b/>
                <w:bCs/>
                <w:color w:val="auto"/>
                <w:kern w:val="0"/>
                <w:sz w:val="18"/>
                <w:szCs w:val="18"/>
                <w:highlight w:val="none"/>
              </w:rPr>
              <w:t>。</w:t>
            </w:r>
            <w:bookmarkEnd w:id="125"/>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983" w:type="dxa"/>
            <w:gridSpan w:val="2"/>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pacing w:val="-14"/>
                <w:sz w:val="18"/>
                <w:highlight w:val="none"/>
              </w:rPr>
              <w:t>优先采购加分</w:t>
            </w:r>
            <w:r>
              <w:rPr>
                <w:rFonts w:hint="eastAsia" w:ascii="宋体" w:hAnsi="宋体" w:eastAsia="宋体" w:cs="宋体"/>
                <w:color w:val="auto"/>
                <w:sz w:val="18"/>
                <w:highlight w:val="none"/>
              </w:rPr>
              <w:t>（F</w:t>
            </w:r>
            <w:r>
              <w:rPr>
                <w:rFonts w:hint="eastAsia" w:ascii="宋体" w:hAnsi="宋体" w:eastAsia="宋体" w:cs="宋体"/>
                <w:color w:val="auto"/>
                <w:spacing w:val="-47"/>
                <w:sz w:val="18"/>
                <w:highlight w:val="none"/>
              </w:rPr>
              <w:t xml:space="preserve"> </w:t>
            </w:r>
            <w:r>
              <w:rPr>
                <w:rFonts w:hint="eastAsia" w:ascii="宋体" w:hAnsi="宋体" w:eastAsia="宋体" w:cs="宋体"/>
                <w:color w:val="auto"/>
                <w:position w:val="-2"/>
                <w:sz w:val="9"/>
                <w:highlight w:val="none"/>
              </w:rPr>
              <w:t>优先采购加分</w:t>
            </w:r>
            <w:r>
              <w:rPr>
                <w:rFonts w:hint="eastAsia" w:ascii="宋体" w:hAnsi="宋体" w:eastAsia="宋体" w:cs="宋体"/>
                <w:color w:val="auto"/>
                <w:sz w:val="18"/>
                <w:highlight w:val="none"/>
              </w:rPr>
              <w:t>）</w:t>
            </w:r>
          </w:p>
        </w:tc>
        <w:tc>
          <w:tcPr>
            <w:tcW w:w="5957" w:type="dxa"/>
            <w:tcBorders>
              <w:tl2br w:val="nil"/>
              <w:tr2bl w:val="nil"/>
            </w:tcBorders>
            <w:vAlign w:val="center"/>
          </w:tcPr>
          <w:p>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tcBorders>
              <w:tl2br w:val="nil"/>
              <w:tr2bl w:val="nil"/>
            </w:tcBorders>
            <w:vAlign w:val="center"/>
          </w:tcPr>
          <w:p>
            <w:pPr>
              <w:spacing w:before="91"/>
              <w:jc w:val="center"/>
              <w:rPr>
                <w:rFonts w:hint="eastAsia" w:ascii="宋体" w:hAnsi="宋体" w:eastAsia="宋体" w:cs="宋体"/>
                <w:color w:val="auto"/>
                <w:szCs w:val="21"/>
                <w:highlight w:val="none"/>
                <w:lang w:val="zh-CN" w:bidi="zh-CN"/>
              </w:rPr>
            </w:pPr>
            <w:r>
              <w:rPr>
                <w:rFonts w:hint="eastAsia" w:ascii="宋体" w:hAnsi="宋体" w:eastAsia="宋体" w:cs="宋体"/>
                <w:color w:val="auto"/>
                <w:sz w:val="18"/>
                <w:highlight w:val="none"/>
                <w:lang w:val="zh-CN" w:bidi="zh-CN"/>
              </w:rPr>
              <w:t>∑</w:t>
            </w:r>
          </w:p>
        </w:tc>
        <w:tc>
          <w:tcPr>
            <w:tcW w:w="7940" w:type="dxa"/>
            <w:gridSpan w:val="3"/>
            <w:tcBorders>
              <w:tl2br w:val="nil"/>
              <w:tr2bl w:val="nil"/>
            </w:tcBorders>
          </w:tcPr>
          <w:p>
            <w:pPr>
              <w:spacing w:before="95"/>
              <w:ind w:left="107"/>
              <w:rPr>
                <w:rFonts w:hint="eastAsia" w:ascii="宋体" w:hAnsi="宋体" w:eastAsia="宋体" w:cs="宋体"/>
                <w:color w:val="auto"/>
                <w:szCs w:val="21"/>
                <w:highlight w:val="none"/>
                <w:lang w:val="zh-CN" w:bidi="zh-CN"/>
              </w:rPr>
            </w:pPr>
            <w:r>
              <w:rPr>
                <w:rFonts w:hint="eastAsia" w:ascii="宋体" w:hAnsi="宋体" w:eastAsia="宋体" w:cs="宋体"/>
                <w:color w:val="auto"/>
                <w:position w:val="2"/>
                <w:sz w:val="18"/>
                <w:highlight w:val="none"/>
                <w:lang w:val="zh-CN" w:bidi="zh-CN"/>
              </w:rPr>
              <w:t>F</w:t>
            </w:r>
            <w:r>
              <w:rPr>
                <w:rFonts w:hint="eastAsia" w:ascii="宋体" w:hAnsi="宋体" w:eastAsia="宋体" w:cs="宋体"/>
                <w:color w:val="auto"/>
                <w:sz w:val="9"/>
                <w:highlight w:val="none"/>
                <w:lang w:val="zh-CN" w:bidi="zh-CN"/>
              </w:rPr>
              <w:t>1</w:t>
            </w:r>
            <w:r>
              <w:rPr>
                <w:rFonts w:hint="eastAsia" w:ascii="宋体" w:hAnsi="宋体" w:eastAsia="宋体" w:cs="宋体"/>
                <w:color w:val="auto"/>
                <w:position w:val="2"/>
                <w:sz w:val="18"/>
                <w:highlight w:val="none"/>
                <w:lang w:val="zh-CN" w:bidi="zh-CN"/>
              </w:rPr>
              <w:t xml:space="preserve">=F+ F </w:t>
            </w:r>
            <w:r>
              <w:rPr>
                <w:rFonts w:hint="eastAsia" w:ascii="宋体" w:hAnsi="宋体" w:eastAsia="宋体" w:cs="宋体"/>
                <w:color w:val="auto"/>
                <w:sz w:val="9"/>
                <w:highlight w:val="none"/>
                <w:lang w:val="zh-CN" w:bidi="zh-CN"/>
              </w:rPr>
              <w:t>优先采购加分</w:t>
            </w:r>
          </w:p>
        </w:tc>
      </w:tr>
    </w:tbl>
    <w:p>
      <w:pP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br w:type="page"/>
      </w:r>
    </w:p>
    <w:p>
      <w:pPr>
        <w:spacing w:before="96" w:beforeLines="30" w:after="96" w:afterLines="3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附表 1.3 包1技术部分评审标准表</w:t>
      </w:r>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9"/>
        <w:gridCol w:w="878"/>
        <w:gridCol w:w="1068"/>
        <w:gridCol w:w="59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9"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序号</w:t>
            </w:r>
          </w:p>
        </w:tc>
        <w:tc>
          <w:tcPr>
            <w:tcW w:w="1946" w:type="dxa"/>
            <w:gridSpan w:val="2"/>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评标因素（权重分）</w:t>
            </w:r>
          </w:p>
        </w:tc>
        <w:tc>
          <w:tcPr>
            <w:tcW w:w="5977"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评标标准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5" w:hRule="atLeast"/>
        </w:trPr>
        <w:tc>
          <w:tcPr>
            <w:tcW w:w="599" w:type="dxa"/>
            <w:vMerge w:val="restart"/>
            <w:tcBorders>
              <w:tl2br w:val="nil"/>
              <w:tr2bl w:val="nil"/>
            </w:tcBorders>
            <w:vAlign w:val="center"/>
          </w:tcPr>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1</w:t>
            </w:r>
          </w:p>
        </w:tc>
        <w:tc>
          <w:tcPr>
            <w:tcW w:w="878" w:type="dxa"/>
            <w:vMerge w:val="restart"/>
            <w:tcBorders>
              <w:tl2br w:val="nil"/>
              <w:tr2bl w:val="nil"/>
            </w:tcBorders>
            <w:vAlign w:val="center"/>
          </w:tcPr>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技术评价项</w:t>
            </w:r>
          </w:p>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（F=100 分）</w:t>
            </w: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rPr>
            </w:pPr>
            <w:bookmarkStart w:id="126" w:name="OLE_LINK185"/>
            <w:r>
              <w:rPr>
                <w:rFonts w:hint="eastAsia" w:ascii="宋体" w:hAnsi="宋体" w:eastAsia="宋体" w:cs="新宋体"/>
                <w:color w:val="auto"/>
                <w:kern w:val="0"/>
                <w:sz w:val="18"/>
                <w:szCs w:val="18"/>
                <w:highlight w:val="none"/>
              </w:rPr>
              <w:t>技术指标和功能要求</w:t>
            </w:r>
            <w:bookmarkEnd w:id="126"/>
            <w:r>
              <w:rPr>
                <w:rFonts w:hint="eastAsia" w:ascii="宋体" w:hAnsi="宋体" w:eastAsia="宋体" w:cs="新宋体"/>
                <w:color w:val="auto"/>
                <w:kern w:val="0"/>
                <w:sz w:val="18"/>
                <w:szCs w:val="18"/>
                <w:highlight w:val="none"/>
              </w:rPr>
              <w:t>（</w:t>
            </w:r>
            <w:r>
              <w:rPr>
                <w:rFonts w:hint="eastAsia" w:ascii="宋体" w:hAnsi="宋体" w:cs="新宋体"/>
                <w:color w:val="auto"/>
                <w:kern w:val="0"/>
                <w:sz w:val="18"/>
                <w:szCs w:val="18"/>
                <w:highlight w:val="none"/>
                <w:lang w:val="en-US" w:eastAsia="zh-CN"/>
              </w:rPr>
              <w:t>3</w:t>
            </w:r>
            <w:r>
              <w:rPr>
                <w:rFonts w:hint="eastAsia" w:ascii="宋体" w:hAnsi="宋体" w:eastAsia="宋体" w:cs="新宋体"/>
                <w:color w:val="auto"/>
                <w:kern w:val="0"/>
                <w:sz w:val="18"/>
                <w:szCs w:val="18"/>
                <w:highlight w:val="none"/>
              </w:rPr>
              <w:t>0分）</w:t>
            </w:r>
          </w:p>
        </w:tc>
        <w:tc>
          <w:tcPr>
            <w:tcW w:w="597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27" w:name="OLE_LINK184"/>
            <w:r>
              <w:rPr>
                <w:rFonts w:hint="eastAsia" w:ascii="宋体" w:hAnsi="宋体" w:eastAsia="宋体" w:cs="新宋体"/>
                <w:color w:val="auto"/>
                <w:kern w:val="0"/>
                <w:sz w:val="18"/>
                <w:szCs w:val="18"/>
                <w:highlight w:val="none"/>
              </w:rPr>
              <w:t>技术指标和功能完全符合招标文件第五章第二节技术要求的，没有负偏离得</w:t>
            </w:r>
            <w:r>
              <w:rPr>
                <w:rFonts w:hint="eastAsia" w:ascii="宋体" w:hAnsi="宋体" w:cs="新宋体"/>
                <w:color w:val="auto"/>
                <w:kern w:val="0"/>
                <w:sz w:val="18"/>
                <w:szCs w:val="18"/>
                <w:highlight w:val="none"/>
                <w:lang w:val="en-US" w:eastAsia="zh-CN"/>
              </w:rPr>
              <w:t>30</w:t>
            </w:r>
            <w:r>
              <w:rPr>
                <w:rFonts w:hint="eastAsia" w:ascii="宋体" w:hAnsi="宋体" w:eastAsia="宋体" w:cs="新宋体"/>
                <w:color w:val="auto"/>
                <w:kern w:val="0"/>
                <w:sz w:val="18"/>
                <w:szCs w:val="18"/>
                <w:highlight w:val="none"/>
              </w:rPr>
              <w:t>分。带★的为实质性技术条款，不允许负偏离，否则为无效投标；</w:t>
            </w:r>
            <w:r>
              <w:rPr>
                <w:rFonts w:hint="eastAsia" w:ascii="宋体" w:hAnsi="宋体" w:eastAsia="宋体" w:cs="宋体"/>
                <w:color w:val="auto"/>
                <w:sz w:val="18"/>
                <w:szCs w:val="18"/>
                <w:highlight w:val="none"/>
              </w:rPr>
              <w:t>标注“▲”号的为重要技术条款，每负偏离一项扣</w:t>
            </w:r>
            <w:r>
              <w:rPr>
                <w:rFonts w:hint="eastAsia" w:ascii="宋体" w:hAnsi="宋体" w:cs="宋体"/>
                <w:color w:val="auto"/>
                <w:sz w:val="18"/>
                <w:szCs w:val="18"/>
                <w:highlight w:val="none"/>
                <w:lang w:val="en-US" w:eastAsia="zh-CN"/>
              </w:rPr>
              <w:t>6</w:t>
            </w:r>
            <w:r>
              <w:rPr>
                <w:rFonts w:hint="eastAsia" w:ascii="宋体" w:hAnsi="宋体" w:eastAsia="宋体" w:cs="宋体"/>
                <w:color w:val="auto"/>
                <w:sz w:val="18"/>
                <w:szCs w:val="18"/>
                <w:highlight w:val="none"/>
              </w:rPr>
              <w:t>分；其他</w:t>
            </w:r>
            <w:r>
              <w:rPr>
                <w:rFonts w:hint="eastAsia" w:ascii="宋体" w:hAnsi="宋体" w:eastAsia="宋体" w:cs="新宋体"/>
                <w:color w:val="auto"/>
                <w:kern w:val="0"/>
                <w:sz w:val="18"/>
                <w:szCs w:val="18"/>
                <w:highlight w:val="none"/>
              </w:rPr>
              <w:t>一般技术</w:t>
            </w:r>
            <w:r>
              <w:rPr>
                <w:rFonts w:hint="eastAsia" w:ascii="宋体" w:hAnsi="宋体" w:eastAsia="宋体" w:cs="宋体"/>
                <w:color w:val="auto"/>
                <w:sz w:val="18"/>
                <w:szCs w:val="18"/>
                <w:highlight w:val="none"/>
              </w:rPr>
              <w:t>条款（除标注“★”号和“▲”号的属于其他一般技术条款），每负偏离一项扣</w:t>
            </w:r>
            <w:r>
              <w:rPr>
                <w:rFonts w:hint="eastAsia" w:ascii="宋体" w:hAnsi="宋体" w:cs="宋体"/>
                <w:color w:val="auto"/>
                <w:sz w:val="18"/>
                <w:szCs w:val="18"/>
                <w:highlight w:val="none"/>
                <w:lang w:val="en-US" w:eastAsia="zh-CN"/>
              </w:rPr>
              <w:t>3</w:t>
            </w:r>
            <w:r>
              <w:rPr>
                <w:rFonts w:hint="eastAsia" w:ascii="宋体" w:hAnsi="宋体" w:eastAsia="宋体" w:cs="宋体"/>
                <w:color w:val="auto"/>
                <w:sz w:val="18"/>
                <w:szCs w:val="18"/>
                <w:highlight w:val="none"/>
              </w:rPr>
              <w:t>分；扣完</w:t>
            </w:r>
            <w:r>
              <w:rPr>
                <w:rFonts w:hint="eastAsia" w:ascii="宋体" w:hAnsi="宋体" w:cs="宋体"/>
                <w:color w:val="auto"/>
                <w:sz w:val="18"/>
                <w:szCs w:val="18"/>
                <w:highlight w:val="none"/>
                <w:lang w:val="en-US" w:eastAsia="zh-CN"/>
              </w:rPr>
              <w:t>30</w:t>
            </w:r>
            <w:r>
              <w:rPr>
                <w:rFonts w:hint="eastAsia" w:ascii="宋体" w:hAnsi="宋体" w:eastAsia="宋体" w:cs="宋体"/>
                <w:color w:val="auto"/>
                <w:sz w:val="18"/>
                <w:szCs w:val="18"/>
                <w:highlight w:val="none"/>
              </w:rPr>
              <w:t>分为止。</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投标人应按招标文件技术要求的规定提供相关证明材料，否则，视为偏离；投标文件未提供《货物说明一览表》的，本项不计分。招标文件第五章技术要求中范围或区间指标（如：以“不小于/不大于/≥/≤/＞/＜/-……”等符号加前缀或连接），投标文件《货物说明一览表》中须有对应的固定指标响应，否则视为不满足或负偏离。</w:t>
            </w:r>
            <w:bookmarkEnd w:id="12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9" w:type="dxa"/>
            <w:vMerge w:val="continue"/>
            <w:tcBorders>
              <w:tl2br w:val="nil"/>
              <w:tr2bl w:val="nil"/>
            </w:tcBorders>
            <w:vAlign w:val="center"/>
          </w:tcPr>
          <w:p>
            <w:pPr>
              <w:jc w:val="center"/>
              <w:rPr>
                <w:rFonts w:hint="eastAsia" w:ascii="宋体" w:hAnsi="宋体" w:eastAsia="宋体" w:cs="新宋体"/>
                <w:color w:val="auto"/>
                <w:kern w:val="0"/>
                <w:sz w:val="18"/>
                <w:szCs w:val="18"/>
                <w:highlight w:val="none"/>
              </w:rPr>
            </w:pPr>
          </w:p>
        </w:tc>
        <w:tc>
          <w:tcPr>
            <w:tcW w:w="878" w:type="dxa"/>
            <w:vMerge w:val="continue"/>
            <w:tcBorders>
              <w:tl2br w:val="nil"/>
              <w:tr2bl w:val="nil"/>
            </w:tcBorders>
            <w:vAlign w:val="center"/>
          </w:tcPr>
          <w:p>
            <w:pPr>
              <w:jc w:val="center"/>
              <w:rPr>
                <w:rFonts w:hint="eastAsia" w:ascii="宋体" w:hAnsi="宋体" w:eastAsia="宋体" w:cs="新宋体"/>
                <w:color w:val="auto"/>
                <w:kern w:val="0"/>
                <w:sz w:val="18"/>
                <w:szCs w:val="18"/>
                <w:highlight w:val="none"/>
              </w:rPr>
            </w:pPr>
          </w:p>
        </w:tc>
        <w:tc>
          <w:tcPr>
            <w:tcW w:w="1068" w:type="dxa"/>
            <w:tcBorders>
              <w:tl2br w:val="nil"/>
              <w:tr2bl w:val="nil"/>
            </w:tcBorders>
            <w:vAlign w:val="center"/>
          </w:tcPr>
          <w:p>
            <w:pPr>
              <w:jc w:val="center"/>
              <w:rPr>
                <w:rFonts w:hint="eastAsia" w:ascii="宋体" w:hAnsi="宋体" w:cs="新宋体"/>
                <w:color w:val="auto"/>
                <w:kern w:val="0"/>
                <w:sz w:val="18"/>
                <w:szCs w:val="18"/>
                <w:highlight w:val="none"/>
              </w:rPr>
            </w:pPr>
            <w:bookmarkStart w:id="128" w:name="OLE_LINK186"/>
            <w:r>
              <w:rPr>
                <w:rFonts w:hint="eastAsia" w:ascii="宋体" w:hAnsi="宋体" w:cs="新宋体"/>
                <w:color w:val="auto"/>
                <w:kern w:val="0"/>
                <w:sz w:val="18"/>
                <w:szCs w:val="18"/>
                <w:highlight w:val="none"/>
              </w:rPr>
              <w:t>视频演示</w:t>
            </w:r>
          </w:p>
          <w:bookmarkEnd w:id="128"/>
          <w:p>
            <w:pPr>
              <w:jc w:val="center"/>
              <w:rPr>
                <w:rFonts w:hint="eastAsia" w:ascii="宋体" w:hAnsi="宋体" w:eastAsia="宋体" w:cs="新宋体"/>
                <w:color w:val="auto"/>
                <w:kern w:val="0"/>
                <w:sz w:val="18"/>
                <w:szCs w:val="18"/>
                <w:highlight w:val="none"/>
              </w:rPr>
            </w:pPr>
            <w:r>
              <w:rPr>
                <w:rFonts w:hint="eastAsia" w:ascii="宋体" w:hAnsi="宋体" w:cs="新宋体"/>
                <w:color w:val="auto"/>
                <w:kern w:val="0"/>
                <w:sz w:val="18"/>
                <w:szCs w:val="18"/>
                <w:highlight w:val="none"/>
              </w:rPr>
              <w:t>（</w:t>
            </w:r>
            <w:r>
              <w:rPr>
                <w:rFonts w:hint="eastAsia" w:ascii="宋体" w:hAnsi="宋体" w:cs="新宋体"/>
                <w:color w:val="auto"/>
                <w:kern w:val="0"/>
                <w:sz w:val="18"/>
                <w:szCs w:val="18"/>
                <w:highlight w:val="none"/>
                <w:lang w:val="en-US" w:eastAsia="zh-CN"/>
              </w:rPr>
              <w:t>3</w:t>
            </w:r>
            <w:r>
              <w:rPr>
                <w:rFonts w:hint="eastAsia" w:ascii="宋体" w:hAnsi="宋体" w:cs="新宋体"/>
                <w:color w:val="auto"/>
                <w:kern w:val="0"/>
                <w:sz w:val="18"/>
                <w:szCs w:val="18"/>
                <w:highlight w:val="none"/>
              </w:rPr>
              <w:t>0分）</w:t>
            </w:r>
          </w:p>
        </w:tc>
        <w:tc>
          <w:tcPr>
            <w:tcW w:w="5977" w:type="dxa"/>
            <w:tcBorders>
              <w:tl2br w:val="nil"/>
              <w:tr2bl w:val="nil"/>
            </w:tcBorders>
            <w:vAlign w:val="center"/>
          </w:tcPr>
          <w:p>
            <w:pPr>
              <w:ind w:firstLine="360" w:firstLineChars="200"/>
              <w:jc w:val="left"/>
              <w:rPr>
                <w:rFonts w:hint="eastAsia" w:ascii="宋体" w:hAnsi="宋体" w:cs="新宋体"/>
                <w:color w:val="auto"/>
                <w:kern w:val="0"/>
                <w:sz w:val="18"/>
                <w:szCs w:val="18"/>
                <w:highlight w:val="none"/>
              </w:rPr>
            </w:pPr>
            <w:bookmarkStart w:id="129" w:name="OLE_LINK187"/>
            <w:r>
              <w:rPr>
                <w:rFonts w:hint="eastAsia" w:ascii="宋体" w:hAnsi="宋体" w:cs="新宋体"/>
                <w:color w:val="auto"/>
                <w:kern w:val="0"/>
                <w:sz w:val="18"/>
                <w:szCs w:val="18"/>
                <w:highlight w:val="none"/>
                <w:lang w:val="en-US" w:eastAsia="zh-CN"/>
              </w:rPr>
              <w:t>为确保所投四轴加工中心中“配套软件资源”满足教学功能和效果，需针对以下功能点</w:t>
            </w:r>
            <w:r>
              <w:rPr>
                <w:rFonts w:hint="eastAsia" w:ascii="宋体" w:hAnsi="宋体" w:cs="新宋体"/>
                <w:color w:val="auto"/>
                <w:kern w:val="0"/>
                <w:sz w:val="18"/>
                <w:szCs w:val="18"/>
                <w:highlight w:val="none"/>
                <w:lang w:eastAsia="zh-CN"/>
              </w:rPr>
              <w:t>提供视频演示</w:t>
            </w:r>
            <w:r>
              <w:rPr>
                <w:rFonts w:hint="eastAsia" w:ascii="宋体" w:hAnsi="宋体" w:cs="新宋体"/>
                <w:color w:val="auto"/>
                <w:kern w:val="0"/>
                <w:sz w:val="18"/>
                <w:szCs w:val="18"/>
                <w:highlight w:val="none"/>
                <w:lang w:val="en-US" w:eastAsia="zh-CN"/>
              </w:rPr>
              <w:t>：</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①</w:t>
            </w:r>
            <w:r>
              <w:rPr>
                <w:rFonts w:hint="eastAsia" w:ascii="宋体" w:hAnsi="宋体" w:cs="新宋体"/>
                <w:color w:val="auto"/>
                <w:kern w:val="0"/>
                <w:sz w:val="18"/>
                <w:szCs w:val="18"/>
                <w:highlight w:val="none"/>
              </w:rPr>
              <w:t>系统能按实训项目的具体连线情况，仿真电路电压、电气元件运行原理等，从而可以仿真实际电路情况，可对实际电路发生的故障进行报警，同时能对用户的随意接线情况正确与否进行判断。</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②系统</w:t>
            </w:r>
            <w:r>
              <w:rPr>
                <w:rFonts w:hint="eastAsia" w:ascii="宋体" w:hAnsi="宋体" w:cs="新宋体"/>
                <w:color w:val="auto"/>
                <w:kern w:val="0"/>
                <w:sz w:val="18"/>
                <w:szCs w:val="18"/>
                <w:highlight w:val="none"/>
              </w:rPr>
              <w:t>能对电路中2种电压（直流电以及交流电），以及2种或以上等级的电压值（OV、24V、220V等）进行仿真，效果主要体现在万用表上，使用万用表即可测量每段电路的电压值。</w:t>
            </w:r>
          </w:p>
          <w:p>
            <w:pPr>
              <w:ind w:firstLine="360" w:firstLineChars="200"/>
              <w:jc w:val="left"/>
              <w:rPr>
                <w:rFonts w:hint="eastAsia" w:ascii="宋体" w:hAnsi="宋体" w:cs="新宋体"/>
                <w:color w:val="auto"/>
                <w:kern w:val="0"/>
                <w:sz w:val="18"/>
                <w:szCs w:val="18"/>
                <w:highlight w:val="none"/>
                <w:lang w:val="en-US" w:eastAsia="zh-CN"/>
              </w:rPr>
            </w:pPr>
            <w:r>
              <w:rPr>
                <w:rFonts w:hint="eastAsia" w:ascii="宋体" w:hAnsi="宋体" w:cs="新宋体"/>
                <w:color w:val="auto"/>
                <w:kern w:val="0"/>
                <w:sz w:val="18"/>
                <w:szCs w:val="18"/>
                <w:highlight w:val="none"/>
                <w:lang w:eastAsia="zh-CN"/>
              </w:rPr>
              <w:t>③机械调试实验能</w:t>
            </w:r>
            <w:r>
              <w:rPr>
                <w:rFonts w:hint="eastAsia" w:ascii="宋体" w:hAnsi="宋体" w:cs="新宋体"/>
                <w:color w:val="auto"/>
                <w:kern w:val="0"/>
                <w:sz w:val="18"/>
                <w:szCs w:val="18"/>
                <w:highlight w:val="none"/>
              </w:rPr>
              <w:t>能实现丝杆调试实验项目</w:t>
            </w:r>
            <w:r>
              <w:rPr>
                <w:rFonts w:hint="eastAsia" w:ascii="宋体" w:hAnsi="宋体" w:cs="新宋体"/>
                <w:color w:val="auto"/>
                <w:kern w:val="0"/>
                <w:sz w:val="18"/>
                <w:szCs w:val="18"/>
                <w:highlight w:val="none"/>
                <w:lang w:eastAsia="zh-CN"/>
              </w:rPr>
              <w:t>，</w:t>
            </w:r>
            <w:r>
              <w:rPr>
                <w:rFonts w:hint="eastAsia" w:ascii="宋体" w:hAnsi="宋体" w:cs="新宋体"/>
                <w:color w:val="auto"/>
                <w:kern w:val="0"/>
                <w:sz w:val="18"/>
                <w:szCs w:val="18"/>
                <w:highlight w:val="none"/>
              </w:rPr>
              <w:t>进入丝杆调试实验后能显示丝杠调试信息，具备调试步骤提示功能；进入丝杠调试模式后点击数控机床模型外围件能自动隐藏外围件；系统内能调出百分表，能测试百分表是否正常，百分表能实现回零操作和维修操作；可通过CNC面板切换到手轮模式，移动手轮时数控机床对应轴能相应移动；可根据百分表测试数据在CNC面板修改</w:t>
            </w:r>
            <w:r>
              <w:rPr>
                <w:rFonts w:hint="eastAsia" w:ascii="宋体" w:hAnsi="宋体" w:cs="新宋体"/>
                <w:color w:val="auto"/>
                <w:kern w:val="0"/>
                <w:sz w:val="18"/>
                <w:szCs w:val="18"/>
                <w:highlight w:val="none"/>
                <w:lang w:val="en-US" w:eastAsia="zh-CN"/>
              </w:rPr>
              <w:t>反向间隙补偿量；能体现实验结果信息。</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val="en-US" w:eastAsia="zh-CN"/>
              </w:rPr>
              <w:t>为确保所投数控铣床中“教学展示平台”满足教学功能和效果，需针对以下功能点提供视频演示：</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④</w:t>
            </w:r>
            <w:r>
              <w:rPr>
                <w:rFonts w:hint="eastAsia" w:ascii="宋体" w:hAnsi="宋体" w:cs="新宋体"/>
                <w:color w:val="auto"/>
                <w:kern w:val="0"/>
                <w:sz w:val="18"/>
                <w:szCs w:val="18"/>
                <w:highlight w:val="none"/>
              </w:rPr>
              <w:t>自带虚拟软键盘，无需外接USB键盘，支持多种格式的字幕，可支持输入包含但不限于的中文、英文、数字、特殊符号。</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⑤</w:t>
            </w:r>
            <w:r>
              <w:rPr>
                <w:rFonts w:hint="eastAsia" w:ascii="宋体" w:hAnsi="宋体" w:cs="新宋体"/>
                <w:color w:val="auto"/>
                <w:kern w:val="0"/>
                <w:sz w:val="18"/>
                <w:szCs w:val="18"/>
                <w:highlight w:val="none"/>
              </w:rPr>
              <w:t>内置微课制作功能，支持不少于前景、人像、背景3层场景叠加，叠加的场景支持PPT、视频、图片，虚拟抠像后的人像等类型。</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⑥</w:t>
            </w:r>
            <w:r>
              <w:rPr>
                <w:rFonts w:hint="eastAsia" w:ascii="宋体" w:hAnsi="宋体" w:cs="新宋体"/>
                <w:color w:val="auto"/>
                <w:kern w:val="0"/>
                <w:sz w:val="18"/>
                <w:szCs w:val="18"/>
                <w:highlight w:val="none"/>
              </w:rPr>
              <w:t>内置互动系统，支持标准SIP和H.323互动协议，支持互动列表，列表中可以显示所有与会者的信息；支持互动画面布局的显示，布局支持单分屏，双分屏，四分屏显示。互动界面支持双流、一键静音、全屏、导播设置等功能。</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rPr>
              <w:t>每个功能演示点全部满足功能要求的计5分，未提供的不计分，每有一处不满足或者有缺陷的扣2分，扣完为止，本项评分共计6个功能演示点，最多计30分。</w:t>
            </w:r>
          </w:p>
          <w:p>
            <w:pPr>
              <w:ind w:firstLine="361" w:firstLineChars="200"/>
              <w:jc w:val="left"/>
              <w:rPr>
                <w:rFonts w:hint="eastAsia" w:ascii="宋体" w:hAnsi="宋体" w:eastAsia="宋体" w:cs="新宋体"/>
                <w:b/>
                <w:bCs/>
                <w:color w:val="auto"/>
                <w:kern w:val="0"/>
                <w:sz w:val="18"/>
                <w:szCs w:val="18"/>
                <w:highlight w:val="none"/>
              </w:rPr>
            </w:pPr>
            <w:r>
              <w:rPr>
                <w:rFonts w:hint="eastAsia" w:ascii="宋体" w:hAnsi="宋体" w:cs="宋体"/>
                <w:b/>
                <w:bCs/>
                <w:color w:val="auto"/>
                <w:sz w:val="18"/>
                <w:szCs w:val="18"/>
                <w:highlight w:val="none"/>
              </w:rPr>
              <w:t>（注：演示视频要求采用H.264编码，mp4格式，全高清及以下分辨率，视频大小不超过200M（请调整至最小），如上传视频无法正常解压播放，由投标人自行承担相关责任。</w:t>
            </w:r>
            <w:r>
              <w:rPr>
                <w:rFonts w:hint="eastAsia" w:ascii="宋体" w:hAnsi="宋体" w:cs="新宋体"/>
                <w:color w:val="auto"/>
                <w:kern w:val="0"/>
                <w:sz w:val="18"/>
                <w:szCs w:val="18"/>
                <w:highlight w:val="none"/>
              </w:rPr>
              <w:t>）</w:t>
            </w:r>
            <w:bookmarkEnd w:id="12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5" w:hRule="atLeast"/>
        </w:trPr>
        <w:tc>
          <w:tcPr>
            <w:tcW w:w="599" w:type="dxa"/>
            <w:vMerge w:val="continue"/>
            <w:tcBorders>
              <w:tl2br w:val="nil"/>
              <w:tr2bl w:val="nil"/>
            </w:tcBorders>
            <w:vAlign w:val="center"/>
          </w:tcPr>
          <w:p>
            <w:pPr>
              <w:jc w:val="center"/>
              <w:rPr>
                <w:rFonts w:hint="eastAsia" w:ascii="宋体" w:hAnsi="宋体" w:eastAsia="宋体" w:cs="新宋体"/>
                <w:color w:val="auto"/>
                <w:kern w:val="0"/>
                <w:sz w:val="18"/>
                <w:szCs w:val="18"/>
                <w:highlight w:val="none"/>
              </w:rPr>
            </w:pPr>
          </w:p>
        </w:tc>
        <w:tc>
          <w:tcPr>
            <w:tcW w:w="878" w:type="dxa"/>
            <w:vMerge w:val="continue"/>
            <w:tcBorders>
              <w:tl2br w:val="nil"/>
              <w:tr2bl w:val="nil"/>
            </w:tcBorders>
            <w:vAlign w:val="center"/>
          </w:tcPr>
          <w:p>
            <w:pPr>
              <w:jc w:val="center"/>
              <w:rPr>
                <w:rFonts w:hint="eastAsia" w:ascii="宋体" w:hAnsi="宋体" w:eastAsia="宋体" w:cs="新宋体"/>
                <w:color w:val="auto"/>
                <w:kern w:val="0"/>
                <w:sz w:val="18"/>
                <w:szCs w:val="18"/>
                <w:highlight w:val="none"/>
              </w:rPr>
            </w:pP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rPr>
            </w:pPr>
            <w:bookmarkStart w:id="130" w:name="OLE_LINK207"/>
            <w:r>
              <w:rPr>
                <w:rFonts w:hint="eastAsia" w:ascii="宋体" w:hAnsi="宋体" w:eastAsia="宋体" w:cs="新宋体"/>
                <w:color w:val="auto"/>
                <w:kern w:val="0"/>
                <w:sz w:val="18"/>
                <w:szCs w:val="18"/>
                <w:highlight w:val="none"/>
              </w:rPr>
              <w:t>项目实施方案</w:t>
            </w:r>
          </w:p>
          <w:bookmarkEnd w:id="130"/>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w:t>
            </w:r>
            <w:r>
              <w:rPr>
                <w:rFonts w:hint="eastAsia" w:ascii="宋体" w:hAnsi="宋体" w:cs="新宋体"/>
                <w:color w:val="auto"/>
                <w:kern w:val="0"/>
                <w:sz w:val="18"/>
                <w:szCs w:val="18"/>
                <w:highlight w:val="none"/>
                <w:lang w:val="en-US" w:eastAsia="zh-CN"/>
              </w:rPr>
              <w:t>4</w:t>
            </w:r>
            <w:r>
              <w:rPr>
                <w:rFonts w:hint="eastAsia" w:ascii="宋体" w:hAnsi="宋体" w:eastAsia="宋体" w:cs="新宋体"/>
                <w:color w:val="auto"/>
                <w:kern w:val="0"/>
                <w:sz w:val="18"/>
                <w:szCs w:val="18"/>
                <w:highlight w:val="none"/>
              </w:rPr>
              <w:t>0分）</w:t>
            </w:r>
          </w:p>
        </w:tc>
        <w:tc>
          <w:tcPr>
            <w:tcW w:w="597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31" w:name="OLE_LINK188"/>
            <w:r>
              <w:rPr>
                <w:rFonts w:hint="eastAsia" w:ascii="宋体" w:hAnsi="宋体" w:eastAsia="宋体" w:cs="新宋体"/>
                <w:color w:val="auto"/>
                <w:kern w:val="0"/>
                <w:sz w:val="18"/>
                <w:szCs w:val="18"/>
                <w:highlight w:val="none"/>
              </w:rPr>
              <w:t>投标人根据采购需求提供针对本项目的实施方案，内容应包括但不限于：</w:t>
            </w:r>
            <w:r>
              <w:rPr>
                <w:rFonts w:hint="eastAsia" w:ascii="宋体" w:hAnsi="宋体" w:cs="新宋体"/>
                <w:color w:val="auto"/>
                <w:kern w:val="0"/>
                <w:sz w:val="18"/>
                <w:szCs w:val="18"/>
                <w:highlight w:val="none"/>
                <w:lang w:val="en-US" w:eastAsia="en-US"/>
              </w:rPr>
              <w:t>①项目实施进度计划安排；②项目人员安排及所需设备配置；③项目质量保障管理措施；④安装调试及安全文明施工方案；⑤项目验收方案</w:t>
            </w:r>
            <w:r>
              <w:rPr>
                <w:rFonts w:hint="eastAsia" w:ascii="宋体" w:hAnsi="宋体" w:cs="新宋体"/>
                <w:color w:val="auto"/>
                <w:kern w:val="0"/>
                <w:sz w:val="18"/>
                <w:szCs w:val="18"/>
                <w:highlight w:val="none"/>
              </w:rPr>
              <w:t>等内容。</w:t>
            </w:r>
            <w:r>
              <w:rPr>
                <w:rFonts w:hint="eastAsia" w:ascii="宋体" w:hAnsi="宋体" w:eastAsia="宋体" w:cs="新宋体"/>
                <w:color w:val="auto"/>
                <w:kern w:val="0"/>
                <w:sz w:val="18"/>
                <w:szCs w:val="18"/>
                <w:highlight w:val="none"/>
              </w:rPr>
              <w:t>方案包含以上全部内容且结合本项目实际阐述详实、清晰的计</w:t>
            </w:r>
            <w:r>
              <w:rPr>
                <w:rFonts w:hint="eastAsia" w:ascii="宋体" w:hAnsi="宋体" w:cs="新宋体"/>
                <w:color w:val="auto"/>
                <w:kern w:val="0"/>
                <w:sz w:val="18"/>
                <w:szCs w:val="18"/>
                <w:highlight w:val="none"/>
                <w:lang w:val="en-US" w:eastAsia="zh-CN"/>
              </w:rPr>
              <w:t>4</w:t>
            </w:r>
            <w:r>
              <w:rPr>
                <w:rFonts w:hint="eastAsia" w:ascii="宋体" w:hAnsi="宋体" w:eastAsia="宋体" w:cs="新宋体"/>
                <w:color w:val="auto"/>
                <w:kern w:val="0"/>
                <w:sz w:val="18"/>
                <w:szCs w:val="18"/>
                <w:highlight w:val="none"/>
              </w:rPr>
              <w:t>0分；内容有缺漏的每项扣</w:t>
            </w:r>
            <w:r>
              <w:rPr>
                <w:rFonts w:hint="eastAsia" w:ascii="宋体" w:hAnsi="宋体" w:cs="新宋体"/>
                <w:color w:val="auto"/>
                <w:kern w:val="0"/>
                <w:sz w:val="18"/>
                <w:szCs w:val="18"/>
                <w:highlight w:val="none"/>
                <w:lang w:val="en-US" w:eastAsia="zh-CN"/>
              </w:rPr>
              <w:t>8</w:t>
            </w:r>
            <w:r>
              <w:rPr>
                <w:rFonts w:hint="eastAsia" w:ascii="宋体" w:hAnsi="宋体" w:eastAsia="宋体" w:cs="新宋体"/>
                <w:color w:val="auto"/>
                <w:kern w:val="0"/>
                <w:sz w:val="18"/>
                <w:szCs w:val="18"/>
                <w:highlight w:val="none"/>
              </w:rPr>
              <w:t>分；每有一项内容不完整或不合理或有缺陷或与项目不匹配的扣</w:t>
            </w:r>
            <w:r>
              <w:rPr>
                <w:rFonts w:hint="eastAsia" w:ascii="宋体" w:hAnsi="宋体" w:cs="新宋体"/>
                <w:color w:val="auto"/>
                <w:kern w:val="0"/>
                <w:sz w:val="18"/>
                <w:szCs w:val="18"/>
                <w:highlight w:val="none"/>
                <w:lang w:val="en-US" w:eastAsia="zh-CN"/>
              </w:rPr>
              <w:t>4</w:t>
            </w:r>
            <w:r>
              <w:rPr>
                <w:rFonts w:hint="eastAsia" w:ascii="宋体" w:hAnsi="宋体" w:eastAsia="宋体" w:cs="新宋体"/>
                <w:color w:val="auto"/>
                <w:kern w:val="0"/>
                <w:sz w:val="18"/>
                <w:szCs w:val="18"/>
                <w:highlight w:val="none"/>
              </w:rPr>
              <w:t>分，扣完为止；未提供的不计分。</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内容不完整或不合理或有缺陷或与项目不匹配是指：非专门针对本项目或不适用项目特性的情形、内容不完整或缺少关键节点、套用其他项目方案、内容前后矛盾、涉及的规范及标准错误、不利于项目实施、不可能实现的情形等任意一种情形。</w:t>
            </w:r>
            <w:bookmarkEnd w:id="131"/>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9"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946" w:type="dxa"/>
            <w:gridSpan w:val="2"/>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pacing w:val="-14"/>
                <w:sz w:val="18"/>
                <w:szCs w:val="18"/>
                <w:highlight w:val="none"/>
              </w:rPr>
              <w:t>优先采购加分</w:t>
            </w:r>
            <w:r>
              <w:rPr>
                <w:rFonts w:hint="eastAsia" w:ascii="宋体" w:hAnsi="宋体" w:eastAsia="宋体" w:cs="宋体"/>
                <w:color w:val="auto"/>
                <w:sz w:val="18"/>
                <w:highlight w:val="none"/>
              </w:rPr>
              <w:t>（F</w:t>
            </w:r>
            <w:r>
              <w:rPr>
                <w:rFonts w:hint="eastAsia" w:ascii="宋体" w:hAnsi="宋体" w:eastAsia="宋体" w:cs="宋体"/>
                <w:color w:val="auto"/>
                <w:spacing w:val="-47"/>
                <w:sz w:val="18"/>
                <w:highlight w:val="none"/>
              </w:rPr>
              <w:t xml:space="preserve"> </w:t>
            </w:r>
            <w:r>
              <w:rPr>
                <w:rFonts w:hint="eastAsia" w:ascii="宋体" w:hAnsi="宋体" w:eastAsia="宋体" w:cs="宋体"/>
                <w:color w:val="auto"/>
                <w:position w:val="-2"/>
                <w:sz w:val="9"/>
                <w:highlight w:val="none"/>
              </w:rPr>
              <w:t>优先采购加分</w:t>
            </w:r>
            <w:r>
              <w:rPr>
                <w:rFonts w:hint="eastAsia" w:ascii="宋体" w:hAnsi="宋体" w:eastAsia="宋体" w:cs="宋体"/>
                <w:color w:val="auto"/>
                <w:sz w:val="18"/>
                <w:highlight w:val="none"/>
              </w:rPr>
              <w:t>）</w:t>
            </w:r>
          </w:p>
        </w:tc>
        <w:tc>
          <w:tcPr>
            <w:tcW w:w="5977" w:type="dxa"/>
            <w:tcBorders>
              <w:tl2br w:val="nil"/>
              <w:tr2bl w:val="nil"/>
            </w:tcBorders>
          </w:tcPr>
          <w:p>
            <w:pPr>
              <w:ind w:firstLine="480" w:firstLineChars="200"/>
              <w:rPr>
                <w:rFonts w:hint="eastAsia" w:ascii="宋体" w:hAnsi="宋体" w:eastAsia="宋体" w:cs="宋体"/>
                <w:color w:val="auto"/>
                <w:sz w:val="18"/>
                <w:szCs w:val="18"/>
                <w:highlight w:val="none"/>
              </w:rPr>
            </w:pPr>
            <w:r>
              <w:rPr>
                <w:rFonts w:ascii="仿宋" w:hAnsi="仿宋" w:eastAsia="仿宋" w:cs="Times New Roman"/>
                <w:color w:val="auto"/>
                <w:position w:val="-16"/>
                <w:sz w:val="24"/>
                <w:highlight w:val="none"/>
              </w:rPr>
              <w:object>
                <v:shape id="_x0000_i1026" o:spt="75" type="#_x0000_t75" style="height:21pt;width:101.25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5">
                  <o:LockedField>false</o:LockedField>
                </o:OLEObject>
              </w:object>
            </w:r>
            <w:r>
              <w:rPr>
                <w:rFonts w:hint="eastAsia" w:ascii="宋体" w:hAnsi="宋体" w:eastAsia="宋体" w:cs="Times New Roman"/>
                <w:color w:val="auto"/>
                <w:sz w:val="18"/>
                <w:szCs w:val="18"/>
                <w:highlight w:val="none"/>
              </w:rPr>
              <w:t>×100×本项目加分比例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9" w:type="dxa"/>
            <w:tcBorders>
              <w:tl2br w:val="nil"/>
              <w:tr2bl w:val="nil"/>
            </w:tcBorders>
            <w:vAlign w:val="center"/>
          </w:tcPr>
          <w:p>
            <w:pPr>
              <w:spacing w:before="91"/>
              <w:jc w:val="center"/>
              <w:rPr>
                <w:rFonts w:hint="eastAsia" w:ascii="宋体" w:hAnsi="宋体" w:eastAsia="宋体" w:cs="宋体"/>
                <w:color w:val="auto"/>
                <w:sz w:val="18"/>
                <w:szCs w:val="18"/>
                <w:highlight w:val="none"/>
                <w:lang w:val="zh-CN" w:bidi="zh-CN"/>
              </w:rPr>
            </w:pPr>
            <w:r>
              <w:rPr>
                <w:rFonts w:hint="eastAsia" w:ascii="宋体" w:hAnsi="宋体" w:eastAsia="宋体" w:cs="宋体"/>
                <w:color w:val="auto"/>
                <w:sz w:val="18"/>
                <w:szCs w:val="18"/>
                <w:highlight w:val="none"/>
                <w:lang w:val="zh-CN" w:bidi="zh-CN"/>
              </w:rPr>
              <w:t>∑</w:t>
            </w:r>
          </w:p>
        </w:tc>
        <w:tc>
          <w:tcPr>
            <w:tcW w:w="7923" w:type="dxa"/>
            <w:gridSpan w:val="3"/>
            <w:tcBorders>
              <w:tl2br w:val="nil"/>
              <w:tr2bl w:val="nil"/>
            </w:tcBorders>
          </w:tcPr>
          <w:p>
            <w:pPr>
              <w:spacing w:before="95"/>
              <w:ind w:left="107"/>
              <w:rPr>
                <w:rFonts w:hint="eastAsia" w:ascii="宋体" w:hAnsi="宋体" w:eastAsia="宋体" w:cs="宋体"/>
                <w:color w:val="auto"/>
                <w:sz w:val="18"/>
                <w:szCs w:val="18"/>
                <w:highlight w:val="none"/>
                <w:lang w:val="zh-CN" w:bidi="zh-CN"/>
              </w:rPr>
            </w:pPr>
            <w:r>
              <w:rPr>
                <w:rFonts w:hint="eastAsia" w:ascii="宋体" w:hAnsi="宋体" w:eastAsia="宋体" w:cs="宋体"/>
                <w:color w:val="auto"/>
                <w:position w:val="2"/>
                <w:sz w:val="18"/>
                <w:szCs w:val="18"/>
                <w:highlight w:val="none"/>
                <w:lang w:val="zh-CN" w:bidi="zh-CN"/>
              </w:rPr>
              <w:t>F</w:t>
            </w:r>
            <w:r>
              <w:rPr>
                <w:rFonts w:hint="eastAsia" w:ascii="宋体" w:hAnsi="宋体" w:eastAsia="宋体" w:cs="宋体"/>
                <w:color w:val="auto"/>
                <w:sz w:val="18"/>
                <w:szCs w:val="18"/>
                <w:highlight w:val="none"/>
                <w:lang w:val="zh-CN" w:bidi="zh-CN"/>
              </w:rPr>
              <w:t>1</w:t>
            </w:r>
            <w:r>
              <w:rPr>
                <w:rFonts w:hint="eastAsia" w:ascii="宋体" w:hAnsi="宋体" w:eastAsia="宋体" w:cs="宋体"/>
                <w:color w:val="auto"/>
                <w:position w:val="2"/>
                <w:sz w:val="18"/>
                <w:szCs w:val="18"/>
                <w:highlight w:val="none"/>
                <w:lang w:val="zh-CN" w:bidi="zh-CN"/>
              </w:rPr>
              <w:t xml:space="preserve">=F+ F </w:t>
            </w:r>
            <w:r>
              <w:rPr>
                <w:rFonts w:hint="eastAsia" w:ascii="宋体" w:hAnsi="宋体" w:eastAsia="宋体" w:cs="宋体"/>
                <w:color w:val="auto"/>
                <w:sz w:val="18"/>
                <w:szCs w:val="18"/>
                <w:highlight w:val="none"/>
                <w:lang w:val="zh-CN" w:bidi="zh-CN"/>
              </w:rPr>
              <w:t>优先采购加分</w:t>
            </w:r>
          </w:p>
        </w:tc>
      </w:tr>
    </w:tbl>
    <w:p>
      <w:pPr>
        <w:rPr>
          <w:color w:val="auto"/>
          <w:highlight w:val="none"/>
        </w:rPr>
      </w:pPr>
      <w:r>
        <w:rPr>
          <w:rFonts w:hint="eastAsia"/>
          <w:color w:val="auto"/>
          <w:highlight w:val="none"/>
        </w:rPr>
        <w:br w:type="page"/>
      </w:r>
    </w:p>
    <w:p>
      <w:pPr>
        <w:pStyle w:val="2"/>
        <w:keepNext w:val="0"/>
        <w:adjustRightInd w:val="0"/>
        <w:snapToGrid w:val="0"/>
        <w:spacing w:before="161" w:beforeLines="50" w:line="360" w:lineRule="auto"/>
        <w:rPr>
          <w:rFonts w:hint="eastAsia" w:ascii="宋体" w:hAnsi="宋体" w:cs="宋体"/>
          <w:color w:val="auto"/>
          <w:sz w:val="32"/>
          <w:szCs w:val="32"/>
          <w:highlight w:val="none"/>
        </w:rPr>
      </w:pPr>
      <w:bookmarkStart w:id="132" w:name="_Toc8556"/>
      <w:r>
        <w:rPr>
          <w:rFonts w:hint="eastAsia" w:ascii="宋体" w:hAnsi="宋体" w:cs="宋体"/>
          <w:color w:val="auto"/>
          <w:sz w:val="32"/>
          <w:szCs w:val="32"/>
          <w:highlight w:val="none"/>
        </w:rPr>
        <w:t xml:space="preserve">第五章 </w:t>
      </w:r>
      <w:bookmarkStart w:id="133" w:name="_Hlk186710711"/>
      <w:bookmarkStart w:id="134" w:name="OLE_LINK41"/>
      <w:r>
        <w:rPr>
          <w:rFonts w:hint="eastAsia" w:ascii="宋体" w:hAnsi="宋体" w:cs="宋体"/>
          <w:color w:val="auto"/>
          <w:sz w:val="32"/>
          <w:szCs w:val="32"/>
          <w:highlight w:val="none"/>
        </w:rPr>
        <w:t>采购需求</w:t>
      </w:r>
      <w:bookmarkEnd w:id="132"/>
    </w:p>
    <w:p>
      <w:pPr>
        <w:keepNext/>
        <w:keepLines/>
        <w:widowControl w:val="0"/>
        <w:adjustRightInd w:val="0"/>
        <w:snapToGrid w:val="0"/>
        <w:spacing w:before="161" w:beforeLines="50" w:line="360" w:lineRule="auto"/>
        <w:jc w:val="center"/>
        <w:outlineLvl w:val="1"/>
        <w:rPr>
          <w:rFonts w:hint="eastAsia" w:ascii="黑体" w:hAnsi="黑体" w:eastAsia="黑体" w:cs="Times New Roman"/>
          <w:b/>
          <w:bCs/>
          <w:color w:val="auto"/>
          <w:kern w:val="2"/>
          <w:sz w:val="28"/>
          <w:szCs w:val="28"/>
          <w:highlight w:val="none"/>
          <w:lang w:val="en-US" w:eastAsia="zh-CN" w:bidi="ar-SA"/>
        </w:rPr>
      </w:pPr>
      <w:bookmarkStart w:id="135" w:name="_Toc27822"/>
      <w:bookmarkStart w:id="136" w:name="OLE_LINK11"/>
      <w:bookmarkStart w:id="137" w:name="_Hlk7184255"/>
      <w:r>
        <w:rPr>
          <w:rFonts w:hint="eastAsia" w:ascii="黑体" w:hAnsi="黑体" w:eastAsia="黑体" w:cs="Times New Roman"/>
          <w:b/>
          <w:bCs/>
          <w:color w:val="auto"/>
          <w:kern w:val="2"/>
          <w:sz w:val="28"/>
          <w:szCs w:val="28"/>
          <w:highlight w:val="none"/>
          <w:lang w:val="en-US" w:eastAsia="zh-CN" w:bidi="ar-SA"/>
        </w:rPr>
        <w:t>第一节 采购清单一览表</w:t>
      </w:r>
      <w:bookmarkEnd w:id="135"/>
    </w:p>
    <w:tbl>
      <w:tblPr>
        <w:tblStyle w:val="42"/>
        <w:tblW w:w="949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28"/>
        <w:gridCol w:w="654"/>
        <w:gridCol w:w="589"/>
        <w:gridCol w:w="1690"/>
        <w:gridCol w:w="1173"/>
        <w:gridCol w:w="657"/>
        <w:gridCol w:w="638"/>
        <w:gridCol w:w="647"/>
        <w:gridCol w:w="674"/>
        <w:gridCol w:w="780"/>
        <w:gridCol w:w="780"/>
        <w:gridCol w:w="78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3" w:hRule="atLeast"/>
          <w:jc w:val="center"/>
        </w:trPr>
        <w:tc>
          <w:tcPr>
            <w:tcW w:w="428" w:type="dxa"/>
            <w:tcBorders>
              <w:tl2br w:val="nil"/>
              <w:tr2bl w:val="nil"/>
            </w:tcBorders>
            <w:noWrap/>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bookmarkStart w:id="138" w:name="OLE_LINK93"/>
            <w:r>
              <w:rPr>
                <w:rFonts w:hint="eastAsia" w:ascii="宋体" w:hAnsi="宋体" w:eastAsia="宋体" w:cs="宋体"/>
                <w:b/>
                <w:bCs/>
                <w:color w:val="auto"/>
                <w:kern w:val="0"/>
                <w:sz w:val="15"/>
                <w:szCs w:val="15"/>
                <w:highlight w:val="none"/>
                <w:lang w:bidi="ar"/>
              </w:rPr>
              <w:t>包号</w:t>
            </w:r>
          </w:p>
        </w:tc>
        <w:tc>
          <w:tcPr>
            <w:tcW w:w="654"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包名称</w:t>
            </w:r>
          </w:p>
        </w:tc>
        <w:tc>
          <w:tcPr>
            <w:tcW w:w="589"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序号</w:t>
            </w:r>
          </w:p>
        </w:tc>
        <w:tc>
          <w:tcPr>
            <w:tcW w:w="1690"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标的名称</w:t>
            </w:r>
          </w:p>
        </w:tc>
        <w:tc>
          <w:tcPr>
            <w:tcW w:w="1173"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简要技术要求</w:t>
            </w:r>
          </w:p>
        </w:tc>
        <w:tc>
          <w:tcPr>
            <w:tcW w:w="657"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数量</w:t>
            </w:r>
          </w:p>
        </w:tc>
        <w:tc>
          <w:tcPr>
            <w:tcW w:w="638"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单位</w:t>
            </w:r>
          </w:p>
        </w:tc>
        <w:tc>
          <w:tcPr>
            <w:tcW w:w="647"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节能产品</w:t>
            </w:r>
          </w:p>
        </w:tc>
        <w:tc>
          <w:tcPr>
            <w:tcW w:w="674"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进口产品</w:t>
            </w:r>
          </w:p>
        </w:tc>
        <w:tc>
          <w:tcPr>
            <w:tcW w:w="780" w:type="dxa"/>
            <w:tcBorders>
              <w:tl2br w:val="nil"/>
              <w:tr2bl w:val="nil"/>
            </w:tcBorders>
            <w:vAlign w:val="center"/>
          </w:tcPr>
          <w:p>
            <w:pPr>
              <w:widowControl/>
              <w:spacing w:line="240" w:lineRule="exact"/>
              <w:jc w:val="center"/>
              <w:textAlignment w:val="center"/>
              <w:rPr>
                <w:rFonts w:ascii="宋体" w:hAnsi="宋体" w:cs="宋体"/>
                <w:b/>
                <w:bCs/>
                <w:color w:val="auto"/>
                <w:kern w:val="0"/>
                <w:sz w:val="15"/>
                <w:szCs w:val="15"/>
                <w:highlight w:val="none"/>
                <w:lang w:bidi="ar"/>
              </w:rPr>
            </w:pPr>
            <w:r>
              <w:rPr>
                <w:rFonts w:ascii="宋体" w:hAnsi="宋体" w:cs="宋体"/>
                <w:b/>
                <w:bCs/>
                <w:color w:val="auto"/>
                <w:kern w:val="0"/>
                <w:sz w:val="15"/>
                <w:szCs w:val="15"/>
                <w:highlight w:val="none"/>
                <w:lang w:bidi="ar"/>
              </w:rPr>
              <w:t>单价</w:t>
            </w:r>
          </w:p>
          <w:p>
            <w:pPr>
              <w:widowControl/>
              <w:spacing w:line="240" w:lineRule="exact"/>
              <w:jc w:val="center"/>
              <w:textAlignment w:val="center"/>
              <w:rPr>
                <w:rFonts w:hint="eastAsia" w:ascii="宋体" w:hAnsi="宋体" w:cs="宋体"/>
                <w:b/>
                <w:bCs/>
                <w:color w:val="auto"/>
                <w:kern w:val="0"/>
                <w:sz w:val="15"/>
                <w:szCs w:val="15"/>
                <w:highlight w:val="none"/>
                <w:lang w:bidi="ar"/>
              </w:rPr>
            </w:pPr>
            <w:r>
              <w:rPr>
                <w:rFonts w:ascii="宋体" w:hAnsi="宋体" w:cs="宋体"/>
                <w:b/>
                <w:bCs/>
                <w:color w:val="auto"/>
                <w:kern w:val="0"/>
                <w:sz w:val="15"/>
                <w:szCs w:val="15"/>
                <w:highlight w:val="none"/>
                <w:lang w:bidi="ar"/>
              </w:rPr>
              <w:t>限价</w:t>
            </w:r>
          </w:p>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ascii="宋体" w:hAnsi="宋体" w:cs="宋体"/>
                <w:b/>
                <w:bCs/>
                <w:color w:val="auto"/>
                <w:kern w:val="0"/>
                <w:sz w:val="15"/>
                <w:szCs w:val="15"/>
                <w:highlight w:val="none"/>
                <w:lang w:bidi="ar"/>
              </w:rPr>
              <w:t>（元）</w:t>
            </w:r>
          </w:p>
        </w:tc>
        <w:tc>
          <w:tcPr>
            <w:tcW w:w="780" w:type="dxa"/>
            <w:tcBorders>
              <w:tl2br w:val="nil"/>
              <w:tr2bl w:val="nil"/>
            </w:tcBorders>
            <w:vAlign w:val="center"/>
          </w:tcPr>
          <w:p>
            <w:pPr>
              <w:widowControl/>
              <w:spacing w:line="240" w:lineRule="exact"/>
              <w:jc w:val="center"/>
              <w:textAlignment w:val="center"/>
              <w:rPr>
                <w:rFonts w:hint="eastAsia" w:ascii="宋体" w:hAnsi="宋体" w:cs="宋体"/>
                <w:b/>
                <w:bCs/>
                <w:color w:val="auto"/>
                <w:kern w:val="0"/>
                <w:sz w:val="15"/>
                <w:szCs w:val="15"/>
                <w:highlight w:val="none"/>
                <w:lang w:bidi="ar"/>
              </w:rPr>
            </w:pPr>
            <w:r>
              <w:rPr>
                <w:rFonts w:ascii="宋体" w:hAnsi="宋体" w:cs="宋体"/>
                <w:b/>
                <w:bCs/>
                <w:color w:val="auto"/>
                <w:kern w:val="0"/>
                <w:sz w:val="15"/>
                <w:szCs w:val="15"/>
                <w:highlight w:val="none"/>
                <w:lang w:bidi="ar"/>
              </w:rPr>
              <w:t>总价最高限价</w:t>
            </w:r>
          </w:p>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ascii="宋体" w:hAnsi="宋体" w:cs="宋体"/>
                <w:b/>
                <w:bCs/>
                <w:color w:val="auto"/>
                <w:kern w:val="0"/>
                <w:sz w:val="15"/>
                <w:szCs w:val="15"/>
                <w:highlight w:val="none"/>
                <w:lang w:bidi="ar"/>
              </w:rPr>
              <w:t>（元）</w:t>
            </w:r>
          </w:p>
        </w:tc>
        <w:tc>
          <w:tcPr>
            <w:tcW w:w="780"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restart"/>
            <w:tcBorders>
              <w:tl2br w:val="nil"/>
              <w:tr2bl w:val="nil"/>
            </w:tcBorders>
            <w:noWrap/>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1</w:t>
            </w:r>
          </w:p>
        </w:tc>
        <w:tc>
          <w:tcPr>
            <w:tcW w:w="654" w:type="dxa"/>
            <w:vMerge w:val="restart"/>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eastAsia="zh-CN" w:bidi="ar"/>
              </w:rPr>
              <w:t>国家高技能基地项目-先进制造工程中心（数控加工实训室）</w:t>
            </w: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1</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bookmarkStart w:id="139" w:name="OLE_LINK198"/>
            <w:r>
              <w:rPr>
                <w:rFonts w:hint="eastAsia" w:ascii="宋体" w:hAnsi="宋体" w:eastAsia="宋体" w:cs="宋体"/>
                <w:color w:val="auto"/>
                <w:sz w:val="15"/>
                <w:szCs w:val="15"/>
                <w:highlight w:val="none"/>
              </w:rPr>
              <w:t>四轴</w:t>
            </w:r>
            <w:bookmarkEnd w:id="139"/>
            <w:r>
              <w:rPr>
                <w:rFonts w:hint="eastAsia" w:ascii="宋体" w:hAnsi="宋体" w:eastAsia="宋体" w:cs="宋体"/>
                <w:color w:val="auto"/>
                <w:sz w:val="15"/>
                <w:szCs w:val="15"/>
                <w:highlight w:val="none"/>
              </w:rPr>
              <w:t>加工中心</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sz w:val="15"/>
                <w:szCs w:val="15"/>
                <w:highlight w:val="none"/>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4</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308534</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1234136</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2</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bookmarkStart w:id="140" w:name="OLE_LINK196"/>
            <w:r>
              <w:rPr>
                <w:rFonts w:hint="eastAsia" w:ascii="宋体" w:hAnsi="宋体" w:eastAsia="宋体" w:cs="宋体"/>
                <w:color w:val="auto"/>
                <w:sz w:val="15"/>
                <w:szCs w:val="15"/>
                <w:highlight w:val="none"/>
              </w:rPr>
              <w:t>数控铣</w:t>
            </w:r>
            <w:bookmarkEnd w:id="140"/>
            <w:bookmarkStart w:id="141" w:name="OLE_LINK197"/>
            <w:r>
              <w:rPr>
                <w:rFonts w:hint="eastAsia" w:ascii="宋体" w:hAnsi="宋体" w:eastAsia="宋体" w:cs="宋体"/>
                <w:color w:val="auto"/>
                <w:sz w:val="15"/>
                <w:szCs w:val="15"/>
                <w:highlight w:val="none"/>
              </w:rPr>
              <w:t>床</w:t>
            </w:r>
            <w:bookmarkEnd w:id="141"/>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2</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275000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550000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3</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数控车床</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4</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130070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520280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4</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bookmarkStart w:id="142" w:name="OLE_LINK99"/>
            <w:r>
              <w:rPr>
                <w:rFonts w:hint="eastAsia" w:ascii="宋体" w:hAnsi="宋体" w:eastAsia="宋体" w:cs="宋体"/>
                <w:i w:val="0"/>
                <w:iCs w:val="0"/>
                <w:caps w:val="0"/>
                <w:color w:val="auto"/>
                <w:spacing w:val="0"/>
                <w:kern w:val="0"/>
                <w:sz w:val="15"/>
                <w:szCs w:val="15"/>
                <w:highlight w:val="none"/>
                <w:shd w:val="clear"/>
                <w:lang w:bidi="ar"/>
              </w:rPr>
              <w:t>数控多轴加工仿真软件（车间机床用）</w:t>
            </w:r>
            <w:bookmarkEnd w:id="142"/>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lang w:val="en-US" w:eastAsia="zh-CN"/>
              </w:rPr>
              <w:t>0</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eastAsia="zh-CN"/>
              </w:rPr>
              <w:t>节点</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30610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306100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5</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洗地机</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1</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eastAsia="zh-CN"/>
              </w:rPr>
              <w:t>台</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14144</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14144</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6</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工具车</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default" w:ascii="宋体" w:hAnsi="宋体" w:eastAsia="宋体" w:cs="宋体"/>
                <w:color w:val="auto"/>
                <w:sz w:val="15"/>
                <w:szCs w:val="15"/>
                <w:highlight w:val="none"/>
                <w:lang w:val="en-US" w:eastAsia="zh-CN"/>
              </w:rPr>
              <w:t>12</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bookmarkStart w:id="143" w:name="OLE_LINK54"/>
            <w:r>
              <w:rPr>
                <w:rFonts w:hint="eastAsia" w:ascii="宋体" w:hAnsi="宋体" w:eastAsia="宋体" w:cs="宋体"/>
                <w:color w:val="auto"/>
                <w:sz w:val="15"/>
                <w:szCs w:val="15"/>
                <w:highlight w:val="none"/>
                <w:lang w:val="en-US" w:eastAsia="zh-CN"/>
              </w:rPr>
              <w:t>台</w:t>
            </w:r>
            <w:bookmarkEnd w:id="143"/>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1630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19560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7</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踏板</w:t>
            </w:r>
            <w:r>
              <w:rPr>
                <w:rFonts w:hint="eastAsia" w:ascii="宋体" w:hAnsi="宋体" w:cs="宋体"/>
                <w:color w:val="auto"/>
                <w:kern w:val="0"/>
                <w:sz w:val="15"/>
                <w:szCs w:val="15"/>
                <w:highlight w:val="none"/>
                <w:lang w:val="en-US" w:eastAsia="zh-CN" w:bidi="ar"/>
              </w:rPr>
              <w:t>（22个）</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cs="宋体"/>
                <w:color w:val="auto"/>
                <w:sz w:val="15"/>
                <w:szCs w:val="15"/>
                <w:highlight w:val="none"/>
                <w:lang w:val="en-US" w:eastAsia="zh-CN"/>
              </w:rPr>
              <w:t>1</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cs="宋体"/>
                <w:color w:val="auto"/>
                <w:sz w:val="15"/>
                <w:szCs w:val="15"/>
                <w:highlight w:val="none"/>
                <w:lang w:val="en-US" w:eastAsia="zh-CN"/>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adjustRightInd w:val="0"/>
              <w:snapToGrid w:val="0"/>
              <w:spacing w:line="360" w:lineRule="auto"/>
              <w:jc w:val="center"/>
              <w:rPr>
                <w:rFonts w:hint="default"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22000</w:t>
            </w:r>
          </w:p>
        </w:tc>
        <w:tc>
          <w:tcPr>
            <w:tcW w:w="780" w:type="dxa"/>
            <w:tcBorders>
              <w:tl2br w:val="nil"/>
              <w:tr2bl w:val="nil"/>
            </w:tcBorders>
            <w:vAlign w:val="center"/>
          </w:tcPr>
          <w:p>
            <w:pPr>
              <w:adjustRightInd w:val="0"/>
              <w:snapToGrid w:val="0"/>
              <w:spacing w:line="360" w:lineRule="auto"/>
              <w:jc w:val="center"/>
              <w:rPr>
                <w:rFonts w:hint="default" w:ascii="宋体" w:hAnsi="宋体" w:eastAsia="宋体" w:cs="宋体"/>
                <w:color w:val="auto"/>
                <w:sz w:val="15"/>
                <w:szCs w:val="15"/>
                <w:highlight w:val="none"/>
                <w:lang w:val="en-US" w:eastAsia="zh-CN"/>
              </w:rPr>
            </w:pPr>
            <w:bookmarkStart w:id="144" w:name="OLE_LINK55"/>
            <w:r>
              <w:rPr>
                <w:rFonts w:hint="eastAsia" w:ascii="宋体" w:hAnsi="宋体" w:eastAsia="宋体" w:cs="宋体"/>
                <w:color w:val="auto"/>
                <w:sz w:val="15"/>
                <w:szCs w:val="15"/>
                <w:highlight w:val="none"/>
                <w:lang w:val="en-US" w:eastAsia="zh-CN"/>
              </w:rPr>
              <w:t>22000</w:t>
            </w:r>
            <w:bookmarkEnd w:id="144"/>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sz w:val="15"/>
                <w:szCs w:val="15"/>
                <w:highlight w:val="none"/>
                <w:lang w:val="en-US" w:eastAsia="zh-CN"/>
              </w:rPr>
              <w:t>1套含22个踏板</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8</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机床配套工量具</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default" w:ascii="宋体" w:hAnsi="宋体" w:eastAsia="宋体" w:cs="宋体"/>
                <w:color w:val="auto"/>
                <w:sz w:val="15"/>
                <w:szCs w:val="15"/>
                <w:highlight w:val="none"/>
                <w:lang w:val="en-US" w:eastAsia="zh-CN"/>
              </w:rPr>
              <w:t>12</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4000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48000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9</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机床配套刀具</w:t>
            </w:r>
            <w:r>
              <w:rPr>
                <w:rFonts w:hint="eastAsia" w:ascii="宋体" w:hAnsi="宋体" w:eastAsia="宋体" w:cs="宋体"/>
                <w:i w:val="0"/>
                <w:iCs w:val="0"/>
                <w:caps w:val="0"/>
                <w:color w:val="auto"/>
                <w:spacing w:val="0"/>
                <w:kern w:val="0"/>
                <w:sz w:val="15"/>
                <w:szCs w:val="15"/>
                <w:highlight w:val="none"/>
                <w:lang w:bidi="ar"/>
              </w:rPr>
              <w:t>（含机床搬迁及文化建设）</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default" w:ascii="宋体" w:hAnsi="宋体" w:eastAsia="宋体" w:cs="宋体"/>
                <w:color w:val="auto"/>
                <w:sz w:val="15"/>
                <w:szCs w:val="15"/>
                <w:highlight w:val="none"/>
                <w:lang w:val="en-US" w:eastAsia="zh-CN"/>
              </w:rPr>
              <w:t>1</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批</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bookmarkStart w:id="145" w:name="OLE_LINK53"/>
            <w:r>
              <w:rPr>
                <w:rFonts w:hint="eastAsia" w:ascii="宋体" w:hAnsi="宋体" w:eastAsia="宋体" w:cs="宋体"/>
                <w:i w:val="0"/>
                <w:iCs w:val="0"/>
                <w:caps w:val="0"/>
                <w:color w:val="auto"/>
                <w:spacing w:val="0"/>
                <w:kern w:val="0"/>
                <w:sz w:val="15"/>
                <w:szCs w:val="15"/>
                <w:highlight w:val="none"/>
                <w:lang w:bidi="ar"/>
              </w:rPr>
              <w:t>94457</w:t>
            </w:r>
            <w:r>
              <w:rPr>
                <w:rFonts w:hint="eastAsia" w:ascii="宋体" w:hAnsi="宋体" w:eastAsia="宋体" w:cs="宋体"/>
                <w:i w:val="0"/>
                <w:iCs w:val="0"/>
                <w:caps w:val="0"/>
                <w:color w:val="auto"/>
                <w:spacing w:val="0"/>
                <w:kern w:val="0"/>
                <w:sz w:val="15"/>
                <w:szCs w:val="15"/>
                <w:highlight w:val="none"/>
                <w:lang w:eastAsia="zh-CN" w:bidi="ar"/>
              </w:rPr>
              <w:t>.</w:t>
            </w:r>
            <w:r>
              <w:rPr>
                <w:rFonts w:hint="eastAsia" w:ascii="宋体" w:hAnsi="宋体" w:eastAsia="宋体" w:cs="宋体"/>
                <w:i w:val="0"/>
                <w:iCs w:val="0"/>
                <w:caps w:val="0"/>
                <w:color w:val="auto"/>
                <w:spacing w:val="0"/>
                <w:kern w:val="0"/>
                <w:sz w:val="15"/>
                <w:szCs w:val="15"/>
                <w:highlight w:val="none"/>
                <w:lang w:bidi="ar"/>
              </w:rPr>
              <w:t>76</w:t>
            </w:r>
            <w:bookmarkEnd w:id="145"/>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i w:val="0"/>
                <w:iCs w:val="0"/>
                <w:caps w:val="0"/>
                <w:color w:val="auto"/>
                <w:spacing w:val="0"/>
                <w:kern w:val="0"/>
                <w:sz w:val="15"/>
                <w:szCs w:val="15"/>
                <w:highlight w:val="none"/>
                <w:lang w:bidi="ar"/>
              </w:rPr>
              <w:t>94457</w:t>
            </w:r>
            <w:r>
              <w:rPr>
                <w:rFonts w:hint="eastAsia" w:ascii="宋体" w:hAnsi="宋体" w:eastAsia="宋体" w:cs="宋体"/>
                <w:i w:val="0"/>
                <w:iCs w:val="0"/>
                <w:caps w:val="0"/>
                <w:color w:val="auto"/>
                <w:spacing w:val="0"/>
                <w:kern w:val="0"/>
                <w:sz w:val="15"/>
                <w:szCs w:val="15"/>
                <w:highlight w:val="none"/>
                <w:lang w:eastAsia="zh-CN" w:bidi="ar"/>
              </w:rPr>
              <w:t>.</w:t>
            </w:r>
            <w:r>
              <w:rPr>
                <w:rFonts w:hint="eastAsia" w:ascii="宋体" w:hAnsi="宋体" w:eastAsia="宋体" w:cs="宋体"/>
                <w:i w:val="0"/>
                <w:iCs w:val="0"/>
                <w:caps w:val="0"/>
                <w:color w:val="auto"/>
                <w:spacing w:val="0"/>
                <w:kern w:val="0"/>
                <w:sz w:val="15"/>
                <w:szCs w:val="15"/>
                <w:highlight w:val="none"/>
                <w:lang w:bidi="ar"/>
              </w:rPr>
              <w:t>76</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10</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教学一体机</w:t>
            </w:r>
            <w:r>
              <w:rPr>
                <w:rFonts w:hint="eastAsia" w:ascii="宋体" w:hAnsi="宋体" w:eastAsia="宋体" w:cs="宋体"/>
                <w:i w:val="0"/>
                <w:iCs w:val="0"/>
                <w:caps w:val="0"/>
                <w:color w:val="auto"/>
                <w:spacing w:val="0"/>
                <w:kern w:val="0"/>
                <w:sz w:val="15"/>
                <w:szCs w:val="15"/>
                <w:highlight w:val="none"/>
                <w:shd w:val="clear"/>
                <w:lang w:bidi="ar"/>
              </w:rPr>
              <w:t>（98寸）</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2</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台</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23574</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47148</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bookmarkStart w:id="146" w:name="OLE_LINK57" w:colFirst="3" w:colLast="10"/>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11</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场地改造</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1</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项</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247000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247000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bookmarkEnd w:id="138"/>
      <w:bookmarkEnd w:id="146"/>
    </w:tbl>
    <w:p>
      <w:pPr>
        <w:adjustRightInd w:val="0"/>
        <w:snapToGrid w:val="0"/>
        <w:spacing w:before="161" w:beforeLines="50"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注：1.“包”为最小合同单位（最小投标单位）。每“包”内容应细化到具体标的。</w:t>
      </w:r>
    </w:p>
    <w:p>
      <w:pPr>
        <w:adjustRightInd w:val="0"/>
        <w:snapToGrid w:val="0"/>
        <w:spacing w:before="161" w:beforeLines="50"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2.投标人必须对一个完整、独立的包进行投标，不得仅对一个包中的部分标的投标，否则</w:t>
      </w:r>
      <w:r>
        <w:rPr>
          <w:rFonts w:hint="eastAsia" w:ascii="宋体" w:hAnsi="宋体" w:eastAsia="宋体" w:cs="Times New Roman"/>
          <w:b/>
          <w:color w:val="auto"/>
          <w:szCs w:val="21"/>
          <w:highlight w:val="none"/>
        </w:rPr>
        <w:t>投标无效。</w:t>
      </w:r>
    </w:p>
    <w:p>
      <w:pPr>
        <w:adjustRightInd w:val="0"/>
        <w:snapToGrid w:val="0"/>
        <w:spacing w:before="161" w:beforeLines="50"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Times New Roman"/>
          <w:color w:val="auto"/>
          <w:szCs w:val="21"/>
          <w:highlight w:val="none"/>
        </w:rPr>
        <w:t>3.货物的主要技术参数或规格：</w:t>
      </w:r>
      <w:r>
        <w:rPr>
          <w:rFonts w:ascii="宋体" w:hAnsi="宋体" w:eastAsia="宋体" w:cs="宋体"/>
          <w:color w:val="auto"/>
          <w:kern w:val="0"/>
          <w:szCs w:val="21"/>
          <w:highlight w:val="none"/>
        </w:rPr>
        <w:t>详见“技术要求”中的具体技术参数</w:t>
      </w:r>
      <w:r>
        <w:rPr>
          <w:rFonts w:hint="eastAsia" w:ascii="宋体" w:hAnsi="宋体" w:eastAsia="宋体" w:cs="宋体"/>
          <w:color w:val="auto"/>
          <w:kern w:val="0"/>
          <w:szCs w:val="21"/>
          <w:highlight w:val="none"/>
        </w:rPr>
        <w:t>。</w:t>
      </w:r>
    </w:p>
    <w:p>
      <w:pPr>
        <w:adjustRightInd w:val="0"/>
        <w:snapToGrid w:val="0"/>
        <w:spacing w:before="161" w:beforeLines="50"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4.投标人应</w:t>
      </w:r>
      <w:r>
        <w:rPr>
          <w:rFonts w:hint="eastAsia" w:ascii="宋体" w:hAnsi="宋体" w:eastAsia="宋体" w:cs="宋体"/>
          <w:color w:val="auto"/>
          <w:kern w:val="0"/>
          <w:szCs w:val="21"/>
          <w:highlight w:val="none"/>
        </w:rPr>
        <w:t>在投标文件《分项报价明细表》中按</w:t>
      </w:r>
      <w:r>
        <w:rPr>
          <w:rFonts w:hint="eastAsia" w:ascii="宋体" w:hAnsi="宋体" w:eastAsia="宋体" w:cs="Times New Roman"/>
          <w:color w:val="auto"/>
          <w:szCs w:val="21"/>
          <w:highlight w:val="none"/>
        </w:rPr>
        <w:t>标的名称</w:t>
      </w:r>
      <w:r>
        <w:rPr>
          <w:rFonts w:hint="eastAsia" w:ascii="宋体" w:hAnsi="宋体" w:eastAsia="宋体" w:cs="宋体"/>
          <w:color w:val="auto"/>
          <w:kern w:val="0"/>
          <w:szCs w:val="21"/>
          <w:highlight w:val="none"/>
        </w:rPr>
        <w:t>顺序逐项填写，且每个标的中的条目均需按招标文件规定报价。如有缺项、漏项，其</w:t>
      </w:r>
      <w:r>
        <w:rPr>
          <w:rFonts w:hint="eastAsia" w:ascii="宋体" w:hAnsi="宋体" w:eastAsia="宋体" w:cs="宋体"/>
          <w:b/>
          <w:color w:val="auto"/>
          <w:kern w:val="0"/>
          <w:szCs w:val="21"/>
          <w:highlight w:val="none"/>
        </w:rPr>
        <w:t>投标无效</w:t>
      </w:r>
      <w:r>
        <w:rPr>
          <w:rFonts w:hint="eastAsia" w:ascii="宋体" w:hAnsi="宋体" w:eastAsia="宋体" w:cs="宋体"/>
          <w:color w:val="auto"/>
          <w:kern w:val="0"/>
          <w:szCs w:val="21"/>
          <w:highlight w:val="none"/>
        </w:rPr>
        <w:t>。</w:t>
      </w:r>
    </w:p>
    <w:p>
      <w:pPr>
        <w:adjustRightInd w:val="0"/>
        <w:snapToGrid w:val="0"/>
        <w:spacing w:before="161" w:beforeLines="50" w:line="360" w:lineRule="auto"/>
        <w:ind w:firstLine="420" w:firstLineChars="200"/>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5.投标人投标报价不得超过单价最高限价和总价最高限价，否则，将视为</w:t>
      </w:r>
      <w:r>
        <w:rPr>
          <w:rFonts w:hint="eastAsia" w:ascii="宋体" w:hAnsi="宋体" w:cs="宋体"/>
          <w:b/>
          <w:color w:val="auto"/>
          <w:kern w:val="0"/>
          <w:szCs w:val="21"/>
          <w:highlight w:val="none"/>
        </w:rPr>
        <w:t>投标无效</w:t>
      </w:r>
      <w:r>
        <w:rPr>
          <w:rFonts w:hint="eastAsia" w:ascii="宋体" w:hAnsi="宋体" w:eastAsia="宋体" w:cs="宋体"/>
          <w:b/>
          <w:color w:val="auto"/>
          <w:kern w:val="0"/>
          <w:szCs w:val="21"/>
          <w:highlight w:val="none"/>
        </w:rPr>
        <w:t>。</w:t>
      </w:r>
    </w:p>
    <w:p>
      <w:pPr>
        <w:widowControl/>
        <w:jc w:val="left"/>
        <w:rPr>
          <w:rFonts w:hint="eastAsia" w:ascii="宋体" w:hAnsi="宋体" w:eastAsia="宋体" w:cs="宋体"/>
          <w:b/>
          <w:color w:val="auto"/>
          <w:highlight w:val="none"/>
        </w:rPr>
      </w:pPr>
      <w:r>
        <w:rPr>
          <w:rFonts w:ascii="宋体" w:hAnsi="宋体" w:eastAsia="宋体" w:cs="宋体"/>
          <w:b/>
          <w:color w:val="auto"/>
          <w:highlight w:val="none"/>
        </w:rPr>
        <w:br w:type="page"/>
      </w:r>
    </w:p>
    <w:p>
      <w:pPr>
        <w:keepNext/>
        <w:keepLines/>
        <w:widowControl w:val="0"/>
        <w:adjustRightInd w:val="0"/>
        <w:snapToGrid w:val="0"/>
        <w:spacing w:before="161" w:beforeLines="50" w:line="360" w:lineRule="auto"/>
        <w:jc w:val="center"/>
        <w:outlineLvl w:val="1"/>
        <w:rPr>
          <w:rFonts w:hint="eastAsia" w:ascii="黑体" w:hAnsi="黑体" w:eastAsia="黑体" w:cs="Times New Roman"/>
          <w:b/>
          <w:bCs/>
          <w:color w:val="auto"/>
          <w:kern w:val="2"/>
          <w:sz w:val="28"/>
          <w:szCs w:val="28"/>
          <w:highlight w:val="none"/>
          <w:lang w:val="en-US" w:eastAsia="zh-CN" w:bidi="ar-SA"/>
        </w:rPr>
      </w:pPr>
      <w:bookmarkStart w:id="147" w:name="_Toc8803"/>
      <w:r>
        <w:rPr>
          <w:rFonts w:hint="eastAsia" w:ascii="黑体" w:hAnsi="黑体" w:eastAsia="黑体" w:cs="Times New Roman"/>
          <w:b/>
          <w:bCs/>
          <w:color w:val="auto"/>
          <w:kern w:val="2"/>
          <w:sz w:val="28"/>
          <w:szCs w:val="28"/>
          <w:highlight w:val="none"/>
          <w:lang w:val="en-US" w:eastAsia="zh-CN" w:bidi="ar-SA"/>
        </w:rPr>
        <w:t xml:space="preserve">第二节 </w:t>
      </w:r>
      <w:r>
        <w:rPr>
          <w:rFonts w:ascii="黑体" w:hAnsi="黑体" w:eastAsia="黑体" w:cs="Times New Roman"/>
          <w:b/>
          <w:bCs/>
          <w:color w:val="auto"/>
          <w:kern w:val="2"/>
          <w:sz w:val="28"/>
          <w:szCs w:val="28"/>
          <w:highlight w:val="none"/>
          <w:lang w:val="en-US" w:eastAsia="zh-CN" w:bidi="ar-SA"/>
        </w:rPr>
        <w:t>技术要求</w:t>
      </w:r>
      <w:bookmarkEnd w:id="147"/>
    </w:p>
    <w:p>
      <w:pPr>
        <w:spacing w:line="360" w:lineRule="auto"/>
        <w:rPr>
          <w:rFonts w:ascii="Times New Roman" w:hAnsi="Times New Roman" w:eastAsia="宋体" w:cs="Times New Roman"/>
          <w:color w:val="auto"/>
          <w:highlight w:val="none"/>
        </w:rPr>
      </w:pPr>
      <w:r>
        <w:rPr>
          <w:rFonts w:hint="eastAsia" w:ascii="宋体" w:hAnsi="宋体" w:eastAsia="宋体" w:cs="宋体"/>
          <w:b/>
          <w:color w:val="auto"/>
          <w:szCs w:val="21"/>
          <w:highlight w:val="none"/>
        </w:rPr>
        <w:t>一、采购清单</w:t>
      </w:r>
    </w:p>
    <w:tbl>
      <w:tblPr>
        <w:tblStyle w:val="43"/>
        <w:tblW w:w="94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957"/>
        <w:gridCol w:w="6531"/>
        <w:gridCol w:w="632"/>
        <w:gridCol w:w="6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rPr>
              <w:t>序号</w:t>
            </w:r>
          </w:p>
        </w:tc>
        <w:tc>
          <w:tcPr>
            <w:tcW w:w="957"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rPr>
              <w:t>设备名称</w:t>
            </w:r>
          </w:p>
        </w:tc>
        <w:tc>
          <w:tcPr>
            <w:tcW w:w="6531"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rPr>
              <w:t>技术参数</w:t>
            </w:r>
          </w:p>
        </w:tc>
        <w:tc>
          <w:tcPr>
            <w:tcW w:w="632"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rPr>
              <w:t>数量</w:t>
            </w:r>
          </w:p>
        </w:tc>
        <w:tc>
          <w:tcPr>
            <w:tcW w:w="673"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b/>
                <w:bCs/>
                <w:color w:val="auto"/>
                <w:sz w:val="15"/>
                <w:szCs w:val="15"/>
                <w:highlight w:val="none"/>
              </w:rPr>
            </w:pPr>
            <w:r>
              <w:rPr>
                <w:rFonts w:hint="eastAsia" w:ascii="宋体" w:hAnsi="宋体" w:eastAsia="宋体" w:cs="宋体"/>
                <w:b/>
                <w:bCs/>
                <w:color w:val="auto"/>
                <w:sz w:val="15"/>
                <w:szCs w:val="15"/>
                <w:highlight w:val="none"/>
              </w:rPr>
              <w:t>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48" w:name="OLE_LINK32" w:colFirst="1" w:colLast="1"/>
            <w:bookmarkStart w:id="149" w:name="OLE_LINK33" w:colFirst="3" w:colLast="4"/>
            <w:r>
              <w:rPr>
                <w:rFonts w:hint="eastAsia" w:ascii="宋体" w:hAnsi="宋体" w:eastAsia="宋体" w:cs="宋体"/>
                <w:color w:val="auto"/>
                <w:sz w:val="15"/>
                <w:szCs w:val="15"/>
                <w:highlight w:val="none"/>
              </w:rPr>
              <w:t>1</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50" w:name="OLE_LINK16"/>
            <w:r>
              <w:rPr>
                <w:rFonts w:hint="eastAsia" w:ascii="宋体" w:hAnsi="宋体" w:eastAsia="宋体" w:cs="宋体"/>
                <w:color w:val="auto"/>
                <w:sz w:val="15"/>
                <w:szCs w:val="15"/>
                <w:highlight w:val="none"/>
              </w:rPr>
              <w:t>四轴加工中心</w:t>
            </w:r>
            <w:bookmarkEnd w:id="150"/>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一、机床应满足以下技术参数要求：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1.1工作台规格（长×宽）：≥1000×500（mm），整机（长×宽）≤3500*2500（mm）；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1.2工作台最大承重：≥500kg；</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1.3工作台T形槽尺寸：槽宽18mm，数量5-7个；</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1.4X/Y/Z轴行程：≥850/500/540（mm）；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1.5主轴端面至工作台面最大/最小距离：≥660mm/≤125mm；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1.6主轴中心到Z轴导轨面距离：≥590mm；</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1.7 X/Y/Z轴快速进给速度：≥48/48/48（m/min)</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1.8 X/Y/Z轴导轨形式/宽度:重载滚柱导轨/≥35/45/45mm；</w:t>
            </w:r>
          </w:p>
          <w:p>
            <w:pPr>
              <w:adjustRightInd w:val="0"/>
              <w:snapToGrid w:val="0"/>
              <w:spacing w:line="360" w:lineRule="auto"/>
              <w:jc w:val="left"/>
              <w:rPr>
                <w:rFonts w:hint="eastAsia" w:ascii="宋体" w:hAnsi="宋体" w:eastAsia="宋体" w:cs="宋体"/>
                <w:color w:val="auto"/>
                <w:sz w:val="15"/>
                <w:szCs w:val="15"/>
                <w:highlight w:val="none"/>
              </w:rPr>
            </w:pPr>
            <w:bookmarkStart w:id="151" w:name="OLE_LINK100"/>
            <w:r>
              <w:rPr>
                <w:rFonts w:hint="eastAsia" w:ascii="宋体" w:hAnsi="宋体" w:eastAsia="宋体" w:cs="宋体"/>
                <w:color w:val="auto"/>
                <w:sz w:val="15"/>
                <w:szCs w:val="15"/>
                <w:highlight w:val="none"/>
              </w:rPr>
              <w:t>▲</w:t>
            </w:r>
            <w:bookmarkEnd w:id="151"/>
            <w:bookmarkStart w:id="152" w:name="OLE_LINK17"/>
            <w:bookmarkStart w:id="153" w:name="OLE_LINK18"/>
            <w:r>
              <w:rPr>
                <w:rFonts w:hint="eastAsia" w:ascii="宋体" w:hAnsi="宋体" w:eastAsia="宋体" w:cs="宋体"/>
                <w:color w:val="auto"/>
                <w:sz w:val="15"/>
                <w:szCs w:val="15"/>
                <w:highlight w:val="none"/>
              </w:rPr>
              <w:t>1.9 X/Y/Z轴全行程双向定位精度：≤0.008/0.008/0.008（mm）</w:t>
            </w:r>
            <w:bookmarkEnd w:id="152"/>
            <w:r>
              <w:rPr>
                <w:rFonts w:hint="eastAsia" w:ascii="宋体" w:hAnsi="宋体" w:eastAsia="宋体" w:cs="宋体"/>
                <w:color w:val="auto"/>
                <w:sz w:val="15"/>
                <w:szCs w:val="15"/>
                <w:highlight w:val="none"/>
              </w:rPr>
              <w:t>；</w:t>
            </w:r>
            <w:bookmarkStart w:id="154" w:name="OLE_LINK12"/>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r>
              <w:rPr>
                <w:rFonts w:hint="eastAsia" w:ascii="宋体" w:hAnsi="宋体" w:eastAsia="宋体" w:cs="宋体"/>
                <w:b/>
                <w:bCs/>
                <w:color w:val="auto"/>
                <w:sz w:val="15"/>
                <w:szCs w:val="15"/>
                <w:highlight w:val="none"/>
              </w:rPr>
              <w:t>）</w:t>
            </w:r>
            <w:bookmarkEnd w:id="154"/>
          </w:p>
          <w:bookmarkEnd w:id="153"/>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w:t>
            </w:r>
            <w:bookmarkStart w:id="155" w:name="OLE_LINK19"/>
            <w:r>
              <w:rPr>
                <w:rFonts w:hint="eastAsia" w:ascii="宋体" w:hAnsi="宋体" w:eastAsia="宋体" w:cs="宋体"/>
                <w:color w:val="auto"/>
                <w:sz w:val="15"/>
                <w:szCs w:val="15"/>
                <w:highlight w:val="none"/>
              </w:rPr>
              <w:t>1.10 X/Y/Z轴重复定位精度：≤0.005/0.005/0.005（mm）</w:t>
            </w:r>
            <w:r>
              <w:rPr>
                <w:rFonts w:hint="eastAsia" w:ascii="宋体" w:hAnsi="宋体" w:eastAsia="宋体" w:cs="宋体"/>
                <w:color w:val="auto"/>
                <w:sz w:val="15"/>
                <w:szCs w:val="15"/>
                <w:highlight w:val="none"/>
                <w:lang w:eastAsia="zh-CN"/>
              </w:rPr>
              <w:t>；</w:t>
            </w:r>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r>
              <w:rPr>
                <w:rFonts w:hint="eastAsia" w:ascii="宋体" w:hAnsi="宋体" w:eastAsia="宋体" w:cs="宋体"/>
                <w:b/>
                <w:bCs/>
                <w:color w:val="auto"/>
                <w:sz w:val="15"/>
                <w:szCs w:val="15"/>
                <w:highlight w:val="none"/>
              </w:rPr>
              <w:t>）</w:t>
            </w:r>
          </w:p>
          <w:bookmarkEnd w:id="155"/>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最高进给速度：≥10000mm/min；</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1.12 主轴锥孔(7:24)：适配BT40；</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1.13 主轴转数范围：≥10000rpm；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1.14 主轴最大扭矩：≥70Nm；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1.15 主轴电机最大功率：≥15kW；</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1.16 刀库：≥24刀位，带自动换刀；</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1.17 刀库换刀时间：≤2.5s；</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1.18 刀库最大刀盘直径：≥φ150mm；</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1.19 最大刀具长度：≥300mm</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1.20 配控制工作终端：</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1.20.1</w:t>
            </w:r>
            <w:r>
              <w:rPr>
                <w:rFonts w:hint="eastAsia" w:ascii="宋体" w:hAnsi="宋体" w:eastAsia="宋体" w:cs="宋体"/>
                <w:color w:val="auto"/>
                <w:sz w:val="15"/>
                <w:szCs w:val="15"/>
                <w:highlight w:val="none"/>
              </w:rPr>
              <w:t>显示器：尺寸不低于21.5英寸，分辨率不低于1920×1080；</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1.20.2</w:t>
            </w:r>
            <w:r>
              <w:rPr>
                <w:rFonts w:hint="eastAsia" w:ascii="宋体" w:hAnsi="宋体" w:eastAsia="宋体" w:cs="宋体"/>
                <w:color w:val="auto"/>
                <w:sz w:val="15"/>
                <w:szCs w:val="15"/>
                <w:highlight w:val="none"/>
              </w:rPr>
              <w:t>性能与兼容性：能够流畅运行主流多轴加工仿真软件及三维造型软件，同时打开多款此类软件无卡顿；与常见数控系统配套的控制软件及通信接口无硬件或驱动冲突，支持标准数控代码传输及仿真加速</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1.2</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配套实训桌1张：安全环保，带金属边框结构，防静电桌面。尺寸不小于1200mm×600mm×750mm，承重≥150kg。</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二、机床应满足以下配置、功能要求：</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数控系统：要求内存≥4GB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全数字总线式高端数控装置，开放式体系结构；支持总线式全数字伺服驱动单元和绝对值式伺服电机，支持总线式远程I/O单元，采用电子盘程序存储方式，支持CF卡、USB、以太网等程序扩展和数据交换功能；数控系统支持网络通讯，开通数控系统联网功能，可实时采集数控系统核心参数。</w:t>
            </w:r>
          </w:p>
          <w:p>
            <w:pPr>
              <w:adjustRightInd w:val="0"/>
              <w:snapToGrid w:val="0"/>
              <w:spacing w:line="360" w:lineRule="auto"/>
              <w:jc w:val="left"/>
              <w:rPr>
                <w:rFonts w:hint="eastAsia" w:ascii="宋体" w:hAnsi="宋体" w:eastAsia="宋体" w:cs="宋体"/>
                <w:color w:val="auto"/>
                <w:sz w:val="15"/>
                <w:szCs w:val="15"/>
                <w:highlight w:val="none"/>
                <w:lang w:eastAsia="zh-CN"/>
              </w:rPr>
            </w:pPr>
            <w:bookmarkStart w:id="156" w:name="OLE_LINK49"/>
            <w:r>
              <w:rPr>
                <w:rFonts w:hint="eastAsia" w:ascii="宋体" w:hAnsi="宋体" w:cs="宋体"/>
                <w:color w:val="auto"/>
                <w:sz w:val="15"/>
                <w:szCs w:val="15"/>
                <w:highlight w:val="none"/>
                <w:lang w:val="en-US" w:eastAsia="zh-CN"/>
              </w:rPr>
              <w:t>2.1.1</w:t>
            </w:r>
            <w:bookmarkEnd w:id="156"/>
            <w:r>
              <w:rPr>
                <w:rFonts w:hint="eastAsia" w:ascii="宋体" w:hAnsi="宋体" w:eastAsia="宋体" w:cs="宋体"/>
                <w:color w:val="auto"/>
                <w:sz w:val="15"/>
                <w:szCs w:val="15"/>
                <w:highlight w:val="none"/>
              </w:rPr>
              <w:t>采用总线式数控系统</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bookmarkStart w:id="157" w:name="OLE_LINK50"/>
            <w:r>
              <w:rPr>
                <w:rFonts w:hint="eastAsia" w:ascii="宋体" w:hAnsi="宋体" w:cs="宋体"/>
                <w:color w:val="auto"/>
                <w:sz w:val="15"/>
                <w:szCs w:val="15"/>
                <w:highlight w:val="none"/>
                <w:lang w:val="en-US" w:eastAsia="zh-CN"/>
              </w:rPr>
              <w:t>2.1.</w:t>
            </w:r>
            <w:bookmarkEnd w:id="157"/>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数控系统需具备二次开发功能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2.1.3</w:t>
            </w:r>
            <w:r>
              <w:rPr>
                <w:rFonts w:hint="eastAsia" w:ascii="宋体" w:hAnsi="宋体" w:eastAsia="宋体" w:cs="宋体"/>
                <w:color w:val="auto"/>
                <w:sz w:val="15"/>
                <w:szCs w:val="15"/>
                <w:highlight w:val="none"/>
              </w:rPr>
              <w:t>数控系统需具备机床调试辅助工具功能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2.1.4</w:t>
            </w:r>
            <w:r>
              <w:rPr>
                <w:rFonts w:hint="eastAsia" w:ascii="宋体" w:hAnsi="宋体" w:eastAsia="宋体" w:cs="宋体"/>
                <w:color w:val="auto"/>
                <w:sz w:val="15"/>
                <w:szCs w:val="15"/>
                <w:highlight w:val="none"/>
              </w:rPr>
              <w:t>数控系统需具备云服务功能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2.1.5</w:t>
            </w:r>
            <w:r>
              <w:rPr>
                <w:rFonts w:hint="eastAsia" w:ascii="宋体" w:hAnsi="宋体" w:eastAsia="宋体" w:cs="宋体"/>
                <w:color w:val="auto"/>
                <w:sz w:val="15"/>
                <w:szCs w:val="15"/>
                <w:highlight w:val="none"/>
              </w:rPr>
              <w:t>数控系统需具备一种多类工业以太网总线集成功能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2.1.6</w:t>
            </w:r>
            <w:r>
              <w:rPr>
                <w:rFonts w:hint="eastAsia" w:ascii="宋体" w:hAnsi="宋体" w:eastAsia="宋体" w:cs="宋体"/>
                <w:color w:val="auto"/>
                <w:sz w:val="15"/>
                <w:szCs w:val="15"/>
                <w:highlight w:val="none"/>
              </w:rPr>
              <w:t>数控系统需具备数控机床热误差补偿功能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2.1.7</w:t>
            </w:r>
            <w:r>
              <w:rPr>
                <w:rFonts w:hint="eastAsia" w:ascii="宋体" w:hAnsi="宋体" w:eastAsia="宋体" w:cs="宋体"/>
                <w:color w:val="auto"/>
                <w:sz w:val="15"/>
                <w:szCs w:val="15"/>
                <w:highlight w:val="none"/>
              </w:rPr>
              <w:t>联网功能：数控系统支持 TCP/IP 网络通讯，开通数控系统联网功能，可实时采集数控系统核心参数</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2.1.8</w:t>
            </w:r>
            <w:r>
              <w:rPr>
                <w:rFonts w:hint="eastAsia" w:ascii="宋体" w:hAnsi="宋体" w:eastAsia="宋体" w:cs="宋体"/>
                <w:color w:val="auto"/>
                <w:sz w:val="15"/>
                <w:szCs w:val="15"/>
                <w:highlight w:val="none"/>
              </w:rPr>
              <w:t>要求具备机床大数据联网-远程运维功能，通过远程运维平台，应用大数据汇聚、统计分析、可视化等技术，提供设备监控、 生产效率分析、远程运维等服务；</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2.1.9</w:t>
            </w:r>
            <w:r>
              <w:rPr>
                <w:rFonts w:hint="eastAsia" w:ascii="宋体" w:hAnsi="宋体" w:eastAsia="宋体" w:cs="宋体"/>
                <w:color w:val="auto"/>
                <w:sz w:val="15"/>
                <w:szCs w:val="15"/>
                <w:highlight w:val="none"/>
              </w:rPr>
              <w:t>数据中心</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能通过标识解析、机床联网、数据采集、数据存储、数据分析，建立机床数字化档案</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2.1.10</w:t>
            </w:r>
            <w:r>
              <w:rPr>
                <w:rFonts w:hint="eastAsia" w:ascii="宋体" w:hAnsi="宋体" w:eastAsia="宋体" w:cs="宋体"/>
                <w:color w:val="auto"/>
                <w:sz w:val="15"/>
                <w:szCs w:val="15"/>
                <w:highlight w:val="none"/>
              </w:rPr>
              <w:t>机床状态监控与运行统计</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可通过手机app或PC网页端登录，查看机床当前状态(运行/等待/报警异常/离线)，以及机床运行的统计数据(运行时间、加工计数、各状态持续时间等统计数据)，便于进行机床运行效率分析。同时能随时查看当前以及历史报警信息，以便及时分析排查机床故障</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2.1.11</w:t>
            </w:r>
            <w:r>
              <w:rPr>
                <w:rFonts w:hint="eastAsia" w:ascii="宋体" w:hAnsi="宋体" w:eastAsia="宋体" w:cs="宋体"/>
                <w:color w:val="auto"/>
                <w:sz w:val="15"/>
                <w:szCs w:val="15"/>
                <w:highlight w:val="none"/>
              </w:rPr>
              <w:t>故障处理</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机床故障能快速响应、远程报修、远程诊断、就近派单，自动生成维修经验案例库，将服务模式由被动变为主动</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故障发生后，通过在线调试参数、PLC、日志进行远程诊断和调试，快速排除故障，恢复生产</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同时提供丰富的维修案例库，帮助用户自主维修</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客服中心实时监控设备关键报警，电话沟通排查，达到预排除故障的效果。可以纵向查看单台设备的基础信息、设备运行监控、系统日志、系统参数等</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2.1.12</w:t>
            </w:r>
            <w:r>
              <w:rPr>
                <w:rFonts w:hint="eastAsia" w:ascii="宋体" w:hAnsi="宋体" w:eastAsia="宋体" w:cs="宋体"/>
                <w:color w:val="auto"/>
                <w:sz w:val="15"/>
                <w:szCs w:val="15"/>
                <w:highlight w:val="none"/>
              </w:rPr>
              <w:t>常规保养</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可通过机床录入保养计划，设置常规保养内容及流程、建立保养工单、计划日历等。通过使用制定好的保养计划项(支持自定义编辑)，平台会按计划提醒用户及时进行相关的保养工作</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2.1.13</w:t>
            </w:r>
            <w:r>
              <w:rPr>
                <w:rFonts w:hint="eastAsia" w:ascii="宋体" w:hAnsi="宋体" w:eastAsia="宋体" w:cs="宋体"/>
                <w:color w:val="auto"/>
                <w:sz w:val="15"/>
                <w:szCs w:val="15"/>
                <w:highlight w:val="none"/>
              </w:rPr>
              <w:t>系统显示屏大小：≥12寸</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2.2 主轴轴承：要求主轴轴承采用不低于P4级专用重载轴承，整套主轴可在恒温条件下组装完成，并通过动平衡校正及跑合测试。</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2.3 直线导轨：要求X/Y/Z轴导轨副要求采用≥35mm/45mm/45mm宽度的重载滚柱直线导轨。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2.4 滚珠丝杠：要求X/Y/Z轴采用直径≥φ40mm，且不低于C3级超高精度滚珠丝杠，具有进给灵活、定位准确、传动精度高的能力。</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2.5 气动系统：要求气动三联件能够充分过滤气源中的杂质和水分，能够有效防止不纯净的气体对机床部件损伤和腐蚀；配气枪。</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2.6 电源开关：要求机床电气设计符合国家标准，绝对保障设备和人身安全。</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2.7 冷却系统：要求配备大流量冷却泵，能够充分保证最佳的循环冷却状态，压力≥3bar；主轴箱端面应配有冷却喷嘴（主轴环喷），既能水冷也能风冷，并且能够随意切换；冷却过程能够通过M代码或控制面板进行控制</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2.8 润滑系统：要求导轨、滚珠丝杠副需采用中央集中自动稀油润滑，各个节点均需配有定量式分油器，能够定时定量向各润滑部位注油，保证各滑动面均匀润滑。</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2.9 排屑系统：具有自动排屑系统；配有手持式气枪，可以人工清除工件及工作台上的铁屑。</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2.10电气柜冷热交换器：要求机床电箱采用冷热交换器进行散热，确保电气设备的正常工作。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2.11手持盒：要求手持盒具备误操作保护按钮及急停按钮，X、Y、Z轴之间随意切换，X1、X10、X100倍率之间随意切换。</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2.12刀库：要求采用圆盘式机械手刀库，刀库与立柱通过基面与侧面双向同时把合，换刀时刀盘由滚子凸轮机构驱动及定位，由机械手换刀装置（ATC）完成还刀和送刀，ATC应为滚齿凸轮机构，经过预压后能够高速无噪音运转。</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2.13 四轴转台：转台盘面直径≥φ200mm，7寸手动三爪卡盘；可实现四轴四联动。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2.14 手动尾座：顶尖式手动尾座及活顶尖。</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 xml:space="preserve"> 配套软件资源：</w:t>
            </w:r>
          </w:p>
          <w:p>
            <w:pPr>
              <w:adjustRightInd w:val="0"/>
              <w:snapToGrid w:val="0"/>
              <w:spacing w:line="360" w:lineRule="auto"/>
              <w:jc w:val="left"/>
              <w:rPr>
                <w:rFonts w:hint="eastAsia" w:ascii="宋体" w:hAnsi="宋体" w:eastAsia="宋体" w:cs="宋体"/>
                <w:b/>
                <w:bCs/>
                <w:color w:val="auto"/>
                <w:sz w:val="15"/>
                <w:szCs w:val="15"/>
                <w:highlight w:val="none"/>
              </w:rPr>
            </w:pPr>
            <w:bookmarkStart w:id="158" w:name="OLE_LINK129"/>
            <w:bookmarkStart w:id="159" w:name="OLE_LINK20"/>
            <w:r>
              <w:rPr>
                <w:rFonts w:hint="eastAsia" w:ascii="宋体" w:hAnsi="宋体" w:eastAsia="宋体" w:cs="宋体"/>
                <w:color w:val="auto"/>
                <w:sz w:val="15"/>
                <w:szCs w:val="15"/>
                <w:highlight w:val="none"/>
              </w:rPr>
              <w:t>▲</w:t>
            </w:r>
            <w:bookmarkEnd w:id="158"/>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.1故障设</w:t>
            </w:r>
            <w:r>
              <w:rPr>
                <w:rFonts w:hint="eastAsia" w:ascii="宋体" w:hAnsi="宋体" w:cs="宋体"/>
                <w:color w:val="auto"/>
                <w:sz w:val="15"/>
                <w:szCs w:val="15"/>
                <w:highlight w:val="none"/>
                <w:lang w:val="en-US" w:eastAsia="zh-CN"/>
              </w:rPr>
              <w:t>置</w:t>
            </w:r>
            <w:bookmarkEnd w:id="159"/>
            <w:bookmarkStart w:id="160" w:name="OLE_LINK21"/>
            <w:r>
              <w:rPr>
                <w:rFonts w:hint="eastAsia" w:ascii="宋体" w:hAnsi="宋体" w:cs="宋体"/>
                <w:b/>
                <w:bCs/>
                <w:color w:val="auto"/>
                <w:sz w:val="15"/>
                <w:szCs w:val="15"/>
                <w:highlight w:val="none"/>
                <w:lang w:val="en-US" w:eastAsia="zh-CN"/>
              </w:rPr>
              <w:t>（投标文件需提供该项功能界面截图证明，每项至少一张图片）</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系统可支持设置多种故障：连线故障</w:t>
            </w:r>
            <w:r>
              <w:rPr>
                <w:rFonts w:hint="eastAsia" w:ascii="宋体" w:hAnsi="宋体" w:cs="宋体"/>
                <w:color w:val="auto"/>
                <w:sz w:val="15"/>
                <w:szCs w:val="15"/>
                <w:highlight w:val="none"/>
                <w:lang w:eastAsia="zh-CN"/>
              </w:rPr>
              <w:t>、</w:t>
            </w:r>
            <w:r>
              <w:rPr>
                <w:rFonts w:hint="eastAsia" w:ascii="宋体" w:hAnsi="宋体" w:eastAsia="宋体" w:cs="宋体"/>
                <w:color w:val="auto"/>
                <w:sz w:val="15"/>
                <w:szCs w:val="15"/>
                <w:highlight w:val="none"/>
              </w:rPr>
              <w:t>元件故障</w:t>
            </w:r>
            <w:r>
              <w:rPr>
                <w:rFonts w:hint="eastAsia" w:ascii="宋体" w:hAnsi="宋体" w:cs="宋体"/>
                <w:color w:val="auto"/>
                <w:sz w:val="15"/>
                <w:szCs w:val="15"/>
                <w:highlight w:val="none"/>
                <w:lang w:eastAsia="zh-CN"/>
              </w:rPr>
              <w:t>、</w:t>
            </w:r>
            <w:r>
              <w:rPr>
                <w:rFonts w:hint="eastAsia" w:ascii="宋体" w:hAnsi="宋体" w:eastAsia="宋体" w:cs="宋体"/>
                <w:color w:val="auto"/>
                <w:sz w:val="15"/>
                <w:szCs w:val="15"/>
                <w:highlight w:val="none"/>
              </w:rPr>
              <w:t>参数故障等功能。要求故障设置界面简洁，方便教学使用，设置的故障能够反映到对应实验项目的机床工作状态上。故障排除方法按实际情况有多种方式，电路接线故障排除，元器件内部故障排除，参数故障排除等都能进行仿真。能够把设置好的故障发送给学生端进行故障考核，并且对已设置好的故障可进行保存和导入，利于老师教学的延续性。</w:t>
            </w:r>
          </w:p>
          <w:bookmarkEnd w:id="160"/>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.2 账号管理</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管理用户登录信息，可添加、删除、清除、保存、编辑用户信息；账号分为“学生账号”和“教师账号”两种类型。</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.3真实数控机床电气元件模型为蓝本</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软件以真实的数控机床模型为蓝本进行开发，还原各模型结构及相关尺寸，模型结构逼真详细。</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.4 智能万用表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配备一个万用表，该万用表能真实反映当前电路端子间的电压，万用表支持直流和交流两种档位，且分别有毫伏(mV)、伏（V）、千伏（kV）3个档位。万用表配备的两只表笔（一支红表笔与一支黑表笔）在使用前，需要将表笔插放至对应的孔。测量时，三维场景中也会出现对应表笔的三维模型，如使用交流档测量直流电压时，系统提示错误，防止误操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.5 伺服驱动器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仿真的是华中伺服驱动器，能对该伺服进行参数设置，并且参数变化的内容会反映到实际伺服输出表现。系统还能仿真另Fanuc系统中使用到的α伺服驱动器，该驱动器可通过数码灯管进行运行提示与故障提示。</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.6 变频器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系统仿真的变频器支持设置点动频率参数，通过控制面板能够实现电机启停、正反转控制，能够实现点动与连续控制。</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.7 系统面板</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系统能仿真两款及以上典型数控系统：</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.8 步进驱动器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系统仿真的步进驱动器可通过7位拔码开关对其进行拔码设置，步进驱动器根据拔码设置的参数变化，对应电机的旋转速度也会对应变化。</w:t>
            </w:r>
          </w:p>
          <w:p>
            <w:pPr>
              <w:adjustRightInd w:val="0"/>
              <w:snapToGrid w:val="0"/>
              <w:spacing w:line="360" w:lineRule="auto"/>
              <w:jc w:val="left"/>
              <w:rPr>
                <w:rFonts w:hint="eastAsia" w:ascii="宋体" w:hAnsi="宋体" w:eastAsia="宋体" w:cs="宋体"/>
                <w:color w:val="auto"/>
                <w:sz w:val="15"/>
                <w:szCs w:val="15"/>
                <w:highlight w:val="none"/>
              </w:rPr>
            </w:pPr>
            <w:bookmarkStart w:id="161" w:name="OLE_LINK48"/>
            <w:bookmarkStart w:id="162" w:name="OLE_LINK22"/>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bookmarkEnd w:id="161"/>
            <w:r>
              <w:rPr>
                <w:rFonts w:hint="eastAsia" w:ascii="宋体" w:hAnsi="宋体" w:eastAsia="宋体" w:cs="宋体"/>
                <w:color w:val="auto"/>
                <w:sz w:val="15"/>
                <w:szCs w:val="15"/>
                <w:highlight w:val="none"/>
              </w:rPr>
              <w:t>机电联调实验</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系统仿真能支持现有数控系统的机电联调实验，实验具体功能如下：</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rPr>
              <w:t>仿真现有数控系统实际面板功能。</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通过机床机械传动部分对电气控制部分的故障排查，把机械与电气有机结合起来。</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.3</w:t>
            </w:r>
            <w:r>
              <w:rPr>
                <w:rFonts w:hint="eastAsia" w:ascii="宋体" w:hAnsi="宋体" w:eastAsia="宋体" w:cs="宋体"/>
                <w:color w:val="auto"/>
                <w:sz w:val="15"/>
                <w:szCs w:val="15"/>
                <w:highlight w:val="none"/>
              </w:rPr>
              <w:t>系统提供“反向间隙调整”、“共振频率调整”、“加减速调整”三个典型机电联调实验。</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.4</w:t>
            </w:r>
            <w:r>
              <w:rPr>
                <w:rFonts w:hint="eastAsia" w:ascii="宋体" w:hAnsi="宋体" w:eastAsia="宋体" w:cs="宋体"/>
                <w:color w:val="auto"/>
                <w:sz w:val="15"/>
                <w:szCs w:val="15"/>
                <w:highlight w:val="none"/>
              </w:rPr>
              <w:t>通过CNC面板的“自动模式”，能够调出工件加工程序进行工件毛坯的仿真加工，工件加工部分的轮廓精度真实反映出机床当前的工作状态。</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三坐标测量仪能够测出工件毛坯加工后的外轮廓精度。</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rPr>
              <w:t>通过工件加工部分的外轮廓精度能够反映出机床当前存在的故障。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.7</w:t>
            </w:r>
            <w:r>
              <w:rPr>
                <w:rFonts w:hint="eastAsia" w:ascii="宋体" w:hAnsi="宋体" w:eastAsia="宋体" w:cs="宋体"/>
                <w:color w:val="auto"/>
                <w:sz w:val="15"/>
                <w:szCs w:val="15"/>
                <w:highlight w:val="none"/>
              </w:rPr>
              <w:t>通过调整系统参数等手段能够进行机床故障的排除。</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.8</w:t>
            </w:r>
            <w:r>
              <w:rPr>
                <w:rFonts w:hint="eastAsia" w:ascii="宋体" w:hAnsi="宋体" w:eastAsia="宋体" w:cs="宋体"/>
                <w:color w:val="auto"/>
                <w:sz w:val="15"/>
                <w:szCs w:val="15"/>
                <w:highlight w:val="none"/>
              </w:rPr>
              <w:t>机床故障排除是否成功可以通过工件毛坯的加工的精度进行验证。</w:t>
            </w:r>
          </w:p>
          <w:bookmarkEnd w:id="162"/>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.10 专业的案例与资源</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能提供机床装调、电气接线与故障诊断部分内容，与实际机床维修工所需相关知识相结合的教学资源，不少于40课时。</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连线模式功能</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具有可进行逻辑电路电器元件间的连线、删线、清空连线、恢复连线以及线材规格选择的功能。其中线材规格多样，线材的种类有0.5mm²、0.75mm²、1mm²、1.5mm²、2.5mm²、4mm²，学生根据实际电路图要求选择合适线材进行连线，且电气元件上的端子电线连接是随意的。</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.12 清空连线/恢复连线</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用于快速清空/恢复当前三维场景上的所有接线，从而解决用户在接线过程中导致的误操作问题。</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.13 CNC面板</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面板能结合到电路与机械部分，按实际电路情况与机械情况显示对应的报警信号，通过修改相关参数可以修复对应的机床问题。</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.14 端子列表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在接线模式下，能弹出接线端子列表，并显示当前已经进行接线的端子，用鼠标对列表中端子进行选择，对应3D场景中连接的模型会闪烁提示。</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.15 电路-3DX2D</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D电路图里面的端子能与三维场景中的零件模型端子对应一致，选中2D电路图上的端子，三维场景中对应的电气元件端子也需被选中，逻辑原理表达更直观，能达到2D电路图与3D场景元件端子间电压测量同步的效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.16 电路图智能“拼装”</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2D电路图应设置有“转点”功能，可快速链接找到3D电路中对应的电气元件、元件端子以及特定的2D电路图，方便教学、提高教学效率。</w:t>
            </w:r>
          </w:p>
          <w:p>
            <w:pPr>
              <w:adjustRightInd w:val="0"/>
              <w:snapToGrid w:val="0"/>
              <w:spacing w:line="360" w:lineRule="auto"/>
              <w:jc w:val="left"/>
              <w:rPr>
                <w:rFonts w:hint="eastAsia" w:ascii="宋体" w:hAnsi="宋体" w:eastAsia="宋体" w:cs="宋体"/>
                <w:color w:val="auto"/>
                <w:sz w:val="15"/>
                <w:szCs w:val="15"/>
                <w:highlight w:val="none"/>
              </w:rPr>
            </w:pPr>
            <w:bookmarkStart w:id="163" w:name="OLE_LINK47"/>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.17</w:t>
            </w:r>
            <w:bookmarkEnd w:id="163"/>
            <w:r>
              <w:rPr>
                <w:rFonts w:hint="eastAsia" w:ascii="宋体" w:hAnsi="宋体" w:eastAsia="宋体" w:cs="宋体"/>
                <w:color w:val="auto"/>
                <w:sz w:val="15"/>
                <w:szCs w:val="15"/>
                <w:highlight w:val="none"/>
              </w:rPr>
              <w:t xml:space="preserve"> 电路仿真运行</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.17</w:t>
            </w:r>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rPr>
              <w:t>系统能按实训项目的具体连线情况，仿真电路电压、电气元件运行原理等，从而可以仿真实际电路情况，可对实际电路发生的故障进行报警，同时能对用户的随意接线情况正确与否进行判断。</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.17</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能对电路中2种电压（直流电以及交流电），以及2种或以上等级的电压值（OV、24V、220V等）进行仿真，效果主要体现在万用表上，使用万用表即可测量每段电路的电压值。</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.18零件复位</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可使系统中的3D模型立刻恢复到系统默认状态，从而解决用户在操作时导致的误操作问题。</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.19项目信息</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调试实验在进行时都会弹出一个项目信息对话框提示。内容包括：调试实验故障提示、调试实验步骤提示、实验结果提示，引导学生进行实验。</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.20真实机械调试：能实现丝杆调试实验项目。</w:t>
            </w:r>
          </w:p>
          <w:p>
            <w:pPr>
              <w:adjustRightInd w:val="0"/>
              <w:snapToGrid w:val="0"/>
              <w:spacing w:line="360" w:lineRule="auto"/>
              <w:jc w:val="left"/>
              <w:rPr>
                <w:rFonts w:hint="default" w:ascii="宋体" w:hAnsi="宋体" w:cs="宋体"/>
                <w:color w:val="auto"/>
                <w:sz w:val="15"/>
                <w:szCs w:val="15"/>
                <w:highlight w:val="none"/>
                <w:lang w:val="en-US" w:eastAsia="zh-CN"/>
              </w:rPr>
            </w:pPr>
            <w:r>
              <w:rPr>
                <w:rFonts w:hint="eastAsia" w:ascii="宋体" w:hAnsi="宋体" w:eastAsia="宋体" w:cs="宋体"/>
                <w:color w:val="auto"/>
                <w:sz w:val="15"/>
                <w:szCs w:val="15"/>
                <w:highlight w:val="none"/>
              </w:rPr>
              <w:t>丝杆调试实验功能要求：进入丝杆调试实验后能显示丝杠调试信息，具备调试步骤提示功能；进入丝杠调试模式后点击数控机床模型外围件能自动隐藏外围件；系统内能调出百分表，能测试百分表是否正常，百分表能实现回零操作和维修操作；可通过CNC面板切换到手轮模式，移动手轮时数控机床对应轴能相应移动；可根据百分表测试数据在CNC面板修改反向间隙补偿量；能体现实验结果信息。</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val="en-US" w:eastAsia="zh-CN"/>
              </w:rPr>
              <w:t>4</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64" w:name="OLE_LINK23"/>
            <w:r>
              <w:rPr>
                <w:rFonts w:hint="eastAsia" w:ascii="宋体" w:hAnsi="宋体" w:eastAsia="宋体" w:cs="宋体"/>
                <w:color w:val="auto"/>
                <w:sz w:val="15"/>
                <w:szCs w:val="15"/>
                <w:highlight w:val="none"/>
              </w:rPr>
              <w:t>数控铣床</w:t>
            </w:r>
            <w:bookmarkEnd w:id="164"/>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一、机床应满足以下技术参数要求：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工作台规格（长×宽）：≥1000×500(mm)；整机（长×宽）≤3500*2500（mm）；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1.2 工作台最大承重：≥500kg；</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1.3 工作台T形槽尺寸：槽宽18mm，数量5-7个；</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1.4 X/Y/Z轴行程：≥850/500/540（mm）；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1.5 主轴端面至工作台面最大/最小距离：≥660mm/≤125mm；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1.6 主轴中心到Z轴导轨面距离：≥590mm；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1.7 X/Y/Z轴快速进给速度：≥48/48/48（m/min）；</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1.8 X/Y/Z轴导轨形式/宽度:重载直线导轨/≥35/45/45（mm）；</w:t>
            </w:r>
          </w:p>
          <w:p>
            <w:pPr>
              <w:adjustRightInd w:val="0"/>
              <w:snapToGrid w:val="0"/>
              <w:spacing w:line="360" w:lineRule="auto"/>
              <w:jc w:val="left"/>
              <w:rPr>
                <w:rFonts w:hint="eastAsia" w:ascii="宋体" w:hAnsi="宋体" w:eastAsia="宋体" w:cs="宋体"/>
                <w:color w:val="auto"/>
                <w:sz w:val="15"/>
                <w:szCs w:val="15"/>
                <w:highlight w:val="none"/>
              </w:rPr>
            </w:pPr>
            <w:bookmarkStart w:id="165" w:name="OLE_LINK24"/>
            <w:r>
              <w:rPr>
                <w:rFonts w:hint="eastAsia" w:ascii="宋体" w:hAnsi="宋体" w:eastAsia="宋体" w:cs="宋体"/>
                <w:color w:val="auto"/>
                <w:sz w:val="15"/>
                <w:szCs w:val="15"/>
                <w:highlight w:val="none"/>
              </w:rPr>
              <w:t>▲1.9 X/Y/Z轴全行程双向定位精度：≤0.008/0.008/0.008（mm）</w:t>
            </w:r>
            <w:bookmarkStart w:id="166" w:name="OLE_LINK14"/>
            <w:r>
              <w:rPr>
                <w:rFonts w:hint="eastAsia" w:ascii="宋体" w:hAnsi="宋体" w:eastAsia="宋体" w:cs="宋体"/>
                <w:color w:val="auto"/>
                <w:sz w:val="15"/>
                <w:szCs w:val="15"/>
                <w:highlight w:val="none"/>
                <w:lang w:eastAsia="zh-CN"/>
              </w:rPr>
              <w:t>；</w:t>
            </w:r>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r>
              <w:rPr>
                <w:rFonts w:hint="eastAsia" w:ascii="宋体" w:hAnsi="宋体" w:eastAsia="宋体" w:cs="宋体"/>
                <w:b/>
                <w:bCs/>
                <w:color w:val="auto"/>
                <w:sz w:val="15"/>
                <w:szCs w:val="15"/>
                <w:highlight w:val="none"/>
              </w:rPr>
              <w:t>）</w:t>
            </w:r>
            <w:bookmarkEnd w:id="166"/>
          </w:p>
          <w:bookmarkEnd w:id="165"/>
          <w:p>
            <w:pPr>
              <w:adjustRightInd w:val="0"/>
              <w:snapToGrid w:val="0"/>
              <w:spacing w:line="360" w:lineRule="auto"/>
              <w:jc w:val="left"/>
              <w:rPr>
                <w:rFonts w:hint="eastAsia" w:ascii="宋体" w:hAnsi="宋体" w:eastAsia="宋体" w:cs="宋体"/>
                <w:color w:val="auto"/>
                <w:sz w:val="15"/>
                <w:szCs w:val="15"/>
                <w:highlight w:val="none"/>
              </w:rPr>
            </w:pPr>
            <w:bookmarkStart w:id="167" w:name="OLE_LINK25"/>
            <w:r>
              <w:rPr>
                <w:rFonts w:hint="eastAsia" w:ascii="宋体" w:hAnsi="宋体" w:eastAsia="宋体" w:cs="宋体"/>
                <w:color w:val="auto"/>
                <w:sz w:val="15"/>
                <w:szCs w:val="15"/>
                <w:highlight w:val="none"/>
              </w:rPr>
              <w:t>▲1.10 X/Y/Z轴重复定位精度：≤0.005/0.005/0.005（mm）</w:t>
            </w:r>
            <w:r>
              <w:rPr>
                <w:rFonts w:hint="eastAsia" w:ascii="宋体" w:hAnsi="宋体" w:eastAsia="宋体" w:cs="宋体"/>
                <w:color w:val="auto"/>
                <w:sz w:val="15"/>
                <w:szCs w:val="15"/>
                <w:highlight w:val="none"/>
                <w:lang w:eastAsia="zh-CN"/>
              </w:rPr>
              <w:t>；</w:t>
            </w:r>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bookmarkStart w:id="168" w:name="OLE_LINK51"/>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bookmarkEnd w:id="168"/>
            <w:r>
              <w:rPr>
                <w:rFonts w:hint="eastAsia" w:ascii="宋体" w:hAnsi="宋体" w:eastAsia="宋体" w:cs="宋体"/>
                <w:b/>
                <w:bCs/>
                <w:color w:val="auto"/>
                <w:sz w:val="15"/>
                <w:szCs w:val="15"/>
                <w:highlight w:val="none"/>
              </w:rPr>
              <w:t>）</w:t>
            </w:r>
          </w:p>
          <w:bookmarkEnd w:id="167"/>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1.11最高进给速度：≥10000mm/min；</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1.12 主轴锥孔(7:24)：适配BT40；</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1.13 主轴转数范围：≥10000rpm；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1.14 主轴传动方式：同步齿型带；</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1.15 主轴最大扭矩：≥70Nm；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1.16 主轴电机最大功率：</w:t>
            </w:r>
            <w:bookmarkStart w:id="169" w:name="OLE_LINK8"/>
            <w:r>
              <w:rPr>
                <w:rFonts w:hint="eastAsia" w:ascii="宋体" w:hAnsi="宋体" w:eastAsia="宋体" w:cs="宋体"/>
                <w:color w:val="auto"/>
                <w:sz w:val="15"/>
                <w:szCs w:val="15"/>
                <w:highlight w:val="none"/>
              </w:rPr>
              <w:t>≥</w:t>
            </w:r>
            <w:bookmarkEnd w:id="169"/>
            <w:r>
              <w:rPr>
                <w:rFonts w:hint="eastAsia" w:ascii="宋体" w:hAnsi="宋体" w:eastAsia="宋体" w:cs="宋体"/>
                <w:color w:val="auto"/>
                <w:sz w:val="15"/>
                <w:szCs w:val="15"/>
                <w:highlight w:val="none"/>
              </w:rPr>
              <w:t>15kW；</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1.17 配控制工作终端：</w:t>
            </w:r>
          </w:p>
          <w:p>
            <w:pPr>
              <w:adjustRightInd w:val="0"/>
              <w:snapToGrid w:val="0"/>
              <w:spacing w:line="360" w:lineRule="auto"/>
              <w:jc w:val="left"/>
              <w:rPr>
                <w:rFonts w:hint="eastAsia" w:ascii="宋体" w:hAnsi="宋体" w:eastAsia="宋体" w:cs="宋体"/>
                <w:color w:val="auto"/>
                <w:sz w:val="15"/>
                <w:szCs w:val="15"/>
                <w:highlight w:val="none"/>
              </w:rPr>
            </w:pPr>
            <w:bookmarkStart w:id="170" w:name="OLE_LINK43"/>
            <w:r>
              <w:rPr>
                <w:rFonts w:hint="eastAsia" w:ascii="宋体" w:hAnsi="宋体" w:cs="宋体"/>
                <w:color w:val="auto"/>
                <w:sz w:val="15"/>
                <w:szCs w:val="15"/>
                <w:highlight w:val="none"/>
                <w:lang w:val="en-US" w:eastAsia="zh-CN"/>
              </w:rPr>
              <w:t>1.17.1</w:t>
            </w:r>
            <w:bookmarkEnd w:id="170"/>
            <w:r>
              <w:rPr>
                <w:rFonts w:hint="eastAsia" w:ascii="宋体" w:hAnsi="宋体" w:eastAsia="宋体" w:cs="宋体"/>
                <w:color w:val="auto"/>
                <w:sz w:val="15"/>
                <w:szCs w:val="15"/>
                <w:highlight w:val="none"/>
              </w:rPr>
              <w:t>显示器：尺寸≥21.5英寸，分辨率≥1920×1080；</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1.17.2</w:t>
            </w:r>
            <w:r>
              <w:rPr>
                <w:rFonts w:hint="eastAsia" w:ascii="宋体" w:hAnsi="宋体" w:eastAsia="宋体" w:cs="宋体"/>
                <w:color w:val="auto"/>
                <w:sz w:val="15"/>
                <w:szCs w:val="15"/>
                <w:highlight w:val="none"/>
              </w:rPr>
              <w:t>性能与兼容性：能够流畅运行主流多轴加工仿真软件及三维造型软件，同时打开多款此类软件无卡顿；与常见数控系统配套的控制软件及通信接口无硬件或驱动冲突，支持标准数控代码传输及仿真加速。</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1.18 配套实训桌1张：安全环保，带金属边框结构，防静电桌面。尺寸≥1200mm×600mm×750mm，承重≥150kg。</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二、机床应满足以下配置、功能要求：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数控系统：</w:t>
            </w:r>
          </w:p>
          <w:p>
            <w:pPr>
              <w:adjustRightInd w:val="0"/>
              <w:snapToGrid w:val="0"/>
              <w:spacing w:line="360" w:lineRule="auto"/>
              <w:jc w:val="left"/>
              <w:rPr>
                <w:rFonts w:hint="eastAsia" w:ascii="宋体" w:hAnsi="宋体" w:eastAsia="宋体" w:cs="宋体"/>
                <w:color w:val="auto"/>
                <w:sz w:val="15"/>
                <w:szCs w:val="15"/>
                <w:highlight w:val="none"/>
              </w:rPr>
            </w:pPr>
            <w:bookmarkStart w:id="171" w:name="OLE_LINK46"/>
            <w:r>
              <w:rPr>
                <w:rFonts w:hint="eastAsia" w:ascii="宋体" w:hAnsi="宋体" w:cs="宋体"/>
                <w:color w:val="auto"/>
                <w:sz w:val="15"/>
                <w:szCs w:val="15"/>
                <w:highlight w:val="none"/>
                <w:lang w:val="en-US" w:eastAsia="zh-CN"/>
              </w:rPr>
              <w:t>2.1.1</w:t>
            </w:r>
            <w:bookmarkEnd w:id="171"/>
            <w:r>
              <w:rPr>
                <w:rFonts w:hint="eastAsia" w:ascii="宋体" w:hAnsi="宋体" w:eastAsia="宋体" w:cs="宋体"/>
                <w:color w:val="auto"/>
                <w:sz w:val="15"/>
                <w:szCs w:val="15"/>
                <w:highlight w:val="none"/>
              </w:rPr>
              <w:t>要求内存≥4GB。</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2.1.2</w:t>
            </w:r>
            <w:r>
              <w:rPr>
                <w:rFonts w:hint="eastAsia" w:ascii="宋体" w:hAnsi="宋体" w:eastAsia="宋体" w:cs="宋体"/>
                <w:color w:val="auto"/>
                <w:sz w:val="15"/>
                <w:szCs w:val="15"/>
                <w:highlight w:val="none"/>
              </w:rPr>
              <w:t>具有全数字总线式高端数控装置，开放式体系结构；支持总线式全数字伺服驱动单元和绝对值式伺服电机，支持总线式远程I/O单元，采用电子盘程序存储方式，支持CF卡、USB、以太网等程序扩展和数据交换功能；</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2.1.3</w:t>
            </w:r>
            <w:r>
              <w:rPr>
                <w:rFonts w:hint="eastAsia" w:ascii="宋体" w:hAnsi="宋体" w:eastAsia="宋体" w:cs="宋体"/>
                <w:color w:val="auto"/>
                <w:sz w:val="15"/>
                <w:szCs w:val="15"/>
                <w:highlight w:val="none"/>
              </w:rPr>
              <w:t>数控系统需具备二次开发功能</w:t>
            </w:r>
            <w:r>
              <w:rPr>
                <w:rFonts w:hint="eastAsia" w:ascii="宋体" w:hAnsi="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2.1.4</w:t>
            </w:r>
            <w:r>
              <w:rPr>
                <w:rFonts w:hint="eastAsia" w:ascii="宋体" w:hAnsi="宋体" w:eastAsia="宋体" w:cs="宋体"/>
                <w:color w:val="auto"/>
                <w:sz w:val="15"/>
                <w:szCs w:val="15"/>
                <w:highlight w:val="none"/>
              </w:rPr>
              <w:t>数控系统需具备云服务功能</w:t>
            </w:r>
            <w:r>
              <w:rPr>
                <w:rFonts w:hint="eastAsia" w:ascii="宋体" w:hAnsi="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2.1.5</w:t>
            </w:r>
            <w:r>
              <w:rPr>
                <w:rFonts w:hint="eastAsia" w:ascii="宋体" w:hAnsi="宋体" w:eastAsia="宋体" w:cs="宋体"/>
                <w:color w:val="auto"/>
                <w:sz w:val="15"/>
                <w:szCs w:val="15"/>
                <w:highlight w:val="none"/>
              </w:rPr>
              <w:t>具有联网功能：数控系统支持 TCP/IP 网络通讯，开通数控系统联网功能，可实时采集数控系统核心参数</w:t>
            </w:r>
            <w:r>
              <w:rPr>
                <w:rFonts w:hint="eastAsia" w:ascii="宋体" w:hAnsi="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2.1.6</w:t>
            </w:r>
            <w:r>
              <w:rPr>
                <w:rFonts w:hint="eastAsia" w:ascii="宋体" w:hAnsi="宋体" w:eastAsia="宋体" w:cs="宋体"/>
                <w:color w:val="auto"/>
                <w:sz w:val="15"/>
                <w:szCs w:val="15"/>
                <w:highlight w:val="none"/>
              </w:rPr>
              <w:t>系统显示屏大小：≥12寸</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2.2 主轴轴承：要求主轴轴承采用不低于P4级专用重载轴承，整套主轴应在恒温条件下组装完成，并通过动平衡校正及跑合测试。</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2.3 直线导轨：要求X/Y/Z轴导轨副要求采用≥35mm/45mm/45mm宽度的重载直线导轨。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2.4 滚珠丝杠：要求X/Y/Z轴采用直径≥φ32mm，且不低于C3级超高精度滚珠丝杠，具备进给灵活、定位准确、传动精度高的能力。</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2.5 气动系统：要求气动三联件能够充分过滤气源中的杂质和水分，能够有效防止不纯净的气体对机床部件损伤和腐蚀；配气枪。</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2.6 电源开关：要求机床电气设计符合国家标准，绝对保障设备和人身安全。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2.7 冷却系统：要求配备大流量冷却泵，充分保证最佳的循环冷却状态，压力≥3bar；主轴箱端面应配有冷却喷嘴（主轴环喷），既可水冷也可风冷，并且随意切换；冷却过程可以通过M代码或控制面板进行控制；2.8 润滑系统：要求导轨、滚珠丝杠副均采用中央集中自动稀油润滑，各个节点配有定量式分油器，定时定量向各润滑部位注油，保证各滑动面均匀润滑。</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2.9 排屑系统：要求加工过程中产生的碎屑直接落到防护间上，防护间应采用大斜度排屑槽及前端设置冲屑水口，碎屑随着冲屑水流到水箱排屑筐中。配有手持式气枪，可以人工清除工件及工作台上的碎屑。</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2.10 电气柜冷热交换器：要求机床电箱采用冷热交换器进行散热，确保电气设备的正常工作。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2.11手持盒：要求手持盒具备误操作保护按钮及急停按钮，X、Y、Z轴之间随意切换，X1、X10、X100倍率之间随意切换。</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2.12 提供机床配置包括但不限于详细清单，包括功能、产地、品牌等影响机床整机品质、性能、使用寿命及投标价格的重要因素，并加盖投标人公章。</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三、配套教学展示平台1套：需满足以下功能要求。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软件部分：</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系统需支持账号密码登录模式。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3.1.2 录制模式需支持电影模式、资源模式两种，能同时支持≥1路电影模式加不少于4路资源录制，包括但不限于录制合成画面、教师全景、教师特写、学生全景、学生特写、板书画面、电脑画面自由组合。</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3.1.3 录制格式需支持MP4/FLV/TS.</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3.1.4 录制分辨率需支持3840*2160、1920*1080等，支持录制帧率设定，可选择25fps/30fps。</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3.1.5 支持实时显示录播主机CPU的使用率，硬盘使用情况，不少于4路预监画面。</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3.1.6 支持手指点控模式；导播模式支持视频预览、直播输出监视、视频切换等功能，其中手指拖动视频切换时支持导播小画面定位跟随。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3.1.7 支持添加字幕，支持包括系统时间在内的不少于8种预设字幕的设置。支持设置≥9种字体大小、≥8种字体颜色。</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3.1.8 需支持直接通过拖拽实现自定义字幕显示位置。</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3.1.9 需自带虚拟软键盘，无需外接USB键盘，支持多种格式的字幕，可支持输入包含但不限于的中文、英文、数字、特殊符号。</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3.1.10 需提供多种画面布局模式，支持视频画面叠加与组合，包括单画面、双分屏画面、三分屏画面、四分屏画面显示，可直接通过触屏模式拖动通道画面实现多分屏布局显示画面的替换，替换时支持导播小画面定位跟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需支持≥4种片头和≥4种片尾的添加，可以设置插入片头片尾的时间，支持jpg、png等格式。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3.1.12 台标需支持≥4个固定位置，支持手动拖拽移动台标，实现界面任意位置的台标设置。支持设定图片台标，支持jpg、png等格式。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3.1.13 需支持上滑、下滑、左滑、右滑等多种切换特效，支持自定义选择≥8种特效切换速度。</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3.1.14 系统需支持摄像机云台控制，可以对摄像机进行变焦、上下左右位置调整以及≥8个预置位的设置，整个过程支持手指触控操作。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3.1.15 系统需支持音量设置，可以采用手指拖动方式控制设备输入输出的音量大小。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3.1.16 系统需支持录制倒计时和循环记录功能，在硬盘存储空间为0时，仍可进行录制，将最早录制的视频文件删除，支持录制到U盘。</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3.1.17 所录制的视频文件既可存储在本地硬盘，也支持通过FTP上传至平台，同时支持用户随时通过录播主机点播回放视频，并可使用移动磁盘或硬盘拷贝下载。</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3.1.18 系统支持录制单个文件和限时自动分割录制功能，支持自定义限时自动分割时长。</w:t>
            </w:r>
          </w:p>
          <w:p>
            <w:pPr>
              <w:adjustRightInd w:val="0"/>
              <w:snapToGrid w:val="0"/>
              <w:spacing w:line="360" w:lineRule="auto"/>
              <w:jc w:val="left"/>
              <w:rPr>
                <w:rFonts w:hint="eastAsia" w:ascii="宋体" w:hAnsi="宋体" w:eastAsia="宋体" w:cs="宋体"/>
                <w:color w:val="auto"/>
                <w:sz w:val="15"/>
                <w:szCs w:val="15"/>
                <w:highlight w:val="none"/>
              </w:rPr>
            </w:pPr>
            <w:bookmarkStart w:id="172" w:name="OLE_LINK26"/>
            <w:r>
              <w:rPr>
                <w:rFonts w:hint="eastAsia" w:ascii="宋体" w:hAnsi="宋体" w:eastAsia="宋体" w:cs="宋体"/>
                <w:color w:val="auto"/>
                <w:sz w:val="15"/>
                <w:szCs w:val="15"/>
                <w:highlight w:val="none"/>
              </w:rPr>
              <w:t>3.1.19 要求内置微课制作功能，支持不少于前景、人像、背景3层场景叠加，叠加的场景支持PPT、视频、图片，虚拟抠像后的人像等类型。</w:t>
            </w:r>
            <w:bookmarkEnd w:id="172"/>
            <w:bookmarkStart w:id="173" w:name="OLE_LINK27"/>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3.1.20 内置互动系统，支持标准SIP和H.323互动协议，支持互动列表，列表中可以显示所有与会者的信息；支持互动画面布局的显示，布局支持单分屏，双分屏，四分屏显示。互动界面支持双流、一键静音、全屏、导播设置等功能。</w:t>
            </w:r>
            <w:bookmarkEnd w:id="173"/>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3.1.2</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授课预监：授课过程中，录播主机屏幕将实时显示授课教室和参与互动的听课教室画面，用户可实时查看授课教室的拍摄效果，及互动教室的听课状态。</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 硬件部分</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3.2.1移动推车</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整体高度≥1.9米，承重≥200kg，模块化设计，方便扩充功能组件，便于安装、使用与维护。车体顶部具备万向臂安装结构，可安装转轴万向臂。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3.2.1.2 要求中心立柱前后两面开有T型槽，预留隐藏穿线孔，方便安装设备，如安装摄像机支架、显示屏支架、置物托盘等设备。</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3.2.1.3 底部箱体尺寸为：≥425mm*610mm*400mm（宽*高*深）。箱体外部配备电量显示屏可显示剩余电量百分比、输出功率、剩余使用时长等信息、后置隐藏式接口，磁吸安全盖、对外接口等，具有电源开关键。</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3.2.1.4 箱体两侧具有隐藏式音箱结构，每一侧分别可内置1个不低于20W喇叭，配合内置功放及无线话筒，进行实时扩声，内置2.4G无线领夹麦克风，后置对频窗口，可实现麦克风“一碰连”。</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3.2.1.5 要求箱体内部具有可拆卸电池仓结构，方便电池更换，提高整体续航能力。</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3.2.1.6 箱体内部具有设备固定式安装结构，保证车体移动时设备的稳定性与安全性。</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3.2.1.7车体底部采用四角焊接设计，整体尺寸：≥450mm*450mm(长*宽）配备四个万向静音轮，具备脚刹装置。</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3.2.1.8 内置电池容量≥570Wh，支持TYPE-C、USB同时供电输出，连续使用时长≥4小时。</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 实训录播主机模块</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3.2.2.1要求录播主机采用一体化嵌入式硬件设计架构；内置国产化处理器≥8核、兼容Linux系统、内存≥8GB，硬盘≥2T,支持7*24小时工作。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3.2.2.2 要求录播主机满足录制、直播、点播、互动、导播管理、存储、切换、视音频编码、语音转写、虚拟抠像、行为分析等功能，支持远程互动教学，实现远程互动网络课堂。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3.2.2.3 要求配置电容触控液晶屏≥23.8英寸，采用防指纹涂层工艺，无须外接显示设备，用户可直接通过主机查看已录制的视频，支持在主机上直接播放查看录制效果，并可使用U盘拷贝。</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3.2.2.4 要求具有多指智能手势识别息屏功能，操作者可在触摸屏任意位置，通过触摸实现对屏幕背光的关闭和开启。</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3.2.2.5要求支持HDMI输入接口≥2路，支持HDMI输出接口≥3路，输出本地画面≥1路，输出合成画面≥1路。3.5mm音频输入≥1路，3.5mm音频输出≥1路。TYPE-C接口≥1，具备USB3.0接口≥2路，支持连接鼠标、键盘进行导播控制以及主机连接U盘进行课程视频的录制、下载。</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3.2.2.6 要求支持RJ45网口≥5路，其中至少4路为POE网口，集供电、控制、视频传输于一体。支持摄像机智能组网，摄像机即插即用。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3.2.2.7 视频编码：要求支持H.265和H.264两种视频编码协议，实现更高效率和更好质量的编码技术，支持4K分辨率（3840*2160）视频的编码和录制。</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3.2.2.8 要求支持IPV4、IPV6链路地址、IPV6外网地址三个网络地址配置，支持启用DHCP自动获取IP地址。</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3.2.3 4K高清云台摄像机模块</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图像传感器：≥1/2.5英寸高品质4K CMOS传感器，有效像素≥850万</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3.2.3.2 镜头：≥12x, f ≥ 4.4mm ～ 52.8mm, F≥1.8 ～ F2.6</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3.2.3.3 数字变焦： ≥16x</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3.2.3.4 最低照度： ≥0.5Lux @ (F1.8, AGC ON)</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3.2.3.5 快门： 1/30s ～ 1/10000s</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3.2.3.6 白平衡： 自动, 室内，室外，一键式，手动</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3.2.3.7 需支持背光补偿</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3.2.3.8 需支持3D数字降噪</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w:t>
            </w:r>
            <w:r>
              <w:rPr>
                <w:rFonts w:hint="eastAsia" w:ascii="宋体" w:hAnsi="宋体" w:eastAsia="宋体" w:cs="宋体"/>
                <w:color w:val="auto"/>
                <w:sz w:val="15"/>
                <w:szCs w:val="15"/>
                <w:highlight w:val="none"/>
                <w:lang w:val="en-US" w:eastAsia="zh-CN"/>
              </w:rPr>
              <w:t>9</w:t>
            </w:r>
            <w:r>
              <w:rPr>
                <w:rFonts w:hint="eastAsia" w:ascii="宋体" w:hAnsi="宋体" w:eastAsia="宋体" w:cs="宋体"/>
                <w:color w:val="auto"/>
                <w:sz w:val="15"/>
                <w:szCs w:val="15"/>
                <w:highlight w:val="none"/>
              </w:rPr>
              <w:t xml:space="preserve"> 信噪比≥55dB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w:t>
            </w:r>
            <w:r>
              <w:rPr>
                <w:rFonts w:hint="eastAsia" w:ascii="宋体" w:hAnsi="宋体" w:eastAsia="宋体" w:cs="宋体"/>
                <w:color w:val="auto"/>
                <w:sz w:val="15"/>
                <w:szCs w:val="15"/>
                <w:highlight w:val="none"/>
                <w:lang w:val="en-US" w:eastAsia="zh-CN"/>
              </w:rPr>
              <w:t>10</w:t>
            </w:r>
            <w:r>
              <w:rPr>
                <w:rFonts w:hint="eastAsia" w:ascii="宋体" w:hAnsi="宋体" w:eastAsia="宋体" w:cs="宋体"/>
                <w:color w:val="auto"/>
                <w:sz w:val="15"/>
                <w:szCs w:val="15"/>
                <w:highlight w:val="none"/>
              </w:rPr>
              <w:t xml:space="preserve"> 需支持PoE供电</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3.2.4 音频处理器模块</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麦克输入：≥2 路，需支持 48V 幻象供电</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3.2.4.2 模拟音频输入：差分信号输入≥2 路</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3.2.4.3 模拟音频输出：差分信号输出≥2 路</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3.2.4.4 需支持数字音频输入或者输出：立体声 USB 输入或者输出≥</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路</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3.2.4.5 扬声器输出：≥2 路</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3.2.4.6 内置功放数量：≥2个；功率≥60W（6Ω）</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3.2.4.7 需支持噪声抑制，反馈抑制，回声消除，自动增益控制</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3.2.4.8 需支持智能降噪，内置 AI 智能降噪算法，有效降低和滤除教室内常见噪声，最大噪声抑制幅度：36dB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3.2.4.9 需支持本地扩声与远程互动同时工作，远程互动可做到师生双方同时讲话无压制、无回声、无断续</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3.2.4.10 需支持有效过滤教室内的空调、电风扇等发出的噪音干扰，过滤噪声不影响扩声效果</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频响范围：不低于20Hz-20kHz</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3.2.5 音箱模块</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3.2.5.</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额定功率：≥20W（6Ω）</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3.2.5.2 最大功率：≥25W</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3.2.5.3 灵敏度：≥80±3dB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3.2.5.4 频率范围：50-12KHz</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3.2.6 实训领夹麦克风模块</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通讯方式/频段：需支持2.4G</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3.2.6.2 有效使用距离：≥10米</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3.2.6.3 音频信噪比：≥85dB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3.2.6.4 频响要求：100Hz～10KHz</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3.2.6.5 配对方式：近距离触发自动配对</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3.2.6.6 供电方式：内置电池</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3.2.6.7 电池使用时间：不低于5小时</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3.2.6.8 充电盒需支持剩余电量指示和充电电量指示；容量：≥260mAh。</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val="en-US" w:eastAsia="zh-CN"/>
              </w:rPr>
              <w:t>2</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数控车床</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一、机床应满足以下技术参数要求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1.1床身上最大回转直径/滑板上最大回转直径：≥φ400mm/≥φ200mm；整机（长×宽）≤3000*2500（mm）；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1.2 最大工件长度/最大切削长度：≥1000mm/≥850mm；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1.3主轴通孔直径/主轴头型式/伺服主电机功率：≥φ53mm/A2-6/≥5.5kW；</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1.4 主轴最高转速：≥2400r/min；</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1.5 尾台套筒直径/尾台套筒行程：≥φ60mm/≥127mm；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1.6 尾台套筒锥孔：莫氏4号；</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1.7 X轴/Z轴最大行程：≥220mm/≥850mm；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1.8 X轴/Z轴快移速度：≥6m/min/≥12m/min；</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1.9 刀架刀位数：4；</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1.10 刀架转位时间/刀架重复定位精度：≤2.1s/±2″；</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1.11机床净重：≥1600kg；</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1.12 手动夹盘：≥φ200mm三爪；</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1.13 手持盒：带有移动手轮；</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1.14 结构要求：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74" w:name="OLE_LINK44"/>
            <w:r>
              <w:rPr>
                <w:rFonts w:hint="eastAsia" w:ascii="宋体" w:hAnsi="宋体" w:cs="宋体"/>
                <w:color w:val="auto"/>
                <w:sz w:val="15"/>
                <w:szCs w:val="15"/>
                <w:highlight w:val="none"/>
                <w:lang w:val="en-US" w:eastAsia="zh-CN"/>
              </w:rPr>
              <w:t>1.14.1</w:t>
            </w:r>
            <w:bookmarkEnd w:id="174"/>
            <w:r>
              <w:rPr>
                <w:rFonts w:hint="eastAsia" w:ascii="宋体" w:hAnsi="宋体" w:eastAsia="宋体" w:cs="宋体"/>
                <w:color w:val="auto"/>
                <w:sz w:val="15"/>
                <w:szCs w:val="15"/>
                <w:highlight w:val="none"/>
                <w:lang w:val="en-US" w:eastAsia="zh-CN"/>
              </w:rPr>
              <w:t>床身材料性能应不低于HT300灰铁，导轨结构应采用山平式或其他主流机床高刚性结构，内部筋形合理布局；</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1.14.2</w:t>
            </w:r>
            <w:r>
              <w:rPr>
                <w:rFonts w:hint="eastAsia" w:ascii="宋体" w:hAnsi="宋体" w:eastAsia="宋体" w:cs="宋体"/>
                <w:color w:val="auto"/>
                <w:sz w:val="15"/>
                <w:szCs w:val="15"/>
                <w:highlight w:val="none"/>
                <w:lang w:val="en-US" w:eastAsia="zh-CN"/>
              </w:rPr>
              <w:t>导轨面采用中频淬火磨削工艺，淬硬层深度≥3mm，为了确保进给系统的刚度、摩擦阻尼系数等动态特性应处于最佳状态，滑动导轨面应贴有导轨板工艺措施进行保障，绝对避免低速爬行现象的发生；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1.14.3</w:t>
            </w:r>
            <w:r>
              <w:rPr>
                <w:rFonts w:hint="eastAsia" w:ascii="宋体" w:hAnsi="宋体" w:eastAsia="宋体" w:cs="宋体"/>
                <w:color w:val="auto"/>
                <w:sz w:val="15"/>
                <w:szCs w:val="15"/>
                <w:highlight w:val="none"/>
                <w:lang w:val="en-US" w:eastAsia="zh-CN"/>
              </w:rPr>
              <w:t>全防护罩的表面应为喷塑处理，便于清洁；</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1.14.4</w:t>
            </w:r>
            <w:r>
              <w:rPr>
                <w:rFonts w:hint="eastAsia" w:ascii="宋体" w:hAnsi="宋体" w:eastAsia="宋体" w:cs="宋体"/>
                <w:color w:val="auto"/>
                <w:sz w:val="15"/>
                <w:szCs w:val="15"/>
                <w:highlight w:val="none"/>
                <w:lang w:val="en-US" w:eastAsia="zh-CN"/>
              </w:rPr>
              <w:t>出于操作安全考虑，数控系统要求挂在右侧拉门上，可移动；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1.14.5</w:t>
            </w:r>
            <w:r>
              <w:rPr>
                <w:rFonts w:hint="eastAsia" w:ascii="宋体" w:hAnsi="宋体" w:eastAsia="宋体" w:cs="宋体"/>
                <w:color w:val="auto"/>
                <w:sz w:val="15"/>
                <w:szCs w:val="15"/>
                <w:highlight w:val="none"/>
                <w:lang w:val="en-US" w:eastAsia="zh-CN"/>
              </w:rPr>
              <w:t>采用单主轴免维护床头箱，温度小、噪声低；</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1.14.6</w:t>
            </w:r>
            <w:r>
              <w:rPr>
                <w:rFonts w:hint="eastAsia" w:ascii="宋体" w:hAnsi="宋体" w:eastAsia="宋体" w:cs="宋体"/>
                <w:color w:val="auto"/>
                <w:sz w:val="15"/>
                <w:szCs w:val="15"/>
                <w:highlight w:val="none"/>
                <w:lang w:val="en-US" w:eastAsia="zh-CN"/>
              </w:rPr>
              <w:t>水箱及接屑盘结构采用独立式，与床身可分离，水箱底部配置滚动滑轮，可实现方便移动、方便清理。</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1.15 配控制工作终端：</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75" w:name="OLE_LINK45"/>
            <w:r>
              <w:rPr>
                <w:rFonts w:hint="eastAsia" w:ascii="宋体" w:hAnsi="宋体" w:cs="宋体"/>
                <w:color w:val="auto"/>
                <w:sz w:val="15"/>
                <w:szCs w:val="15"/>
                <w:highlight w:val="none"/>
                <w:lang w:val="en-US" w:eastAsia="zh-CN"/>
              </w:rPr>
              <w:t>1.15.1</w:t>
            </w:r>
            <w:bookmarkEnd w:id="175"/>
            <w:r>
              <w:rPr>
                <w:rFonts w:hint="eastAsia" w:ascii="宋体" w:hAnsi="宋体" w:eastAsia="宋体" w:cs="宋体"/>
                <w:color w:val="auto"/>
                <w:sz w:val="15"/>
                <w:szCs w:val="15"/>
                <w:highlight w:val="none"/>
                <w:lang w:val="en-US" w:eastAsia="zh-CN"/>
              </w:rPr>
              <w:t>显示器：尺寸≥21.5英寸，分辨率≥1920×1080；</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1.15.2</w:t>
            </w:r>
            <w:r>
              <w:rPr>
                <w:rFonts w:hint="eastAsia" w:ascii="宋体" w:hAnsi="宋体" w:eastAsia="宋体" w:cs="宋体"/>
                <w:color w:val="auto"/>
                <w:sz w:val="15"/>
                <w:szCs w:val="15"/>
                <w:highlight w:val="none"/>
                <w:lang w:val="en-US" w:eastAsia="zh-CN"/>
              </w:rPr>
              <w:t>性能与兼容性：能够流畅运行主流多轴加工仿真软件及三维造型软件，同时打开多款此类软件无卡顿；与常见数控系统配套的控制软件及通信接口无硬件或驱动冲突，支持标准数控代码传输及仿真加速；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1.16 配套实训桌1张：安全环保，带金属边框结构，防静电桌面。尺寸≥1200mm×600mm×750mm，承重</w:t>
            </w:r>
            <w:bookmarkStart w:id="176" w:name="OLE_LINK9"/>
            <w:r>
              <w:rPr>
                <w:rFonts w:hint="eastAsia" w:ascii="宋体" w:hAnsi="宋体" w:eastAsia="宋体" w:cs="宋体"/>
                <w:color w:val="auto"/>
                <w:sz w:val="15"/>
                <w:szCs w:val="15"/>
                <w:highlight w:val="none"/>
                <w:lang w:val="en-US" w:eastAsia="zh-CN"/>
              </w:rPr>
              <w:t>≥</w:t>
            </w:r>
            <w:bookmarkEnd w:id="176"/>
            <w:r>
              <w:rPr>
                <w:rFonts w:hint="eastAsia" w:ascii="宋体" w:hAnsi="宋体" w:eastAsia="宋体" w:cs="宋体"/>
                <w:color w:val="auto"/>
                <w:sz w:val="15"/>
                <w:szCs w:val="15"/>
                <w:highlight w:val="none"/>
                <w:lang w:val="en-US" w:eastAsia="zh-CN"/>
              </w:rPr>
              <w:t>150kg。</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二、精度保证：</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2.1精度应满足GB/T 25659.1-2010《简式数控卧式车床精度》标准；</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 加工精度：IT6～IT7；</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2.3 加工工件圆度：≤0.004mm；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 加工工件圆柱度：≤0.024mm/300mm；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 加工工件平面度：≤0.025mm/Ф300mm；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 加工工件表面粗糙度：≤Ra1.6μm；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2.7 X轴/Z轴定位精度：≤0.024mm/≤0.032mm；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2.8 X轴/Z轴重复定位精度：≤0.008mm/≤0.013mm。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三、机床应满足以下配置、功能要求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3.1数控系统：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3.1.1要求运行内存≥3000M，以太网、USB接口，通过接口可实现数据传输及网络功能。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3.1.2应具备全数字总线式高端数控装置，开放式体系结构；支持总线式全数字伺服驱动单元和绝对值式伺服电机，支持总线式远程I/O单元，支持电子盘程序存储方式，支持CF卡、USB、以太网等程序扩展和数据交换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3.1.3数控系统需具备二次开发功能；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3.1.4数控系统需具备云服务功能；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3.1.5联网功能：数控系统支持 TCP/IP 网络通讯，开通数控系统联网功能，可实时采集数控系统核心参数。</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3.1.6系统显示屏大小：≥10.3寸。</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3.2.主轴轴承：要求主轴轴承采用不低于 P4 级双列圆柱滚子轴承+角接触球轴承的配对形式轴承，整套主轴应在恒温条件下组装完成，并通过动平衡校正及跑合测试。</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3.3.刀架：要求采用力矩电机转位，初定位销预定位，三联齿精确定位，矩形螺纹升降锁紧，内抬起结构，能够实现密封性强、定位精度高、刚性强、性能稳定的特点；可以装卡各种车削刀具，内孔镗刀夹等；刀架应支持安装配套刀杆。</w:t>
            </w:r>
          </w:p>
          <w:p>
            <w:pPr>
              <w:adjustRightInd w:val="0"/>
              <w:snapToGrid w:val="0"/>
              <w:spacing w:line="360" w:lineRule="auto"/>
              <w:jc w:val="left"/>
              <w:rPr>
                <w:rFonts w:ascii="Calibri" w:hAnsi="Calibri" w:eastAsia="宋体" w:cs="Times New Roman"/>
                <w:b/>
                <w:color w:val="auto"/>
                <w:kern w:val="2"/>
                <w:sz w:val="21"/>
                <w:szCs w:val="22"/>
                <w:highlight w:val="none"/>
                <w:lang w:val="en-US" w:eastAsia="zh-CN" w:bidi="ar-SA"/>
              </w:rPr>
            </w:pPr>
            <w:r>
              <w:rPr>
                <w:rFonts w:hint="eastAsia" w:ascii="宋体" w:hAnsi="宋体" w:eastAsia="宋体" w:cs="宋体"/>
                <w:color w:val="auto"/>
                <w:sz w:val="15"/>
                <w:szCs w:val="15"/>
                <w:highlight w:val="none"/>
                <w:lang w:val="en-US" w:eastAsia="zh-CN"/>
              </w:rPr>
              <w:t>3.4.滚珠丝杠：要求滚珠丝杠精度不低于C3级，并采用两端固定方式的预拉伸丝杠结构，具备进给灵活、定位准确、传动精度高的能力。</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val="en-US" w:eastAsia="zh-CN"/>
              </w:rPr>
              <w:t>4</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4</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77" w:name="OLE_LINK28"/>
            <w:r>
              <w:rPr>
                <w:rFonts w:hint="eastAsia" w:ascii="宋体" w:hAnsi="宋体" w:eastAsia="宋体" w:cs="宋体"/>
                <w:i w:val="0"/>
                <w:iCs w:val="0"/>
                <w:caps w:val="0"/>
                <w:color w:val="auto"/>
                <w:spacing w:val="0"/>
                <w:kern w:val="0"/>
                <w:sz w:val="15"/>
                <w:szCs w:val="15"/>
                <w:highlight w:val="none"/>
                <w:shd w:val="clear"/>
                <w:lang w:bidi="ar"/>
              </w:rPr>
              <w:t>数控多轴加工仿真软件（车间机床用）</w:t>
            </w:r>
            <w:bookmarkEnd w:id="177"/>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一、总体功能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1.1软件要求具备机床库、优化库、刀具库数据，能够精确模拟仿真各种数控铣床、数控车床、车铣复合加工中心、 线切割、电火花等机床的程序；</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1.2 能够支持各类数控系统的指令，支持手工编写的程序如：支持控制系统高级手工编程如Tran/Rotate/ MIRROR、G-M 码程序、宏程序、各种变量间的运算、手工直接编制的 G 代码、子程序循环，以及自定义的各种特殊指令；</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1.3 应具备包括但不限于中、英文等至少两种使用界面供用户切换使用；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1.4 对于软件使用过程中用到的文件名称， 支持各种自定义的文件名及其扩展名，以及支持中文路径；</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1.5 支持多种操作系统，包括但不限于Windows、Linux等；</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1.6 具备特征捕捉功能，测量信息全面，能提供半径、直径尺寸、加工的刀具信息、NC程序代码信息、轴向、圆心位置、加工该特征的程序名、程序行号、刀具号、进给速度等信息，支持仿真过程特征实体模型的3D尺寸标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1.7自动比较功能支持实体、曲面、轮廓和点等多种比较模式，自动比较功能对于大型零件，能够提供某个特定区域的自动比较，只比较零件某个部位的过切或残留。</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二、具体模块</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2.1数控程序加工仿真验证</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2.1.1包括仿真 3 轴铣削、2 轴车削程序所必须的功能，既可以模拟由 CAM 软件输出的刀位文件，也可以模拟 G 代码文件；</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2.1.2该模块包含标准控制系统库，包括但不限于SIEMENS 系列、Fanuc 系列、Heidenhain 系列、Mazak系列、NUM系列、AB系列等，可以在标准库的基础上，根据自己的特殊需要配置控制系统；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2.1.3包含模型分析工具，能对仿真后的零件模型进行各种测量，包括但不限于毛坯厚度、体积、材料去除率、深度、间隙、距离、角度、孔径、转角半径、刀痕间的残留高度等；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2.1.4能够构造真实刀具形状，和各种标准、非标刀具，包括但不限于整体刀具、镶齿刀具，以及非标机床附件头；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2.1.5能够实现零件的实体加工仿真，能够平移、缩放、翻转及旋转切削模型，可在任何方向作剖面视图，查看那些原本无法看到的区域（例如钻孔的截面），并且零件模型局部放大时不失真；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2.1.6对于较长的刀位文件，能够加快模拟速度，同时不影响仿真精度；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2.1.7能够将 IGES 文件转换为 STL 数据或其他模型文件（定义铸造毛坯、夹具、设计模型等）。能从 STL 文件生成实体模型，能够修复表面质量不好的 STL模型；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2.1.8该模块能够精确地检查加工中发生的各种错误。只需点击发生错误的地方，就可知道相应的程序语句；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2.1.9软件应支持各种编程方式，包括但不限于预知三维刀具补偿、刀尖点编程或刀具长度补偿、主轴转动点编程、封闭循环和夹具偏置、加工坐标系旋转、平移、RTCP编程等；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2.1.10软件支持模拟线切割、电火花的数控程序加工与仿真；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2.1.11软件能够在一个仿真文件中，按照加工工艺顺序模拟零件在各个机床上的仿真加工过程；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2.1.12能够定制使用界面。可以封闭使用。可以对角色授予对系统进行有限操作的权限；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2.1.13能够定制使用界面。可以封闭使用，没有权限的人不能修改任何东西，用于现场操作工人的浏览；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2.1.14能够对仿真后的零件尺寸进行测量，并自动创建图文并茂的检测说明及完整的切削过程特征尺寸；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2.1.15用户能够自定义检测报告内容；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2.1.16检测报告能够存储为包括但不限于 HTML、PDF、TXT格式，方便参考使用。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 机床实体仿真模块</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2.2.1该模块应能够对机床运动的整个过程提供准确、完善的碰撞、干涉检查，保证机床和刀具的安全；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2.2.2该模块应支持在仿真的过程中，根据机床实际情况实时显示碰撞、超程、超速等信息，并记录在仿真结果报告中；</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2.2.3该模块应能够模拟出夹具、卡具与主轴的碰撞，还可以模拟刀具库的换刀运动，并检查其碰撞；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2.2.4该模块应能够模拟一个工件在各个不同机床之间，不同工序的加工仿真过程，并根据工艺要求在机床之间自动切换、定位；</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2.2.5软件自带机床库，包含许多常见的数控机床，用户可以直接调用、修改，也可很方便地自己建立与车间机床相应的机床模型。</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78" w:name="OLE_LINK29"/>
            <w:r>
              <w:rPr>
                <w:rFonts w:hint="eastAsia" w:ascii="宋体" w:hAnsi="宋体" w:eastAsia="宋体" w:cs="宋体"/>
                <w:color w:val="auto"/>
                <w:sz w:val="15"/>
                <w:szCs w:val="15"/>
                <w:highlight w:val="none"/>
                <w:lang w:val="en-US" w:eastAsia="zh-CN"/>
              </w:rPr>
              <w:t>▲2.3 多轴联动数控加工仿真</w:t>
            </w:r>
            <w:r>
              <w:rPr>
                <w:rFonts w:hint="eastAsia" w:ascii="宋体" w:hAnsi="宋体" w:eastAsia="宋体" w:cs="宋体"/>
                <w:b/>
                <w:bCs/>
                <w:color w:val="auto"/>
                <w:sz w:val="15"/>
                <w:szCs w:val="15"/>
                <w:highlight w:val="none"/>
              </w:rPr>
              <w:t>（投标文件需提供该项功能界面截图证明</w:t>
            </w:r>
            <w:r>
              <w:rPr>
                <w:rFonts w:hint="eastAsia" w:ascii="宋体" w:hAnsi="宋体" w:cs="宋体"/>
                <w:b/>
                <w:bCs/>
                <w:color w:val="auto"/>
                <w:sz w:val="15"/>
                <w:szCs w:val="15"/>
                <w:highlight w:val="none"/>
                <w:lang w:eastAsia="zh-CN"/>
              </w:rPr>
              <w:t>，</w:t>
            </w:r>
            <w:r>
              <w:rPr>
                <w:rFonts w:hint="eastAsia" w:ascii="宋体" w:hAnsi="宋体" w:cs="宋体"/>
                <w:b/>
                <w:bCs/>
                <w:color w:val="auto"/>
                <w:sz w:val="15"/>
                <w:szCs w:val="15"/>
                <w:highlight w:val="none"/>
                <w:lang w:val="en-US" w:eastAsia="zh-CN"/>
              </w:rPr>
              <w:t>每项至少一张图片</w:t>
            </w:r>
            <w:r>
              <w:rPr>
                <w:rFonts w:hint="eastAsia" w:ascii="宋体" w:hAnsi="宋体" w:eastAsia="宋体" w:cs="宋体"/>
                <w:b/>
                <w:bCs/>
                <w:color w:val="auto"/>
                <w:sz w:val="15"/>
                <w:szCs w:val="15"/>
                <w:highlight w:val="none"/>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2.3.1对多轴联动程序进行碰撞、干涉检查并发布预警信息并提供解决方案，可以直接调用、调整解决方案对程序进行修改；</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2.3.2 该模块能够支持各种 U、V、W 直线轴，自定义旋转轴仿真；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2.3.3 该模块能够支持 5 轴以上车铣复合加工中心程序仿真；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2.3.4 该模块能够支持最少6个轴的数控机床联动</w:t>
            </w:r>
            <w:r>
              <w:rPr>
                <w:rFonts w:hint="eastAsia" w:ascii="宋体" w:hAnsi="宋体" w:cs="宋体"/>
                <w:color w:val="auto"/>
                <w:sz w:val="15"/>
                <w:szCs w:val="15"/>
                <w:highlight w:val="none"/>
                <w:lang w:val="en-US" w:eastAsia="zh-CN"/>
              </w:rPr>
              <w:t>；</w:t>
            </w:r>
          </w:p>
          <w:bookmarkEnd w:id="178"/>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 仿真后的零件模型与设计原型自动比较过切和欠切</w:t>
            </w:r>
            <w:r>
              <w:rPr>
                <w:rFonts w:hint="eastAsia" w:ascii="宋体" w:hAnsi="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2.4.1通过不同的颜色直观地看到过切和残余部分，比较精度能够自定义；</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2.4.2 能够自动形成比较结果，具备修改提醒功能；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2.4.3 提供精确的过切或残留量的数值报告；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2.4.4 对于大型零件，能够提供某个特定区域的自动比较。</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 数控程序优化</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2.5.1软件能够根据机床、刀具、切削材料等外部切削条件，对程序进给、转速进行优化；</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2.5.2 软件根据切削材料体积自动调整进给率，当切削大量材料时，进给率降低；切削少量材料时，进给率相应地提高。根据每部分需要切削材料量的不同，优化模块能够自动计算进给率，并在需要的地方插入改进后的进给率。无需改变轨迹，优化模块即可为新的刀具路径更新进给率；</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2.5.3 软件能够自动生成优化库，并且将刀具库当中的刀具参数传输到优化库中；</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2.5.4 自动比较优化前、后的程序，以及优化后节约的加工时间；</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2.5.5 能够手动配置和完善优化库，使得刀具运动从开始空走刀到切入材料，再从离开材料回到起始点的每一个过程都可以优化。</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 切削力优化</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2.6.1能根据多种材料性能属性插入切削条件，以运算出材料强度和摩擦与温度对加工的影响。材料性能数据通过实际加工测试获取，而不是依据有限元分析的结果；</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2.6.2 支</w:t>
            </w:r>
            <w:bookmarkStart w:id="179" w:name="OLE_LINK7"/>
            <w:r>
              <w:rPr>
                <w:rFonts w:hint="eastAsia" w:ascii="宋体" w:hAnsi="宋体" w:eastAsia="宋体" w:cs="宋体"/>
                <w:color w:val="auto"/>
                <w:sz w:val="15"/>
                <w:szCs w:val="15"/>
                <w:highlight w:val="none"/>
                <w:lang w:val="en-US" w:eastAsia="zh-CN"/>
              </w:rPr>
              <w:t>持图标形式显示切削过程中各参数的波动曲线，支持如总力，径向力/轴向力、机床力、</w:t>
            </w:r>
            <w:bookmarkEnd w:id="179"/>
            <w:r>
              <w:rPr>
                <w:rFonts w:hint="eastAsia" w:ascii="宋体" w:hAnsi="宋体" w:eastAsia="宋体" w:cs="宋体"/>
                <w:color w:val="auto"/>
                <w:sz w:val="15"/>
                <w:szCs w:val="15"/>
                <w:highlight w:val="none"/>
                <w:lang w:val="en-US" w:eastAsia="zh-CN"/>
              </w:rPr>
              <w:t>功率/扭矩、削厚、材料去除率、刀具偏移、进给速度等；</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2.6.3 可以通过鼠标拾取曲线中任一点自动关联此点对应的程序行信息，并显示所有相关程序数据；</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2.6.4 支持所有程序整体显示，或者根据程序中使用的刀具分别显示。</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2.7 探头仿真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2.7.1定位毛坯和夹具并调整偏置；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2.7.2 测量和调整刀具、毛坯或夹具的偏置；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2.7.3 检查探头测序，避免错误的探头程序导致探头和机床、夹具的干涉。</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lang w:val="en-US" w:eastAsia="zh-CN"/>
              </w:rPr>
              <w:t>0</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eastAsia="zh-CN"/>
              </w:rPr>
              <w:t>节点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5</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洗地机</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1.清洁效率：≥5000㎡/h</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2.刷盘直径：≥400mm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3.刷盘数量：≥2个</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4.刷盘厚度：≥2mm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5.吸水扒宽度：≥1200mm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6.刷盘转速：≥230rpm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7.刷盘电机数量：2个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8.刷盘电机功率：≥550W</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9.吸水盘电机功率：≥550W</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10.驱动电机功率：≥550W</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11.清水箱容量：≥80L</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12.污水箱容量：≥85L</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13.单个电瓶容量：≥24v/140A</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14.电瓶数量：不少于2个</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15.产品尺寸：≥1450mm×1000mm×1100mm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16.工作方式：人坐驾式</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eastAsia="zh-CN"/>
              </w:rPr>
              <w:t>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6</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工具车</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1.产品尺寸：</w:t>
            </w:r>
            <w:r>
              <w:rPr>
                <w:rFonts w:hint="default" w:ascii="宋体" w:hAnsi="宋体" w:eastAsia="宋体" w:cs="宋体"/>
                <w:color w:val="auto"/>
                <w:sz w:val="15"/>
                <w:szCs w:val="15"/>
                <w:highlight w:val="none"/>
                <w:lang w:val="en-US" w:eastAsia="zh-CN"/>
              </w:rPr>
              <w:t>≥900mm×1000mm×500mm</w:t>
            </w:r>
            <w:r>
              <w:rPr>
                <w:rFonts w:hint="eastAsia" w:ascii="宋体" w:hAnsi="宋体" w:eastAsia="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2.材质：冷轧钢板；</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3.结构要求：具备不少于</w:t>
            </w:r>
            <w:r>
              <w:rPr>
                <w:rFonts w:hint="default" w:ascii="宋体" w:hAnsi="宋体" w:eastAsia="宋体" w:cs="宋体"/>
                <w:color w:val="auto"/>
                <w:sz w:val="15"/>
                <w:szCs w:val="15"/>
                <w:highlight w:val="none"/>
                <w:lang w:val="en-US" w:eastAsia="zh-CN"/>
              </w:rPr>
              <w:t>5</w:t>
            </w:r>
            <w:r>
              <w:rPr>
                <w:rFonts w:hint="eastAsia" w:ascii="宋体" w:hAnsi="宋体" w:eastAsia="宋体" w:cs="宋体"/>
                <w:color w:val="auto"/>
                <w:sz w:val="15"/>
                <w:szCs w:val="15"/>
                <w:highlight w:val="none"/>
                <w:lang w:val="en-US" w:eastAsia="zh-CN"/>
              </w:rPr>
              <w:t>个抽屉式储物空间和</w:t>
            </w:r>
            <w:r>
              <w:rPr>
                <w:rFonts w:hint="default"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lang w:val="en-US" w:eastAsia="zh-CN"/>
              </w:rPr>
              <w:t>个柜式储物空间；</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4.单层承重：</w:t>
            </w:r>
            <w:r>
              <w:rPr>
                <w:rFonts w:hint="default" w:ascii="宋体" w:hAnsi="宋体" w:eastAsia="宋体" w:cs="宋体"/>
                <w:color w:val="auto"/>
                <w:sz w:val="15"/>
                <w:szCs w:val="15"/>
                <w:highlight w:val="none"/>
                <w:lang w:val="en-US" w:eastAsia="zh-CN"/>
              </w:rPr>
              <w:t>≥15kg</w:t>
            </w:r>
            <w:r>
              <w:rPr>
                <w:rFonts w:hint="eastAsia" w:ascii="宋体" w:hAnsi="宋体" w:eastAsia="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5.板厚不小于：</w:t>
            </w:r>
            <w:r>
              <w:rPr>
                <w:rFonts w:hint="default" w:ascii="宋体" w:hAnsi="宋体" w:eastAsia="宋体" w:cs="宋体"/>
                <w:color w:val="auto"/>
                <w:sz w:val="15"/>
                <w:szCs w:val="15"/>
                <w:highlight w:val="none"/>
                <w:lang w:val="en-US" w:eastAsia="zh-CN"/>
              </w:rPr>
              <w:t>≥1.2mm</w:t>
            </w:r>
            <w:r>
              <w:rPr>
                <w:rFonts w:hint="eastAsia" w:ascii="宋体" w:hAnsi="宋体" w:eastAsia="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6.抽屉数：</w:t>
            </w:r>
            <w:r>
              <w:rPr>
                <w:rFonts w:hint="default" w:ascii="宋体" w:hAnsi="宋体" w:eastAsia="宋体" w:cs="宋体"/>
                <w:color w:val="auto"/>
                <w:sz w:val="15"/>
                <w:szCs w:val="15"/>
                <w:highlight w:val="none"/>
                <w:lang w:val="en-US" w:eastAsia="zh-CN"/>
              </w:rPr>
              <w:t>≥5</w:t>
            </w:r>
            <w:r>
              <w:rPr>
                <w:rFonts w:hint="eastAsia" w:ascii="宋体" w:hAnsi="宋体" w:eastAsia="宋体" w:cs="宋体"/>
                <w:color w:val="auto"/>
                <w:sz w:val="15"/>
                <w:szCs w:val="15"/>
                <w:highlight w:val="none"/>
                <w:lang w:val="en-US" w:eastAsia="zh-CN"/>
              </w:rPr>
              <w:t>抽。</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12</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7</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踏板</w:t>
            </w:r>
            <w:r>
              <w:rPr>
                <w:rFonts w:hint="eastAsia" w:ascii="宋体" w:hAnsi="宋体" w:cs="宋体"/>
                <w:color w:val="auto"/>
                <w:sz w:val="15"/>
                <w:szCs w:val="15"/>
                <w:highlight w:val="none"/>
                <w:lang w:val="en-US" w:eastAsia="zh-CN"/>
              </w:rPr>
              <w:t>（22个）</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机床脚踏板防滑耐油网格格栅板，不小于1650×850mm，高度120—140mm可调；</w:t>
            </w:r>
            <w:bookmarkStart w:id="180" w:name="OLE_LINK130"/>
            <w:r>
              <w:rPr>
                <w:rFonts w:hint="eastAsia" w:ascii="宋体" w:hAnsi="宋体" w:cs="宋体"/>
                <w:color w:val="auto"/>
                <w:sz w:val="15"/>
                <w:szCs w:val="15"/>
                <w:highlight w:val="none"/>
                <w:lang w:val="en-US" w:eastAsia="zh-CN"/>
              </w:rPr>
              <w:t>1套含22个踏板</w:t>
            </w:r>
            <w:bookmarkEnd w:id="180"/>
            <w:r>
              <w:rPr>
                <w:rFonts w:hint="eastAsia" w:ascii="宋体" w:hAnsi="宋体" w:cs="宋体"/>
                <w:color w:val="auto"/>
                <w:sz w:val="15"/>
                <w:szCs w:val="15"/>
                <w:highlight w:val="none"/>
                <w:lang w:val="en-US" w:eastAsia="zh-CN"/>
              </w:rPr>
              <w:t>。</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8</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机床配套工量具</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每套含</w:t>
            </w:r>
            <w:r>
              <w:rPr>
                <w:rFonts w:hint="eastAsia" w:ascii="宋体" w:hAnsi="宋体" w:cs="宋体"/>
                <w:color w:val="auto"/>
                <w:sz w:val="15"/>
                <w:szCs w:val="15"/>
                <w:highlight w:val="none"/>
                <w:lang w:val="en-US" w:eastAsia="zh-CN"/>
              </w:rPr>
              <w:t>但不限于以下物品</w:t>
            </w:r>
            <w:r>
              <w:rPr>
                <w:rFonts w:hint="eastAsia" w:ascii="宋体" w:hAnsi="宋体" w:eastAsia="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1.基础尺寸测量：游标卡尺（0-150/0-300mm）各1把、外径千分尺（0-25/25-50/50-75/75-100mm）各1把、内径千分尺（10-100mm）各1把、深度尺（0-150mm）1把；</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2.形位误差检测：百分表（0-10mm含表座）、杠杆百分表（0-0.8mm含磁性表座）、框式水平仪（200mm）1台；</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3.专用测量工具：螺纹规（M8-M24含塞规环规）1套、万能角度尺（0-320°）1把、半径规（R1-R25mm）1套、塞尺（0.02-1.0mm）1把。</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12</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9</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机床配套</w:t>
            </w:r>
            <w:r>
              <w:rPr>
                <w:rFonts w:hint="eastAsia" w:ascii="宋体" w:hAnsi="宋体" w:eastAsia="宋体" w:cs="宋体"/>
                <w:color w:val="auto"/>
                <w:kern w:val="0"/>
                <w:sz w:val="15"/>
                <w:szCs w:val="15"/>
                <w:highlight w:val="none"/>
                <w:lang w:val="en-US" w:eastAsia="zh-CN" w:bidi="ar"/>
              </w:rPr>
              <w:t>刀具</w:t>
            </w:r>
            <w:r>
              <w:rPr>
                <w:rFonts w:hint="eastAsia" w:ascii="宋体" w:hAnsi="宋体" w:eastAsia="宋体" w:cs="宋体"/>
                <w:i w:val="0"/>
                <w:iCs w:val="0"/>
                <w:caps w:val="0"/>
                <w:color w:val="auto"/>
                <w:spacing w:val="0"/>
                <w:kern w:val="0"/>
                <w:sz w:val="15"/>
                <w:szCs w:val="15"/>
                <w:highlight w:val="none"/>
                <w:lang w:bidi="ar"/>
              </w:rPr>
              <w:t>（含</w:t>
            </w:r>
            <w:bookmarkStart w:id="181" w:name="OLE_LINK94"/>
            <w:r>
              <w:rPr>
                <w:rFonts w:hint="eastAsia" w:ascii="宋体" w:hAnsi="宋体" w:eastAsia="宋体" w:cs="宋体"/>
                <w:i w:val="0"/>
                <w:iCs w:val="0"/>
                <w:caps w:val="0"/>
                <w:color w:val="auto"/>
                <w:spacing w:val="0"/>
                <w:kern w:val="0"/>
                <w:sz w:val="15"/>
                <w:szCs w:val="15"/>
                <w:highlight w:val="none"/>
                <w:lang w:bidi="ar"/>
              </w:rPr>
              <w:t>机床搬迁</w:t>
            </w:r>
            <w:bookmarkEnd w:id="181"/>
            <w:r>
              <w:rPr>
                <w:rFonts w:hint="eastAsia" w:ascii="宋体" w:hAnsi="宋体" w:eastAsia="宋体" w:cs="宋体"/>
                <w:i w:val="0"/>
                <w:iCs w:val="0"/>
                <w:caps w:val="0"/>
                <w:color w:val="auto"/>
                <w:spacing w:val="0"/>
                <w:kern w:val="0"/>
                <w:sz w:val="15"/>
                <w:szCs w:val="15"/>
                <w:highlight w:val="none"/>
                <w:lang w:bidi="ar"/>
              </w:rPr>
              <w:t>及</w:t>
            </w:r>
            <w:bookmarkStart w:id="182" w:name="OLE_LINK98"/>
            <w:r>
              <w:rPr>
                <w:rFonts w:hint="eastAsia" w:ascii="宋体" w:hAnsi="宋体" w:eastAsia="宋体" w:cs="宋体"/>
                <w:i w:val="0"/>
                <w:iCs w:val="0"/>
                <w:caps w:val="0"/>
                <w:color w:val="auto"/>
                <w:spacing w:val="0"/>
                <w:kern w:val="0"/>
                <w:sz w:val="15"/>
                <w:szCs w:val="15"/>
                <w:highlight w:val="none"/>
                <w:lang w:bidi="ar"/>
              </w:rPr>
              <w:t>文化建设</w:t>
            </w:r>
            <w:bookmarkEnd w:id="182"/>
            <w:r>
              <w:rPr>
                <w:rFonts w:hint="eastAsia" w:ascii="宋体" w:hAnsi="宋体" w:eastAsia="宋体" w:cs="宋体"/>
                <w:i w:val="0"/>
                <w:iCs w:val="0"/>
                <w:caps w:val="0"/>
                <w:color w:val="auto"/>
                <w:spacing w:val="0"/>
                <w:kern w:val="0"/>
                <w:sz w:val="15"/>
                <w:szCs w:val="15"/>
                <w:highlight w:val="none"/>
                <w:lang w:bidi="ar"/>
              </w:rPr>
              <w:t>）</w:t>
            </w:r>
          </w:p>
        </w:tc>
        <w:tc>
          <w:tcPr>
            <w:tcW w:w="6531" w:type="dxa"/>
            <w:tcBorders>
              <w:tl2br w:val="nil"/>
              <w:tr2bl w:val="nil"/>
            </w:tcBorders>
            <w:vAlign w:val="center"/>
          </w:tcPr>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一、机床配套刀具</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lang w:val="en-US" w:eastAsia="zh-CN"/>
              </w:rPr>
              <w:t>数控车床（4台）</w:t>
            </w:r>
            <w:r>
              <w:rPr>
                <w:rFonts w:hint="eastAsia" w:ascii="宋体" w:hAnsi="宋体" w:cs="宋体"/>
                <w:color w:val="auto"/>
                <w:sz w:val="15"/>
                <w:szCs w:val="15"/>
                <w:highlight w:val="none"/>
                <w:lang w:val="en-US" w:eastAsia="zh-CN"/>
              </w:rPr>
              <w:t>配备包含但不限于以下刀具</w:t>
            </w:r>
            <w:r>
              <w:rPr>
                <w:rFonts w:hint="eastAsia" w:ascii="宋体" w:hAnsi="宋体" w:eastAsia="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w:t>
            </w:r>
            <w:r>
              <w:rPr>
                <w:rFonts w:hint="eastAsia" w:ascii="宋体" w:hAnsi="宋体" w:eastAsia="宋体" w:cs="宋体"/>
                <w:color w:val="auto"/>
                <w:sz w:val="15"/>
                <w:szCs w:val="15"/>
                <w:highlight w:val="none"/>
                <w:lang w:val="en-US" w:eastAsia="zh-CN"/>
              </w:rPr>
              <w:t>外圆刀杆+刀片（6把/台×4台=24把）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1.2</w:t>
            </w:r>
            <w:r>
              <w:rPr>
                <w:rFonts w:hint="eastAsia" w:ascii="宋体" w:hAnsi="宋体" w:eastAsia="宋体" w:cs="宋体"/>
                <w:color w:val="auto"/>
                <w:sz w:val="15"/>
                <w:szCs w:val="15"/>
                <w:highlight w:val="none"/>
                <w:lang w:val="en-US" w:eastAsia="zh-CN"/>
              </w:rPr>
              <w:t>端面/切断/螺纹/镗孔刀杆+刀片（各2把/台×4台= 8把）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1.3</w:t>
            </w:r>
            <w:r>
              <w:rPr>
                <w:rFonts w:hint="eastAsia" w:ascii="宋体" w:hAnsi="宋体" w:eastAsia="宋体" w:cs="宋体"/>
                <w:color w:val="auto"/>
                <w:sz w:val="15"/>
                <w:szCs w:val="15"/>
                <w:highlight w:val="none"/>
                <w:lang w:val="en-US" w:eastAsia="zh-CN"/>
              </w:rPr>
              <w:t>中心钻（A型φ3/φ5）（各3支/台×4台=各12支）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1.4</w:t>
            </w:r>
            <w:r>
              <w:rPr>
                <w:rFonts w:hint="eastAsia" w:ascii="宋体" w:hAnsi="宋体" w:eastAsia="宋体" w:cs="宋体"/>
                <w:color w:val="auto"/>
                <w:sz w:val="15"/>
                <w:szCs w:val="15"/>
                <w:highlight w:val="none"/>
                <w:lang w:val="en-US" w:eastAsia="zh-CN"/>
              </w:rPr>
              <w:t xml:space="preserve">麻花钻（φ6/10/15/20mm）（各2支/台×4台=各8支）；                                                  </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数控铣床（2台）</w:t>
            </w:r>
            <w:r>
              <w:rPr>
                <w:rFonts w:hint="eastAsia" w:ascii="宋体" w:hAnsi="宋体" w:cs="宋体"/>
                <w:color w:val="auto"/>
                <w:sz w:val="15"/>
                <w:szCs w:val="15"/>
                <w:highlight w:val="none"/>
                <w:lang w:val="en-US" w:eastAsia="zh-CN"/>
              </w:rPr>
              <w:t>配备包含但不限于以下刀具</w:t>
            </w:r>
            <w:r>
              <w:rPr>
                <w:rFonts w:hint="eastAsia" w:ascii="宋体" w:hAnsi="宋体" w:eastAsia="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2.1</w:t>
            </w:r>
            <w:r>
              <w:rPr>
                <w:rFonts w:hint="eastAsia" w:ascii="宋体" w:hAnsi="宋体" w:eastAsia="宋体" w:cs="宋体"/>
                <w:color w:val="auto"/>
                <w:sz w:val="15"/>
                <w:szCs w:val="15"/>
                <w:highlight w:val="none"/>
                <w:lang w:val="en-US" w:eastAsia="zh-CN"/>
              </w:rPr>
              <w:t>面铣刀（φ80mm 4齿+刀片）（2把/台×2 台= 4套）</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2.2</w:t>
            </w:r>
            <w:r>
              <w:rPr>
                <w:rFonts w:hint="eastAsia" w:ascii="宋体" w:hAnsi="宋体" w:eastAsia="宋体" w:cs="宋体"/>
                <w:color w:val="auto"/>
                <w:sz w:val="15"/>
                <w:szCs w:val="15"/>
                <w:highlight w:val="none"/>
                <w:lang w:val="en-US" w:eastAsia="zh-CN"/>
              </w:rPr>
              <w:t>高速钢立铣刀（φ12/16/20mm 4刃）（各2把/台×2台=各4把）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2.3</w:t>
            </w:r>
            <w:r>
              <w:rPr>
                <w:rFonts w:hint="eastAsia" w:ascii="宋体" w:hAnsi="宋体" w:eastAsia="宋体" w:cs="宋体"/>
                <w:color w:val="auto"/>
                <w:sz w:val="15"/>
                <w:szCs w:val="15"/>
                <w:highlight w:val="none"/>
                <w:lang w:val="en-US" w:eastAsia="zh-CN"/>
              </w:rPr>
              <w:t>硬质合金立铣刀（φ10/14/18mm）（各1把/台×2台=各2把）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2.4</w:t>
            </w:r>
            <w:r>
              <w:rPr>
                <w:rFonts w:hint="eastAsia" w:ascii="宋体" w:hAnsi="宋体" w:eastAsia="宋体" w:cs="宋体"/>
                <w:color w:val="auto"/>
                <w:sz w:val="15"/>
                <w:szCs w:val="15"/>
                <w:highlight w:val="none"/>
                <w:lang w:val="en-US" w:eastAsia="zh-CN"/>
              </w:rPr>
              <w:t>三面刃铣刀（φ63mm宽5mm）（1把</w:t>
            </w:r>
            <w:bookmarkStart w:id="183" w:name="OLE_LINK3"/>
            <w:r>
              <w:rPr>
                <w:rFonts w:hint="eastAsia" w:ascii="宋体" w:hAnsi="宋体" w:eastAsia="宋体" w:cs="宋体"/>
                <w:color w:val="auto"/>
                <w:sz w:val="15"/>
                <w:szCs w:val="15"/>
                <w:highlight w:val="none"/>
                <w:lang w:val="en-US" w:eastAsia="zh-CN"/>
              </w:rPr>
              <w:t>/</w:t>
            </w:r>
            <w:bookmarkEnd w:id="183"/>
            <w:r>
              <w:rPr>
                <w:rFonts w:hint="eastAsia" w:ascii="宋体" w:hAnsi="宋体" w:eastAsia="宋体" w:cs="宋体"/>
                <w:color w:val="auto"/>
                <w:sz w:val="15"/>
                <w:szCs w:val="15"/>
                <w:highlight w:val="none"/>
                <w:lang w:val="en-US" w:eastAsia="zh-CN"/>
              </w:rPr>
              <w:t>台×2台= 2把）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2.5</w:t>
            </w:r>
            <w:r>
              <w:rPr>
                <w:rFonts w:hint="eastAsia" w:ascii="宋体" w:hAnsi="宋体" w:eastAsia="宋体" w:cs="宋体"/>
                <w:color w:val="auto"/>
                <w:sz w:val="15"/>
                <w:szCs w:val="15"/>
                <w:highlight w:val="none"/>
                <w:lang w:val="en-US" w:eastAsia="zh-CN"/>
              </w:rPr>
              <w:t>键槽铣刀（φ8/12/16mm2刃）（各1把/台×2台=各2把）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2.6</w:t>
            </w:r>
            <w:r>
              <w:rPr>
                <w:rFonts w:hint="eastAsia" w:ascii="宋体" w:hAnsi="宋体" w:eastAsia="宋体" w:cs="宋体"/>
                <w:color w:val="auto"/>
                <w:sz w:val="15"/>
                <w:szCs w:val="15"/>
                <w:highlight w:val="none"/>
                <w:lang w:val="en-US" w:eastAsia="zh-CN"/>
              </w:rPr>
              <w:t>BT40钻夹头刀柄（2个/台×2台= 4个）</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2.7</w:t>
            </w:r>
            <w:r>
              <w:rPr>
                <w:rFonts w:hint="eastAsia" w:ascii="宋体" w:hAnsi="宋体" w:eastAsia="宋体" w:cs="宋体"/>
                <w:color w:val="auto"/>
                <w:sz w:val="15"/>
                <w:szCs w:val="15"/>
                <w:highlight w:val="none"/>
                <w:lang w:val="en-US" w:eastAsia="zh-CN"/>
              </w:rPr>
              <w:t>麻花钻（锥柄φ8/12/16/20mm）（各2支/台×2台=各4支）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2.8</w:t>
            </w:r>
            <w:r>
              <w:rPr>
                <w:rFonts w:hint="eastAsia" w:ascii="宋体" w:hAnsi="宋体" w:eastAsia="宋体" w:cs="宋体"/>
                <w:color w:val="auto"/>
                <w:sz w:val="15"/>
                <w:szCs w:val="15"/>
                <w:highlight w:val="none"/>
                <w:lang w:val="en-US" w:eastAsia="zh-CN"/>
              </w:rPr>
              <w:t xml:space="preserve">机用铰刀（锥柄φ10H7/15H7/20H7）（各 1支/台×2台=各2支）；                                                     </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3.</w:t>
            </w:r>
            <w:r>
              <w:rPr>
                <w:rFonts w:hint="eastAsia" w:ascii="宋体" w:hAnsi="宋体" w:eastAsia="宋体" w:cs="宋体"/>
                <w:color w:val="auto"/>
                <w:sz w:val="15"/>
                <w:szCs w:val="15"/>
                <w:highlight w:val="none"/>
                <w:lang w:val="en-US" w:eastAsia="zh-CN"/>
              </w:rPr>
              <w:t>四轴加工中心（4台）</w:t>
            </w:r>
            <w:r>
              <w:rPr>
                <w:rFonts w:hint="eastAsia" w:ascii="宋体" w:hAnsi="宋体" w:cs="宋体"/>
                <w:color w:val="auto"/>
                <w:sz w:val="15"/>
                <w:szCs w:val="15"/>
                <w:highlight w:val="none"/>
                <w:lang w:val="en-US" w:eastAsia="zh-CN"/>
              </w:rPr>
              <w:t>配备包含但不限于以下刀具</w:t>
            </w:r>
            <w:r>
              <w:rPr>
                <w:rFonts w:hint="eastAsia" w:ascii="宋体" w:hAnsi="宋体" w:eastAsia="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3.1</w:t>
            </w:r>
            <w:r>
              <w:rPr>
                <w:rFonts w:hint="eastAsia" w:ascii="宋体" w:hAnsi="宋体" w:eastAsia="宋体" w:cs="宋体"/>
                <w:color w:val="auto"/>
                <w:sz w:val="15"/>
                <w:szCs w:val="15"/>
                <w:highlight w:val="none"/>
                <w:lang w:val="en-US" w:eastAsia="zh-CN"/>
              </w:rPr>
              <w:t>面铣刀（φ80mm 6齿+刀片）（1把/台×4 台=4套）</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3.2</w:t>
            </w:r>
            <w:r>
              <w:rPr>
                <w:rFonts w:hint="eastAsia" w:ascii="宋体" w:hAnsi="宋体" w:eastAsia="宋体" w:cs="宋体"/>
                <w:color w:val="auto"/>
                <w:sz w:val="15"/>
                <w:szCs w:val="15"/>
                <w:highlight w:val="none"/>
                <w:lang w:val="en-US" w:eastAsia="zh-CN"/>
              </w:rPr>
              <w:t>硬质合金立铣刀（φ10/16/20/25mm 4刃）（各2把/台×4台=各 8 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3.3</w:t>
            </w:r>
            <w:r>
              <w:rPr>
                <w:rFonts w:hint="eastAsia" w:ascii="宋体" w:hAnsi="宋体" w:eastAsia="宋体" w:cs="宋体"/>
                <w:color w:val="auto"/>
                <w:sz w:val="15"/>
                <w:szCs w:val="15"/>
                <w:highlight w:val="none"/>
                <w:lang w:val="en-US" w:eastAsia="zh-CN"/>
              </w:rPr>
              <w:t>球头铣刀（φ10/12/16mm）（各1把/台×4台=各4把）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3.4</w:t>
            </w:r>
            <w:r>
              <w:rPr>
                <w:rFonts w:hint="eastAsia" w:ascii="宋体" w:hAnsi="宋体" w:eastAsia="宋体" w:cs="宋体"/>
                <w:color w:val="auto"/>
                <w:sz w:val="15"/>
                <w:szCs w:val="15"/>
                <w:highlight w:val="none"/>
                <w:lang w:val="en-US" w:eastAsia="zh-CN"/>
              </w:rPr>
              <w:t>槽铣刀（φ50mm宽3/8mm）（各1把/台×4台=各4把）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3.5</w:t>
            </w:r>
            <w:r>
              <w:rPr>
                <w:rFonts w:hint="eastAsia" w:ascii="宋体" w:hAnsi="宋体" w:eastAsia="宋体" w:cs="宋体"/>
                <w:color w:val="auto"/>
                <w:sz w:val="15"/>
                <w:szCs w:val="15"/>
                <w:highlight w:val="none"/>
                <w:lang w:val="en-US" w:eastAsia="zh-CN"/>
              </w:rPr>
              <w:t>BT40刀柄（含拉钉）（ER40-150L/SLA20-100L）（各 3 个/台×4 台=各12个）</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3.6</w:t>
            </w:r>
            <w:r>
              <w:rPr>
                <w:rFonts w:hint="eastAsia" w:ascii="宋体" w:hAnsi="宋体" w:eastAsia="宋体" w:cs="宋体"/>
                <w:color w:val="auto"/>
                <w:sz w:val="15"/>
                <w:szCs w:val="15"/>
                <w:highlight w:val="none"/>
                <w:lang w:val="en-US" w:eastAsia="zh-CN"/>
              </w:rPr>
              <w:t>锥柄麻花钻（φ10/15/20/25/30mm）（各1支/台×4台=各4支）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3.7</w:t>
            </w:r>
            <w:r>
              <w:rPr>
                <w:rFonts w:hint="eastAsia" w:ascii="宋体" w:hAnsi="宋体" w:eastAsia="宋体" w:cs="宋体"/>
                <w:color w:val="auto"/>
                <w:sz w:val="15"/>
                <w:szCs w:val="15"/>
                <w:highlight w:val="none"/>
                <w:lang w:val="en-US" w:eastAsia="zh-CN"/>
              </w:rPr>
              <w:t>机用丝锥（螺旋槽）（M10/12/16/20/24）（各2支/台×4台=各8支）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3.8</w:t>
            </w:r>
            <w:r>
              <w:rPr>
                <w:rFonts w:hint="eastAsia" w:ascii="宋体" w:hAnsi="宋体" w:eastAsia="宋体" w:cs="宋体"/>
                <w:color w:val="auto"/>
                <w:sz w:val="15"/>
                <w:szCs w:val="15"/>
                <w:highlight w:val="none"/>
                <w:lang w:val="en-US" w:eastAsia="zh-CN"/>
              </w:rPr>
              <w:t>微调精镗刀（含刀柄）（φ15-30mm BT40接口）（1套/台×4台=4套）；                                                                                                                                                  4.五轴加工中心（2台）</w:t>
            </w:r>
            <w:r>
              <w:rPr>
                <w:rFonts w:hint="eastAsia" w:ascii="宋体" w:hAnsi="宋体" w:cs="宋体"/>
                <w:color w:val="auto"/>
                <w:sz w:val="15"/>
                <w:szCs w:val="15"/>
                <w:highlight w:val="none"/>
                <w:lang w:val="en-US" w:eastAsia="zh-CN"/>
              </w:rPr>
              <w:t>配备包含但不限于以下刀具</w:t>
            </w:r>
            <w:r>
              <w:rPr>
                <w:rFonts w:hint="eastAsia" w:ascii="宋体" w:hAnsi="宋体" w:eastAsia="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4.1</w:t>
            </w:r>
            <w:r>
              <w:rPr>
                <w:rFonts w:hint="eastAsia" w:ascii="宋体" w:hAnsi="宋体" w:eastAsia="宋体" w:cs="宋体"/>
                <w:color w:val="auto"/>
                <w:sz w:val="15"/>
                <w:szCs w:val="15"/>
                <w:highlight w:val="none"/>
                <w:lang w:val="en-US" w:eastAsia="zh-CN"/>
              </w:rPr>
              <w:t>高速硬质合金立铣刀（φ4/8/12/16mm（4刃））（各2把/台×2台=各4把）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4.2</w:t>
            </w:r>
            <w:r>
              <w:rPr>
                <w:rFonts w:hint="eastAsia" w:ascii="宋体" w:hAnsi="宋体" w:eastAsia="宋体" w:cs="宋体"/>
                <w:color w:val="auto"/>
                <w:sz w:val="15"/>
                <w:szCs w:val="15"/>
                <w:highlight w:val="none"/>
                <w:lang w:val="en-US" w:eastAsia="zh-CN"/>
              </w:rPr>
              <w:t>精密球头铣刀（φ5/8/10/12mm）（各2把/台×2 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4.3</w:t>
            </w:r>
            <w:r>
              <w:rPr>
                <w:rFonts w:hint="eastAsia" w:ascii="宋体" w:hAnsi="宋体" w:eastAsia="宋体" w:cs="宋体"/>
                <w:color w:val="auto"/>
                <w:sz w:val="15"/>
                <w:szCs w:val="15"/>
                <w:highlight w:val="none"/>
                <w:lang w:val="en-US" w:eastAsia="zh-CN"/>
              </w:rPr>
              <w:t>微小径立铣刀（φ1/2/3/4mm 2刃）（各2把/台×2 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4.4</w:t>
            </w:r>
            <w:r>
              <w:rPr>
                <w:rFonts w:hint="eastAsia" w:ascii="宋体" w:hAnsi="宋体" w:eastAsia="宋体" w:cs="宋体"/>
                <w:color w:val="auto"/>
                <w:sz w:val="15"/>
                <w:szCs w:val="15"/>
                <w:highlight w:val="none"/>
                <w:lang w:val="en-US" w:eastAsia="zh-CN"/>
              </w:rPr>
              <w:t>BT30刀柄（含拉钉）（规格型号与采购设备匹配；ER25-100L/ER32-120L）（各3个/台×2 台=各6个）</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4.5</w:t>
            </w:r>
            <w:r>
              <w:rPr>
                <w:rFonts w:hint="eastAsia" w:ascii="宋体" w:hAnsi="宋体" w:eastAsia="宋体" w:cs="宋体"/>
                <w:color w:val="auto"/>
                <w:sz w:val="15"/>
                <w:szCs w:val="15"/>
                <w:highlight w:val="none"/>
                <w:lang w:val="en-US" w:eastAsia="zh-CN"/>
              </w:rPr>
              <w:t>微调精镗刀（含刀柄）（φ8-20mm BT30接口）（1套/台×2台=2套）</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4.6</w:t>
            </w:r>
            <w:r>
              <w:rPr>
                <w:rFonts w:hint="eastAsia" w:ascii="宋体" w:hAnsi="宋体" w:eastAsia="宋体" w:cs="宋体"/>
                <w:color w:val="auto"/>
                <w:sz w:val="15"/>
                <w:szCs w:val="15"/>
                <w:highlight w:val="none"/>
                <w:lang w:val="en-US" w:eastAsia="zh-CN"/>
              </w:rPr>
              <w:t>微小径机用丝锥（M3/4/5/6/8）（各1支/台×2台=各2支）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4.7</w:t>
            </w:r>
            <w:r>
              <w:rPr>
                <w:rFonts w:hint="eastAsia" w:ascii="宋体" w:hAnsi="宋体" w:eastAsia="宋体" w:cs="宋体"/>
                <w:color w:val="auto"/>
                <w:sz w:val="15"/>
                <w:szCs w:val="15"/>
                <w:highlight w:val="none"/>
                <w:lang w:val="en-US" w:eastAsia="zh-CN"/>
              </w:rPr>
              <w:t>金刚石涂层立铣刀（φ6/10mm）（各1把/台×2台=各2把）。</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84" w:name="OLE_LINK95"/>
            <w:r>
              <w:rPr>
                <w:rFonts w:hint="eastAsia" w:ascii="宋体" w:hAnsi="宋体" w:eastAsia="宋体" w:cs="宋体"/>
                <w:color w:val="auto"/>
                <w:sz w:val="15"/>
                <w:szCs w:val="15"/>
                <w:highlight w:val="none"/>
                <w:lang w:val="en-US" w:eastAsia="zh-CN"/>
              </w:rPr>
              <w:t>二、机床搬迁</w:t>
            </w:r>
          </w:p>
          <w:bookmarkEnd w:id="184"/>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原有数控车床8台与加工中心6台搬移（石峰校区北院原实训场地内移动），2台五轴加工中心（醴陵校区搬运至石峰校区北院）拆装及调试（搬迁时要有专业人员协同完成拆、运、装、调试）</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i w:val="0"/>
                <w:iCs w:val="0"/>
                <w:caps w:val="0"/>
                <w:color w:val="auto"/>
                <w:spacing w:val="0"/>
                <w:kern w:val="0"/>
                <w:sz w:val="15"/>
                <w:szCs w:val="15"/>
                <w:highlight w:val="none"/>
                <w:lang w:bidi="ar"/>
              </w:rPr>
            </w:pPr>
            <w:r>
              <w:rPr>
                <w:rFonts w:hint="eastAsia" w:ascii="宋体" w:hAnsi="宋体" w:eastAsia="宋体" w:cs="宋体"/>
                <w:i w:val="0"/>
                <w:iCs w:val="0"/>
                <w:caps w:val="0"/>
                <w:color w:val="auto"/>
                <w:spacing w:val="0"/>
                <w:kern w:val="0"/>
                <w:sz w:val="15"/>
                <w:szCs w:val="15"/>
                <w:highlight w:val="none"/>
                <w:lang w:val="en-US" w:eastAsia="zh-CN" w:bidi="ar"/>
              </w:rPr>
              <w:t>三、</w:t>
            </w:r>
            <w:r>
              <w:rPr>
                <w:rFonts w:hint="eastAsia" w:ascii="宋体" w:hAnsi="宋体" w:eastAsia="宋体" w:cs="宋体"/>
                <w:i w:val="0"/>
                <w:iCs w:val="0"/>
                <w:caps w:val="0"/>
                <w:color w:val="auto"/>
                <w:spacing w:val="0"/>
                <w:kern w:val="0"/>
                <w:sz w:val="15"/>
                <w:szCs w:val="15"/>
                <w:highlight w:val="none"/>
                <w:lang w:bidi="ar"/>
              </w:rPr>
              <w:t>文化建设</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1.提供实训室操作注意事项、安全注意事项、实训室简介等挂图,采用亚克力材质,尺寸≥900mm*1200mm，数量≥9块；</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2.背景墙1块，PVC材质，尺寸≥1500mm*3000mm；</w:t>
            </w:r>
          </w:p>
          <w:p>
            <w:pPr>
              <w:numPr>
                <w:ilvl w:val="0"/>
                <w:numId w:val="0"/>
              </w:numPr>
              <w:adjustRightInd w:val="0"/>
              <w:snapToGrid w:val="0"/>
              <w:spacing w:line="360" w:lineRule="auto"/>
              <w:jc w:val="left"/>
              <w:rPr>
                <w:rFonts w:hint="eastAsia" w:ascii="宋体" w:hAnsi="宋体" w:eastAsia="宋体" w:cs="宋体"/>
                <w:i w:val="0"/>
                <w:iCs w:val="0"/>
                <w:caps w:val="0"/>
                <w:color w:val="auto"/>
                <w:spacing w:val="0"/>
                <w:kern w:val="0"/>
                <w:sz w:val="15"/>
                <w:szCs w:val="15"/>
                <w:highlight w:val="none"/>
                <w:lang w:val="en-US" w:eastAsia="zh-CN" w:bidi="ar"/>
              </w:rPr>
            </w:pPr>
            <w:r>
              <w:rPr>
                <w:rFonts w:hint="eastAsia" w:ascii="宋体" w:hAnsi="宋体" w:eastAsia="宋体" w:cs="宋体"/>
                <w:color w:val="auto"/>
                <w:sz w:val="15"/>
                <w:szCs w:val="15"/>
                <w:highlight w:val="none"/>
                <w:lang w:val="en-US" w:eastAsia="zh-CN"/>
              </w:rPr>
              <w:t>3.宣传标语</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t>PVC材质，尺寸≥500mm*</w:t>
            </w:r>
            <w:r>
              <w:rPr>
                <w:rFonts w:hint="eastAsia" w:ascii="宋体" w:hAnsi="宋体" w:cs="宋体"/>
                <w:color w:val="auto"/>
                <w:sz w:val="15"/>
                <w:szCs w:val="15"/>
                <w:highlight w:val="none"/>
                <w:lang w:val="en-US" w:eastAsia="zh-CN"/>
              </w:rPr>
              <w:t>7</w:t>
            </w:r>
            <w:r>
              <w:rPr>
                <w:rFonts w:hint="eastAsia" w:ascii="宋体" w:hAnsi="宋体" w:eastAsia="宋体" w:cs="宋体"/>
                <w:color w:val="auto"/>
                <w:sz w:val="15"/>
                <w:szCs w:val="15"/>
                <w:highlight w:val="none"/>
                <w:lang w:val="en-US" w:eastAsia="zh-CN"/>
              </w:rPr>
              <w:t>000mm</w:t>
            </w:r>
            <w:r>
              <w:rPr>
                <w:rFonts w:hint="eastAsia" w:ascii="宋体" w:hAnsi="宋体" w:cs="宋体"/>
                <w:color w:val="auto"/>
                <w:sz w:val="15"/>
                <w:szCs w:val="15"/>
                <w:highlight w:val="none"/>
                <w:lang w:val="en-US" w:eastAsia="zh-CN"/>
              </w:rPr>
              <w:t>，纯文字2块</w:t>
            </w:r>
            <w:r>
              <w:rPr>
                <w:rFonts w:hint="eastAsia" w:ascii="宋体" w:hAnsi="宋体" w:eastAsia="宋体" w:cs="宋体"/>
                <w:color w:val="auto"/>
                <w:sz w:val="15"/>
                <w:szCs w:val="15"/>
                <w:highlight w:val="none"/>
                <w:lang w:val="en-US" w:eastAsia="zh-CN"/>
              </w:rPr>
              <w:t>。</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1</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0</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85" w:name="OLE_LINK30"/>
            <w:r>
              <w:rPr>
                <w:rFonts w:hint="eastAsia" w:ascii="宋体" w:hAnsi="宋体" w:eastAsia="宋体" w:cs="宋体"/>
                <w:color w:val="auto"/>
                <w:sz w:val="15"/>
                <w:szCs w:val="15"/>
                <w:highlight w:val="none"/>
                <w:lang w:val="en-US" w:eastAsia="zh-CN"/>
              </w:rPr>
              <w:t>教学一体机（98寸）</w:t>
            </w:r>
            <w:bookmarkEnd w:id="185"/>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86" w:name="OLE_LINK42"/>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lang w:val="en-US" w:eastAsia="zh-CN"/>
              </w:rPr>
              <w:t>屏体硬件</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1.1黑板采用平面结构设计，采用三段式结构方式，整体尺寸≥4500mm*1350mm整机两侧副屏可支持普通粉笔、液体粉笔、成膜笔等多种类型笔书写，副屏光泽度符合GB 28231-2011标准；</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1.2 UHD超高清LED液晶屏，显示尺寸≥98英寸，物理分辨率：3840×2160，屏幕采用防眩光钢化玻璃保护厚度≤4mm，硬度≥9H，最高灰阶256灰阶；</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1.3 整机支持色彩空间可选，包含标准模式和sRGB模式，在sRGB模式下可做到高色准△E≤1.5；</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1.4 电容触控技术，支持多版本操作系统中进行40点或以上触控，支持在移动操作系统中进行30点或以上触控；</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1.5 前置面板需具有以下输入接口：≥2路双通道USB3.0接口、≥1路USB Type-C全功能通道接口，后置≥2路HDMI接口、≥2路USB 等接口；</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1.6 整机关机状态下，通过长按电源键进入设置界面后，可点击屏幕选择故障检测、系统还原功能，系统还原可单独还原PC系统单独还原整机系统；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1.7 整机具有物理开机防蓝光功能，蓝光危害为RGO豁免级；</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1.8 整机内置扬声器，要求使用缝隙发声技术，顶置朝前发声前朝向10W高音扬声器不少于2个，上朝向20W中低音扬声器不少于2个，内置非独立外扩展的4阵列麦克风拾音距离≥12m，支持标准、听力、观影三种音效模式调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1.9 整机内置无线网络模块和蓝牙5.2，PC 模块无任何外接或转接天线、网卡可实现 Wi-Fi 无线上网连接和 AP 无线热点发射。Wi-Fi和AP热点均支持频2.4GHz/5GHz；支持版本Wi-Fi6或更高版本。Wi-Fi 和 AP 热点工作距离</w:t>
            </w:r>
            <w:bookmarkStart w:id="187" w:name="OLE_LINK10"/>
            <w:r>
              <w:rPr>
                <w:rFonts w:hint="eastAsia" w:ascii="宋体" w:hAnsi="宋体" w:eastAsia="宋体" w:cs="宋体"/>
                <w:color w:val="auto"/>
                <w:sz w:val="15"/>
                <w:szCs w:val="15"/>
                <w:highlight w:val="none"/>
                <w:lang w:val="en-US" w:eastAsia="zh-CN"/>
              </w:rPr>
              <w:t>≥</w:t>
            </w:r>
            <w:bookmarkEnd w:id="187"/>
            <w:r>
              <w:rPr>
                <w:rFonts w:hint="eastAsia" w:ascii="宋体" w:hAnsi="宋体" w:eastAsia="宋体" w:cs="宋体"/>
                <w:color w:val="auto"/>
                <w:sz w:val="15"/>
                <w:szCs w:val="15"/>
                <w:highlight w:val="none"/>
                <w:lang w:val="en-US" w:eastAsia="zh-CN"/>
              </w:rPr>
              <w:t>12m；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1.10 整机内置高清摄像头，可拍摄≥1600万像素的照片支持4K输出，支持输出摄像头视场角≥135度且水平视场角≥120度画面，支持远程巡课等应用，支持大于等于10米距离时实现AI识别人像，摄像头支持环境色温判断，根据环境调节合适的显示图像效果；</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1.11整机支持纸质护眼模式，可以在任意通道任意画面任意软件所有显示内容下实现画面纹理的实时调整，支持纸质纹理：牛皮纸、素描纸、宣纸、水彩纸、水纹纸，支持透明度调节，支持色温调节；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1.12 支持自定义前置“设置”按键，通过自定义设置实现前置面板功能按键一键启用任一全局小工具包括但不限于批注、截屏、计时、降半屏、放大镜、倒数日、日历等，应具备相应功能快捷开关包括但不限于节能模式、纸质护眼模式、经典护眼模式、自动亮度模式；</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1.13 整机具备至少6个前置按键，可实现老师开关机、调出中控菜单、音量+/-、护眼、录屏操作，可通过前置面板物理功能按键一键启用经典护眼模式，支持通过前置面板物理按键一键启动录屏功能，可将屏幕中显示的课件、音频内容与人声同时录制。</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教学辅助系统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2.1内置安卓教学辅助系统，处理器≥八核心，主频≥1.8GHz，存储空间（ROM）：≥16GB，运行内存（RAM）：≥4GB；</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 无需借助PC整机可一键进行硬件自检，支持对触摸框、PC模块等模块进行检测，并针对不同模块给出问题原因提示，支持云端在线系统固件升级；</w:t>
            </w:r>
          </w:p>
          <w:p>
            <w:pPr>
              <w:adjustRightInd w:val="0"/>
              <w:snapToGrid w:val="0"/>
              <w:spacing w:line="360" w:lineRule="auto"/>
              <w:jc w:val="left"/>
              <w:rPr>
                <w:rFonts w:hint="eastAsia" w:ascii="宋体" w:hAnsi="宋体" w:eastAsia="宋体" w:cs="宋体"/>
                <w:b/>
                <w:bCs/>
                <w:color w:val="auto"/>
                <w:sz w:val="15"/>
                <w:szCs w:val="15"/>
                <w:highlight w:val="none"/>
              </w:rPr>
            </w:pPr>
            <w:bookmarkStart w:id="188" w:name="OLE_LINK31"/>
            <w:r>
              <w:rPr>
                <w:rFonts w:hint="eastAsia" w:ascii="宋体" w:hAnsi="宋体" w:eastAsia="宋体" w:cs="宋体"/>
                <w:color w:val="auto"/>
                <w:sz w:val="15"/>
                <w:szCs w:val="15"/>
                <w:highlight w:val="none"/>
                <w:lang w:val="en-US" w:eastAsia="zh-CN"/>
              </w:rPr>
              <w:t>▲2.3 为满足教学场景使用需求需具备弹窗拦截、冰点还原功能，弹窗拦截支持手动拦截、截图拦截、超级拦截三种方式，冰点还原支持创设系统还原点，可根据教学需求自由选择磁盘分区设立还原点和取消还原点</w:t>
            </w:r>
            <w:r>
              <w:rPr>
                <w:rFonts w:hint="eastAsia" w:ascii="宋体" w:hAnsi="宋体" w:eastAsia="宋体" w:cs="宋体"/>
                <w:color w:val="auto"/>
                <w:sz w:val="15"/>
                <w:szCs w:val="15"/>
                <w:highlight w:val="none"/>
                <w:lang w:eastAsia="zh-CN"/>
              </w:rPr>
              <w:t>；</w:t>
            </w:r>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bookmarkStart w:id="189" w:name="OLE_LINK56"/>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bookmarkEnd w:id="189"/>
            <w:r>
              <w:rPr>
                <w:rFonts w:hint="eastAsia" w:ascii="宋体" w:hAnsi="宋体" w:eastAsia="宋体" w:cs="宋体"/>
                <w:b/>
                <w:bCs/>
                <w:color w:val="auto"/>
                <w:sz w:val="15"/>
                <w:szCs w:val="15"/>
                <w:highlight w:val="none"/>
              </w:rPr>
              <w:t>）</w:t>
            </w:r>
          </w:p>
          <w:bookmarkEnd w:id="188"/>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 具备智能手势识别功能，在任意信号源通道下可识别五指上、下、左、右方向手势滑动并调用响应功能，支持将各手势滑动方向自定义设置为无操作、熄屏、批注、桌面、半屏模式；</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 支持同一支笔头、笔尾书写不同的颜色且颜色可自定义，支持将自定义图片、动画设置为开机画面；</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 整机设备教学桌面支持进行重启、关机操作减少老师关机操作复杂度，支持进行锁屏操作，支持进行通道切换，当设备有其他输入源时，可在桌面点击信号源进行输入源切换。</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3.</w:t>
            </w:r>
            <w:r>
              <w:rPr>
                <w:rFonts w:hint="eastAsia" w:ascii="宋体" w:hAnsi="宋体" w:eastAsia="宋体" w:cs="宋体"/>
                <w:color w:val="auto"/>
                <w:sz w:val="15"/>
                <w:szCs w:val="15"/>
                <w:highlight w:val="none"/>
                <w:lang w:val="en-US" w:eastAsia="zh-CN"/>
              </w:rPr>
              <w:t>内置电脑</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3.1内置电脑模块采用按压式开关最新40pin万兆高速传输接口，传输速率≥10Gbps；</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3.2 CPU：最大频率≥4.4GHZ；</w:t>
            </w:r>
          </w:p>
          <w:bookmarkEnd w:id="186"/>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3.3 内存：≥8G DDR4；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3.4 硬盘：≥256G SSD固态硬盘；</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3.5 接口：整机非外扩展USB接口：≥3个；具有独立非外扩展的视频输出接口：≥1路HDMI等；</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3.6 预装配套交互教学软件，包括但不限于WPS、Potplayer等。</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1</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场地改造</w:t>
            </w:r>
          </w:p>
        </w:tc>
        <w:tc>
          <w:tcPr>
            <w:tcW w:w="6531" w:type="dxa"/>
            <w:tcBorders>
              <w:tl2br w:val="nil"/>
              <w:tr2bl w:val="nil"/>
            </w:tcBorders>
            <w:vAlign w:val="center"/>
          </w:tcPr>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lang w:val="en-US" w:eastAsia="zh-CN"/>
              </w:rPr>
              <w:t>.供应商应根据具备项目建设资质的第三方出具的符合国家标准的施工图、电气布置图、强电弱电图、造价表等内容，对新增数控车床，数控铣床，加工中心与原有的6台数控车及4台加工中心重新布局定位，并重新铺设强弱电线及气路；</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.能够通过消防验收；</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3</w:t>
            </w:r>
            <w:r>
              <w:rPr>
                <w:rFonts w:hint="eastAsia" w:ascii="宋体" w:hAnsi="宋体" w:eastAsia="宋体" w:cs="宋体"/>
                <w:color w:val="auto"/>
                <w:sz w:val="15"/>
                <w:szCs w:val="15"/>
                <w:highlight w:val="none"/>
                <w:lang w:val="en-US" w:eastAsia="zh-CN"/>
              </w:rPr>
              <w:t>.环氧地坪漆翻新（除高分子材料项目区域外的全部地面）；</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去除原有地坪漆，所用环氧地坪漆材料须符合《地坪涂装材料》GB/T 22374-2018的要求，同时满足《环氧地坪涂料》HG/T 3829-2006的相关性能指标，所有材料须提供出厂合格证、第三方检测报告（涵盖附着力、耐磨性、抗压强度、VOC含量等指标），所用材料须符合GB 30981《工业防护涂料中有害物质限量》规定，VOC含量限值：溶剂型≤420g/L，水性≤80g/L，施工24h后拉拔粘结强度≥2.0MPa，厚度偏差≤设计值±5%，2m靠尺检测偏差≤2mm，邵氏D硬度≥70，色泽均匀一致，无气泡、起皱、色差，流平性良好，无气泡、刀痕、颗粒，设计使用年限8-10年；</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4</w:t>
            </w:r>
            <w:r>
              <w:rPr>
                <w:rFonts w:hint="eastAsia" w:ascii="宋体" w:hAnsi="宋体" w:eastAsia="宋体" w:cs="宋体"/>
                <w:color w:val="auto"/>
                <w:sz w:val="15"/>
                <w:szCs w:val="15"/>
                <w:highlight w:val="none"/>
                <w:lang w:val="en-US" w:eastAsia="zh-CN"/>
              </w:rPr>
              <w:t>.数控车、铣实训区域安装钢制围栏（与智能制造产线围栏相同，智能制造产线围栏颜色需重做，与新围栏同色）；</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lang w:val="en-US" w:eastAsia="zh-CN"/>
              </w:rPr>
              <w:t>.电力电缆，型号为WDZB1-YJY-3x185+2x95mm2（不在本次预算范围）；</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w:t>
            </w:r>
            <w:bookmarkStart w:id="190" w:name="OLE_LINK37"/>
            <w:r>
              <w:rPr>
                <w:rFonts w:hint="eastAsia" w:ascii="宋体" w:hAnsi="宋体" w:eastAsia="宋体" w:cs="宋体"/>
                <w:color w:val="auto"/>
                <w:sz w:val="15"/>
                <w:szCs w:val="15"/>
                <w:highlight w:val="none"/>
                <w:lang w:val="en-US" w:eastAsia="zh-CN"/>
              </w:rPr>
              <w:t>场地改造清单</w:t>
            </w:r>
            <w:bookmarkEnd w:id="190"/>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91" w:name="OLE_LINK60"/>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.1原地面处理</w:t>
            </w:r>
            <w:bookmarkStart w:id="192" w:name="OLE_LINK61"/>
            <w:r>
              <w:rPr>
                <w:rFonts w:hint="eastAsia" w:ascii="宋体" w:hAnsi="宋体" w:cs="宋体"/>
                <w:color w:val="auto"/>
                <w:sz w:val="15"/>
                <w:szCs w:val="15"/>
                <w:highlight w:val="none"/>
                <w:lang w:val="en-US" w:eastAsia="zh-CN"/>
              </w:rPr>
              <w:t>（面积</w:t>
            </w:r>
            <w:r>
              <w:rPr>
                <w:rFonts w:hint="eastAsia" w:ascii="宋体" w:hAnsi="宋体" w:eastAsia="宋体" w:cs="宋体"/>
                <w:color w:val="auto"/>
                <w:sz w:val="15"/>
                <w:szCs w:val="15"/>
                <w:highlight w:val="none"/>
                <w:lang w:val="en-US" w:eastAsia="zh-CN"/>
              </w:rPr>
              <w:t>1974.91</w:t>
            </w:r>
            <w:bookmarkStart w:id="193" w:name="OLE_LINK59"/>
            <w:r>
              <w:rPr>
                <w:rFonts w:hint="eastAsia" w:ascii="宋体" w:hAnsi="宋体" w:eastAsia="宋体" w:cs="宋体"/>
                <w:color w:val="auto"/>
                <w:sz w:val="15"/>
                <w:szCs w:val="15"/>
                <w:highlight w:val="none"/>
                <w:lang w:val="en-US" w:eastAsia="zh-CN"/>
              </w:rPr>
              <w:t>㎡</w:t>
            </w:r>
            <w:bookmarkEnd w:id="193"/>
            <w:r>
              <w:rPr>
                <w:rFonts w:hint="eastAsia" w:ascii="宋体" w:hAnsi="宋体" w:cs="宋体"/>
                <w:color w:val="auto"/>
                <w:sz w:val="15"/>
                <w:szCs w:val="15"/>
                <w:highlight w:val="none"/>
                <w:lang w:val="en-US" w:eastAsia="zh-CN"/>
              </w:rPr>
              <w:t>）</w:t>
            </w:r>
            <w:bookmarkEnd w:id="192"/>
            <w:r>
              <w:rPr>
                <w:rFonts w:hint="eastAsia" w:ascii="宋体" w:hAnsi="宋体" w:eastAsia="宋体" w:cs="宋体"/>
                <w:color w:val="auto"/>
                <w:sz w:val="15"/>
                <w:szCs w:val="15"/>
                <w:highlight w:val="none"/>
                <w:lang w:val="en-US" w:eastAsia="zh-CN"/>
              </w:rPr>
              <w:t>：基面处理：打磨基面、磨掉现状环氧树脂、清洁干燥；</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.2自流平楼地面</w:t>
            </w:r>
            <w:bookmarkStart w:id="194" w:name="OLE_LINK62"/>
            <w:r>
              <w:rPr>
                <w:rFonts w:hint="eastAsia" w:ascii="宋体" w:hAnsi="宋体" w:cs="宋体"/>
                <w:color w:val="auto"/>
                <w:sz w:val="15"/>
                <w:szCs w:val="15"/>
                <w:highlight w:val="none"/>
                <w:lang w:val="en-US" w:eastAsia="zh-CN"/>
              </w:rPr>
              <w:t>（面积</w:t>
            </w:r>
            <w:r>
              <w:rPr>
                <w:rFonts w:hint="eastAsia" w:ascii="宋体" w:hAnsi="宋体" w:eastAsia="宋体" w:cs="宋体"/>
                <w:color w:val="auto"/>
                <w:sz w:val="15"/>
                <w:szCs w:val="15"/>
                <w:highlight w:val="none"/>
                <w:lang w:val="en-US" w:eastAsia="zh-CN"/>
              </w:rPr>
              <w:t>1974.91㎡</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t>：</w:t>
            </w:r>
            <w:bookmarkEnd w:id="194"/>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195" w:name="OLE_LINK58"/>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.2.1</w:t>
            </w:r>
            <w:bookmarkEnd w:id="195"/>
            <w:r>
              <w:rPr>
                <w:rFonts w:hint="eastAsia" w:ascii="宋体" w:hAnsi="宋体" w:eastAsia="宋体" w:cs="宋体"/>
                <w:color w:val="auto"/>
                <w:sz w:val="15"/>
                <w:szCs w:val="15"/>
                <w:highlight w:val="none"/>
                <w:lang w:val="en-US" w:eastAsia="zh-CN"/>
              </w:rPr>
              <w:t>环氧底涂2道</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.2.2环氧中涂1道</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.2.3环氧腻子超细找平层</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.2.4环氧自流平面层（环氧树脂自流平底涂、中涂、腻子、面层总厚度为2mm)</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.2.5包含完成本项工作的所有内容，未尽事宜满足招标文件、设计图纸、施工规范、验收规范等</w:t>
            </w:r>
            <w:bookmarkStart w:id="196" w:name="OLE_LINK65"/>
            <w:r>
              <w:rPr>
                <w:rFonts w:hint="eastAsia" w:ascii="宋体" w:hAnsi="宋体" w:eastAsia="宋体" w:cs="宋体"/>
                <w:color w:val="auto"/>
                <w:sz w:val="15"/>
                <w:szCs w:val="15"/>
                <w:highlight w:val="none"/>
                <w:lang w:val="en-US" w:eastAsia="zh-CN"/>
              </w:rPr>
              <w:t>要求</w:t>
            </w:r>
            <w:bookmarkEnd w:id="191"/>
            <w:r>
              <w:rPr>
                <w:rFonts w:hint="eastAsia" w:ascii="宋体" w:hAnsi="宋体" w:eastAsia="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.3拆除格栅吊顶</w:t>
            </w:r>
            <w:bookmarkStart w:id="197" w:name="OLE_LINK63"/>
            <w:r>
              <w:rPr>
                <w:rFonts w:hint="eastAsia" w:ascii="宋体" w:hAnsi="宋体" w:eastAsia="宋体" w:cs="宋体"/>
                <w:color w:val="auto"/>
                <w:sz w:val="15"/>
                <w:szCs w:val="15"/>
                <w:highlight w:val="none"/>
                <w:lang w:val="en-US" w:eastAsia="zh-CN"/>
              </w:rPr>
              <w:t>（面积22.63㎡）：</w:t>
            </w:r>
            <w:bookmarkEnd w:id="197"/>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.3.1拆除原格栅吊顶（吊杆及龙骨利旧）；</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.3.2包含完成本项工作的所有内容，未尽事宜满足招标文件、设计图纸、施工规范、验收规范等要求。</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.4格栅吊顶（</w:t>
            </w:r>
            <w:bookmarkStart w:id="198" w:name="OLE_LINK74"/>
            <w:r>
              <w:rPr>
                <w:rFonts w:hint="eastAsia" w:ascii="宋体" w:hAnsi="宋体" w:eastAsia="宋体" w:cs="宋体"/>
                <w:color w:val="auto"/>
                <w:sz w:val="15"/>
                <w:szCs w:val="15"/>
                <w:highlight w:val="none"/>
                <w:lang w:val="en-US" w:eastAsia="zh-CN"/>
              </w:rPr>
              <w:t>面积22.63㎡</w:t>
            </w:r>
            <w:bookmarkEnd w:id="198"/>
            <w:r>
              <w:rPr>
                <w:rFonts w:hint="eastAsia" w:ascii="宋体" w:hAnsi="宋体" w:eastAsia="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99" w:name="OLE_LINK64"/>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.4.1</w:t>
            </w:r>
            <w:bookmarkEnd w:id="199"/>
            <w:r>
              <w:rPr>
                <w:rFonts w:hint="eastAsia" w:ascii="宋体" w:hAnsi="宋体" w:eastAsia="宋体" w:cs="宋体"/>
                <w:color w:val="auto"/>
                <w:sz w:val="15"/>
                <w:szCs w:val="15"/>
                <w:highlight w:val="none"/>
                <w:lang w:val="en-US" w:eastAsia="zh-CN"/>
              </w:rPr>
              <w:t>网格中距200x200；</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.4.2骨条15x80高，壁厚0.35；</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.4.3吊杆及龙骨利旧；</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.4.4包含完成本项工作的所有内容，未尽事宜满足招标文件、设计图纸、施工规范、验收规范等要求。</w:t>
            </w:r>
            <w:bookmarkEnd w:id="196"/>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200" w:name="OLE_LINK66"/>
            <w:bookmarkStart w:id="201" w:name="OLE_LINK70"/>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w:t>
            </w:r>
            <w:bookmarkEnd w:id="200"/>
            <w:r>
              <w:rPr>
                <w:rFonts w:hint="eastAsia" w:ascii="宋体" w:hAnsi="宋体" w:eastAsia="宋体" w:cs="宋体"/>
                <w:color w:val="auto"/>
                <w:sz w:val="15"/>
                <w:szCs w:val="15"/>
                <w:highlight w:val="none"/>
                <w:lang w:val="en-US" w:eastAsia="zh-CN"/>
              </w:rPr>
              <w:t>成品钢丝网</w:t>
            </w:r>
            <w:bookmarkStart w:id="202" w:name="OLE_LINK69"/>
            <w:r>
              <w:rPr>
                <w:rFonts w:hint="eastAsia" w:ascii="宋体" w:hAnsi="宋体" w:eastAsia="宋体" w:cs="宋体"/>
                <w:color w:val="auto"/>
                <w:sz w:val="15"/>
                <w:szCs w:val="15"/>
                <w:highlight w:val="none"/>
                <w:lang w:val="en-US" w:eastAsia="zh-CN"/>
              </w:rPr>
              <w:t>围栏（</w:t>
            </w:r>
            <w:r>
              <w:rPr>
                <w:rFonts w:hint="eastAsia" w:ascii="宋体" w:hAnsi="宋体" w:cs="宋体"/>
                <w:color w:val="auto"/>
                <w:sz w:val="15"/>
                <w:szCs w:val="15"/>
                <w:highlight w:val="none"/>
                <w:lang w:val="en-US" w:eastAsia="zh-CN"/>
              </w:rPr>
              <w:t>长度</w:t>
            </w:r>
            <w:r>
              <w:rPr>
                <w:rFonts w:hint="eastAsia" w:ascii="宋体" w:hAnsi="宋体" w:eastAsia="宋体" w:cs="宋体"/>
                <w:color w:val="auto"/>
                <w:sz w:val="15"/>
                <w:szCs w:val="15"/>
                <w:highlight w:val="none"/>
                <w:lang w:val="en-US" w:eastAsia="zh-CN"/>
              </w:rPr>
              <w:t>91.45m)</w:t>
            </w:r>
          </w:p>
          <w:bookmarkEnd w:id="202"/>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203" w:name="OLE_LINK67"/>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w:t>
            </w:r>
            <w:bookmarkEnd w:id="203"/>
            <w:r>
              <w:rPr>
                <w:rFonts w:hint="eastAsia" w:ascii="宋体" w:hAnsi="宋体" w:eastAsia="宋体" w:cs="宋体"/>
                <w:color w:val="auto"/>
                <w:sz w:val="15"/>
                <w:szCs w:val="15"/>
                <w:highlight w:val="none"/>
                <w:lang w:val="en-US" w:eastAsia="zh-CN"/>
              </w:rPr>
              <w:t>1</w:t>
            </w:r>
            <w:bookmarkStart w:id="204" w:name="OLE_LINK73"/>
            <w:r>
              <w:rPr>
                <w:rFonts w:hint="eastAsia" w:ascii="宋体" w:hAnsi="宋体" w:eastAsia="宋体" w:cs="宋体"/>
                <w:color w:val="auto"/>
                <w:sz w:val="15"/>
                <w:szCs w:val="15"/>
                <w:highlight w:val="none"/>
                <w:lang w:val="en-US" w:eastAsia="zh-CN"/>
              </w:rPr>
              <w:t>高度</w:t>
            </w:r>
            <w:bookmarkEnd w:id="204"/>
            <w:r>
              <w:rPr>
                <w:rFonts w:hint="eastAsia" w:ascii="宋体" w:hAnsi="宋体" w:eastAsia="宋体" w:cs="宋体"/>
                <w:color w:val="auto"/>
                <w:sz w:val="15"/>
                <w:szCs w:val="15"/>
                <w:highlight w:val="none"/>
                <w:lang w:val="en-US" w:eastAsia="zh-CN"/>
              </w:rPr>
              <w:t>1.4米；</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.5.2直径3.5钢丝网，网孔50</w:t>
            </w:r>
            <w:bookmarkStart w:id="205" w:name="OLE_LINK68"/>
            <w:r>
              <w:rPr>
                <w:rFonts w:hint="eastAsia" w:ascii="宋体" w:hAnsi="宋体" w:eastAsia="宋体" w:cs="宋体"/>
                <w:color w:val="auto"/>
                <w:sz w:val="15"/>
                <w:szCs w:val="15"/>
                <w:highlight w:val="none"/>
                <w:lang w:val="en-US" w:eastAsia="zh-CN"/>
              </w:rPr>
              <w:t>×</w:t>
            </w:r>
            <w:bookmarkEnd w:id="205"/>
            <w:r>
              <w:rPr>
                <w:rFonts w:hint="eastAsia" w:ascii="宋体" w:hAnsi="宋体" w:eastAsia="宋体" w:cs="宋体"/>
                <w:color w:val="auto"/>
                <w:sz w:val="15"/>
                <w:szCs w:val="15"/>
                <w:highlight w:val="none"/>
                <w:lang w:val="en-US" w:eastAsia="zh-CN"/>
              </w:rPr>
              <w:t>50；</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.5.3边框50×50×2.0方钢；</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.5.4双排立柱50×50×2.0方钢，间距2米；</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.5.5表面采用粉末喷涂；</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.5.6包含完成本项工作的所有内容，未尽事宜满足招标文件、设计图纸、施工规范、验收规范等要求。</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206" w:name="OLE_LINK71"/>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.6</w:t>
            </w:r>
            <w:bookmarkEnd w:id="206"/>
            <w:r>
              <w:rPr>
                <w:rFonts w:hint="eastAsia" w:ascii="宋体" w:hAnsi="宋体" w:eastAsia="宋体" w:cs="宋体"/>
                <w:color w:val="auto"/>
                <w:sz w:val="15"/>
                <w:szCs w:val="15"/>
                <w:highlight w:val="none"/>
                <w:lang w:val="en-US" w:eastAsia="zh-CN"/>
              </w:rPr>
              <w:t>原钢丝网围栏重新上色</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t>面积155.68㎡）</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207" w:name="OLE_LINK72"/>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.6.</w:t>
            </w:r>
            <w:bookmarkEnd w:id="207"/>
            <w:r>
              <w:rPr>
                <w:rFonts w:hint="eastAsia" w:ascii="宋体" w:hAnsi="宋体" w:eastAsia="宋体" w:cs="宋体"/>
                <w:color w:val="auto"/>
                <w:sz w:val="15"/>
                <w:szCs w:val="15"/>
                <w:highlight w:val="none"/>
                <w:lang w:val="en-US" w:eastAsia="zh-CN"/>
              </w:rPr>
              <w:t>1高度1.4米，直径3.5钢丝网，网孔50x50原栏杆重新上色</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.6.2包含完成本项工作的所有内容，未尽事宜满足招标文件、设计图纸、施工规范、验收规范等要求</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default" w:ascii="宋体" w:hAnsi="宋体" w:eastAsia="宋体" w:cs="宋体"/>
                <w:color w:val="auto"/>
                <w:sz w:val="15"/>
                <w:szCs w:val="15"/>
                <w:highlight w:val="none"/>
                <w:lang w:val="en-US" w:eastAsia="zh-CN"/>
              </w:rPr>
            </w:pPr>
            <w:bookmarkStart w:id="208" w:name="OLE_LINK75"/>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.7</w:t>
            </w:r>
            <w:bookmarkEnd w:id="208"/>
            <w:r>
              <w:rPr>
                <w:rFonts w:hint="eastAsia" w:ascii="宋体" w:hAnsi="宋体" w:eastAsia="宋体" w:cs="宋体"/>
                <w:color w:val="auto"/>
                <w:sz w:val="15"/>
                <w:szCs w:val="15"/>
                <w:highlight w:val="none"/>
                <w:lang w:val="en-US" w:eastAsia="zh-CN"/>
              </w:rPr>
              <w:t>建筑垃圾外运（6.15m³）</w:t>
            </w:r>
          </w:p>
          <w:bookmarkEnd w:id="201"/>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09" w:name="OLE_LINK76"/>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.7.</w:t>
            </w:r>
            <w:bookmarkEnd w:id="209"/>
            <w:r>
              <w:rPr>
                <w:rFonts w:hint="eastAsia" w:ascii="宋体" w:hAnsi="宋体" w:eastAsia="宋体" w:cs="宋体"/>
                <w:color w:val="auto"/>
                <w:sz w:val="15"/>
                <w:szCs w:val="15"/>
                <w:highlight w:val="none"/>
                <w:lang w:val="en-US" w:eastAsia="zh-CN"/>
              </w:rPr>
              <w:t>1外运运距综合考虑</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.7.2装、运、卸、清理</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.7.3包含完成本项工作的所有内容，未尽事宜满足招标文件、设计图纸、施工规范、验收规范等要求</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.8脚手架</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10" w:name="OLE_LINK77"/>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.8.</w:t>
            </w:r>
            <w:bookmarkEnd w:id="210"/>
            <w:r>
              <w:rPr>
                <w:rFonts w:hint="eastAsia" w:ascii="宋体" w:hAnsi="宋体" w:eastAsia="宋体" w:cs="宋体"/>
                <w:color w:val="auto"/>
                <w:sz w:val="15"/>
                <w:szCs w:val="15"/>
                <w:highlight w:val="none"/>
                <w:lang w:val="en-US" w:eastAsia="zh-CN"/>
              </w:rPr>
              <w:t>1格栅吊顶脚手架</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.8.2包含完成本项工作的所有内容，未尽事宜满足招标文件、设计图纸、施工规范、验收规范等要求</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6.9成套配</w:t>
            </w:r>
            <w:bookmarkStart w:id="211" w:name="OLE_LINK92"/>
            <w:r>
              <w:rPr>
                <w:rFonts w:hint="eastAsia" w:ascii="宋体" w:hAnsi="宋体" w:cs="宋体"/>
                <w:color w:val="auto"/>
                <w:sz w:val="15"/>
                <w:szCs w:val="15"/>
                <w:highlight w:val="none"/>
                <w:lang w:val="en-US" w:eastAsia="zh-CN"/>
              </w:rPr>
              <w:t>电箱</w:t>
            </w:r>
            <w:bookmarkStart w:id="212" w:name="OLE_LINK79"/>
            <w:r>
              <w:rPr>
                <w:rFonts w:hint="eastAsia" w:ascii="宋体" w:hAnsi="宋体" w:cs="宋体"/>
                <w:color w:val="auto"/>
                <w:sz w:val="15"/>
                <w:szCs w:val="15"/>
                <w:highlight w:val="none"/>
                <w:lang w:val="en-US" w:eastAsia="zh-CN"/>
              </w:rPr>
              <w:t>（1台）</w:t>
            </w:r>
            <w:bookmarkEnd w:id="212"/>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13" w:name="OLE_LINK78"/>
            <w:r>
              <w:rPr>
                <w:rFonts w:hint="eastAsia" w:ascii="宋体" w:hAnsi="宋体" w:cs="宋体"/>
                <w:color w:val="auto"/>
                <w:sz w:val="15"/>
                <w:szCs w:val="15"/>
                <w:highlight w:val="none"/>
                <w:lang w:val="en-US" w:eastAsia="zh-CN"/>
              </w:rPr>
              <w:t>6.9.</w:t>
            </w:r>
            <w:bookmarkEnd w:id="213"/>
            <w:r>
              <w:rPr>
                <w:rFonts w:hint="eastAsia" w:ascii="宋体" w:hAnsi="宋体" w:cs="宋体"/>
                <w:color w:val="auto"/>
                <w:sz w:val="15"/>
                <w:szCs w:val="15"/>
                <w:highlight w:val="none"/>
                <w:lang w:val="en-US" w:eastAsia="zh-CN"/>
              </w:rPr>
              <w:t>1名称：1APC1配电箱；</w:t>
            </w:r>
            <w:r>
              <w:rPr>
                <w:rFonts w:hint="eastAsia" w:ascii="宋体" w:hAnsi="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6.9.2型号：详见图纸。</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14" w:name="OLE_LINK80"/>
            <w:r>
              <w:rPr>
                <w:rFonts w:hint="eastAsia" w:ascii="宋体" w:hAnsi="宋体" w:cs="宋体"/>
                <w:color w:val="auto"/>
                <w:sz w:val="15"/>
                <w:szCs w:val="15"/>
                <w:highlight w:val="none"/>
                <w:lang w:val="en-US" w:eastAsia="zh-CN"/>
              </w:rPr>
              <w:t>6.10</w:t>
            </w:r>
            <w:bookmarkEnd w:id="214"/>
            <w:r>
              <w:rPr>
                <w:rFonts w:hint="eastAsia" w:ascii="宋体" w:hAnsi="宋体" w:cs="宋体"/>
                <w:color w:val="auto"/>
                <w:sz w:val="15"/>
                <w:szCs w:val="15"/>
                <w:highlight w:val="none"/>
                <w:lang w:val="en-US" w:eastAsia="zh-CN"/>
              </w:rPr>
              <w:t>成套配电箱（2台）</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15" w:name="OLE_LINK81"/>
            <w:r>
              <w:rPr>
                <w:rFonts w:hint="eastAsia" w:ascii="宋体" w:hAnsi="宋体" w:cs="宋体"/>
                <w:color w:val="auto"/>
                <w:sz w:val="15"/>
                <w:szCs w:val="15"/>
                <w:highlight w:val="none"/>
                <w:lang w:val="en-US" w:eastAsia="zh-CN"/>
              </w:rPr>
              <w:t>6.10.</w:t>
            </w:r>
            <w:bookmarkEnd w:id="215"/>
            <w:r>
              <w:rPr>
                <w:rFonts w:hint="eastAsia" w:ascii="宋体" w:hAnsi="宋体" w:cs="宋体"/>
                <w:color w:val="auto"/>
                <w:sz w:val="15"/>
                <w:szCs w:val="15"/>
                <w:highlight w:val="none"/>
                <w:lang w:val="en-US" w:eastAsia="zh-CN"/>
              </w:rPr>
              <w:t>1名称：KX1配电箱；</w:t>
            </w:r>
            <w:r>
              <w:rPr>
                <w:rFonts w:hint="eastAsia" w:ascii="宋体" w:hAnsi="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6.10.2型号：详见图纸。</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6.11电力电缆</w:t>
            </w:r>
            <w:bookmarkStart w:id="216" w:name="OLE_LINK83"/>
            <w:r>
              <w:rPr>
                <w:rFonts w:hint="eastAsia" w:ascii="宋体" w:hAnsi="宋体" w:cs="宋体"/>
                <w:color w:val="auto"/>
                <w:sz w:val="15"/>
                <w:szCs w:val="15"/>
                <w:highlight w:val="none"/>
                <w:lang w:val="en-US" w:eastAsia="zh-CN"/>
              </w:rPr>
              <w:t>（</w:t>
            </w:r>
            <w:bookmarkStart w:id="217" w:name="OLE_LINK84"/>
            <w:r>
              <w:rPr>
                <w:rFonts w:hint="eastAsia" w:ascii="宋体" w:hAnsi="宋体" w:cs="宋体"/>
                <w:color w:val="auto"/>
                <w:sz w:val="15"/>
                <w:szCs w:val="15"/>
                <w:highlight w:val="none"/>
                <w:lang w:val="en-US" w:eastAsia="zh-CN"/>
              </w:rPr>
              <w:t>长度</w:t>
            </w:r>
            <w:bookmarkEnd w:id="216"/>
            <w:bookmarkEnd w:id="217"/>
            <w:r>
              <w:rPr>
                <w:rFonts w:hint="eastAsia" w:ascii="宋体" w:hAnsi="宋体" w:cs="宋体"/>
                <w:color w:val="auto"/>
                <w:sz w:val="15"/>
                <w:szCs w:val="15"/>
                <w:highlight w:val="none"/>
                <w:lang w:val="en-US" w:eastAsia="zh-CN"/>
              </w:rPr>
              <w:t>35</w:t>
            </w:r>
            <w:bookmarkStart w:id="218" w:name="OLE_LINK85"/>
            <w:r>
              <w:rPr>
                <w:rFonts w:hint="eastAsia" w:ascii="宋体" w:hAnsi="宋体" w:cs="宋体"/>
                <w:color w:val="auto"/>
                <w:sz w:val="15"/>
                <w:szCs w:val="15"/>
                <w:highlight w:val="none"/>
                <w:lang w:val="en-US" w:eastAsia="zh-CN"/>
              </w:rPr>
              <w:t>2.90</w:t>
            </w:r>
            <w:bookmarkStart w:id="219" w:name="OLE_LINK82"/>
            <w:r>
              <w:rPr>
                <w:rFonts w:hint="eastAsia" w:ascii="宋体" w:hAnsi="宋体" w:cs="宋体"/>
                <w:color w:val="auto"/>
                <w:sz w:val="15"/>
                <w:szCs w:val="15"/>
                <w:highlight w:val="none"/>
                <w:lang w:val="en-US" w:eastAsia="zh-CN"/>
              </w:rPr>
              <w:t>m）</w:t>
            </w:r>
            <w:bookmarkEnd w:id="219"/>
            <w:r>
              <w:rPr>
                <w:rFonts w:hint="eastAsia" w:ascii="宋体" w:hAnsi="宋体" w:cs="宋体"/>
                <w:color w:val="auto"/>
                <w:sz w:val="15"/>
                <w:szCs w:val="15"/>
                <w:highlight w:val="none"/>
                <w:lang w:val="en-US" w:eastAsia="zh-CN"/>
              </w:rPr>
              <w:t>：型号：WDZB1-YJY-5x10mm2</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6.12电力电缆终端头</w:t>
            </w:r>
            <w:bookmarkStart w:id="220" w:name="OLE_LINK89"/>
            <w:r>
              <w:rPr>
                <w:rFonts w:hint="eastAsia" w:ascii="宋体" w:hAnsi="宋体" w:cs="宋体"/>
                <w:color w:val="auto"/>
                <w:sz w:val="15"/>
                <w:szCs w:val="15"/>
                <w:highlight w:val="none"/>
                <w:lang w:val="en-US" w:eastAsia="zh-CN"/>
              </w:rPr>
              <w:t>（12个）</w:t>
            </w:r>
            <w:bookmarkEnd w:id="220"/>
            <w:r>
              <w:rPr>
                <w:rFonts w:hint="eastAsia" w:ascii="宋体" w:hAnsi="宋体" w:cs="宋体"/>
                <w:color w:val="auto"/>
                <w:sz w:val="15"/>
                <w:szCs w:val="15"/>
                <w:highlight w:val="none"/>
                <w:lang w:val="en-US" w:eastAsia="zh-CN"/>
              </w:rPr>
              <w:t>：型号：WDZB1-YJY-5x10mm2</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6.13配线（长度10.50m）：型号：WDZB1-BYJ-6mm2</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6.14强电桥架（长度57.08m）</w:t>
            </w:r>
            <w:bookmarkEnd w:id="218"/>
            <w:r>
              <w:rPr>
                <w:rFonts w:hint="eastAsia" w:ascii="宋体" w:hAnsi="宋体" w:cs="宋体"/>
                <w:color w:val="auto"/>
                <w:sz w:val="15"/>
                <w:szCs w:val="15"/>
                <w:highlight w:val="none"/>
                <w:lang w:val="en-US" w:eastAsia="zh-CN"/>
              </w:rPr>
              <w:t>：型号200x150x1.5不锈钢B1级</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6.15桥架支架（31.19kg）：材质规格：φ10热镀锌圆钢</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6.16铝合金弧形地线槽（127.47m）型号：10号</w:t>
            </w:r>
            <w:bookmarkStart w:id="221" w:name="OLE_LINK4"/>
            <w:r>
              <w:rPr>
                <w:rFonts w:hint="eastAsia" w:ascii="宋体" w:hAnsi="宋体" w:cs="宋体"/>
                <w:color w:val="auto"/>
                <w:sz w:val="15"/>
                <w:szCs w:val="15"/>
                <w:highlight w:val="none"/>
                <w:lang w:val="en-US" w:eastAsia="zh-CN"/>
              </w:rPr>
              <w:t>，</w:t>
            </w:r>
            <w:bookmarkEnd w:id="221"/>
            <w:r>
              <w:rPr>
                <w:rFonts w:hint="eastAsia" w:ascii="宋体" w:hAnsi="宋体" w:cs="宋体"/>
                <w:color w:val="auto"/>
                <w:sz w:val="15"/>
                <w:szCs w:val="15"/>
                <w:highlight w:val="none"/>
                <w:lang w:val="en-US" w:eastAsia="zh-CN"/>
              </w:rPr>
              <w:t>双孔，加厚</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6.17配线（893.69</w:t>
            </w:r>
            <w:bookmarkStart w:id="222" w:name="OLE_LINK86"/>
            <w:r>
              <w:rPr>
                <w:rFonts w:hint="eastAsia" w:ascii="宋体" w:hAnsi="宋体" w:cs="宋体"/>
                <w:color w:val="auto"/>
                <w:sz w:val="15"/>
                <w:szCs w:val="15"/>
                <w:highlight w:val="none"/>
                <w:lang w:val="en-US" w:eastAsia="zh-CN"/>
              </w:rPr>
              <w:t>m</w:t>
            </w:r>
            <w:bookmarkEnd w:id="222"/>
            <w:r>
              <w:rPr>
                <w:rFonts w:hint="eastAsia" w:ascii="宋体" w:hAnsi="宋体" w:cs="宋体"/>
                <w:color w:val="auto"/>
                <w:sz w:val="15"/>
                <w:szCs w:val="15"/>
                <w:highlight w:val="none"/>
                <w:lang w:val="en-US" w:eastAsia="zh-CN"/>
              </w:rPr>
              <w:t>）：型号：WDZB1-BYJ-4mm2</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6.18配管（2</w:t>
            </w:r>
            <w:bookmarkStart w:id="223" w:name="OLE_LINK87"/>
            <w:r>
              <w:rPr>
                <w:rFonts w:hint="eastAsia" w:ascii="宋体" w:hAnsi="宋体" w:cs="宋体"/>
                <w:color w:val="auto"/>
                <w:sz w:val="15"/>
                <w:szCs w:val="15"/>
                <w:highlight w:val="none"/>
                <w:lang w:val="en-US" w:eastAsia="zh-CN"/>
              </w:rPr>
              <w:t>m</w:t>
            </w:r>
            <w:bookmarkEnd w:id="223"/>
            <w:r>
              <w:rPr>
                <w:rFonts w:hint="eastAsia" w:ascii="宋体" w:hAnsi="宋体" w:cs="宋体"/>
                <w:color w:val="auto"/>
                <w:sz w:val="15"/>
                <w:szCs w:val="15"/>
                <w:highlight w:val="none"/>
                <w:lang w:val="en-US" w:eastAsia="zh-CN"/>
              </w:rPr>
              <w:t>）：型号：SC50</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6.19插座（24套）：明装普通二三孔插座，型号：R86ZF223A10安全型</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6.20无缝钢管（40.55m）：DN50</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6.21金属阀门</w:t>
            </w:r>
            <w:bookmarkStart w:id="224" w:name="OLE_LINK91"/>
            <w:r>
              <w:rPr>
                <w:rFonts w:hint="eastAsia" w:ascii="宋体" w:hAnsi="宋体" w:cs="宋体"/>
                <w:color w:val="auto"/>
                <w:sz w:val="15"/>
                <w:szCs w:val="15"/>
                <w:highlight w:val="none"/>
                <w:lang w:val="en-US" w:eastAsia="zh-CN"/>
              </w:rPr>
              <w:t>（12个）</w:t>
            </w:r>
            <w:bookmarkEnd w:id="224"/>
            <w:r>
              <w:rPr>
                <w:rFonts w:hint="eastAsia" w:ascii="宋体" w:hAnsi="宋体" w:cs="宋体"/>
                <w:color w:val="auto"/>
                <w:sz w:val="15"/>
                <w:szCs w:val="15"/>
                <w:highlight w:val="none"/>
                <w:lang w:val="en-US" w:eastAsia="zh-CN"/>
              </w:rPr>
              <w:t>：无缝钢管DN50</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6.22透明软管（12个）：13米长，外径12mm内径8mm</w:t>
            </w:r>
          </w:p>
          <w:p>
            <w:pPr>
              <w:numPr>
                <w:ilvl w:val="0"/>
                <w:numId w:val="0"/>
              </w:numPr>
              <w:adjustRightInd w:val="0"/>
              <w:snapToGrid w:val="0"/>
              <w:spacing w:line="360" w:lineRule="auto"/>
              <w:jc w:val="left"/>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sz w:val="15"/>
                <w:szCs w:val="15"/>
                <w:highlight w:val="none"/>
                <w:lang w:val="en-US" w:eastAsia="zh-CN"/>
              </w:rPr>
              <w:t>6.23操作高度增加费。</w:t>
            </w:r>
            <w:bookmarkEnd w:id="211"/>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项</w:t>
            </w:r>
          </w:p>
        </w:tc>
      </w:tr>
      <w:bookmarkEnd w:id="148"/>
      <w:bookmarkEnd w:id="149"/>
    </w:tbl>
    <w:p>
      <w:pPr>
        <w:spacing w:line="360" w:lineRule="auto"/>
        <w:ind w:firstLine="422" w:firstLineChars="200"/>
        <w:rPr>
          <w:rFonts w:hint="eastAsia" w:ascii="宋体" w:hAnsi="宋体" w:eastAsia="宋体" w:cs="宋体"/>
          <w:b/>
          <w:bCs/>
          <w:color w:val="auto"/>
          <w:szCs w:val="21"/>
          <w:highlight w:val="none"/>
        </w:rPr>
      </w:pPr>
    </w:p>
    <w:p>
      <w:pPr>
        <w:spacing w:line="360" w:lineRule="auto"/>
        <w:ind w:firstLine="422" w:firstLineChars="200"/>
        <w:rPr>
          <w:rFonts w:hint="eastAsia" w:ascii="宋体" w:hAnsi="宋体" w:eastAsia="宋体" w:cs="宋体"/>
          <w:b/>
          <w:bCs/>
          <w:color w:val="auto"/>
          <w:szCs w:val="21"/>
          <w:highlight w:val="none"/>
        </w:rPr>
      </w:pPr>
      <w:r>
        <w:rPr>
          <w:rFonts w:ascii="宋体" w:hAnsi="宋体" w:eastAsia="宋体" w:cs="宋体"/>
          <w:b/>
          <w:bCs/>
          <w:color w:val="auto"/>
          <w:szCs w:val="21"/>
          <w:highlight w:val="none"/>
        </w:rPr>
        <w:t>重要说明：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1、带“★”号条款为招标文件实质性条款，投标人不得有一项出现偏离，否则，视为无效投标。</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2、如果在材质说明与技术参数中标明了品牌或产地，则仅供参考，并非指定，投标人可以选用替代的方案，但这种替代整体上要优于或相当于材质说明与技术参数的相关要求。</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3、技术要求中范围或区间指标（如：以“不小于/不大于/≥/≤/＞/＜/-……”等符号加前缀或连接），投标文件须有对应的固定指标响应，否则视为不满足或负偏离。</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4、技术标准规范：以技术参数中的技术标准规范为准，如国家有最新版标准，以最新版标准为准。 </w:t>
      </w:r>
    </w:p>
    <w:p>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5、投标人填报《中小企业声明函》时,采购标的“</w:t>
      </w:r>
      <w:r>
        <w:rPr>
          <w:rFonts w:hint="eastAsia" w:ascii="宋体" w:hAnsi="宋体" w:eastAsia="宋体" w:cs="宋体"/>
          <w:b/>
          <w:bCs/>
          <w:color w:val="auto"/>
          <w:highlight w:val="none"/>
          <w:lang w:val="en-US" w:eastAsia="zh-CN"/>
        </w:rPr>
        <w:t>场地改造</w:t>
      </w:r>
      <w:r>
        <w:rPr>
          <w:rFonts w:hint="eastAsia" w:ascii="宋体" w:hAnsi="宋体" w:eastAsia="宋体" w:cs="宋体"/>
          <w:b/>
          <w:bCs/>
          <w:color w:val="auto"/>
          <w:highlight w:val="none"/>
        </w:rPr>
        <w:t>”的制造商信息以</w:t>
      </w:r>
      <w:r>
        <w:rPr>
          <w:rFonts w:hint="eastAsia" w:ascii="宋体" w:hAnsi="宋体" w:eastAsia="宋体" w:cs="宋体"/>
          <w:b/>
          <w:bCs/>
          <w:color w:val="auto"/>
          <w:highlight w:val="none"/>
          <w:lang w:eastAsia="zh-CN"/>
        </w:rPr>
        <w:t>“</w:t>
      </w:r>
      <w:r>
        <w:rPr>
          <w:rFonts w:hint="eastAsia" w:ascii="宋体" w:hAnsi="宋体" w:cs="宋体"/>
          <w:b/>
          <w:bCs/>
          <w:color w:val="auto"/>
          <w:highlight w:val="none"/>
          <w:lang w:eastAsia="zh-CN"/>
        </w:rPr>
        <w:t>投标人”</w:t>
      </w:r>
      <w:r>
        <w:rPr>
          <w:rFonts w:hint="eastAsia" w:ascii="宋体" w:hAnsi="宋体" w:eastAsia="宋体" w:cs="宋体"/>
          <w:b/>
          <w:bCs/>
          <w:color w:val="auto"/>
          <w:highlight w:val="none"/>
        </w:rPr>
        <w:t>信息进行填报，所述行业按</w:t>
      </w:r>
      <w:r>
        <w:rPr>
          <w:rFonts w:hint="eastAsia" w:ascii="宋体" w:hAnsi="宋体" w:eastAsia="宋体" w:cs="宋体"/>
          <w:b/>
          <w:bCs/>
          <w:color w:val="auto"/>
          <w:highlight w:val="none"/>
          <w:lang w:eastAsia="zh-CN"/>
        </w:rPr>
        <w:t>“</w:t>
      </w:r>
      <w:r>
        <w:rPr>
          <w:rFonts w:hint="eastAsia" w:ascii="宋体" w:hAnsi="宋体" w:cs="宋体"/>
          <w:b/>
          <w:bCs/>
          <w:color w:val="auto"/>
          <w:highlight w:val="none"/>
          <w:lang w:eastAsia="zh-CN"/>
        </w:rPr>
        <w:t>工业</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进行填写。</w:t>
      </w:r>
    </w:p>
    <w:p>
      <w:pPr>
        <w:spacing w:line="360" w:lineRule="auto"/>
        <w:ind w:firstLine="422" w:firstLineChars="200"/>
        <w:rPr>
          <w:rFonts w:hint="eastAsia" w:ascii="宋体" w:hAnsi="宋体" w:eastAsia="宋体" w:cs="宋体"/>
          <w:b/>
          <w:color w:val="auto"/>
          <w:szCs w:val="21"/>
          <w:highlight w:val="none"/>
        </w:rPr>
      </w:pPr>
      <w:bookmarkStart w:id="225" w:name="OLE_LINK15"/>
      <w:bookmarkStart w:id="226" w:name="_Toc3145"/>
      <w:r>
        <w:rPr>
          <w:rFonts w:hint="eastAsia" w:ascii="宋体" w:hAnsi="宋体" w:eastAsia="宋体" w:cs="宋体"/>
          <w:b/>
          <w:color w:val="auto"/>
          <w:szCs w:val="21"/>
          <w:highlight w:val="none"/>
        </w:rPr>
        <w:t>二、</w:t>
      </w:r>
      <w:r>
        <w:rPr>
          <w:rFonts w:hint="eastAsia" w:ascii="宋体" w:hAnsi="宋体" w:eastAsia="宋体" w:cs="宋体"/>
          <w:b/>
          <w:bCs/>
          <w:color w:val="auto"/>
          <w:highlight w:val="none"/>
        </w:rPr>
        <w:t>招标文件技术参数要求提供的证明资料</w:t>
      </w:r>
      <w:r>
        <w:rPr>
          <w:rFonts w:hint="eastAsia" w:ascii="宋体" w:hAnsi="宋体" w:eastAsia="宋体" w:cs="宋体"/>
          <w:b/>
          <w:color w:val="auto"/>
          <w:szCs w:val="21"/>
          <w:highlight w:val="none"/>
        </w:rPr>
        <w:t>：</w:t>
      </w:r>
    </w:p>
    <w:bookmarkEnd w:id="225"/>
    <w:tbl>
      <w:tblPr>
        <w:tblStyle w:val="43"/>
        <w:tblW w:w="917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540"/>
        <w:gridCol w:w="5835"/>
        <w:gridCol w:w="11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14" w:type="dxa"/>
            <w:tcBorders>
              <w:tl2br w:val="nil"/>
              <w:tr2bl w:val="nil"/>
            </w:tcBorders>
            <w:vAlign w:val="center"/>
          </w:tcPr>
          <w:p>
            <w:pPr>
              <w:spacing w:line="24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序号</w:t>
            </w:r>
          </w:p>
        </w:tc>
        <w:tc>
          <w:tcPr>
            <w:tcW w:w="1540" w:type="dxa"/>
            <w:tcBorders>
              <w:tl2br w:val="nil"/>
              <w:tr2bl w:val="nil"/>
            </w:tcBorders>
            <w:vAlign w:val="center"/>
          </w:tcPr>
          <w:p>
            <w:pPr>
              <w:spacing w:line="24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产品名称</w:t>
            </w:r>
          </w:p>
        </w:tc>
        <w:tc>
          <w:tcPr>
            <w:tcW w:w="5835" w:type="dxa"/>
            <w:tcBorders>
              <w:tl2br w:val="nil"/>
              <w:tr2bl w:val="nil"/>
            </w:tcBorders>
            <w:vAlign w:val="center"/>
          </w:tcPr>
          <w:p>
            <w:pPr>
              <w:spacing w:line="24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资料要求</w:t>
            </w:r>
          </w:p>
        </w:tc>
        <w:tc>
          <w:tcPr>
            <w:tcW w:w="1187" w:type="dxa"/>
            <w:tcBorders>
              <w:tl2br w:val="nil"/>
              <w:tr2bl w:val="nil"/>
            </w:tcBorders>
            <w:vAlign w:val="center"/>
          </w:tcPr>
          <w:p>
            <w:pPr>
              <w:spacing w:line="24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540" w:type="dxa"/>
            <w:vMerge w:val="restart"/>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四轴加工中心</w:t>
            </w: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 X/Y/Z轴全行程双向定位精度：≤0.008/0.008/0.008（mm）；</w:t>
            </w:r>
            <w:r>
              <w:rPr>
                <w:rFonts w:hint="eastAsia" w:ascii="宋体" w:hAnsi="宋体" w:eastAsia="宋体" w:cs="宋体"/>
                <w:b/>
                <w:bCs/>
                <w:color w:val="auto"/>
                <w:sz w:val="18"/>
                <w:szCs w:val="18"/>
                <w:highlight w:val="none"/>
              </w:rPr>
              <w:t>（该项功能参数具有第三方</w:t>
            </w:r>
            <w:r>
              <w:rPr>
                <w:rFonts w:hint="eastAsia" w:ascii="宋体" w:hAnsi="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rPr>
              <w:t>出具的检测报告证明，投标文件需提供检测报告复印件</w:t>
            </w:r>
            <w:r>
              <w:rPr>
                <w:rFonts w:hint="eastAsia" w:ascii="宋体" w:hAnsi="宋体" w:eastAsia="宋体" w:cs="宋体"/>
                <w:b/>
                <w:bCs/>
                <w:color w:val="auto"/>
                <w:sz w:val="18"/>
                <w:szCs w:val="18"/>
                <w:highlight w:val="none"/>
                <w:lang w:eastAsia="zh-CN"/>
              </w:rPr>
              <w:t>并</w:t>
            </w:r>
            <w:r>
              <w:rPr>
                <w:rFonts w:hint="eastAsia" w:ascii="宋体" w:hAnsi="宋体" w:eastAsia="宋体" w:cs="宋体"/>
                <w:b/>
                <w:bCs/>
                <w:color w:val="auto"/>
                <w:sz w:val="18"/>
                <w:szCs w:val="18"/>
                <w:highlight w:val="none"/>
                <w:lang w:val="en-US" w:eastAsia="zh-CN"/>
              </w:rPr>
              <w:t>加盖投标人单位公章</w:t>
            </w:r>
            <w:r>
              <w:rPr>
                <w:rFonts w:hint="eastAsia" w:ascii="宋体" w:hAnsi="宋体" w:eastAsia="宋体" w:cs="宋体"/>
                <w:b/>
                <w:bCs/>
                <w:color w:val="auto"/>
                <w:sz w:val="18"/>
                <w:szCs w:val="18"/>
                <w:highlight w:val="none"/>
              </w:rPr>
              <w:t>）</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540" w:type="dxa"/>
            <w:vMerge w:val="continue"/>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▲1.10X/Y/Z轴重复定位精度：≤0.005/0.005/0.005（mm）</w:t>
            </w:r>
            <w:r>
              <w:rPr>
                <w:rFonts w:hint="eastAsia" w:ascii="宋体" w:hAnsi="宋体" w:eastAsia="宋体" w:cs="宋体"/>
                <w:color w:val="auto"/>
                <w:sz w:val="18"/>
                <w:szCs w:val="18"/>
                <w:highlight w:val="none"/>
                <w:lang w:eastAsia="zh-CN"/>
              </w:rPr>
              <w:t>；</w:t>
            </w:r>
            <w:r>
              <w:rPr>
                <w:rFonts w:hint="eastAsia" w:ascii="宋体" w:hAnsi="宋体" w:eastAsia="宋体" w:cs="宋体"/>
                <w:b/>
                <w:bCs/>
                <w:color w:val="auto"/>
                <w:sz w:val="18"/>
                <w:szCs w:val="18"/>
                <w:highlight w:val="none"/>
              </w:rPr>
              <w:t>（该项功能参数具有第三方</w:t>
            </w:r>
            <w:r>
              <w:rPr>
                <w:rFonts w:hint="eastAsia" w:ascii="宋体" w:hAnsi="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rPr>
              <w:t>出具的检测报告证明，投标文件需提供检测报告复印件</w:t>
            </w:r>
            <w:r>
              <w:rPr>
                <w:rFonts w:hint="eastAsia" w:ascii="宋体" w:hAnsi="宋体" w:eastAsia="宋体" w:cs="宋体"/>
                <w:b/>
                <w:bCs/>
                <w:color w:val="auto"/>
                <w:sz w:val="18"/>
                <w:szCs w:val="18"/>
                <w:highlight w:val="none"/>
                <w:lang w:eastAsia="zh-CN"/>
              </w:rPr>
              <w:t>并</w:t>
            </w:r>
            <w:r>
              <w:rPr>
                <w:rFonts w:hint="eastAsia" w:ascii="宋体" w:hAnsi="宋体" w:eastAsia="宋体" w:cs="宋体"/>
                <w:b/>
                <w:bCs/>
                <w:color w:val="auto"/>
                <w:sz w:val="18"/>
                <w:szCs w:val="18"/>
                <w:highlight w:val="none"/>
                <w:lang w:val="en-US" w:eastAsia="zh-CN"/>
              </w:rPr>
              <w:t>加盖投标人单位公章</w:t>
            </w:r>
            <w:r>
              <w:rPr>
                <w:rFonts w:hint="eastAsia" w:ascii="宋体" w:hAnsi="宋体" w:eastAsia="宋体" w:cs="宋体"/>
                <w:b/>
                <w:bCs/>
                <w:color w:val="auto"/>
                <w:sz w:val="18"/>
                <w:szCs w:val="18"/>
                <w:highlight w:val="none"/>
              </w:rPr>
              <w:t>）</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1540" w:type="dxa"/>
            <w:vMerge w:val="continue"/>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b/>
                <w:bCs/>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.1故障设置</w:t>
            </w:r>
            <w:bookmarkStart w:id="227" w:name="OLE_LINK204"/>
            <w:r>
              <w:rPr>
                <w:rFonts w:hint="eastAsia" w:ascii="宋体" w:hAnsi="宋体" w:eastAsia="宋体" w:cs="宋体"/>
                <w:b/>
                <w:bCs/>
                <w:color w:val="auto"/>
                <w:sz w:val="18"/>
                <w:szCs w:val="18"/>
                <w:highlight w:val="none"/>
              </w:rPr>
              <w:t>（投标文件需提供该项功能界面截图证明</w:t>
            </w:r>
            <w:r>
              <w:rPr>
                <w:rFonts w:hint="eastAsia" w:ascii="宋体" w:hAnsi="宋体" w:eastAsia="宋体" w:cs="宋体"/>
                <w:b/>
                <w:bCs/>
                <w:color w:val="auto"/>
                <w:sz w:val="18"/>
                <w:szCs w:val="18"/>
                <w:highlight w:val="none"/>
                <w:lang w:eastAsia="zh-CN"/>
              </w:rPr>
              <w:t>，</w:t>
            </w:r>
            <w:r>
              <w:rPr>
                <w:rFonts w:hint="eastAsia" w:ascii="宋体" w:hAnsi="宋体" w:eastAsia="宋体" w:cs="宋体"/>
                <w:b/>
                <w:bCs/>
                <w:color w:val="auto"/>
                <w:sz w:val="18"/>
                <w:szCs w:val="18"/>
                <w:highlight w:val="none"/>
                <w:lang w:val="en-US" w:eastAsia="zh-CN"/>
              </w:rPr>
              <w:t>每项至少一张图片</w:t>
            </w:r>
            <w:r>
              <w:rPr>
                <w:rFonts w:hint="eastAsia" w:ascii="宋体" w:hAnsi="宋体" w:eastAsia="宋体" w:cs="宋体"/>
                <w:b/>
                <w:bCs/>
                <w:color w:val="auto"/>
                <w:sz w:val="18"/>
                <w:szCs w:val="18"/>
                <w:highlight w:val="none"/>
              </w:rPr>
              <w:t>）</w:t>
            </w:r>
          </w:p>
          <w:bookmarkEnd w:id="227"/>
          <w:p>
            <w:pPr>
              <w:adjustRightInd w:val="0"/>
              <w:snapToGrid w:val="0"/>
              <w:spacing w:line="360" w:lineRule="auto"/>
              <w:jc w:val="left"/>
              <w:rPr>
                <w:rFonts w:hint="eastAsia" w:ascii="宋体" w:hAnsi="宋体" w:eastAsia="宋体" w:cs="宋体"/>
                <w:b/>
                <w:bCs/>
                <w:color w:val="auto"/>
                <w:sz w:val="18"/>
                <w:szCs w:val="18"/>
                <w:highlight w:val="none"/>
              </w:rPr>
            </w:pPr>
            <w:r>
              <w:rPr>
                <w:rFonts w:hint="eastAsia" w:ascii="宋体" w:hAnsi="宋体" w:eastAsia="宋体" w:cs="宋体"/>
                <w:color w:val="auto"/>
                <w:sz w:val="18"/>
                <w:szCs w:val="18"/>
                <w:highlight w:val="none"/>
              </w:rPr>
              <w:t>系</w:t>
            </w:r>
            <w:bookmarkStart w:id="228" w:name="OLE_LINK203"/>
            <w:r>
              <w:rPr>
                <w:rFonts w:hint="eastAsia" w:ascii="宋体" w:hAnsi="宋体" w:eastAsia="宋体" w:cs="宋体"/>
                <w:color w:val="auto"/>
                <w:sz w:val="18"/>
                <w:szCs w:val="18"/>
                <w:highlight w:val="none"/>
              </w:rPr>
              <w:t>统可支持设置多种故障</w:t>
            </w:r>
            <w:bookmarkEnd w:id="228"/>
            <w:r>
              <w:rPr>
                <w:rFonts w:hint="eastAsia" w:ascii="宋体" w:hAnsi="宋体" w:eastAsia="宋体" w:cs="宋体"/>
                <w:color w:val="auto"/>
                <w:sz w:val="18"/>
                <w:szCs w:val="18"/>
                <w:highlight w:val="none"/>
              </w:rPr>
              <w:t>：</w:t>
            </w:r>
            <w:bookmarkStart w:id="229" w:name="OLE_LINK202"/>
            <w:r>
              <w:rPr>
                <w:rFonts w:hint="eastAsia" w:ascii="宋体" w:hAnsi="宋体" w:eastAsia="宋体" w:cs="宋体"/>
                <w:color w:val="auto"/>
                <w:sz w:val="18"/>
                <w:szCs w:val="18"/>
                <w:highlight w:val="none"/>
              </w:rPr>
              <w:t>连线故障，元件故障，参数故障等功能。要求故障设置界面简洁，方便教学使用，设置的</w:t>
            </w:r>
            <w:bookmarkEnd w:id="229"/>
            <w:r>
              <w:rPr>
                <w:rFonts w:hint="eastAsia" w:ascii="宋体" w:hAnsi="宋体" w:eastAsia="宋体" w:cs="宋体"/>
                <w:color w:val="auto"/>
                <w:sz w:val="18"/>
                <w:szCs w:val="18"/>
                <w:highlight w:val="none"/>
              </w:rPr>
              <w:t>故障能够反映到对应实验项目的机床工作状态上。故障排除方法按实际情况有多种方式，电路接线故障排除，元器件内部故障排除，参数故障排除等都能进行仿真。能够把设置好的故障发送给学生端进行故障考核，并且对已设置好的故障可进行保存和导入，利于老师教学的延续性。</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1540" w:type="dxa"/>
            <w:vMerge w:val="continue"/>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w:t>
            </w:r>
            <w:bookmarkStart w:id="230" w:name="OLE_LINK201"/>
            <w:r>
              <w:rPr>
                <w:rFonts w:hint="eastAsia" w:ascii="宋体" w:hAnsi="宋体" w:eastAsia="宋体" w:cs="宋体"/>
                <w:color w:val="auto"/>
                <w:sz w:val="18"/>
                <w:szCs w:val="18"/>
                <w:highlight w:val="none"/>
              </w:rPr>
              <w:t>9机电联调实</w:t>
            </w:r>
            <w:bookmarkEnd w:id="230"/>
            <w:r>
              <w:rPr>
                <w:rFonts w:hint="eastAsia" w:ascii="宋体" w:hAnsi="宋体" w:eastAsia="宋体" w:cs="宋体"/>
                <w:color w:val="auto"/>
                <w:sz w:val="18"/>
                <w:szCs w:val="18"/>
                <w:highlight w:val="none"/>
              </w:rPr>
              <w:t>验</w:t>
            </w:r>
            <w:r>
              <w:rPr>
                <w:rFonts w:hint="eastAsia" w:ascii="宋体" w:hAnsi="宋体" w:eastAsia="宋体" w:cs="宋体"/>
                <w:b/>
                <w:bCs/>
                <w:color w:val="auto"/>
                <w:sz w:val="18"/>
                <w:szCs w:val="18"/>
                <w:highlight w:val="none"/>
              </w:rPr>
              <w:t>（投标文件需提供该项功能界面截图证明</w:t>
            </w:r>
            <w:r>
              <w:rPr>
                <w:rFonts w:hint="eastAsia" w:ascii="宋体" w:hAnsi="宋体" w:eastAsia="宋体" w:cs="宋体"/>
                <w:b/>
                <w:bCs/>
                <w:color w:val="auto"/>
                <w:sz w:val="18"/>
                <w:szCs w:val="18"/>
                <w:highlight w:val="none"/>
                <w:lang w:eastAsia="zh-CN"/>
              </w:rPr>
              <w:t>，</w:t>
            </w:r>
            <w:r>
              <w:rPr>
                <w:rFonts w:hint="eastAsia" w:ascii="宋体" w:hAnsi="宋体" w:eastAsia="宋体" w:cs="宋体"/>
                <w:b/>
                <w:bCs/>
                <w:color w:val="auto"/>
                <w:sz w:val="18"/>
                <w:szCs w:val="18"/>
                <w:highlight w:val="none"/>
                <w:lang w:val="en-US" w:eastAsia="zh-CN"/>
              </w:rPr>
              <w:t>每项至少一张图片</w:t>
            </w:r>
            <w:r>
              <w:rPr>
                <w:rFonts w:hint="eastAsia" w:ascii="宋体" w:hAnsi="宋体" w:eastAsia="宋体" w:cs="宋体"/>
                <w:b/>
                <w:bCs/>
                <w:color w:val="auto"/>
                <w:sz w:val="18"/>
                <w:szCs w:val="18"/>
                <w:highlight w:val="none"/>
              </w:rPr>
              <w:t>）</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系统仿真能支持现有数控系统的机电联调实验，实验具体功能如下：</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.1</w:t>
            </w:r>
            <w:r>
              <w:rPr>
                <w:rFonts w:hint="eastAsia" w:ascii="宋体" w:hAnsi="宋体" w:eastAsia="宋体" w:cs="宋体"/>
                <w:color w:val="auto"/>
                <w:sz w:val="18"/>
                <w:szCs w:val="18"/>
                <w:highlight w:val="none"/>
              </w:rPr>
              <w:t>仿真现有数控系统实际面板功能。</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rPr>
              <w:t>通过机床机械传动部分对电气控制部分的故障排查，把机械与电气有机结合起来。</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.3</w:t>
            </w:r>
            <w:r>
              <w:rPr>
                <w:rFonts w:hint="eastAsia" w:ascii="宋体" w:hAnsi="宋体" w:eastAsia="宋体" w:cs="宋体"/>
                <w:color w:val="auto"/>
                <w:sz w:val="18"/>
                <w:szCs w:val="18"/>
                <w:highlight w:val="none"/>
              </w:rPr>
              <w:t>系统提供“反向间隙调整”、“共振频率调整”、“加减速调整”三个典型机电联调实验。</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.4</w:t>
            </w:r>
            <w:r>
              <w:rPr>
                <w:rFonts w:hint="eastAsia" w:ascii="宋体" w:hAnsi="宋体" w:eastAsia="宋体" w:cs="宋体"/>
                <w:color w:val="auto"/>
                <w:sz w:val="18"/>
                <w:szCs w:val="18"/>
                <w:highlight w:val="none"/>
              </w:rPr>
              <w:t>通过CNC面板的“自动模式”，能够调出工件加工程序进行工件毛坯的仿真加工，工件加工部分的轮廓精度真实反映出机床当前的工作状态。</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三坐标测量仪能够测出工件毛坯加工后的外轮廓精度。</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.6</w:t>
            </w:r>
            <w:r>
              <w:rPr>
                <w:rFonts w:hint="eastAsia" w:ascii="宋体" w:hAnsi="宋体" w:eastAsia="宋体" w:cs="宋体"/>
                <w:color w:val="auto"/>
                <w:sz w:val="18"/>
                <w:szCs w:val="18"/>
                <w:highlight w:val="none"/>
              </w:rPr>
              <w:t>通过工件加工部分的外轮廓精度能够反映出机床当前存在的故障。</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.7</w:t>
            </w:r>
            <w:r>
              <w:rPr>
                <w:rFonts w:hint="eastAsia" w:ascii="宋体" w:hAnsi="宋体" w:eastAsia="宋体" w:cs="宋体"/>
                <w:color w:val="auto"/>
                <w:sz w:val="18"/>
                <w:szCs w:val="18"/>
                <w:highlight w:val="none"/>
              </w:rPr>
              <w:t>通过调整系统参数等手段能够进行机床故障的排除。</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.8</w:t>
            </w:r>
            <w:r>
              <w:rPr>
                <w:rFonts w:hint="eastAsia" w:ascii="宋体" w:hAnsi="宋体" w:eastAsia="宋体" w:cs="宋体"/>
                <w:color w:val="auto"/>
                <w:sz w:val="18"/>
                <w:szCs w:val="18"/>
                <w:highlight w:val="none"/>
              </w:rPr>
              <w:t>机床故障排除是否成功可以通过工件毛坯的加工的精度进行验证。</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5</w:t>
            </w:r>
          </w:p>
        </w:tc>
        <w:tc>
          <w:tcPr>
            <w:tcW w:w="1540" w:type="dxa"/>
            <w:vMerge w:val="restart"/>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数控铣床</w:t>
            </w: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 X/Y/Z轴全行程双向定位精度：≤0.008/0.008/0.008（mm）</w:t>
            </w:r>
            <w:r>
              <w:rPr>
                <w:rFonts w:hint="eastAsia" w:ascii="宋体" w:hAnsi="宋体" w:eastAsia="宋体" w:cs="宋体"/>
                <w:color w:val="auto"/>
                <w:sz w:val="18"/>
                <w:szCs w:val="18"/>
                <w:highlight w:val="none"/>
                <w:lang w:eastAsia="zh-CN"/>
              </w:rPr>
              <w:t>；</w:t>
            </w:r>
            <w:r>
              <w:rPr>
                <w:rFonts w:hint="eastAsia" w:ascii="宋体" w:hAnsi="宋体" w:eastAsia="宋体" w:cs="宋体"/>
                <w:b/>
                <w:bCs/>
                <w:color w:val="auto"/>
                <w:sz w:val="18"/>
                <w:szCs w:val="18"/>
                <w:highlight w:val="none"/>
              </w:rPr>
              <w:t>（该项功能参数具有第三方</w:t>
            </w:r>
            <w:r>
              <w:rPr>
                <w:rFonts w:hint="eastAsia" w:ascii="宋体" w:hAnsi="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lang w:eastAsia="zh-CN"/>
              </w:rPr>
              <w:t>出具的检测报告证明，投标文件需提供检测报告复印件并</w:t>
            </w:r>
            <w:r>
              <w:rPr>
                <w:rFonts w:hint="eastAsia" w:ascii="宋体" w:hAnsi="宋体" w:eastAsia="宋体" w:cs="宋体"/>
                <w:b/>
                <w:bCs/>
                <w:color w:val="auto"/>
                <w:sz w:val="18"/>
                <w:szCs w:val="18"/>
                <w:highlight w:val="none"/>
                <w:lang w:val="en-US" w:eastAsia="zh-CN"/>
              </w:rPr>
              <w:t>加盖投标人单位公章</w:t>
            </w:r>
            <w:r>
              <w:rPr>
                <w:rFonts w:hint="eastAsia" w:ascii="宋体" w:hAnsi="宋体" w:eastAsia="宋体" w:cs="宋体"/>
                <w:b/>
                <w:bCs/>
                <w:color w:val="auto"/>
                <w:sz w:val="18"/>
                <w:szCs w:val="18"/>
                <w:highlight w:val="none"/>
                <w:lang w:eastAsia="zh-CN"/>
              </w:rPr>
              <w:t>）</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6</w:t>
            </w:r>
          </w:p>
        </w:tc>
        <w:tc>
          <w:tcPr>
            <w:tcW w:w="1540" w:type="dxa"/>
            <w:vMerge w:val="continue"/>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▲1.10X/Y/Z轴重复定位精度：≤0.005/0.005/0.005（mm）</w:t>
            </w:r>
            <w:r>
              <w:rPr>
                <w:rFonts w:hint="eastAsia" w:ascii="宋体" w:hAnsi="宋体" w:eastAsia="宋体" w:cs="宋体"/>
                <w:color w:val="auto"/>
                <w:sz w:val="18"/>
                <w:szCs w:val="18"/>
                <w:highlight w:val="none"/>
                <w:lang w:eastAsia="zh-CN"/>
              </w:rPr>
              <w:t>；</w:t>
            </w:r>
            <w:bookmarkStart w:id="231" w:name="OLE_LINK200"/>
            <w:r>
              <w:rPr>
                <w:rFonts w:hint="eastAsia" w:ascii="宋体" w:hAnsi="宋体" w:eastAsia="宋体" w:cs="宋体"/>
                <w:b/>
                <w:bCs/>
                <w:color w:val="auto"/>
                <w:sz w:val="18"/>
                <w:szCs w:val="18"/>
                <w:highlight w:val="none"/>
              </w:rPr>
              <w:t>（该项功能参数具有第三方</w:t>
            </w:r>
            <w:r>
              <w:rPr>
                <w:rFonts w:hint="eastAsia" w:ascii="宋体" w:hAnsi="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lang w:eastAsia="zh-CN"/>
              </w:rPr>
              <w:t>出具的检测报告证明，投标文件需提供检测报告复印件</w:t>
            </w:r>
            <w:bookmarkStart w:id="232" w:name="OLE_LINK131"/>
            <w:r>
              <w:rPr>
                <w:rFonts w:hint="eastAsia" w:ascii="宋体" w:hAnsi="宋体" w:eastAsia="宋体" w:cs="宋体"/>
                <w:b/>
                <w:bCs/>
                <w:color w:val="auto"/>
                <w:sz w:val="18"/>
                <w:szCs w:val="18"/>
                <w:highlight w:val="none"/>
                <w:lang w:eastAsia="zh-CN"/>
              </w:rPr>
              <w:t>并</w:t>
            </w:r>
            <w:r>
              <w:rPr>
                <w:rFonts w:hint="eastAsia" w:ascii="宋体" w:hAnsi="宋体" w:eastAsia="宋体" w:cs="宋体"/>
                <w:b/>
                <w:bCs/>
                <w:color w:val="auto"/>
                <w:sz w:val="18"/>
                <w:szCs w:val="18"/>
                <w:highlight w:val="none"/>
                <w:lang w:val="en-US" w:eastAsia="zh-CN"/>
              </w:rPr>
              <w:t>加盖投标人单位公章</w:t>
            </w:r>
            <w:bookmarkEnd w:id="232"/>
            <w:r>
              <w:rPr>
                <w:rFonts w:hint="eastAsia" w:ascii="宋体" w:hAnsi="宋体" w:eastAsia="宋体" w:cs="宋体"/>
                <w:b/>
                <w:bCs/>
                <w:color w:val="auto"/>
                <w:sz w:val="18"/>
                <w:szCs w:val="18"/>
                <w:highlight w:val="none"/>
                <w:lang w:eastAsia="zh-CN"/>
              </w:rPr>
              <w:t>）</w:t>
            </w:r>
            <w:bookmarkEnd w:id="231"/>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7</w:t>
            </w:r>
          </w:p>
        </w:tc>
        <w:tc>
          <w:tcPr>
            <w:tcW w:w="1540"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多轴加工仿真软件</w:t>
            </w: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▲2.3 多轴联动数控加工仿真</w:t>
            </w:r>
            <w:r>
              <w:rPr>
                <w:rFonts w:hint="eastAsia" w:ascii="宋体" w:hAnsi="宋体" w:eastAsia="宋体" w:cs="宋体"/>
                <w:b/>
                <w:bCs/>
                <w:color w:val="auto"/>
                <w:sz w:val="18"/>
                <w:szCs w:val="18"/>
                <w:highlight w:val="none"/>
              </w:rPr>
              <w:t>（投标文件需提供该项功能界面截图证明</w:t>
            </w:r>
            <w:r>
              <w:rPr>
                <w:rFonts w:hint="eastAsia" w:ascii="宋体" w:hAnsi="宋体" w:eastAsia="宋体" w:cs="宋体"/>
                <w:b/>
                <w:bCs/>
                <w:color w:val="auto"/>
                <w:sz w:val="18"/>
                <w:szCs w:val="18"/>
                <w:highlight w:val="none"/>
                <w:lang w:eastAsia="zh-CN"/>
              </w:rPr>
              <w:t>，</w:t>
            </w:r>
            <w:r>
              <w:rPr>
                <w:rFonts w:hint="eastAsia" w:ascii="宋体" w:hAnsi="宋体" w:eastAsia="宋体" w:cs="宋体"/>
                <w:b/>
                <w:bCs/>
                <w:color w:val="auto"/>
                <w:sz w:val="18"/>
                <w:szCs w:val="18"/>
                <w:highlight w:val="none"/>
                <w:lang w:val="en-US" w:eastAsia="zh-CN"/>
              </w:rPr>
              <w:t>每项至少一张图片</w:t>
            </w:r>
            <w:r>
              <w:rPr>
                <w:rFonts w:hint="eastAsia" w:ascii="宋体" w:hAnsi="宋体" w:eastAsia="宋体" w:cs="宋体"/>
                <w:b/>
                <w:bCs/>
                <w:color w:val="auto"/>
                <w:sz w:val="18"/>
                <w:szCs w:val="18"/>
                <w:highlight w:val="none"/>
              </w:rPr>
              <w:t>）</w:t>
            </w:r>
          </w:p>
          <w:p>
            <w:pPr>
              <w:adjustRightInd w:val="0"/>
              <w:snapToGrid w:val="0"/>
              <w:spacing w:line="360" w:lineRule="auto"/>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2.3.1对多轴联动程序进行碰撞、干涉检查并发布预警信息并提供解决方案，可以直接调用、调整解决方案对程序进行修改；</w:t>
            </w:r>
          </w:p>
          <w:p>
            <w:pPr>
              <w:adjustRightInd w:val="0"/>
              <w:snapToGrid w:val="0"/>
              <w:spacing w:line="360" w:lineRule="auto"/>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 xml:space="preserve">2.3.2 该模块能够支持各种U、V、W直线轴，自定义旋转轴仿真； </w:t>
            </w:r>
          </w:p>
          <w:p>
            <w:pPr>
              <w:adjustRightInd w:val="0"/>
              <w:snapToGrid w:val="0"/>
              <w:spacing w:line="360" w:lineRule="auto"/>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 xml:space="preserve">2.3.3 该模块能够支持5轴以上车铣复合加工中心程序仿真； </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2.3.4 该模块能够支持最少6个轴的数控机床联动。</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8</w:t>
            </w:r>
          </w:p>
        </w:tc>
        <w:tc>
          <w:tcPr>
            <w:tcW w:w="1540"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教学一体机（98寸）</w:t>
            </w: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sz w:val="18"/>
                <w:szCs w:val="18"/>
                <w:highlight w:val="none"/>
                <w:lang w:val="en-US" w:eastAsia="zh-CN"/>
              </w:rPr>
              <w:t>▲2.3 为满足教学场景使用需求需具备弹窗拦截、冰点还原功能，弹窗拦截支持手动拦截、截图拦截、超级拦截三种方式，冰点还原支持创设系统还原点，可根据教学需求自由选择磁盘分区设立还原点和取消还原点</w:t>
            </w:r>
            <w:r>
              <w:rPr>
                <w:rFonts w:hint="eastAsia" w:ascii="宋体" w:hAnsi="宋体" w:eastAsia="宋体" w:cs="宋体"/>
                <w:color w:val="auto"/>
                <w:sz w:val="18"/>
                <w:szCs w:val="18"/>
                <w:highlight w:val="none"/>
                <w:lang w:eastAsia="zh-CN"/>
              </w:rPr>
              <w:t>；</w:t>
            </w:r>
            <w:r>
              <w:rPr>
                <w:rFonts w:hint="eastAsia" w:ascii="宋体" w:hAnsi="宋体" w:eastAsia="宋体" w:cs="宋体"/>
                <w:b/>
                <w:bCs/>
                <w:color w:val="auto"/>
                <w:sz w:val="18"/>
                <w:szCs w:val="18"/>
                <w:highlight w:val="none"/>
              </w:rPr>
              <w:t>（该项功能参数具有第三方</w:t>
            </w:r>
            <w:r>
              <w:rPr>
                <w:rFonts w:hint="eastAsia" w:ascii="宋体" w:hAnsi="宋体" w:eastAsia="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rPr>
              <w:t>出具的检测报告证明，投标文件需提供检测报告复印件</w:t>
            </w:r>
            <w:r>
              <w:rPr>
                <w:rFonts w:hint="eastAsia" w:ascii="宋体" w:hAnsi="宋体" w:eastAsia="宋体" w:cs="宋体"/>
                <w:b/>
                <w:bCs/>
                <w:color w:val="auto"/>
                <w:sz w:val="18"/>
                <w:szCs w:val="18"/>
                <w:highlight w:val="none"/>
                <w:lang w:eastAsia="zh-CN"/>
              </w:rPr>
              <w:t>并</w:t>
            </w:r>
            <w:r>
              <w:rPr>
                <w:rFonts w:hint="eastAsia" w:ascii="宋体" w:hAnsi="宋体" w:eastAsia="宋体" w:cs="宋体"/>
                <w:b/>
                <w:bCs/>
                <w:color w:val="auto"/>
                <w:sz w:val="18"/>
                <w:szCs w:val="18"/>
                <w:highlight w:val="none"/>
                <w:lang w:val="en-US" w:eastAsia="zh-CN"/>
              </w:rPr>
              <w:t>加盖投标人单位公章</w:t>
            </w:r>
            <w:r>
              <w:rPr>
                <w:rFonts w:hint="eastAsia" w:ascii="宋体" w:hAnsi="宋体" w:eastAsia="宋体" w:cs="宋体"/>
                <w:b/>
                <w:bCs/>
                <w:color w:val="auto"/>
                <w:sz w:val="18"/>
                <w:szCs w:val="18"/>
                <w:highlight w:val="none"/>
              </w:rPr>
              <w:t>）</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bl>
    <w:p>
      <w:pPr>
        <w:rPr>
          <w:rFonts w:hint="eastAsia" w:ascii="黑体" w:hAnsi="黑体" w:eastAsia="黑体" w:cs="Times New Roman"/>
          <w:color w:val="auto"/>
          <w:sz w:val="28"/>
          <w:szCs w:val="28"/>
          <w:highlight w:val="none"/>
        </w:rPr>
      </w:pPr>
      <w:r>
        <w:rPr>
          <w:rFonts w:hint="eastAsia" w:ascii="黑体" w:hAnsi="黑体" w:eastAsia="黑体" w:cs="Times New Roman"/>
          <w:color w:val="auto"/>
          <w:sz w:val="28"/>
          <w:szCs w:val="28"/>
          <w:highlight w:val="none"/>
        </w:rPr>
        <w:br w:type="page"/>
      </w:r>
    </w:p>
    <w:p>
      <w:pPr>
        <w:keepNext/>
        <w:keepLines/>
        <w:widowControl w:val="0"/>
        <w:adjustRightInd w:val="0"/>
        <w:snapToGrid w:val="0"/>
        <w:spacing w:before="161" w:beforeLines="50" w:line="500" w:lineRule="exact"/>
        <w:jc w:val="center"/>
        <w:outlineLvl w:val="1"/>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8"/>
          <w:szCs w:val="28"/>
          <w:highlight w:val="none"/>
          <w:lang w:val="en-US" w:eastAsia="zh-CN" w:bidi="ar-SA"/>
        </w:rPr>
        <w:t>第三节 商务要求</w:t>
      </w:r>
      <w:bookmarkEnd w:id="226"/>
    </w:p>
    <w:p>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一、产品运输、保管、保险及其他要求</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投标人</w:t>
      </w:r>
      <w:r>
        <w:rPr>
          <w:rFonts w:hint="eastAsia" w:ascii="宋体" w:hAnsi="宋体" w:eastAsia="宋体" w:cs="宋体"/>
          <w:color w:val="auto"/>
          <w:highlight w:val="none"/>
        </w:rPr>
        <w:t>所投产品必须符合国家和行业的有关规定和标准。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中标人</w:t>
      </w:r>
      <w:r>
        <w:rPr>
          <w:rFonts w:hint="eastAsia" w:ascii="宋体" w:hAnsi="宋体" w:eastAsia="宋体" w:cs="宋体"/>
          <w:color w:val="auto"/>
          <w:highlight w:val="none"/>
        </w:rPr>
        <w:t>负责安装或组装，所有安装时所需的特殊材料应由</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3、在货物安装过程中如发生质量问题，</w:t>
      </w:r>
      <w:r>
        <w:rPr>
          <w:rFonts w:hint="eastAsia" w:ascii="宋体" w:hAnsi="宋体" w:cs="宋体"/>
          <w:color w:val="auto"/>
          <w:highlight w:val="none"/>
          <w:lang w:eastAsia="zh-CN"/>
        </w:rPr>
        <w:t>中标人</w:t>
      </w:r>
      <w:r>
        <w:rPr>
          <w:rFonts w:hint="eastAsia" w:ascii="宋体" w:hAnsi="宋体" w:eastAsia="宋体" w:cs="宋体"/>
          <w:color w:val="auto"/>
          <w:highlight w:val="none"/>
        </w:rPr>
        <w:t>应派人员免费提供现场更换或维修服务，由此发生的费用由</w:t>
      </w:r>
      <w:r>
        <w:rPr>
          <w:rFonts w:hint="eastAsia" w:ascii="宋体" w:hAnsi="宋体" w:cs="宋体"/>
          <w:color w:val="auto"/>
          <w:highlight w:val="none"/>
          <w:lang w:eastAsia="zh-CN"/>
        </w:rPr>
        <w:t>中标人</w:t>
      </w:r>
      <w:r>
        <w:rPr>
          <w:rFonts w:hint="eastAsia" w:ascii="宋体" w:hAnsi="宋体" w:eastAsia="宋体" w:cs="宋体"/>
          <w:color w:val="auto"/>
          <w:highlight w:val="none"/>
        </w:rPr>
        <w:t>承担。</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4、项目完成后，中标人应将项目有关的全部资料，包括产品资料、技术文档、使用说明书等，移交采购人。</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提供的全部产品均应按标准保护措施进行包装，以防产品在转运中损坏或变质，确保产品安全无损运抵指定地点。</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6、中标人负责产品到使用单位的全部运输，包括装卸及现场搬运等。</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7、中标人负责提供产品在现场的保管，直至验收合格。</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8、中标人负责其派出的施工人员的人身意外保险。</w:t>
      </w:r>
    </w:p>
    <w:p>
      <w:pPr>
        <w:spacing w:line="360" w:lineRule="auto"/>
        <w:ind w:firstLine="422" w:firstLineChars="20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二、</w:t>
      </w:r>
      <w:r>
        <w:rPr>
          <w:rFonts w:hint="eastAsia" w:ascii="宋体" w:hAnsi="宋体" w:cs="宋体"/>
          <w:b/>
          <w:bCs/>
          <w:color w:val="auto"/>
          <w:highlight w:val="none"/>
          <w:lang w:eastAsia="zh-CN"/>
        </w:rPr>
        <w:t>质量及服务要求</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1、产品质量标准：所有供应的设备、软件及材料必须为原厂全新合格产品，符合国家现行有效的质量、环保、安全等技术标准，包括但不限于《金属切削机床通用技术条件》（GB/T 9061）、《数控机床安全防护标准》（GB 15760）等。</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2、所有机床设备整机保修期不低于3年，质保期内机床加工精度须始终满足工业级产品加工要求，且精度指标保持稳定，不得出现非正常精度衰减。施工质量保修期不低于 3年（自项目最终验收合格之日起计算），软件提供免费升级及技术支持服务。</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3、安装调试服务：</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须负责全部设备的现场安装、调试及与现有系统的联调对接，确保设备正常运行并满足教学实训要求。安装调试周期不超过 15个工作日（自设备到货之日起计算）。</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4、培训服务：</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须提供不少于3天的现场操作培训，培训对象为校方专业教师及实训管理人员，培训内容包括设备操作、日常维护、故障排查及仿真软件使用等，并提供完整操作手册。</w:t>
      </w:r>
      <w:r>
        <w:rPr>
          <w:rFonts w:hint="eastAsia" w:ascii="宋体" w:hAnsi="宋体" w:eastAsia="宋体" w:cs="宋体"/>
          <w:color w:val="auto"/>
          <w:highlight w:val="none"/>
        </w:rPr>
        <w:t>中标人应按采购人指定负责培训操作管理及维护人员，达到熟练掌握产品性能、操作技能及排除一般故障的程度。</w:t>
      </w:r>
    </w:p>
    <w:p>
      <w:pPr>
        <w:spacing w:line="360" w:lineRule="auto"/>
        <w:ind w:firstLine="420" w:firstLineChars="200"/>
        <w:rPr>
          <w:rFonts w:hint="eastAsia" w:ascii="宋体" w:hAnsi="宋体" w:eastAsia="宋体" w:cs="宋体"/>
          <w:color w:val="auto"/>
          <w:highlight w:val="none"/>
          <w:lang w:val="en-US" w:eastAsia="zh-CN"/>
        </w:rPr>
      </w:pP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5、售后服务响应：质保期内，</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须提供 7天×8小时 技术支持服务。设备出现故障时，</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应在 2小时内 响应，24小时内 派技术人员到达现场处理，确保教学活动正常开展。</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6、软件服务：多轴加工仿真软件及配套管理系统须提供至少3年的免费版本升级、技术支持及故障修复服务，并保证与后续新增设备的兼容性。</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7、备品备件：</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应在质保期内提供常用备品备件清单及报价，确保校方可及时采购关键配件。质保期内非人为损坏的备件由</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免费提供。</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8、文档资料：</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须在验收时提供完整的技术文档，包括但不限于：设备说明书、电气原理图、操作手册、维护手册、软件安装包及授权文件、施工竣工图（含电气、气路、地坪等）。</w:t>
      </w:r>
    </w:p>
    <w:p>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三、验收</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1、采购设备验收</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（1）双方签订采购合同后，</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依据合同及相关技术文件进行设备的加工与制作，按相关技术要求及条款执行设备发货前的验收。</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（2）设备从</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发货到达</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指定地点后，应按照合同约定进行货物的装卸及堆放。</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（3）设备到货后或安装前需要进行开箱验货，设备到达现场可以直接安装就位的，立即组织</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、使用部门进行现场开箱验货，由设备采购管理部门现场填写开箱记录存档。</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（4）设备到达现场后，无法立即进行开箱验货的，由设备采购管理部门进行接收，现场填写收货记录并做影像资料留存，待安装前协调</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、使用部门进行现场开箱并填写开箱记录存档。</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（5）设备到货安装完成后，由厂家进行调试，过程中如果技术要求需要进行相关的确认的，由</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调试工程师协助按照已审批的方案进行项目的确认工作，如果没有特殊要求的，调试完成后，学校协调</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、使用部门进行现场验收工作，现场填写设备验收资料存档。</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（6）验收结束后，由设备采购、管理部门出具设备移交单，与使用部门办理移交手续后将设备移交给使用部门进行使用及管理等。</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（7）设备验收、移交完成后，设备采购、管理部门依据合同签订条款，进行付款申报并附上验收移交资料。</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（8）根据采购合同的约定，</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应提供后续的维护和技术支持服务。</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2、采购软件验收</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（1）按照采购合同和招标文件的要求，对软件的功能进行逐一验证，确保软件满足采购需求。</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（2）对软件的性能指标进行测试，如响应时间、处理速度、稳定性等，确保软件性能符合合同约定。</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（3）检查</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提供的软件文档是否齐全、准确，包括用户手册、技术文档、维护指南等。</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（4）设备验收、移交完成后，设备采购、管理部门依据合同签订条款，进行付款申报并附上验收移交资料。</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（5）根据采购合同的约定，</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应提供后续的软件维护和技术支持服务。</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3、场地改造验收：按通过审查的施工图及国家现行施工验收规范执行。隐蔽工程须经校方或监理单位验收合格后方可覆盖。</w:t>
      </w:r>
    </w:p>
    <w:p>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4、项目完成后，由校方组织专家或委托第三方检测机构依据招标文件、合同及国家相关标准进行验收。一次验收通过的，若委托第三方检测机构验收的，验收费由采购人承担。若验收不合格，需要二次验收的，</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需承担全部委托第三方检测机构验收费（含第一次）。</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四、其他重要说明：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1、本项目设置最高限价及各标的最高限价，其中本项目最高限价为3102825.76元，各标的最高限价详见采购清单一览表。投标人投标报价不得超过最高限价及各标的最高限价，否则，将视为投标无效。</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2、采购范围：</w:t>
      </w:r>
      <w:bookmarkStart w:id="233" w:name="OLE_LINK195"/>
      <w:r>
        <w:rPr>
          <w:rFonts w:hint="eastAsia" w:ascii="宋体" w:hAnsi="宋体" w:eastAsia="宋体" w:cs="宋体"/>
          <w:color w:val="auto"/>
          <w:highlight w:val="none"/>
        </w:rPr>
        <w:t>包含完成招标文件要求报价范围内的到达指定地点的产品本身及附件、备品备件、专用工具、材料、易损件、以及运输、保险、安装施工、调试、检验、验收、使用与维护培训、技术资料提供、技术服务、直至项目验收合格投入使用，以及质保期内的维护维修保养等售后服务。</w:t>
      </w:r>
      <w:bookmarkEnd w:id="233"/>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bookmarkStart w:id="234" w:name="OLE_LINK52"/>
      <w:r>
        <w:rPr>
          <w:rFonts w:hint="eastAsia" w:ascii="宋体" w:hAnsi="宋体" w:eastAsia="宋体" w:cs="宋体"/>
          <w:color w:val="auto"/>
          <w:highlight w:val="none"/>
        </w:rPr>
        <w:t>报价范围：</w:t>
      </w:r>
      <w:r>
        <w:rPr>
          <w:rFonts w:hint="eastAsia" w:ascii="宋体" w:hAnsi="宋体" w:eastAsia="宋体" w:cs="宋体"/>
          <w:bCs/>
          <w:color w:val="auto"/>
          <w:kern w:val="0"/>
          <w:sz w:val="21"/>
          <w:szCs w:val="21"/>
          <w:highlight w:val="none"/>
        </w:rPr>
        <w:t>投标人应根据招标文件、采购清单和技术要求进行报价，报价应包括到达指定地点的产品本身及附件、材料（含损耗）、备品备件、易损件、专用工具、保险、包装、运输、搬运装卸（含二次搬运、场地旧设备搬出、设备整体搬迁、搬迁配套调试）、安装施工、检测、调试、试验、验收（含第三方验收）、场地环境布置、技术资料的提供、操作培训、搬迁调试、设备损坏维修、安装施工过程中可能发生的各类费用、各种税费、维护、维修、保养、升级等相关质量及技术服务工作范围内的所有费用（除本招标文件条款申明不包含的内容外，采购人不再支付其他任何费用）。</w:t>
      </w:r>
      <w:bookmarkEnd w:id="234"/>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总承包约定：本项目包运输到现场、包安装、包工期、包质量、包安全、包通过相关部门验收、包售后服务的总承包方式，即从产品供应、安装、调试、通过相关部门验收、售后服务及技术支持等全过程，以及报价范围所列出的其他相关费用，按每包投标总价包干的交钥匙工程（除招标范围条款申明不包含的内容外，报价范围未列细目的费用视为已分摊在有关细目的投标单价中，该采购项目所明示或暗示的费用均认为已包括在投标总价中，</w:t>
      </w:r>
      <w:r>
        <w:rPr>
          <w:rFonts w:hint="eastAsia" w:ascii="宋体" w:hAnsi="宋体" w:cs="宋体"/>
          <w:color w:val="auto"/>
          <w:highlight w:val="none"/>
          <w:lang w:eastAsia="zh-CN"/>
        </w:rPr>
        <w:t>投标人</w:t>
      </w:r>
      <w:r>
        <w:rPr>
          <w:rFonts w:hint="eastAsia" w:ascii="宋体" w:hAnsi="宋体" w:eastAsia="宋体" w:cs="宋体"/>
          <w:color w:val="auto"/>
          <w:highlight w:val="none"/>
        </w:rPr>
        <w:t>如一旦中标，在项目实施中出现任何遗漏，均由中标人免费提供，采购人不再支付任何费用）。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cs="宋体"/>
          <w:color w:val="auto"/>
          <w:highlight w:val="none"/>
          <w:lang w:eastAsia="zh-CN"/>
        </w:rPr>
        <w:t>投标人</w:t>
      </w:r>
      <w:r>
        <w:rPr>
          <w:rFonts w:hint="eastAsia" w:ascii="宋体" w:hAnsi="宋体" w:eastAsia="宋体" w:cs="宋体"/>
          <w:color w:val="auto"/>
          <w:highlight w:val="none"/>
        </w:rPr>
        <w:t>应保证所提供的系统软件或其任何一部分均不会侵犯任何第三方的知识产权。</w:t>
      </w:r>
      <w:r>
        <w:rPr>
          <w:rFonts w:hint="eastAsia" w:ascii="宋体" w:hAnsi="宋体" w:cs="宋体"/>
          <w:color w:val="auto"/>
          <w:highlight w:val="none"/>
          <w:lang w:eastAsia="zh-CN"/>
        </w:rPr>
        <w:t>投标人</w:t>
      </w:r>
      <w:r>
        <w:rPr>
          <w:rFonts w:hint="eastAsia" w:ascii="宋体" w:hAnsi="宋体" w:eastAsia="宋体" w:cs="宋体"/>
          <w:color w:val="auto"/>
          <w:highlight w:val="none"/>
        </w:rPr>
        <w:t>应保证采购人在软件使用过程中，免受第三方提出的侵权起诉。如发生此类纠纷，由</w:t>
      </w:r>
      <w:r>
        <w:rPr>
          <w:rFonts w:hint="eastAsia" w:ascii="宋体" w:hAnsi="宋体" w:cs="宋体"/>
          <w:color w:val="auto"/>
          <w:highlight w:val="none"/>
          <w:lang w:eastAsia="zh-CN"/>
        </w:rPr>
        <w:t>投标人</w:t>
      </w:r>
      <w:r>
        <w:rPr>
          <w:rFonts w:hint="eastAsia" w:ascii="宋体" w:hAnsi="宋体" w:eastAsia="宋体" w:cs="宋体"/>
          <w:color w:val="auto"/>
          <w:highlight w:val="none"/>
        </w:rPr>
        <w:t>承担一切责任并负责解决。</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6、供货安装工期：</w:t>
      </w:r>
      <w:bookmarkStart w:id="235" w:name="OLE_LINK6"/>
      <w:bookmarkStart w:id="236" w:name="OLE_LINK5"/>
      <w:bookmarkStart w:id="237" w:name="OLE_LINK199"/>
      <w:r>
        <w:rPr>
          <w:rFonts w:hint="eastAsia" w:ascii="宋体" w:hAnsi="宋体" w:eastAsia="宋体" w:cs="宋体"/>
          <w:color w:val="auto"/>
          <w:highlight w:val="none"/>
        </w:rPr>
        <w:t>合同签订后</w:t>
      </w:r>
      <w:bookmarkEnd w:id="235"/>
      <w:r>
        <w:rPr>
          <w:rFonts w:hint="eastAsia" w:ascii="宋体" w:hAnsi="宋体" w:cs="宋体"/>
          <w:color w:val="auto"/>
          <w:highlight w:val="none"/>
          <w:lang w:val="en-US" w:eastAsia="zh-CN"/>
        </w:rPr>
        <w:t>90</w:t>
      </w:r>
      <w:bookmarkStart w:id="238" w:name="OLE_LINK193"/>
      <w:r>
        <w:rPr>
          <w:rFonts w:hint="eastAsia" w:ascii="宋体" w:hAnsi="宋体" w:eastAsia="宋体" w:cs="宋体"/>
          <w:color w:val="auto"/>
          <w:highlight w:val="none"/>
        </w:rPr>
        <w:t>日历天到货</w:t>
      </w:r>
      <w:bookmarkEnd w:id="238"/>
      <w:r>
        <w:rPr>
          <w:rFonts w:hint="eastAsia" w:ascii="宋体" w:hAnsi="宋体" w:eastAsia="宋体" w:cs="宋体"/>
          <w:color w:val="auto"/>
          <w:highlight w:val="none"/>
        </w:rPr>
        <w:t>、安装并验收合格</w:t>
      </w:r>
      <w:bookmarkEnd w:id="236"/>
      <w:r>
        <w:rPr>
          <w:rFonts w:hint="eastAsia" w:ascii="宋体" w:hAnsi="宋体" w:eastAsia="宋体" w:cs="宋体"/>
          <w:color w:val="auto"/>
          <w:highlight w:val="none"/>
        </w:rPr>
        <w:t>。</w:t>
      </w:r>
      <w:bookmarkEnd w:id="237"/>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7、本项目的付款方式如下：</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（1）到货验收付款：全部设备运抵校方指定地点，经开箱初验合格后，校方向</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支付合同总金额的 50%。</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（2）最终验收付款：项目全部安装调试完成，经最终验收合格，校方向</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支付合同总金额的 45%。</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cs="宋体"/>
          <w:color w:val="auto"/>
          <w:highlight w:val="none"/>
          <w:lang w:val="en-US" w:eastAsia="zh-CN"/>
        </w:rPr>
        <w:t>余款</w:t>
      </w:r>
      <w:r>
        <w:rPr>
          <w:rFonts w:hint="eastAsia" w:ascii="宋体" w:hAnsi="宋体" w:eastAsia="宋体" w:cs="宋体"/>
          <w:color w:val="auto"/>
          <w:highlight w:val="none"/>
          <w:lang w:val="en-US" w:eastAsia="zh-CN"/>
        </w:rPr>
        <w:t>：剩余5%作为</w:t>
      </w:r>
      <w:r>
        <w:rPr>
          <w:rFonts w:hint="eastAsia" w:ascii="宋体" w:hAnsi="宋体" w:cs="宋体"/>
          <w:color w:val="auto"/>
          <w:highlight w:val="none"/>
          <w:lang w:val="en-US" w:eastAsia="zh-CN"/>
        </w:rPr>
        <w:t>余款</w:t>
      </w:r>
      <w:r>
        <w:rPr>
          <w:rFonts w:hint="eastAsia" w:ascii="宋体" w:hAnsi="宋体" w:eastAsia="宋体" w:cs="宋体"/>
          <w:color w:val="auto"/>
          <w:highlight w:val="none"/>
          <w:lang w:val="en-US" w:eastAsia="zh-CN"/>
        </w:rPr>
        <w:t>，在2年后且无质量问题、无违约纠纷后，校方于30日内无息支付。</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（4）发票要求：</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应在每次付款前向校方开具等额有效的增值税专用发票。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cs="宋体"/>
          <w:color w:val="auto"/>
          <w:highlight w:val="none"/>
          <w:lang w:eastAsia="zh-CN"/>
        </w:rPr>
        <w:t>投标人</w:t>
      </w:r>
      <w:r>
        <w:rPr>
          <w:rFonts w:hint="eastAsia" w:ascii="宋体" w:hAnsi="宋体" w:eastAsia="宋体" w:cs="宋体"/>
          <w:color w:val="auto"/>
          <w:highlight w:val="none"/>
        </w:rPr>
        <w:t>应对工程现场进行勘察，踏勘主要内容为了解房间面积等，以便获取有关编制配置方案以及投标文件和签署合同所涉及现场的资料，中标人签订合同和实施过程中，不得以不完全了解实施现场情况为由，提出任何形式的增加合同造价或索赔要求。</w:t>
      </w:r>
      <w:r>
        <w:rPr>
          <w:rFonts w:hint="eastAsia" w:ascii="宋体" w:hAnsi="宋体" w:cs="宋体"/>
          <w:color w:val="auto"/>
          <w:highlight w:val="none"/>
          <w:lang w:eastAsia="zh-CN"/>
        </w:rPr>
        <w:t>投标人</w:t>
      </w:r>
      <w:r>
        <w:rPr>
          <w:rFonts w:hint="eastAsia" w:ascii="宋体" w:hAnsi="宋体" w:eastAsia="宋体" w:cs="宋体"/>
          <w:color w:val="auto"/>
          <w:highlight w:val="none"/>
        </w:rPr>
        <w:t>踏勘现场所发生的一切费用和责任概由</w:t>
      </w:r>
      <w:r>
        <w:rPr>
          <w:rFonts w:hint="eastAsia" w:ascii="宋体" w:hAnsi="宋体" w:cs="宋体"/>
          <w:color w:val="auto"/>
          <w:highlight w:val="none"/>
          <w:lang w:eastAsia="zh-CN"/>
        </w:rPr>
        <w:t>投标人</w:t>
      </w:r>
      <w:r>
        <w:rPr>
          <w:rFonts w:hint="eastAsia" w:ascii="宋体" w:hAnsi="宋体" w:eastAsia="宋体" w:cs="宋体"/>
          <w:color w:val="auto"/>
          <w:highlight w:val="none"/>
        </w:rPr>
        <w:t>自负。招标人不接受单独或分别组织任何一个</w:t>
      </w:r>
      <w:r>
        <w:rPr>
          <w:rFonts w:hint="eastAsia" w:ascii="宋体" w:hAnsi="宋体" w:cs="宋体"/>
          <w:color w:val="auto"/>
          <w:highlight w:val="none"/>
          <w:lang w:eastAsia="zh-CN"/>
        </w:rPr>
        <w:t>投标人</w:t>
      </w:r>
      <w:r>
        <w:rPr>
          <w:rFonts w:hint="eastAsia" w:ascii="宋体" w:hAnsi="宋体" w:eastAsia="宋体" w:cs="宋体"/>
          <w:color w:val="auto"/>
          <w:highlight w:val="none"/>
        </w:rPr>
        <w:t>进行现场踏勘。</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9、带“★”号条款为文件实质性条款，供应商不得有一项出现负偏离，否则，视为无效响应。</w:t>
      </w:r>
    </w:p>
    <w:p>
      <w:pPr>
        <w:spacing w:line="360" w:lineRule="auto"/>
        <w:ind w:firstLine="420" w:firstLineChars="200"/>
        <w:rPr>
          <w:rFonts w:hint="eastAsia" w:ascii="宋体" w:hAnsi="宋体" w:cs="宋体"/>
          <w:b w:val="0"/>
          <w:bCs/>
          <w:color w:val="auto"/>
          <w:highlight w:val="none"/>
          <w:lang w:val="en-US" w:eastAsia="zh-CN"/>
        </w:rPr>
      </w:pPr>
    </w:p>
    <w:bookmarkEnd w:id="136"/>
    <w:p>
      <w:pPr>
        <w:spacing w:line="360" w:lineRule="auto"/>
        <w:ind w:firstLine="420" w:firstLineChars="200"/>
        <w:rPr>
          <w:rFonts w:hint="eastAsia" w:ascii="宋体" w:hAnsi="宋体" w:cs="宋体"/>
          <w:color w:val="auto"/>
          <w:highlight w:val="none"/>
        </w:rPr>
      </w:pPr>
    </w:p>
    <w:p>
      <w:pPr>
        <w:rPr>
          <w:rFonts w:hint="eastAsia" w:ascii="宋体" w:hAnsi="宋体" w:cs="宋体"/>
          <w:color w:val="auto"/>
          <w:highlight w:val="none"/>
        </w:rPr>
      </w:pPr>
      <w:r>
        <w:rPr>
          <w:rFonts w:hint="eastAsia" w:ascii="宋体" w:hAnsi="宋体" w:cs="宋体"/>
          <w:color w:val="auto"/>
          <w:highlight w:val="none"/>
        </w:rPr>
        <w:br w:type="page"/>
      </w:r>
    </w:p>
    <w:bookmarkEnd w:id="133"/>
    <w:bookmarkEnd w:id="134"/>
    <w:bookmarkEnd w:id="137"/>
    <w:p>
      <w:pPr>
        <w:pStyle w:val="22"/>
        <w:adjustRightInd w:val="0"/>
        <w:snapToGrid w:val="0"/>
        <w:spacing w:line="360" w:lineRule="auto"/>
        <w:jc w:val="center"/>
        <w:outlineLvl w:val="0"/>
        <w:rPr>
          <w:rFonts w:hint="eastAsia" w:hAnsi="宋体" w:cs="宋体"/>
          <w:b/>
          <w:color w:val="auto"/>
          <w:sz w:val="32"/>
          <w:szCs w:val="32"/>
          <w:highlight w:val="none"/>
        </w:rPr>
      </w:pPr>
      <w:bookmarkStart w:id="239" w:name="_Toc1585"/>
      <w:r>
        <w:rPr>
          <w:rFonts w:hint="eastAsia" w:hAnsi="宋体" w:cs="宋体"/>
          <w:b/>
          <w:color w:val="auto"/>
          <w:sz w:val="32"/>
          <w:szCs w:val="32"/>
          <w:highlight w:val="none"/>
        </w:rPr>
        <w:t>第六章 政府采购合同</w:t>
      </w:r>
      <w:bookmarkEnd w:id="239"/>
    </w:p>
    <w:p>
      <w:pPr>
        <w:pStyle w:val="3"/>
        <w:adjustRightInd w:val="0"/>
        <w:snapToGrid w:val="0"/>
        <w:jc w:val="center"/>
        <w:rPr>
          <w:rFonts w:hint="eastAsia" w:ascii="黑体" w:hAnsi="华文中宋" w:eastAsia="黑体"/>
          <w:color w:val="auto"/>
          <w:sz w:val="28"/>
          <w:szCs w:val="28"/>
          <w:highlight w:val="none"/>
        </w:rPr>
      </w:pPr>
      <w:bookmarkStart w:id="240" w:name="_Toc20871"/>
      <w:bookmarkStart w:id="241" w:name="_Toc17570"/>
      <w:r>
        <w:rPr>
          <w:rFonts w:hint="eastAsia" w:ascii="黑体" w:hAnsi="华文中宋" w:eastAsia="黑体"/>
          <w:color w:val="auto"/>
          <w:sz w:val="28"/>
          <w:szCs w:val="28"/>
          <w:highlight w:val="none"/>
        </w:rPr>
        <w:t>第一节 政府采购合同协议书</w:t>
      </w:r>
      <w:bookmarkEnd w:id="240"/>
    </w:p>
    <w:p>
      <w:pPr>
        <w:adjustRightInd w:val="0"/>
        <w:snapToGrid w:val="0"/>
        <w:spacing w:before="161" w:beforeLines="50" w:line="360" w:lineRule="auto"/>
        <w:ind w:firstLine="5460" w:firstLineChars="2600"/>
        <w:rPr>
          <w:rFonts w:hint="eastAsia" w:ascii="宋体" w:hAnsi="宋体"/>
          <w:b/>
          <w:color w:val="auto"/>
          <w:szCs w:val="21"/>
          <w:highlight w:val="none"/>
        </w:rPr>
      </w:pPr>
      <w:r>
        <w:rPr>
          <w:rFonts w:hint="eastAsia" w:ascii="宋体" w:hAnsi="宋体"/>
          <w:color w:val="auto"/>
          <w:szCs w:val="21"/>
          <w:highlight w:val="none"/>
        </w:rPr>
        <w:t>采购合同编号：</w:t>
      </w:r>
      <w:r>
        <w:rPr>
          <w:rFonts w:ascii="宋体" w:hAnsi="宋体"/>
          <w:color w:val="auto"/>
          <w:szCs w:val="21"/>
          <w:highlight w:val="none"/>
          <w:u w:val="single"/>
        </w:rPr>
        <w:t xml:space="preserve">                 </w:t>
      </w:r>
    </w:p>
    <w:p>
      <w:pPr>
        <w:adjustRightInd w:val="0"/>
        <w:snapToGrid w:val="0"/>
        <w:spacing w:before="161" w:beforeLines="50" w:line="360" w:lineRule="auto"/>
        <w:jc w:val="center"/>
        <w:rPr>
          <w:rFonts w:hint="eastAsia" w:ascii="宋体" w:hAnsi="宋体"/>
          <w:b/>
          <w:color w:val="auto"/>
          <w:szCs w:val="21"/>
          <w:highlight w:val="none"/>
        </w:rPr>
      </w:pP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采购人（全称）：</w:t>
      </w:r>
      <w:r>
        <w:rPr>
          <w:rFonts w:hint="eastAsia" w:ascii="宋体" w:hAnsi="宋体"/>
          <w:color w:val="auto"/>
          <w:szCs w:val="21"/>
          <w:highlight w:val="none"/>
          <w:u w:val="single"/>
        </w:rPr>
        <w:t xml:space="preserve">                             </w:t>
      </w:r>
      <w:r>
        <w:rPr>
          <w:rFonts w:hint="eastAsia" w:ascii="宋体" w:hAnsi="宋体"/>
          <w:color w:val="auto"/>
          <w:szCs w:val="21"/>
          <w:highlight w:val="none"/>
        </w:rPr>
        <w:t>（甲方）</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供应商（全称）：</w:t>
      </w:r>
      <w:r>
        <w:rPr>
          <w:rFonts w:hint="eastAsia" w:ascii="宋体" w:hAnsi="宋体"/>
          <w:color w:val="auto"/>
          <w:szCs w:val="21"/>
          <w:highlight w:val="none"/>
          <w:u w:val="single"/>
        </w:rPr>
        <w:t xml:space="preserve">                             </w:t>
      </w:r>
      <w:r>
        <w:rPr>
          <w:rFonts w:hint="eastAsia" w:ascii="宋体" w:hAnsi="宋体"/>
          <w:color w:val="auto"/>
          <w:szCs w:val="21"/>
          <w:highlight w:val="none"/>
        </w:rPr>
        <w:t>（乙方）</w:t>
      </w:r>
    </w:p>
    <w:p>
      <w:pPr>
        <w:pStyle w:val="17"/>
        <w:adjustRightInd w:val="0"/>
        <w:snapToGrid w:val="0"/>
        <w:spacing w:before="161" w:beforeLines="50" w:after="0" w:line="360" w:lineRule="auto"/>
        <w:rPr>
          <w:rFonts w:hint="eastAsia" w:ascii="宋体" w:hAnsi="宋体"/>
          <w:color w:val="auto"/>
          <w:szCs w:val="21"/>
          <w:highlight w:val="none"/>
        </w:rPr>
      </w:pPr>
    </w:p>
    <w:p>
      <w:pPr>
        <w:pStyle w:val="17"/>
        <w:adjustRightInd w:val="0"/>
        <w:snapToGrid w:val="0"/>
        <w:spacing w:before="161" w:beforeLines="50" w:after="0" w:line="360" w:lineRule="auto"/>
        <w:ind w:left="0" w:leftChars="0" w:firstLine="420" w:firstLineChars="200"/>
        <w:rPr>
          <w:rFonts w:hint="eastAsia" w:ascii="宋体" w:hAnsi="宋体"/>
          <w:color w:val="auto"/>
          <w:szCs w:val="21"/>
          <w:highlight w:val="none"/>
        </w:rPr>
      </w:pPr>
      <w:r>
        <w:rPr>
          <w:rFonts w:hint="eastAsia" w:ascii="宋体" w:hAnsi="宋体"/>
          <w:color w:val="auto"/>
          <w:szCs w:val="21"/>
          <w:highlight w:val="none"/>
        </w:rPr>
        <w:t>为了保护甲、乙双方合法权益，根据《中华人民共和国民法典》、《中华人民共和国政府采购法》及其他有关法律、法规、规章，双方签订本合同协议书。</w:t>
      </w:r>
    </w:p>
    <w:p>
      <w:pPr>
        <w:adjustRightInd w:val="0"/>
        <w:snapToGrid w:val="0"/>
        <w:spacing w:before="161" w:beforeLines="50"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1.项目信息</w:t>
      </w:r>
    </w:p>
    <w:p>
      <w:pPr>
        <w:pStyle w:val="17"/>
        <w:adjustRightInd w:val="0"/>
        <w:snapToGrid w:val="0"/>
        <w:spacing w:before="161" w:beforeLines="50" w:after="0" w:line="360" w:lineRule="auto"/>
        <w:rPr>
          <w:rFonts w:hint="eastAsia" w:ascii="宋体" w:hAnsi="宋体"/>
          <w:color w:val="auto"/>
          <w:szCs w:val="21"/>
          <w:highlight w:val="none"/>
        </w:rPr>
      </w:pPr>
      <w:r>
        <w:rPr>
          <w:rFonts w:hint="eastAsia" w:ascii="宋体" w:hAnsi="宋体"/>
          <w:color w:val="auto"/>
          <w:szCs w:val="21"/>
          <w:highlight w:val="none"/>
        </w:rPr>
        <w:t>（1）采购项目名称：</w:t>
      </w:r>
      <w:r>
        <w:rPr>
          <w:rFonts w:ascii="宋体" w:hAnsi="宋体"/>
          <w:color w:val="auto"/>
          <w:szCs w:val="21"/>
          <w:highlight w:val="none"/>
          <w:u w:val="single"/>
        </w:rPr>
        <w:t xml:space="preserve">                                          </w:t>
      </w:r>
    </w:p>
    <w:p>
      <w:pPr>
        <w:pStyle w:val="17"/>
        <w:adjustRightInd w:val="0"/>
        <w:snapToGrid w:val="0"/>
        <w:spacing w:before="161" w:beforeLines="50" w:after="0" w:line="360" w:lineRule="auto"/>
        <w:rPr>
          <w:rFonts w:hint="eastAsia"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ascii="宋体" w:hAnsi="宋体"/>
          <w:color w:val="auto"/>
          <w:szCs w:val="21"/>
          <w:highlight w:val="non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（3）项目内容：</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（4）是否分包：</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（5）项目负责人：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（6）联系电话：</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adjustRightInd w:val="0"/>
        <w:snapToGrid w:val="0"/>
        <w:spacing w:before="161" w:beforeLines="50"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2.合同金额</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1260" w:firstLineChars="600"/>
        <w:rPr>
          <w:rFonts w:hint="eastAsia" w:ascii="宋体" w:hAnsi="宋体"/>
          <w:b/>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（2）具体标的见附件。</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pPr>
        <w:pStyle w:val="59"/>
        <w:spacing w:line="360" w:lineRule="auto"/>
        <w:ind w:firstLine="422"/>
        <w:rPr>
          <w:color w:val="auto"/>
          <w:highlight w:val="none"/>
        </w:rPr>
      </w:pPr>
      <w:r>
        <w:rPr>
          <w:rFonts w:hint="eastAsia" w:ascii="宋体" w:hAnsi="宋体"/>
          <w:color w:val="auto"/>
          <w:highlight w:val="none"/>
        </w:rPr>
        <w:t>（4）付款方式（按项目实际勾选填写）：</w:t>
      </w:r>
    </w:p>
    <w:p>
      <w:pPr>
        <w:adjustRightInd w:val="0"/>
        <w:snapToGrid w:val="0"/>
        <w:spacing w:before="161" w:beforeLines="50" w:line="360" w:lineRule="auto"/>
        <w:ind w:firstLine="630" w:firstLineChars="300"/>
        <w:rPr>
          <w:rFonts w:hint="eastAsia"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（应一次性支付全部合同款项）                    </w:t>
      </w:r>
    </w:p>
    <w:p>
      <w:pPr>
        <w:adjustRightInd w:val="0"/>
        <w:snapToGrid w:val="0"/>
        <w:spacing w:before="161" w:beforeLines="50" w:line="360" w:lineRule="auto"/>
        <w:ind w:firstLine="630" w:firstLineChars="300"/>
        <w:rPr>
          <w:rFonts w:hint="eastAsia"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预付款：</w:t>
      </w:r>
      <w:r>
        <w:rPr>
          <w:rFonts w:hint="eastAsia" w:ascii="宋体" w:hAnsi="宋体"/>
          <w:color w:val="auto"/>
          <w:szCs w:val="21"/>
          <w:highlight w:val="none"/>
          <w:u w:val="single"/>
        </w:rPr>
        <w:t xml:space="preserve">    （应明确预付款的支付比例和支付条件）               </w:t>
      </w:r>
    </w:p>
    <w:p>
      <w:pPr>
        <w:adjustRightInd w:val="0"/>
        <w:snapToGrid w:val="0"/>
        <w:spacing w:before="161" w:beforeLines="50"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（应按照季度分期支付合同款项）                   </w:t>
      </w:r>
    </w:p>
    <w:p>
      <w:pPr>
        <w:adjustRightInd w:val="0"/>
        <w:snapToGrid w:val="0"/>
        <w:spacing w:before="161" w:beforeLines="50"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（应明确按照成本补偿方式的支付方式和支付条件）   </w:t>
      </w:r>
    </w:p>
    <w:p>
      <w:pPr>
        <w:adjustRightInd w:val="0"/>
        <w:snapToGrid w:val="0"/>
        <w:spacing w:before="161" w:beforeLines="50"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（应明确按照绩效激励方式的支付方式和支付条件）   </w:t>
      </w:r>
    </w:p>
    <w:p>
      <w:pPr>
        <w:adjustRightInd w:val="0"/>
        <w:snapToGrid w:val="0"/>
        <w:spacing w:before="161" w:beforeLines="50" w:line="360" w:lineRule="auto"/>
        <w:ind w:firstLine="422" w:firstLineChars="200"/>
        <w:rPr>
          <w:rFonts w:hint="eastAsia" w:ascii="宋体" w:hAnsi="宋体"/>
          <w:color w:val="auto"/>
          <w:szCs w:val="21"/>
          <w:highlight w:val="none"/>
          <w:u w:val="single"/>
        </w:rPr>
      </w:pPr>
      <w:r>
        <w:rPr>
          <w:rFonts w:hint="eastAsia" w:ascii="宋体" w:hAnsi="宋体"/>
          <w:b/>
          <w:color w:val="auto"/>
          <w:szCs w:val="21"/>
          <w:highlight w:val="none"/>
        </w:rPr>
        <w:t>3.合同履行</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（1）起始日期：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日，完成日期：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日。总日历天数：</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pPr>
        <w:adjustRightInd w:val="0"/>
        <w:snapToGrid w:val="0"/>
        <w:spacing w:before="161" w:beforeLines="50"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（2）地点</w:t>
      </w:r>
      <w:r>
        <w:rPr>
          <w:rFonts w:hint="eastAsia" w:ascii="宋体" w:hAnsi="宋体"/>
          <w:b/>
          <w:color w:val="auto"/>
          <w:szCs w:val="21"/>
          <w:highlight w:val="none"/>
        </w:rPr>
        <w:t>：</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（3）方式：</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（4）履约担保：</w:t>
      </w:r>
      <w:r>
        <w:rPr>
          <w:rFonts w:hint="eastAsia" w:ascii="宋体" w:hAnsi="宋体"/>
          <w:bCs/>
          <w:color w:val="auto"/>
          <w:szCs w:val="21"/>
          <w:highlight w:val="none"/>
          <w:u w:val="single"/>
        </w:rPr>
        <w:t>履约担保的金额、形式和期限要求</w:t>
      </w:r>
      <w:r>
        <w:rPr>
          <w:rFonts w:hint="eastAsia" w:ascii="宋体" w:hAnsi="宋体"/>
          <w:bCs/>
          <w:color w:val="auto"/>
          <w:szCs w:val="21"/>
          <w:highlight w:val="none"/>
        </w:rPr>
        <w:t>。</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（5）质量保证金：</w:t>
      </w:r>
      <w:r>
        <w:rPr>
          <w:rFonts w:hint="eastAsia" w:ascii="宋体" w:hAnsi="宋体"/>
          <w:bCs/>
          <w:color w:val="auto"/>
          <w:szCs w:val="21"/>
          <w:highlight w:val="none"/>
          <w:u w:val="single"/>
        </w:rPr>
        <w:t>质量保证金的金额、形式和期限要求</w:t>
      </w:r>
      <w:r>
        <w:rPr>
          <w:rFonts w:hint="eastAsia" w:ascii="宋体" w:hAnsi="宋体"/>
          <w:bCs/>
          <w:color w:val="auto"/>
          <w:szCs w:val="21"/>
          <w:highlight w:val="none"/>
        </w:rPr>
        <w:t>。</w:t>
      </w:r>
    </w:p>
    <w:p>
      <w:pPr>
        <w:adjustRightInd w:val="0"/>
        <w:snapToGrid w:val="0"/>
        <w:spacing w:before="161" w:beforeLines="50"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4.合同验收</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（1）验收主体：</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（2）验收方式：</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（3）验收标准：</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pPr>
        <w:adjustRightInd w:val="0"/>
        <w:snapToGrid w:val="0"/>
        <w:spacing w:before="161" w:beforeLines="50"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5.组成合同的文件</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（2）本合同协议书</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（3）中标通知书</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（4）投标文件</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（5）政府采购合同专用条款</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（6）政府采购合同通用条款</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（7）标准、规范及有关技术文件，图纸。</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（8）其他合同文件。</w:t>
      </w:r>
    </w:p>
    <w:p>
      <w:pPr>
        <w:adjustRightInd w:val="0"/>
        <w:snapToGrid w:val="0"/>
        <w:spacing w:before="161" w:beforeLines="50" w:line="360" w:lineRule="auto"/>
        <w:ind w:firstLine="310" w:firstLineChars="147"/>
        <w:rPr>
          <w:rFonts w:hint="eastAsia" w:ascii="宋体" w:hAnsi="宋体"/>
          <w:b/>
          <w:color w:val="auto"/>
          <w:szCs w:val="21"/>
          <w:highlight w:val="none"/>
        </w:rPr>
      </w:pPr>
      <w:r>
        <w:rPr>
          <w:rFonts w:hint="eastAsia" w:ascii="宋体" w:hAnsi="宋体"/>
          <w:b/>
          <w:color w:val="auto"/>
          <w:szCs w:val="21"/>
          <w:highlight w:val="none"/>
        </w:rPr>
        <w:t>6.合同生效</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pPr>
        <w:adjustRightInd w:val="0"/>
        <w:snapToGrid w:val="0"/>
        <w:spacing w:before="161" w:beforeLines="50" w:line="360" w:lineRule="auto"/>
        <w:ind w:firstLine="310" w:firstLineChars="147"/>
        <w:rPr>
          <w:rFonts w:hint="eastAsia" w:ascii="宋体" w:hAnsi="宋体"/>
          <w:b/>
          <w:color w:val="auto"/>
          <w:szCs w:val="21"/>
          <w:highlight w:val="none"/>
        </w:rPr>
      </w:pPr>
      <w:r>
        <w:rPr>
          <w:rFonts w:hint="eastAsia" w:ascii="宋体" w:hAnsi="宋体"/>
          <w:b/>
          <w:color w:val="auto"/>
          <w:szCs w:val="21"/>
          <w:highlight w:val="none"/>
        </w:rPr>
        <w:t>7.合同份数</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份，采购人执</w:t>
      </w:r>
      <w:r>
        <w:rPr>
          <w:rFonts w:hint="eastAsia" w:ascii="宋体" w:hAnsi="宋体"/>
          <w:color w:val="auto"/>
          <w:szCs w:val="21"/>
          <w:highlight w:val="none"/>
          <w:u w:val="single"/>
        </w:rPr>
        <w:t xml:space="preserve">   </w:t>
      </w:r>
      <w:r>
        <w:rPr>
          <w:rFonts w:hint="eastAsia" w:ascii="宋体" w:hAnsi="宋体"/>
          <w:color w:val="auto"/>
          <w:szCs w:val="21"/>
          <w:highlight w:val="none"/>
        </w:rPr>
        <w:t>份，供应商执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pPr>
        <w:adjustRightInd w:val="0"/>
        <w:snapToGrid w:val="0"/>
        <w:spacing w:before="161" w:beforeLines="50" w:line="360" w:lineRule="auto"/>
        <w:rPr>
          <w:rFonts w:hint="eastAsia" w:ascii="宋体" w:hAnsi="宋体"/>
          <w:color w:val="auto"/>
          <w:szCs w:val="21"/>
          <w:highlight w:val="none"/>
        </w:rPr>
      </w:pP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附件：具体标的明细、分包合同等。    </w:t>
      </w:r>
    </w:p>
    <w:p>
      <w:pPr>
        <w:pStyle w:val="59"/>
        <w:ind w:firstLine="422"/>
        <w:rPr>
          <w:rFonts w:hint="eastAsia" w:ascii="宋体" w:hAnsi="宋体"/>
          <w:color w:val="auto"/>
          <w:highlight w:val="none"/>
        </w:rPr>
      </w:pPr>
    </w:p>
    <w:p>
      <w:pPr>
        <w:pStyle w:val="59"/>
        <w:ind w:firstLine="422"/>
        <w:rPr>
          <w:rFonts w:hint="eastAsia" w:ascii="宋体" w:hAnsi="宋体"/>
          <w:color w:val="auto"/>
          <w:highlight w:val="none"/>
        </w:rPr>
      </w:pP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甲      方：（公章）                     乙      方：（公章）</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w:t>
      </w:r>
      <w:r>
        <w:rPr>
          <w:rFonts w:hint="eastAsia" w:ascii="宋体" w:hAnsi="宋体"/>
          <w:color w:val="auto"/>
          <w:szCs w:val="21"/>
          <w:highlight w:val="none"/>
          <w:u w:val="single"/>
        </w:rPr>
        <w:t xml:space="preserve">                   </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olor w:val="auto"/>
          <w:szCs w:val="21"/>
          <w:highlight w:val="none"/>
          <w:u w:val="single"/>
        </w:rPr>
        <w:t xml:space="preserve">                   </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开 户 银 行：</w:t>
      </w:r>
      <w:r>
        <w:rPr>
          <w:rFonts w:hint="eastAsia" w:ascii="宋体" w:hAnsi="宋体"/>
          <w:color w:val="auto"/>
          <w:szCs w:val="21"/>
          <w:highlight w:val="none"/>
          <w:u w:val="single"/>
        </w:rPr>
        <w:t xml:space="preserve">                   </w:t>
      </w:r>
    </w:p>
    <w:p>
      <w:pPr>
        <w:adjustRightInd w:val="0"/>
        <w:snapToGrid w:val="0"/>
        <w:spacing w:before="161" w:beforeLines="50" w:line="360" w:lineRule="auto"/>
        <w:jc w:val="center"/>
        <w:rPr>
          <w:rFonts w:hint="eastAsia" w:ascii="宋体" w:hAnsi="宋体"/>
          <w:b/>
          <w:color w:val="auto"/>
          <w:szCs w:val="21"/>
          <w:highlight w:val="none"/>
        </w:rPr>
      </w:pPr>
      <w:r>
        <w:rPr>
          <w:rFonts w:hint="eastAsia" w:ascii="宋体" w:hAnsi="宋体"/>
          <w:color w:val="auto"/>
          <w:szCs w:val="21"/>
          <w:highlight w:val="none"/>
        </w:rPr>
        <w:t xml:space="preserve">         账       号：</w:t>
      </w:r>
      <w:r>
        <w:rPr>
          <w:rFonts w:hint="eastAsia" w:ascii="宋体" w:hAnsi="宋体"/>
          <w:color w:val="auto"/>
          <w:szCs w:val="21"/>
          <w:highlight w:val="none"/>
          <w:u w:val="single"/>
        </w:rPr>
        <w:t xml:space="preserve">                   </w:t>
      </w:r>
    </w:p>
    <w:p>
      <w:pPr>
        <w:adjustRightInd w:val="0"/>
        <w:snapToGrid w:val="0"/>
        <w:spacing w:before="161" w:beforeLines="50" w:line="360" w:lineRule="auto"/>
        <w:rPr>
          <w:rFonts w:hint="eastAsia" w:ascii="宋体" w:hAnsi="宋体"/>
          <w:color w:val="auto"/>
          <w:szCs w:val="21"/>
          <w:highlight w:val="none"/>
        </w:rPr>
      </w:pP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pStyle w:val="3"/>
        <w:adjustRightInd w:val="0"/>
        <w:snapToGrid w:val="0"/>
        <w:spacing w:before="161" w:beforeLines="50"/>
        <w:jc w:val="center"/>
        <w:rPr>
          <w:rFonts w:hint="eastAsia" w:ascii="黑体" w:hAnsi="黑体" w:eastAsia="黑体"/>
          <w:color w:val="auto"/>
          <w:sz w:val="28"/>
          <w:szCs w:val="28"/>
          <w:highlight w:val="none"/>
        </w:rPr>
      </w:pPr>
      <w:r>
        <w:rPr>
          <w:rFonts w:ascii="宋体" w:hAnsi="宋体"/>
          <w:color w:val="auto"/>
          <w:sz w:val="21"/>
          <w:szCs w:val="21"/>
          <w:highlight w:val="none"/>
          <w:u w:val="single"/>
        </w:rPr>
        <w:br w:type="page"/>
      </w:r>
      <w:bookmarkStart w:id="242" w:name="_Toc765"/>
      <w:r>
        <w:rPr>
          <w:rFonts w:hint="eastAsia" w:ascii="黑体" w:hAnsi="黑体" w:eastAsia="黑体"/>
          <w:color w:val="auto"/>
          <w:sz w:val="28"/>
          <w:szCs w:val="28"/>
          <w:highlight w:val="none"/>
        </w:rPr>
        <w:t>第二节 政府采购合同通用条款</w:t>
      </w:r>
      <w:bookmarkEnd w:id="242"/>
    </w:p>
    <w:p>
      <w:pPr>
        <w:tabs>
          <w:tab w:val="left" w:pos="8820"/>
          <w:tab w:val="left" w:pos="9345"/>
          <w:tab w:val="left" w:pos="9765"/>
        </w:tabs>
        <w:adjustRightInd w:val="0"/>
        <w:snapToGrid w:val="0"/>
        <w:spacing w:before="50" w:line="360" w:lineRule="auto"/>
        <w:jc w:val="left"/>
        <w:rPr>
          <w:rFonts w:hint="eastAsia"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1.1合同当事人</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（1）采购人（以下称甲方）是指使用财政性资金，通过政府采购方式向供应商购买货物、服务的国家机关、事业单位、团体组织。本次采购的甲方名称、地址见</w:t>
      </w:r>
      <w:r>
        <w:rPr>
          <w:rFonts w:hint="eastAsia" w:ascii="宋体" w:hAnsi="宋体"/>
          <w:b/>
          <w:color w:val="auto"/>
          <w:szCs w:val="21"/>
          <w:highlight w:val="none"/>
        </w:rPr>
        <w:t>【政府采购合同专用条款】。</w:t>
      </w:r>
    </w:p>
    <w:p>
      <w:pPr>
        <w:autoSpaceDE w:val="0"/>
        <w:autoSpaceDN w:val="0"/>
        <w:adjustRightInd w:val="0"/>
        <w:snapToGrid w:val="0"/>
        <w:spacing w:before="50" w:line="360" w:lineRule="auto"/>
        <w:ind w:firstLine="420" w:firstLineChars="200"/>
        <w:jc w:val="left"/>
        <w:rPr>
          <w:rFonts w:hint="eastAsia" w:ascii="宋体" w:hAnsi="宋体"/>
          <w:b/>
          <w:color w:val="auto"/>
          <w:szCs w:val="21"/>
          <w:highlight w:val="none"/>
        </w:rPr>
      </w:pPr>
      <w:r>
        <w:rPr>
          <w:rFonts w:hint="eastAsia" w:ascii="宋体" w:hAnsi="宋体"/>
          <w:color w:val="auto"/>
          <w:szCs w:val="21"/>
          <w:highlight w:val="none"/>
        </w:rPr>
        <w:t>（2）供应商（以下称乙方）是指参加政府采购活动而取得中标结果，并向采购人提供货物、服务的法人、其他组织或者自然人。</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1.2本合同下列术语应解释为：</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pPr>
        <w:tabs>
          <w:tab w:val="left" w:pos="570"/>
          <w:tab w:val="left" w:pos="888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（5）“合同条款”系指本合同及其附件、补充文件约定的全部条款。</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2.合同的适用范围</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2.2 合同内容根据招标文件、投标文件而确定。</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3.</w:t>
      </w:r>
      <w:r>
        <w:rPr>
          <w:rFonts w:hint="eastAsia" w:ascii="宋体" w:hAnsi="宋体"/>
          <w:b/>
          <w:color w:val="auto"/>
          <w:sz w:val="24"/>
          <w:highlight w:val="none"/>
        </w:rPr>
        <w:t>合同标的及金额</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3.1 合同标的及金额应与中标结果一致。</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合同价款</w:t>
      </w:r>
    </w:p>
    <w:p>
      <w:pPr>
        <w:adjustRightInd w:val="0"/>
        <w:snapToGrid w:val="0"/>
        <w:spacing w:before="50" w:line="360" w:lineRule="auto"/>
        <w:ind w:firstLine="420" w:firstLineChars="200"/>
        <w:jc w:val="left"/>
        <w:rPr>
          <w:rFonts w:hint="eastAsia"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pPr>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5.履行合同的时间、地点和方式</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5.2 乙方提供服务的应当在甲方指定的时间和地点完成服务项目。</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6.</w:t>
      </w:r>
      <w:r>
        <w:rPr>
          <w:rFonts w:hint="eastAsia" w:ascii="宋体" w:hAnsi="宋体"/>
          <w:b/>
          <w:color w:val="auto"/>
          <w:sz w:val="24"/>
          <w:highlight w:val="none"/>
        </w:rPr>
        <w:t>货物的验收</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6.1 甲方在收到乙方交付的货物后应当及时组织验收。</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6.2 货物的表面瑕疵，甲方应在验收时提出；对质量问题有异议的应在安装调试后提出。</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乙方提供的进口产品，乙方应出示中华人民共和国进出口商品检验部门出具的检验证书（招标文件第五章采购需求另有约定的除外）。</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7.货物包装要求</w:t>
      </w:r>
    </w:p>
    <w:p>
      <w:pPr>
        <w:autoSpaceDE w:val="0"/>
        <w:autoSpaceDN w:val="0"/>
        <w:adjustRightInd w:val="0"/>
        <w:snapToGrid w:val="0"/>
        <w:spacing w:before="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pPr>
        <w:autoSpaceDE w:val="0"/>
        <w:autoSpaceDN w:val="0"/>
        <w:adjustRightInd w:val="0"/>
        <w:snapToGrid w:val="0"/>
        <w:spacing w:before="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 乙方交付的货物应按照《关于印发&lt;商品包装政府采购需求标准（试行）&gt;、&lt;快递包装政府采购需求标准（试行）&gt;的通知》的要求进行包装。</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7.3 每一个包装箱内应附一份详细装箱单、质量证书和保修保养证书。</w:t>
      </w:r>
    </w:p>
    <w:p>
      <w:pPr>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8.运输和保险</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pPr>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9.质量标准和保证</w:t>
      </w:r>
    </w:p>
    <w:p>
      <w:pPr>
        <w:pStyle w:val="22"/>
        <w:adjustRightInd w:val="0"/>
        <w:snapToGrid w:val="0"/>
        <w:spacing w:before="50" w:line="360" w:lineRule="auto"/>
        <w:ind w:firstLine="420" w:firstLineChars="200"/>
        <w:jc w:val="left"/>
        <w:rPr>
          <w:rFonts w:hint="eastAsia" w:hAnsi="宋体"/>
          <w:b/>
          <w:color w:val="auto"/>
          <w:highlight w:val="none"/>
        </w:rPr>
      </w:pPr>
      <w:r>
        <w:rPr>
          <w:rFonts w:hint="eastAsia" w:hAnsi="宋体"/>
          <w:color w:val="auto"/>
          <w:highlight w:val="none"/>
        </w:rPr>
        <w:t>9.1 质量标准</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（1）本合同下交付的货物应符合招标</w:t>
      </w:r>
      <w:r>
        <w:rPr>
          <w:rFonts w:hint="eastAsia" w:ascii="宋体" w:hAnsi="宋体" w:cs="Courier New"/>
          <w:bCs/>
          <w:color w:val="auto"/>
          <w:szCs w:val="21"/>
          <w:highlight w:val="none"/>
        </w:rPr>
        <w:t>文件第五章“采购需求”</w:t>
      </w:r>
      <w:r>
        <w:rPr>
          <w:rFonts w:hint="eastAsia" w:ascii="宋体" w:hAnsi="宋体"/>
          <w:color w:val="auto"/>
          <w:szCs w:val="21"/>
          <w:highlight w:val="none"/>
        </w:rPr>
        <w:t>所述的标准。如果没有提及适用标准，则应符合中华人民共和国有关机构发布的最新版本的标准。</w:t>
      </w:r>
    </w:p>
    <w:p>
      <w:pPr>
        <w:pStyle w:val="22"/>
        <w:adjustRightInd w:val="0"/>
        <w:snapToGrid w:val="0"/>
        <w:spacing w:before="50" w:line="360" w:lineRule="auto"/>
        <w:ind w:firstLine="420" w:firstLineChars="200"/>
        <w:jc w:val="left"/>
        <w:rPr>
          <w:rFonts w:hint="eastAsia" w:hAnsi="宋体"/>
          <w:color w:val="auto"/>
          <w:highlight w:val="none"/>
        </w:rPr>
      </w:pPr>
      <w:r>
        <w:rPr>
          <w:rFonts w:hint="eastAsia" w:hAnsi="宋体"/>
          <w:color w:val="auto"/>
          <w:highlight w:val="none"/>
        </w:rPr>
        <w:t>（2）采用中华人民共和国法定计量单位。</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（3）乙方所出售的货物还应符合国家有关安全、环保、卫生之规定。</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9.2 保证</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pPr>
        <w:adjustRightInd w:val="0"/>
        <w:snapToGrid w:val="0"/>
        <w:spacing w:before="50" w:line="360" w:lineRule="auto"/>
        <w:ind w:firstLine="420" w:firstLineChars="200"/>
        <w:jc w:val="left"/>
        <w:rPr>
          <w:rFonts w:hint="eastAsia" w:ascii="宋体" w:hAnsi="宋体"/>
          <w:b/>
          <w:color w:val="auto"/>
          <w:szCs w:val="21"/>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（5）乙方在约定的时间内未能弥补缺陷，甲方可采取必要的补救措施，但其风险和费用将由乙方承担，甲方根据合同规定对乙方行使的其他权利不受影响。</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10.权利瑕疵担保</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10.1 乙方保证对其出售的货物享有合法的权利。</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10.2 乙方保证在其出售的货物上不存在任何未曾向甲方透露的担保物权，如抵押权、质押权、留置权等。</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10.3 如甲方使用该货物构成上述侵权的，则由乙方承担全部责任。</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11.知识产权保护</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12.保密义务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13.合同价款支付</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13.2 合同价款构成中应当由财政支付的部分，甲方应当在货物验收合格</w:t>
      </w:r>
      <w:bookmarkStart w:id="243" w:name="_Hlk159253476"/>
      <w:r>
        <w:rPr>
          <w:rFonts w:hint="eastAsia" w:ascii="宋体" w:hAnsi="宋体"/>
          <w:color w:val="auto"/>
          <w:szCs w:val="21"/>
          <w:highlight w:val="none"/>
        </w:rPr>
        <w:t>并收到乙方开具的等额增值税发票</w:t>
      </w:r>
      <w:bookmarkEnd w:id="243"/>
      <w:r>
        <w:rPr>
          <w:rFonts w:hint="eastAsia" w:ascii="宋体" w:hAnsi="宋体"/>
          <w:color w:val="auto"/>
          <w:szCs w:val="21"/>
          <w:highlight w:val="none"/>
        </w:rPr>
        <w:t>后向国库管理部门申请支付，经国库管理部门审核后支付给乙方。</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13.3 合同价款构成中应当由甲方自行支付的部分，甲方应当在货物验收合格并收到乙方开具的等额增值税发票后支付。</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乙方应提供的</w:t>
      </w:r>
      <w:r>
        <w:rPr>
          <w:rFonts w:hint="eastAsia" w:ascii="宋体" w:hAnsi="宋体"/>
          <w:b/>
          <w:color w:val="auto"/>
          <w:sz w:val="24"/>
          <w:highlight w:val="none"/>
        </w:rPr>
        <w:t>服务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14.2 乙方还应提供下列服务：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（1）货物的现场移动、安装、调试、启动监督及技术支持；</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（2）提供货物组装和维修所需的专用工具和辅助材料；</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14.3 乙方提供的服务的费用应包含在合同价款中，甲方不再另行支付。</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15.违约责任</w:t>
      </w:r>
    </w:p>
    <w:p>
      <w:pPr>
        <w:adjustRightInd w:val="0"/>
        <w:snapToGrid w:val="0"/>
        <w:spacing w:before="50"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15.1质量瑕疵的补救措施和索赔</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①乙方退货并将货款退还给甲方，由此发生的一切费用和损失由乙方承担。</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②根据货物的质量状况以及甲方所遭受的损失，经过甲乙双方商定降低货物的价格。</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pPr>
        <w:autoSpaceDE w:val="0"/>
        <w:autoSpaceDN w:val="0"/>
        <w:adjustRightInd w:val="0"/>
        <w:snapToGrid w:val="0"/>
        <w:spacing w:before="50"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15.2 迟延交货的违约责任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w:t>
      </w:r>
      <w:bookmarkStart w:id="244" w:name="_Hlk159253532"/>
      <w:r>
        <w:rPr>
          <w:rFonts w:hint="eastAsia" w:ascii="宋体" w:hAnsi="宋体"/>
          <w:color w:val="auto"/>
          <w:szCs w:val="21"/>
          <w:highlight w:val="none"/>
        </w:rPr>
        <w:t>当误期赔偿费超过合同价的百分之五（5%）</w:t>
      </w:r>
      <w:bookmarkEnd w:id="244"/>
      <w:r>
        <w:rPr>
          <w:rFonts w:hint="eastAsia" w:ascii="宋体" w:hAnsi="宋体"/>
          <w:color w:val="auto"/>
          <w:szCs w:val="21"/>
          <w:highlight w:val="none"/>
        </w:rPr>
        <w:t>，甲方还可以终止合同。</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16.合同的变更</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17.合同中止与终止</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17.1合同的中止</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17.2合同的终止</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（1）合同因有效期限届满而终止；</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18.合同转让和分包</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18.1 乙方不得以任何形式将合同转包。</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18.2 乙方未在投标文件中说明，不得将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19.不可抗力</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20.解决争议的方法</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20.2 调解不成可以向甲方所在地人民法院提起诉讼。</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20.3 如诉讼事项不影响合同其它部分的履行，则在诉讼期间，除正在进行诉讼的部分外，合同的其它部分应继续执行。</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21.法律适用</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bCs/>
          <w:color w:val="auto"/>
          <w:sz w:val="24"/>
          <w:highlight w:val="none"/>
        </w:rPr>
        <w:t>22.</w:t>
      </w:r>
      <w:r>
        <w:rPr>
          <w:rFonts w:hint="eastAsia" w:ascii="宋体" w:hAnsi="宋体"/>
          <w:b/>
          <w:color w:val="auto"/>
          <w:sz w:val="24"/>
          <w:highlight w:val="none"/>
        </w:rPr>
        <w:t>通知</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22.1本合同一方给另一方的通知</w:t>
      </w:r>
      <w:bookmarkStart w:id="245" w:name="_Hlk159253608"/>
      <w:r>
        <w:rPr>
          <w:rFonts w:hint="eastAsia" w:ascii="宋体" w:hAnsi="宋体"/>
          <w:color w:val="auto"/>
          <w:szCs w:val="21"/>
          <w:highlight w:val="none"/>
        </w:rPr>
        <w:t>以及各方的文件往来及与司法机关的司法诉讼文书等</w:t>
      </w:r>
      <w:bookmarkEnd w:id="245"/>
      <w:r>
        <w:rPr>
          <w:rFonts w:hint="eastAsia" w:ascii="宋体" w:hAnsi="宋体"/>
          <w:color w:val="auto"/>
          <w:szCs w:val="21"/>
          <w:highlight w:val="none"/>
        </w:rPr>
        <w:t>均应采用书面形式，</w:t>
      </w:r>
      <w:bookmarkStart w:id="246" w:name="_Hlk159253624"/>
      <w:r>
        <w:rPr>
          <w:rFonts w:hint="eastAsia" w:ascii="宋体" w:hAnsi="宋体"/>
          <w:color w:val="auto"/>
          <w:szCs w:val="21"/>
          <w:highlight w:val="none"/>
        </w:rPr>
        <w:t>通知文件</w:t>
      </w:r>
      <w:bookmarkEnd w:id="246"/>
      <w:r>
        <w:rPr>
          <w:rFonts w:hint="eastAsia" w:ascii="宋体" w:hAnsi="宋体"/>
          <w:color w:val="auto"/>
          <w:szCs w:val="21"/>
          <w:highlight w:val="none"/>
        </w:rPr>
        <w:t>送到本合同中规定的对方的地址</w:t>
      </w:r>
      <w:bookmarkStart w:id="247" w:name="_Hlk159253639"/>
      <w:r>
        <w:rPr>
          <w:rFonts w:hint="eastAsia" w:ascii="宋体" w:hAnsi="宋体"/>
          <w:color w:val="auto"/>
          <w:szCs w:val="21"/>
          <w:highlight w:val="none"/>
        </w:rPr>
        <w:t>或联系方式上</w:t>
      </w:r>
      <w:bookmarkEnd w:id="247"/>
      <w:r>
        <w:rPr>
          <w:rFonts w:hint="eastAsia" w:ascii="宋体" w:hAnsi="宋体"/>
          <w:color w:val="auto"/>
          <w:szCs w:val="21"/>
          <w:highlight w:val="none"/>
        </w:rPr>
        <w:t>视为送达。</w:t>
      </w:r>
      <w:bookmarkStart w:id="248" w:name="_Hlk159253652"/>
      <w:r>
        <w:rPr>
          <w:rFonts w:hint="eastAsia" w:ascii="宋体" w:hAnsi="宋体"/>
          <w:color w:val="auto"/>
          <w:szCs w:val="21"/>
          <w:highlight w:val="none"/>
        </w:rPr>
        <w:t>联系方式发生变更的，应在变更之日起3个工作日内书面通知另一方。</w:t>
      </w:r>
    </w:p>
    <w:bookmarkEnd w:id="248"/>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23. 合同未尽事项</w:t>
      </w:r>
    </w:p>
    <w:p>
      <w:pPr>
        <w:adjustRightInd w:val="0"/>
        <w:snapToGrid w:val="0"/>
        <w:spacing w:before="50"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24.合同生效</w:t>
      </w:r>
    </w:p>
    <w:p>
      <w:pPr>
        <w:autoSpaceDE w:val="0"/>
        <w:autoSpaceDN w:val="0"/>
        <w:adjustRightInd w:val="0"/>
        <w:snapToGrid w:val="0"/>
        <w:spacing w:before="50" w:line="360" w:lineRule="auto"/>
        <w:ind w:firstLine="420" w:firstLineChars="200"/>
        <w:jc w:val="left"/>
        <w:rPr>
          <w:rFonts w:hint="eastAsia" w:ascii="黑体" w:hAnsi="黑体" w:eastAsia="黑体"/>
          <w:b/>
          <w:bCs/>
          <w:color w:val="auto"/>
          <w:sz w:val="10"/>
          <w:szCs w:val="10"/>
          <w:highlight w:val="none"/>
        </w:rPr>
      </w:pPr>
      <w:r>
        <w:rPr>
          <w:rFonts w:hint="eastAsia" w:ascii="宋体" w:hAnsi="宋体"/>
          <w:color w:val="auto"/>
          <w:szCs w:val="21"/>
          <w:highlight w:val="none"/>
        </w:rPr>
        <w:t>24.1 本合同在合同双方签字盖章后生效。</w:t>
      </w:r>
      <w:r>
        <w:rPr>
          <w:rFonts w:ascii="黑体" w:hAnsi="黑体" w:eastAsia="黑体"/>
          <w:b/>
          <w:bCs/>
          <w:color w:val="auto"/>
          <w:sz w:val="32"/>
          <w:highlight w:val="none"/>
        </w:rPr>
        <w:br w:type="page"/>
      </w:r>
    </w:p>
    <w:p>
      <w:pPr>
        <w:pStyle w:val="3"/>
        <w:adjustRightInd w:val="0"/>
        <w:snapToGrid w:val="0"/>
        <w:jc w:val="center"/>
        <w:rPr>
          <w:rFonts w:hint="eastAsia" w:ascii="黑体" w:hAnsi="华文中宋" w:eastAsia="黑体"/>
          <w:color w:val="auto"/>
          <w:sz w:val="28"/>
          <w:szCs w:val="28"/>
          <w:highlight w:val="none"/>
        </w:rPr>
      </w:pPr>
      <w:bookmarkStart w:id="249" w:name="_Toc14411"/>
      <w:r>
        <w:rPr>
          <w:rFonts w:hint="eastAsia" w:ascii="黑体" w:hAnsi="华文中宋" w:eastAsia="黑体"/>
          <w:color w:val="auto"/>
          <w:sz w:val="28"/>
          <w:szCs w:val="28"/>
          <w:highlight w:val="none"/>
        </w:rPr>
        <w:t>第三节 政府采购合同专用条款</w:t>
      </w:r>
      <w:bookmarkEnd w:id="249"/>
    </w:p>
    <w:p>
      <w:pPr>
        <w:adjustRightInd w:val="0"/>
        <w:snapToGrid w:val="0"/>
        <w:spacing w:line="360" w:lineRule="auto"/>
        <w:jc w:val="center"/>
        <w:rPr>
          <w:rFonts w:hint="eastAsia" w:ascii="宋体" w:hAnsi="宋体"/>
          <w:color w:val="auto"/>
          <w:sz w:val="24"/>
          <w:highlight w:val="none"/>
        </w:rPr>
      </w:pPr>
    </w:p>
    <w:tbl>
      <w:tblPr>
        <w:tblStyle w:val="42"/>
        <w:tblW w:w="900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843"/>
        <w:gridCol w:w="546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第1.1款</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 xml:space="preserve">甲方名称、地址 </w:t>
            </w:r>
          </w:p>
        </w:tc>
        <w:tc>
          <w:tcPr>
            <w:tcW w:w="5464" w:type="dxa"/>
            <w:tcBorders>
              <w:tl2br w:val="nil"/>
              <w:tr2bl w:val="nil"/>
            </w:tcBorders>
            <w:vAlign w:val="center"/>
          </w:tcPr>
          <w:p>
            <w:pPr>
              <w:textAlignment w:val="baseline"/>
              <w:rPr>
                <w:rStyle w:val="151"/>
                <w:color w:val="auto"/>
                <w:highlight w:val="none"/>
              </w:rPr>
            </w:pPr>
            <w:r>
              <w:rPr>
                <w:rStyle w:val="151"/>
                <w:color w:val="auto"/>
                <w:highlight w:val="none"/>
              </w:rPr>
              <w:t>甲方名称：</w:t>
            </w:r>
            <w:r>
              <w:rPr>
                <w:rStyle w:val="151"/>
                <w:rFonts w:hint="eastAsia"/>
                <w:color w:val="auto"/>
                <w:highlight w:val="none"/>
              </w:rPr>
              <w:t>湖南化工职业技术学院</w:t>
            </w:r>
            <w:r>
              <w:rPr>
                <w:rStyle w:val="151"/>
                <w:color w:val="auto"/>
                <w:highlight w:val="none"/>
              </w:rPr>
              <w:t>；</w:t>
            </w:r>
          </w:p>
          <w:p>
            <w:pPr>
              <w:textAlignment w:val="baseline"/>
              <w:rPr>
                <w:rFonts w:hint="eastAsia" w:ascii="宋体" w:hAnsi="宋体"/>
                <w:color w:val="auto"/>
                <w:szCs w:val="21"/>
                <w:highlight w:val="none"/>
              </w:rPr>
            </w:pPr>
            <w:r>
              <w:rPr>
                <w:rStyle w:val="151"/>
                <w:color w:val="auto"/>
                <w:highlight w:val="none"/>
              </w:rPr>
              <w:t>地    址：</w:t>
            </w:r>
            <w:r>
              <w:rPr>
                <w:rFonts w:hint="eastAsia" w:ascii="宋体" w:hAnsi="宋体"/>
                <w:color w:val="auto"/>
                <w:szCs w:val="21"/>
                <w:highlight w:val="none"/>
              </w:rPr>
              <w:t>株洲市云龙职教城智慧大道1号</w:t>
            </w:r>
            <w:r>
              <w:rPr>
                <w:rStyle w:val="151"/>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第1.2（6）项</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项目现场</w:t>
            </w:r>
          </w:p>
        </w:tc>
        <w:tc>
          <w:tcPr>
            <w:tcW w:w="5464" w:type="dxa"/>
            <w:tcBorders>
              <w:tl2br w:val="nil"/>
              <w:tr2bl w:val="nil"/>
            </w:tcBorders>
            <w:vAlign w:val="center"/>
          </w:tcPr>
          <w:p>
            <w:pPr>
              <w:snapToGrid w:val="0"/>
              <w:jc w:val="left"/>
              <w:textAlignment w:val="baseline"/>
              <w:rPr>
                <w:rFonts w:hint="eastAsia" w:ascii="宋体" w:hAnsi="宋体"/>
                <w:color w:val="auto"/>
                <w:szCs w:val="21"/>
                <w:highlight w:val="none"/>
              </w:rPr>
            </w:pPr>
            <w:r>
              <w:rPr>
                <w:rStyle w:val="151"/>
                <w:rFonts w:ascii="宋体" w:hAnsi="宋体"/>
                <w:color w:val="auto"/>
                <w:szCs w:val="21"/>
                <w:highlight w:val="none"/>
              </w:rPr>
              <w:t>甲方指定交付地点。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第5.1款</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履行合同的时间、地点及方式</w:t>
            </w:r>
          </w:p>
        </w:tc>
        <w:tc>
          <w:tcPr>
            <w:tcW w:w="5464" w:type="dxa"/>
            <w:tcBorders>
              <w:tl2br w:val="nil"/>
              <w:tr2bl w:val="nil"/>
            </w:tcBorders>
            <w:vAlign w:val="center"/>
          </w:tcPr>
          <w:p>
            <w:pPr>
              <w:snapToGrid w:val="0"/>
              <w:jc w:val="left"/>
              <w:textAlignment w:val="baseline"/>
              <w:rPr>
                <w:rFonts w:hint="eastAsia" w:ascii="宋体" w:hAnsi="宋体"/>
                <w:color w:val="auto"/>
                <w:szCs w:val="21"/>
                <w:highlight w:val="none"/>
              </w:rPr>
            </w:pPr>
            <w:r>
              <w:rPr>
                <w:rStyle w:val="151"/>
                <w:color w:val="auto"/>
                <w:highlight w:val="none"/>
              </w:rPr>
              <w:t>详见第五章采购需求。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第9.2（1）项</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质量保证期</w:t>
            </w:r>
          </w:p>
        </w:tc>
        <w:tc>
          <w:tcPr>
            <w:tcW w:w="5464" w:type="dxa"/>
            <w:tcBorders>
              <w:tl2br w:val="nil"/>
              <w:tr2bl w:val="nil"/>
            </w:tcBorders>
            <w:vAlign w:val="center"/>
          </w:tcPr>
          <w:p>
            <w:pPr>
              <w:textAlignment w:val="baseline"/>
              <w:rPr>
                <w:rFonts w:hint="eastAsia" w:ascii="宋体" w:hAnsi="宋体"/>
                <w:color w:val="auto"/>
                <w:szCs w:val="21"/>
                <w:highlight w:val="none"/>
              </w:rPr>
            </w:pPr>
            <w:r>
              <w:rPr>
                <w:rStyle w:val="151"/>
                <w:color w:val="auto"/>
                <w:highlight w:val="none"/>
              </w:rPr>
              <w:t>详见第五章采购需求。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第9.2（3）项</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响应时间</w:t>
            </w:r>
          </w:p>
        </w:tc>
        <w:tc>
          <w:tcPr>
            <w:tcW w:w="5464" w:type="dxa"/>
            <w:tcBorders>
              <w:tl2br w:val="nil"/>
              <w:tr2bl w:val="nil"/>
            </w:tcBorders>
            <w:vAlign w:val="center"/>
          </w:tcPr>
          <w:p>
            <w:pPr>
              <w:textAlignment w:val="baseline"/>
              <w:rPr>
                <w:rFonts w:hint="eastAsia" w:ascii="宋体" w:hAnsi="宋体"/>
                <w:color w:val="auto"/>
                <w:szCs w:val="21"/>
                <w:highlight w:val="none"/>
              </w:rPr>
            </w:pPr>
            <w:r>
              <w:rPr>
                <w:rStyle w:val="151"/>
                <w:color w:val="auto"/>
                <w:highlight w:val="none"/>
              </w:rPr>
              <w:t>详见第五章采购需求。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第13.5款</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tcBorders>
              <w:tl2br w:val="nil"/>
              <w:tr2bl w:val="nil"/>
            </w:tcBorders>
            <w:vAlign w:val="center"/>
          </w:tcPr>
          <w:p>
            <w:pPr>
              <w:adjustRightInd w:val="0"/>
              <w:snapToGrid w:val="0"/>
              <w:spacing w:line="440" w:lineRule="exact"/>
              <w:rPr>
                <w:rFonts w:hint="eastAsia" w:ascii="宋体" w:hAnsi="宋体"/>
                <w:color w:val="auto"/>
                <w:szCs w:val="21"/>
                <w:highlight w:val="none"/>
              </w:rPr>
            </w:pPr>
            <w:r>
              <w:rPr>
                <w:rStyle w:val="151"/>
                <w:color w:val="auto"/>
                <w:highlight w:val="none"/>
              </w:rPr>
              <w:t>详见第五章采购需求。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第14.2（6）项</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乙方提供的其他服务</w:t>
            </w:r>
          </w:p>
        </w:tc>
        <w:tc>
          <w:tcPr>
            <w:tcW w:w="5464"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u w:val="single"/>
              </w:rPr>
              <w:t xml:space="preserve">     /         </w:t>
            </w:r>
            <w:r>
              <w:rPr>
                <w:rFonts w:hint="eastAsia" w:ascii="宋体" w:hAnsi="宋体"/>
                <w:color w:val="auto"/>
                <w:szCs w:val="21"/>
                <w:highlight w:val="none"/>
              </w:rPr>
              <w:t>，或第五章采购需求。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第23.1款</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bCs/>
                <w:color w:val="auto"/>
                <w:szCs w:val="21"/>
                <w:highlight w:val="none"/>
              </w:rPr>
              <w:t>合同未尽事项</w:t>
            </w:r>
          </w:p>
        </w:tc>
        <w:tc>
          <w:tcPr>
            <w:tcW w:w="5464"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Style w:val="151"/>
                <w:rFonts w:ascii="宋体" w:hAnsi="宋体"/>
                <w:color w:val="auto"/>
                <w:szCs w:val="21"/>
                <w:highlight w:val="none"/>
              </w:rPr>
              <w:t>双方协商解决</w:t>
            </w:r>
            <w:r>
              <w:rPr>
                <w:rStyle w:val="151"/>
                <w:rFonts w:hint="eastAsia" w:ascii="宋体" w:hAnsi="宋体"/>
                <w:color w:val="auto"/>
                <w:szCs w:val="21"/>
                <w:highlight w:val="none"/>
              </w:rPr>
              <w:t>。</w:t>
            </w:r>
          </w:p>
        </w:tc>
      </w:tr>
    </w:tbl>
    <w:p>
      <w:pPr>
        <w:pStyle w:val="22"/>
        <w:adjustRightInd w:val="0"/>
        <w:snapToGrid w:val="0"/>
        <w:spacing w:line="360" w:lineRule="auto"/>
        <w:jc w:val="center"/>
        <w:outlineLvl w:val="0"/>
        <w:rPr>
          <w:rFonts w:hint="eastAsia" w:hAnsi="宋体" w:cs="宋体"/>
          <w:b/>
          <w:bCs/>
          <w:color w:val="auto"/>
          <w:sz w:val="32"/>
          <w:highlight w:val="none"/>
        </w:rPr>
      </w:pPr>
      <w:r>
        <w:rPr>
          <w:rFonts w:hAnsi="宋体"/>
          <w:b/>
          <w:bCs/>
          <w:color w:val="auto"/>
          <w:sz w:val="52"/>
          <w:szCs w:val="30"/>
          <w:highlight w:val="none"/>
        </w:rPr>
        <w:br w:type="page"/>
      </w:r>
      <w:r>
        <w:rPr>
          <w:rFonts w:hint="eastAsia" w:hAnsi="宋体" w:cs="宋体"/>
          <w:b/>
          <w:bCs/>
          <w:color w:val="auto"/>
          <w:sz w:val="32"/>
          <w:szCs w:val="32"/>
          <w:highlight w:val="none"/>
        </w:rPr>
        <w:t>第七章 投标文件的组成</w:t>
      </w:r>
      <w:bookmarkEnd w:id="241"/>
    </w:p>
    <w:p>
      <w:pPr>
        <w:adjustRightInd w:val="0"/>
        <w:snapToGrid w:val="0"/>
        <w:spacing w:before="161" w:beforeLines="50"/>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第一部分 资格证明文件</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资格证明文件封面</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一、资格证明材料</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（一）开标一览表</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（二）投标保证金</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（三）法定代表人（单位负责人）身份证明或授权委托书</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（四）</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具备投标资格的证明文件</w:t>
      </w:r>
    </w:p>
    <w:p>
      <w:pPr>
        <w:adjustRightInd w:val="0"/>
        <w:snapToGrid w:val="0"/>
        <w:spacing w:before="161" w:beforeLines="50"/>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第二部分 商务文件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商务文件封面</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二、投标函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三、开标一览表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四、分项价格表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五、中小企业声明函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六、残疾人福利性单位声明函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七、商务要求响应情况</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八、培训方案</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九、售后服务</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十、类似经验</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十一、</w:t>
      </w:r>
      <w:r>
        <w:rPr>
          <w:rFonts w:hint="eastAsia" w:ascii="宋体" w:hAnsi="宋体" w:cs="宋体"/>
          <w:color w:val="auto"/>
          <w:szCs w:val="21"/>
          <w:highlight w:val="none"/>
          <w:lang w:eastAsia="zh-CN"/>
        </w:rPr>
        <w:t>投标人</w:t>
      </w:r>
      <w:r>
        <w:rPr>
          <w:rFonts w:hint="eastAsia" w:ascii="宋体" w:hAnsi="宋体" w:eastAsia="宋体" w:cs="宋体"/>
          <w:color w:val="auto"/>
          <w:szCs w:val="21"/>
          <w:highlight w:val="none"/>
        </w:rPr>
        <w:t>认为需要提供的其他资料</w:t>
      </w:r>
    </w:p>
    <w:p>
      <w:pPr>
        <w:adjustRightInd w:val="0"/>
        <w:snapToGrid w:val="0"/>
        <w:spacing w:before="161" w:beforeLines="50"/>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第三部分 技术文件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技术文件封面</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十二、货物说明一览表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十三、响应偏离表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十四、投标货物符合招标文件规定的证明文件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十五、技术指标和功能要求</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eastAsia="zh-CN"/>
        </w:rPr>
        <w:t>六</w:t>
      </w:r>
      <w:r>
        <w:rPr>
          <w:rFonts w:hint="eastAsia" w:ascii="宋体" w:hAnsi="宋体" w:eastAsia="宋体" w:cs="宋体"/>
          <w:color w:val="auto"/>
          <w:szCs w:val="21"/>
          <w:highlight w:val="none"/>
        </w:rPr>
        <w:t>、视频演示</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七</w:t>
      </w:r>
      <w:r>
        <w:rPr>
          <w:rFonts w:hint="eastAsia" w:ascii="宋体" w:hAnsi="宋体" w:eastAsia="宋体" w:cs="宋体"/>
          <w:color w:val="auto"/>
          <w:szCs w:val="21"/>
          <w:highlight w:val="none"/>
        </w:rPr>
        <w:t>、项目实施方案</w:t>
      </w:r>
    </w:p>
    <w:p>
      <w:pPr>
        <w:rPr>
          <w:rFonts w:hint="eastAsia" w:ascii="宋体" w:hAnsi="宋体" w:cs="宋体"/>
          <w:color w:val="auto"/>
          <w:szCs w:val="21"/>
          <w:highlight w:val="none"/>
        </w:rPr>
      </w:pPr>
      <w:r>
        <w:rPr>
          <w:rFonts w:hint="eastAsia" w:ascii="宋体" w:hAnsi="宋体" w:cs="宋体"/>
          <w:color w:val="auto"/>
          <w:szCs w:val="21"/>
          <w:highlight w:val="none"/>
        </w:rPr>
        <w:br w:type="page"/>
      </w:r>
    </w:p>
    <w:p>
      <w:pPr>
        <w:pStyle w:val="41"/>
        <w:rPr>
          <w:color w:val="auto"/>
          <w:highlight w:val="none"/>
        </w:rPr>
      </w:pPr>
      <w:bookmarkStart w:id="250" w:name="OLE_LINK169"/>
    </w:p>
    <w:p>
      <w:pPr>
        <w:adjustRightInd w:val="0"/>
        <w:snapToGrid w:val="0"/>
        <w:spacing w:line="360" w:lineRule="auto"/>
        <w:jc w:val="center"/>
        <w:rPr>
          <w:rFonts w:hint="eastAsia" w:ascii="宋体" w:hAnsi="宋体" w:cs="宋体"/>
          <w:color w:val="auto"/>
          <w:szCs w:val="21"/>
          <w:highlight w:val="none"/>
        </w:rPr>
      </w:pPr>
    </w:p>
    <w:p>
      <w:pPr>
        <w:adjustRightInd w:val="0"/>
        <w:snapToGrid w:val="0"/>
        <w:spacing w:line="360" w:lineRule="auto"/>
        <w:jc w:val="center"/>
        <w:rPr>
          <w:rFonts w:hint="eastAsia" w:ascii="宋体" w:hAnsi="宋体" w:cs="宋体"/>
          <w:color w:val="auto"/>
          <w:sz w:val="32"/>
          <w:szCs w:val="32"/>
          <w:highlight w:val="none"/>
        </w:rPr>
      </w:pPr>
    </w:p>
    <w:p>
      <w:pPr>
        <w:adjustRightInd w:val="0"/>
        <w:snapToGrid w:val="0"/>
        <w:spacing w:line="360" w:lineRule="auto"/>
        <w:jc w:val="center"/>
        <w:rPr>
          <w:rFonts w:hint="eastAsia" w:ascii="宋体" w:hAnsi="宋体" w:cs="宋体"/>
          <w:color w:val="auto"/>
          <w:sz w:val="32"/>
          <w:szCs w:val="32"/>
          <w:highlight w:val="none"/>
        </w:rPr>
      </w:pPr>
    </w:p>
    <w:p>
      <w:pPr>
        <w:adjustRightInd w:val="0"/>
        <w:snapToGrid w:val="0"/>
        <w:spacing w:line="360" w:lineRule="auto"/>
        <w:jc w:val="center"/>
        <w:rPr>
          <w:rFonts w:hint="eastAsia" w:ascii="宋体" w:hAnsi="宋体" w:cs="宋体"/>
          <w:color w:val="auto"/>
          <w:sz w:val="32"/>
          <w:szCs w:val="32"/>
          <w:highlight w:val="none"/>
        </w:rPr>
      </w:pPr>
    </w:p>
    <w:p>
      <w:pPr>
        <w:pStyle w:val="22"/>
        <w:adjustRightInd w:val="0"/>
        <w:snapToGrid w:val="0"/>
        <w:spacing w:line="360" w:lineRule="auto"/>
        <w:jc w:val="center"/>
        <w:rPr>
          <w:rFonts w:hint="eastAsia" w:hAnsi="宋体" w:cs="宋体"/>
          <w:b/>
          <w:bCs/>
          <w:color w:val="auto"/>
          <w:sz w:val="72"/>
          <w:szCs w:val="72"/>
          <w:highlight w:val="none"/>
        </w:rPr>
      </w:pPr>
      <w:r>
        <w:rPr>
          <w:rFonts w:hint="eastAsia" w:hAnsi="宋体" w:cs="宋体"/>
          <w:b/>
          <w:bCs/>
          <w:color w:val="auto"/>
          <w:sz w:val="72"/>
          <w:szCs w:val="72"/>
          <w:highlight w:val="none"/>
        </w:rPr>
        <w:t>政府采购</w:t>
      </w:r>
    </w:p>
    <w:p>
      <w:pPr>
        <w:adjustRightInd w:val="0"/>
        <w:snapToGrid w:val="0"/>
        <w:spacing w:line="360" w:lineRule="auto"/>
        <w:jc w:val="center"/>
        <w:rPr>
          <w:rFonts w:hint="eastAsia" w:ascii="宋体" w:hAnsi="宋体" w:cs="宋体"/>
          <w:b/>
          <w:bCs/>
          <w:color w:val="auto"/>
          <w:sz w:val="84"/>
          <w:szCs w:val="84"/>
          <w:highlight w:val="none"/>
        </w:rPr>
      </w:pPr>
      <w:r>
        <w:rPr>
          <w:rFonts w:hint="eastAsia" w:ascii="宋体" w:hAnsi="宋体" w:cs="宋体"/>
          <w:b/>
          <w:bCs/>
          <w:color w:val="auto"/>
          <w:sz w:val="84"/>
          <w:szCs w:val="84"/>
          <w:highlight w:val="none"/>
        </w:rPr>
        <w:t>投 标 文 件</w:t>
      </w:r>
    </w:p>
    <w:p>
      <w:pPr>
        <w:pStyle w:val="3"/>
        <w:adjustRightInd w:val="0"/>
        <w:snapToGrid w:val="0"/>
        <w:jc w:val="center"/>
        <w:rPr>
          <w:rFonts w:hint="eastAsia" w:ascii="宋体" w:hAnsi="宋体" w:cs="宋体"/>
          <w:color w:val="auto"/>
          <w:sz w:val="44"/>
          <w:szCs w:val="44"/>
          <w:highlight w:val="none"/>
        </w:rPr>
      </w:pPr>
      <w:bookmarkStart w:id="251" w:name="_Toc23611"/>
      <w:r>
        <w:rPr>
          <w:rFonts w:hint="eastAsia" w:ascii="宋体" w:hAnsi="宋体" w:cs="宋体"/>
          <w:color w:val="auto"/>
          <w:sz w:val="44"/>
          <w:szCs w:val="44"/>
          <w:highlight w:val="none"/>
        </w:rPr>
        <w:t>第一部分 资格证明文件</w:t>
      </w:r>
      <w:bookmarkEnd w:id="251"/>
    </w:p>
    <w:p>
      <w:pPr>
        <w:adjustRightInd w:val="0"/>
        <w:snapToGrid w:val="0"/>
        <w:spacing w:line="360" w:lineRule="auto"/>
        <w:rPr>
          <w:rFonts w:hint="eastAsia" w:ascii="宋体" w:hAnsi="宋体" w:cs="宋体"/>
          <w:b/>
          <w:color w:val="auto"/>
          <w:sz w:val="32"/>
          <w:szCs w:val="32"/>
          <w:highlight w:val="none"/>
        </w:rPr>
      </w:pPr>
    </w:p>
    <w:p>
      <w:pPr>
        <w:adjustRightInd w:val="0"/>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2"/>
          <w:szCs w:val="32"/>
          <w:highlight w:val="none"/>
        </w:rPr>
        <w:t xml:space="preserve">                     </w:t>
      </w:r>
    </w:p>
    <w:p>
      <w:pPr>
        <w:pStyle w:val="22"/>
        <w:adjustRightInd w:val="0"/>
        <w:snapToGrid w:val="0"/>
        <w:spacing w:line="360" w:lineRule="auto"/>
        <w:ind w:firstLine="1988" w:firstLineChars="660"/>
        <w:rPr>
          <w:rFonts w:hint="eastAsia" w:hAnsi="宋体" w:cs="宋体"/>
          <w:b/>
          <w:bCs/>
          <w:color w:val="auto"/>
          <w:sz w:val="30"/>
          <w:szCs w:val="30"/>
          <w:highlight w:val="none"/>
          <w:u w:val="single"/>
        </w:rPr>
      </w:pPr>
      <w:r>
        <w:rPr>
          <w:rFonts w:hint="eastAsia" w:hAnsi="宋体" w:cs="宋体"/>
          <w:b/>
          <w:bCs/>
          <w:color w:val="auto"/>
          <w:sz w:val="30"/>
          <w:szCs w:val="30"/>
          <w:highlight w:val="none"/>
        </w:rPr>
        <w:t>采购项目名称：</w:t>
      </w:r>
      <w:r>
        <w:rPr>
          <w:rFonts w:hint="eastAsia" w:hAnsi="宋体" w:cs="宋体"/>
          <w:b/>
          <w:bCs/>
          <w:color w:val="auto"/>
          <w:sz w:val="30"/>
          <w:szCs w:val="30"/>
          <w:highlight w:val="none"/>
          <w:u w:val="single"/>
        </w:rPr>
        <w:t xml:space="preserve">                       </w:t>
      </w:r>
    </w:p>
    <w:p>
      <w:pPr>
        <w:pStyle w:val="22"/>
        <w:adjustRightInd w:val="0"/>
        <w:snapToGrid w:val="0"/>
        <w:spacing w:line="360" w:lineRule="auto"/>
        <w:ind w:firstLine="1988" w:firstLineChars="660"/>
        <w:rPr>
          <w:rFonts w:hint="eastAsia" w:hAnsi="宋体" w:cs="宋体"/>
          <w:b/>
          <w:bCs/>
          <w:color w:val="auto"/>
          <w:sz w:val="30"/>
          <w:szCs w:val="30"/>
          <w:highlight w:val="none"/>
          <w:u w:val="single"/>
        </w:rPr>
      </w:pPr>
      <w:r>
        <w:rPr>
          <w:rFonts w:hint="eastAsia" w:hAnsi="宋体" w:cs="宋体"/>
          <w:b/>
          <w:bCs/>
          <w:color w:val="auto"/>
          <w:sz w:val="30"/>
          <w:szCs w:val="30"/>
          <w:highlight w:val="none"/>
        </w:rPr>
        <w:t>政府采购编号：</w:t>
      </w:r>
      <w:r>
        <w:rPr>
          <w:rFonts w:hint="eastAsia" w:hAnsi="宋体" w:cs="宋体"/>
          <w:b/>
          <w:bCs/>
          <w:color w:val="auto"/>
          <w:sz w:val="30"/>
          <w:szCs w:val="30"/>
          <w:highlight w:val="none"/>
          <w:u w:val="single"/>
        </w:rPr>
        <w:t xml:space="preserve">                       </w:t>
      </w:r>
    </w:p>
    <w:p>
      <w:pPr>
        <w:pStyle w:val="22"/>
        <w:adjustRightInd w:val="0"/>
        <w:snapToGrid w:val="0"/>
        <w:spacing w:line="360" w:lineRule="auto"/>
        <w:ind w:firstLine="1988" w:firstLineChars="660"/>
        <w:rPr>
          <w:rFonts w:hint="eastAsia" w:hAnsi="宋体" w:cs="宋体"/>
          <w:b/>
          <w:bCs/>
          <w:color w:val="auto"/>
          <w:sz w:val="30"/>
          <w:szCs w:val="30"/>
          <w:highlight w:val="none"/>
          <w:u w:val="single"/>
        </w:rPr>
      </w:pPr>
      <w:r>
        <w:rPr>
          <w:rFonts w:hint="eastAsia" w:hAnsi="宋体" w:cs="宋体"/>
          <w:b/>
          <w:bCs/>
          <w:color w:val="auto"/>
          <w:sz w:val="30"/>
          <w:szCs w:val="30"/>
          <w:highlight w:val="none"/>
        </w:rPr>
        <w:t>采购代理编号：</w:t>
      </w:r>
      <w:r>
        <w:rPr>
          <w:rFonts w:hint="eastAsia" w:hAnsi="宋体" w:cs="宋体"/>
          <w:b/>
          <w:bCs/>
          <w:color w:val="auto"/>
          <w:sz w:val="30"/>
          <w:szCs w:val="30"/>
          <w:highlight w:val="none"/>
          <w:u w:val="single"/>
        </w:rPr>
        <w:t xml:space="preserve">                       </w:t>
      </w:r>
    </w:p>
    <w:p>
      <w:pPr>
        <w:adjustRightInd w:val="0"/>
        <w:snapToGrid w:val="0"/>
        <w:spacing w:line="360" w:lineRule="auto"/>
        <w:rPr>
          <w:rFonts w:hint="eastAsia" w:ascii="宋体" w:hAnsi="宋体" w:cs="宋体"/>
          <w:color w:val="auto"/>
          <w:sz w:val="30"/>
          <w:szCs w:val="30"/>
          <w:highlight w:val="none"/>
        </w:rPr>
      </w:pPr>
    </w:p>
    <w:p>
      <w:pPr>
        <w:adjustRightInd w:val="0"/>
        <w:snapToGrid w:val="0"/>
        <w:spacing w:line="360" w:lineRule="auto"/>
        <w:rPr>
          <w:rFonts w:hint="eastAsia" w:ascii="宋体" w:hAnsi="宋体" w:cs="宋体"/>
          <w:color w:val="auto"/>
          <w:sz w:val="30"/>
          <w:szCs w:val="30"/>
          <w:highlight w:val="none"/>
        </w:rPr>
      </w:pPr>
    </w:p>
    <w:p>
      <w:pPr>
        <w:adjustRightInd w:val="0"/>
        <w:snapToGrid w:val="0"/>
        <w:spacing w:line="360" w:lineRule="auto"/>
        <w:ind w:firstLine="1984" w:firstLineChars="62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投标人</w:t>
      </w:r>
      <w:r>
        <w:rPr>
          <w:rFonts w:hint="eastAsia" w:ascii="宋体" w:hAnsi="宋体" w:cs="宋体"/>
          <w:color w:val="auto"/>
          <w:sz w:val="32"/>
          <w:szCs w:val="32"/>
          <w:highlight w:val="none"/>
          <w:u w:val="single"/>
        </w:rPr>
        <w:t xml:space="preserve">                         </w:t>
      </w:r>
    </w:p>
    <w:p>
      <w:pPr>
        <w:adjustRightInd w:val="0"/>
        <w:snapToGrid w:val="0"/>
        <w:spacing w:line="360" w:lineRule="auto"/>
        <w:jc w:val="center"/>
        <w:rPr>
          <w:rFonts w:hint="eastAsia" w:ascii="宋体" w:hAnsi="宋体" w:cs="宋体"/>
          <w:color w:val="auto"/>
          <w:sz w:val="28"/>
          <w:szCs w:val="28"/>
          <w:highlight w:val="none"/>
        </w:rPr>
      </w:pPr>
      <w:r>
        <w:rPr>
          <w:rFonts w:hint="eastAsia" w:ascii="宋体" w:hAnsi="宋体" w:cs="宋体"/>
          <w:color w:val="auto"/>
          <w:sz w:val="32"/>
          <w:szCs w:val="32"/>
          <w:highlight w:val="none"/>
        </w:rPr>
        <w:t>年  月  日</w:t>
      </w:r>
      <w:bookmarkEnd w:id="250"/>
      <w:r>
        <w:rPr>
          <w:rFonts w:hint="eastAsia" w:ascii="宋体" w:hAnsi="宋体" w:cs="宋体"/>
          <w:color w:val="auto"/>
          <w:sz w:val="28"/>
          <w:szCs w:val="28"/>
          <w:highlight w:val="none"/>
        </w:rPr>
        <w:br w:type="page"/>
      </w:r>
    </w:p>
    <w:p>
      <w:pPr>
        <w:adjustRightInd w:val="0"/>
        <w:snapToGrid w:val="0"/>
        <w:spacing w:line="360" w:lineRule="auto"/>
        <w:jc w:val="center"/>
        <w:outlineLvl w:val="2"/>
        <w:rPr>
          <w:rFonts w:hint="eastAsia" w:ascii="宋体" w:hAnsi="宋体" w:eastAsia="黑体" w:cs="宋体"/>
          <w:b/>
          <w:bCs/>
          <w:color w:val="auto"/>
          <w:sz w:val="28"/>
          <w:szCs w:val="28"/>
          <w:highlight w:val="none"/>
        </w:rPr>
      </w:pPr>
      <w:bookmarkStart w:id="252" w:name="OLE_LINK143"/>
      <w:bookmarkStart w:id="253" w:name="OLE_LINK145"/>
      <w:bookmarkStart w:id="254" w:name="_Toc30442"/>
      <w:bookmarkStart w:id="255" w:name="_Toc24658"/>
      <w:bookmarkStart w:id="256" w:name="_Toc3130"/>
      <w:bookmarkStart w:id="257" w:name="_Toc16614"/>
      <w:bookmarkStart w:id="258" w:name="_Toc335"/>
      <w:r>
        <w:rPr>
          <w:rFonts w:hint="eastAsia" w:ascii="宋体" w:hAnsi="宋体" w:eastAsia="黑体" w:cs="宋体"/>
          <w:b/>
          <w:bCs/>
          <w:color w:val="auto"/>
          <w:sz w:val="28"/>
          <w:szCs w:val="28"/>
          <w:highlight w:val="none"/>
        </w:rPr>
        <w:t>一、</w:t>
      </w:r>
      <w:bookmarkStart w:id="259" w:name="OLE_LINK212"/>
      <w:r>
        <w:rPr>
          <w:rFonts w:hint="eastAsia" w:ascii="宋体" w:hAnsi="宋体" w:eastAsia="黑体" w:cs="宋体"/>
          <w:b/>
          <w:bCs/>
          <w:color w:val="auto"/>
          <w:sz w:val="28"/>
          <w:szCs w:val="28"/>
          <w:highlight w:val="none"/>
        </w:rPr>
        <w:t>资格证明材料</w:t>
      </w:r>
      <w:bookmarkEnd w:id="252"/>
      <w:bookmarkEnd w:id="259"/>
    </w:p>
    <w:bookmarkEnd w:id="253"/>
    <w:p>
      <w:pPr>
        <w:adjustRightInd w:val="0"/>
        <w:snapToGrid w:val="0"/>
        <w:spacing w:line="360" w:lineRule="auto"/>
        <w:jc w:val="center"/>
        <w:rPr>
          <w:rFonts w:hint="eastAsia" w:ascii="宋体" w:hAnsi="宋体" w:cs="宋体"/>
          <w:color w:val="auto"/>
          <w:sz w:val="28"/>
          <w:szCs w:val="28"/>
          <w:highlight w:val="none"/>
        </w:rPr>
      </w:pPr>
    </w:p>
    <w:p>
      <w:pPr>
        <w:pStyle w:val="4"/>
        <w:adjustRightInd w:val="0"/>
        <w:snapToGrid w:val="0"/>
        <w:spacing w:before="0" w:after="0" w:line="360" w:lineRule="auto"/>
        <w:jc w:val="center"/>
        <w:rPr>
          <w:rFonts w:hint="eastAsia" w:ascii="宋体" w:hAnsi="宋体" w:cs="宋体"/>
          <w:color w:val="auto"/>
          <w:sz w:val="28"/>
          <w:szCs w:val="28"/>
          <w:highlight w:val="none"/>
        </w:rPr>
      </w:pPr>
      <w:bookmarkStart w:id="260" w:name="OLE_LINK144"/>
      <w:bookmarkStart w:id="261" w:name="OLE_LINK213"/>
      <w:r>
        <w:rPr>
          <w:rFonts w:hint="eastAsia" w:ascii="宋体" w:hAnsi="宋体" w:cs="宋体"/>
          <w:color w:val="auto"/>
          <w:sz w:val="28"/>
          <w:szCs w:val="28"/>
          <w:highlight w:val="none"/>
        </w:rPr>
        <w:t>（一）开标一览表</w:t>
      </w:r>
      <w:bookmarkEnd w:id="254"/>
      <w:bookmarkEnd w:id="255"/>
      <w:bookmarkEnd w:id="256"/>
      <w:bookmarkEnd w:id="257"/>
    </w:p>
    <w:p>
      <w:pPr>
        <w:adjustRightInd w:val="0"/>
        <w:snapToGrid w:val="0"/>
        <w:spacing w:line="360" w:lineRule="auto"/>
        <w:ind w:left="-88" w:leftChars="-42"/>
        <w:jc w:val="center"/>
        <w:rPr>
          <w:rFonts w:hint="eastAsia" w:ascii="宋体" w:hAnsi="宋体" w:cs="宋体"/>
          <w:color w:val="auto"/>
          <w:sz w:val="24"/>
          <w:highlight w:val="none"/>
        </w:rPr>
      </w:pPr>
    </w:p>
    <w:p>
      <w:pPr>
        <w:adjustRightInd w:val="0"/>
        <w:snapToGrid w:val="0"/>
        <w:spacing w:line="360" w:lineRule="auto"/>
        <w:rPr>
          <w:rFonts w:hint="eastAsia" w:ascii="宋体" w:hAnsi="宋体" w:cs="宋体"/>
          <w:color w:val="auto"/>
          <w:szCs w:val="22"/>
          <w:highlight w:val="none"/>
          <w:u w:val="single"/>
          <w:lang w:bidi="ar"/>
        </w:rPr>
      </w:pPr>
      <w:r>
        <w:rPr>
          <w:rFonts w:hint="eastAsia" w:ascii="宋体" w:hAnsi="宋体" w:cs="宋体"/>
          <w:color w:val="auto"/>
          <w:szCs w:val="22"/>
          <w:highlight w:val="none"/>
          <w:lang w:bidi="ar"/>
        </w:rPr>
        <w:t>采购代理编号：</w:t>
      </w:r>
      <w:r>
        <w:rPr>
          <w:rFonts w:hint="eastAsia" w:ascii="宋体" w:hAnsi="宋体" w:cs="宋体"/>
          <w:color w:val="auto"/>
          <w:szCs w:val="22"/>
          <w:highlight w:val="none"/>
          <w:u w:val="single"/>
          <w:lang w:bidi="ar"/>
        </w:rPr>
        <w:t xml:space="preserve">              </w:t>
      </w:r>
      <w:r>
        <w:rPr>
          <w:rFonts w:hint="eastAsia" w:ascii="宋体" w:hAnsi="宋体" w:cs="宋体"/>
          <w:color w:val="auto"/>
          <w:szCs w:val="22"/>
          <w:highlight w:val="none"/>
          <w:lang w:bidi="ar"/>
        </w:rPr>
        <w:t xml:space="preserve">                          项目名称： </w:t>
      </w:r>
      <w:r>
        <w:rPr>
          <w:rFonts w:hint="eastAsia" w:ascii="宋体" w:hAnsi="宋体" w:cs="宋体"/>
          <w:color w:val="auto"/>
          <w:szCs w:val="22"/>
          <w:highlight w:val="none"/>
          <w:u w:val="single"/>
          <w:lang w:bidi="ar"/>
        </w:rPr>
        <w:t xml:space="preserve">           </w:t>
      </w:r>
    </w:p>
    <w:p>
      <w:pPr>
        <w:pStyle w:val="60"/>
        <w:rPr>
          <w:rFonts w:hint="eastAsia"/>
          <w:color w:val="auto"/>
          <w:highlight w:val="none"/>
        </w:rPr>
      </w:pPr>
      <w:r>
        <w:rPr>
          <w:rFonts w:hint="eastAsia" w:cs="宋体"/>
          <w:i w:val="0"/>
          <w:color w:val="auto"/>
          <w:kern w:val="2"/>
          <w:szCs w:val="22"/>
          <w:highlight w:val="none"/>
          <w:lang w:bidi="ar"/>
        </w:rPr>
        <w:t>包号：</w:t>
      </w:r>
      <w:r>
        <w:rPr>
          <w:rFonts w:hint="eastAsia" w:cs="宋体"/>
          <w:color w:val="auto"/>
          <w:highlight w:val="none"/>
          <w:u w:val="single"/>
        </w:rPr>
        <w:t xml:space="preserve">              </w:t>
      </w:r>
      <w:r>
        <w:rPr>
          <w:rFonts w:hint="eastAsia" w:cs="宋体"/>
          <w:color w:val="auto"/>
          <w:highlight w:val="none"/>
        </w:rPr>
        <w:t xml:space="preserve">                             </w:t>
      </w:r>
      <w:r>
        <w:rPr>
          <w:rFonts w:hint="eastAsia" w:cs="宋体"/>
          <w:i w:val="0"/>
          <w:color w:val="auto"/>
          <w:kern w:val="2"/>
          <w:szCs w:val="22"/>
          <w:highlight w:val="none"/>
          <w:lang w:bidi="ar"/>
        </w:rPr>
        <w:t xml:space="preserve">     包名称：</w:t>
      </w:r>
      <w:r>
        <w:rPr>
          <w:rFonts w:hint="eastAsia" w:cs="宋体"/>
          <w:color w:val="auto"/>
          <w:highlight w:val="none"/>
          <w:u w:val="single"/>
        </w:rPr>
        <w:t xml:space="preserve">             </w:t>
      </w:r>
    </w:p>
    <w:tbl>
      <w:tblPr>
        <w:tblStyle w:val="43"/>
        <w:tblW w:w="90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9"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标题</w:t>
            </w:r>
          </w:p>
        </w:tc>
        <w:tc>
          <w:tcPr>
            <w:tcW w:w="4540"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9"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总报价</w:t>
            </w:r>
          </w:p>
        </w:tc>
        <w:tc>
          <w:tcPr>
            <w:tcW w:w="4540"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u w:val="single"/>
              </w:rPr>
              <w:t xml:space="preserve">                 </w:t>
            </w:r>
            <w:r>
              <w:rPr>
                <w:rFonts w:hint="eastAsia"/>
                <w:i w:val="0"/>
                <w:iCs/>
                <w:color w:val="auto"/>
                <w:highlight w:val="none"/>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9"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合同周期</w:t>
            </w:r>
          </w:p>
        </w:tc>
        <w:tc>
          <w:tcPr>
            <w:tcW w:w="4540" w:type="dxa"/>
            <w:tcBorders>
              <w:tl2br w:val="nil"/>
              <w:tr2bl w:val="nil"/>
            </w:tcBorders>
            <w:vAlign w:val="center"/>
          </w:tcPr>
          <w:p>
            <w:pPr>
              <w:pStyle w:val="60"/>
              <w:jc w:val="center"/>
              <w:rPr>
                <w:rFonts w:hint="eastAsia"/>
                <w:i w:val="0"/>
                <w:iCs/>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9"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备注</w:t>
            </w:r>
          </w:p>
        </w:tc>
        <w:tc>
          <w:tcPr>
            <w:tcW w:w="4540" w:type="dxa"/>
            <w:tcBorders>
              <w:tl2br w:val="nil"/>
              <w:tr2bl w:val="nil"/>
            </w:tcBorders>
            <w:vAlign w:val="center"/>
          </w:tcPr>
          <w:p>
            <w:pPr>
              <w:pStyle w:val="60"/>
              <w:jc w:val="center"/>
              <w:rPr>
                <w:rFonts w:hint="eastAsia"/>
                <w:i w:val="0"/>
                <w:iCs/>
                <w:color w:val="auto"/>
                <w:highlight w:val="none"/>
              </w:rPr>
            </w:pPr>
          </w:p>
        </w:tc>
      </w:tr>
    </w:tbl>
    <w:p>
      <w:pPr>
        <w:adjustRightInd w:val="0"/>
        <w:snapToGrid w:val="0"/>
        <w:spacing w:line="360" w:lineRule="auto"/>
        <w:rPr>
          <w:rFonts w:hint="eastAsia" w:ascii="宋体" w:hAnsi="宋体" w:cs="宋体"/>
          <w:b/>
          <w:color w:val="auto"/>
          <w:szCs w:val="22"/>
          <w:highlight w:val="none"/>
          <w:lang w:bidi="ar"/>
        </w:rPr>
      </w:pPr>
      <w:r>
        <w:rPr>
          <w:rFonts w:hint="eastAsia" w:ascii="宋体" w:hAnsi="宋体" w:cs="宋体"/>
          <w:b/>
          <w:color w:val="auto"/>
          <w:szCs w:val="22"/>
          <w:highlight w:val="none"/>
          <w:lang w:bidi="ar"/>
        </w:rPr>
        <w:t>备注：</w:t>
      </w:r>
      <w:r>
        <w:rPr>
          <w:rFonts w:hint="eastAsia" w:ascii="宋体" w:hAnsi="宋体" w:cs="宋体"/>
          <w:color w:val="auto"/>
          <w:szCs w:val="21"/>
          <w:highlight w:val="none"/>
        </w:rPr>
        <w:t>（1）本表须按包填写，一个“包号”一份。</w:t>
      </w:r>
    </w:p>
    <w:p>
      <w:pPr>
        <w:adjustRightInd w:val="0"/>
        <w:snapToGrid w:val="0"/>
        <w:spacing w:line="360" w:lineRule="auto"/>
        <w:rPr>
          <w:rFonts w:hint="eastAsia" w:ascii="宋体" w:hAnsi="宋体" w:cs="宋体"/>
          <w:color w:val="auto"/>
          <w:highlight w:val="none"/>
        </w:rPr>
      </w:pPr>
      <w:r>
        <w:rPr>
          <w:rFonts w:hint="eastAsia" w:ascii="宋体" w:hAnsi="宋体" w:cs="宋体"/>
          <w:color w:val="auto"/>
          <w:szCs w:val="22"/>
          <w:highlight w:val="none"/>
          <w:lang w:bidi="ar"/>
        </w:rPr>
        <w:t>（2）投标人提交两份及以上投标报价不同的“开标一览表”，且未书面说明哪个有效或以哪个为准的，其</w:t>
      </w:r>
      <w:r>
        <w:rPr>
          <w:rFonts w:hint="eastAsia" w:ascii="宋体" w:hAnsi="宋体" w:cs="宋体"/>
          <w:b/>
          <w:color w:val="auto"/>
          <w:szCs w:val="22"/>
          <w:highlight w:val="none"/>
          <w:lang w:bidi="ar"/>
        </w:rPr>
        <w:t>投标无效</w:t>
      </w:r>
      <w:r>
        <w:rPr>
          <w:rFonts w:hint="eastAsia" w:ascii="宋体" w:hAnsi="宋体" w:cs="宋体"/>
          <w:color w:val="auto"/>
          <w:szCs w:val="22"/>
          <w:highlight w:val="none"/>
          <w:lang w:bidi="ar"/>
        </w:rPr>
        <w:t>。</w:t>
      </w:r>
    </w:p>
    <w:p>
      <w:pPr>
        <w:adjustRightInd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szCs w:val="22"/>
          <w:highlight w:val="none"/>
          <w:lang w:bidi="ar"/>
        </w:rPr>
        <w:t>（3）投标人在投标截止时间前修改“开标一览表”中的投标报价的，应同时修改投标文件“分项报价明细表”“享受政府采购政策优惠的证明资料”以及“联合体协议书”（如果影响）等相关内容。</w:t>
      </w:r>
    </w:p>
    <w:p>
      <w:pPr>
        <w:adjustRightInd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szCs w:val="22"/>
          <w:highlight w:val="none"/>
          <w:lang w:bidi="ar"/>
        </w:rPr>
        <w:t xml:space="preserve"> </w:t>
      </w:r>
    </w:p>
    <w:p>
      <w:pPr>
        <w:adjustRightInd w:val="0"/>
        <w:snapToGrid w:val="0"/>
        <w:spacing w:line="360" w:lineRule="auto"/>
        <w:rPr>
          <w:rFonts w:hint="eastAsia" w:ascii="宋体" w:hAnsi="宋体" w:cs="宋体"/>
          <w:color w:val="auto"/>
          <w:highlight w:val="none"/>
        </w:rPr>
      </w:pPr>
      <w:r>
        <w:rPr>
          <w:rFonts w:hint="eastAsia" w:ascii="宋体" w:hAnsi="宋体" w:cs="宋体"/>
          <w:color w:val="auto"/>
          <w:szCs w:val="22"/>
          <w:highlight w:val="none"/>
          <w:lang w:bidi="ar"/>
        </w:rPr>
        <w:t xml:space="preserve"> </w:t>
      </w:r>
    </w:p>
    <w:p>
      <w:pPr>
        <w:adjustRightInd w:val="0"/>
        <w:snapToGrid w:val="0"/>
        <w:spacing w:line="360" w:lineRule="auto"/>
        <w:rPr>
          <w:rFonts w:hint="eastAsia" w:ascii="宋体" w:hAnsi="宋体" w:cs="宋体"/>
          <w:color w:val="auto"/>
          <w:highlight w:val="none"/>
        </w:rPr>
      </w:pPr>
      <w:r>
        <w:rPr>
          <w:rFonts w:hint="eastAsia" w:ascii="宋体" w:hAnsi="宋体" w:cs="宋体"/>
          <w:color w:val="auto"/>
          <w:szCs w:val="22"/>
          <w:highlight w:val="none"/>
          <w:lang w:bidi="ar"/>
        </w:rPr>
        <w:t>投标人名称（盖单位章）：</w:t>
      </w:r>
    </w:p>
    <w:p>
      <w:pPr>
        <w:adjustRightInd w:val="0"/>
        <w:snapToGrid w:val="0"/>
        <w:spacing w:line="360" w:lineRule="auto"/>
        <w:rPr>
          <w:rFonts w:hint="eastAsia" w:ascii="宋体" w:hAnsi="宋体" w:cs="宋体"/>
          <w:color w:val="auto"/>
          <w:highlight w:val="none"/>
        </w:rPr>
      </w:pPr>
      <w:r>
        <w:rPr>
          <w:rFonts w:hint="eastAsia" w:ascii="宋体" w:hAnsi="宋体" w:cs="宋体"/>
          <w:color w:val="auto"/>
          <w:spacing w:val="-2"/>
          <w:kern w:val="0"/>
          <w:szCs w:val="22"/>
          <w:highlight w:val="none"/>
          <w:lang w:bidi="ar"/>
        </w:rPr>
        <w:t>法</w:t>
      </w:r>
      <w:r>
        <w:rPr>
          <w:rFonts w:hint="eastAsia" w:ascii="宋体" w:hAnsi="宋体" w:cs="宋体"/>
          <w:color w:val="auto"/>
          <w:kern w:val="0"/>
          <w:szCs w:val="22"/>
          <w:highlight w:val="none"/>
          <w:lang w:bidi="ar"/>
        </w:rPr>
        <w:t>定</w:t>
      </w:r>
      <w:r>
        <w:rPr>
          <w:rFonts w:hint="eastAsia" w:ascii="宋体" w:hAnsi="宋体" w:cs="宋体"/>
          <w:color w:val="auto"/>
          <w:spacing w:val="-2"/>
          <w:kern w:val="0"/>
          <w:szCs w:val="22"/>
          <w:highlight w:val="none"/>
          <w:lang w:bidi="ar"/>
        </w:rPr>
        <w:t>代</w:t>
      </w:r>
      <w:r>
        <w:rPr>
          <w:rFonts w:hint="eastAsia" w:ascii="宋体" w:hAnsi="宋体" w:cs="宋体"/>
          <w:color w:val="auto"/>
          <w:kern w:val="0"/>
          <w:szCs w:val="22"/>
          <w:highlight w:val="none"/>
          <w:lang w:bidi="ar"/>
        </w:rPr>
        <w:t>表</w:t>
      </w:r>
      <w:r>
        <w:rPr>
          <w:rFonts w:hint="eastAsia" w:ascii="宋体" w:hAnsi="宋体" w:cs="宋体"/>
          <w:color w:val="auto"/>
          <w:spacing w:val="-2"/>
          <w:kern w:val="0"/>
          <w:szCs w:val="22"/>
          <w:highlight w:val="none"/>
          <w:lang w:bidi="ar"/>
        </w:rPr>
        <w:t>人</w:t>
      </w:r>
      <w:r>
        <w:rPr>
          <w:rFonts w:hint="eastAsia" w:ascii="宋体" w:hAnsi="宋体" w:cs="宋体"/>
          <w:color w:val="auto"/>
          <w:kern w:val="0"/>
          <w:szCs w:val="22"/>
          <w:highlight w:val="none"/>
          <w:lang w:bidi="ar"/>
        </w:rPr>
        <w:t>（</w:t>
      </w:r>
      <w:r>
        <w:rPr>
          <w:rFonts w:hint="eastAsia" w:ascii="宋体" w:hAnsi="宋体" w:cs="宋体"/>
          <w:color w:val="auto"/>
          <w:spacing w:val="-2"/>
          <w:kern w:val="0"/>
          <w:szCs w:val="22"/>
          <w:highlight w:val="none"/>
          <w:lang w:bidi="ar"/>
        </w:rPr>
        <w:t>单</w:t>
      </w:r>
      <w:r>
        <w:rPr>
          <w:rFonts w:hint="eastAsia" w:ascii="宋体" w:hAnsi="宋体" w:cs="宋体"/>
          <w:color w:val="auto"/>
          <w:kern w:val="0"/>
          <w:szCs w:val="22"/>
          <w:highlight w:val="none"/>
          <w:lang w:bidi="ar"/>
        </w:rPr>
        <w:t>位</w:t>
      </w:r>
      <w:r>
        <w:rPr>
          <w:rFonts w:hint="eastAsia" w:ascii="宋体" w:hAnsi="宋体" w:cs="宋体"/>
          <w:color w:val="auto"/>
          <w:spacing w:val="-2"/>
          <w:kern w:val="0"/>
          <w:szCs w:val="22"/>
          <w:highlight w:val="none"/>
          <w:lang w:bidi="ar"/>
        </w:rPr>
        <w:t>负</w:t>
      </w:r>
      <w:r>
        <w:rPr>
          <w:rFonts w:hint="eastAsia" w:ascii="宋体" w:hAnsi="宋体" w:cs="宋体"/>
          <w:color w:val="auto"/>
          <w:kern w:val="0"/>
          <w:szCs w:val="22"/>
          <w:highlight w:val="none"/>
          <w:lang w:bidi="ar"/>
        </w:rPr>
        <w:t>责人</w:t>
      </w:r>
      <w:r>
        <w:rPr>
          <w:rFonts w:hint="eastAsia" w:ascii="宋体" w:hAnsi="宋体" w:cs="宋体"/>
          <w:color w:val="auto"/>
          <w:spacing w:val="-2"/>
          <w:kern w:val="0"/>
          <w:szCs w:val="22"/>
          <w:highlight w:val="none"/>
          <w:lang w:bidi="ar"/>
        </w:rPr>
        <w:t>）</w:t>
      </w:r>
      <w:r>
        <w:rPr>
          <w:rFonts w:hint="eastAsia" w:ascii="宋体" w:hAnsi="宋体" w:cs="宋体"/>
          <w:color w:val="auto"/>
          <w:szCs w:val="22"/>
          <w:highlight w:val="none"/>
          <w:lang w:bidi="ar"/>
        </w:rPr>
        <w:t>或其授权的代理人（签字或印章）：</w:t>
      </w:r>
    </w:p>
    <w:p>
      <w:pPr>
        <w:widowControl/>
        <w:jc w:val="left"/>
        <w:rPr>
          <w:color w:val="auto"/>
          <w:highlight w:val="none"/>
        </w:rPr>
      </w:pPr>
      <w:r>
        <w:rPr>
          <w:rFonts w:hint="eastAsia" w:ascii="宋体" w:hAnsi="宋体"/>
          <w:color w:val="auto"/>
          <w:szCs w:val="22"/>
          <w:highlight w:val="none"/>
          <w:lang w:bidi="ar"/>
        </w:rPr>
        <w:t>日期：   年   月   日</w:t>
      </w:r>
    </w:p>
    <w:p>
      <w:pPr>
        <w:adjustRightInd w:val="0"/>
        <w:snapToGrid w:val="0"/>
        <w:spacing w:line="360" w:lineRule="auto"/>
        <w:rPr>
          <w:rFonts w:hint="eastAsia" w:ascii="宋体" w:hAnsi="宋体" w:cs="宋体"/>
          <w:color w:val="auto"/>
          <w:szCs w:val="21"/>
          <w:highlight w:val="none"/>
        </w:rPr>
      </w:pPr>
    </w:p>
    <w:p>
      <w:pPr>
        <w:widowControl/>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pPr>
        <w:pStyle w:val="4"/>
        <w:adjustRightInd w:val="0"/>
        <w:snapToGrid w:val="0"/>
        <w:spacing w:before="0" w:after="0" w:line="360" w:lineRule="auto"/>
        <w:jc w:val="center"/>
        <w:rPr>
          <w:rFonts w:hint="eastAsia" w:ascii="宋体" w:hAnsi="宋体" w:cs="宋体"/>
          <w:color w:val="auto"/>
          <w:sz w:val="28"/>
          <w:szCs w:val="28"/>
          <w:highlight w:val="none"/>
        </w:rPr>
      </w:pPr>
      <w:bookmarkStart w:id="262" w:name="_Toc3810"/>
      <w:bookmarkStart w:id="263" w:name="_Toc15993"/>
      <w:bookmarkStart w:id="264" w:name="_Toc13883"/>
      <w:bookmarkStart w:id="265" w:name="_Toc23402"/>
      <w:r>
        <w:rPr>
          <w:rFonts w:hint="eastAsia" w:ascii="宋体" w:hAnsi="宋体" w:cs="宋体"/>
          <w:color w:val="auto"/>
          <w:sz w:val="28"/>
          <w:szCs w:val="28"/>
          <w:highlight w:val="none"/>
        </w:rPr>
        <w:t>（二）投标保证金</w:t>
      </w:r>
      <w:bookmarkEnd w:id="262"/>
      <w:bookmarkEnd w:id="263"/>
      <w:bookmarkEnd w:id="264"/>
      <w:bookmarkEnd w:id="265"/>
      <w:r>
        <w:rPr>
          <w:rFonts w:hint="eastAsia" w:ascii="宋体" w:hAnsi="宋体" w:cs="宋体"/>
          <w:color w:val="auto"/>
          <w:sz w:val="28"/>
          <w:szCs w:val="28"/>
          <w:highlight w:val="none"/>
        </w:rPr>
        <w:t>（本项目不适应）</w:t>
      </w:r>
    </w:p>
    <w:p>
      <w:pPr>
        <w:widowControl/>
        <w:spacing w:line="360" w:lineRule="auto"/>
        <w:ind w:firstLine="400" w:firstLineChars="200"/>
        <w:jc w:val="left"/>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采用电子保函的提供电子保函复印件或扫描件；采用银行转账的提供投标人基本账户开户许可证和本项目投标保证金银行进账单或转账凭证的复印件或扫描件。</w:t>
      </w:r>
    </w:p>
    <w:p>
      <w:pPr>
        <w:widowControl/>
        <w:spacing w:line="360" w:lineRule="auto"/>
        <w:ind w:firstLine="400" w:firstLineChars="200"/>
        <w:jc w:val="left"/>
        <w:rPr>
          <w:rFonts w:hint="eastAsia" w:ascii="宋体" w:hAnsi="宋体" w:cs="宋体"/>
          <w:color w:val="auto"/>
          <w:kern w:val="0"/>
          <w:sz w:val="20"/>
          <w:szCs w:val="20"/>
          <w:highlight w:val="none"/>
          <w:lang w:bidi="ar"/>
        </w:rPr>
      </w:pP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1、递交方式：</w:t>
      </w:r>
      <w:r>
        <w:rPr>
          <w:rFonts w:hint="eastAsia" w:ascii="宋体" w:hAnsi="宋体" w:cs="宋体"/>
          <w:b/>
          <w:bCs/>
          <w:color w:val="auto"/>
          <w:kern w:val="0"/>
          <w:sz w:val="20"/>
          <w:szCs w:val="20"/>
          <w:highlight w:val="none"/>
          <w:lang w:bidi="ar"/>
        </w:rPr>
        <w:t>银行转账</w:t>
      </w:r>
      <w:r>
        <w:rPr>
          <w:rFonts w:hint="eastAsia" w:ascii="宋体" w:hAnsi="宋体" w:cs="宋体"/>
          <w:color w:val="auto"/>
          <w:kern w:val="0"/>
          <w:sz w:val="20"/>
          <w:szCs w:val="20"/>
          <w:highlight w:val="none"/>
          <w:lang w:bidi="ar"/>
        </w:rPr>
        <w:t>或</w:t>
      </w:r>
      <w:r>
        <w:rPr>
          <w:rFonts w:hint="eastAsia" w:ascii="宋体" w:hAnsi="宋体" w:cs="宋体"/>
          <w:b/>
          <w:bCs/>
          <w:color w:val="auto"/>
          <w:kern w:val="0"/>
          <w:sz w:val="20"/>
          <w:szCs w:val="20"/>
          <w:highlight w:val="none"/>
          <w:lang w:bidi="ar"/>
        </w:rPr>
        <w:t>电子保函</w:t>
      </w:r>
      <w:r>
        <w:rPr>
          <w:rFonts w:hint="eastAsia" w:ascii="宋体" w:hAnsi="宋体" w:cs="宋体"/>
          <w:color w:val="auto"/>
          <w:kern w:val="0"/>
          <w:sz w:val="20"/>
          <w:szCs w:val="20"/>
          <w:highlight w:val="none"/>
          <w:lang w:bidi="ar"/>
        </w:rPr>
        <w:t xml:space="preserve">。 </w:t>
      </w:r>
    </w:p>
    <w:p>
      <w:pPr>
        <w:widowControl/>
        <w:wordWrap w:val="0"/>
        <w:spacing w:line="360" w:lineRule="auto"/>
        <w:ind w:firstLine="400" w:firstLineChars="200"/>
        <w:jc w:val="left"/>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1.1、</w:t>
      </w:r>
      <w:r>
        <w:rPr>
          <w:rFonts w:hint="eastAsia" w:ascii="宋体" w:hAnsi="宋体" w:cs="宋体"/>
          <w:b/>
          <w:bCs/>
          <w:color w:val="auto"/>
          <w:kern w:val="0"/>
          <w:sz w:val="20"/>
          <w:szCs w:val="20"/>
          <w:highlight w:val="none"/>
          <w:lang w:bidi="ar"/>
        </w:rPr>
        <w:t>电子保函：</w:t>
      </w:r>
      <w:r>
        <w:rPr>
          <w:rFonts w:hint="eastAsia" w:ascii="宋体" w:hAnsi="宋体" w:cs="宋体"/>
          <w:color w:val="auto"/>
          <w:kern w:val="0"/>
          <w:sz w:val="20"/>
          <w:szCs w:val="20"/>
          <w:highlight w:val="none"/>
          <w:lang w:bidi="ar"/>
        </w:rPr>
        <w:t>包括银行电子保函、电子担保保函、投标保证保险。电子保函可通过株洲市公共 资 源 交 易 中 心 官 网 首 页 进 入 “ 电 子 保 函 ” 模 块 进 行 申 请 ， 也 可 以 登 录http：//hxbh.hnhxzx.cn：20080 进行电子保函申请。具体操作请登录株洲市公共资源交易中心门户网站—操作指南—《株洲市电子保函服务平台政府采购投标人操作手册》了解。</w:t>
      </w: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1.2、</w:t>
      </w:r>
      <w:r>
        <w:rPr>
          <w:rFonts w:hint="eastAsia" w:ascii="宋体" w:hAnsi="宋体" w:cs="宋体"/>
          <w:b/>
          <w:bCs/>
          <w:color w:val="auto"/>
          <w:kern w:val="0"/>
          <w:sz w:val="20"/>
          <w:szCs w:val="20"/>
          <w:highlight w:val="none"/>
          <w:lang w:bidi="ar"/>
        </w:rPr>
        <w:t>银行转账</w:t>
      </w:r>
      <w:r>
        <w:rPr>
          <w:rFonts w:hint="eastAsia" w:ascii="宋体" w:hAnsi="宋体" w:cs="宋体"/>
          <w:color w:val="auto"/>
          <w:kern w:val="0"/>
          <w:sz w:val="20"/>
          <w:szCs w:val="20"/>
          <w:highlight w:val="none"/>
          <w:lang w:bidi="ar"/>
        </w:rPr>
        <w:t>：递交方式：投标保证金必须是从投标人单位</w:t>
      </w:r>
      <w:r>
        <w:rPr>
          <w:rFonts w:hint="eastAsia" w:ascii="宋体" w:hAnsi="宋体" w:cs="宋体"/>
          <w:b/>
          <w:bCs/>
          <w:color w:val="auto"/>
          <w:kern w:val="0"/>
          <w:sz w:val="20"/>
          <w:szCs w:val="20"/>
          <w:highlight w:val="none"/>
          <w:lang w:bidi="ar"/>
        </w:rPr>
        <w:t>基本账户</w:t>
      </w:r>
      <w:r>
        <w:rPr>
          <w:rFonts w:hint="eastAsia" w:ascii="宋体" w:hAnsi="宋体" w:cs="宋体"/>
          <w:color w:val="auto"/>
          <w:kern w:val="0"/>
          <w:sz w:val="20"/>
          <w:szCs w:val="20"/>
          <w:highlight w:val="none"/>
          <w:lang w:bidi="ar"/>
        </w:rPr>
        <w:t>转（汇）入投标保证金的托管账户管理，以现金方式和非投标人单位账户提交的投标保证金无效；投标保证金托管账户如下：</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 xml:space="preserve">账户名称：株洲市公共资源交易中心交易保证金专户 </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 xml:space="preserve">开户银行：中国建设银行股份有限公司株洲湘银支行 </w:t>
      </w:r>
    </w:p>
    <w:p>
      <w:pPr>
        <w:widowControl/>
        <w:spacing w:line="360" w:lineRule="auto"/>
        <w:ind w:firstLine="402" w:firstLineChars="200"/>
        <w:jc w:val="left"/>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银行账号：</w:t>
      </w:r>
    </w:p>
    <w:p>
      <w:pPr>
        <w:widowControl/>
        <w:spacing w:line="360" w:lineRule="auto"/>
        <w:ind w:firstLine="402" w:firstLineChars="200"/>
        <w:jc w:val="left"/>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包1：4300 1500 5620 5966 6666-*****</w:t>
      </w:r>
    </w:p>
    <w:p>
      <w:pPr>
        <w:widowControl/>
        <w:spacing w:line="360" w:lineRule="auto"/>
        <w:ind w:firstLine="400" w:firstLineChars="200"/>
        <w:jc w:val="left"/>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该账号仅为此项目的保证金托管账户，请勿与其它项目的账号混淆，发生串户则视为无效保证金。</w:t>
      </w:r>
    </w:p>
    <w:p>
      <w:pPr>
        <w:widowControl/>
        <w:numPr>
          <w:ilvl w:val="0"/>
          <w:numId w:val="2"/>
        </w:numPr>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在转账票据摘要处须注明：“ （项目名称）投标保证金”。（如“项目名称”字符过多，转账票据摘要处填写不下的，则“取‘项目名称’前面字符”填入。） </w:t>
      </w:r>
    </w:p>
    <w:p>
      <w:pPr>
        <w:widowControl/>
        <w:numPr>
          <w:ilvl w:val="0"/>
          <w:numId w:val="2"/>
        </w:numPr>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投标保证金到帐截止时间为投标截止时间。（为确保投标保证金按时到账，请投标人于开标日前一个工作日下午 3：00 前提交，并注意交纳保证金的银行账号中含有“-”号。） </w:t>
      </w: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特别提示： </w:t>
      </w: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① 投标保证金汇款服务咨询：中国建设银行股份有限公司株洲湘银支行 </w:t>
      </w: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0731-28520852（联系人：黄朝辉） 和 0731-22864427（联系人：刘岚）。 </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② 开标现场将展示投标保证金情况，各</w:t>
      </w:r>
      <w:r>
        <w:rPr>
          <w:rFonts w:hint="eastAsia" w:ascii="宋体" w:hAnsi="宋体" w:cs="宋体"/>
          <w:b/>
          <w:bCs/>
          <w:color w:val="auto"/>
          <w:kern w:val="0"/>
          <w:sz w:val="20"/>
          <w:szCs w:val="20"/>
          <w:highlight w:val="none"/>
          <w:lang w:eastAsia="zh-CN" w:bidi="ar"/>
        </w:rPr>
        <w:t>投标人</w:t>
      </w:r>
      <w:r>
        <w:rPr>
          <w:rFonts w:hint="eastAsia" w:ascii="宋体" w:hAnsi="宋体" w:cs="宋体"/>
          <w:b/>
          <w:bCs/>
          <w:color w:val="auto"/>
          <w:kern w:val="0"/>
          <w:sz w:val="20"/>
          <w:szCs w:val="20"/>
          <w:highlight w:val="none"/>
          <w:lang w:bidi="ar"/>
        </w:rPr>
        <w:t>仅须在投标文件中提供投标人账户开户许可证和银行进账单的复印件或扫描件。如</w:t>
      </w:r>
      <w:r>
        <w:rPr>
          <w:rFonts w:hint="eastAsia" w:ascii="宋体" w:hAnsi="宋体" w:cs="宋体"/>
          <w:b/>
          <w:bCs/>
          <w:color w:val="auto"/>
          <w:kern w:val="0"/>
          <w:sz w:val="20"/>
          <w:szCs w:val="20"/>
          <w:highlight w:val="none"/>
          <w:lang w:eastAsia="zh-CN" w:bidi="ar"/>
        </w:rPr>
        <w:t>投标人</w:t>
      </w:r>
      <w:r>
        <w:rPr>
          <w:rFonts w:hint="eastAsia" w:ascii="宋体" w:hAnsi="宋体" w:cs="宋体"/>
          <w:b/>
          <w:bCs/>
          <w:color w:val="auto"/>
          <w:kern w:val="0"/>
          <w:sz w:val="20"/>
          <w:szCs w:val="20"/>
          <w:highlight w:val="none"/>
          <w:lang w:bidi="ar"/>
        </w:rPr>
        <w:t>基本账户被冻结，须提交申请从</w:t>
      </w:r>
      <w:r>
        <w:rPr>
          <w:rFonts w:hint="eastAsia" w:ascii="宋体" w:hAnsi="宋体" w:cs="宋体"/>
          <w:b/>
          <w:bCs/>
          <w:color w:val="auto"/>
          <w:kern w:val="0"/>
          <w:sz w:val="20"/>
          <w:szCs w:val="20"/>
          <w:highlight w:val="none"/>
          <w:lang w:eastAsia="zh-CN" w:bidi="ar"/>
        </w:rPr>
        <w:t>投标人</w:t>
      </w:r>
      <w:r>
        <w:rPr>
          <w:rFonts w:hint="eastAsia" w:ascii="宋体" w:hAnsi="宋体" w:cs="宋体"/>
          <w:b/>
          <w:bCs/>
          <w:color w:val="auto"/>
          <w:kern w:val="0"/>
          <w:sz w:val="20"/>
          <w:szCs w:val="20"/>
          <w:highlight w:val="none"/>
          <w:lang w:bidi="ar"/>
        </w:rPr>
        <w:t xml:space="preserve">名称一致的其他账户转入投标保证金，并提供法院出具的协助冻结存款通知书复印件，请投标人认真阅读关于投标保证金缴纳的规定，并严格执行，防止投标保证金缴纳出现失误。 </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 xml:space="preserve">③因银行和收款方在开标前均无法查询保证金到账情况，建议投标人尽量提前递交投标保证金，并密切关注是否有被退回的情况，避免因未按招标文件要求递交投标保证金而导致废标。 </w:t>
      </w:r>
      <w:r>
        <w:rPr>
          <w:rFonts w:hint="eastAsia" w:ascii="宋体" w:hAnsi="宋体" w:cs="宋体"/>
          <w:color w:val="auto"/>
          <w:kern w:val="0"/>
          <w:sz w:val="20"/>
          <w:szCs w:val="20"/>
          <w:highlight w:val="none"/>
          <w:lang w:bidi="ar"/>
        </w:rPr>
        <w:t xml:space="preserve"> </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 xml:space="preserve">2、投标人不按招标文件要求提交投标保证金的，视为不合格投标人。 </w:t>
      </w:r>
    </w:p>
    <w:p>
      <w:pPr>
        <w:spacing w:after="156" w:line="360" w:lineRule="auto"/>
        <w:ind w:firstLine="400" w:firstLineChars="200"/>
        <w:rPr>
          <w:rFonts w:hint="eastAsia" w:ascii="宋体" w:hAnsi="宋体" w:cs="宋体"/>
          <w:bCs/>
        </w:rPr>
      </w:pPr>
      <w:r>
        <w:rPr>
          <w:rFonts w:hint="eastAsia" w:ascii="宋体" w:hAnsi="宋体" w:cs="宋体"/>
          <w:color w:val="auto"/>
          <w:kern w:val="0"/>
          <w:sz w:val="20"/>
          <w:szCs w:val="20"/>
          <w:highlight w:val="none"/>
          <w:lang w:bidi="ar"/>
        </w:rPr>
        <w:t>3、</w:t>
      </w:r>
      <w:r>
        <w:rPr>
          <w:rFonts w:hint="eastAsia" w:ascii="宋体" w:hAnsi="宋体" w:cs="宋体"/>
          <w:b/>
          <w:color w:val="auto"/>
          <w:highlight w:val="none"/>
        </w:rPr>
        <w:t>未中标人</w:t>
      </w:r>
      <w:r>
        <w:rPr>
          <w:rFonts w:hint="eastAsia" w:ascii="宋体" w:hAnsi="宋体" w:cs="宋体"/>
          <w:bCs/>
          <w:color w:val="auto"/>
          <w:highlight w:val="none"/>
        </w:rPr>
        <w:t>的投标保证金在中标通知书发出后五个工作日内由银行自动退还给投标人。</w:t>
      </w:r>
      <w:r>
        <w:rPr>
          <w:rFonts w:hint="eastAsia" w:ascii="宋体" w:hAnsi="宋体" w:cs="宋体"/>
          <w:b/>
          <w:color w:val="auto"/>
          <w:highlight w:val="none"/>
        </w:rPr>
        <w:t>中标人</w:t>
      </w:r>
      <w:r>
        <w:rPr>
          <w:rFonts w:hint="eastAsia" w:ascii="宋体" w:hAnsi="宋体" w:cs="宋体"/>
          <w:bCs/>
          <w:color w:val="auto"/>
          <w:highlight w:val="none"/>
        </w:rPr>
        <w:t>于合同签订之日起五个工作日内将退款申请及付款凭证发至项目代理机构，代理机构在交易</w:t>
      </w:r>
      <w:r>
        <w:rPr>
          <w:rFonts w:hint="eastAsia" w:ascii="宋体" w:hAnsi="宋体" w:cs="宋体"/>
          <w:bCs/>
        </w:rPr>
        <w:t>系统上传退款申请、付款凭证、公共资源交易中心进场交易确认书后退款至原缴款账户。株洲市公共资源交易中心一楼服务大厅3号保证金窗口联系电话：0731-28681387。</w:t>
      </w:r>
    </w:p>
    <w:p>
      <w:pPr>
        <w:adjustRightInd w:val="0"/>
        <w:snapToGrid w:val="0"/>
        <w:spacing w:before="161" w:beforeLines="50" w:line="360" w:lineRule="auto"/>
        <w:ind w:firstLine="420" w:firstLineChars="200"/>
        <w:jc w:val="left"/>
        <w:rPr>
          <w:rFonts w:hint="eastAsia" w:ascii="宋体" w:hAnsi="宋体" w:cs="宋体"/>
          <w:snapToGrid w:val="0"/>
        </w:rPr>
      </w:pPr>
      <w:r>
        <w:rPr>
          <w:rFonts w:hint="eastAsia" w:ascii="宋体" w:hAnsi="宋体" w:cs="宋体"/>
          <w:snapToGrid w:val="0"/>
        </w:rPr>
        <w:t>附退款申请格式：</w:t>
      </w:r>
    </w:p>
    <w:tbl>
      <w:tblPr>
        <w:tblStyle w:val="43"/>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40" w:type="dxa"/>
          </w:tcPr>
          <w:p>
            <w:pPr>
              <w:spacing w:after="156" w:line="360" w:lineRule="exact"/>
              <w:jc w:val="center"/>
              <w:rPr>
                <w:rFonts w:hint="eastAsia" w:ascii="宋体" w:hAnsi="宋体" w:cs="宋体"/>
              </w:rPr>
            </w:pPr>
            <w:r>
              <w:rPr>
                <w:rFonts w:hint="eastAsia" w:ascii="宋体" w:hAnsi="宋体" w:cs="宋体"/>
                <w:b/>
                <w:snapToGrid w:val="0"/>
              </w:rPr>
              <w:t>退款申请</w:t>
            </w:r>
          </w:p>
          <w:p>
            <w:pPr>
              <w:adjustRightInd w:val="0"/>
              <w:snapToGrid w:val="0"/>
              <w:spacing w:before="161" w:beforeLines="50" w:line="360" w:lineRule="auto"/>
              <w:rPr>
                <w:rFonts w:hint="eastAsia" w:ascii="宋体" w:hAnsi="宋体" w:cs="宋体"/>
                <w:snapToGrid w:val="0"/>
              </w:rPr>
            </w:pPr>
            <w:r>
              <w:rPr>
                <w:rFonts w:hint="eastAsia" w:ascii="宋体" w:hAnsi="宋体" w:cs="宋体"/>
                <w:b/>
                <w:snapToGrid w:val="0"/>
              </w:rPr>
              <w:t>株洲市公共资源交易中心</w:t>
            </w:r>
            <w:r>
              <w:rPr>
                <w:rFonts w:hint="eastAsia" w:ascii="宋体" w:hAnsi="宋体" w:cs="宋体"/>
                <w:snapToGrid w:val="0"/>
              </w:rPr>
              <w:t>：</w:t>
            </w:r>
          </w:p>
          <w:p>
            <w:pPr>
              <w:adjustRightInd w:val="0"/>
              <w:snapToGrid w:val="0"/>
              <w:spacing w:before="161" w:beforeLines="50" w:line="360" w:lineRule="auto"/>
              <w:ind w:firstLine="420"/>
              <w:rPr>
                <w:rFonts w:hint="eastAsia" w:ascii="宋体" w:hAnsi="宋体" w:cs="宋体"/>
                <w:snapToGrid w:val="0"/>
              </w:rPr>
            </w:pPr>
            <w:r>
              <w:rPr>
                <w:rFonts w:hint="eastAsia" w:ascii="宋体" w:hAnsi="宋体" w:cs="宋体"/>
                <w:snapToGrid w:val="0"/>
              </w:rPr>
              <w:t>我单位于年月日，参加项目，汇入投标保证金元。现确定为成交投标人，并已与采购人签订采购合同，特申请退回此笔投标保证金。另附我单位投标保证金付款凭证复印件、开户许可证复印件、公共资源交易中心进场交易确认书复印件。</w:t>
            </w:r>
          </w:p>
          <w:p>
            <w:pPr>
              <w:adjustRightInd w:val="0"/>
              <w:snapToGrid w:val="0"/>
              <w:spacing w:before="161" w:beforeLines="50" w:line="360" w:lineRule="auto"/>
              <w:ind w:firstLine="420"/>
              <w:rPr>
                <w:rFonts w:hint="eastAsia" w:ascii="宋体" w:hAnsi="宋体" w:cs="宋体"/>
                <w:snapToGrid w:val="0"/>
              </w:rPr>
            </w:pPr>
            <w:r>
              <w:rPr>
                <w:rFonts w:hint="eastAsia" w:ascii="宋体" w:hAnsi="宋体" w:cs="宋体"/>
                <w:snapToGrid w:val="0"/>
              </w:rPr>
              <w:t>特此申请！</w:t>
            </w:r>
          </w:p>
          <w:p>
            <w:pPr>
              <w:adjustRightInd w:val="0"/>
              <w:snapToGrid w:val="0"/>
              <w:spacing w:before="161" w:beforeLines="50" w:line="360" w:lineRule="auto"/>
              <w:ind w:firstLine="420"/>
              <w:jc w:val="left"/>
              <w:rPr>
                <w:rFonts w:hint="eastAsia" w:ascii="宋体" w:hAnsi="宋体" w:cs="宋体"/>
                <w:snapToGrid w:val="0"/>
              </w:rPr>
            </w:pPr>
          </w:p>
          <w:p>
            <w:pPr>
              <w:spacing w:after="156" w:line="360" w:lineRule="exact"/>
              <w:ind w:firstLine="420"/>
              <w:jc w:val="left"/>
              <w:rPr>
                <w:rFonts w:hint="eastAsia" w:ascii="宋体" w:hAnsi="宋体" w:cs="宋体"/>
                <w:snapToGrid w:val="0"/>
              </w:rPr>
            </w:pPr>
            <w:r>
              <w:rPr>
                <w:rFonts w:hint="eastAsia" w:ascii="宋体" w:hAnsi="宋体" w:cs="宋体"/>
                <w:snapToGrid w:val="0"/>
              </w:rPr>
              <w:t>投标人：（公章）</w:t>
            </w:r>
          </w:p>
          <w:p>
            <w:pPr>
              <w:spacing w:after="156" w:line="360" w:lineRule="exact"/>
              <w:ind w:firstLine="420"/>
              <w:jc w:val="right"/>
              <w:rPr>
                <w:rFonts w:hint="eastAsia" w:ascii="宋体" w:hAnsi="宋体" w:cs="宋体"/>
                <w:snapToGrid w:val="0"/>
              </w:rPr>
            </w:pPr>
            <w:r>
              <w:rPr>
                <w:rFonts w:hint="eastAsia" w:ascii="宋体" w:hAnsi="宋体" w:cs="宋体"/>
                <w:snapToGrid w:val="0"/>
              </w:rPr>
              <w:t>年月日</w:t>
            </w:r>
          </w:p>
          <w:p>
            <w:pPr>
              <w:spacing w:after="156" w:line="360" w:lineRule="exact"/>
              <w:ind w:firstLine="420"/>
              <w:rPr>
                <w:rFonts w:hint="eastAsia" w:ascii="宋体" w:hAnsi="宋体" w:cs="宋体"/>
                <w:b/>
                <w:snapToGrid w:val="0"/>
              </w:rPr>
            </w:pPr>
            <w:r>
              <w:rPr>
                <w:rFonts w:hint="eastAsia" w:ascii="宋体" w:hAnsi="宋体" w:cs="宋体"/>
                <w:snapToGrid w:val="0"/>
              </w:rPr>
              <w:t>采购人：（意见加盖公章）                                                  年月日</w:t>
            </w:r>
          </w:p>
        </w:tc>
      </w:tr>
    </w:tbl>
    <w:p>
      <w:pPr>
        <w:adjustRightInd w:val="0"/>
        <w:snapToGrid w:val="0"/>
        <w:spacing w:line="360" w:lineRule="auto"/>
        <w:ind w:firstLine="422" w:firstLineChars="200"/>
        <w:rPr>
          <w:rFonts w:hint="eastAsia" w:ascii="宋体" w:hAnsi="宋体" w:cs="宋体"/>
          <w:b/>
          <w:snapToGrid w:val="0"/>
        </w:rPr>
      </w:pPr>
      <w:r>
        <w:rPr>
          <w:rFonts w:hint="eastAsia" w:ascii="宋体" w:hAnsi="宋体" w:cs="宋体"/>
          <w:b/>
          <w:snapToGrid w:val="0"/>
        </w:rPr>
        <w:t>4、投标人有下列情况之一的，将不予退回投标保证金：</w:t>
      </w:r>
    </w:p>
    <w:p>
      <w:pPr>
        <w:adjustRightInd w:val="0"/>
        <w:snapToGrid w:val="0"/>
        <w:spacing w:line="360" w:lineRule="auto"/>
        <w:ind w:firstLine="420" w:firstLineChars="200"/>
        <w:rPr>
          <w:rFonts w:hint="eastAsia" w:ascii="宋体" w:hAnsi="宋体" w:cs="宋体"/>
          <w:snapToGrid w:val="0"/>
        </w:rPr>
      </w:pPr>
      <w:r>
        <w:rPr>
          <w:rFonts w:hint="eastAsia" w:ascii="宋体" w:hAnsi="宋体" w:cs="宋体"/>
          <w:snapToGrid w:val="0"/>
        </w:rPr>
        <w:t>（1）投标人在投标有效期内撤销其投标文件的；</w:t>
      </w:r>
    </w:p>
    <w:p>
      <w:pPr>
        <w:adjustRightInd w:val="0"/>
        <w:snapToGrid w:val="0"/>
        <w:spacing w:line="360" w:lineRule="auto"/>
        <w:ind w:firstLine="420" w:firstLineChars="200"/>
        <w:rPr>
          <w:rFonts w:hint="eastAsia" w:ascii="宋体" w:hAnsi="宋体" w:cs="宋体"/>
          <w:snapToGrid w:val="0"/>
        </w:rPr>
      </w:pPr>
      <w:r>
        <w:rPr>
          <w:rFonts w:hint="eastAsia" w:ascii="宋体" w:hAnsi="宋体" w:cs="宋体"/>
          <w:snapToGrid w:val="0"/>
        </w:rPr>
        <w:t>（2）成交投标人无正当理由不与采购人订立合同，在签订合同时向采购人提出附加条件，或者不按照招标文件要求提交履约保证金的。</w:t>
      </w:r>
    </w:p>
    <w:p>
      <w:pPr>
        <w:rPr>
          <w:rFonts w:hint="eastAsia" w:ascii="宋体" w:hAnsi="宋体" w:cs="宋体"/>
          <w:sz w:val="32"/>
          <w:szCs w:val="32"/>
        </w:rPr>
      </w:pPr>
      <w:r>
        <w:rPr>
          <w:rFonts w:hint="eastAsia" w:ascii="宋体" w:hAnsi="宋体" w:cs="宋体"/>
          <w:sz w:val="32"/>
          <w:szCs w:val="32"/>
        </w:rPr>
        <w:br w:type="page"/>
      </w:r>
    </w:p>
    <w:p>
      <w:pPr>
        <w:widowControl/>
        <w:jc w:val="center"/>
      </w:pPr>
      <w:r>
        <w:rPr>
          <w:rFonts w:hint="eastAsia" w:ascii="黑体" w:hAnsi="宋体" w:eastAsia="黑体" w:cs="黑体"/>
          <w:b/>
          <w:bCs/>
          <w:kern w:val="0"/>
          <w:sz w:val="28"/>
          <w:szCs w:val="28"/>
          <w:lang w:bidi="ar"/>
        </w:rPr>
        <w:t>投标保函（格式）</w:t>
      </w:r>
    </w:p>
    <w:p>
      <w:pPr>
        <w:widowControl/>
        <w:jc w:val="center"/>
      </w:pPr>
      <w:r>
        <w:rPr>
          <w:rFonts w:hint="eastAsia" w:ascii="宋体" w:hAnsi="宋体" w:cs="宋体"/>
          <w:kern w:val="0"/>
          <w:szCs w:val="21"/>
          <w:lang w:bidi="ar"/>
        </w:rPr>
        <w:t>（金融机构、担保机构保函）</w:t>
      </w:r>
    </w:p>
    <w:p>
      <w:pPr>
        <w:widowControl/>
        <w:spacing w:line="360" w:lineRule="auto"/>
        <w:jc w:val="left"/>
        <w:rPr>
          <w:b/>
          <w:bCs/>
        </w:rPr>
      </w:pPr>
      <w:r>
        <w:rPr>
          <w:rFonts w:hint="eastAsia" w:ascii="宋体" w:hAnsi="宋体" w:cs="宋体"/>
          <w:b/>
          <w:bCs/>
          <w:kern w:val="0"/>
          <w:szCs w:val="21"/>
          <w:lang w:bidi="ar"/>
        </w:rPr>
        <w:t xml:space="preserve">（采购人名称）： </w:t>
      </w:r>
    </w:p>
    <w:p>
      <w:pPr>
        <w:widowControl/>
        <w:spacing w:line="360" w:lineRule="auto"/>
        <w:ind w:firstLine="420" w:firstLineChars="200"/>
        <w:jc w:val="left"/>
      </w:pPr>
      <w:r>
        <w:rPr>
          <w:rFonts w:hint="eastAsia" w:ascii="宋体" w:hAnsi="宋体" w:cs="宋体"/>
          <w:kern w:val="0"/>
          <w:szCs w:val="21"/>
          <w:lang w:bidi="ar"/>
        </w:rPr>
        <w:t>鉴于</w:t>
      </w:r>
      <w:r>
        <w:rPr>
          <w:rFonts w:hint="eastAsia" w:ascii="宋体" w:hAnsi="宋体" w:cs="宋体"/>
          <w:kern w:val="0"/>
          <w:szCs w:val="21"/>
          <w:u w:val="single"/>
          <w:lang w:bidi="ar"/>
        </w:rPr>
        <w:t>（投标人名称）（</w:t>
      </w:r>
      <w:r>
        <w:rPr>
          <w:rFonts w:hint="eastAsia" w:ascii="宋体" w:hAnsi="宋体" w:cs="宋体"/>
          <w:kern w:val="0"/>
          <w:szCs w:val="21"/>
          <w:lang w:bidi="ar"/>
        </w:rPr>
        <w:t>以下称“投标人”）于年月日参加（项目名称）政府采购招标（政采购编号：</w:t>
      </w:r>
      <w:r>
        <w:rPr>
          <w:rFonts w:hint="eastAsia" w:ascii="宋体" w:hAnsi="宋体" w:cs="宋体"/>
          <w:kern w:val="0"/>
          <w:szCs w:val="21"/>
          <w:u w:val="single"/>
          <w:lang w:bidi="ar"/>
        </w:rPr>
        <w:t xml:space="preserve">          </w:t>
      </w:r>
      <w:r>
        <w:rPr>
          <w:rFonts w:hint="eastAsia" w:ascii="宋体" w:hAnsi="宋体" w:cs="宋体"/>
          <w:kern w:val="0"/>
          <w:szCs w:val="21"/>
          <w:lang w:bidi="ar"/>
        </w:rPr>
        <w:t>，采购代理编号：</w:t>
      </w:r>
      <w:r>
        <w:rPr>
          <w:rFonts w:hint="eastAsia" w:ascii="宋体" w:hAnsi="宋体" w:cs="宋体"/>
          <w:kern w:val="0"/>
          <w:szCs w:val="21"/>
          <w:u w:val="single"/>
          <w:lang w:bidi="ar"/>
        </w:rPr>
        <w:t xml:space="preserve">          </w:t>
      </w:r>
      <w:r>
        <w:rPr>
          <w:rFonts w:hint="eastAsia" w:ascii="宋体" w:hAnsi="宋体" w:cs="宋体"/>
          <w:kern w:val="0"/>
          <w:szCs w:val="21"/>
          <w:lang w:bidi="ar"/>
        </w:rPr>
        <w:t>）的投标，（担保人名称，以下简称“我方”）无条件地、不可撤 销地保证：若投标人在投标有效期内撤销投标文件，或中标后无正当理由不与采购人订立合同，或在签订合同时向采购人提出附加条件，或不按照招标文件要求提交履约保证金，以及发生招标文件明确规定可以不予退还投标保证金的其他情形，我方承担保证责任。收到你方书面通知后，我方在 7 日内向你方无条件支付人民币</w:t>
      </w:r>
      <w:r>
        <w:rPr>
          <w:rFonts w:hint="eastAsia" w:ascii="宋体" w:hAnsi="宋体" w:cs="宋体"/>
          <w:kern w:val="0"/>
          <w:szCs w:val="21"/>
          <w:u w:val="single"/>
          <w:lang w:bidi="ar"/>
        </w:rPr>
        <w:t xml:space="preserve">      </w:t>
      </w:r>
      <w:r>
        <w:rPr>
          <w:rFonts w:hint="eastAsia" w:ascii="宋体" w:hAnsi="宋体" w:cs="宋体"/>
          <w:kern w:val="0"/>
          <w:szCs w:val="21"/>
          <w:lang w:bidi="ar"/>
        </w:rPr>
        <w:t xml:space="preserve">（大写）。 本保函在投标有效期内保持有效。要求我方承担保证责任的通知应在投标有效期内送达我方。 </w:t>
      </w:r>
    </w:p>
    <w:p>
      <w:pPr>
        <w:widowControl/>
        <w:spacing w:line="360" w:lineRule="auto"/>
        <w:ind w:firstLine="420" w:firstLineChars="200"/>
        <w:jc w:val="left"/>
        <w:rPr>
          <w:rFonts w:hint="eastAsia" w:ascii="宋体" w:hAnsi="宋体" w:cs="宋体"/>
          <w:kern w:val="0"/>
          <w:szCs w:val="21"/>
          <w:lang w:bidi="ar"/>
        </w:rPr>
      </w:pPr>
    </w:p>
    <w:p>
      <w:pPr>
        <w:widowControl/>
        <w:spacing w:line="360" w:lineRule="auto"/>
        <w:ind w:firstLine="420" w:firstLineChars="200"/>
        <w:jc w:val="left"/>
      </w:pPr>
      <w:r>
        <w:rPr>
          <w:rFonts w:hint="eastAsia" w:ascii="宋体" w:hAnsi="宋体" w:cs="宋体"/>
          <w:kern w:val="0"/>
          <w:szCs w:val="21"/>
          <w:lang w:bidi="ar"/>
        </w:rPr>
        <w:t xml:space="preserve">担保人名称：（盖单位章） </w:t>
      </w:r>
    </w:p>
    <w:p>
      <w:pPr>
        <w:widowControl/>
        <w:spacing w:line="360" w:lineRule="auto"/>
        <w:ind w:firstLine="420" w:firstLineChars="200"/>
        <w:jc w:val="left"/>
      </w:pPr>
      <w:r>
        <w:rPr>
          <w:rFonts w:hint="eastAsia" w:ascii="宋体" w:hAnsi="宋体" w:cs="宋体"/>
          <w:kern w:val="0"/>
          <w:szCs w:val="21"/>
          <w:lang w:bidi="ar"/>
        </w:rPr>
        <w:t xml:space="preserve">法定代表人（单位负责人）或委托代理人：（签字或印章） </w:t>
      </w:r>
    </w:p>
    <w:p>
      <w:pPr>
        <w:widowControl/>
        <w:spacing w:line="360" w:lineRule="auto"/>
        <w:ind w:firstLine="420" w:firstLineChars="200"/>
        <w:jc w:val="left"/>
      </w:pPr>
      <w:r>
        <w:rPr>
          <w:rFonts w:hint="eastAsia" w:ascii="宋体" w:hAnsi="宋体" w:cs="宋体"/>
          <w:kern w:val="0"/>
          <w:szCs w:val="21"/>
          <w:lang w:bidi="ar"/>
        </w:rPr>
        <w:t xml:space="preserve">地 址： </w:t>
      </w:r>
    </w:p>
    <w:p>
      <w:pPr>
        <w:widowControl/>
        <w:spacing w:line="360" w:lineRule="auto"/>
        <w:ind w:firstLine="420" w:firstLineChars="200"/>
        <w:jc w:val="left"/>
      </w:pPr>
      <w:r>
        <w:rPr>
          <w:rFonts w:hint="eastAsia" w:ascii="宋体" w:hAnsi="宋体" w:cs="宋体"/>
          <w:kern w:val="0"/>
          <w:szCs w:val="21"/>
          <w:lang w:bidi="ar"/>
        </w:rPr>
        <w:t xml:space="preserve">邮政编码： </w:t>
      </w:r>
    </w:p>
    <w:p>
      <w:pPr>
        <w:widowControl/>
        <w:spacing w:line="360" w:lineRule="auto"/>
        <w:ind w:firstLine="420" w:firstLineChars="200"/>
        <w:jc w:val="left"/>
      </w:pPr>
      <w:r>
        <w:rPr>
          <w:rFonts w:hint="eastAsia" w:ascii="宋体" w:hAnsi="宋体" w:cs="宋体"/>
          <w:kern w:val="0"/>
          <w:szCs w:val="21"/>
          <w:lang w:bidi="ar"/>
        </w:rPr>
        <w:t xml:space="preserve">电 话： </w:t>
      </w:r>
    </w:p>
    <w:p>
      <w:pPr>
        <w:widowControl/>
        <w:spacing w:line="360" w:lineRule="auto"/>
        <w:ind w:firstLine="420" w:firstLineChars="200"/>
        <w:jc w:val="left"/>
      </w:pPr>
      <w:r>
        <w:rPr>
          <w:rFonts w:hint="eastAsia" w:ascii="宋体" w:hAnsi="宋体" w:cs="宋体"/>
          <w:kern w:val="0"/>
          <w:szCs w:val="21"/>
          <w:lang w:bidi="ar"/>
        </w:rPr>
        <w:t>年  月  日</w:t>
      </w:r>
    </w:p>
    <w:p>
      <w:pPr>
        <w:adjustRightInd w:val="0"/>
        <w:snapToGrid w:val="0"/>
        <w:spacing w:line="360" w:lineRule="auto"/>
        <w:rPr>
          <w:rFonts w:hint="eastAsia" w:ascii="宋体" w:hAnsi="宋体" w:cs="宋体"/>
          <w:sz w:val="32"/>
          <w:szCs w:val="32"/>
        </w:rPr>
      </w:pPr>
      <w:r>
        <w:rPr>
          <w:rFonts w:hint="eastAsia" w:ascii="宋体" w:hAnsi="宋体" w:cs="宋体"/>
          <w:sz w:val="32"/>
          <w:szCs w:val="32"/>
        </w:rPr>
        <w:br w:type="page"/>
      </w:r>
    </w:p>
    <w:p>
      <w:pPr>
        <w:pStyle w:val="4"/>
        <w:adjustRightInd w:val="0"/>
        <w:snapToGrid w:val="0"/>
        <w:spacing w:before="0" w:after="0" w:line="360" w:lineRule="auto"/>
        <w:jc w:val="center"/>
        <w:rPr>
          <w:rFonts w:hint="eastAsia" w:ascii="宋体" w:hAnsi="宋体" w:cs="宋体"/>
          <w:sz w:val="28"/>
          <w:szCs w:val="28"/>
        </w:rPr>
      </w:pPr>
      <w:bookmarkStart w:id="266" w:name="_Toc15321"/>
      <w:bookmarkStart w:id="267" w:name="_Toc14644"/>
      <w:bookmarkStart w:id="268" w:name="_Toc31621"/>
      <w:bookmarkStart w:id="269" w:name="_Toc28751"/>
      <w:r>
        <w:rPr>
          <w:rFonts w:hint="eastAsia" w:ascii="宋体" w:hAnsi="宋体" w:cs="宋体"/>
          <w:sz w:val="28"/>
          <w:szCs w:val="28"/>
        </w:rPr>
        <w:t>（三）法定代表人（单位负责人）身份证明或授权委托书</w:t>
      </w:r>
      <w:bookmarkEnd w:id="266"/>
      <w:bookmarkEnd w:id="267"/>
      <w:bookmarkEnd w:id="268"/>
      <w:bookmarkEnd w:id="269"/>
    </w:p>
    <w:p>
      <w:pPr>
        <w:tabs>
          <w:tab w:val="left" w:pos="3880"/>
        </w:tabs>
        <w:autoSpaceDE w:val="0"/>
        <w:autoSpaceDN w:val="0"/>
        <w:adjustRightInd w:val="0"/>
        <w:snapToGrid w:val="0"/>
        <w:spacing w:line="360" w:lineRule="auto"/>
        <w:ind w:left="100" w:right="-20"/>
        <w:jc w:val="left"/>
        <w:rPr>
          <w:rFonts w:hint="eastAsia" w:ascii="宋体" w:hAnsi="宋体" w:cs="宋体"/>
          <w:kern w:val="0"/>
          <w:position w:val="-4"/>
          <w:szCs w:val="21"/>
        </w:rPr>
      </w:pPr>
    </w:p>
    <w:p>
      <w:pPr>
        <w:tabs>
          <w:tab w:val="left" w:pos="3880"/>
        </w:tabs>
        <w:autoSpaceDE w:val="0"/>
        <w:autoSpaceDN w:val="0"/>
        <w:adjustRightInd w:val="0"/>
        <w:snapToGrid w:val="0"/>
        <w:spacing w:line="360" w:lineRule="auto"/>
        <w:ind w:left="100" w:right="-20"/>
        <w:jc w:val="center"/>
        <w:rPr>
          <w:rFonts w:hint="eastAsia" w:ascii="宋体" w:hAnsi="宋体" w:cs="宋体"/>
          <w:kern w:val="0"/>
          <w:sz w:val="28"/>
          <w:szCs w:val="28"/>
          <w:lang w:val="zh-CN" w:bidi="zh-CN"/>
        </w:rPr>
      </w:pPr>
      <w:r>
        <w:rPr>
          <w:rFonts w:hint="eastAsia" w:ascii="宋体" w:hAnsi="宋体" w:cs="宋体"/>
          <w:kern w:val="0"/>
          <w:sz w:val="28"/>
          <w:szCs w:val="28"/>
          <w:lang w:val="zh-CN" w:bidi="zh-CN"/>
        </w:rPr>
        <w:t>法定代表人（单位负责人）身份证明</w:t>
      </w:r>
    </w:p>
    <w:p>
      <w:pPr>
        <w:tabs>
          <w:tab w:val="left" w:pos="3880"/>
        </w:tabs>
        <w:autoSpaceDE w:val="0"/>
        <w:autoSpaceDN w:val="0"/>
        <w:adjustRightInd w:val="0"/>
        <w:snapToGrid w:val="0"/>
        <w:spacing w:line="360" w:lineRule="auto"/>
        <w:ind w:left="100" w:right="-20"/>
        <w:jc w:val="left"/>
        <w:rPr>
          <w:rFonts w:hint="eastAsia" w:ascii="宋体" w:hAnsi="宋体" w:cs="宋体"/>
          <w:kern w:val="0"/>
          <w:position w:val="-4"/>
          <w:szCs w:val="21"/>
        </w:rPr>
      </w:pPr>
    </w:p>
    <w:p>
      <w:pPr>
        <w:tabs>
          <w:tab w:val="left" w:pos="3880"/>
        </w:tabs>
        <w:autoSpaceDE w:val="0"/>
        <w:autoSpaceDN w:val="0"/>
        <w:adjustRightInd w:val="0"/>
        <w:snapToGrid w:val="0"/>
        <w:spacing w:line="360" w:lineRule="auto"/>
        <w:ind w:left="100" w:right="-20"/>
        <w:jc w:val="left"/>
        <w:rPr>
          <w:rFonts w:hint="eastAsia" w:ascii="宋体" w:hAnsi="宋体" w:cs="宋体"/>
          <w:kern w:val="0"/>
          <w:szCs w:val="21"/>
          <w:u w:val="single"/>
        </w:rPr>
      </w:pPr>
      <w:r>
        <w:rPr>
          <w:rFonts w:hint="eastAsia" w:ascii="宋体" w:hAnsi="宋体" w:cs="宋体"/>
          <w:kern w:val="0"/>
          <w:position w:val="-4"/>
          <w:szCs w:val="21"/>
        </w:rPr>
        <w:t>投标人名</w:t>
      </w:r>
      <w:r>
        <w:rPr>
          <w:rFonts w:hint="eastAsia" w:ascii="宋体" w:hAnsi="宋体" w:cs="宋体"/>
          <w:spacing w:val="-2"/>
          <w:kern w:val="0"/>
          <w:position w:val="-4"/>
          <w:szCs w:val="21"/>
        </w:rPr>
        <w:t>称</w:t>
      </w:r>
      <w:r>
        <w:rPr>
          <w:rFonts w:hint="eastAsia" w:ascii="宋体" w:hAnsi="宋体" w:cs="宋体"/>
          <w:kern w:val="0"/>
          <w:position w:val="-4"/>
          <w:szCs w:val="21"/>
        </w:rPr>
        <w:t>：</w:t>
      </w:r>
      <w:r>
        <w:rPr>
          <w:rFonts w:hint="eastAsia" w:ascii="宋体" w:hAnsi="宋体" w:cs="宋体"/>
          <w:kern w:val="0"/>
          <w:position w:val="-4"/>
          <w:szCs w:val="21"/>
          <w:u w:val="single"/>
        </w:rPr>
        <w:t xml:space="preserve">               </w:t>
      </w:r>
    </w:p>
    <w:p>
      <w:pPr>
        <w:tabs>
          <w:tab w:val="left" w:pos="3880"/>
        </w:tabs>
        <w:autoSpaceDE w:val="0"/>
        <w:autoSpaceDN w:val="0"/>
        <w:adjustRightInd w:val="0"/>
        <w:snapToGrid w:val="0"/>
        <w:spacing w:line="360" w:lineRule="auto"/>
        <w:ind w:left="100" w:right="-20"/>
        <w:jc w:val="left"/>
        <w:rPr>
          <w:rFonts w:hint="eastAsia" w:ascii="宋体" w:hAnsi="宋体" w:cs="宋体"/>
          <w:kern w:val="0"/>
          <w:szCs w:val="21"/>
          <w:u w:val="single"/>
        </w:rPr>
      </w:pPr>
      <w:r>
        <w:rPr>
          <w:rFonts w:hint="eastAsia" w:ascii="宋体" w:hAnsi="宋体" w:cs="宋体"/>
          <w:kern w:val="0"/>
          <w:position w:val="-2"/>
          <w:szCs w:val="21"/>
        </w:rPr>
        <w:t>统一社会信用代码：</w:t>
      </w:r>
      <w:r>
        <w:rPr>
          <w:rFonts w:hint="eastAsia" w:ascii="宋体" w:hAnsi="宋体" w:cs="宋体"/>
          <w:kern w:val="0"/>
          <w:position w:val="-4"/>
          <w:szCs w:val="21"/>
          <w:u w:val="single"/>
        </w:rPr>
        <w:t xml:space="preserve">               </w:t>
      </w:r>
    </w:p>
    <w:p>
      <w:pPr>
        <w:tabs>
          <w:tab w:val="left" w:pos="3880"/>
        </w:tabs>
        <w:autoSpaceDE w:val="0"/>
        <w:autoSpaceDN w:val="0"/>
        <w:adjustRightInd w:val="0"/>
        <w:snapToGrid w:val="0"/>
        <w:spacing w:line="360" w:lineRule="auto"/>
        <w:ind w:left="100" w:right="-20"/>
        <w:jc w:val="left"/>
        <w:rPr>
          <w:rFonts w:hint="eastAsia" w:ascii="宋体" w:hAnsi="宋体" w:cs="宋体"/>
          <w:kern w:val="0"/>
          <w:szCs w:val="21"/>
          <w:u w:val="single"/>
        </w:rPr>
      </w:pPr>
      <w:r>
        <w:rPr>
          <w:rFonts w:hint="eastAsia" w:ascii="宋体" w:hAnsi="宋体" w:cs="宋体"/>
          <w:kern w:val="0"/>
          <w:position w:val="-2"/>
          <w:szCs w:val="21"/>
        </w:rPr>
        <w:t>注册地址：</w:t>
      </w:r>
      <w:r>
        <w:rPr>
          <w:rFonts w:hint="eastAsia" w:ascii="宋体" w:hAnsi="宋体" w:cs="宋体"/>
          <w:kern w:val="0"/>
          <w:position w:val="-4"/>
          <w:szCs w:val="21"/>
          <w:u w:val="single"/>
        </w:rPr>
        <w:t xml:space="preserve">               </w:t>
      </w:r>
    </w:p>
    <w:p>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hint="eastAsia" w:ascii="宋体" w:hAnsi="宋体" w:cs="宋体"/>
          <w:kern w:val="0"/>
          <w:szCs w:val="21"/>
        </w:rPr>
      </w:pPr>
      <w:r>
        <w:rPr>
          <w:rFonts w:hint="eastAsia" w:ascii="宋体" w:hAnsi="宋体" w:cs="宋体"/>
          <w:kern w:val="0"/>
          <w:position w:val="-2"/>
          <w:szCs w:val="21"/>
        </w:rPr>
        <w:t>姓名</w:t>
      </w:r>
      <w:r>
        <w:rPr>
          <w:rFonts w:hint="eastAsia" w:ascii="宋体" w:hAnsi="宋体" w:cs="宋体"/>
          <w:spacing w:val="-2"/>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性别</w:t>
      </w:r>
      <w:r>
        <w:rPr>
          <w:rFonts w:hint="eastAsia" w:ascii="宋体" w:hAnsi="宋体" w:cs="宋体"/>
          <w:spacing w:val="-2"/>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年</w:t>
      </w:r>
      <w:r>
        <w:rPr>
          <w:rFonts w:hint="eastAsia" w:ascii="宋体" w:hAnsi="宋体" w:cs="宋体"/>
          <w:spacing w:val="-2"/>
          <w:kern w:val="0"/>
          <w:position w:val="-2"/>
          <w:szCs w:val="21"/>
        </w:rPr>
        <w:t>龄</w:t>
      </w:r>
      <w:r>
        <w:rPr>
          <w:rFonts w:hint="eastAsia" w:ascii="宋体" w:hAnsi="宋体" w:cs="宋体"/>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职</w:t>
      </w:r>
      <w:r>
        <w:rPr>
          <w:rFonts w:hint="eastAsia" w:ascii="宋体" w:hAnsi="宋体" w:cs="宋体"/>
          <w:spacing w:val="-2"/>
          <w:kern w:val="0"/>
          <w:position w:val="-2"/>
          <w:szCs w:val="21"/>
        </w:rPr>
        <w:t>务</w:t>
      </w:r>
      <w:r>
        <w:rPr>
          <w:rFonts w:hint="eastAsia" w:ascii="宋体" w:hAnsi="宋体" w:cs="宋体"/>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系</w:t>
      </w:r>
      <w:r>
        <w:rPr>
          <w:rFonts w:hint="eastAsia" w:ascii="宋体" w:hAnsi="宋体" w:cs="宋体"/>
          <w:spacing w:val="-2"/>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u w:val="single"/>
        </w:rPr>
        <w:t>投标人</w:t>
      </w:r>
      <w:r>
        <w:rPr>
          <w:rFonts w:hint="eastAsia" w:ascii="宋体" w:hAnsi="宋体" w:cs="宋体"/>
          <w:spacing w:val="-2"/>
          <w:kern w:val="0"/>
          <w:position w:val="-2"/>
          <w:szCs w:val="21"/>
          <w:u w:val="single"/>
        </w:rPr>
        <w:t>名</w:t>
      </w:r>
      <w:r>
        <w:rPr>
          <w:rFonts w:hint="eastAsia" w:ascii="宋体" w:hAnsi="宋体" w:cs="宋体"/>
          <w:kern w:val="0"/>
          <w:position w:val="-2"/>
          <w:szCs w:val="21"/>
          <w:u w:val="single"/>
        </w:rPr>
        <w:t xml:space="preserve">称  </w:t>
      </w:r>
      <w:r>
        <w:rPr>
          <w:rFonts w:hint="eastAsia" w:ascii="宋体" w:hAnsi="宋体" w:cs="宋体"/>
          <w:spacing w:val="-2"/>
          <w:kern w:val="0"/>
          <w:position w:val="-2"/>
          <w:szCs w:val="21"/>
        </w:rPr>
        <w:t>）</w:t>
      </w:r>
      <w:r>
        <w:rPr>
          <w:rFonts w:hint="eastAsia" w:ascii="宋体" w:hAnsi="宋体" w:cs="宋体"/>
          <w:kern w:val="0"/>
          <w:position w:val="-2"/>
          <w:szCs w:val="21"/>
        </w:rPr>
        <w:t>的</w:t>
      </w:r>
      <w:r>
        <w:rPr>
          <w:rFonts w:hint="eastAsia" w:ascii="宋体" w:hAnsi="宋体" w:cs="宋体"/>
          <w:spacing w:val="-2"/>
          <w:kern w:val="0"/>
          <w:position w:val="-2"/>
          <w:szCs w:val="21"/>
        </w:rPr>
        <w:t>法定</w:t>
      </w:r>
      <w:r>
        <w:rPr>
          <w:rFonts w:hint="eastAsia" w:ascii="宋体" w:hAnsi="宋体" w:cs="宋体"/>
          <w:kern w:val="0"/>
          <w:position w:val="-2"/>
          <w:szCs w:val="21"/>
        </w:rPr>
        <w:t>代表</w:t>
      </w:r>
      <w:r>
        <w:rPr>
          <w:rFonts w:hint="eastAsia" w:ascii="宋体" w:hAnsi="宋体" w:cs="宋体"/>
          <w:spacing w:val="-2"/>
          <w:kern w:val="0"/>
          <w:position w:val="-2"/>
          <w:szCs w:val="21"/>
        </w:rPr>
        <w:t>人</w:t>
      </w:r>
      <w:r>
        <w:rPr>
          <w:rFonts w:hint="eastAsia" w:ascii="宋体" w:hAnsi="宋体" w:cs="宋体"/>
          <w:kern w:val="0"/>
          <w:position w:val="-2"/>
          <w:szCs w:val="21"/>
        </w:rPr>
        <w:t>（</w:t>
      </w:r>
      <w:r>
        <w:rPr>
          <w:rFonts w:hint="eastAsia" w:ascii="宋体" w:hAnsi="宋体" w:cs="宋体"/>
          <w:spacing w:val="-2"/>
          <w:kern w:val="0"/>
          <w:position w:val="-2"/>
          <w:szCs w:val="21"/>
        </w:rPr>
        <w:t>单</w:t>
      </w:r>
      <w:r>
        <w:rPr>
          <w:rFonts w:hint="eastAsia" w:ascii="宋体" w:hAnsi="宋体" w:cs="宋体"/>
          <w:kern w:val="0"/>
          <w:position w:val="-2"/>
          <w:szCs w:val="21"/>
        </w:rPr>
        <w:t>位</w:t>
      </w:r>
      <w:r>
        <w:rPr>
          <w:rFonts w:hint="eastAsia" w:ascii="宋体" w:hAnsi="宋体" w:cs="宋体"/>
          <w:spacing w:val="-2"/>
          <w:kern w:val="0"/>
          <w:position w:val="-2"/>
          <w:szCs w:val="21"/>
        </w:rPr>
        <w:t>负</w:t>
      </w:r>
      <w:r>
        <w:rPr>
          <w:rFonts w:hint="eastAsia" w:ascii="宋体" w:hAnsi="宋体" w:cs="宋体"/>
          <w:kern w:val="0"/>
          <w:position w:val="-2"/>
          <w:szCs w:val="21"/>
        </w:rPr>
        <w:t>责</w:t>
      </w:r>
      <w:r>
        <w:rPr>
          <w:rFonts w:hint="eastAsia" w:ascii="宋体" w:hAnsi="宋体" w:cs="宋体"/>
          <w:spacing w:val="-2"/>
          <w:kern w:val="0"/>
          <w:position w:val="-2"/>
          <w:szCs w:val="21"/>
        </w:rPr>
        <w:t>人</w:t>
      </w:r>
      <w:r>
        <w:rPr>
          <w:rFonts w:hint="eastAsia" w:ascii="宋体" w:hAnsi="宋体" w:cs="宋体"/>
          <w:spacing w:val="-106"/>
          <w:kern w:val="0"/>
          <w:position w:val="-2"/>
          <w:szCs w:val="21"/>
        </w:rPr>
        <w:t>）</w:t>
      </w:r>
      <w:r>
        <w:rPr>
          <w:rFonts w:hint="eastAsia" w:ascii="宋体" w:hAnsi="宋体" w:cs="宋体"/>
          <w:kern w:val="0"/>
          <w:position w:val="-2"/>
          <w:szCs w:val="21"/>
        </w:rPr>
        <w:t>。</w:t>
      </w:r>
    </w:p>
    <w:p>
      <w:pPr>
        <w:autoSpaceDE w:val="0"/>
        <w:autoSpaceDN w:val="0"/>
        <w:adjustRightInd w:val="0"/>
        <w:snapToGrid w:val="0"/>
        <w:spacing w:line="360" w:lineRule="auto"/>
        <w:ind w:left="520" w:right="-20"/>
        <w:jc w:val="left"/>
        <w:rPr>
          <w:rFonts w:hint="eastAsia" w:ascii="宋体" w:hAnsi="宋体" w:cs="宋体"/>
          <w:kern w:val="0"/>
          <w:szCs w:val="21"/>
        </w:rPr>
      </w:pPr>
      <w:r>
        <w:rPr>
          <w:rFonts w:hint="eastAsia" w:ascii="宋体" w:hAnsi="宋体" w:cs="宋体"/>
          <w:kern w:val="0"/>
          <w:szCs w:val="21"/>
        </w:rPr>
        <w:t>特此</w:t>
      </w:r>
      <w:r>
        <w:rPr>
          <w:rFonts w:hint="eastAsia" w:ascii="宋体" w:hAnsi="宋体" w:cs="宋体"/>
          <w:spacing w:val="-2"/>
          <w:kern w:val="0"/>
          <w:szCs w:val="21"/>
        </w:rPr>
        <w:t>证</w:t>
      </w:r>
      <w:r>
        <w:rPr>
          <w:rFonts w:hint="eastAsia" w:ascii="宋体" w:hAnsi="宋体" w:cs="宋体"/>
          <w:kern w:val="0"/>
          <w:szCs w:val="21"/>
        </w:rPr>
        <w:t>明。</w:t>
      </w:r>
    </w:p>
    <w:p>
      <w:pPr>
        <w:autoSpaceDE w:val="0"/>
        <w:autoSpaceDN w:val="0"/>
        <w:adjustRightInd w:val="0"/>
        <w:snapToGrid w:val="0"/>
        <w:spacing w:line="360" w:lineRule="auto"/>
        <w:ind w:left="100" w:right="4231"/>
        <w:jc w:val="left"/>
        <w:rPr>
          <w:rFonts w:hint="eastAsia" w:ascii="宋体" w:hAnsi="宋体" w:cs="宋体"/>
          <w:kern w:val="0"/>
          <w:szCs w:val="21"/>
        </w:rPr>
      </w:pPr>
      <w:r>
        <w:rPr>
          <w:rFonts w:hint="eastAsia" w:ascii="宋体" w:hAnsi="宋体" w:cs="宋体"/>
          <w:kern w:val="0"/>
          <w:szCs w:val="21"/>
        </w:rPr>
        <w:t>附：</w:t>
      </w: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kern w:val="0"/>
          <w:szCs w:val="21"/>
        </w:rPr>
        <w:t>身</w:t>
      </w:r>
      <w:r>
        <w:rPr>
          <w:rFonts w:hint="eastAsia" w:ascii="宋体" w:hAnsi="宋体" w:cs="宋体"/>
          <w:spacing w:val="-2"/>
          <w:kern w:val="0"/>
          <w:szCs w:val="21"/>
        </w:rPr>
        <w:t>份</w:t>
      </w:r>
      <w:r>
        <w:rPr>
          <w:rFonts w:hint="eastAsia" w:ascii="宋体" w:hAnsi="宋体" w:cs="宋体"/>
          <w:kern w:val="0"/>
          <w:szCs w:val="21"/>
        </w:rPr>
        <w:t>证</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r>
        <w:rPr>
          <w:rFonts w:hint="eastAsia" w:ascii="宋体" w:hAnsi="宋体" w:cs="宋体"/>
          <w:kern w:val="0"/>
          <w:szCs w:val="21"/>
        </w:rPr>
        <w:t>。</w:t>
      </w:r>
    </w:p>
    <w:tbl>
      <w:tblPr>
        <w:tblStyle w:val="43"/>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059"/>
        <w:gridCol w:w="40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545" w:hRule="atLeast"/>
        </w:trPr>
        <w:tc>
          <w:tcPr>
            <w:tcW w:w="4059" w:type="dxa"/>
            <w:tcBorders>
              <w:tl2br w:val="nil"/>
              <w:tr2bl w:val="nil"/>
            </w:tcBorders>
            <w:noWrap/>
            <w:vAlign w:val="center"/>
          </w:tcPr>
          <w:p>
            <w:pPr>
              <w:adjustRightInd w:val="0"/>
              <w:snapToGrid w:val="0"/>
              <w:spacing w:line="360" w:lineRule="auto"/>
              <w:jc w:val="center"/>
              <w:rPr>
                <w:rFonts w:hint="eastAsia" w:ascii="宋体" w:hAnsi="宋体" w:cs="宋体"/>
                <w:szCs w:val="21"/>
              </w:rPr>
            </w:pPr>
            <w:r>
              <w:rPr>
                <w:rFonts w:hint="eastAsia" w:ascii="宋体" w:hAnsi="宋体" w:cs="宋体"/>
                <w:szCs w:val="21"/>
              </w:rPr>
              <w:t>身份证（正面）</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p>
        </w:tc>
        <w:tc>
          <w:tcPr>
            <w:tcW w:w="4060" w:type="dxa"/>
            <w:tcBorders>
              <w:tl2br w:val="nil"/>
              <w:tr2bl w:val="nil"/>
            </w:tcBorders>
            <w:noWrap/>
            <w:vAlign w:val="center"/>
          </w:tcPr>
          <w:p>
            <w:pPr>
              <w:adjustRightInd w:val="0"/>
              <w:snapToGrid w:val="0"/>
              <w:spacing w:line="360" w:lineRule="auto"/>
              <w:jc w:val="center"/>
              <w:rPr>
                <w:rFonts w:hint="eastAsia" w:ascii="宋体" w:hAnsi="宋体" w:cs="宋体"/>
                <w:szCs w:val="21"/>
              </w:rPr>
            </w:pPr>
            <w:r>
              <w:rPr>
                <w:rFonts w:hint="eastAsia" w:ascii="宋体" w:hAnsi="宋体" w:cs="宋体"/>
                <w:szCs w:val="21"/>
              </w:rPr>
              <w:t>身份证（反面）</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p>
        </w:tc>
      </w:tr>
    </w:tbl>
    <w:p>
      <w:pPr>
        <w:adjustRightInd w:val="0"/>
        <w:snapToGrid w:val="0"/>
        <w:spacing w:line="360" w:lineRule="auto"/>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注：投标人代表为法定代表人（单位负责人）的提供。自然人投标的无需提供。</w:t>
      </w:r>
    </w:p>
    <w:p>
      <w:pPr>
        <w:adjustRightInd w:val="0"/>
        <w:snapToGrid w:val="0"/>
        <w:spacing w:line="360" w:lineRule="auto"/>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投标人名称（盖单位章）：</w:t>
      </w:r>
    </w:p>
    <w:p>
      <w:pPr>
        <w:adjustRightInd w:val="0"/>
        <w:snapToGrid w:val="0"/>
        <w:spacing w:line="360" w:lineRule="auto"/>
        <w:ind w:right="420"/>
        <w:rPr>
          <w:rFonts w:hint="eastAsia" w:ascii="宋体" w:hAnsi="宋体" w:cs="宋体"/>
          <w:szCs w:val="21"/>
        </w:rPr>
      </w:pPr>
    </w:p>
    <w:p>
      <w:pPr>
        <w:adjustRightInd w:val="0"/>
        <w:snapToGrid w:val="0"/>
        <w:spacing w:line="360" w:lineRule="auto"/>
        <w:ind w:right="420"/>
        <w:rPr>
          <w:rFonts w:hint="eastAsia" w:ascii="宋体" w:hAnsi="宋体" w:cs="宋体"/>
          <w:szCs w:val="21"/>
        </w:rPr>
      </w:pPr>
      <w:r>
        <w:rPr>
          <w:rFonts w:hint="eastAsia" w:ascii="宋体" w:hAnsi="宋体" w:cs="宋体"/>
          <w:szCs w:val="21"/>
        </w:rPr>
        <w:t>日期：  年   月  日</w:t>
      </w:r>
    </w:p>
    <w:p>
      <w:pPr>
        <w:adjustRightInd w:val="0"/>
        <w:snapToGrid w:val="0"/>
        <w:spacing w:line="360" w:lineRule="auto"/>
        <w:rPr>
          <w:rFonts w:hint="eastAsia" w:ascii="宋体" w:hAnsi="宋体" w:cs="宋体"/>
        </w:rPr>
      </w:pPr>
    </w:p>
    <w:p>
      <w:pPr>
        <w:widowControl/>
        <w:jc w:val="left"/>
        <w:rPr>
          <w:rFonts w:hint="eastAsia" w:ascii="宋体" w:hAnsi="宋体" w:cs="宋体"/>
        </w:rPr>
      </w:pPr>
      <w:r>
        <w:rPr>
          <w:rFonts w:hint="eastAsia" w:ascii="宋体" w:hAnsi="宋体" w:cs="宋体"/>
        </w:rPr>
        <w:br w:type="page"/>
      </w:r>
    </w:p>
    <w:p>
      <w:pPr>
        <w:pStyle w:val="4"/>
        <w:adjustRightInd w:val="0"/>
        <w:snapToGrid w:val="0"/>
        <w:spacing w:before="0" w:after="0" w:line="360" w:lineRule="auto"/>
        <w:jc w:val="center"/>
        <w:rPr>
          <w:rFonts w:hint="eastAsia" w:ascii="宋体" w:hAnsi="宋体" w:cs="宋体"/>
          <w:b w:val="0"/>
          <w:bCs w:val="0"/>
          <w:kern w:val="0"/>
          <w:sz w:val="28"/>
          <w:szCs w:val="28"/>
          <w:lang w:val="zh-CN" w:bidi="zh-CN"/>
        </w:rPr>
      </w:pPr>
      <w:bookmarkStart w:id="270" w:name="_Toc25355"/>
      <w:r>
        <w:rPr>
          <w:rFonts w:hint="eastAsia" w:ascii="宋体" w:hAnsi="宋体" w:cs="宋体"/>
          <w:b w:val="0"/>
          <w:bCs w:val="0"/>
          <w:kern w:val="0"/>
          <w:sz w:val="28"/>
          <w:szCs w:val="28"/>
          <w:lang w:val="zh-CN" w:bidi="zh-CN"/>
        </w:rPr>
        <w:t>授权委托书</w:t>
      </w:r>
      <w:bookmarkEnd w:id="270"/>
    </w:p>
    <w:p>
      <w:pPr>
        <w:autoSpaceDE w:val="0"/>
        <w:autoSpaceDN w:val="0"/>
        <w:adjustRightInd w:val="0"/>
        <w:snapToGrid w:val="0"/>
        <w:spacing w:line="360" w:lineRule="auto"/>
        <w:ind w:firstLine="446" w:firstLineChars="200"/>
        <w:jc w:val="left"/>
        <w:rPr>
          <w:rFonts w:hint="eastAsia" w:ascii="宋体" w:hAnsi="宋体" w:cs="宋体"/>
          <w:b/>
          <w:spacing w:val="6"/>
          <w:szCs w:val="21"/>
        </w:rPr>
      </w:pPr>
    </w:p>
    <w:p>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position w:val="-4"/>
          <w:szCs w:val="21"/>
          <w:u w:val="single"/>
        </w:rPr>
        <w:t xml:space="preserve">       </w:t>
      </w:r>
      <w:r>
        <w:rPr>
          <w:rFonts w:hint="eastAsia" w:ascii="宋体" w:hAnsi="宋体" w:cs="宋体"/>
          <w:kern w:val="0"/>
          <w:szCs w:val="21"/>
        </w:rPr>
        <w:t>（姓名、职务）系</w:t>
      </w:r>
      <w:r>
        <w:rPr>
          <w:rFonts w:hint="eastAsia" w:ascii="宋体" w:hAnsi="宋体" w:cs="宋体"/>
          <w:kern w:val="0"/>
          <w:position w:val="-4"/>
          <w:szCs w:val="21"/>
          <w:u w:val="single"/>
        </w:rPr>
        <w:t xml:space="preserve">       </w:t>
      </w:r>
      <w:r>
        <w:rPr>
          <w:rFonts w:hint="eastAsia" w:ascii="宋体" w:hAnsi="宋体" w:cs="宋体"/>
          <w:kern w:val="0"/>
          <w:szCs w:val="21"/>
        </w:rPr>
        <w:t>（</w:t>
      </w:r>
      <w:r>
        <w:rPr>
          <w:rFonts w:hint="eastAsia" w:ascii="宋体" w:hAnsi="宋体" w:cs="宋体"/>
          <w:szCs w:val="21"/>
        </w:rPr>
        <w:t>投标人</w:t>
      </w:r>
      <w:r>
        <w:rPr>
          <w:rFonts w:hint="eastAsia" w:ascii="宋体" w:hAnsi="宋体" w:cs="宋体"/>
          <w:kern w:val="0"/>
          <w:szCs w:val="21"/>
        </w:rPr>
        <w:t>名称）的法定代表人（</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kern w:val="0"/>
          <w:szCs w:val="21"/>
        </w:rPr>
        <w:t>，现授权</w:t>
      </w:r>
      <w:r>
        <w:rPr>
          <w:rFonts w:hint="eastAsia" w:ascii="宋体" w:hAnsi="宋体" w:cs="宋体"/>
          <w:kern w:val="0"/>
          <w:position w:val="-4"/>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position w:val="-4"/>
          <w:szCs w:val="21"/>
          <w:u w:val="single"/>
        </w:rPr>
        <w:t xml:space="preserve">       </w:t>
      </w:r>
      <w:r>
        <w:rPr>
          <w:rFonts w:hint="eastAsia" w:ascii="宋体" w:hAnsi="宋体" w:cs="宋体"/>
          <w:kern w:val="0"/>
          <w:szCs w:val="21"/>
        </w:rPr>
        <w:t>（项目名称）（</w:t>
      </w:r>
      <w:r>
        <w:rPr>
          <w:rFonts w:hint="eastAsia" w:ascii="宋体" w:hAnsi="宋体" w:cs="宋体"/>
        </w:rPr>
        <w:t>政府</w:t>
      </w:r>
      <w:r>
        <w:rPr>
          <w:rFonts w:hint="eastAsia" w:ascii="宋体" w:hAnsi="宋体" w:cs="宋体"/>
          <w:iCs/>
        </w:rPr>
        <w:t>采购编号：</w:t>
      </w:r>
      <w:r>
        <w:rPr>
          <w:rFonts w:hint="eastAsia" w:ascii="宋体" w:hAnsi="宋体" w:cs="宋体"/>
          <w:kern w:val="0"/>
          <w:position w:val="-4"/>
          <w:szCs w:val="21"/>
          <w:u w:val="single"/>
        </w:rPr>
        <w:t xml:space="preserve">       </w:t>
      </w:r>
      <w:r>
        <w:rPr>
          <w:rFonts w:hint="eastAsia" w:ascii="宋体" w:hAnsi="宋体" w:cs="宋体"/>
          <w:kern w:val="0"/>
          <w:szCs w:val="21"/>
        </w:rPr>
        <w:t>采购代理编号：</w:t>
      </w:r>
      <w:r>
        <w:rPr>
          <w:rFonts w:hint="eastAsia" w:ascii="宋体" w:hAnsi="宋体" w:cs="宋体"/>
          <w:kern w:val="0"/>
          <w:position w:val="-4"/>
          <w:szCs w:val="21"/>
          <w:u w:val="single"/>
        </w:rPr>
        <w:t xml:space="preserve">       </w:t>
      </w:r>
      <w:r>
        <w:rPr>
          <w:rFonts w:hint="eastAsia" w:ascii="宋体" w:hAnsi="宋体" w:cs="宋体"/>
          <w:kern w:val="0"/>
          <w:szCs w:val="21"/>
        </w:rPr>
        <w:t>）投标文件、签订合同和处理有关事宜，其法律后果由我方承担。</w:t>
      </w:r>
    </w:p>
    <w:p>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position w:val="-4"/>
          <w:szCs w:val="21"/>
          <w:u w:val="single"/>
        </w:rPr>
        <w:t xml:space="preserve">       </w:t>
      </w:r>
      <w:r>
        <w:rPr>
          <w:rFonts w:hint="eastAsia" w:ascii="宋体" w:hAnsi="宋体" w:cs="宋体"/>
          <w:kern w:val="0"/>
          <w:szCs w:val="21"/>
        </w:rPr>
        <w:t>。</w:t>
      </w:r>
    </w:p>
    <w:p>
      <w:pPr>
        <w:adjustRightInd w:val="0"/>
        <w:snapToGrid w:val="0"/>
        <w:spacing w:line="360" w:lineRule="auto"/>
        <w:ind w:firstLine="435"/>
        <w:rPr>
          <w:rFonts w:hint="eastAsia" w:ascii="宋体" w:hAnsi="宋体" w:cs="宋体"/>
          <w:kern w:val="0"/>
          <w:szCs w:val="21"/>
        </w:rPr>
      </w:pPr>
      <w:r>
        <w:rPr>
          <w:rFonts w:hint="eastAsia" w:ascii="宋体" w:hAnsi="宋体" w:cs="宋体"/>
          <w:kern w:val="0"/>
          <w:szCs w:val="21"/>
        </w:rPr>
        <w:t>代理人无转委托权。</w:t>
      </w:r>
    </w:p>
    <w:p>
      <w:pPr>
        <w:adjustRightInd w:val="0"/>
        <w:snapToGrid w:val="0"/>
        <w:spacing w:line="360" w:lineRule="auto"/>
        <w:ind w:firstLine="435"/>
        <w:rPr>
          <w:rFonts w:hint="eastAsia" w:ascii="宋体" w:hAnsi="宋体" w:cs="宋体"/>
          <w:kern w:val="0"/>
          <w:szCs w:val="21"/>
        </w:rPr>
      </w:pPr>
      <w:r>
        <w:rPr>
          <w:rFonts w:hint="eastAsia" w:ascii="宋体" w:hAnsi="宋体" w:cs="宋体"/>
          <w:szCs w:val="21"/>
        </w:rPr>
        <w:t>本授权书于</w:t>
      </w:r>
      <w:r>
        <w:rPr>
          <w:rFonts w:hint="eastAsia" w:ascii="宋体" w:hAnsi="宋体" w:cs="宋体"/>
          <w:kern w:val="0"/>
          <w:position w:val="-4"/>
          <w:szCs w:val="21"/>
          <w:u w:val="single"/>
        </w:rPr>
        <w:t xml:space="preserve">   </w:t>
      </w:r>
      <w:r>
        <w:rPr>
          <w:rFonts w:hint="eastAsia" w:ascii="宋体" w:hAnsi="宋体" w:cs="宋体"/>
          <w:szCs w:val="21"/>
        </w:rPr>
        <w:t>年</w:t>
      </w:r>
      <w:r>
        <w:rPr>
          <w:rFonts w:hint="eastAsia" w:ascii="宋体" w:hAnsi="宋体" w:cs="宋体"/>
          <w:kern w:val="0"/>
          <w:position w:val="-4"/>
          <w:szCs w:val="21"/>
          <w:u w:val="single"/>
        </w:rPr>
        <w:t xml:space="preserve">   </w:t>
      </w:r>
      <w:r>
        <w:rPr>
          <w:rFonts w:hint="eastAsia" w:ascii="宋体" w:hAnsi="宋体" w:cs="宋体"/>
          <w:szCs w:val="21"/>
        </w:rPr>
        <w:t>月</w:t>
      </w:r>
      <w:r>
        <w:rPr>
          <w:rFonts w:hint="eastAsia" w:ascii="宋体" w:hAnsi="宋体" w:cs="宋体"/>
          <w:kern w:val="0"/>
          <w:position w:val="-4"/>
          <w:szCs w:val="21"/>
          <w:u w:val="single"/>
        </w:rPr>
        <w:t xml:space="preserve">   </w:t>
      </w:r>
      <w:r>
        <w:rPr>
          <w:rFonts w:hint="eastAsia" w:ascii="宋体" w:hAnsi="宋体" w:cs="宋体"/>
          <w:szCs w:val="21"/>
        </w:rPr>
        <w:t>日签字生效，特此声明。</w:t>
      </w:r>
    </w:p>
    <w:tbl>
      <w:tblPr>
        <w:tblStyle w:val="43"/>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550" w:hRule="atLeast"/>
        </w:trPr>
        <w:tc>
          <w:tcPr>
            <w:tcW w:w="7839" w:type="dxa"/>
            <w:tcBorders>
              <w:tl2br w:val="nil"/>
              <w:tr2bl w:val="nil"/>
            </w:tcBorders>
            <w:noWrap/>
            <w:vAlign w:val="center"/>
          </w:tcPr>
          <w:p>
            <w:pPr>
              <w:adjustRightInd w:val="0"/>
              <w:snapToGrid w:val="0"/>
              <w:spacing w:line="360" w:lineRule="auto"/>
              <w:jc w:val="center"/>
              <w:rPr>
                <w:rFonts w:hint="eastAsia" w:ascii="宋体" w:hAnsi="宋体" w:cs="宋体"/>
                <w:szCs w:val="21"/>
              </w:rPr>
            </w:pPr>
            <w:r>
              <w:rPr>
                <w:rFonts w:hint="eastAsia" w:ascii="宋体" w:hAnsi="宋体" w:cs="宋体"/>
                <w:szCs w:val="21"/>
              </w:rPr>
              <w:t>身份证（正反面）</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p>
        </w:tc>
      </w:tr>
    </w:tbl>
    <w:p>
      <w:pPr>
        <w:adjustRightInd w:val="0"/>
        <w:snapToGrid w:val="0"/>
        <w:spacing w:line="360" w:lineRule="auto"/>
        <w:ind w:firstLine="420" w:firstLineChars="200"/>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注：投标人代表不是投标人的法定代表人（单位负责人）的提供。自然人投标的无需提供。</w:t>
      </w:r>
    </w:p>
    <w:p>
      <w:pPr>
        <w:adjustRightInd w:val="0"/>
        <w:snapToGrid w:val="0"/>
        <w:spacing w:line="360" w:lineRule="auto"/>
        <w:ind w:firstLine="420" w:firstLineChars="200"/>
        <w:rPr>
          <w:rFonts w:hint="eastAsia" w:ascii="宋体" w:hAnsi="宋体" w:cs="宋体"/>
          <w:szCs w:val="21"/>
        </w:rPr>
      </w:pPr>
    </w:p>
    <w:p>
      <w:pPr>
        <w:adjustRightInd w:val="0"/>
        <w:snapToGrid w:val="0"/>
        <w:spacing w:line="360" w:lineRule="auto"/>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投标人名称（盖单位章）：</w:t>
      </w:r>
    </w:p>
    <w:p>
      <w:pPr>
        <w:adjustRightInd w:val="0"/>
        <w:snapToGrid w:val="0"/>
        <w:spacing w:line="360" w:lineRule="auto"/>
        <w:rPr>
          <w:rFonts w:hint="eastAsia" w:ascii="宋体" w:hAnsi="宋体" w:cs="宋体"/>
          <w:szCs w:val="21"/>
        </w:rPr>
      </w:pPr>
      <w:r>
        <w:rPr>
          <w:rFonts w:hint="eastAsia" w:ascii="宋体" w:hAnsi="宋体" w:cs="宋体"/>
          <w:szCs w:val="21"/>
        </w:rPr>
        <w:t>法定代表人（单位负责人）（签字或印章）：</w:t>
      </w:r>
    </w:p>
    <w:p>
      <w:pPr>
        <w:adjustRightInd w:val="0"/>
        <w:snapToGrid w:val="0"/>
        <w:spacing w:line="360" w:lineRule="auto"/>
        <w:rPr>
          <w:rFonts w:hint="eastAsia" w:ascii="宋体" w:hAnsi="宋体" w:cs="宋体"/>
          <w:szCs w:val="21"/>
        </w:rPr>
      </w:pPr>
      <w:r>
        <w:rPr>
          <w:rFonts w:hint="eastAsia" w:ascii="宋体" w:hAnsi="宋体" w:cs="宋体"/>
          <w:szCs w:val="21"/>
        </w:rPr>
        <w:t>委托代理人（签字或印章）：</w:t>
      </w:r>
    </w:p>
    <w:p>
      <w:pPr>
        <w:adjustRightInd w:val="0"/>
        <w:snapToGrid w:val="0"/>
        <w:spacing w:line="360" w:lineRule="auto"/>
        <w:rPr>
          <w:rFonts w:hint="eastAsia" w:ascii="宋体" w:hAnsi="宋体" w:cs="宋体"/>
          <w:szCs w:val="21"/>
        </w:rPr>
      </w:pPr>
      <w:r>
        <w:rPr>
          <w:rFonts w:hint="eastAsia" w:ascii="宋体" w:hAnsi="宋体" w:cs="宋体"/>
          <w:szCs w:val="21"/>
        </w:rPr>
        <w:t>日期：   年   月   日</w:t>
      </w:r>
    </w:p>
    <w:p>
      <w:pPr>
        <w:adjustRightInd w:val="0"/>
        <w:snapToGrid w:val="0"/>
        <w:spacing w:line="360" w:lineRule="auto"/>
        <w:rPr>
          <w:rFonts w:hint="eastAsia" w:ascii="宋体" w:hAnsi="宋体" w:cs="宋体"/>
          <w:szCs w:val="21"/>
        </w:rPr>
      </w:pPr>
      <w:r>
        <w:rPr>
          <w:rFonts w:hint="eastAsia" w:ascii="宋体" w:hAnsi="宋体" w:cs="宋体"/>
          <w:szCs w:val="21"/>
        </w:rPr>
        <w:br w:type="page"/>
      </w:r>
    </w:p>
    <w:p>
      <w:pPr>
        <w:pStyle w:val="4"/>
        <w:adjustRightInd w:val="0"/>
        <w:snapToGrid w:val="0"/>
        <w:spacing w:before="0" w:after="0" w:line="360" w:lineRule="auto"/>
        <w:jc w:val="center"/>
        <w:rPr>
          <w:rFonts w:hint="eastAsia" w:ascii="宋体" w:hAnsi="宋体" w:cs="宋体"/>
          <w:sz w:val="28"/>
          <w:szCs w:val="28"/>
        </w:rPr>
      </w:pPr>
      <w:bookmarkStart w:id="271" w:name="_Toc11560"/>
      <w:bookmarkStart w:id="272" w:name="_Toc16087"/>
      <w:bookmarkStart w:id="273" w:name="_Toc6747"/>
      <w:bookmarkStart w:id="274" w:name="_Toc1934"/>
      <w:r>
        <w:rPr>
          <w:rFonts w:hint="eastAsia" w:ascii="宋体" w:hAnsi="宋体" w:cs="宋体"/>
          <w:sz w:val="28"/>
          <w:szCs w:val="28"/>
        </w:rPr>
        <w:t>（四）投标人提供的资格证明文件</w:t>
      </w:r>
      <w:bookmarkEnd w:id="271"/>
      <w:bookmarkEnd w:id="272"/>
      <w:bookmarkEnd w:id="273"/>
      <w:bookmarkEnd w:id="274"/>
    </w:p>
    <w:p>
      <w:pPr>
        <w:pStyle w:val="22"/>
        <w:adjustRightInd w:val="0"/>
        <w:snapToGrid w:val="0"/>
        <w:spacing w:line="360" w:lineRule="auto"/>
        <w:jc w:val="center"/>
        <w:rPr>
          <w:rFonts w:hint="eastAsia" w:hAnsi="宋体" w:cs="宋体"/>
          <w:b/>
          <w:bCs/>
          <w:sz w:val="24"/>
          <w:szCs w:val="24"/>
        </w:rPr>
      </w:pPr>
    </w:p>
    <w:p>
      <w:pPr>
        <w:pStyle w:val="22"/>
        <w:adjustRightInd w:val="0"/>
        <w:snapToGrid w:val="0"/>
        <w:spacing w:line="360" w:lineRule="auto"/>
        <w:jc w:val="center"/>
        <w:rPr>
          <w:rFonts w:hint="eastAsia" w:hAnsi="宋体" w:cs="宋体"/>
          <w:b/>
          <w:bCs/>
          <w:sz w:val="28"/>
          <w:szCs w:val="28"/>
        </w:rPr>
      </w:pPr>
      <w:r>
        <w:rPr>
          <w:rFonts w:hint="eastAsia" w:hAnsi="宋体" w:cs="宋体"/>
          <w:b/>
          <w:bCs/>
          <w:sz w:val="28"/>
          <w:szCs w:val="28"/>
        </w:rPr>
        <w:t>须  知</w:t>
      </w:r>
    </w:p>
    <w:p>
      <w:pPr>
        <w:tabs>
          <w:tab w:val="left" w:pos="4725"/>
        </w:tabs>
        <w:adjustRightInd w:val="0"/>
        <w:snapToGrid w:val="0"/>
        <w:spacing w:before="161" w:beforeLines="50" w:line="360" w:lineRule="auto"/>
        <w:ind w:firstLine="422" w:firstLineChars="200"/>
        <w:rPr>
          <w:rFonts w:hint="eastAsia" w:ascii="宋体" w:hAnsi="宋体"/>
          <w:b/>
          <w:bCs/>
          <w:szCs w:val="21"/>
        </w:rPr>
      </w:pPr>
      <w:r>
        <w:rPr>
          <w:rFonts w:hint="eastAsia" w:ascii="宋体" w:hAnsi="宋体"/>
          <w:b/>
          <w:szCs w:val="21"/>
        </w:rPr>
        <w:t>1、投标人</w:t>
      </w:r>
      <w:r>
        <w:rPr>
          <w:rFonts w:hint="eastAsia" w:ascii="宋体" w:hAnsi="宋体"/>
          <w:b/>
          <w:bCs/>
          <w:szCs w:val="21"/>
        </w:rPr>
        <w:t>应按第二章第15.1款要求提供下列的证明材料</w:t>
      </w:r>
    </w:p>
    <w:p>
      <w:pPr>
        <w:tabs>
          <w:tab w:val="left" w:pos="4725"/>
        </w:tabs>
        <w:adjustRightInd w:val="0"/>
        <w:snapToGrid w:val="0"/>
        <w:spacing w:before="161" w:beforeLines="50" w:line="360" w:lineRule="auto"/>
        <w:ind w:firstLine="735" w:firstLineChars="350"/>
        <w:rPr>
          <w:rFonts w:hint="eastAsia" w:ascii="宋体" w:hAnsi="宋体"/>
          <w:szCs w:val="21"/>
        </w:rPr>
      </w:pPr>
      <w:r>
        <w:rPr>
          <w:rFonts w:hint="eastAsia" w:ascii="宋体" w:hAnsi="宋体"/>
          <w:szCs w:val="21"/>
        </w:rPr>
        <w:t>附件4-1 法人或者其他组织的营业执照等主体资格证明文件，自然人的身份证明</w:t>
      </w:r>
    </w:p>
    <w:p>
      <w:pPr>
        <w:tabs>
          <w:tab w:val="left" w:pos="4725"/>
        </w:tabs>
        <w:adjustRightInd w:val="0"/>
        <w:snapToGrid w:val="0"/>
        <w:spacing w:before="161" w:beforeLines="50" w:line="360" w:lineRule="auto"/>
        <w:ind w:firstLine="735" w:firstLineChars="350"/>
        <w:rPr>
          <w:rFonts w:hint="eastAsia" w:ascii="宋体" w:hAnsi="宋体"/>
          <w:szCs w:val="21"/>
        </w:rPr>
      </w:pPr>
      <w:r>
        <w:rPr>
          <w:rFonts w:hint="eastAsia" w:ascii="宋体" w:hAnsi="宋体"/>
          <w:szCs w:val="21"/>
        </w:rPr>
        <w:t>附件4-2 湖南省政府采购供应商资格承诺函(格式)</w:t>
      </w:r>
    </w:p>
    <w:p>
      <w:pPr>
        <w:tabs>
          <w:tab w:val="left" w:pos="4725"/>
        </w:tabs>
        <w:adjustRightInd w:val="0"/>
        <w:snapToGrid w:val="0"/>
        <w:spacing w:before="161" w:beforeLines="50" w:line="360" w:lineRule="auto"/>
        <w:ind w:firstLine="735" w:firstLineChars="350"/>
        <w:rPr>
          <w:rFonts w:hint="eastAsia" w:ascii="宋体" w:hAnsi="宋体"/>
          <w:szCs w:val="21"/>
        </w:rPr>
      </w:pPr>
      <w:r>
        <w:rPr>
          <w:rFonts w:hint="eastAsia" w:ascii="宋体" w:hAnsi="宋体"/>
          <w:szCs w:val="21"/>
        </w:rPr>
        <w:t>附件4-3 符合特定资格条件证明材料复印件或者情况说明</w:t>
      </w:r>
    </w:p>
    <w:p>
      <w:pPr>
        <w:tabs>
          <w:tab w:val="left" w:pos="4725"/>
        </w:tabs>
        <w:adjustRightInd w:val="0"/>
        <w:snapToGrid w:val="0"/>
        <w:spacing w:before="161" w:beforeLines="50" w:line="360" w:lineRule="auto"/>
        <w:ind w:firstLine="735" w:firstLineChars="350"/>
        <w:rPr>
          <w:rFonts w:hint="eastAsia" w:ascii="宋体" w:hAnsi="宋体"/>
          <w:szCs w:val="21"/>
        </w:rPr>
      </w:pPr>
      <w:r>
        <w:rPr>
          <w:rFonts w:hint="eastAsia" w:ascii="宋体" w:hAnsi="宋体"/>
          <w:szCs w:val="21"/>
        </w:rPr>
        <w:t>附件4-4 联合体协议书（格式）（联合体形式投标的提供）</w:t>
      </w:r>
    </w:p>
    <w:p>
      <w:pPr>
        <w:tabs>
          <w:tab w:val="left" w:pos="4725"/>
        </w:tabs>
        <w:adjustRightInd w:val="0"/>
        <w:snapToGrid w:val="0"/>
        <w:spacing w:before="161" w:beforeLines="50" w:line="360" w:lineRule="auto"/>
        <w:ind w:firstLine="420" w:firstLineChars="200"/>
        <w:rPr>
          <w:rFonts w:hint="eastAsia"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投标人以联合体形式投标的，除应提交联合协议书(本节附4-4)外，参加联合体的各方均应提交上款资格证明材料。</w:t>
      </w:r>
    </w:p>
    <w:p>
      <w:pPr>
        <w:tabs>
          <w:tab w:val="left" w:pos="4725"/>
        </w:tabs>
        <w:adjustRightInd w:val="0"/>
        <w:snapToGrid w:val="0"/>
        <w:spacing w:before="161" w:beforeLines="50" w:line="360" w:lineRule="auto"/>
        <w:ind w:firstLine="420" w:firstLineChars="200"/>
        <w:rPr>
          <w:rFonts w:hint="eastAsia" w:ascii="宋体" w:hAnsi="宋体" w:cs="宋体"/>
          <w:szCs w:val="21"/>
        </w:rPr>
      </w:pPr>
      <w:r>
        <w:rPr>
          <w:rFonts w:hint="eastAsia" w:ascii="宋体" w:hAnsi="宋体" w:cs="宋体"/>
          <w:szCs w:val="21"/>
        </w:rPr>
        <w:t>3、附件4-5 分包承诺（执行强制分包的提供）。</w:t>
      </w:r>
    </w:p>
    <w:p>
      <w:pPr>
        <w:tabs>
          <w:tab w:val="left" w:pos="4725"/>
        </w:tabs>
        <w:adjustRightInd w:val="0"/>
        <w:snapToGrid w:val="0"/>
        <w:spacing w:before="161" w:beforeLines="50" w:line="360" w:lineRule="auto"/>
        <w:ind w:firstLine="420" w:firstLineChars="200"/>
        <w:rPr>
          <w:rFonts w:hint="eastAsia" w:ascii="宋体" w:hAnsi="宋体" w:cs="宋体"/>
          <w:szCs w:val="21"/>
        </w:rPr>
      </w:pPr>
      <w:r>
        <w:rPr>
          <w:rFonts w:hint="eastAsia" w:ascii="宋体" w:hAnsi="宋体" w:cs="宋体"/>
          <w:szCs w:val="21"/>
        </w:rPr>
        <w:t>4、投标人的资格证明文件均应为有效文件并加盖投标人单位章，并按招标文件规定签署。</w:t>
      </w:r>
    </w:p>
    <w:p>
      <w:pPr>
        <w:widowControl/>
        <w:adjustRightInd w:val="0"/>
        <w:snapToGrid w:val="0"/>
        <w:spacing w:line="360" w:lineRule="auto"/>
        <w:jc w:val="left"/>
        <w:rPr>
          <w:rFonts w:hint="eastAsia" w:ascii="宋体" w:hAnsi="宋体" w:cs="宋体"/>
          <w:szCs w:val="21"/>
        </w:rPr>
      </w:pPr>
      <w:r>
        <w:rPr>
          <w:rFonts w:hint="eastAsia" w:ascii="宋体" w:hAnsi="宋体" w:cs="宋体"/>
          <w:szCs w:val="21"/>
        </w:rPr>
        <w:br w:type="page"/>
      </w:r>
    </w:p>
    <w:bookmarkEnd w:id="258"/>
    <w:p>
      <w:pPr>
        <w:widowControl/>
        <w:adjustRightInd w:val="0"/>
        <w:snapToGrid w:val="0"/>
        <w:spacing w:line="360" w:lineRule="auto"/>
        <w:jc w:val="left"/>
        <w:rPr>
          <w:rFonts w:hint="eastAsia" w:ascii="黑体" w:hAnsi="仿宋" w:eastAsia="黑体" w:cs="宋体"/>
          <w:sz w:val="10"/>
          <w:szCs w:val="10"/>
        </w:rPr>
      </w:pPr>
    </w:p>
    <w:p>
      <w:pPr>
        <w:pStyle w:val="5"/>
        <w:rPr>
          <w:rFonts w:hint="eastAsia" w:ascii="黑体" w:hAnsi="仿宋" w:cs="宋体"/>
          <w:b w:val="0"/>
          <w:sz w:val="21"/>
          <w:szCs w:val="21"/>
        </w:rPr>
      </w:pPr>
      <w:bookmarkStart w:id="275" w:name="_Toc6639"/>
      <w:r>
        <w:rPr>
          <w:rFonts w:hint="eastAsia" w:ascii="黑体" w:hAnsi="仿宋" w:cs="宋体"/>
          <w:b w:val="0"/>
          <w:sz w:val="21"/>
          <w:szCs w:val="21"/>
        </w:rPr>
        <w:t>附件4-1 法人或者其他组织的营业执照等主体资格证明文件，自然人的身份证明</w:t>
      </w:r>
      <w:bookmarkEnd w:id="275"/>
    </w:p>
    <w:p>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pPr>
        <w:widowControl/>
        <w:adjustRightInd w:val="0"/>
        <w:snapToGrid w:val="0"/>
        <w:spacing w:before="161" w:beforeLines="50" w:line="360" w:lineRule="auto"/>
        <w:ind w:firstLine="420" w:firstLineChars="200"/>
        <w:jc w:val="left"/>
        <w:rPr>
          <w:rFonts w:hint="eastAsia" w:ascii="宋体" w:hAnsi="宋体" w:cs="宋体"/>
          <w:szCs w:val="21"/>
        </w:rPr>
      </w:pPr>
    </w:p>
    <w:p>
      <w:pPr>
        <w:adjustRightInd w:val="0"/>
        <w:snapToGrid w:val="0"/>
        <w:spacing w:before="161" w:beforeLines="50" w:line="360" w:lineRule="auto"/>
        <w:ind w:firstLine="420" w:firstLineChars="200"/>
        <w:rPr>
          <w:rFonts w:hint="eastAsia"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（1）项要求提供。</w:t>
      </w:r>
    </w:p>
    <w:p>
      <w:pPr>
        <w:adjustRightInd w:val="0"/>
        <w:snapToGrid w:val="0"/>
        <w:spacing w:before="161" w:beforeLines="50" w:line="360" w:lineRule="auto"/>
        <w:ind w:firstLine="420" w:firstLineChars="200"/>
        <w:rPr>
          <w:rFonts w:hint="eastAsia" w:ascii="宋体" w:hAnsi="宋体"/>
        </w:rPr>
      </w:pPr>
      <w:r>
        <w:rPr>
          <w:rFonts w:hint="eastAsia" w:ascii="宋体" w:hAnsi="宋体" w:cs="宋体"/>
          <w:szCs w:val="21"/>
        </w:rPr>
        <w:t>（1）</w:t>
      </w:r>
      <w:r>
        <w:rPr>
          <w:rFonts w:hint="eastAsia" w:ascii="宋体" w:hAnsi="宋体"/>
        </w:rPr>
        <w:t>投标人为法人的，应提交营业执照或法人登记证书的复印件；</w:t>
      </w:r>
    </w:p>
    <w:p>
      <w:pPr>
        <w:adjustRightInd w:val="0"/>
        <w:snapToGrid w:val="0"/>
        <w:spacing w:before="161" w:beforeLines="50" w:line="360" w:lineRule="auto"/>
        <w:ind w:firstLine="420" w:firstLineChars="200"/>
        <w:rPr>
          <w:rFonts w:hint="eastAsia" w:ascii="宋体" w:hAnsi="宋体"/>
        </w:rPr>
      </w:pPr>
      <w:r>
        <w:rPr>
          <w:rFonts w:hint="eastAsia" w:ascii="宋体" w:hAnsi="宋体" w:cs="宋体"/>
          <w:szCs w:val="21"/>
        </w:rPr>
        <w:t>（2）</w:t>
      </w:r>
      <w:r>
        <w:rPr>
          <w:rFonts w:hint="eastAsia" w:ascii="宋体" w:hAnsi="宋体"/>
        </w:rPr>
        <w:t>投标人为非法人组织的，应提交依法登记证书复印件；</w:t>
      </w:r>
    </w:p>
    <w:p>
      <w:pPr>
        <w:adjustRightInd w:val="0"/>
        <w:snapToGrid w:val="0"/>
        <w:spacing w:before="161" w:beforeLines="50" w:line="360" w:lineRule="auto"/>
        <w:ind w:firstLine="420" w:firstLineChars="200"/>
        <w:rPr>
          <w:rFonts w:hint="eastAsia" w:ascii="宋体" w:hAnsi="宋体"/>
        </w:rPr>
      </w:pPr>
      <w:r>
        <w:rPr>
          <w:rFonts w:hint="eastAsia" w:ascii="宋体" w:hAnsi="宋体" w:cs="宋体"/>
          <w:szCs w:val="21"/>
        </w:rPr>
        <w:t>（3）</w:t>
      </w:r>
      <w:r>
        <w:rPr>
          <w:rFonts w:hint="eastAsia" w:ascii="宋体" w:hAnsi="宋体"/>
        </w:rPr>
        <w:t>投标人为个体工商户的，应提交个体工商户营业执照复印件；</w:t>
      </w:r>
    </w:p>
    <w:p>
      <w:pPr>
        <w:adjustRightInd w:val="0"/>
        <w:snapToGrid w:val="0"/>
        <w:spacing w:before="161" w:beforeLines="50" w:line="360" w:lineRule="auto"/>
        <w:ind w:firstLine="420" w:firstLineChars="200"/>
        <w:rPr>
          <w:rFonts w:hint="eastAsia" w:ascii="宋体" w:hAnsi="宋体"/>
        </w:rPr>
      </w:pPr>
      <w:r>
        <w:rPr>
          <w:rFonts w:hint="eastAsia" w:ascii="宋体" w:hAnsi="宋体" w:cs="宋体"/>
          <w:szCs w:val="21"/>
        </w:rPr>
        <w:t>（4）</w:t>
      </w:r>
      <w:r>
        <w:rPr>
          <w:rFonts w:hint="eastAsia" w:ascii="宋体" w:hAnsi="宋体"/>
        </w:rPr>
        <w:t>投标人为自然人的，应提交自然人的身份证明复印件。</w:t>
      </w:r>
    </w:p>
    <w:p>
      <w:pPr>
        <w:adjustRightInd w:val="0"/>
        <w:snapToGrid w:val="0"/>
        <w:spacing w:before="161" w:beforeLines="50" w:line="360" w:lineRule="auto"/>
        <w:ind w:firstLine="420" w:firstLineChars="200"/>
        <w:rPr>
          <w:rFonts w:hint="eastAsia" w:ascii="宋体" w:hAnsi="宋体"/>
        </w:rPr>
      </w:pPr>
    </w:p>
    <w:p>
      <w:pPr>
        <w:widowControl/>
        <w:jc w:val="left"/>
        <w:rPr>
          <w:rFonts w:hint="eastAsia" w:ascii="黑体" w:hAnsi="仿宋" w:eastAsia="黑体" w:cs="宋体"/>
          <w:bCs/>
          <w:sz w:val="10"/>
          <w:szCs w:val="10"/>
        </w:rPr>
      </w:pPr>
      <w:r>
        <w:rPr>
          <w:rFonts w:ascii="黑体" w:hAnsi="仿宋" w:cs="宋体"/>
          <w:b/>
          <w:szCs w:val="21"/>
        </w:rPr>
        <w:br w:type="page"/>
      </w:r>
    </w:p>
    <w:p>
      <w:pPr>
        <w:pStyle w:val="5"/>
        <w:adjustRightInd w:val="0"/>
        <w:snapToGrid w:val="0"/>
        <w:spacing w:before="161" w:beforeLines="50" w:after="0" w:line="360" w:lineRule="auto"/>
        <w:rPr>
          <w:rFonts w:hint="eastAsia" w:ascii="黑体" w:hAnsi="仿宋" w:cs="宋体"/>
          <w:b w:val="0"/>
          <w:sz w:val="21"/>
          <w:szCs w:val="21"/>
        </w:rPr>
      </w:pPr>
      <w:bookmarkStart w:id="276" w:name="_Toc17351"/>
      <w:r>
        <w:rPr>
          <w:rFonts w:hint="eastAsia" w:ascii="黑体" w:hAnsi="仿宋" w:cs="宋体"/>
          <w:b w:val="0"/>
          <w:sz w:val="21"/>
          <w:szCs w:val="21"/>
        </w:rPr>
        <w:t>附件4-2 湖南省政府采购供应商资格承诺函(格式)</w:t>
      </w:r>
      <w:bookmarkEnd w:id="276"/>
    </w:p>
    <w:p>
      <w:pPr>
        <w:widowControl/>
        <w:adjustRightInd w:val="0"/>
        <w:snapToGrid w:val="0"/>
        <w:spacing w:before="484" w:beforeLines="150" w:line="360" w:lineRule="auto"/>
        <w:jc w:val="center"/>
        <w:rPr>
          <w:rFonts w:hint="eastAsia" w:ascii="宋体" w:hAnsi="宋体" w:cs="宋体"/>
          <w:szCs w:val="21"/>
        </w:rPr>
      </w:pPr>
      <w:r>
        <w:rPr>
          <w:rFonts w:hint="eastAsia" w:ascii="黑体" w:hAnsi="仿宋" w:eastAsia="黑体" w:cs="宋体"/>
          <w:b/>
          <w:sz w:val="28"/>
          <w:szCs w:val="28"/>
        </w:rPr>
        <w:t>湖南省政府采购供应商资格承诺函(格式)</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按照《政府采购促进中小企业发展管理办法》(财库〔2020〕46号)，本公司企业规模为： 大型口中型口小型□微型□。</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pPr>
        <w:widowControl/>
        <w:spacing w:before="161" w:beforeLines="50" w:line="360" w:lineRule="auto"/>
        <w:ind w:firstLine="420" w:firstLineChars="200"/>
        <w:jc w:val="left"/>
        <w:rPr>
          <w:rFonts w:hint="eastAsia" w:ascii="宋体" w:hAnsi="宋体" w:cs="宋体"/>
          <w:szCs w:val="21"/>
        </w:rPr>
      </w:pP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公司(单位)名称(盖章)：</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机构代码、注册登记机构、日期、有效期、注册资本、地 址、经济行业、经济性质</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法定代表人(负责人)姓名(签字)、身份证号、手机号：</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授权代表人姓名(签字)、身份证号、手机号：</w:t>
      </w:r>
    </w:p>
    <w:p>
      <w:pPr>
        <w:widowControl/>
        <w:spacing w:before="161" w:beforeLines="50" w:line="360" w:lineRule="auto"/>
        <w:ind w:firstLine="420" w:firstLineChars="200"/>
        <w:jc w:val="left"/>
        <w:rPr>
          <w:rFonts w:hint="eastAsia" w:ascii="宋体" w:hAnsi="宋体" w:cs="宋体"/>
          <w:szCs w:val="21"/>
        </w:rPr>
      </w:pPr>
    </w:p>
    <w:p>
      <w:pPr>
        <w:widowControl/>
        <w:spacing w:line="360" w:lineRule="auto"/>
        <w:ind w:firstLine="422" w:firstLineChars="200"/>
        <w:jc w:val="left"/>
        <w:rPr>
          <w:rFonts w:hint="eastAsia" w:ascii="黑体" w:hAnsi="仿宋" w:eastAsia="黑体" w:cs="宋体"/>
          <w:bCs/>
          <w:sz w:val="10"/>
          <w:szCs w:val="10"/>
        </w:rPr>
      </w:pPr>
      <w:r>
        <w:rPr>
          <w:rFonts w:ascii="黑体" w:hAnsi="仿宋" w:cs="宋体"/>
          <w:b/>
          <w:szCs w:val="21"/>
        </w:rPr>
        <w:br w:type="page"/>
      </w:r>
    </w:p>
    <w:p>
      <w:pPr>
        <w:pStyle w:val="5"/>
        <w:spacing w:before="0"/>
        <w:rPr>
          <w:rFonts w:hint="eastAsia" w:ascii="黑体" w:hAnsi="仿宋" w:cs="宋体"/>
          <w:b w:val="0"/>
          <w:sz w:val="21"/>
          <w:szCs w:val="21"/>
        </w:rPr>
      </w:pPr>
      <w:bookmarkStart w:id="277" w:name="_Toc26324"/>
      <w:r>
        <w:rPr>
          <w:rFonts w:hint="eastAsia" w:ascii="黑体" w:hAnsi="仿宋" w:cs="宋体"/>
          <w:b w:val="0"/>
          <w:sz w:val="21"/>
          <w:szCs w:val="21"/>
        </w:rPr>
        <w:t>附件4-3 符合特定资格条件证明材料复印件或者情况说明</w:t>
      </w:r>
      <w:bookmarkEnd w:id="277"/>
    </w:p>
    <w:p>
      <w:pPr>
        <w:widowControl/>
        <w:adjustRightInd w:val="0"/>
        <w:snapToGrid w:val="0"/>
        <w:spacing w:line="360" w:lineRule="auto"/>
        <w:jc w:val="center"/>
        <w:rPr>
          <w:rFonts w:hint="eastAsia" w:ascii="宋体" w:hAnsi="宋体" w:cs="宋体"/>
          <w:szCs w:val="21"/>
        </w:rPr>
      </w:pPr>
      <w:r>
        <w:rPr>
          <w:rFonts w:hint="eastAsia" w:ascii="黑体" w:hAnsi="仿宋" w:eastAsia="黑体" w:cs="宋体"/>
          <w:b/>
          <w:sz w:val="28"/>
          <w:szCs w:val="28"/>
        </w:rPr>
        <w:t>符合特定资格条件证明材料复印件或者情况说明</w:t>
      </w:r>
    </w:p>
    <w:p>
      <w:pPr>
        <w:widowControl/>
        <w:adjustRightInd w:val="0"/>
        <w:snapToGrid w:val="0"/>
        <w:spacing w:line="360" w:lineRule="auto"/>
        <w:ind w:firstLine="420" w:firstLineChars="200"/>
        <w:jc w:val="left"/>
        <w:rPr>
          <w:rFonts w:hint="eastAsia" w:ascii="宋体" w:hAnsi="宋体" w:cs="宋体"/>
          <w:szCs w:val="21"/>
        </w:rPr>
      </w:pPr>
      <w:bookmarkStart w:id="278" w:name="_Toc26276"/>
    </w:p>
    <w:p>
      <w:pPr>
        <w:widowControl/>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（3）项要求提供。</w:t>
      </w: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rPr>
          <w:rFonts w:hint="eastAsia" w:ascii="黑体" w:hAnsi="仿宋" w:cs="宋体"/>
          <w:szCs w:val="21"/>
        </w:rPr>
      </w:pPr>
      <w:r>
        <w:rPr>
          <w:rFonts w:hint="eastAsia" w:ascii="黑体" w:hAnsi="仿宋" w:cs="宋体"/>
          <w:szCs w:val="21"/>
        </w:rPr>
        <w:br w:type="page"/>
      </w:r>
    </w:p>
    <w:p>
      <w:pPr>
        <w:pStyle w:val="5"/>
        <w:spacing w:before="0"/>
        <w:rPr>
          <w:rFonts w:hint="eastAsia" w:ascii="黑体" w:hAnsi="宋体" w:cs="宋体"/>
          <w:b w:val="0"/>
          <w:kern w:val="0"/>
          <w:sz w:val="21"/>
          <w:szCs w:val="21"/>
        </w:rPr>
      </w:pPr>
      <w:r>
        <w:rPr>
          <w:rFonts w:hint="eastAsia" w:ascii="黑体" w:hAnsi="仿宋" w:cs="宋体"/>
          <w:b w:val="0"/>
          <w:sz w:val="21"/>
          <w:szCs w:val="21"/>
        </w:rPr>
        <w:t>附件4-4 联合体协议书（格式）</w:t>
      </w:r>
      <w:bookmarkEnd w:id="278"/>
    </w:p>
    <w:p>
      <w:pPr>
        <w:adjustRightInd w:val="0"/>
        <w:snapToGrid w:val="0"/>
        <w:spacing w:line="360" w:lineRule="auto"/>
        <w:jc w:val="center"/>
        <w:rPr>
          <w:rFonts w:hint="eastAsia" w:ascii="宋体" w:hAnsi="宋体"/>
          <w:b/>
          <w:szCs w:val="21"/>
        </w:rPr>
      </w:pPr>
      <w:r>
        <w:rPr>
          <w:rFonts w:hint="eastAsia" w:ascii="黑体" w:hAnsi="仿宋" w:eastAsia="黑体" w:cs="宋体"/>
          <w:b/>
          <w:sz w:val="28"/>
          <w:szCs w:val="28"/>
        </w:rPr>
        <w:t>联合体协议书（格式）</w:t>
      </w:r>
    </w:p>
    <w:p>
      <w:pPr>
        <w:adjustRightInd w:val="0"/>
        <w:snapToGrid w:val="0"/>
        <w:spacing w:line="360" w:lineRule="auto"/>
        <w:rPr>
          <w:rFonts w:hint="eastAsia" w:ascii="宋体" w:hAnsi="宋体"/>
          <w:szCs w:val="21"/>
        </w:rPr>
      </w:pPr>
    </w:p>
    <w:p>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（采购人、采购代理机构）：</w:t>
      </w:r>
    </w:p>
    <w:p>
      <w:pPr>
        <w:adjustRightInd w:val="0"/>
        <w:snapToGrid w:val="0"/>
        <w:spacing w:line="360" w:lineRule="auto"/>
        <w:ind w:firstLine="420" w:firstLineChars="200"/>
        <w:rPr>
          <w:rFonts w:hint="eastAsia" w:ascii="宋体" w:hAnsi="宋体"/>
          <w:szCs w:val="21"/>
        </w:rPr>
      </w:pPr>
      <w:r>
        <w:rPr>
          <w:rFonts w:hint="eastAsia" w:ascii="宋体" w:hAnsi="宋体"/>
          <w:szCs w:val="21"/>
        </w:rPr>
        <w:t>经研究，我们决定自愿组成联合体共同参加</w:t>
      </w:r>
      <w:r>
        <w:rPr>
          <w:rFonts w:hint="eastAsia" w:ascii="宋体" w:hAnsi="宋体"/>
          <w:szCs w:val="21"/>
          <w:u w:val="single"/>
        </w:rPr>
        <w:t xml:space="preserve">                    </w:t>
      </w:r>
      <w:r>
        <w:rPr>
          <w:rFonts w:hint="eastAsia" w:ascii="宋体" w:hAnsi="宋体"/>
          <w:szCs w:val="21"/>
        </w:rPr>
        <w:t>（项目名称</w:t>
      </w:r>
      <w:r>
        <w:rPr>
          <w:rFonts w:ascii="宋体" w:hAnsi="宋体"/>
          <w:szCs w:val="21"/>
        </w:rPr>
        <w:t>）</w:t>
      </w: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）项目的投标。现就联合体投标事宜订立如下协议：</w:t>
      </w:r>
    </w:p>
    <w:p>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一、联合体基本信息：</w:t>
      </w:r>
      <w:r>
        <w:rPr>
          <w:rFonts w:hint="eastAsia" w:ascii="宋体" w:hAnsi="宋体"/>
          <w:szCs w:val="21"/>
          <w:u w:val="single"/>
        </w:rPr>
        <w:t xml:space="preserve">                </w:t>
      </w:r>
      <w:r>
        <w:rPr>
          <w:rFonts w:hint="eastAsia" w:ascii="宋体" w:hAnsi="宋体"/>
          <w:szCs w:val="21"/>
        </w:rPr>
        <w:t>（各方公司名称、地址、注册资金、营业执照、</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姓名）</w:t>
      </w:r>
    </w:p>
    <w:p>
      <w:pPr>
        <w:adjustRightInd w:val="0"/>
        <w:snapToGrid w:val="0"/>
        <w:spacing w:line="360" w:lineRule="auto"/>
        <w:ind w:firstLine="420" w:firstLineChars="200"/>
        <w:rPr>
          <w:rFonts w:hint="eastAsia" w:ascii="宋体" w:hAnsi="宋体"/>
          <w:szCs w:val="21"/>
        </w:rPr>
      </w:pPr>
      <w:r>
        <w:rPr>
          <w:rFonts w:hint="eastAsia" w:ascii="宋体" w:hAnsi="宋体"/>
          <w:szCs w:val="21"/>
        </w:rPr>
        <w:t>二、</w:t>
      </w:r>
      <w:r>
        <w:rPr>
          <w:rFonts w:hint="eastAsia" w:ascii="宋体" w:hAnsi="宋体"/>
          <w:szCs w:val="21"/>
          <w:u w:val="single"/>
        </w:rPr>
        <w:t xml:space="preserve">       </w:t>
      </w:r>
      <w:r>
        <w:rPr>
          <w:rFonts w:hint="eastAsia" w:ascii="宋体" w:hAnsi="宋体"/>
          <w:szCs w:val="21"/>
        </w:rPr>
        <w:t>（某成员单位名称）为</w:t>
      </w:r>
      <w:r>
        <w:rPr>
          <w:rFonts w:hint="eastAsia" w:ascii="宋体" w:hAnsi="宋体"/>
          <w:szCs w:val="21"/>
          <w:u w:val="single"/>
        </w:rPr>
        <w:t xml:space="preserve">        </w:t>
      </w:r>
      <w:r>
        <w:rPr>
          <w:rFonts w:hint="eastAsia" w:ascii="宋体" w:hAnsi="宋体"/>
          <w:szCs w:val="21"/>
        </w:rPr>
        <w:t>（联合体名称）牵头人。</w:t>
      </w:r>
    </w:p>
    <w:p>
      <w:pPr>
        <w:adjustRightInd w:val="0"/>
        <w:snapToGrid w:val="0"/>
        <w:spacing w:line="360" w:lineRule="auto"/>
        <w:ind w:firstLine="420" w:firstLineChars="200"/>
        <w:rPr>
          <w:rFonts w:hint="eastAsia" w:ascii="宋体" w:hAnsi="宋体"/>
          <w:szCs w:val="21"/>
        </w:rPr>
      </w:pPr>
      <w:r>
        <w:rPr>
          <w:rFonts w:hint="eastAsia" w:ascii="宋体" w:hAnsi="宋体"/>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pPr>
        <w:adjustRightInd w:val="0"/>
        <w:snapToGrid w:val="0"/>
        <w:spacing w:line="360" w:lineRule="auto"/>
        <w:ind w:firstLine="420" w:firstLineChars="200"/>
        <w:rPr>
          <w:rFonts w:hint="eastAsia" w:ascii="宋体" w:hAnsi="宋体"/>
          <w:szCs w:val="21"/>
        </w:rPr>
      </w:pPr>
      <w:r>
        <w:rPr>
          <w:rFonts w:hint="eastAsia" w:ascii="宋体" w:hAnsi="宋体"/>
          <w:szCs w:val="21"/>
        </w:rPr>
        <w:t>四．联合体将严格按照招标文件的各项要求，递交投标文件，参加投标，履行中标义务和中标后的合同，并向采购人承担连带责任。</w:t>
      </w:r>
    </w:p>
    <w:p>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五、联合体各成员单位内部的职责分工如下：</w:t>
      </w:r>
      <w:r>
        <w:rPr>
          <w:rFonts w:hint="eastAsia" w:ascii="宋体" w:hAnsi="宋体"/>
          <w:szCs w:val="21"/>
          <w:u w:val="single"/>
        </w:rPr>
        <w:t xml:space="preserve">             </w:t>
      </w:r>
      <w:r>
        <w:rPr>
          <w:rFonts w:hint="eastAsia" w:ascii="宋体" w:hAnsi="宋体"/>
          <w:szCs w:val="21"/>
        </w:rPr>
        <w:t>。按照本条上述分工，联合体各成员的协议合同金额占联合体协议合同总金额比例如下：</w:t>
      </w:r>
      <w:r>
        <w:rPr>
          <w:rFonts w:hint="eastAsia" w:ascii="宋体" w:hAnsi="宋体"/>
          <w:szCs w:val="21"/>
          <w:u w:val="single"/>
        </w:rPr>
        <w:t xml:space="preserve">               </w:t>
      </w:r>
      <w:r>
        <w:rPr>
          <w:rFonts w:hint="eastAsia" w:ascii="宋体" w:hAnsi="宋体"/>
          <w:szCs w:val="21"/>
        </w:rPr>
        <w:t>。</w:t>
      </w:r>
    </w:p>
    <w:p>
      <w:pPr>
        <w:adjustRightInd w:val="0"/>
        <w:snapToGrid w:val="0"/>
        <w:spacing w:line="360" w:lineRule="auto"/>
        <w:ind w:firstLine="420" w:firstLineChars="200"/>
        <w:rPr>
          <w:rFonts w:hint="eastAsia" w:ascii="宋体" w:hAnsi="宋体"/>
          <w:szCs w:val="21"/>
        </w:rPr>
      </w:pPr>
      <w:r>
        <w:rPr>
          <w:rFonts w:hint="eastAsia" w:ascii="宋体" w:hAnsi="宋体"/>
          <w:szCs w:val="21"/>
        </w:rPr>
        <w:t>六、本协议书自签署之日起生效，合同履行完毕后自动失效。</w:t>
      </w:r>
    </w:p>
    <w:p>
      <w:pPr>
        <w:adjustRightInd w:val="0"/>
        <w:snapToGrid w:val="0"/>
        <w:spacing w:line="360" w:lineRule="auto"/>
        <w:ind w:firstLine="420" w:firstLineChars="200"/>
        <w:rPr>
          <w:rFonts w:hint="eastAsia" w:ascii="宋体" w:hAnsi="宋体"/>
          <w:szCs w:val="21"/>
        </w:rPr>
      </w:pPr>
      <w:r>
        <w:rPr>
          <w:rFonts w:hint="eastAsia" w:ascii="宋体" w:hAnsi="宋体"/>
          <w:szCs w:val="21"/>
        </w:rPr>
        <w:t>七、本协议书一式</w:t>
      </w:r>
      <w:r>
        <w:rPr>
          <w:rFonts w:hint="eastAsia" w:ascii="宋体" w:hAnsi="宋体"/>
          <w:szCs w:val="21"/>
          <w:u w:val="single"/>
        </w:rPr>
        <w:t xml:space="preserve">    </w:t>
      </w:r>
      <w:r>
        <w:rPr>
          <w:rFonts w:hint="eastAsia" w:ascii="宋体" w:hAnsi="宋体"/>
          <w:szCs w:val="21"/>
        </w:rPr>
        <w:t>份，联合体成员和采购人各执一份。</w:t>
      </w:r>
    </w:p>
    <w:p>
      <w:pPr>
        <w:adjustRightInd w:val="0"/>
        <w:snapToGrid w:val="0"/>
        <w:spacing w:line="360" w:lineRule="auto"/>
        <w:rPr>
          <w:rFonts w:hint="eastAsia" w:ascii="宋体" w:hAnsi="宋体"/>
          <w:szCs w:val="21"/>
        </w:rPr>
      </w:pPr>
    </w:p>
    <w:p>
      <w:pPr>
        <w:adjustRightInd w:val="0"/>
        <w:snapToGrid w:val="0"/>
        <w:spacing w:line="360" w:lineRule="auto"/>
        <w:rPr>
          <w:rFonts w:hint="eastAsia" w:ascii="宋体" w:hAnsi="宋体"/>
          <w:szCs w:val="21"/>
        </w:rPr>
      </w:pPr>
      <w:r>
        <w:rPr>
          <w:rFonts w:hint="eastAsia" w:ascii="宋体" w:hAnsi="宋体"/>
          <w:szCs w:val="21"/>
        </w:rPr>
        <w:t>牵头人名称（盖单位章）：</w:t>
      </w:r>
    </w:p>
    <w:p>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p>
    <w:p>
      <w:pPr>
        <w:adjustRightInd w:val="0"/>
        <w:snapToGrid w:val="0"/>
        <w:spacing w:line="360" w:lineRule="auto"/>
        <w:rPr>
          <w:rFonts w:hint="eastAsia" w:ascii="宋体" w:hAnsi="宋体"/>
          <w:szCs w:val="21"/>
        </w:rPr>
      </w:pPr>
      <w:r>
        <w:rPr>
          <w:rFonts w:hint="eastAsia" w:ascii="宋体" w:hAnsi="宋体"/>
          <w:szCs w:val="21"/>
        </w:rPr>
        <w:t>成员1名称（盖单位章）：</w:t>
      </w:r>
    </w:p>
    <w:p>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成员2名称（盖单位章）：</w:t>
      </w:r>
    </w:p>
    <w:p>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ascii="宋体" w:hAnsi="宋体"/>
          <w:szCs w:val="21"/>
        </w:rPr>
        <w:t>…</w:t>
      </w:r>
    </w:p>
    <w:p>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pPr>
        <w:widowControl/>
        <w:adjustRightInd w:val="0"/>
        <w:snapToGrid w:val="0"/>
        <w:spacing w:line="360" w:lineRule="auto"/>
        <w:ind w:firstLine="420" w:firstLineChars="200"/>
        <w:jc w:val="left"/>
        <w:rPr>
          <w:rFonts w:hint="eastAsia" w:ascii="宋体" w:hAnsi="宋体"/>
          <w:szCs w:val="21"/>
        </w:rPr>
      </w:pPr>
      <w:r>
        <w:rPr>
          <w:rFonts w:hint="eastAsia" w:ascii="宋体" w:hAnsi="宋体"/>
          <w:bCs/>
          <w:szCs w:val="21"/>
        </w:rPr>
        <w:t>注：1.</w:t>
      </w:r>
      <w:r>
        <w:rPr>
          <w:rFonts w:hint="eastAsia" w:ascii="宋体" w:hAnsi="宋体"/>
          <w:szCs w:val="21"/>
        </w:rPr>
        <w:t>本协议书由委托代理人签字的，应附授权委托书。</w:t>
      </w:r>
    </w:p>
    <w:p>
      <w:pPr>
        <w:widowControl/>
        <w:adjustRightInd w:val="0"/>
        <w:snapToGrid w:val="0"/>
        <w:spacing w:line="360" w:lineRule="auto"/>
        <w:ind w:firstLine="420" w:firstLineChars="200"/>
        <w:jc w:val="left"/>
        <w:rPr>
          <w:rFonts w:hint="eastAsia" w:ascii="宋体" w:hAnsi="宋体"/>
          <w:szCs w:val="21"/>
        </w:rPr>
      </w:pPr>
      <w:r>
        <w:rPr>
          <w:rFonts w:hint="eastAsia" w:ascii="宋体" w:hAnsi="宋体"/>
          <w:szCs w:val="21"/>
        </w:rPr>
        <w:t>2.投标人在提交投标文件的截止时间前修改“开标一览表”中的投标报价，影响本协议书第五条的，应同时修改本协议书第五条。否则，评审时价格评审优惠不予以考虑。</w:t>
      </w:r>
    </w:p>
    <w:p>
      <w:pPr>
        <w:pStyle w:val="59"/>
        <w:ind w:firstLine="422"/>
      </w:pPr>
    </w:p>
    <w:p>
      <w:pPr>
        <w:pStyle w:val="5"/>
        <w:spacing w:before="156"/>
        <w:rPr>
          <w:rFonts w:hint="eastAsia" w:ascii="黑体" w:hAnsi="宋体" w:cs="宋体"/>
          <w:b w:val="0"/>
          <w:kern w:val="0"/>
          <w:sz w:val="21"/>
          <w:szCs w:val="21"/>
        </w:rPr>
      </w:pPr>
      <w:bookmarkStart w:id="279" w:name="_Toc3133"/>
      <w:r>
        <w:rPr>
          <w:rFonts w:hint="eastAsia" w:ascii="黑体" w:hAnsi="仿宋" w:cs="宋体"/>
          <w:b w:val="0"/>
          <w:sz w:val="21"/>
          <w:szCs w:val="21"/>
        </w:rPr>
        <w:t>附件4-5 分包承诺</w:t>
      </w:r>
      <w:bookmarkEnd w:id="279"/>
    </w:p>
    <w:p>
      <w:pPr>
        <w:spacing w:line="360" w:lineRule="auto"/>
        <w:ind w:firstLine="420" w:firstLineChars="200"/>
      </w:pPr>
      <w:r>
        <w:rPr>
          <w:rFonts w:hint="eastAsia"/>
        </w:rPr>
        <w:t>注：采购项目或者采购包属于“预留采购份额”，且要求合同分包的，投标人应当按照招标文件第一章第三条第2款规定提供《分包承诺》，格式自拟。</w:t>
      </w:r>
      <w:bookmarkEnd w:id="260"/>
    </w:p>
    <w:bookmarkEnd w:id="261"/>
    <w:p/>
    <w:p>
      <w:pPr>
        <w:widowControl/>
        <w:jc w:val="left"/>
        <w:rPr>
          <w:rFonts w:hint="eastAsia" w:ascii="宋体" w:hAnsi="宋体" w:cs="宋体"/>
          <w:sz w:val="32"/>
          <w:szCs w:val="32"/>
        </w:rPr>
      </w:pPr>
      <w:r>
        <w:rPr>
          <w:rFonts w:ascii="宋体" w:hAnsi="宋体" w:cs="宋体"/>
          <w:sz w:val="32"/>
          <w:szCs w:val="32"/>
        </w:rPr>
        <w:br w:type="page"/>
      </w:r>
    </w:p>
    <w:p>
      <w:pPr>
        <w:adjustRightInd w:val="0"/>
        <w:snapToGrid w:val="0"/>
        <w:spacing w:line="360" w:lineRule="auto"/>
        <w:jc w:val="center"/>
        <w:rPr>
          <w:rFonts w:hint="eastAsia" w:ascii="宋体" w:hAnsi="宋体" w:cs="宋体"/>
          <w:sz w:val="32"/>
          <w:szCs w:val="32"/>
        </w:rPr>
      </w:pPr>
      <w:bookmarkStart w:id="280" w:name="OLE_LINK168"/>
    </w:p>
    <w:p>
      <w:pPr>
        <w:adjustRightInd w:val="0"/>
        <w:snapToGrid w:val="0"/>
        <w:spacing w:line="360" w:lineRule="auto"/>
        <w:jc w:val="center"/>
        <w:rPr>
          <w:rFonts w:hint="eastAsia" w:ascii="宋体" w:hAnsi="宋体" w:cs="宋体"/>
          <w:sz w:val="32"/>
          <w:szCs w:val="32"/>
        </w:rPr>
      </w:pPr>
    </w:p>
    <w:p>
      <w:pPr>
        <w:pStyle w:val="22"/>
        <w:adjustRightInd w:val="0"/>
        <w:snapToGrid w:val="0"/>
        <w:spacing w:line="360" w:lineRule="auto"/>
        <w:jc w:val="center"/>
        <w:rPr>
          <w:rFonts w:hint="eastAsia" w:hAnsi="宋体" w:cs="宋体"/>
          <w:bCs/>
          <w:sz w:val="72"/>
          <w:szCs w:val="72"/>
        </w:rPr>
      </w:pPr>
      <w:r>
        <w:rPr>
          <w:rFonts w:hint="eastAsia" w:hAnsi="宋体" w:cs="宋体"/>
          <w:bCs/>
          <w:sz w:val="72"/>
          <w:szCs w:val="72"/>
        </w:rPr>
        <w:t>政府采购</w:t>
      </w:r>
    </w:p>
    <w:p>
      <w:pPr>
        <w:adjustRightInd w:val="0"/>
        <w:snapToGrid w:val="0"/>
        <w:spacing w:line="360" w:lineRule="auto"/>
        <w:jc w:val="center"/>
        <w:rPr>
          <w:rFonts w:hint="eastAsia" w:ascii="宋体" w:hAnsi="宋体" w:cs="宋体"/>
          <w:b/>
          <w:bCs/>
          <w:sz w:val="84"/>
          <w:szCs w:val="84"/>
        </w:rPr>
      </w:pPr>
      <w:r>
        <w:rPr>
          <w:rFonts w:hint="eastAsia" w:ascii="宋体" w:hAnsi="宋体" w:cs="宋体"/>
          <w:b/>
          <w:bCs/>
          <w:sz w:val="84"/>
          <w:szCs w:val="84"/>
        </w:rPr>
        <w:t>投 标 文 件</w:t>
      </w:r>
    </w:p>
    <w:p>
      <w:pPr>
        <w:pStyle w:val="3"/>
        <w:adjustRightInd w:val="0"/>
        <w:snapToGrid w:val="0"/>
        <w:jc w:val="center"/>
        <w:rPr>
          <w:rFonts w:hint="eastAsia" w:ascii="宋体" w:hAnsi="宋体" w:cs="宋体"/>
          <w:sz w:val="44"/>
          <w:szCs w:val="44"/>
        </w:rPr>
      </w:pPr>
      <w:bookmarkStart w:id="281" w:name="_Toc6890"/>
      <w:r>
        <w:rPr>
          <w:rFonts w:hint="eastAsia" w:ascii="宋体" w:hAnsi="宋体" w:cs="宋体"/>
          <w:sz w:val="44"/>
          <w:szCs w:val="44"/>
        </w:rPr>
        <w:t>第二部分 商务文件</w:t>
      </w:r>
      <w:bookmarkEnd w:id="281"/>
    </w:p>
    <w:p>
      <w:pPr>
        <w:adjustRightInd w:val="0"/>
        <w:snapToGrid w:val="0"/>
        <w:spacing w:line="360" w:lineRule="auto"/>
        <w:rPr>
          <w:rFonts w:hint="eastAsia" w:ascii="宋体" w:hAnsi="宋体" w:cs="宋体"/>
          <w:sz w:val="32"/>
          <w:szCs w:val="32"/>
        </w:rPr>
      </w:pPr>
    </w:p>
    <w:p>
      <w:pPr>
        <w:pStyle w:val="22"/>
        <w:adjustRightInd w:val="0"/>
        <w:snapToGrid w:val="0"/>
        <w:spacing w:line="360" w:lineRule="auto"/>
        <w:ind w:firstLine="1988" w:firstLineChars="660"/>
        <w:rPr>
          <w:rFonts w:hint="eastAsia" w:hAnsi="宋体" w:cs="宋体"/>
          <w:b/>
          <w:bCs/>
          <w:sz w:val="30"/>
          <w:szCs w:val="30"/>
        </w:rPr>
      </w:pPr>
    </w:p>
    <w:p>
      <w:pPr>
        <w:pStyle w:val="22"/>
        <w:adjustRightInd w:val="0"/>
        <w:snapToGrid w:val="0"/>
        <w:spacing w:line="360" w:lineRule="auto"/>
        <w:ind w:firstLine="1988" w:firstLineChars="660"/>
        <w:rPr>
          <w:rFonts w:hint="eastAsia" w:hAnsi="宋体" w:cs="宋体"/>
          <w:b/>
          <w:bCs/>
          <w:sz w:val="30"/>
          <w:szCs w:val="30"/>
          <w:u w:val="single"/>
        </w:rPr>
      </w:pPr>
      <w:r>
        <w:rPr>
          <w:rFonts w:hint="eastAsia" w:hAnsi="宋体" w:cs="宋体"/>
          <w:b/>
          <w:bCs/>
          <w:sz w:val="30"/>
          <w:szCs w:val="30"/>
        </w:rPr>
        <w:t>采购项目名称：</w:t>
      </w:r>
      <w:r>
        <w:rPr>
          <w:rFonts w:hint="eastAsia" w:hAnsi="宋体" w:cs="宋体"/>
          <w:b/>
          <w:bCs/>
          <w:sz w:val="30"/>
          <w:szCs w:val="30"/>
          <w:u w:val="single"/>
        </w:rPr>
        <w:t xml:space="preserve">                       </w:t>
      </w:r>
    </w:p>
    <w:p>
      <w:pPr>
        <w:pStyle w:val="22"/>
        <w:adjustRightInd w:val="0"/>
        <w:snapToGrid w:val="0"/>
        <w:spacing w:line="360" w:lineRule="auto"/>
        <w:ind w:firstLine="1988" w:firstLineChars="660"/>
        <w:rPr>
          <w:rFonts w:hint="eastAsia" w:hAnsi="宋体" w:cs="宋体"/>
          <w:b/>
          <w:bCs/>
          <w:sz w:val="30"/>
          <w:szCs w:val="30"/>
          <w:u w:val="single"/>
        </w:rPr>
      </w:pPr>
      <w:r>
        <w:rPr>
          <w:rFonts w:hint="eastAsia" w:hAnsi="宋体" w:cs="宋体"/>
          <w:b/>
          <w:bCs/>
          <w:sz w:val="30"/>
          <w:szCs w:val="30"/>
        </w:rPr>
        <w:t>政府采购编号：</w:t>
      </w:r>
      <w:r>
        <w:rPr>
          <w:rFonts w:hint="eastAsia" w:hAnsi="宋体" w:cs="宋体"/>
          <w:b/>
          <w:bCs/>
          <w:sz w:val="30"/>
          <w:szCs w:val="30"/>
          <w:u w:val="single"/>
        </w:rPr>
        <w:t xml:space="preserve">                       </w:t>
      </w:r>
    </w:p>
    <w:p>
      <w:pPr>
        <w:pStyle w:val="22"/>
        <w:adjustRightInd w:val="0"/>
        <w:snapToGrid w:val="0"/>
        <w:spacing w:line="360" w:lineRule="auto"/>
        <w:ind w:firstLine="1988" w:firstLineChars="660"/>
        <w:rPr>
          <w:rFonts w:hint="eastAsia" w:hAnsi="宋体" w:cs="宋体"/>
          <w:b/>
          <w:bCs/>
          <w:sz w:val="30"/>
          <w:szCs w:val="30"/>
          <w:u w:val="single"/>
        </w:rPr>
      </w:pPr>
      <w:r>
        <w:rPr>
          <w:rFonts w:hint="eastAsia" w:hAnsi="宋体" w:cs="宋体"/>
          <w:b/>
          <w:bCs/>
          <w:sz w:val="30"/>
          <w:szCs w:val="30"/>
        </w:rPr>
        <w:t>采购代理编号：</w:t>
      </w:r>
      <w:r>
        <w:rPr>
          <w:rFonts w:hint="eastAsia" w:hAnsi="宋体" w:cs="宋体"/>
          <w:b/>
          <w:bCs/>
          <w:sz w:val="30"/>
          <w:szCs w:val="30"/>
          <w:u w:val="single"/>
        </w:rPr>
        <w:t xml:space="preserve">                       </w:t>
      </w:r>
    </w:p>
    <w:p>
      <w:pPr>
        <w:adjustRightInd w:val="0"/>
        <w:snapToGrid w:val="0"/>
        <w:spacing w:line="360" w:lineRule="auto"/>
        <w:rPr>
          <w:rFonts w:hint="eastAsia" w:ascii="宋体" w:hAnsi="宋体" w:cs="宋体"/>
          <w:sz w:val="30"/>
          <w:szCs w:val="30"/>
        </w:rPr>
      </w:pPr>
    </w:p>
    <w:p>
      <w:pPr>
        <w:adjustRightInd w:val="0"/>
        <w:snapToGrid w:val="0"/>
        <w:spacing w:line="360" w:lineRule="auto"/>
        <w:rPr>
          <w:rFonts w:hint="eastAsia" w:ascii="宋体" w:hAnsi="宋体" w:cs="宋体"/>
          <w:sz w:val="30"/>
          <w:szCs w:val="30"/>
        </w:rPr>
      </w:pPr>
    </w:p>
    <w:p>
      <w:pPr>
        <w:adjustRightInd w:val="0"/>
        <w:snapToGrid w:val="0"/>
        <w:spacing w:line="360" w:lineRule="auto"/>
        <w:rPr>
          <w:rFonts w:hint="eastAsia" w:ascii="宋体" w:hAnsi="宋体" w:cs="宋体"/>
          <w:sz w:val="30"/>
          <w:szCs w:val="30"/>
        </w:rPr>
      </w:pPr>
    </w:p>
    <w:p>
      <w:pPr>
        <w:adjustRightInd w:val="0"/>
        <w:snapToGrid w:val="0"/>
        <w:spacing w:line="360" w:lineRule="auto"/>
        <w:rPr>
          <w:rFonts w:hint="eastAsia" w:ascii="宋体" w:hAnsi="宋体" w:cs="宋体"/>
          <w:sz w:val="30"/>
          <w:szCs w:val="30"/>
        </w:rPr>
      </w:pPr>
    </w:p>
    <w:p>
      <w:pPr>
        <w:adjustRightInd w:val="0"/>
        <w:snapToGrid w:val="0"/>
        <w:spacing w:line="360" w:lineRule="auto"/>
        <w:ind w:left="1273" w:leftChars="606" w:firstLine="2"/>
        <w:rPr>
          <w:rFonts w:hint="eastAsia" w:ascii="宋体" w:hAnsi="宋体" w:cs="宋体"/>
          <w:sz w:val="32"/>
          <w:szCs w:val="32"/>
          <w:u w:val="single"/>
        </w:rPr>
      </w:pPr>
      <w:r>
        <w:rPr>
          <w:rFonts w:hint="eastAsia" w:ascii="宋体" w:hAnsi="宋体" w:cs="宋体"/>
          <w:sz w:val="32"/>
          <w:szCs w:val="32"/>
        </w:rPr>
        <w:t>投标人</w:t>
      </w:r>
      <w:r>
        <w:rPr>
          <w:rFonts w:hint="eastAsia" w:ascii="宋体" w:hAnsi="宋体" w:cs="宋体"/>
          <w:sz w:val="32"/>
          <w:szCs w:val="32"/>
          <w:u w:val="single"/>
        </w:rPr>
        <w:t xml:space="preserve">                         </w:t>
      </w:r>
    </w:p>
    <w:p>
      <w:pPr>
        <w:adjustRightInd w:val="0"/>
        <w:snapToGrid w:val="0"/>
        <w:spacing w:line="360" w:lineRule="auto"/>
        <w:jc w:val="center"/>
        <w:rPr>
          <w:rFonts w:hint="eastAsia" w:ascii="宋体" w:hAnsi="宋体" w:cs="宋体"/>
          <w:sz w:val="32"/>
          <w:szCs w:val="32"/>
        </w:rPr>
      </w:pPr>
      <w:r>
        <w:rPr>
          <w:rFonts w:hint="eastAsia" w:ascii="宋体" w:hAnsi="宋体" w:cs="宋体"/>
          <w:sz w:val="32"/>
          <w:szCs w:val="32"/>
        </w:rPr>
        <w:t>年  月  日</w:t>
      </w:r>
    </w:p>
    <w:bookmarkEnd w:id="280"/>
    <w:p>
      <w:pPr>
        <w:widowControl/>
        <w:jc w:val="left"/>
        <w:rPr>
          <w:rFonts w:hint="eastAsia" w:ascii="宋体" w:hAnsi="宋体" w:cs="宋体"/>
          <w:b/>
          <w:bCs/>
          <w:sz w:val="28"/>
          <w:szCs w:val="28"/>
        </w:rPr>
      </w:pPr>
      <w:r>
        <w:rPr>
          <w:rFonts w:hint="eastAsia" w:ascii="宋体" w:hAnsi="宋体" w:cs="宋体"/>
          <w:u w:val="single"/>
        </w:rPr>
        <w:br w:type="page"/>
      </w:r>
    </w:p>
    <w:p>
      <w:pPr>
        <w:adjustRightInd w:val="0"/>
        <w:snapToGrid w:val="0"/>
        <w:spacing w:line="360" w:lineRule="auto"/>
        <w:jc w:val="center"/>
        <w:outlineLvl w:val="2"/>
        <w:rPr>
          <w:rFonts w:hint="eastAsia" w:ascii="宋体" w:hAnsi="宋体" w:eastAsia="黑体" w:cs="宋体"/>
          <w:b/>
          <w:bCs/>
          <w:sz w:val="28"/>
          <w:szCs w:val="28"/>
        </w:rPr>
      </w:pPr>
      <w:bookmarkStart w:id="282" w:name="_Toc31629"/>
      <w:bookmarkStart w:id="283" w:name="_Toc32186"/>
      <w:bookmarkStart w:id="284" w:name="OLE_LINK215"/>
      <w:r>
        <w:rPr>
          <w:rFonts w:hint="eastAsia" w:ascii="宋体" w:hAnsi="宋体" w:eastAsia="黑体" w:cs="宋体"/>
          <w:b/>
          <w:bCs/>
          <w:sz w:val="28"/>
          <w:szCs w:val="28"/>
        </w:rPr>
        <w:t>二、投标函</w:t>
      </w:r>
      <w:bookmarkEnd w:id="282"/>
      <w:bookmarkEnd w:id="283"/>
    </w:p>
    <w:p>
      <w:pPr>
        <w:spacing w:line="400" w:lineRule="exact"/>
        <w:rPr>
          <w:rFonts w:hint="eastAsia" w:ascii="宋体" w:hAnsi="宋体" w:cs="宋体"/>
        </w:rPr>
      </w:pPr>
      <w:r>
        <w:rPr>
          <w:rFonts w:hint="eastAsia" w:ascii="宋体" w:hAnsi="宋体" w:cs="宋体"/>
          <w:szCs w:val="21"/>
          <w:lang w:bidi="ar"/>
        </w:rPr>
        <w:t>致：</w:t>
      </w:r>
      <w:r>
        <w:rPr>
          <w:rFonts w:hint="eastAsia" w:ascii="宋体" w:hAnsi="宋体" w:cs="宋体"/>
          <w:szCs w:val="21"/>
          <w:u w:val="single"/>
          <w:lang w:bidi="ar"/>
        </w:rPr>
        <w:t>           </w:t>
      </w:r>
      <w:r>
        <w:rPr>
          <w:rFonts w:hint="eastAsia" w:ascii="宋体" w:hAnsi="宋体" w:cs="宋体"/>
          <w:szCs w:val="21"/>
          <w:lang w:bidi="ar"/>
        </w:rPr>
        <w:t xml:space="preserve"> (采购人或采购代理机构)： </w:t>
      </w:r>
    </w:p>
    <w:p>
      <w:pPr>
        <w:spacing w:line="400" w:lineRule="exact"/>
        <w:ind w:firstLine="435"/>
        <w:rPr>
          <w:rFonts w:hint="eastAsia" w:ascii="宋体" w:hAnsi="宋体" w:cs="宋体"/>
        </w:rPr>
      </w:pPr>
      <w:r>
        <w:rPr>
          <w:rFonts w:hint="eastAsia" w:ascii="宋体" w:hAnsi="宋体" w:cs="宋体"/>
          <w:szCs w:val="21"/>
          <w:lang w:bidi="ar"/>
        </w:rPr>
        <w:t>根据贵方为</w:t>
      </w:r>
      <w:r>
        <w:rPr>
          <w:rFonts w:hint="eastAsia" w:ascii="宋体" w:hAnsi="宋体" w:cs="宋体"/>
          <w:szCs w:val="21"/>
          <w:u w:val="single"/>
          <w:lang w:bidi="ar"/>
        </w:rPr>
        <w:t>        </w:t>
      </w:r>
      <w:r>
        <w:rPr>
          <w:rFonts w:hint="eastAsia" w:ascii="宋体" w:hAnsi="宋体" w:cs="宋体"/>
          <w:szCs w:val="21"/>
          <w:lang w:bidi="ar"/>
        </w:rPr>
        <w:t xml:space="preserve"> （项目名称）的投标邀请（政府采购编号：</w:t>
      </w:r>
      <w:r>
        <w:rPr>
          <w:rFonts w:hint="eastAsia" w:ascii="宋体" w:hAnsi="宋体" w:cs="宋体"/>
          <w:szCs w:val="21"/>
          <w:u w:val="single"/>
          <w:lang w:bidi="ar"/>
        </w:rPr>
        <w:t>    </w:t>
      </w:r>
      <w:r>
        <w:rPr>
          <w:rFonts w:hint="eastAsia" w:ascii="宋体" w:hAnsi="宋体" w:cs="宋体"/>
          <w:szCs w:val="21"/>
          <w:lang w:bidi="ar"/>
        </w:rPr>
        <w:t xml:space="preserve"> ，采购代理编号：</w:t>
      </w:r>
      <w:r>
        <w:rPr>
          <w:rFonts w:hint="eastAsia" w:ascii="宋体" w:hAnsi="宋体" w:cs="宋体"/>
          <w:szCs w:val="21"/>
          <w:u w:val="single"/>
          <w:lang w:bidi="ar"/>
        </w:rPr>
        <w:t>     </w:t>
      </w:r>
      <w:r>
        <w:rPr>
          <w:rFonts w:hint="eastAsia" w:ascii="宋体" w:hAnsi="宋体" w:cs="宋体"/>
          <w:szCs w:val="21"/>
          <w:lang w:bidi="ar"/>
        </w:rPr>
        <w:t xml:space="preserve"> ），签字代表 </w:t>
      </w:r>
      <w:r>
        <w:rPr>
          <w:rFonts w:hint="eastAsia" w:ascii="宋体" w:hAnsi="宋体" w:cs="宋体"/>
          <w:szCs w:val="21"/>
          <w:u w:val="single"/>
          <w:lang w:bidi="ar"/>
        </w:rPr>
        <w:t>     </w:t>
      </w:r>
      <w:r>
        <w:rPr>
          <w:rFonts w:hint="eastAsia" w:ascii="宋体" w:hAnsi="宋体" w:cs="宋体"/>
          <w:szCs w:val="21"/>
          <w:lang w:bidi="ar"/>
        </w:rPr>
        <w:t>（姓名、职务）经正式授权并代表投标人</w:t>
      </w:r>
      <w:r>
        <w:rPr>
          <w:rFonts w:hint="eastAsia" w:ascii="宋体" w:hAnsi="宋体" w:cs="宋体"/>
          <w:szCs w:val="21"/>
          <w:u w:val="single"/>
          <w:lang w:bidi="ar"/>
        </w:rPr>
        <w:t>      </w:t>
      </w:r>
      <w:r>
        <w:rPr>
          <w:rFonts w:hint="eastAsia" w:ascii="宋体" w:hAnsi="宋体" w:cs="宋体"/>
          <w:szCs w:val="21"/>
          <w:lang w:bidi="ar"/>
        </w:rPr>
        <w:t xml:space="preserve">（投标人名称、地址）提交下述文件电子版一份并在此声明，所递交的投标文件内容完整、真实。 </w:t>
      </w:r>
    </w:p>
    <w:p>
      <w:pPr>
        <w:spacing w:line="400" w:lineRule="exact"/>
        <w:ind w:firstLine="420"/>
        <w:rPr>
          <w:rFonts w:hint="eastAsia" w:ascii="宋体" w:hAnsi="宋体" w:cs="宋体"/>
        </w:rPr>
      </w:pPr>
      <w:r>
        <w:rPr>
          <w:rFonts w:hint="eastAsia" w:ascii="宋体" w:hAnsi="宋体" w:cs="宋体"/>
          <w:szCs w:val="21"/>
          <w:lang w:bidi="ar"/>
        </w:rPr>
        <w:t xml:space="preserve">在此，签字代表宣布同意如下： </w:t>
      </w:r>
    </w:p>
    <w:p>
      <w:pPr>
        <w:spacing w:line="400" w:lineRule="exact"/>
        <w:ind w:firstLine="420"/>
        <w:rPr>
          <w:rFonts w:hint="eastAsia" w:ascii="宋体" w:hAnsi="宋体" w:cs="宋体"/>
        </w:rPr>
      </w:pPr>
      <w:r>
        <w:rPr>
          <w:rFonts w:hint="eastAsia" w:ascii="宋体" w:hAnsi="宋体" w:cs="宋体"/>
          <w:szCs w:val="21"/>
          <w:lang w:bidi="ar"/>
        </w:rPr>
        <w:t>1、所附投标价格表中规定的应提交和交付的货物和服务投标总价为：</w:t>
      </w:r>
      <w:r>
        <w:rPr>
          <w:rFonts w:hint="eastAsia" w:ascii="宋体" w:hAnsi="宋体" w:cs="宋体"/>
          <w:szCs w:val="21"/>
          <w:u w:val="single"/>
          <w:lang w:bidi="ar"/>
        </w:rPr>
        <w:t>    </w:t>
      </w:r>
      <w:r>
        <w:rPr>
          <w:rFonts w:hint="eastAsia" w:ascii="宋体" w:hAnsi="宋体" w:cs="宋体"/>
          <w:szCs w:val="21"/>
          <w:lang w:bidi="ar"/>
        </w:rPr>
        <w:t xml:space="preserve"> (人民币大写)。 </w:t>
      </w:r>
    </w:p>
    <w:p>
      <w:pPr>
        <w:spacing w:line="400" w:lineRule="exact"/>
        <w:ind w:firstLine="420"/>
        <w:rPr>
          <w:rFonts w:hint="eastAsia" w:ascii="宋体" w:hAnsi="宋体" w:cs="宋体"/>
        </w:rPr>
      </w:pPr>
      <w:r>
        <w:rPr>
          <w:rFonts w:hint="eastAsia" w:ascii="宋体" w:hAnsi="宋体" w:cs="宋体"/>
          <w:szCs w:val="21"/>
          <w:lang w:bidi="ar"/>
        </w:rPr>
        <w:t xml:space="preserve">2、投标人将按招标文件的规定履行合同责任和义务。 </w:t>
      </w:r>
    </w:p>
    <w:p>
      <w:pPr>
        <w:spacing w:line="400" w:lineRule="exact"/>
        <w:ind w:firstLine="420"/>
        <w:rPr>
          <w:rFonts w:hint="eastAsia" w:ascii="宋体" w:hAnsi="宋体" w:cs="宋体"/>
        </w:rPr>
      </w:pPr>
      <w:r>
        <w:rPr>
          <w:rFonts w:hint="eastAsia" w:ascii="宋体" w:hAnsi="宋体" w:cs="宋体"/>
          <w:szCs w:val="21"/>
          <w:lang w:bidi="ar"/>
        </w:rPr>
        <w:t xml:space="preserve">3、投标人已详细审查全部招标文件。我们完全理解并同意放弃对这方面有不明及误解的权利。 </w:t>
      </w:r>
    </w:p>
    <w:p>
      <w:pPr>
        <w:spacing w:line="400" w:lineRule="exact"/>
        <w:ind w:firstLine="420"/>
        <w:rPr>
          <w:rFonts w:hint="eastAsia" w:ascii="宋体" w:hAnsi="宋体" w:cs="宋体"/>
        </w:rPr>
      </w:pPr>
      <w:r>
        <w:rPr>
          <w:rFonts w:hint="eastAsia" w:ascii="宋体" w:hAnsi="宋体" w:cs="宋体"/>
          <w:szCs w:val="21"/>
          <w:lang w:bidi="ar"/>
        </w:rPr>
        <w:t>4、本投标有效期为自招标文件规定的提交投标文件截止之日起</w:t>
      </w:r>
      <w:r>
        <w:rPr>
          <w:rFonts w:hint="eastAsia" w:ascii="宋体" w:hAnsi="宋体" w:cs="宋体"/>
          <w:szCs w:val="21"/>
          <w:u w:val="single"/>
          <w:lang w:bidi="ar"/>
        </w:rPr>
        <w:t>    </w:t>
      </w:r>
      <w:r>
        <w:rPr>
          <w:rFonts w:hint="eastAsia" w:ascii="宋体" w:hAnsi="宋体" w:cs="宋体"/>
          <w:szCs w:val="21"/>
          <w:lang w:bidi="ar"/>
        </w:rPr>
        <w:t xml:space="preserve"> 个日历日。在投标有效期内我方同意遵守本投标文件中的承诺且在此期限期满之前投标文件对我方具有法律约束力。 </w:t>
      </w:r>
    </w:p>
    <w:p>
      <w:pPr>
        <w:spacing w:line="400" w:lineRule="exact"/>
        <w:ind w:firstLine="420"/>
        <w:rPr>
          <w:rFonts w:hint="eastAsia" w:ascii="宋体" w:hAnsi="宋体" w:cs="宋体"/>
        </w:rPr>
      </w:pPr>
      <w:r>
        <w:rPr>
          <w:rFonts w:hint="eastAsia" w:ascii="宋体" w:hAnsi="宋体" w:cs="宋体"/>
          <w:szCs w:val="21"/>
          <w:lang w:bidi="ar"/>
        </w:rPr>
        <w:t xml:space="preserve">5、根据第一章“投标须知”第3条规定，我方承诺： </w:t>
      </w:r>
    </w:p>
    <w:p>
      <w:pPr>
        <w:spacing w:line="400" w:lineRule="exact"/>
        <w:ind w:firstLine="420"/>
        <w:rPr>
          <w:rFonts w:hint="eastAsia" w:ascii="宋体" w:hAnsi="宋体" w:cs="宋体"/>
        </w:rPr>
      </w:pPr>
      <w:r>
        <w:rPr>
          <w:rFonts w:hint="eastAsia" w:ascii="宋体" w:hAnsi="宋体" w:cs="宋体"/>
          <w:szCs w:val="21"/>
          <w:lang w:bidi="ar"/>
        </w:rPr>
        <w:t xml:space="preserve">(1) 我们在参加本项目政府采购活动前三年内，在经营活动中没有违背法律的行为，并提供“参加政府采购活动前三年内在经营活动中没有重大违法记录的书面声明”； </w:t>
      </w:r>
    </w:p>
    <w:p>
      <w:pPr>
        <w:spacing w:line="400" w:lineRule="exact"/>
        <w:ind w:firstLine="420"/>
        <w:rPr>
          <w:rFonts w:hint="eastAsia" w:ascii="宋体" w:hAnsi="宋体" w:cs="宋体"/>
        </w:rPr>
      </w:pPr>
      <w:r>
        <w:rPr>
          <w:rFonts w:hint="eastAsia" w:ascii="宋体" w:hAnsi="宋体" w:cs="宋体"/>
          <w:szCs w:val="21"/>
          <w:lang w:bidi="ar"/>
        </w:rPr>
        <w:t xml:space="preserve">(2) 我们依照有关法律的规定，没有偷税、漏税的行为，没有逃避缴纳社会保险资金的行为； </w:t>
      </w:r>
    </w:p>
    <w:p>
      <w:pPr>
        <w:spacing w:line="400" w:lineRule="exact"/>
        <w:ind w:firstLine="420"/>
        <w:rPr>
          <w:rFonts w:hint="eastAsia" w:ascii="宋体" w:hAnsi="宋体" w:cs="宋体"/>
        </w:rPr>
      </w:pPr>
      <w:r>
        <w:rPr>
          <w:rFonts w:hint="eastAsia" w:ascii="宋体" w:hAnsi="宋体" w:cs="宋体"/>
          <w:szCs w:val="21"/>
          <w:lang w:bidi="ar"/>
        </w:rPr>
        <w:t xml:space="preserve">(3) 与采购人和采购代理机构无任何的隶属关系或者其他利害关系。 </w:t>
      </w:r>
    </w:p>
    <w:p>
      <w:pPr>
        <w:spacing w:line="400" w:lineRule="exact"/>
        <w:ind w:firstLine="420"/>
        <w:rPr>
          <w:rFonts w:hint="eastAsia" w:ascii="宋体" w:hAnsi="宋体" w:cs="宋体"/>
        </w:rPr>
      </w:pPr>
      <w:r>
        <w:rPr>
          <w:rFonts w:hint="eastAsia" w:ascii="宋体" w:hAnsi="宋体" w:cs="宋体"/>
          <w:szCs w:val="21"/>
          <w:lang w:bidi="ar"/>
        </w:rPr>
        <w:t xml:space="preserve">6、同意提供贵方可能要求的与其投标有关的一切数据或资料。 </w:t>
      </w:r>
    </w:p>
    <w:p>
      <w:pPr>
        <w:spacing w:line="400" w:lineRule="exact"/>
        <w:ind w:firstLine="420"/>
        <w:rPr>
          <w:rFonts w:hint="eastAsia" w:ascii="宋体" w:hAnsi="宋体" w:cs="宋体"/>
        </w:rPr>
      </w:pPr>
      <w:r>
        <w:rPr>
          <w:rFonts w:hint="eastAsia" w:ascii="宋体" w:hAnsi="宋体" w:cs="宋体"/>
          <w:szCs w:val="21"/>
          <w:lang w:bidi="ar"/>
        </w:rPr>
        <w:t xml:space="preserve">7、废标后，在收到贵方的通知后，我方本投标函及所有投标文件中声明、授权、承诺、盖章签字等，对于贵方采用竞争性谈判采购仍然有效。我方遵守贵方招标文件关于特殊情形采用竞争性谈判采购的有关规定，并无异议。 </w:t>
      </w:r>
    </w:p>
    <w:p>
      <w:pPr>
        <w:spacing w:line="400" w:lineRule="exact"/>
        <w:ind w:firstLine="420"/>
        <w:rPr>
          <w:rFonts w:hint="eastAsia" w:ascii="宋体" w:hAnsi="宋体" w:cs="宋体"/>
        </w:rPr>
      </w:pPr>
      <w:r>
        <w:rPr>
          <w:rFonts w:hint="eastAsia" w:ascii="宋体" w:hAnsi="宋体" w:cs="宋体"/>
          <w:szCs w:val="21"/>
          <w:lang w:bidi="ar"/>
        </w:rPr>
        <w:t xml:space="preserve">8、与本投标有关的一切正式往来信函请寄： </w:t>
      </w:r>
    </w:p>
    <w:p>
      <w:pPr>
        <w:spacing w:line="400" w:lineRule="exact"/>
        <w:rPr>
          <w:rFonts w:hint="eastAsia" w:ascii="宋体" w:hAnsi="宋体" w:cs="宋体"/>
          <w:szCs w:val="21"/>
          <w:lang w:bidi="ar"/>
        </w:rPr>
      </w:pPr>
    </w:p>
    <w:p>
      <w:pPr>
        <w:spacing w:line="400" w:lineRule="exact"/>
        <w:rPr>
          <w:rFonts w:hint="eastAsia" w:ascii="宋体" w:hAnsi="宋体" w:cs="宋体"/>
        </w:rPr>
      </w:pPr>
      <w:r>
        <w:rPr>
          <w:rFonts w:hint="eastAsia" w:ascii="宋体" w:hAnsi="宋体" w:cs="宋体"/>
          <w:szCs w:val="21"/>
          <w:lang w:bidi="ar"/>
        </w:rPr>
        <w:t>地址：</w:t>
      </w:r>
      <w:r>
        <w:rPr>
          <w:rFonts w:hint="eastAsia" w:ascii="宋体" w:hAnsi="宋体" w:cs="宋体"/>
          <w:szCs w:val="21"/>
          <w:u w:val="single"/>
          <w:lang w:bidi="ar"/>
        </w:rPr>
        <w:t>            </w:t>
      </w:r>
      <w:r>
        <w:rPr>
          <w:rFonts w:hint="eastAsia" w:ascii="宋体" w:hAnsi="宋体" w:cs="宋体"/>
          <w:szCs w:val="21"/>
          <w:lang w:bidi="ar"/>
        </w:rPr>
        <w:t xml:space="preserve">  邮编：</w:t>
      </w:r>
      <w:r>
        <w:rPr>
          <w:rFonts w:hint="eastAsia" w:ascii="宋体" w:hAnsi="宋体" w:cs="宋体"/>
          <w:szCs w:val="21"/>
          <w:u w:val="single"/>
          <w:lang w:bidi="ar"/>
        </w:rPr>
        <w:t>       </w:t>
      </w:r>
      <w:r>
        <w:rPr>
          <w:rFonts w:hint="eastAsia" w:ascii="宋体" w:hAnsi="宋体" w:cs="宋体"/>
          <w:szCs w:val="21"/>
          <w:lang w:bidi="ar"/>
        </w:rPr>
        <w:t xml:space="preserve">   </w:t>
      </w:r>
    </w:p>
    <w:p>
      <w:pPr>
        <w:widowControl/>
        <w:jc w:val="left"/>
        <w:rPr>
          <w:rFonts w:hint="eastAsia" w:ascii="宋体" w:hAnsi="宋体" w:cs="宋体"/>
          <w:szCs w:val="21"/>
          <w:lang w:bidi="ar"/>
        </w:rPr>
      </w:pPr>
    </w:p>
    <w:p>
      <w:pPr>
        <w:widowControl/>
        <w:jc w:val="left"/>
      </w:pPr>
      <w:r>
        <w:rPr>
          <w:rFonts w:hint="eastAsia" w:ascii="宋体" w:hAnsi="宋体" w:cs="宋体"/>
          <w:szCs w:val="21"/>
          <w:lang w:bidi="ar"/>
        </w:rPr>
        <w:t>电话：</w:t>
      </w:r>
      <w:r>
        <w:rPr>
          <w:rFonts w:hint="eastAsia" w:ascii="宋体" w:hAnsi="宋体" w:cs="宋体"/>
          <w:szCs w:val="21"/>
          <w:u w:val="single"/>
          <w:lang w:bidi="ar"/>
        </w:rPr>
        <w:t>            </w:t>
      </w:r>
      <w:r>
        <w:rPr>
          <w:rFonts w:hint="eastAsia" w:ascii="宋体" w:hAnsi="宋体" w:cs="宋体"/>
          <w:szCs w:val="21"/>
          <w:lang w:bidi="ar"/>
        </w:rPr>
        <w:t xml:space="preserve">  传真：</w:t>
      </w:r>
      <w:r>
        <w:rPr>
          <w:rFonts w:hint="eastAsia" w:ascii="宋体" w:hAnsi="宋体" w:cs="宋体"/>
          <w:szCs w:val="21"/>
          <w:u w:val="single"/>
          <w:lang w:bidi="ar"/>
        </w:rPr>
        <w:t>        </w:t>
      </w:r>
      <w:r>
        <w:rPr>
          <w:rFonts w:hint="eastAsia" w:ascii="宋体" w:hAnsi="宋体" w:cs="宋体"/>
          <w:szCs w:val="21"/>
          <w:lang w:bidi="ar"/>
        </w:rPr>
        <w:t> </w:t>
      </w:r>
      <w:r>
        <w:rPr>
          <w:rFonts w:hint="eastAsia" w:ascii="宋体" w:hAnsi="宋体"/>
          <w:szCs w:val="21"/>
          <w:lang w:bidi="ar"/>
        </w:rPr>
        <w:t xml:space="preserve"> </w:t>
      </w:r>
    </w:p>
    <w:p>
      <w:pPr>
        <w:pStyle w:val="22"/>
        <w:adjustRightInd w:val="0"/>
        <w:snapToGrid w:val="0"/>
        <w:spacing w:before="161" w:beforeLines="50" w:line="360" w:lineRule="auto"/>
        <w:rPr>
          <w:rFonts w:hint="eastAsia" w:hAnsi="宋体" w:cs="宋体"/>
        </w:rPr>
      </w:pPr>
    </w:p>
    <w:p>
      <w:pPr>
        <w:pStyle w:val="22"/>
        <w:adjustRightInd w:val="0"/>
        <w:snapToGrid w:val="0"/>
        <w:spacing w:before="161" w:beforeLines="50" w:line="360" w:lineRule="auto"/>
        <w:rPr>
          <w:rFonts w:hint="eastAsia" w:hAnsi="宋体" w:cs="宋体"/>
        </w:rPr>
      </w:pPr>
      <w:r>
        <w:rPr>
          <w:rFonts w:hint="eastAsia" w:hAnsi="宋体" w:cs="宋体"/>
        </w:rPr>
        <w:t xml:space="preserve">投标人名称（盖单位章）：                       </w:t>
      </w:r>
    </w:p>
    <w:p>
      <w:pPr>
        <w:adjustRightInd w:val="0"/>
        <w:snapToGrid w:val="0"/>
        <w:spacing w:before="161" w:beforeLines="50" w:line="360" w:lineRule="auto"/>
        <w:rPr>
          <w:rFonts w:hint="eastAsia" w:ascii="宋体" w:hAnsi="宋体" w:cs="宋体"/>
          <w:szCs w:val="21"/>
          <w:u w:val="single"/>
        </w:rPr>
      </w:pP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szCs w:val="21"/>
        </w:rPr>
        <w:t>或其授权的代理人（签字或印章）：</w:t>
      </w:r>
    </w:p>
    <w:p>
      <w:pPr>
        <w:rPr>
          <w:rFonts w:hint="eastAsia" w:ascii="宋体" w:hAnsi="宋体" w:cs="宋体"/>
          <w:szCs w:val="21"/>
        </w:rPr>
      </w:pPr>
    </w:p>
    <w:p>
      <w:pPr>
        <w:rPr>
          <w:rFonts w:hint="eastAsia" w:ascii="宋体" w:hAnsi="宋体" w:cs="宋体"/>
          <w:szCs w:val="21"/>
        </w:rPr>
      </w:pPr>
      <w:r>
        <w:rPr>
          <w:rFonts w:hint="eastAsia" w:ascii="宋体" w:hAnsi="宋体" w:cs="宋体"/>
          <w:szCs w:val="21"/>
        </w:rPr>
        <w:t>日期：   年   月   日</w:t>
      </w:r>
    </w:p>
    <w:p>
      <w:pPr>
        <w:spacing w:line="400" w:lineRule="exact"/>
        <w:rPr>
          <w:rFonts w:hint="eastAsia" w:ascii="宋体" w:hAnsi="宋体" w:cs="宋体"/>
          <w:szCs w:val="21"/>
        </w:rPr>
      </w:pPr>
    </w:p>
    <w:p>
      <w:pPr>
        <w:spacing w:line="400" w:lineRule="exact"/>
        <w:rPr>
          <w:rFonts w:hint="eastAsia" w:ascii="宋体" w:hAnsi="宋体" w:cs="宋体"/>
          <w:szCs w:val="21"/>
        </w:rPr>
      </w:pPr>
      <w:r>
        <w:rPr>
          <w:rFonts w:ascii="宋体" w:hAnsi="宋体" w:cs="宋体"/>
          <w:szCs w:val="21"/>
        </w:rPr>
        <w:t>备注：</w:t>
      </w:r>
    </w:p>
    <w:p>
      <w:pPr>
        <w:spacing w:line="400" w:lineRule="exact"/>
        <w:rPr>
          <w:rFonts w:hint="eastAsia" w:ascii="宋体" w:hAnsi="宋体"/>
        </w:rPr>
      </w:pPr>
      <w:r>
        <w:rPr>
          <w:rFonts w:ascii="宋体" w:hAnsi="宋体"/>
          <w:szCs w:val="21"/>
        </w:rPr>
        <w:t>1</w:t>
      </w:r>
      <w:r>
        <w:rPr>
          <w:rFonts w:ascii="宋体" w:hAnsi="宋体" w:cs="宋体"/>
          <w:szCs w:val="21"/>
        </w:rPr>
        <w:t>、除可填报项目外，对本投标函的任何修改将被视为非实质性响应投标，在评标时将其视为无效投标。</w:t>
      </w:r>
      <w:r>
        <w:rPr>
          <w:rFonts w:ascii="宋体" w:hAnsi="宋体"/>
          <w:szCs w:val="21"/>
        </w:rPr>
        <w:t xml:space="preserve"> </w:t>
      </w:r>
    </w:p>
    <w:p>
      <w:r>
        <w:rPr>
          <w:rFonts w:ascii="宋体" w:hAnsi="宋体"/>
          <w:szCs w:val="21"/>
        </w:rPr>
        <w:t>2</w:t>
      </w:r>
      <w:r>
        <w:rPr>
          <w:rFonts w:ascii="宋体" w:hAnsi="宋体" w:cs="宋体"/>
          <w:szCs w:val="21"/>
        </w:rPr>
        <w:t>、</w:t>
      </w:r>
      <w:r>
        <w:rPr>
          <w:rFonts w:hint="eastAsia" w:ascii="宋体" w:hAnsi="宋体" w:cs="宋体"/>
          <w:szCs w:val="21"/>
        </w:rPr>
        <w:t>投标人</w:t>
      </w:r>
      <w:r>
        <w:rPr>
          <w:rFonts w:ascii="宋体" w:hAnsi="宋体" w:cs="宋体"/>
          <w:szCs w:val="21"/>
        </w:rPr>
        <w:t>注册成立不足三年的，承诺与声明从单位成立始至参加本项目政府采购活动止</w:t>
      </w:r>
      <w:r>
        <w:rPr>
          <w:rFonts w:hint="eastAsia" w:ascii="宋体" w:hAnsi="宋体" w:cs="宋体"/>
          <w:szCs w:val="21"/>
        </w:rPr>
        <w:t>。</w:t>
      </w:r>
    </w:p>
    <w:bookmarkEnd w:id="284"/>
    <w:p>
      <w:pPr>
        <w:rPr>
          <w:rFonts w:hint="eastAsia" w:ascii="宋体" w:hAnsi="宋体" w:cs="宋体"/>
        </w:rPr>
      </w:pPr>
      <w:r>
        <w:rPr>
          <w:rFonts w:hint="eastAsia" w:ascii="宋体" w:hAnsi="宋体" w:cs="宋体"/>
          <w:b/>
          <w:bCs/>
          <w:sz w:val="28"/>
          <w:szCs w:val="28"/>
        </w:rPr>
        <w:br w:type="page"/>
      </w:r>
    </w:p>
    <w:p>
      <w:pPr>
        <w:adjustRightInd w:val="0"/>
        <w:snapToGrid w:val="0"/>
        <w:spacing w:line="360" w:lineRule="auto"/>
        <w:jc w:val="center"/>
        <w:outlineLvl w:val="2"/>
        <w:rPr>
          <w:rFonts w:hint="eastAsia" w:ascii="宋体" w:hAnsi="宋体" w:eastAsia="黑体" w:cs="宋体"/>
          <w:b/>
          <w:bCs/>
          <w:sz w:val="28"/>
          <w:szCs w:val="28"/>
        </w:rPr>
      </w:pPr>
      <w:bookmarkStart w:id="285" w:name="_Toc25485"/>
      <w:r>
        <w:rPr>
          <w:rFonts w:hint="eastAsia" w:ascii="宋体" w:hAnsi="宋体" w:eastAsia="黑体" w:cs="宋体"/>
          <w:b/>
          <w:bCs/>
          <w:sz w:val="28"/>
          <w:szCs w:val="28"/>
        </w:rPr>
        <w:t>三、开标一览表</w:t>
      </w:r>
      <w:bookmarkEnd w:id="285"/>
    </w:p>
    <w:p>
      <w:pPr>
        <w:adjustRightInd w:val="0"/>
        <w:snapToGrid w:val="0"/>
        <w:spacing w:line="360" w:lineRule="auto"/>
        <w:ind w:left="-88" w:leftChars="-42"/>
        <w:jc w:val="center"/>
        <w:rPr>
          <w:rFonts w:hint="eastAsia" w:ascii="宋体" w:hAnsi="宋体" w:cs="宋体"/>
          <w:sz w:val="24"/>
        </w:rPr>
      </w:pPr>
    </w:p>
    <w:p>
      <w:pPr>
        <w:adjustRightInd w:val="0"/>
        <w:snapToGrid w:val="0"/>
        <w:spacing w:line="360" w:lineRule="auto"/>
        <w:rPr>
          <w:rFonts w:hint="eastAsia" w:ascii="宋体" w:hAnsi="宋体" w:cs="宋体"/>
          <w:szCs w:val="21"/>
        </w:rPr>
      </w:pPr>
      <w:r>
        <w:rPr>
          <w:rFonts w:hint="eastAsia" w:ascii="宋体" w:hAnsi="宋体" w:cs="宋体"/>
          <w:szCs w:val="21"/>
        </w:rPr>
        <w:t>采购代理编号：</w:t>
      </w:r>
      <w:r>
        <w:rPr>
          <w:rFonts w:hint="eastAsia" w:ascii="宋体" w:hAnsi="宋体" w:cs="宋体"/>
          <w:szCs w:val="21"/>
          <w:u w:val="single"/>
        </w:rPr>
        <w:t xml:space="preserve">            </w:t>
      </w:r>
      <w:r>
        <w:rPr>
          <w:rFonts w:hint="eastAsia" w:ascii="宋体" w:hAnsi="宋体" w:cs="宋体"/>
          <w:szCs w:val="21"/>
        </w:rPr>
        <w:t xml:space="preserve">                       项目名称：</w:t>
      </w:r>
      <w:r>
        <w:rPr>
          <w:rFonts w:hint="eastAsia" w:ascii="宋体" w:hAnsi="宋体" w:cs="宋体"/>
          <w:szCs w:val="21"/>
          <w:u w:val="single"/>
        </w:rPr>
        <w:t xml:space="preserve">             </w:t>
      </w:r>
      <w:r>
        <w:rPr>
          <w:rFonts w:hint="eastAsia" w:ascii="宋体" w:hAnsi="宋体" w:cs="宋体"/>
          <w:szCs w:val="21"/>
        </w:rPr>
        <w:t xml:space="preserve"> </w:t>
      </w:r>
    </w:p>
    <w:p>
      <w:pPr>
        <w:adjustRightInd w:val="0"/>
        <w:snapToGrid w:val="0"/>
        <w:spacing w:line="360" w:lineRule="auto"/>
        <w:rPr>
          <w:rFonts w:hint="eastAsia" w:ascii="宋体" w:hAnsi="宋体" w:cs="宋体"/>
          <w:b/>
          <w:szCs w:val="21"/>
        </w:rPr>
      </w:pPr>
      <w:r>
        <w:rPr>
          <w:rFonts w:hint="eastAsia" w:ascii="宋体" w:hAnsi="宋体" w:cs="宋体"/>
          <w:szCs w:val="21"/>
        </w:rPr>
        <w:t>包号：</w:t>
      </w:r>
      <w:r>
        <w:rPr>
          <w:rFonts w:hint="eastAsia" w:ascii="宋体" w:hAnsi="宋体" w:cs="宋体"/>
          <w:szCs w:val="21"/>
          <w:u w:val="single"/>
        </w:rPr>
        <w:t xml:space="preserve">              </w:t>
      </w:r>
      <w:r>
        <w:rPr>
          <w:rFonts w:hint="eastAsia" w:ascii="宋体" w:hAnsi="宋体" w:cs="宋体"/>
          <w:szCs w:val="21"/>
        </w:rPr>
        <w:t xml:space="preserve">                               包名称：</w:t>
      </w:r>
      <w:r>
        <w:rPr>
          <w:rFonts w:hint="eastAsia" w:ascii="宋体" w:hAnsi="宋体" w:cs="宋体"/>
          <w:szCs w:val="21"/>
          <w:u w:val="single"/>
        </w:rPr>
        <w:t xml:space="preserve">             </w:t>
      </w:r>
    </w:p>
    <w:tbl>
      <w:tblPr>
        <w:tblStyle w:val="43"/>
        <w:tblW w:w="878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1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670" w:type="dxa"/>
            <w:tcBorders>
              <w:tl2br w:val="nil"/>
              <w:tr2bl w:val="nil"/>
            </w:tcBorders>
            <w:vAlign w:val="center"/>
          </w:tcPr>
          <w:p>
            <w:pPr>
              <w:adjustRightInd w:val="0"/>
              <w:snapToGrid w:val="0"/>
              <w:spacing w:line="360" w:lineRule="auto"/>
              <w:jc w:val="center"/>
              <w:rPr>
                <w:rFonts w:hint="eastAsia" w:ascii="宋体" w:hAnsi="宋体" w:cs="宋体"/>
                <w:b/>
                <w:kern w:val="0"/>
                <w:sz w:val="20"/>
                <w:szCs w:val="21"/>
              </w:rPr>
            </w:pPr>
            <w:r>
              <w:rPr>
                <w:rFonts w:hint="eastAsia" w:ascii="宋体" w:hAnsi="宋体" w:cs="宋体"/>
                <w:b/>
                <w:kern w:val="0"/>
                <w:szCs w:val="21"/>
              </w:rPr>
              <w:t>投标报价</w:t>
            </w:r>
          </w:p>
        </w:tc>
        <w:tc>
          <w:tcPr>
            <w:tcW w:w="3119" w:type="dxa"/>
            <w:tcBorders>
              <w:tl2br w:val="nil"/>
              <w:tr2bl w:val="nil"/>
            </w:tcBorders>
            <w:vAlign w:val="center"/>
          </w:tcPr>
          <w:p>
            <w:pPr>
              <w:adjustRightInd w:val="0"/>
              <w:snapToGrid w:val="0"/>
              <w:spacing w:line="360" w:lineRule="auto"/>
              <w:jc w:val="center"/>
              <w:rPr>
                <w:rFonts w:hint="eastAsia" w:ascii="宋体" w:hAnsi="宋体" w:cs="宋体"/>
                <w:b/>
                <w:kern w:val="0"/>
                <w:szCs w:val="21"/>
              </w:rPr>
            </w:pPr>
            <w:r>
              <w:rPr>
                <w:rFonts w:hint="eastAsia" w:ascii="宋体" w:hAnsi="宋体" w:cs="宋体"/>
                <w:b/>
                <w:kern w:val="0"/>
                <w:szCs w:val="21"/>
              </w:rPr>
              <w:t>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670" w:type="dxa"/>
            <w:tcBorders>
              <w:tl2br w:val="nil"/>
              <w:tr2bl w:val="nil"/>
            </w:tcBorders>
            <w:vAlign w:val="center"/>
          </w:tcPr>
          <w:p>
            <w:pPr>
              <w:adjustRightInd w:val="0"/>
              <w:snapToGrid w:val="0"/>
              <w:spacing w:line="360" w:lineRule="auto"/>
              <w:jc w:val="center"/>
              <w:rPr>
                <w:rFonts w:hint="eastAsia" w:ascii="宋体" w:hAnsi="宋体" w:cs="宋体"/>
                <w:kern w:val="0"/>
                <w:sz w:val="20"/>
                <w:szCs w:val="21"/>
              </w:rPr>
            </w:pPr>
          </w:p>
        </w:tc>
        <w:tc>
          <w:tcPr>
            <w:tcW w:w="3119" w:type="dxa"/>
            <w:tcBorders>
              <w:tl2br w:val="nil"/>
              <w:tr2bl w:val="nil"/>
            </w:tcBorders>
            <w:vAlign w:val="center"/>
          </w:tcPr>
          <w:p>
            <w:pPr>
              <w:adjustRightInd w:val="0"/>
              <w:snapToGrid w:val="0"/>
              <w:spacing w:line="360" w:lineRule="auto"/>
              <w:jc w:val="center"/>
              <w:rPr>
                <w:rFonts w:hint="eastAsia" w:ascii="宋体" w:hAnsi="宋体" w:cs="宋体"/>
                <w:kern w:val="0"/>
                <w:szCs w:val="21"/>
              </w:rPr>
            </w:pPr>
          </w:p>
        </w:tc>
      </w:tr>
    </w:tbl>
    <w:p>
      <w:pPr>
        <w:adjustRightInd w:val="0"/>
        <w:snapToGrid w:val="0"/>
        <w:spacing w:line="360" w:lineRule="auto"/>
        <w:rPr>
          <w:rFonts w:hint="eastAsia" w:ascii="宋体" w:hAnsi="宋体" w:cs="宋体"/>
          <w:szCs w:val="21"/>
        </w:rPr>
      </w:pPr>
      <w:r>
        <w:rPr>
          <w:rFonts w:hint="eastAsia" w:ascii="宋体" w:hAnsi="宋体" w:cs="宋体"/>
          <w:b/>
          <w:szCs w:val="21"/>
        </w:rPr>
        <w:t>备注：</w:t>
      </w:r>
      <w:r>
        <w:rPr>
          <w:rFonts w:hint="eastAsia" w:ascii="宋体" w:hAnsi="宋体" w:cs="宋体"/>
          <w:szCs w:val="21"/>
        </w:rPr>
        <w:t>（1）本表须按包填写，一个“包号”一份。</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（2）投标人提交两份及以上投标报价不同的“开标一览表”，且未书面说明哪个有效或以哪个为准的，其</w:t>
      </w:r>
      <w:r>
        <w:rPr>
          <w:rFonts w:hint="eastAsia" w:ascii="宋体" w:hAnsi="宋体" w:cs="宋体"/>
          <w:b/>
          <w:szCs w:val="21"/>
        </w:rPr>
        <w:t>投标无效</w:t>
      </w:r>
      <w:r>
        <w:rPr>
          <w:rFonts w:hint="eastAsia" w:ascii="宋体" w:hAnsi="宋体" w:cs="宋体"/>
          <w:szCs w:val="21"/>
        </w:rPr>
        <w:t>。</w:t>
      </w:r>
    </w:p>
    <w:p>
      <w:pPr>
        <w:adjustRightInd w:val="0"/>
        <w:snapToGrid w:val="0"/>
        <w:spacing w:line="360" w:lineRule="auto"/>
        <w:ind w:firstLine="420" w:firstLineChars="200"/>
        <w:rPr>
          <w:rFonts w:hint="eastAsia" w:ascii="宋体" w:hAnsi="宋体" w:cs="宋体"/>
          <w:szCs w:val="21"/>
        </w:rPr>
      </w:pPr>
    </w:p>
    <w:p>
      <w:pPr>
        <w:adjustRightInd w:val="0"/>
        <w:snapToGrid w:val="0"/>
        <w:spacing w:line="360" w:lineRule="auto"/>
        <w:ind w:firstLine="420" w:firstLineChars="200"/>
        <w:rPr>
          <w:rFonts w:hint="eastAsia" w:ascii="宋体" w:hAnsi="宋体" w:cs="宋体"/>
          <w:szCs w:val="21"/>
        </w:rPr>
      </w:pPr>
    </w:p>
    <w:p>
      <w:pPr>
        <w:adjustRightInd w:val="0"/>
        <w:snapToGrid w:val="0"/>
        <w:spacing w:line="360" w:lineRule="auto"/>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投标人名称（盖单位章）：</w:t>
      </w:r>
    </w:p>
    <w:p>
      <w:pPr>
        <w:adjustRightInd w:val="0"/>
        <w:snapToGrid w:val="0"/>
        <w:spacing w:line="360" w:lineRule="auto"/>
        <w:rPr>
          <w:rFonts w:hint="eastAsia" w:ascii="宋体" w:hAnsi="宋体" w:cs="宋体"/>
          <w:szCs w:val="21"/>
        </w:rPr>
      </w:pP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szCs w:val="21"/>
        </w:rPr>
        <w:t>或其授权的代理人（签字或印章）：</w:t>
      </w:r>
    </w:p>
    <w:p>
      <w:pPr>
        <w:adjustRightInd w:val="0"/>
        <w:snapToGrid w:val="0"/>
        <w:spacing w:line="360" w:lineRule="auto"/>
        <w:rPr>
          <w:rFonts w:hint="eastAsia" w:ascii="宋体" w:hAnsi="宋体" w:cs="宋体"/>
          <w:szCs w:val="21"/>
        </w:rPr>
      </w:pPr>
      <w:r>
        <w:rPr>
          <w:rFonts w:hint="eastAsia" w:ascii="宋体" w:hAnsi="宋体"/>
          <w:szCs w:val="22"/>
          <w:lang w:bidi="ar"/>
        </w:rPr>
        <w:t>日期：   年   月   日</w:t>
      </w:r>
    </w:p>
    <w:p>
      <w:pPr>
        <w:rPr>
          <w:rFonts w:hint="eastAsia" w:ascii="宋体" w:hAnsi="宋体" w:cs="宋体"/>
          <w:sz w:val="28"/>
          <w:szCs w:val="28"/>
        </w:rPr>
      </w:pPr>
      <w:r>
        <w:rPr>
          <w:rFonts w:hint="eastAsia" w:ascii="宋体" w:hAnsi="宋体" w:cs="宋体"/>
          <w:sz w:val="28"/>
          <w:szCs w:val="28"/>
        </w:rPr>
        <w:br w:type="page"/>
      </w:r>
    </w:p>
    <w:p>
      <w:pPr>
        <w:adjustRightInd w:val="0"/>
        <w:snapToGrid w:val="0"/>
        <w:spacing w:line="360" w:lineRule="auto"/>
        <w:jc w:val="center"/>
        <w:outlineLvl w:val="2"/>
        <w:rPr>
          <w:rFonts w:hint="eastAsia" w:ascii="宋体" w:hAnsi="宋体" w:eastAsia="黑体" w:cs="宋体"/>
          <w:b/>
          <w:bCs/>
          <w:sz w:val="28"/>
          <w:szCs w:val="28"/>
        </w:rPr>
      </w:pPr>
      <w:bookmarkStart w:id="286" w:name="OLE_LINK214"/>
      <w:bookmarkStart w:id="287" w:name="OLE_LINK146"/>
      <w:bookmarkStart w:id="288" w:name="_Toc27532"/>
      <w:r>
        <w:rPr>
          <w:rFonts w:hint="eastAsia" w:ascii="宋体" w:hAnsi="宋体" w:eastAsia="黑体" w:cs="宋体"/>
          <w:b/>
          <w:bCs/>
          <w:sz w:val="28"/>
          <w:szCs w:val="28"/>
        </w:rPr>
        <w:t>四、分项价格表</w:t>
      </w:r>
    </w:p>
    <w:p>
      <w:pPr>
        <w:adjustRightInd w:val="0"/>
        <w:snapToGrid w:val="0"/>
        <w:spacing w:line="360" w:lineRule="auto"/>
        <w:ind w:left="-88" w:leftChars="-42"/>
        <w:jc w:val="center"/>
        <w:rPr>
          <w:rFonts w:hint="eastAsia" w:ascii="宋体" w:hAnsi="宋体" w:cs="宋体"/>
          <w:sz w:val="24"/>
        </w:rPr>
      </w:pPr>
    </w:p>
    <w:p>
      <w:pPr>
        <w:adjustRightInd w:val="0"/>
        <w:snapToGrid w:val="0"/>
        <w:spacing w:line="360" w:lineRule="auto"/>
        <w:rPr>
          <w:rFonts w:hint="eastAsia" w:ascii="宋体" w:hAnsi="宋体" w:cs="宋体"/>
          <w:szCs w:val="21"/>
        </w:rPr>
      </w:pPr>
      <w:r>
        <w:rPr>
          <w:rFonts w:hint="eastAsia" w:ascii="宋体" w:hAnsi="宋体" w:cs="宋体"/>
          <w:szCs w:val="21"/>
        </w:rPr>
        <w:t>采购代理编号：</w:t>
      </w:r>
      <w:r>
        <w:rPr>
          <w:rFonts w:hint="eastAsia" w:ascii="宋体" w:hAnsi="宋体" w:cs="宋体"/>
          <w:szCs w:val="21"/>
          <w:u w:val="single"/>
        </w:rPr>
        <w:t xml:space="preserve">            </w:t>
      </w:r>
      <w:r>
        <w:rPr>
          <w:rFonts w:hint="eastAsia" w:ascii="宋体" w:hAnsi="宋体" w:cs="宋体"/>
          <w:szCs w:val="21"/>
        </w:rPr>
        <w:t xml:space="preserve">                       项目名称：</w:t>
      </w:r>
      <w:r>
        <w:rPr>
          <w:rFonts w:hint="eastAsia" w:ascii="宋体" w:hAnsi="宋体" w:cs="宋体"/>
          <w:szCs w:val="21"/>
          <w:u w:val="single"/>
        </w:rPr>
        <w:t xml:space="preserve">             </w:t>
      </w:r>
      <w:r>
        <w:rPr>
          <w:rFonts w:hint="eastAsia" w:ascii="宋体" w:hAnsi="宋体" w:cs="宋体"/>
          <w:szCs w:val="21"/>
        </w:rPr>
        <w:t xml:space="preserve"> </w:t>
      </w:r>
    </w:p>
    <w:p>
      <w:pPr>
        <w:adjustRightInd w:val="0"/>
        <w:snapToGrid w:val="0"/>
        <w:spacing w:line="360" w:lineRule="auto"/>
        <w:rPr>
          <w:rFonts w:hint="eastAsia" w:ascii="宋体" w:hAnsi="宋体" w:cs="宋体"/>
          <w:szCs w:val="21"/>
        </w:rPr>
      </w:pPr>
      <w:r>
        <w:rPr>
          <w:rFonts w:hint="eastAsia" w:ascii="宋体" w:hAnsi="宋体" w:cs="宋体"/>
          <w:szCs w:val="21"/>
        </w:rPr>
        <w:t>包号：</w:t>
      </w:r>
      <w:r>
        <w:rPr>
          <w:rFonts w:hint="eastAsia" w:ascii="宋体" w:hAnsi="宋体" w:cs="宋体"/>
          <w:szCs w:val="21"/>
          <w:u w:val="single"/>
        </w:rPr>
        <w:t xml:space="preserve">              </w:t>
      </w:r>
      <w:r>
        <w:rPr>
          <w:rFonts w:hint="eastAsia" w:ascii="宋体" w:hAnsi="宋体" w:cs="宋体"/>
          <w:szCs w:val="21"/>
        </w:rPr>
        <w:t xml:space="preserve">                               包名称：</w:t>
      </w:r>
      <w:r>
        <w:rPr>
          <w:rFonts w:hint="eastAsia" w:ascii="宋体" w:hAnsi="宋体" w:cs="宋体"/>
          <w:szCs w:val="21"/>
          <w:u w:val="single"/>
        </w:rPr>
        <w:t xml:space="preserve">             </w:t>
      </w:r>
      <w:r>
        <w:rPr>
          <w:rFonts w:hint="eastAsia" w:ascii="宋体" w:hAnsi="宋体" w:cs="宋体"/>
          <w:szCs w:val="21"/>
        </w:rPr>
        <w:t xml:space="preserve">                                         </w:t>
      </w:r>
    </w:p>
    <w:tbl>
      <w:tblPr>
        <w:tblStyle w:val="42"/>
        <w:tblpPr w:leftFromText="180" w:rightFromText="180" w:vertAnchor="text" w:horzAnchor="page" w:tblpX="1171" w:tblpY="399"/>
        <w:tblOverlap w:val="never"/>
        <w:tblW w:w="10154"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16"/>
        <w:gridCol w:w="667"/>
        <w:gridCol w:w="771"/>
        <w:gridCol w:w="714"/>
        <w:gridCol w:w="1024"/>
        <w:gridCol w:w="1048"/>
        <w:gridCol w:w="707"/>
        <w:gridCol w:w="674"/>
        <w:gridCol w:w="857"/>
        <w:gridCol w:w="1096"/>
        <w:gridCol w:w="1080"/>
        <w:gridCol w:w="80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6" w:hRule="atLeast"/>
        </w:trPr>
        <w:tc>
          <w:tcPr>
            <w:tcW w:w="716"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序号</w:t>
            </w:r>
          </w:p>
        </w:tc>
        <w:tc>
          <w:tcPr>
            <w:tcW w:w="667"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货物</w:t>
            </w:r>
            <w:r>
              <w:rPr>
                <w:rFonts w:hint="eastAsia" w:ascii="宋体" w:hAnsi="宋体" w:cs="宋体"/>
                <w:szCs w:val="21"/>
              </w:rPr>
              <w:t>（服务）</w:t>
            </w:r>
            <w:r>
              <w:rPr>
                <w:rFonts w:ascii="宋体" w:hAnsi="宋体" w:cs="宋体"/>
                <w:szCs w:val="21"/>
              </w:rPr>
              <w:t>名称</w:t>
            </w:r>
          </w:p>
        </w:tc>
        <w:tc>
          <w:tcPr>
            <w:tcW w:w="771"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商品编码</w:t>
            </w:r>
          </w:p>
        </w:tc>
        <w:tc>
          <w:tcPr>
            <w:tcW w:w="714"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品牌</w:t>
            </w:r>
          </w:p>
        </w:tc>
        <w:tc>
          <w:tcPr>
            <w:tcW w:w="1024" w:type="dxa"/>
            <w:tcBorders>
              <w:tl2br w:val="nil"/>
              <w:tr2bl w:val="nil"/>
            </w:tcBorders>
            <w:tcMar>
              <w:top w:w="0" w:type="dxa"/>
              <w:left w:w="0" w:type="dxa"/>
              <w:bottom w:w="0" w:type="dxa"/>
              <w:right w:w="0" w:type="dxa"/>
            </w:tcMar>
            <w:vAlign w:val="center"/>
          </w:tcPr>
          <w:p>
            <w:pPr>
              <w:spacing w:line="360" w:lineRule="auto"/>
              <w:jc w:val="center"/>
            </w:pPr>
            <w:r>
              <w:rPr>
                <w:rFonts w:hint="eastAsia" w:ascii="宋体" w:hAnsi="宋体" w:cs="宋体"/>
                <w:szCs w:val="21"/>
              </w:rPr>
              <w:t>参数（型号、规格及参数说明）</w:t>
            </w:r>
          </w:p>
        </w:tc>
        <w:tc>
          <w:tcPr>
            <w:tcW w:w="1048" w:type="dxa"/>
            <w:tcBorders>
              <w:tl2br w:val="nil"/>
              <w:tr2bl w:val="nil"/>
            </w:tcBorders>
            <w:vAlign w:val="center"/>
          </w:tcPr>
          <w:p>
            <w:pPr>
              <w:spacing w:line="360" w:lineRule="auto"/>
              <w:jc w:val="center"/>
              <w:rPr>
                <w:rFonts w:hint="eastAsia" w:ascii="宋体" w:hAnsi="宋体" w:cs="宋体"/>
                <w:szCs w:val="21"/>
              </w:rPr>
            </w:pPr>
            <w:r>
              <w:rPr>
                <w:rFonts w:hint="eastAsia" w:ascii="宋体" w:hAnsi="宋体" w:cs="宋体"/>
                <w:szCs w:val="21"/>
              </w:rPr>
              <w:t>制造厂商名称</w:t>
            </w:r>
          </w:p>
        </w:tc>
        <w:tc>
          <w:tcPr>
            <w:tcW w:w="707"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中小企业</w:t>
            </w:r>
          </w:p>
        </w:tc>
        <w:tc>
          <w:tcPr>
            <w:tcW w:w="674"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单价</w:t>
            </w:r>
          </w:p>
        </w:tc>
        <w:tc>
          <w:tcPr>
            <w:tcW w:w="857"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数量</w:t>
            </w:r>
          </w:p>
        </w:tc>
        <w:tc>
          <w:tcPr>
            <w:tcW w:w="1096"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合计</w:t>
            </w:r>
            <w:r>
              <w:rPr>
                <w:rFonts w:hint="eastAsia" w:ascii="宋体" w:hAnsi="宋体" w:cs="宋体"/>
                <w:szCs w:val="21"/>
              </w:rPr>
              <w:t>(报价)</w:t>
            </w:r>
          </w:p>
        </w:tc>
        <w:tc>
          <w:tcPr>
            <w:tcW w:w="1080"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政策功能编码</w:t>
            </w:r>
          </w:p>
        </w:tc>
        <w:tc>
          <w:tcPr>
            <w:tcW w:w="800"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16" w:type="dxa"/>
            <w:tcBorders>
              <w:tl2br w:val="nil"/>
              <w:tr2bl w:val="nil"/>
            </w:tcBorders>
            <w:tcMar>
              <w:top w:w="0" w:type="dxa"/>
              <w:left w:w="0" w:type="dxa"/>
              <w:bottom w:w="0" w:type="dxa"/>
              <w:right w:w="0" w:type="dxa"/>
            </w:tcMar>
            <w:vAlign w:val="center"/>
          </w:tcPr>
          <w:p>
            <w:pPr>
              <w:spacing w:line="360" w:lineRule="auto"/>
              <w:jc w:val="center"/>
            </w:pPr>
          </w:p>
        </w:tc>
        <w:tc>
          <w:tcPr>
            <w:tcW w:w="667" w:type="dxa"/>
            <w:tcBorders>
              <w:tl2br w:val="nil"/>
              <w:tr2bl w:val="nil"/>
            </w:tcBorders>
            <w:tcMar>
              <w:top w:w="0" w:type="dxa"/>
              <w:left w:w="0" w:type="dxa"/>
              <w:bottom w:w="0" w:type="dxa"/>
              <w:right w:w="0" w:type="dxa"/>
            </w:tcMar>
            <w:vAlign w:val="center"/>
          </w:tcPr>
          <w:p>
            <w:pPr>
              <w:spacing w:line="360" w:lineRule="auto"/>
              <w:jc w:val="center"/>
            </w:pPr>
          </w:p>
        </w:tc>
        <w:tc>
          <w:tcPr>
            <w:tcW w:w="771" w:type="dxa"/>
            <w:tcBorders>
              <w:tl2br w:val="nil"/>
              <w:tr2bl w:val="nil"/>
            </w:tcBorders>
            <w:tcMar>
              <w:top w:w="0" w:type="dxa"/>
              <w:left w:w="0" w:type="dxa"/>
              <w:bottom w:w="0" w:type="dxa"/>
              <w:right w:w="0" w:type="dxa"/>
            </w:tcMar>
            <w:vAlign w:val="center"/>
          </w:tcPr>
          <w:p>
            <w:pPr>
              <w:spacing w:line="360" w:lineRule="auto"/>
              <w:jc w:val="center"/>
            </w:pPr>
          </w:p>
        </w:tc>
        <w:tc>
          <w:tcPr>
            <w:tcW w:w="714" w:type="dxa"/>
            <w:tcBorders>
              <w:tl2br w:val="nil"/>
              <w:tr2bl w:val="nil"/>
            </w:tcBorders>
            <w:tcMar>
              <w:top w:w="0" w:type="dxa"/>
              <w:left w:w="0" w:type="dxa"/>
              <w:bottom w:w="0" w:type="dxa"/>
              <w:right w:w="0" w:type="dxa"/>
            </w:tcMar>
            <w:vAlign w:val="center"/>
          </w:tcPr>
          <w:p>
            <w:pPr>
              <w:spacing w:line="360" w:lineRule="auto"/>
              <w:jc w:val="center"/>
            </w:pPr>
          </w:p>
        </w:tc>
        <w:tc>
          <w:tcPr>
            <w:tcW w:w="1024" w:type="dxa"/>
            <w:tcBorders>
              <w:tl2br w:val="nil"/>
              <w:tr2bl w:val="nil"/>
            </w:tcBorders>
            <w:tcMar>
              <w:top w:w="0" w:type="dxa"/>
              <w:left w:w="0" w:type="dxa"/>
              <w:bottom w:w="0" w:type="dxa"/>
              <w:right w:w="0" w:type="dxa"/>
            </w:tcMar>
            <w:vAlign w:val="center"/>
          </w:tcPr>
          <w:p>
            <w:pPr>
              <w:spacing w:line="360" w:lineRule="auto"/>
              <w:jc w:val="center"/>
            </w:pPr>
          </w:p>
        </w:tc>
        <w:tc>
          <w:tcPr>
            <w:tcW w:w="1048" w:type="dxa"/>
            <w:tcBorders>
              <w:tl2br w:val="nil"/>
              <w:tr2bl w:val="nil"/>
            </w:tcBorders>
            <w:vAlign w:val="center"/>
          </w:tcPr>
          <w:p>
            <w:pPr>
              <w:spacing w:line="360" w:lineRule="auto"/>
              <w:jc w:val="center"/>
              <w:rPr>
                <w:szCs w:val="21"/>
              </w:rPr>
            </w:pPr>
          </w:p>
        </w:tc>
        <w:tc>
          <w:tcPr>
            <w:tcW w:w="707" w:type="dxa"/>
            <w:tcBorders>
              <w:tl2br w:val="nil"/>
              <w:tr2bl w:val="nil"/>
            </w:tcBorders>
            <w:tcMar>
              <w:top w:w="0" w:type="dxa"/>
              <w:left w:w="0" w:type="dxa"/>
              <w:bottom w:w="0" w:type="dxa"/>
              <w:right w:w="0" w:type="dxa"/>
            </w:tcMar>
            <w:vAlign w:val="center"/>
          </w:tcPr>
          <w:p>
            <w:pPr>
              <w:spacing w:line="360" w:lineRule="auto"/>
              <w:jc w:val="center"/>
            </w:pPr>
          </w:p>
        </w:tc>
        <w:tc>
          <w:tcPr>
            <w:tcW w:w="674" w:type="dxa"/>
            <w:tcBorders>
              <w:tl2br w:val="nil"/>
              <w:tr2bl w:val="nil"/>
            </w:tcBorders>
            <w:tcMar>
              <w:top w:w="0" w:type="dxa"/>
              <w:left w:w="0" w:type="dxa"/>
              <w:bottom w:w="0" w:type="dxa"/>
              <w:right w:w="0" w:type="dxa"/>
            </w:tcMar>
            <w:vAlign w:val="center"/>
          </w:tcPr>
          <w:p>
            <w:pPr>
              <w:spacing w:line="360" w:lineRule="auto"/>
              <w:jc w:val="center"/>
            </w:pPr>
          </w:p>
        </w:tc>
        <w:tc>
          <w:tcPr>
            <w:tcW w:w="857" w:type="dxa"/>
            <w:tcBorders>
              <w:tl2br w:val="nil"/>
              <w:tr2bl w:val="nil"/>
            </w:tcBorders>
            <w:tcMar>
              <w:top w:w="0" w:type="dxa"/>
              <w:left w:w="0" w:type="dxa"/>
              <w:bottom w:w="0" w:type="dxa"/>
              <w:right w:w="0" w:type="dxa"/>
            </w:tcMar>
            <w:vAlign w:val="center"/>
          </w:tcPr>
          <w:p>
            <w:pPr>
              <w:spacing w:line="360" w:lineRule="auto"/>
              <w:jc w:val="center"/>
            </w:pPr>
          </w:p>
        </w:tc>
        <w:tc>
          <w:tcPr>
            <w:tcW w:w="1096" w:type="dxa"/>
            <w:tcBorders>
              <w:tl2br w:val="nil"/>
              <w:tr2bl w:val="nil"/>
            </w:tcBorders>
            <w:tcMar>
              <w:top w:w="0" w:type="dxa"/>
              <w:left w:w="0" w:type="dxa"/>
              <w:bottom w:w="0" w:type="dxa"/>
              <w:right w:w="0" w:type="dxa"/>
            </w:tcMar>
            <w:vAlign w:val="center"/>
          </w:tcPr>
          <w:p>
            <w:pPr>
              <w:spacing w:line="360" w:lineRule="auto"/>
              <w:jc w:val="center"/>
            </w:pPr>
          </w:p>
        </w:tc>
        <w:tc>
          <w:tcPr>
            <w:tcW w:w="1080" w:type="dxa"/>
            <w:tcBorders>
              <w:tl2br w:val="nil"/>
              <w:tr2bl w:val="nil"/>
            </w:tcBorders>
            <w:tcMar>
              <w:top w:w="0" w:type="dxa"/>
              <w:left w:w="0" w:type="dxa"/>
              <w:bottom w:w="0" w:type="dxa"/>
              <w:right w:w="0" w:type="dxa"/>
            </w:tcMar>
            <w:vAlign w:val="center"/>
          </w:tcPr>
          <w:p>
            <w:pPr>
              <w:spacing w:line="360" w:lineRule="auto"/>
              <w:jc w:val="center"/>
            </w:pPr>
          </w:p>
        </w:tc>
        <w:tc>
          <w:tcPr>
            <w:tcW w:w="800" w:type="dxa"/>
            <w:tcBorders>
              <w:tl2br w:val="nil"/>
              <w:tr2bl w:val="nil"/>
            </w:tcBorders>
            <w:tcMar>
              <w:top w:w="0" w:type="dxa"/>
              <w:left w:w="0" w:type="dxa"/>
              <w:bottom w:w="0" w:type="dxa"/>
              <w:right w:w="0" w:type="dxa"/>
            </w:tcMar>
            <w:vAlign w:val="center"/>
          </w:tcPr>
          <w:p>
            <w:pPr>
              <w:spacing w:line="360" w:lineRule="auto"/>
              <w:jc w:val="cente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73" w:hRule="atLeast"/>
        </w:trPr>
        <w:tc>
          <w:tcPr>
            <w:tcW w:w="716" w:type="dxa"/>
            <w:tcBorders>
              <w:tl2br w:val="nil"/>
              <w:tr2bl w:val="nil"/>
            </w:tcBorders>
            <w:tcMar>
              <w:top w:w="0" w:type="dxa"/>
              <w:left w:w="0" w:type="dxa"/>
              <w:bottom w:w="0" w:type="dxa"/>
              <w:right w:w="0" w:type="dxa"/>
            </w:tcMar>
            <w:vAlign w:val="center"/>
          </w:tcPr>
          <w:p>
            <w:pPr>
              <w:spacing w:line="360" w:lineRule="auto"/>
              <w:jc w:val="center"/>
            </w:pPr>
          </w:p>
        </w:tc>
        <w:tc>
          <w:tcPr>
            <w:tcW w:w="667" w:type="dxa"/>
            <w:tcBorders>
              <w:tl2br w:val="nil"/>
              <w:tr2bl w:val="nil"/>
            </w:tcBorders>
            <w:tcMar>
              <w:top w:w="0" w:type="dxa"/>
              <w:left w:w="0" w:type="dxa"/>
              <w:bottom w:w="0" w:type="dxa"/>
              <w:right w:w="0" w:type="dxa"/>
            </w:tcMar>
            <w:vAlign w:val="center"/>
          </w:tcPr>
          <w:p>
            <w:pPr>
              <w:spacing w:line="360" w:lineRule="auto"/>
              <w:jc w:val="center"/>
            </w:pPr>
          </w:p>
        </w:tc>
        <w:tc>
          <w:tcPr>
            <w:tcW w:w="771" w:type="dxa"/>
            <w:tcBorders>
              <w:tl2br w:val="nil"/>
              <w:tr2bl w:val="nil"/>
            </w:tcBorders>
            <w:tcMar>
              <w:top w:w="0" w:type="dxa"/>
              <w:left w:w="0" w:type="dxa"/>
              <w:bottom w:w="0" w:type="dxa"/>
              <w:right w:w="0" w:type="dxa"/>
            </w:tcMar>
            <w:vAlign w:val="center"/>
          </w:tcPr>
          <w:p>
            <w:pPr>
              <w:spacing w:line="360" w:lineRule="auto"/>
              <w:jc w:val="center"/>
            </w:pPr>
          </w:p>
        </w:tc>
        <w:tc>
          <w:tcPr>
            <w:tcW w:w="714" w:type="dxa"/>
            <w:tcBorders>
              <w:tl2br w:val="nil"/>
              <w:tr2bl w:val="nil"/>
            </w:tcBorders>
            <w:tcMar>
              <w:top w:w="0" w:type="dxa"/>
              <w:left w:w="0" w:type="dxa"/>
              <w:bottom w:w="0" w:type="dxa"/>
              <w:right w:w="0" w:type="dxa"/>
            </w:tcMar>
            <w:vAlign w:val="center"/>
          </w:tcPr>
          <w:p>
            <w:pPr>
              <w:spacing w:line="360" w:lineRule="auto"/>
              <w:jc w:val="center"/>
            </w:pPr>
          </w:p>
        </w:tc>
        <w:tc>
          <w:tcPr>
            <w:tcW w:w="1024" w:type="dxa"/>
            <w:tcBorders>
              <w:tl2br w:val="nil"/>
              <w:tr2bl w:val="nil"/>
            </w:tcBorders>
            <w:tcMar>
              <w:top w:w="0" w:type="dxa"/>
              <w:left w:w="0" w:type="dxa"/>
              <w:bottom w:w="0" w:type="dxa"/>
              <w:right w:w="0" w:type="dxa"/>
            </w:tcMar>
            <w:vAlign w:val="center"/>
          </w:tcPr>
          <w:p>
            <w:pPr>
              <w:spacing w:line="360" w:lineRule="auto"/>
              <w:jc w:val="center"/>
            </w:pPr>
          </w:p>
        </w:tc>
        <w:tc>
          <w:tcPr>
            <w:tcW w:w="1048" w:type="dxa"/>
            <w:tcBorders>
              <w:tl2br w:val="nil"/>
              <w:tr2bl w:val="nil"/>
            </w:tcBorders>
            <w:vAlign w:val="center"/>
          </w:tcPr>
          <w:p>
            <w:pPr>
              <w:spacing w:line="360" w:lineRule="auto"/>
              <w:jc w:val="center"/>
              <w:rPr>
                <w:szCs w:val="21"/>
              </w:rPr>
            </w:pPr>
          </w:p>
        </w:tc>
        <w:tc>
          <w:tcPr>
            <w:tcW w:w="707" w:type="dxa"/>
            <w:tcBorders>
              <w:tl2br w:val="nil"/>
              <w:tr2bl w:val="nil"/>
            </w:tcBorders>
            <w:tcMar>
              <w:top w:w="0" w:type="dxa"/>
              <w:left w:w="0" w:type="dxa"/>
              <w:bottom w:w="0" w:type="dxa"/>
              <w:right w:w="0" w:type="dxa"/>
            </w:tcMar>
            <w:vAlign w:val="center"/>
          </w:tcPr>
          <w:p>
            <w:pPr>
              <w:spacing w:line="360" w:lineRule="auto"/>
              <w:jc w:val="center"/>
            </w:pPr>
          </w:p>
        </w:tc>
        <w:tc>
          <w:tcPr>
            <w:tcW w:w="674" w:type="dxa"/>
            <w:tcBorders>
              <w:tl2br w:val="nil"/>
              <w:tr2bl w:val="nil"/>
            </w:tcBorders>
            <w:tcMar>
              <w:top w:w="0" w:type="dxa"/>
              <w:left w:w="0" w:type="dxa"/>
              <w:bottom w:w="0" w:type="dxa"/>
              <w:right w:w="0" w:type="dxa"/>
            </w:tcMar>
            <w:vAlign w:val="center"/>
          </w:tcPr>
          <w:p>
            <w:pPr>
              <w:spacing w:line="360" w:lineRule="auto"/>
              <w:jc w:val="center"/>
            </w:pPr>
          </w:p>
        </w:tc>
        <w:tc>
          <w:tcPr>
            <w:tcW w:w="857" w:type="dxa"/>
            <w:tcBorders>
              <w:tl2br w:val="nil"/>
              <w:tr2bl w:val="nil"/>
            </w:tcBorders>
            <w:tcMar>
              <w:top w:w="0" w:type="dxa"/>
              <w:left w:w="0" w:type="dxa"/>
              <w:bottom w:w="0" w:type="dxa"/>
              <w:right w:w="0" w:type="dxa"/>
            </w:tcMar>
            <w:vAlign w:val="center"/>
          </w:tcPr>
          <w:p>
            <w:pPr>
              <w:spacing w:line="360" w:lineRule="auto"/>
              <w:jc w:val="center"/>
            </w:pPr>
          </w:p>
        </w:tc>
        <w:tc>
          <w:tcPr>
            <w:tcW w:w="1096" w:type="dxa"/>
            <w:tcBorders>
              <w:tl2br w:val="nil"/>
              <w:tr2bl w:val="nil"/>
            </w:tcBorders>
            <w:tcMar>
              <w:top w:w="0" w:type="dxa"/>
              <w:left w:w="0" w:type="dxa"/>
              <w:bottom w:w="0" w:type="dxa"/>
              <w:right w:w="0" w:type="dxa"/>
            </w:tcMar>
            <w:vAlign w:val="center"/>
          </w:tcPr>
          <w:p>
            <w:pPr>
              <w:spacing w:line="360" w:lineRule="auto"/>
              <w:jc w:val="center"/>
            </w:pPr>
          </w:p>
        </w:tc>
        <w:tc>
          <w:tcPr>
            <w:tcW w:w="1080" w:type="dxa"/>
            <w:tcBorders>
              <w:tl2br w:val="nil"/>
              <w:tr2bl w:val="nil"/>
            </w:tcBorders>
            <w:tcMar>
              <w:top w:w="0" w:type="dxa"/>
              <w:left w:w="0" w:type="dxa"/>
              <w:bottom w:w="0" w:type="dxa"/>
              <w:right w:w="0" w:type="dxa"/>
            </w:tcMar>
            <w:vAlign w:val="center"/>
          </w:tcPr>
          <w:p>
            <w:pPr>
              <w:spacing w:line="360" w:lineRule="auto"/>
              <w:jc w:val="center"/>
            </w:pPr>
          </w:p>
        </w:tc>
        <w:tc>
          <w:tcPr>
            <w:tcW w:w="800" w:type="dxa"/>
            <w:tcBorders>
              <w:tl2br w:val="nil"/>
              <w:tr2bl w:val="nil"/>
            </w:tcBorders>
            <w:tcMar>
              <w:top w:w="0" w:type="dxa"/>
              <w:left w:w="0" w:type="dxa"/>
              <w:bottom w:w="0" w:type="dxa"/>
              <w:right w:w="0" w:type="dxa"/>
            </w:tcMar>
            <w:vAlign w:val="center"/>
          </w:tcPr>
          <w:p>
            <w:pPr>
              <w:spacing w:line="360" w:lineRule="auto"/>
              <w:jc w:val="cente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73" w:hRule="atLeast"/>
        </w:trPr>
        <w:tc>
          <w:tcPr>
            <w:tcW w:w="716" w:type="dxa"/>
            <w:tcBorders>
              <w:tl2br w:val="nil"/>
              <w:tr2bl w:val="nil"/>
            </w:tcBorders>
            <w:tcMar>
              <w:top w:w="0" w:type="dxa"/>
              <w:left w:w="0" w:type="dxa"/>
              <w:bottom w:w="0" w:type="dxa"/>
              <w:right w:w="0" w:type="dxa"/>
            </w:tcMar>
            <w:vAlign w:val="center"/>
          </w:tcPr>
          <w:p>
            <w:pPr>
              <w:spacing w:line="360" w:lineRule="auto"/>
              <w:jc w:val="center"/>
            </w:pPr>
          </w:p>
        </w:tc>
        <w:tc>
          <w:tcPr>
            <w:tcW w:w="667" w:type="dxa"/>
            <w:tcBorders>
              <w:tl2br w:val="nil"/>
              <w:tr2bl w:val="nil"/>
            </w:tcBorders>
            <w:tcMar>
              <w:top w:w="0" w:type="dxa"/>
              <w:left w:w="0" w:type="dxa"/>
              <w:bottom w:w="0" w:type="dxa"/>
              <w:right w:w="0" w:type="dxa"/>
            </w:tcMar>
            <w:vAlign w:val="center"/>
          </w:tcPr>
          <w:p>
            <w:pPr>
              <w:spacing w:line="360" w:lineRule="auto"/>
              <w:jc w:val="center"/>
            </w:pPr>
          </w:p>
        </w:tc>
        <w:tc>
          <w:tcPr>
            <w:tcW w:w="771" w:type="dxa"/>
            <w:tcBorders>
              <w:tl2br w:val="nil"/>
              <w:tr2bl w:val="nil"/>
            </w:tcBorders>
            <w:tcMar>
              <w:top w:w="0" w:type="dxa"/>
              <w:left w:w="0" w:type="dxa"/>
              <w:bottom w:w="0" w:type="dxa"/>
              <w:right w:w="0" w:type="dxa"/>
            </w:tcMar>
            <w:vAlign w:val="center"/>
          </w:tcPr>
          <w:p>
            <w:pPr>
              <w:spacing w:line="360" w:lineRule="auto"/>
              <w:jc w:val="center"/>
            </w:pPr>
          </w:p>
        </w:tc>
        <w:tc>
          <w:tcPr>
            <w:tcW w:w="714" w:type="dxa"/>
            <w:tcBorders>
              <w:tl2br w:val="nil"/>
              <w:tr2bl w:val="nil"/>
            </w:tcBorders>
            <w:tcMar>
              <w:top w:w="0" w:type="dxa"/>
              <w:left w:w="0" w:type="dxa"/>
              <w:bottom w:w="0" w:type="dxa"/>
              <w:right w:w="0" w:type="dxa"/>
            </w:tcMar>
            <w:vAlign w:val="center"/>
          </w:tcPr>
          <w:p>
            <w:pPr>
              <w:spacing w:line="360" w:lineRule="auto"/>
              <w:jc w:val="center"/>
            </w:pPr>
          </w:p>
        </w:tc>
        <w:tc>
          <w:tcPr>
            <w:tcW w:w="1024" w:type="dxa"/>
            <w:tcBorders>
              <w:tl2br w:val="nil"/>
              <w:tr2bl w:val="nil"/>
            </w:tcBorders>
            <w:tcMar>
              <w:top w:w="0" w:type="dxa"/>
              <w:left w:w="0" w:type="dxa"/>
              <w:bottom w:w="0" w:type="dxa"/>
              <w:right w:w="0" w:type="dxa"/>
            </w:tcMar>
            <w:vAlign w:val="center"/>
          </w:tcPr>
          <w:p>
            <w:pPr>
              <w:spacing w:line="360" w:lineRule="auto"/>
              <w:jc w:val="center"/>
            </w:pPr>
          </w:p>
        </w:tc>
        <w:tc>
          <w:tcPr>
            <w:tcW w:w="1048" w:type="dxa"/>
            <w:tcBorders>
              <w:tl2br w:val="nil"/>
              <w:tr2bl w:val="nil"/>
            </w:tcBorders>
            <w:vAlign w:val="center"/>
          </w:tcPr>
          <w:p>
            <w:pPr>
              <w:spacing w:line="360" w:lineRule="auto"/>
              <w:jc w:val="center"/>
              <w:rPr>
                <w:szCs w:val="21"/>
              </w:rPr>
            </w:pPr>
          </w:p>
        </w:tc>
        <w:tc>
          <w:tcPr>
            <w:tcW w:w="707" w:type="dxa"/>
            <w:tcBorders>
              <w:tl2br w:val="nil"/>
              <w:tr2bl w:val="nil"/>
            </w:tcBorders>
            <w:tcMar>
              <w:top w:w="0" w:type="dxa"/>
              <w:left w:w="0" w:type="dxa"/>
              <w:bottom w:w="0" w:type="dxa"/>
              <w:right w:w="0" w:type="dxa"/>
            </w:tcMar>
            <w:vAlign w:val="center"/>
          </w:tcPr>
          <w:p>
            <w:pPr>
              <w:spacing w:line="360" w:lineRule="auto"/>
              <w:jc w:val="center"/>
            </w:pPr>
          </w:p>
        </w:tc>
        <w:tc>
          <w:tcPr>
            <w:tcW w:w="674" w:type="dxa"/>
            <w:tcBorders>
              <w:tl2br w:val="nil"/>
              <w:tr2bl w:val="nil"/>
            </w:tcBorders>
            <w:tcMar>
              <w:top w:w="0" w:type="dxa"/>
              <w:left w:w="0" w:type="dxa"/>
              <w:bottom w:w="0" w:type="dxa"/>
              <w:right w:w="0" w:type="dxa"/>
            </w:tcMar>
            <w:vAlign w:val="center"/>
          </w:tcPr>
          <w:p>
            <w:pPr>
              <w:spacing w:line="360" w:lineRule="auto"/>
              <w:jc w:val="center"/>
            </w:pPr>
          </w:p>
        </w:tc>
        <w:tc>
          <w:tcPr>
            <w:tcW w:w="857" w:type="dxa"/>
            <w:tcBorders>
              <w:tl2br w:val="nil"/>
              <w:tr2bl w:val="nil"/>
            </w:tcBorders>
            <w:tcMar>
              <w:top w:w="0" w:type="dxa"/>
              <w:left w:w="0" w:type="dxa"/>
              <w:bottom w:w="0" w:type="dxa"/>
              <w:right w:w="0" w:type="dxa"/>
            </w:tcMar>
            <w:vAlign w:val="center"/>
          </w:tcPr>
          <w:p>
            <w:pPr>
              <w:spacing w:line="360" w:lineRule="auto"/>
              <w:jc w:val="center"/>
            </w:pPr>
          </w:p>
        </w:tc>
        <w:tc>
          <w:tcPr>
            <w:tcW w:w="1096" w:type="dxa"/>
            <w:tcBorders>
              <w:tl2br w:val="nil"/>
              <w:tr2bl w:val="nil"/>
            </w:tcBorders>
            <w:tcMar>
              <w:top w:w="0" w:type="dxa"/>
              <w:left w:w="0" w:type="dxa"/>
              <w:bottom w:w="0" w:type="dxa"/>
              <w:right w:w="0" w:type="dxa"/>
            </w:tcMar>
            <w:vAlign w:val="center"/>
          </w:tcPr>
          <w:p>
            <w:pPr>
              <w:spacing w:line="360" w:lineRule="auto"/>
              <w:jc w:val="center"/>
            </w:pPr>
          </w:p>
        </w:tc>
        <w:tc>
          <w:tcPr>
            <w:tcW w:w="1080" w:type="dxa"/>
            <w:tcBorders>
              <w:tl2br w:val="nil"/>
              <w:tr2bl w:val="nil"/>
            </w:tcBorders>
            <w:tcMar>
              <w:top w:w="0" w:type="dxa"/>
              <w:left w:w="0" w:type="dxa"/>
              <w:bottom w:w="0" w:type="dxa"/>
              <w:right w:w="0" w:type="dxa"/>
            </w:tcMar>
            <w:vAlign w:val="center"/>
          </w:tcPr>
          <w:p>
            <w:pPr>
              <w:spacing w:line="360" w:lineRule="auto"/>
              <w:jc w:val="center"/>
            </w:pPr>
          </w:p>
        </w:tc>
        <w:tc>
          <w:tcPr>
            <w:tcW w:w="800" w:type="dxa"/>
            <w:tcBorders>
              <w:tl2br w:val="nil"/>
              <w:tr2bl w:val="nil"/>
            </w:tcBorders>
            <w:tcMar>
              <w:top w:w="0" w:type="dxa"/>
              <w:left w:w="0" w:type="dxa"/>
              <w:bottom w:w="0" w:type="dxa"/>
              <w:right w:w="0" w:type="dxa"/>
            </w:tcMar>
            <w:vAlign w:val="center"/>
          </w:tcPr>
          <w:p>
            <w:pPr>
              <w:spacing w:line="360" w:lineRule="auto"/>
              <w:jc w:val="cente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967" w:hRule="atLeast"/>
        </w:trPr>
        <w:tc>
          <w:tcPr>
            <w:tcW w:w="716" w:type="dxa"/>
            <w:tcBorders>
              <w:tl2br w:val="nil"/>
              <w:tr2bl w:val="nil"/>
            </w:tcBorders>
            <w:tcMar>
              <w:top w:w="0" w:type="dxa"/>
              <w:left w:w="0" w:type="dxa"/>
              <w:bottom w:w="0" w:type="dxa"/>
              <w:right w:w="0" w:type="dxa"/>
            </w:tcMar>
            <w:vAlign w:val="center"/>
          </w:tcPr>
          <w:p>
            <w:pPr>
              <w:spacing w:line="360" w:lineRule="auto"/>
              <w:jc w:val="center"/>
            </w:pPr>
          </w:p>
        </w:tc>
        <w:tc>
          <w:tcPr>
            <w:tcW w:w="667" w:type="dxa"/>
            <w:tcBorders>
              <w:tl2br w:val="nil"/>
              <w:tr2bl w:val="nil"/>
            </w:tcBorders>
            <w:tcMar>
              <w:top w:w="0" w:type="dxa"/>
              <w:left w:w="0" w:type="dxa"/>
              <w:bottom w:w="0" w:type="dxa"/>
              <w:right w:w="0" w:type="dxa"/>
            </w:tcMar>
            <w:vAlign w:val="center"/>
          </w:tcPr>
          <w:p>
            <w:pPr>
              <w:spacing w:line="360" w:lineRule="auto"/>
              <w:jc w:val="center"/>
            </w:pPr>
            <w:r>
              <w:rPr>
                <w:rFonts w:ascii="宋体" w:hAnsi="宋体" w:cs="宋体"/>
                <w:szCs w:val="21"/>
              </w:rPr>
              <w:t>包合计</w:t>
            </w:r>
          </w:p>
        </w:tc>
        <w:tc>
          <w:tcPr>
            <w:tcW w:w="771" w:type="dxa"/>
            <w:tcBorders>
              <w:tl2br w:val="nil"/>
              <w:tr2bl w:val="nil"/>
            </w:tcBorders>
            <w:tcMar>
              <w:top w:w="0" w:type="dxa"/>
              <w:left w:w="0" w:type="dxa"/>
              <w:bottom w:w="0" w:type="dxa"/>
              <w:right w:w="0" w:type="dxa"/>
            </w:tcMar>
            <w:vAlign w:val="center"/>
          </w:tcPr>
          <w:p>
            <w:pPr>
              <w:spacing w:line="360" w:lineRule="auto"/>
              <w:jc w:val="center"/>
            </w:pPr>
          </w:p>
        </w:tc>
        <w:tc>
          <w:tcPr>
            <w:tcW w:w="714" w:type="dxa"/>
            <w:tcBorders>
              <w:tl2br w:val="nil"/>
              <w:tr2bl w:val="nil"/>
            </w:tcBorders>
            <w:tcMar>
              <w:top w:w="0" w:type="dxa"/>
              <w:left w:w="0" w:type="dxa"/>
              <w:bottom w:w="0" w:type="dxa"/>
              <w:right w:w="0" w:type="dxa"/>
            </w:tcMar>
            <w:vAlign w:val="center"/>
          </w:tcPr>
          <w:p>
            <w:pPr>
              <w:spacing w:line="360" w:lineRule="auto"/>
              <w:jc w:val="center"/>
            </w:pPr>
          </w:p>
        </w:tc>
        <w:tc>
          <w:tcPr>
            <w:tcW w:w="1024" w:type="dxa"/>
            <w:tcBorders>
              <w:tl2br w:val="nil"/>
              <w:tr2bl w:val="nil"/>
            </w:tcBorders>
            <w:tcMar>
              <w:top w:w="0" w:type="dxa"/>
              <w:left w:w="0" w:type="dxa"/>
              <w:bottom w:w="0" w:type="dxa"/>
              <w:right w:w="0" w:type="dxa"/>
            </w:tcMar>
            <w:vAlign w:val="center"/>
          </w:tcPr>
          <w:p>
            <w:pPr>
              <w:spacing w:line="360" w:lineRule="auto"/>
              <w:jc w:val="center"/>
            </w:pPr>
          </w:p>
        </w:tc>
        <w:tc>
          <w:tcPr>
            <w:tcW w:w="1048" w:type="dxa"/>
            <w:tcBorders>
              <w:tl2br w:val="nil"/>
              <w:tr2bl w:val="nil"/>
            </w:tcBorders>
            <w:vAlign w:val="center"/>
          </w:tcPr>
          <w:p>
            <w:pPr>
              <w:spacing w:line="360" w:lineRule="auto"/>
              <w:jc w:val="center"/>
              <w:rPr>
                <w:szCs w:val="21"/>
              </w:rPr>
            </w:pPr>
          </w:p>
        </w:tc>
        <w:tc>
          <w:tcPr>
            <w:tcW w:w="707" w:type="dxa"/>
            <w:tcBorders>
              <w:tl2br w:val="nil"/>
              <w:tr2bl w:val="nil"/>
            </w:tcBorders>
            <w:tcMar>
              <w:top w:w="0" w:type="dxa"/>
              <w:left w:w="0" w:type="dxa"/>
              <w:bottom w:w="0" w:type="dxa"/>
              <w:right w:w="0" w:type="dxa"/>
            </w:tcMar>
            <w:vAlign w:val="center"/>
          </w:tcPr>
          <w:p>
            <w:pPr>
              <w:spacing w:line="360" w:lineRule="auto"/>
              <w:jc w:val="center"/>
            </w:pPr>
          </w:p>
        </w:tc>
        <w:tc>
          <w:tcPr>
            <w:tcW w:w="674" w:type="dxa"/>
            <w:tcBorders>
              <w:tl2br w:val="nil"/>
              <w:tr2bl w:val="nil"/>
            </w:tcBorders>
            <w:tcMar>
              <w:top w:w="0" w:type="dxa"/>
              <w:left w:w="0" w:type="dxa"/>
              <w:bottom w:w="0" w:type="dxa"/>
              <w:right w:w="0" w:type="dxa"/>
            </w:tcMar>
            <w:vAlign w:val="center"/>
          </w:tcPr>
          <w:p>
            <w:pPr>
              <w:spacing w:line="360" w:lineRule="auto"/>
              <w:jc w:val="center"/>
            </w:pPr>
          </w:p>
        </w:tc>
        <w:tc>
          <w:tcPr>
            <w:tcW w:w="857" w:type="dxa"/>
            <w:tcBorders>
              <w:tl2br w:val="nil"/>
              <w:tr2bl w:val="nil"/>
            </w:tcBorders>
            <w:tcMar>
              <w:top w:w="0" w:type="dxa"/>
              <w:left w:w="0" w:type="dxa"/>
              <w:bottom w:w="0" w:type="dxa"/>
              <w:right w:w="0" w:type="dxa"/>
            </w:tcMar>
            <w:vAlign w:val="center"/>
          </w:tcPr>
          <w:p>
            <w:pPr>
              <w:spacing w:line="360" w:lineRule="auto"/>
              <w:jc w:val="center"/>
            </w:pPr>
          </w:p>
        </w:tc>
        <w:tc>
          <w:tcPr>
            <w:tcW w:w="1096" w:type="dxa"/>
            <w:tcBorders>
              <w:tl2br w:val="nil"/>
              <w:tr2bl w:val="nil"/>
            </w:tcBorders>
            <w:tcMar>
              <w:top w:w="0" w:type="dxa"/>
              <w:left w:w="0" w:type="dxa"/>
              <w:bottom w:w="0" w:type="dxa"/>
              <w:right w:w="0" w:type="dxa"/>
            </w:tcMar>
            <w:vAlign w:val="center"/>
          </w:tcPr>
          <w:p>
            <w:pPr>
              <w:spacing w:line="360" w:lineRule="auto"/>
              <w:jc w:val="center"/>
            </w:pPr>
          </w:p>
        </w:tc>
        <w:tc>
          <w:tcPr>
            <w:tcW w:w="1080" w:type="dxa"/>
            <w:tcBorders>
              <w:tl2br w:val="nil"/>
              <w:tr2bl w:val="nil"/>
            </w:tcBorders>
            <w:tcMar>
              <w:top w:w="0" w:type="dxa"/>
              <w:left w:w="0" w:type="dxa"/>
              <w:bottom w:w="0" w:type="dxa"/>
              <w:right w:w="0" w:type="dxa"/>
            </w:tcMar>
            <w:vAlign w:val="center"/>
          </w:tcPr>
          <w:p>
            <w:pPr>
              <w:spacing w:line="360" w:lineRule="auto"/>
              <w:jc w:val="center"/>
            </w:pPr>
          </w:p>
        </w:tc>
        <w:tc>
          <w:tcPr>
            <w:tcW w:w="800" w:type="dxa"/>
            <w:tcBorders>
              <w:tl2br w:val="nil"/>
              <w:tr2bl w:val="nil"/>
            </w:tcBorders>
            <w:tcMar>
              <w:top w:w="0" w:type="dxa"/>
              <w:left w:w="0" w:type="dxa"/>
              <w:bottom w:w="0" w:type="dxa"/>
              <w:right w:w="0" w:type="dxa"/>
            </w:tcMar>
            <w:vAlign w:val="center"/>
          </w:tcPr>
          <w:p>
            <w:pPr>
              <w:spacing w:line="360" w:lineRule="auto"/>
              <w:jc w:val="center"/>
            </w:pPr>
          </w:p>
        </w:tc>
      </w:tr>
    </w:tbl>
    <w:p>
      <w:pPr>
        <w:adjustRightInd w:val="0"/>
        <w:snapToGrid w:val="0"/>
        <w:spacing w:line="360" w:lineRule="auto"/>
        <w:jc w:val="right"/>
        <w:rPr>
          <w:rFonts w:hint="eastAsia" w:ascii="宋体" w:hAnsi="宋体" w:cs="宋体"/>
          <w:szCs w:val="21"/>
        </w:rPr>
      </w:pPr>
      <w:r>
        <w:rPr>
          <w:rFonts w:hint="eastAsia" w:ascii="宋体" w:hAnsi="宋体" w:cs="宋体"/>
          <w:szCs w:val="21"/>
        </w:rPr>
        <w:t xml:space="preserve">金额单位：人民币元 </w:t>
      </w:r>
    </w:p>
    <w:p>
      <w:pPr>
        <w:spacing w:line="360" w:lineRule="atLeast"/>
        <w:ind w:firstLine="211"/>
      </w:pPr>
      <w:r>
        <w:rPr>
          <w:szCs w:val="21"/>
        </w:rPr>
        <w:t xml:space="preserve">  </w:t>
      </w:r>
    </w:p>
    <w:p>
      <w:pPr>
        <w:spacing w:line="360" w:lineRule="auto"/>
      </w:pPr>
      <w:r>
        <w:rPr>
          <w:rFonts w:ascii="宋体" w:hAnsi="宋体" w:cs="宋体"/>
          <w:szCs w:val="21"/>
        </w:rPr>
        <w:t>报价金额合计：小写：_______________ 大写：_______________</w:t>
      </w:r>
      <w:r>
        <w:rPr>
          <w:szCs w:val="21"/>
        </w:rPr>
        <w:t xml:space="preserve"> </w:t>
      </w:r>
    </w:p>
    <w:p>
      <w:pPr>
        <w:adjustRightInd w:val="0"/>
        <w:snapToGrid w:val="0"/>
        <w:spacing w:line="360" w:lineRule="auto"/>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 xml:space="preserve">说明：商品编码是指标准版商品条码（EAN-13码）。品牌和制造厂商指产品的品牌和生产厂商。中小企业是指制造厂商为“中型企业”或者“小型、微型企业”。政策功能编码是指产品的中国环境标志认证证书编号、节能标志认证证书号、两型产品编号。 </w:t>
      </w:r>
    </w:p>
    <w:p>
      <w:r>
        <w:rPr>
          <w:szCs w:val="21"/>
        </w:rPr>
        <w:t xml:space="preserve">  </w:t>
      </w:r>
    </w:p>
    <w:p>
      <w:pPr>
        <w:spacing w:line="440" w:lineRule="atLeast"/>
      </w:pPr>
      <w:r>
        <w:rPr>
          <w:szCs w:val="21"/>
        </w:rPr>
        <w:t xml:space="preserve">  </w:t>
      </w:r>
    </w:p>
    <w:p>
      <w:pPr>
        <w:spacing w:before="50" w:line="360" w:lineRule="auto"/>
      </w:pPr>
      <w:r>
        <w:rPr>
          <w:rFonts w:ascii="宋体" w:hAnsi="宋体" w:cs="宋体"/>
          <w:szCs w:val="21"/>
        </w:rPr>
        <w:t>投标人名称（单位电子签章）：</w:t>
      </w:r>
      <w:r>
        <w:rPr>
          <w:szCs w:val="21"/>
        </w:rPr>
        <w:t xml:space="preserve"> </w:t>
      </w:r>
    </w:p>
    <w:p>
      <w:pPr>
        <w:rPr>
          <w:rFonts w:hint="eastAsia" w:ascii="宋体" w:hAnsi="宋体" w:cs="宋体"/>
          <w:sz w:val="28"/>
          <w:szCs w:val="28"/>
        </w:rPr>
      </w:pPr>
      <w:r>
        <w:rPr>
          <w:rFonts w:hint="eastAsia" w:ascii="宋体" w:hAnsi="宋体"/>
          <w:szCs w:val="22"/>
          <w:lang w:bidi="ar"/>
        </w:rPr>
        <w:t>日期：   年   月   日</w:t>
      </w:r>
      <w:bookmarkEnd w:id="286"/>
    </w:p>
    <w:bookmarkEnd w:id="287"/>
    <w:p>
      <w:pPr>
        <w:rPr>
          <w:rFonts w:hint="eastAsia" w:ascii="宋体" w:hAnsi="宋体" w:cs="宋体"/>
          <w:sz w:val="28"/>
          <w:szCs w:val="28"/>
        </w:rPr>
      </w:pPr>
      <w:r>
        <w:rPr>
          <w:rFonts w:hint="eastAsia" w:ascii="宋体" w:hAnsi="宋体" w:cs="宋体"/>
          <w:sz w:val="28"/>
          <w:szCs w:val="28"/>
        </w:rPr>
        <w:br w:type="page"/>
      </w:r>
    </w:p>
    <w:p>
      <w:pPr>
        <w:adjustRightInd w:val="0"/>
        <w:snapToGrid w:val="0"/>
        <w:spacing w:line="360" w:lineRule="auto"/>
        <w:jc w:val="center"/>
        <w:outlineLvl w:val="2"/>
        <w:rPr>
          <w:rFonts w:hint="eastAsia" w:ascii="宋体" w:hAnsi="宋体" w:eastAsia="黑体" w:cs="宋体"/>
          <w:b/>
          <w:bCs/>
          <w:sz w:val="28"/>
          <w:szCs w:val="28"/>
        </w:rPr>
      </w:pPr>
      <w:bookmarkStart w:id="289" w:name="OLE_LINK216"/>
      <w:bookmarkStart w:id="290" w:name="OLE_LINK147"/>
      <w:bookmarkStart w:id="291" w:name="OLE_LINK148"/>
      <w:r>
        <w:rPr>
          <w:rFonts w:hint="eastAsia" w:ascii="宋体" w:hAnsi="宋体" w:eastAsia="黑体" w:cs="宋体"/>
          <w:b/>
          <w:bCs/>
          <w:sz w:val="28"/>
          <w:szCs w:val="28"/>
        </w:rPr>
        <w:t>五、中小企业声明函</w:t>
      </w:r>
      <w:bookmarkEnd w:id="288"/>
      <w:bookmarkEnd w:id="289"/>
    </w:p>
    <w:bookmarkEnd w:id="290"/>
    <w:p>
      <w:pPr>
        <w:widowControl/>
        <w:adjustRightInd w:val="0"/>
        <w:snapToGrid w:val="0"/>
        <w:spacing w:line="360" w:lineRule="auto"/>
        <w:jc w:val="center"/>
        <w:rPr>
          <w:rFonts w:hint="eastAsia" w:ascii="宋体" w:hAnsi="宋体" w:cs="宋体"/>
          <w:b/>
          <w:spacing w:val="6"/>
          <w:kern w:val="0"/>
          <w:szCs w:val="21"/>
        </w:rPr>
      </w:pPr>
      <w:r>
        <w:rPr>
          <w:rFonts w:hint="eastAsia" w:ascii="宋体" w:hAnsi="宋体" w:cs="宋体"/>
          <w:b/>
          <w:spacing w:val="6"/>
          <w:kern w:val="0"/>
          <w:szCs w:val="21"/>
        </w:rPr>
        <w:t>(不满足以下条件的无需填写)</w:t>
      </w:r>
    </w:p>
    <w:p>
      <w:pPr>
        <w:widowControl/>
        <w:adjustRightInd w:val="0"/>
        <w:snapToGrid w:val="0"/>
        <w:spacing w:line="360" w:lineRule="auto"/>
        <w:ind w:firstLine="444" w:firstLineChars="200"/>
        <w:jc w:val="left"/>
        <w:rPr>
          <w:rFonts w:hint="eastAsia" w:ascii="宋体" w:hAnsi="宋体" w:cs="宋体"/>
          <w:spacing w:val="6"/>
          <w:kern w:val="0"/>
          <w:szCs w:val="21"/>
        </w:rPr>
      </w:pPr>
    </w:p>
    <w:p>
      <w:pPr>
        <w:adjustRightInd w:val="0"/>
        <w:snapToGrid w:val="0"/>
        <w:spacing w:line="360" w:lineRule="auto"/>
        <w:ind w:firstLine="586" w:firstLineChars="200"/>
        <w:jc w:val="center"/>
        <w:rPr>
          <w:rFonts w:hint="eastAsia" w:ascii="宋体" w:hAnsi="宋体" w:cs="宋体"/>
          <w:b/>
          <w:bCs/>
          <w:spacing w:val="6"/>
          <w:kern w:val="0"/>
          <w:sz w:val="28"/>
          <w:szCs w:val="28"/>
        </w:rPr>
      </w:pPr>
      <w:r>
        <w:rPr>
          <w:rFonts w:hint="eastAsia" w:ascii="宋体" w:hAnsi="宋体" w:cs="宋体"/>
          <w:b/>
          <w:bCs/>
          <w:spacing w:val="6"/>
          <w:kern w:val="0"/>
          <w:sz w:val="28"/>
          <w:szCs w:val="28"/>
        </w:rPr>
        <w:t>中小企业声明函（货物）</w:t>
      </w:r>
    </w:p>
    <w:p>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本公司（联合体）郑重声明，根据《政府采购促进中小企业发展管理办法》（财库﹝2020﹞46 号）的规定，本公司（联合体）参加</w:t>
      </w:r>
      <w:r>
        <w:rPr>
          <w:rFonts w:hint="eastAsia" w:ascii="宋体" w:hAnsi="宋体" w:cs="宋体"/>
          <w:spacing w:val="6"/>
          <w:szCs w:val="21"/>
          <w:u w:val="single"/>
        </w:rPr>
        <w:t xml:space="preserve"> （单位名称）</w:t>
      </w:r>
      <w:r>
        <w:rPr>
          <w:rFonts w:hint="eastAsia" w:ascii="宋体" w:hAnsi="宋体" w:cs="宋体"/>
          <w:spacing w:val="6"/>
          <w:szCs w:val="21"/>
        </w:rPr>
        <w:t xml:space="preserve"> 的</w:t>
      </w:r>
      <w:r>
        <w:rPr>
          <w:rFonts w:hint="eastAsia" w:ascii="宋体" w:hAnsi="宋体" w:cs="宋体"/>
          <w:spacing w:val="6"/>
          <w:szCs w:val="21"/>
          <w:u w:val="single"/>
        </w:rPr>
        <w:t xml:space="preserve"> （项目名称） </w:t>
      </w:r>
      <w:r>
        <w:rPr>
          <w:rFonts w:hint="eastAsia" w:ascii="宋体" w:hAnsi="宋体" w:cs="宋体"/>
          <w:spacing w:val="6"/>
          <w:szCs w:val="21"/>
        </w:rPr>
        <w:t>采购活动，提供的货物全部由符合政策要求的中小企业制造。相关企业（含联合体中的中小企业、签订分包意向协议的中小企业）的具体情况如下：</w:t>
      </w:r>
    </w:p>
    <w:p>
      <w:pPr>
        <w:numPr>
          <w:ilvl w:val="0"/>
          <w:numId w:val="3"/>
        </w:num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u w:val="single"/>
        </w:rPr>
        <w:t>（标的名称）</w:t>
      </w:r>
      <w:r>
        <w:rPr>
          <w:rFonts w:hint="eastAsia" w:ascii="宋体" w:hAnsi="宋体" w:cs="宋体"/>
          <w:spacing w:val="6"/>
          <w:szCs w:val="21"/>
        </w:rPr>
        <w:t xml:space="preserve"> ，属于</w:t>
      </w:r>
      <w:r>
        <w:rPr>
          <w:rFonts w:hint="eastAsia" w:ascii="宋体" w:hAnsi="宋体" w:cs="宋体"/>
          <w:spacing w:val="6"/>
          <w:szCs w:val="21"/>
          <w:u w:val="single"/>
        </w:rPr>
        <w:t xml:space="preserve"> （采购文件中明确的所属行业）</w:t>
      </w:r>
      <w:r>
        <w:rPr>
          <w:rFonts w:hint="eastAsia" w:ascii="宋体" w:hAnsi="宋体" w:cs="宋体"/>
          <w:spacing w:val="6"/>
          <w:szCs w:val="21"/>
        </w:rPr>
        <w:t>行业；制造商为</w:t>
      </w:r>
      <w:r>
        <w:rPr>
          <w:rFonts w:hint="eastAsia" w:ascii="宋体" w:hAnsi="宋体" w:cs="宋体"/>
          <w:spacing w:val="6"/>
          <w:szCs w:val="21"/>
          <w:u w:val="single"/>
        </w:rPr>
        <w:t xml:space="preserve"> （企业名称）</w:t>
      </w:r>
      <w:r>
        <w:rPr>
          <w:rFonts w:hint="eastAsia" w:ascii="宋体" w:hAnsi="宋体" w:cs="宋体"/>
          <w:spacing w:val="6"/>
          <w:szCs w:val="21"/>
        </w:rPr>
        <w:t>，从业人员</w:t>
      </w:r>
      <w:r>
        <w:rPr>
          <w:rFonts w:hint="eastAsia" w:ascii="宋体" w:hAnsi="宋体" w:cs="宋体"/>
          <w:spacing w:val="6"/>
          <w:szCs w:val="21"/>
          <w:u w:val="single"/>
        </w:rPr>
        <w:t xml:space="preserve">    </w:t>
      </w:r>
      <w:r>
        <w:rPr>
          <w:rFonts w:hint="eastAsia" w:ascii="宋体" w:hAnsi="宋体" w:cs="宋体"/>
          <w:spacing w:val="6"/>
          <w:szCs w:val="21"/>
        </w:rPr>
        <w:t>人，营业收入为</w:t>
      </w:r>
      <w:r>
        <w:rPr>
          <w:rFonts w:hint="eastAsia" w:ascii="宋体" w:hAnsi="宋体" w:cs="宋体"/>
          <w:spacing w:val="6"/>
          <w:szCs w:val="21"/>
          <w:u w:val="single"/>
        </w:rPr>
        <w:t xml:space="preserve">    </w:t>
      </w:r>
      <w:r>
        <w:rPr>
          <w:rFonts w:hint="eastAsia" w:ascii="宋体" w:hAnsi="宋体" w:cs="宋体"/>
          <w:spacing w:val="6"/>
          <w:szCs w:val="21"/>
        </w:rPr>
        <w:t>万元，资产总额为</w:t>
      </w:r>
      <w:r>
        <w:rPr>
          <w:rFonts w:hint="eastAsia" w:ascii="宋体" w:hAnsi="宋体" w:cs="宋体"/>
          <w:spacing w:val="6"/>
          <w:szCs w:val="21"/>
          <w:u w:val="single"/>
        </w:rPr>
        <w:t xml:space="preserve">    </w:t>
      </w:r>
      <w:r>
        <w:rPr>
          <w:rFonts w:hint="eastAsia" w:ascii="宋体" w:hAnsi="宋体" w:cs="宋体"/>
          <w:spacing w:val="6"/>
          <w:szCs w:val="21"/>
        </w:rPr>
        <w:t>万元，属于</w:t>
      </w:r>
      <w:r>
        <w:rPr>
          <w:rFonts w:hint="eastAsia" w:ascii="宋体" w:hAnsi="宋体" w:cs="宋体"/>
          <w:spacing w:val="6"/>
          <w:szCs w:val="21"/>
          <w:u w:val="single"/>
        </w:rPr>
        <w:t xml:space="preserve"> （中型企业、小型企业、微型企业） </w:t>
      </w:r>
      <w:r>
        <w:rPr>
          <w:rFonts w:hint="eastAsia" w:ascii="宋体" w:hAnsi="宋体" w:cs="宋体"/>
          <w:spacing w:val="6"/>
          <w:szCs w:val="21"/>
        </w:rPr>
        <w:t>；</w:t>
      </w:r>
    </w:p>
    <w:p>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 xml:space="preserve">2. </w:t>
      </w:r>
      <w:r>
        <w:rPr>
          <w:rFonts w:hint="eastAsia" w:ascii="宋体" w:hAnsi="宋体" w:cs="宋体"/>
          <w:spacing w:val="6"/>
          <w:szCs w:val="21"/>
          <w:u w:val="single"/>
        </w:rPr>
        <w:t xml:space="preserve">（标的名称） </w:t>
      </w:r>
      <w:r>
        <w:rPr>
          <w:rFonts w:hint="eastAsia" w:ascii="宋体" w:hAnsi="宋体" w:cs="宋体"/>
          <w:spacing w:val="6"/>
          <w:szCs w:val="21"/>
        </w:rPr>
        <w:t>，属于</w:t>
      </w:r>
      <w:r>
        <w:rPr>
          <w:rFonts w:hint="eastAsia" w:ascii="宋体" w:hAnsi="宋体" w:cs="宋体"/>
          <w:spacing w:val="6"/>
          <w:szCs w:val="21"/>
          <w:u w:val="single"/>
        </w:rPr>
        <w:t xml:space="preserve"> （采购文件中明确的所属行业）</w:t>
      </w:r>
      <w:r>
        <w:rPr>
          <w:rFonts w:hint="eastAsia" w:ascii="宋体" w:hAnsi="宋体" w:cs="宋体"/>
          <w:spacing w:val="6"/>
          <w:szCs w:val="21"/>
        </w:rPr>
        <w:t>行业 ；制造商为</w:t>
      </w:r>
      <w:r>
        <w:rPr>
          <w:rFonts w:hint="eastAsia" w:ascii="宋体" w:hAnsi="宋体" w:cs="宋体"/>
          <w:spacing w:val="6"/>
          <w:szCs w:val="21"/>
          <w:u w:val="single"/>
        </w:rPr>
        <w:t xml:space="preserve"> （企业名称） </w:t>
      </w:r>
      <w:r>
        <w:rPr>
          <w:rFonts w:hint="eastAsia" w:ascii="宋体" w:hAnsi="宋体" w:cs="宋体"/>
          <w:spacing w:val="6"/>
          <w:szCs w:val="21"/>
        </w:rPr>
        <w:t>，从业人员</w:t>
      </w:r>
      <w:r>
        <w:rPr>
          <w:rFonts w:hint="eastAsia" w:ascii="宋体" w:hAnsi="宋体" w:cs="宋体"/>
          <w:spacing w:val="6"/>
          <w:szCs w:val="21"/>
          <w:u w:val="single"/>
        </w:rPr>
        <w:t xml:space="preserve">   </w:t>
      </w:r>
      <w:r>
        <w:rPr>
          <w:rFonts w:hint="eastAsia" w:ascii="宋体" w:hAnsi="宋体" w:cs="宋体"/>
          <w:spacing w:val="6"/>
          <w:szCs w:val="21"/>
        </w:rPr>
        <w:t>人，营业收入为</w:t>
      </w:r>
      <w:r>
        <w:rPr>
          <w:rFonts w:hint="eastAsia" w:ascii="宋体" w:hAnsi="宋体" w:cs="宋体"/>
          <w:spacing w:val="6"/>
          <w:szCs w:val="21"/>
          <w:u w:val="single"/>
        </w:rPr>
        <w:t xml:space="preserve">   </w:t>
      </w:r>
      <w:r>
        <w:rPr>
          <w:rFonts w:hint="eastAsia" w:ascii="宋体" w:hAnsi="宋体" w:cs="宋体"/>
          <w:spacing w:val="6"/>
          <w:szCs w:val="21"/>
        </w:rPr>
        <w:t>万元，资产总额为</w:t>
      </w:r>
      <w:r>
        <w:rPr>
          <w:rFonts w:hint="eastAsia" w:ascii="宋体" w:hAnsi="宋体" w:cs="宋体"/>
          <w:spacing w:val="6"/>
          <w:szCs w:val="21"/>
          <w:u w:val="single"/>
        </w:rPr>
        <w:t xml:space="preserve">    </w:t>
      </w:r>
      <w:r>
        <w:rPr>
          <w:rFonts w:hint="eastAsia" w:ascii="宋体" w:hAnsi="宋体" w:cs="宋体"/>
          <w:spacing w:val="6"/>
          <w:szCs w:val="21"/>
        </w:rPr>
        <w:t>万元，属于</w:t>
      </w:r>
      <w:r>
        <w:rPr>
          <w:rFonts w:hint="eastAsia" w:ascii="宋体" w:hAnsi="宋体" w:cs="宋体"/>
          <w:spacing w:val="6"/>
          <w:szCs w:val="21"/>
          <w:u w:val="single"/>
        </w:rPr>
        <w:t xml:space="preserve"> （中型企业、小型企业、微型企业）</w:t>
      </w:r>
      <w:r>
        <w:rPr>
          <w:rFonts w:hint="eastAsia" w:ascii="宋体" w:hAnsi="宋体" w:cs="宋体"/>
          <w:spacing w:val="6"/>
          <w:szCs w:val="21"/>
        </w:rPr>
        <w:t>；</w:t>
      </w:r>
    </w:p>
    <w:p>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w:t>
      </w:r>
    </w:p>
    <w:p>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以上企业，不属于大企业的分支机构，不存在控股股东为大企业的情形，也不存在与大企业的负责人为同一人的情形。</w:t>
      </w:r>
    </w:p>
    <w:p>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本企业对上述声明内容的真实性负责。如有虚假，将依法承担相应责任。</w:t>
      </w:r>
    </w:p>
    <w:p>
      <w:pPr>
        <w:adjustRightInd w:val="0"/>
        <w:snapToGrid w:val="0"/>
        <w:spacing w:line="360" w:lineRule="auto"/>
        <w:ind w:firstLine="4662" w:firstLineChars="2100"/>
        <w:rPr>
          <w:rFonts w:hint="eastAsia" w:ascii="宋体" w:hAnsi="宋体" w:cs="宋体"/>
          <w:spacing w:val="6"/>
          <w:szCs w:val="21"/>
        </w:rPr>
      </w:pPr>
      <w:r>
        <w:rPr>
          <w:rFonts w:hint="eastAsia" w:ascii="宋体" w:hAnsi="宋体" w:cs="宋体"/>
          <w:spacing w:val="6"/>
          <w:szCs w:val="21"/>
        </w:rPr>
        <w:t>企业名称（盖章）：</w:t>
      </w:r>
    </w:p>
    <w:p>
      <w:pPr>
        <w:adjustRightInd w:val="0"/>
        <w:snapToGrid w:val="0"/>
        <w:spacing w:line="360" w:lineRule="auto"/>
        <w:ind w:firstLine="4662" w:firstLineChars="2100"/>
        <w:rPr>
          <w:rFonts w:hint="eastAsia" w:ascii="宋体" w:hAnsi="宋体" w:cs="宋体"/>
          <w:spacing w:val="6"/>
          <w:szCs w:val="21"/>
        </w:rPr>
      </w:pPr>
      <w:r>
        <w:rPr>
          <w:rFonts w:hint="eastAsia" w:ascii="宋体" w:hAnsi="宋体" w:cs="宋体"/>
          <w:spacing w:val="6"/>
          <w:szCs w:val="21"/>
        </w:rPr>
        <w:t>日 期：</w:t>
      </w:r>
    </w:p>
    <w:p>
      <w:pPr>
        <w:widowControl/>
        <w:jc w:val="left"/>
        <w:rPr>
          <w:rFonts w:hint="eastAsia" w:ascii="宋体" w:hAnsi="宋体" w:cs="宋体"/>
          <w:kern w:val="0"/>
          <w:sz w:val="18"/>
          <w:szCs w:val="18"/>
          <w:lang w:bidi="ar"/>
        </w:rPr>
      </w:pPr>
    </w:p>
    <w:p>
      <w:pPr>
        <w:widowControl/>
        <w:jc w:val="left"/>
        <w:rPr>
          <w:rFonts w:hint="eastAsia" w:ascii="宋体" w:hAnsi="宋体" w:cs="宋体"/>
          <w:spacing w:val="6"/>
          <w:kern w:val="0"/>
          <w:szCs w:val="21"/>
        </w:rPr>
      </w:pPr>
      <w:r>
        <w:rPr>
          <w:rFonts w:hint="eastAsia" w:ascii="宋体" w:hAnsi="宋体" w:cs="宋体"/>
          <w:b/>
          <w:bCs/>
          <w:kern w:val="0"/>
          <w:sz w:val="18"/>
          <w:szCs w:val="18"/>
          <w:lang w:bidi="ar"/>
        </w:rPr>
        <w:t>备注：从业人员、营业收入、资产总额填报上一年度数据，无上一年度数据的新成立企业可不填报。</w:t>
      </w:r>
      <w:bookmarkEnd w:id="291"/>
    </w:p>
    <w:p>
      <w:pPr>
        <w:rPr>
          <w:rFonts w:hint="eastAsia" w:ascii="宋体" w:hAnsi="宋体" w:eastAsia="黑体" w:cs="宋体"/>
          <w:b/>
          <w:bCs/>
          <w:sz w:val="28"/>
          <w:szCs w:val="28"/>
        </w:rPr>
      </w:pPr>
      <w:bookmarkStart w:id="292" w:name="_Toc14938"/>
      <w:r>
        <w:rPr>
          <w:rFonts w:hint="eastAsia" w:ascii="宋体" w:hAnsi="宋体" w:eastAsia="黑体" w:cs="宋体"/>
          <w:b/>
          <w:bCs/>
          <w:sz w:val="28"/>
          <w:szCs w:val="28"/>
        </w:rPr>
        <w:br w:type="page"/>
      </w:r>
    </w:p>
    <w:p>
      <w:pPr>
        <w:adjustRightInd w:val="0"/>
        <w:snapToGrid w:val="0"/>
        <w:spacing w:line="360" w:lineRule="auto"/>
        <w:jc w:val="center"/>
        <w:outlineLvl w:val="2"/>
        <w:rPr>
          <w:rFonts w:hint="eastAsia" w:ascii="宋体" w:hAnsi="宋体" w:eastAsia="黑体" w:cs="宋体"/>
          <w:b/>
          <w:bCs/>
          <w:sz w:val="28"/>
          <w:szCs w:val="28"/>
        </w:rPr>
      </w:pPr>
      <w:bookmarkStart w:id="293" w:name="OLE_LINK149"/>
      <w:bookmarkStart w:id="294" w:name="OLE_LINK217"/>
      <w:bookmarkStart w:id="295" w:name="OLE_LINK218"/>
      <w:bookmarkStart w:id="296" w:name="OLE_LINK150"/>
      <w:r>
        <w:rPr>
          <w:rFonts w:hint="eastAsia" w:ascii="宋体" w:hAnsi="宋体" w:eastAsia="黑体" w:cs="宋体"/>
          <w:b/>
          <w:bCs/>
          <w:sz w:val="28"/>
          <w:szCs w:val="28"/>
        </w:rPr>
        <w:t>六、残疾人福利性单位声明函</w:t>
      </w:r>
      <w:bookmarkEnd w:id="292"/>
      <w:bookmarkEnd w:id="293"/>
    </w:p>
    <w:p>
      <w:pPr>
        <w:adjustRightInd w:val="0"/>
        <w:snapToGrid w:val="0"/>
        <w:spacing w:line="360" w:lineRule="auto"/>
        <w:jc w:val="center"/>
        <w:rPr>
          <w:rFonts w:hint="eastAsia" w:ascii="宋体" w:hAnsi="宋体" w:cs="宋体"/>
          <w:b/>
          <w:spacing w:val="6"/>
          <w:szCs w:val="21"/>
        </w:rPr>
      </w:pPr>
      <w:r>
        <w:rPr>
          <w:rFonts w:hint="eastAsia" w:ascii="宋体" w:hAnsi="宋体" w:cs="宋体"/>
          <w:b/>
          <w:spacing w:val="6"/>
          <w:szCs w:val="21"/>
        </w:rPr>
        <w:t>(不属于残疾人福利性单位的无需填写)</w:t>
      </w:r>
    </w:p>
    <w:p>
      <w:pPr>
        <w:adjustRightInd w:val="0"/>
        <w:snapToGrid w:val="0"/>
        <w:spacing w:line="360" w:lineRule="auto"/>
        <w:ind w:firstLine="444" w:firstLineChars="200"/>
        <w:rPr>
          <w:rFonts w:hint="eastAsia" w:ascii="宋体" w:hAnsi="宋体" w:cs="宋体"/>
          <w:spacing w:val="6"/>
          <w:szCs w:val="21"/>
        </w:rPr>
      </w:pPr>
    </w:p>
    <w:p>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本单位郑重声明，根据《财政部 民政部 中国残疾人联合会关于促进残疾人就业政府采购政策的通知》（财库</w:t>
      </w:r>
      <w:r>
        <w:rPr>
          <w:rFonts w:hint="eastAsia" w:ascii="宋体" w:hAnsi="宋体" w:cs="宋体"/>
          <w:szCs w:val="21"/>
        </w:rPr>
        <w:t>〔2017〕141</w:t>
      </w:r>
      <w:r>
        <w:rPr>
          <w:rFonts w:hint="eastAsia" w:ascii="宋体" w:hAnsi="宋体" w:cs="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本单位对上述声明的真实性负责。如有虚假，将依法承担相应责任。</w:t>
      </w:r>
    </w:p>
    <w:p>
      <w:pPr>
        <w:adjustRightInd w:val="0"/>
        <w:snapToGrid w:val="0"/>
        <w:spacing w:line="360" w:lineRule="auto"/>
        <w:ind w:firstLine="444" w:firstLineChars="200"/>
        <w:rPr>
          <w:rFonts w:hint="eastAsia" w:ascii="宋体" w:hAnsi="宋体" w:cs="宋体"/>
          <w:spacing w:val="6"/>
          <w:szCs w:val="21"/>
        </w:rPr>
      </w:pPr>
    </w:p>
    <w:p>
      <w:pPr>
        <w:adjustRightInd w:val="0"/>
        <w:snapToGrid w:val="0"/>
        <w:spacing w:line="360" w:lineRule="auto"/>
        <w:ind w:firstLine="444" w:firstLineChars="200"/>
        <w:rPr>
          <w:rFonts w:hint="eastAsia" w:ascii="宋体" w:hAnsi="宋体" w:cs="宋体"/>
          <w:spacing w:val="6"/>
          <w:szCs w:val="21"/>
        </w:rPr>
      </w:pPr>
    </w:p>
    <w:p>
      <w:pPr>
        <w:tabs>
          <w:tab w:val="left" w:pos="4860"/>
        </w:tabs>
        <w:adjustRightInd w:val="0"/>
        <w:snapToGrid w:val="0"/>
        <w:spacing w:line="360" w:lineRule="auto"/>
        <w:ind w:right="1560" w:firstLine="444" w:firstLineChars="200"/>
        <w:jc w:val="center"/>
        <w:rPr>
          <w:rFonts w:hint="eastAsia" w:ascii="宋体" w:hAnsi="宋体" w:cs="宋体"/>
          <w:spacing w:val="6"/>
          <w:szCs w:val="21"/>
        </w:rPr>
      </w:pPr>
      <w:r>
        <w:rPr>
          <w:rFonts w:hint="eastAsia" w:ascii="宋体" w:hAnsi="宋体" w:cs="宋体"/>
          <w:spacing w:val="6"/>
          <w:szCs w:val="21"/>
        </w:rPr>
        <w:t xml:space="preserve">               单位名称（盖章）：</w:t>
      </w:r>
    </w:p>
    <w:p>
      <w:pPr>
        <w:tabs>
          <w:tab w:val="left" w:pos="4860"/>
        </w:tabs>
        <w:adjustRightInd w:val="0"/>
        <w:snapToGrid w:val="0"/>
        <w:spacing w:line="360" w:lineRule="auto"/>
        <w:ind w:right="1560" w:firstLine="444" w:firstLineChars="200"/>
        <w:jc w:val="center"/>
        <w:rPr>
          <w:rFonts w:hint="eastAsia" w:ascii="宋体" w:hAnsi="宋体" w:cs="宋体"/>
          <w:spacing w:val="6"/>
          <w:szCs w:val="21"/>
        </w:rPr>
      </w:pPr>
      <w:r>
        <w:rPr>
          <w:rFonts w:hint="eastAsia" w:ascii="宋体" w:hAnsi="宋体" w:cs="宋体"/>
          <w:spacing w:val="6"/>
          <w:szCs w:val="21"/>
        </w:rPr>
        <w:t xml:space="preserve">       日  期：</w:t>
      </w:r>
    </w:p>
    <w:bookmarkEnd w:id="294"/>
    <w:p>
      <w:pPr>
        <w:pStyle w:val="60"/>
        <w:rPr>
          <w:rFonts w:hint="eastAsia" w:cs="宋体"/>
          <w:spacing w:val="6"/>
        </w:rPr>
      </w:pPr>
    </w:p>
    <w:p>
      <w:pPr>
        <w:adjustRightInd w:val="0"/>
        <w:snapToGrid w:val="0"/>
        <w:spacing w:line="360" w:lineRule="auto"/>
        <w:jc w:val="center"/>
        <w:rPr>
          <w:rFonts w:hint="eastAsia" w:ascii="宋体" w:hAnsi="宋体" w:cs="宋体"/>
          <w:b/>
          <w:sz w:val="28"/>
          <w:szCs w:val="28"/>
        </w:rPr>
      </w:pPr>
    </w:p>
    <w:p>
      <w:pPr>
        <w:adjustRightInd w:val="0"/>
        <w:snapToGrid w:val="0"/>
        <w:spacing w:line="360" w:lineRule="auto"/>
        <w:jc w:val="center"/>
        <w:rPr>
          <w:rFonts w:hint="eastAsia" w:ascii="宋体" w:hAnsi="宋体" w:cs="宋体"/>
          <w:b/>
          <w:sz w:val="28"/>
          <w:szCs w:val="28"/>
        </w:rPr>
      </w:pPr>
    </w:p>
    <w:p>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监狱企业证明资料</w:t>
      </w:r>
    </w:p>
    <w:p>
      <w:pPr>
        <w:adjustRightInd w:val="0"/>
        <w:snapToGrid w:val="0"/>
        <w:spacing w:line="360" w:lineRule="auto"/>
        <w:jc w:val="center"/>
        <w:rPr>
          <w:rFonts w:hint="eastAsia" w:ascii="宋体" w:hAnsi="宋体" w:cs="宋体"/>
          <w:b/>
          <w:spacing w:val="6"/>
          <w:szCs w:val="21"/>
        </w:rPr>
      </w:pPr>
      <w:r>
        <w:rPr>
          <w:rFonts w:hint="eastAsia" w:ascii="宋体" w:hAnsi="宋体" w:cs="宋体"/>
          <w:b/>
          <w:spacing w:val="6"/>
          <w:szCs w:val="21"/>
        </w:rPr>
        <w:t>（不属于监狱企业的无需提供）</w:t>
      </w:r>
    </w:p>
    <w:p>
      <w:pPr>
        <w:adjustRightInd w:val="0"/>
        <w:snapToGrid w:val="0"/>
        <w:spacing w:line="360" w:lineRule="auto"/>
        <w:rPr>
          <w:rFonts w:hint="eastAsia" w:ascii="宋体" w:hAnsi="宋体" w:cs="宋体"/>
          <w:szCs w:val="21"/>
        </w:rPr>
      </w:pPr>
    </w:p>
    <w:p>
      <w:pPr>
        <w:adjustRightInd w:val="0"/>
        <w:snapToGrid w:val="0"/>
        <w:spacing w:line="360" w:lineRule="auto"/>
        <w:ind w:firstLine="444" w:firstLineChars="200"/>
        <w:rPr>
          <w:rFonts w:hint="eastAsia" w:ascii="宋体" w:hAnsi="宋体" w:cs="宋体"/>
          <w:szCs w:val="21"/>
        </w:rPr>
      </w:pPr>
      <w:r>
        <w:rPr>
          <w:rFonts w:hint="eastAsia" w:ascii="宋体" w:hAnsi="宋体" w:cs="宋体"/>
          <w:bCs/>
          <w:spacing w:val="6"/>
          <w:kern w:val="0"/>
          <w:szCs w:val="21"/>
        </w:rPr>
        <w:t>备注：</w:t>
      </w:r>
      <w:r>
        <w:rPr>
          <w:rFonts w:hint="eastAsia" w:ascii="宋体" w:hAnsi="宋体" w:cs="宋体"/>
          <w:szCs w:val="21"/>
        </w:rPr>
        <w:t>按</w:t>
      </w:r>
      <w:r>
        <w:rPr>
          <w:rFonts w:hint="eastAsia" w:ascii="宋体" w:hAnsi="宋体" w:cs="宋体"/>
          <w:spacing w:val="6"/>
          <w:szCs w:val="21"/>
        </w:rPr>
        <w:t>《</w:t>
      </w:r>
      <w:r>
        <w:rPr>
          <w:rFonts w:hint="eastAsia" w:ascii="宋体" w:hAnsi="宋体" w:cs="宋体"/>
          <w:szCs w:val="21"/>
        </w:rPr>
        <w:t>财政部 司法部关于政府采购支持监狱企业发展有关问题的通知</w:t>
      </w:r>
      <w:r>
        <w:rPr>
          <w:rFonts w:hint="eastAsia" w:ascii="宋体" w:hAnsi="宋体" w:cs="宋体"/>
          <w:spacing w:val="6"/>
          <w:szCs w:val="21"/>
        </w:rPr>
        <w:t>》（</w:t>
      </w:r>
      <w:r>
        <w:rPr>
          <w:rFonts w:hint="eastAsia" w:ascii="宋体" w:hAnsi="宋体" w:cs="宋体"/>
          <w:szCs w:val="21"/>
        </w:rPr>
        <w:t>财库〔2014〕68号）文件规定提供证明文件（复印件）。</w:t>
      </w:r>
      <w:bookmarkEnd w:id="295"/>
    </w:p>
    <w:bookmarkEnd w:id="296"/>
    <w:p/>
    <w:p>
      <w:pPr>
        <w:widowControl/>
        <w:adjustRightInd w:val="0"/>
        <w:snapToGrid w:val="0"/>
        <w:spacing w:line="360" w:lineRule="auto"/>
        <w:jc w:val="left"/>
        <w:rPr>
          <w:rFonts w:hint="eastAsia" w:ascii="宋体" w:hAnsi="宋体" w:cs="宋体"/>
          <w:kern w:val="0"/>
          <w:szCs w:val="21"/>
        </w:rPr>
      </w:pPr>
    </w:p>
    <w:p>
      <w:pPr>
        <w:widowControl/>
        <w:jc w:val="left"/>
        <w:rPr>
          <w:rFonts w:hint="eastAsia" w:ascii="宋体" w:hAnsi="宋体" w:cs="宋体"/>
          <w:spacing w:val="6"/>
          <w:kern w:val="0"/>
          <w:szCs w:val="21"/>
        </w:rPr>
      </w:pPr>
      <w:r>
        <w:rPr>
          <w:rFonts w:hint="eastAsia" w:ascii="宋体" w:hAnsi="宋体" w:cs="宋体"/>
          <w:b/>
          <w:bCs/>
          <w:spacing w:val="6"/>
          <w:kern w:val="0"/>
          <w:szCs w:val="21"/>
        </w:rPr>
        <w:br w:type="page"/>
      </w:r>
    </w:p>
    <w:p>
      <w:pPr>
        <w:adjustRightInd w:val="0"/>
        <w:snapToGrid w:val="0"/>
        <w:spacing w:line="360" w:lineRule="auto"/>
        <w:jc w:val="center"/>
        <w:outlineLvl w:val="2"/>
        <w:rPr>
          <w:rFonts w:hint="eastAsia" w:ascii="宋体" w:hAnsi="宋体" w:eastAsia="黑体" w:cs="宋体"/>
          <w:b/>
          <w:bCs/>
          <w:sz w:val="28"/>
          <w:szCs w:val="28"/>
        </w:rPr>
      </w:pPr>
      <w:bookmarkStart w:id="297" w:name="OLE_LINK151"/>
      <w:bookmarkStart w:id="298" w:name="OLE_LINK219"/>
      <w:bookmarkStart w:id="299" w:name="OLE_LINK153"/>
      <w:r>
        <w:rPr>
          <w:rFonts w:hint="eastAsia" w:ascii="宋体" w:hAnsi="宋体" w:eastAsia="黑体" w:cs="宋体"/>
          <w:b/>
          <w:bCs/>
          <w:sz w:val="28"/>
          <w:szCs w:val="28"/>
        </w:rPr>
        <w:t>七、商务要求响应情况</w:t>
      </w:r>
      <w:bookmarkEnd w:id="297"/>
    </w:p>
    <w:p>
      <w:pPr>
        <w:adjustRightInd w:val="0"/>
        <w:snapToGrid w:val="0"/>
        <w:spacing w:before="161" w:beforeLines="50" w:line="360" w:lineRule="auto"/>
        <w:ind w:firstLine="420" w:firstLineChars="200"/>
        <w:rPr>
          <w:rFonts w:hint="eastAsia" w:ascii="宋体" w:hAnsi="宋体" w:cs="宋体"/>
        </w:rPr>
      </w:pPr>
      <w:bookmarkStart w:id="300" w:name="OLE_LINK152"/>
      <w:r>
        <w:rPr>
          <w:rFonts w:hint="eastAsia" w:ascii="宋体" w:hAnsi="宋体" w:cs="宋体"/>
        </w:rPr>
        <w:t>备注：提供本项目招标文件采购需求及评标方法自行编辑。</w:t>
      </w:r>
      <w:bookmarkEnd w:id="298"/>
    </w:p>
    <w:bookmarkEnd w:id="299"/>
    <w:bookmarkEnd w:id="300"/>
    <w:p>
      <w:pPr>
        <w:pStyle w:val="41"/>
        <w:rPr>
          <w:rFonts w:hint="eastAsia" w:ascii="宋体" w:hAnsi="宋体" w:cs="宋体"/>
        </w:rPr>
      </w:pPr>
    </w:p>
    <w:p>
      <w:pPr>
        <w:adjustRightInd w:val="0"/>
        <w:snapToGrid w:val="0"/>
        <w:spacing w:line="360" w:lineRule="auto"/>
        <w:jc w:val="center"/>
        <w:outlineLvl w:val="2"/>
      </w:pPr>
    </w:p>
    <w:p>
      <w:pPr>
        <w:adjustRightInd w:val="0"/>
        <w:snapToGrid w:val="0"/>
        <w:spacing w:line="360" w:lineRule="auto"/>
        <w:jc w:val="center"/>
        <w:outlineLvl w:val="2"/>
        <w:rPr>
          <w:rFonts w:hint="eastAsia" w:ascii="宋体" w:hAnsi="宋体" w:eastAsia="黑体" w:cs="宋体"/>
          <w:b/>
          <w:bCs/>
          <w:sz w:val="28"/>
          <w:szCs w:val="28"/>
          <w:lang w:eastAsia="zh-CN"/>
        </w:rPr>
      </w:pPr>
      <w:bookmarkStart w:id="301" w:name="OLE_LINK154"/>
      <w:bookmarkStart w:id="302" w:name="OLE_LINK220"/>
      <w:bookmarkStart w:id="303" w:name="OLE_LINK155"/>
      <w:r>
        <w:rPr>
          <w:rFonts w:hint="eastAsia" w:ascii="宋体" w:hAnsi="宋体" w:eastAsia="黑体" w:cs="宋体"/>
          <w:b/>
          <w:bCs/>
          <w:sz w:val="28"/>
          <w:szCs w:val="28"/>
        </w:rPr>
        <w:t>八、</w:t>
      </w:r>
      <w:r>
        <w:rPr>
          <w:rFonts w:hint="eastAsia" w:ascii="宋体" w:hAnsi="宋体" w:eastAsia="黑体" w:cs="宋体"/>
          <w:b/>
          <w:bCs/>
          <w:sz w:val="28"/>
          <w:szCs w:val="28"/>
          <w:lang w:eastAsia="zh-CN"/>
        </w:rPr>
        <w:t>培训方案</w:t>
      </w:r>
    </w:p>
    <w:bookmarkEnd w:id="301"/>
    <w:p>
      <w:pPr>
        <w:adjustRightInd w:val="0"/>
        <w:snapToGrid w:val="0"/>
        <w:spacing w:before="161" w:beforeLines="50" w:line="360" w:lineRule="auto"/>
        <w:ind w:firstLine="420" w:firstLineChars="200"/>
        <w:rPr>
          <w:rFonts w:hint="eastAsia" w:ascii="宋体" w:hAnsi="宋体" w:cs="宋体"/>
        </w:rPr>
      </w:pPr>
      <w:r>
        <w:rPr>
          <w:rFonts w:hint="eastAsia" w:ascii="宋体" w:hAnsi="宋体" w:cs="宋体"/>
        </w:rPr>
        <w:t>备注：提供本项目招标文件采购需求及评标方法自行编辑。</w:t>
      </w:r>
      <w:bookmarkEnd w:id="302"/>
    </w:p>
    <w:bookmarkEnd w:id="303"/>
    <w:p>
      <w:pPr>
        <w:adjustRightInd w:val="0"/>
        <w:snapToGrid w:val="0"/>
        <w:spacing w:before="161" w:beforeLines="50" w:line="360" w:lineRule="auto"/>
        <w:ind w:firstLine="420" w:firstLineChars="200"/>
        <w:rPr>
          <w:rFonts w:hint="eastAsia" w:ascii="宋体" w:hAnsi="宋体" w:cs="宋体"/>
        </w:rPr>
      </w:pPr>
    </w:p>
    <w:p>
      <w:pPr>
        <w:adjustRightInd w:val="0"/>
        <w:snapToGrid w:val="0"/>
        <w:spacing w:before="161" w:beforeLines="50" w:line="360" w:lineRule="auto"/>
        <w:ind w:firstLine="562" w:firstLineChars="200"/>
        <w:jc w:val="center"/>
        <w:rPr>
          <w:rFonts w:hint="eastAsia" w:ascii="宋体" w:hAnsi="宋体" w:eastAsia="黑体" w:cs="宋体"/>
          <w:b/>
          <w:bCs/>
          <w:sz w:val="28"/>
          <w:szCs w:val="28"/>
        </w:rPr>
      </w:pPr>
      <w:bookmarkStart w:id="304" w:name="OLE_LINK221"/>
      <w:bookmarkStart w:id="305" w:name="OLE_LINK156"/>
      <w:r>
        <w:rPr>
          <w:rFonts w:hint="eastAsia" w:ascii="宋体" w:hAnsi="宋体" w:eastAsia="黑体" w:cs="宋体"/>
          <w:b/>
          <w:bCs/>
          <w:sz w:val="28"/>
          <w:szCs w:val="28"/>
        </w:rPr>
        <w:t>九、售后服务</w:t>
      </w:r>
    </w:p>
    <w:p>
      <w:pPr>
        <w:adjustRightInd w:val="0"/>
        <w:snapToGrid w:val="0"/>
        <w:spacing w:before="161" w:beforeLines="50" w:line="360" w:lineRule="auto"/>
        <w:ind w:firstLine="420" w:firstLineChars="200"/>
        <w:rPr>
          <w:rFonts w:hint="eastAsia" w:ascii="宋体" w:hAnsi="宋体" w:eastAsia="宋体" w:cs="宋体"/>
        </w:rPr>
      </w:pPr>
      <w:r>
        <w:rPr>
          <w:rFonts w:hint="eastAsia" w:ascii="宋体" w:hAnsi="宋体" w:eastAsia="宋体" w:cs="宋体"/>
        </w:rPr>
        <w:t>备注：提供本项目招标文件采购需求及评标方法自行编辑。</w:t>
      </w:r>
      <w:bookmarkEnd w:id="304"/>
    </w:p>
    <w:bookmarkEnd w:id="305"/>
    <w:p>
      <w:pPr>
        <w:rPr>
          <w:rFonts w:hint="eastAsia" w:ascii="宋体" w:hAnsi="宋体" w:eastAsia="黑体" w:cs="宋体"/>
          <w:b/>
          <w:bCs/>
          <w:sz w:val="28"/>
          <w:szCs w:val="28"/>
        </w:rPr>
      </w:pPr>
      <w:r>
        <w:rPr>
          <w:rFonts w:hint="eastAsia" w:ascii="宋体" w:hAnsi="宋体" w:eastAsia="黑体" w:cs="宋体"/>
          <w:b/>
          <w:bCs/>
          <w:sz w:val="28"/>
          <w:szCs w:val="28"/>
        </w:rPr>
        <w:br w:type="page"/>
      </w:r>
    </w:p>
    <w:p>
      <w:pPr>
        <w:adjustRightInd w:val="0"/>
        <w:snapToGrid w:val="0"/>
        <w:spacing w:line="360" w:lineRule="auto"/>
        <w:jc w:val="center"/>
        <w:outlineLvl w:val="2"/>
        <w:rPr>
          <w:rFonts w:hint="eastAsia" w:ascii="宋体" w:hAnsi="宋体" w:eastAsia="黑体" w:cs="宋体"/>
          <w:b/>
          <w:bCs/>
          <w:sz w:val="28"/>
          <w:szCs w:val="28"/>
        </w:rPr>
      </w:pPr>
      <w:bookmarkStart w:id="306" w:name="OLE_LINK157"/>
      <w:bookmarkStart w:id="307" w:name="OLE_LINK222"/>
      <w:r>
        <w:rPr>
          <w:rFonts w:hint="eastAsia" w:ascii="宋体" w:hAnsi="宋体" w:eastAsia="黑体" w:cs="宋体"/>
          <w:b/>
          <w:bCs/>
          <w:sz w:val="28"/>
          <w:szCs w:val="28"/>
        </w:rPr>
        <w:t>十、类似经验</w:t>
      </w:r>
    </w:p>
    <w:p>
      <w:pPr>
        <w:adjustRightInd w:val="0"/>
        <w:snapToGrid w:val="0"/>
        <w:spacing w:before="161" w:beforeLines="50" w:line="360" w:lineRule="auto"/>
        <w:rPr>
          <w:rFonts w:hint="eastAsia" w:ascii="宋体" w:hAnsi="宋体" w:eastAsia="宋体" w:cs="宋体"/>
        </w:rPr>
      </w:pPr>
    </w:p>
    <w:tbl>
      <w:tblPr>
        <w:tblStyle w:val="42"/>
        <w:tblW w:w="94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978"/>
        <w:gridCol w:w="2301"/>
        <w:gridCol w:w="1877"/>
        <w:gridCol w:w="19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4" w:hRule="atLeast"/>
          <w:tblHeader/>
          <w:jc w:val="center"/>
        </w:trPr>
        <w:tc>
          <w:tcPr>
            <w:tcW w:w="1328" w:type="dxa"/>
            <w:vAlign w:val="center"/>
          </w:tcPr>
          <w:p>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1978" w:type="dxa"/>
            <w:vAlign w:val="center"/>
          </w:tcPr>
          <w:p>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项目名称</w:t>
            </w:r>
          </w:p>
        </w:tc>
        <w:tc>
          <w:tcPr>
            <w:tcW w:w="2301" w:type="dxa"/>
            <w:vAlign w:val="center"/>
          </w:tcPr>
          <w:p>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合同内容</w:t>
            </w:r>
          </w:p>
        </w:tc>
        <w:tc>
          <w:tcPr>
            <w:tcW w:w="1877" w:type="dxa"/>
            <w:vAlign w:val="center"/>
          </w:tcPr>
          <w:p>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签约日期</w:t>
            </w:r>
          </w:p>
        </w:tc>
        <w:tc>
          <w:tcPr>
            <w:tcW w:w="1934" w:type="dxa"/>
            <w:vAlign w:val="center"/>
          </w:tcPr>
          <w:p>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用户联系人及电话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28" w:type="dxa"/>
            <w:vAlign w:val="center"/>
          </w:tcPr>
          <w:p>
            <w:pPr>
              <w:widowControl/>
              <w:spacing w:line="500" w:lineRule="exact"/>
              <w:jc w:val="center"/>
              <w:rPr>
                <w:rFonts w:hint="eastAsia" w:ascii="宋体" w:hAnsi="宋体" w:eastAsia="宋体" w:cs="宋体"/>
                <w:kern w:val="0"/>
                <w:szCs w:val="21"/>
              </w:rPr>
            </w:pPr>
          </w:p>
        </w:tc>
        <w:tc>
          <w:tcPr>
            <w:tcW w:w="1978" w:type="dxa"/>
            <w:vAlign w:val="center"/>
          </w:tcPr>
          <w:p>
            <w:pPr>
              <w:widowControl/>
              <w:spacing w:line="500" w:lineRule="exact"/>
              <w:jc w:val="center"/>
              <w:rPr>
                <w:rFonts w:hint="eastAsia" w:ascii="宋体" w:hAnsi="宋体" w:eastAsia="宋体" w:cs="宋体"/>
                <w:kern w:val="0"/>
                <w:szCs w:val="21"/>
              </w:rPr>
            </w:pPr>
          </w:p>
        </w:tc>
        <w:tc>
          <w:tcPr>
            <w:tcW w:w="2301" w:type="dxa"/>
            <w:vAlign w:val="center"/>
          </w:tcPr>
          <w:p>
            <w:pPr>
              <w:widowControl/>
              <w:spacing w:line="500" w:lineRule="exact"/>
              <w:jc w:val="center"/>
              <w:rPr>
                <w:rFonts w:hint="eastAsia" w:ascii="宋体" w:hAnsi="宋体" w:eastAsia="宋体" w:cs="宋体"/>
                <w:kern w:val="0"/>
                <w:szCs w:val="21"/>
              </w:rPr>
            </w:pPr>
          </w:p>
        </w:tc>
        <w:tc>
          <w:tcPr>
            <w:tcW w:w="1877" w:type="dxa"/>
            <w:vAlign w:val="center"/>
          </w:tcPr>
          <w:p>
            <w:pPr>
              <w:widowControl/>
              <w:spacing w:line="500" w:lineRule="exact"/>
              <w:jc w:val="center"/>
              <w:rPr>
                <w:rFonts w:hint="eastAsia" w:ascii="宋体" w:hAnsi="宋体" w:eastAsia="宋体" w:cs="宋体"/>
                <w:kern w:val="0"/>
                <w:szCs w:val="21"/>
              </w:rPr>
            </w:pPr>
          </w:p>
        </w:tc>
        <w:tc>
          <w:tcPr>
            <w:tcW w:w="1934" w:type="dxa"/>
            <w:vAlign w:val="center"/>
          </w:tcPr>
          <w:p>
            <w:pPr>
              <w:widowControl/>
              <w:spacing w:line="500" w:lineRule="exact"/>
              <w:jc w:val="center"/>
              <w:rPr>
                <w:rFonts w:hint="eastAsia" w:ascii="宋体" w:hAnsi="宋体" w:eastAsia="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28" w:type="dxa"/>
            <w:vAlign w:val="center"/>
          </w:tcPr>
          <w:p>
            <w:pPr>
              <w:widowControl/>
              <w:spacing w:line="500" w:lineRule="exact"/>
              <w:jc w:val="center"/>
              <w:rPr>
                <w:rFonts w:hint="eastAsia" w:ascii="宋体" w:hAnsi="宋体" w:eastAsia="宋体" w:cs="宋体"/>
                <w:kern w:val="0"/>
                <w:szCs w:val="21"/>
              </w:rPr>
            </w:pPr>
          </w:p>
        </w:tc>
        <w:tc>
          <w:tcPr>
            <w:tcW w:w="1978" w:type="dxa"/>
            <w:vAlign w:val="center"/>
          </w:tcPr>
          <w:p>
            <w:pPr>
              <w:widowControl/>
              <w:spacing w:line="500" w:lineRule="exact"/>
              <w:jc w:val="center"/>
              <w:rPr>
                <w:rFonts w:hint="eastAsia" w:ascii="宋体" w:hAnsi="宋体" w:eastAsia="宋体" w:cs="宋体"/>
                <w:kern w:val="0"/>
                <w:szCs w:val="21"/>
              </w:rPr>
            </w:pPr>
          </w:p>
        </w:tc>
        <w:tc>
          <w:tcPr>
            <w:tcW w:w="2301" w:type="dxa"/>
            <w:vAlign w:val="center"/>
          </w:tcPr>
          <w:p>
            <w:pPr>
              <w:widowControl/>
              <w:spacing w:line="500" w:lineRule="exact"/>
              <w:jc w:val="center"/>
              <w:rPr>
                <w:rFonts w:hint="eastAsia" w:ascii="宋体" w:hAnsi="宋体" w:eastAsia="宋体" w:cs="宋体"/>
                <w:kern w:val="0"/>
                <w:szCs w:val="21"/>
              </w:rPr>
            </w:pPr>
          </w:p>
        </w:tc>
        <w:tc>
          <w:tcPr>
            <w:tcW w:w="1877" w:type="dxa"/>
            <w:vAlign w:val="center"/>
          </w:tcPr>
          <w:p>
            <w:pPr>
              <w:widowControl/>
              <w:spacing w:line="500" w:lineRule="exact"/>
              <w:jc w:val="center"/>
              <w:rPr>
                <w:rFonts w:hint="eastAsia" w:ascii="宋体" w:hAnsi="宋体" w:eastAsia="宋体" w:cs="宋体"/>
                <w:kern w:val="0"/>
                <w:szCs w:val="21"/>
              </w:rPr>
            </w:pPr>
          </w:p>
        </w:tc>
        <w:tc>
          <w:tcPr>
            <w:tcW w:w="1934" w:type="dxa"/>
            <w:vAlign w:val="center"/>
          </w:tcPr>
          <w:p>
            <w:pPr>
              <w:widowControl/>
              <w:spacing w:line="500" w:lineRule="exact"/>
              <w:jc w:val="center"/>
              <w:rPr>
                <w:rFonts w:hint="eastAsia" w:ascii="宋体" w:hAnsi="宋体" w:eastAsia="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28" w:type="dxa"/>
            <w:vAlign w:val="center"/>
          </w:tcPr>
          <w:p>
            <w:pPr>
              <w:widowControl/>
              <w:spacing w:line="500" w:lineRule="exact"/>
              <w:jc w:val="center"/>
              <w:rPr>
                <w:rFonts w:hint="eastAsia" w:ascii="宋体" w:hAnsi="宋体" w:eastAsia="宋体" w:cs="宋体"/>
                <w:kern w:val="0"/>
                <w:szCs w:val="21"/>
              </w:rPr>
            </w:pPr>
          </w:p>
        </w:tc>
        <w:tc>
          <w:tcPr>
            <w:tcW w:w="1978" w:type="dxa"/>
            <w:vAlign w:val="center"/>
          </w:tcPr>
          <w:p>
            <w:pPr>
              <w:widowControl/>
              <w:spacing w:line="500" w:lineRule="exact"/>
              <w:jc w:val="center"/>
              <w:rPr>
                <w:rFonts w:hint="eastAsia" w:ascii="宋体" w:hAnsi="宋体" w:eastAsia="宋体" w:cs="宋体"/>
                <w:kern w:val="0"/>
                <w:szCs w:val="21"/>
              </w:rPr>
            </w:pPr>
          </w:p>
        </w:tc>
        <w:tc>
          <w:tcPr>
            <w:tcW w:w="2301" w:type="dxa"/>
            <w:vAlign w:val="center"/>
          </w:tcPr>
          <w:p>
            <w:pPr>
              <w:widowControl/>
              <w:spacing w:line="500" w:lineRule="exact"/>
              <w:jc w:val="center"/>
              <w:rPr>
                <w:rFonts w:hint="eastAsia" w:ascii="宋体" w:hAnsi="宋体" w:eastAsia="宋体" w:cs="宋体"/>
                <w:kern w:val="0"/>
                <w:szCs w:val="21"/>
              </w:rPr>
            </w:pPr>
          </w:p>
        </w:tc>
        <w:tc>
          <w:tcPr>
            <w:tcW w:w="1877" w:type="dxa"/>
            <w:vAlign w:val="center"/>
          </w:tcPr>
          <w:p>
            <w:pPr>
              <w:widowControl/>
              <w:spacing w:line="500" w:lineRule="exact"/>
              <w:jc w:val="center"/>
              <w:rPr>
                <w:rFonts w:hint="eastAsia" w:ascii="宋体" w:hAnsi="宋体" w:eastAsia="宋体" w:cs="宋体"/>
                <w:kern w:val="0"/>
                <w:szCs w:val="21"/>
              </w:rPr>
            </w:pPr>
          </w:p>
        </w:tc>
        <w:tc>
          <w:tcPr>
            <w:tcW w:w="1934" w:type="dxa"/>
            <w:vAlign w:val="center"/>
          </w:tcPr>
          <w:p>
            <w:pPr>
              <w:widowControl/>
              <w:spacing w:line="500" w:lineRule="exact"/>
              <w:jc w:val="center"/>
              <w:rPr>
                <w:rFonts w:hint="eastAsia" w:ascii="宋体" w:hAnsi="宋体" w:eastAsia="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28" w:type="dxa"/>
            <w:vAlign w:val="center"/>
          </w:tcPr>
          <w:p>
            <w:pPr>
              <w:widowControl/>
              <w:spacing w:line="500" w:lineRule="exact"/>
              <w:jc w:val="center"/>
              <w:rPr>
                <w:rFonts w:hint="eastAsia" w:ascii="宋体" w:hAnsi="宋体" w:eastAsia="宋体" w:cs="宋体"/>
                <w:kern w:val="0"/>
                <w:szCs w:val="21"/>
              </w:rPr>
            </w:pPr>
          </w:p>
        </w:tc>
        <w:tc>
          <w:tcPr>
            <w:tcW w:w="1978" w:type="dxa"/>
            <w:vAlign w:val="center"/>
          </w:tcPr>
          <w:p>
            <w:pPr>
              <w:widowControl/>
              <w:spacing w:line="500" w:lineRule="exact"/>
              <w:jc w:val="center"/>
              <w:rPr>
                <w:rFonts w:hint="eastAsia" w:ascii="宋体" w:hAnsi="宋体" w:eastAsia="宋体" w:cs="宋体"/>
                <w:kern w:val="0"/>
                <w:szCs w:val="21"/>
              </w:rPr>
            </w:pPr>
          </w:p>
        </w:tc>
        <w:tc>
          <w:tcPr>
            <w:tcW w:w="2301" w:type="dxa"/>
            <w:vAlign w:val="center"/>
          </w:tcPr>
          <w:p>
            <w:pPr>
              <w:widowControl/>
              <w:spacing w:line="500" w:lineRule="exact"/>
              <w:jc w:val="center"/>
              <w:rPr>
                <w:rFonts w:hint="eastAsia" w:ascii="宋体" w:hAnsi="宋体" w:eastAsia="宋体" w:cs="宋体"/>
                <w:kern w:val="0"/>
                <w:szCs w:val="21"/>
              </w:rPr>
            </w:pPr>
          </w:p>
        </w:tc>
        <w:tc>
          <w:tcPr>
            <w:tcW w:w="1877" w:type="dxa"/>
            <w:vAlign w:val="center"/>
          </w:tcPr>
          <w:p>
            <w:pPr>
              <w:widowControl/>
              <w:spacing w:line="500" w:lineRule="exact"/>
              <w:jc w:val="center"/>
              <w:rPr>
                <w:rFonts w:hint="eastAsia" w:ascii="宋体" w:hAnsi="宋体" w:eastAsia="宋体" w:cs="宋体"/>
                <w:kern w:val="0"/>
                <w:szCs w:val="21"/>
              </w:rPr>
            </w:pPr>
          </w:p>
        </w:tc>
        <w:tc>
          <w:tcPr>
            <w:tcW w:w="1934" w:type="dxa"/>
            <w:vAlign w:val="center"/>
          </w:tcPr>
          <w:p>
            <w:pPr>
              <w:widowControl/>
              <w:spacing w:line="500" w:lineRule="exact"/>
              <w:jc w:val="center"/>
              <w:rPr>
                <w:rFonts w:hint="eastAsia" w:ascii="宋体" w:hAnsi="宋体" w:eastAsia="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328" w:type="dxa"/>
            <w:vAlign w:val="center"/>
          </w:tcPr>
          <w:p>
            <w:pPr>
              <w:widowControl/>
              <w:spacing w:line="500" w:lineRule="exact"/>
              <w:jc w:val="center"/>
              <w:rPr>
                <w:rFonts w:hint="eastAsia" w:ascii="宋体" w:hAnsi="宋体" w:eastAsia="宋体" w:cs="宋体"/>
                <w:kern w:val="0"/>
                <w:szCs w:val="21"/>
              </w:rPr>
            </w:pPr>
          </w:p>
        </w:tc>
        <w:tc>
          <w:tcPr>
            <w:tcW w:w="1978" w:type="dxa"/>
            <w:vAlign w:val="center"/>
          </w:tcPr>
          <w:p>
            <w:pPr>
              <w:widowControl/>
              <w:spacing w:line="500" w:lineRule="exact"/>
              <w:jc w:val="center"/>
              <w:rPr>
                <w:rFonts w:hint="eastAsia" w:ascii="宋体" w:hAnsi="宋体" w:eastAsia="宋体" w:cs="宋体"/>
                <w:kern w:val="0"/>
                <w:szCs w:val="21"/>
              </w:rPr>
            </w:pPr>
          </w:p>
        </w:tc>
        <w:tc>
          <w:tcPr>
            <w:tcW w:w="2301" w:type="dxa"/>
            <w:vAlign w:val="center"/>
          </w:tcPr>
          <w:p>
            <w:pPr>
              <w:widowControl/>
              <w:spacing w:line="500" w:lineRule="exact"/>
              <w:jc w:val="center"/>
              <w:rPr>
                <w:rFonts w:hint="eastAsia" w:ascii="宋体" w:hAnsi="宋体" w:eastAsia="宋体" w:cs="宋体"/>
                <w:kern w:val="0"/>
                <w:szCs w:val="21"/>
              </w:rPr>
            </w:pPr>
          </w:p>
        </w:tc>
        <w:tc>
          <w:tcPr>
            <w:tcW w:w="1877" w:type="dxa"/>
            <w:vAlign w:val="center"/>
          </w:tcPr>
          <w:p>
            <w:pPr>
              <w:widowControl/>
              <w:spacing w:line="500" w:lineRule="exact"/>
              <w:jc w:val="center"/>
              <w:rPr>
                <w:rFonts w:hint="eastAsia" w:ascii="宋体" w:hAnsi="宋体" w:eastAsia="宋体" w:cs="宋体"/>
                <w:kern w:val="0"/>
                <w:szCs w:val="21"/>
              </w:rPr>
            </w:pPr>
          </w:p>
        </w:tc>
        <w:tc>
          <w:tcPr>
            <w:tcW w:w="1934" w:type="dxa"/>
            <w:vAlign w:val="center"/>
          </w:tcPr>
          <w:p>
            <w:pPr>
              <w:widowControl/>
              <w:spacing w:line="500" w:lineRule="exact"/>
              <w:jc w:val="center"/>
              <w:rPr>
                <w:rFonts w:hint="eastAsia" w:ascii="宋体" w:hAnsi="宋体" w:eastAsia="宋体" w:cs="宋体"/>
                <w:kern w:val="0"/>
                <w:szCs w:val="21"/>
              </w:rPr>
            </w:pPr>
          </w:p>
        </w:tc>
      </w:tr>
    </w:tbl>
    <w:p>
      <w:pPr>
        <w:jc w:val="left"/>
        <w:rPr>
          <w:rFonts w:hint="eastAsia" w:ascii="宋体" w:hAnsi="宋体" w:eastAsia="宋体" w:cs="新宋体"/>
          <w:kern w:val="0"/>
          <w:sz w:val="18"/>
          <w:szCs w:val="18"/>
        </w:rPr>
      </w:pPr>
    </w:p>
    <w:p>
      <w:pPr>
        <w:adjustRightInd w:val="0"/>
        <w:snapToGrid w:val="0"/>
        <w:spacing w:before="161" w:beforeLines="50" w:line="360" w:lineRule="auto"/>
        <w:ind w:firstLine="361" w:firstLineChars="200"/>
        <w:rPr>
          <w:rFonts w:hint="eastAsia" w:ascii="宋体" w:hAnsi="宋体" w:eastAsia="宋体" w:cs="宋体"/>
        </w:rPr>
      </w:pPr>
      <w:r>
        <w:rPr>
          <w:rFonts w:hint="eastAsia" w:ascii="宋体" w:hAnsi="宋体" w:eastAsia="宋体" w:cs="新宋体"/>
          <w:b/>
          <w:bCs/>
          <w:kern w:val="0"/>
          <w:sz w:val="18"/>
          <w:szCs w:val="18"/>
        </w:rPr>
        <w:t>说明：投标文件中需提供合同复印件（至少包括合同首页、关键页及签章页）并加盖投标人单位公章</w:t>
      </w:r>
      <w:r>
        <w:rPr>
          <w:rFonts w:hint="eastAsia" w:ascii="宋体" w:hAnsi="宋体" w:eastAsia="宋体" w:cs="新宋体"/>
          <w:b/>
          <w:bCs/>
          <w:kern w:val="0"/>
          <w:sz w:val="18"/>
          <w:szCs w:val="18"/>
          <w:lang w:val="zh-CN"/>
        </w:rPr>
        <w:t>，否则不计分</w:t>
      </w:r>
      <w:r>
        <w:rPr>
          <w:rFonts w:hint="eastAsia" w:ascii="宋体" w:hAnsi="宋体" w:eastAsia="宋体" w:cs="新宋体"/>
          <w:b/>
          <w:bCs/>
          <w:kern w:val="0"/>
          <w:sz w:val="18"/>
          <w:szCs w:val="18"/>
        </w:rPr>
        <w:t>。</w:t>
      </w:r>
      <w:bookmarkEnd w:id="306"/>
    </w:p>
    <w:bookmarkEnd w:id="307"/>
    <w:p>
      <w:pPr>
        <w:rPr>
          <w:rFonts w:hint="eastAsia" w:ascii="宋体" w:hAnsi="宋体" w:eastAsia="宋体" w:cs="宋体"/>
          <w:szCs w:val="21"/>
        </w:rPr>
      </w:pPr>
      <w:r>
        <w:rPr>
          <w:rFonts w:hint="eastAsia" w:ascii="宋体" w:hAnsi="宋体" w:eastAsia="宋体" w:cs="宋体"/>
          <w:szCs w:val="21"/>
        </w:rPr>
        <w:br w:type="page"/>
      </w:r>
    </w:p>
    <w:p>
      <w:pPr>
        <w:adjustRightInd w:val="0"/>
        <w:snapToGrid w:val="0"/>
        <w:spacing w:line="360" w:lineRule="auto"/>
        <w:jc w:val="center"/>
        <w:outlineLvl w:val="2"/>
        <w:rPr>
          <w:rFonts w:hint="eastAsia" w:ascii="宋体" w:hAnsi="宋体" w:eastAsia="黑体" w:cs="宋体"/>
          <w:b/>
          <w:bCs/>
          <w:sz w:val="28"/>
          <w:szCs w:val="28"/>
        </w:rPr>
      </w:pPr>
      <w:bookmarkStart w:id="308" w:name="OLE_LINK223"/>
      <w:bookmarkStart w:id="309" w:name="OLE_LINK158"/>
      <w:r>
        <w:rPr>
          <w:rFonts w:hint="eastAsia" w:ascii="宋体" w:hAnsi="宋体" w:eastAsia="黑体" w:cs="宋体"/>
          <w:b/>
          <w:bCs/>
          <w:sz w:val="28"/>
          <w:szCs w:val="28"/>
        </w:rPr>
        <w:t>十一、投标人认为需提供的其他资料</w:t>
      </w:r>
      <w:bookmarkEnd w:id="308"/>
    </w:p>
    <w:bookmarkEnd w:id="309"/>
    <w:p>
      <w:pPr>
        <w:adjustRightInd w:val="0"/>
        <w:snapToGrid w:val="0"/>
        <w:spacing w:before="161" w:beforeLines="50" w:line="360" w:lineRule="auto"/>
        <w:ind w:firstLine="422" w:firstLineChars="200"/>
        <w:rPr>
          <w:rFonts w:hint="eastAsia" w:ascii="Times New Roman" w:hAnsi="Times New Roman" w:eastAsia="宋体" w:cs="Times New Roman"/>
          <w:b/>
          <w:bCs/>
          <w:highlight w:val="yellow"/>
          <w:lang w:val="en-US" w:eastAsia="zh-CN"/>
        </w:rPr>
      </w:pPr>
    </w:p>
    <w:p>
      <w:pPr>
        <w:adjustRightInd w:val="0"/>
        <w:snapToGrid w:val="0"/>
        <w:spacing w:before="161" w:beforeLines="50" w:line="360" w:lineRule="auto"/>
        <w:ind w:firstLine="422" w:firstLineChars="200"/>
        <w:rPr>
          <w:rFonts w:hint="eastAsia" w:ascii="宋体" w:hAnsi="宋体" w:eastAsia="宋体" w:cs="Times New Roman"/>
          <w:b/>
          <w:bCs/>
          <w:color w:val="auto"/>
          <w:szCs w:val="21"/>
          <w:highlight w:val="none"/>
          <w:lang w:val="en-US" w:eastAsia="zh-CN"/>
        </w:rPr>
      </w:pPr>
    </w:p>
    <w:p>
      <w:pPr>
        <w:adjustRightInd w:val="0"/>
        <w:snapToGrid w:val="0"/>
        <w:spacing w:before="161" w:beforeLines="50" w:line="360" w:lineRule="auto"/>
        <w:ind w:firstLine="420" w:firstLineChars="200"/>
        <w:rPr>
          <w:rFonts w:hint="eastAsia" w:ascii="宋体" w:hAnsi="宋体" w:eastAsia="宋体" w:cs="宋体"/>
        </w:rPr>
      </w:pPr>
      <w:r>
        <w:rPr>
          <w:rFonts w:hint="eastAsia" w:ascii="宋体" w:hAnsi="宋体" w:eastAsia="宋体" w:cs="宋体"/>
          <w:szCs w:val="21"/>
        </w:rPr>
        <w:br w:type="page"/>
      </w:r>
    </w:p>
    <w:p>
      <w:pPr>
        <w:widowControl w:val="0"/>
        <w:adjustRightInd w:val="0"/>
        <w:snapToGrid w:val="0"/>
        <w:spacing w:line="360" w:lineRule="auto"/>
        <w:jc w:val="center"/>
        <w:rPr>
          <w:rFonts w:hint="eastAsia" w:ascii="宋体" w:hAnsi="宋体" w:eastAsia="宋体" w:cs="宋体"/>
          <w:bCs/>
          <w:kern w:val="2"/>
          <w:sz w:val="72"/>
          <w:szCs w:val="72"/>
          <w:lang w:val="en-US" w:eastAsia="zh-CN" w:bidi="ar-SA"/>
        </w:rPr>
      </w:pPr>
      <w:bookmarkStart w:id="310" w:name="OLE_LINK159"/>
    </w:p>
    <w:p>
      <w:pPr>
        <w:widowControl w:val="0"/>
        <w:adjustRightInd w:val="0"/>
        <w:snapToGrid w:val="0"/>
        <w:spacing w:line="360" w:lineRule="auto"/>
        <w:jc w:val="center"/>
        <w:rPr>
          <w:rFonts w:hint="eastAsia" w:ascii="宋体" w:hAnsi="宋体" w:eastAsia="宋体" w:cs="宋体"/>
          <w:bCs/>
          <w:kern w:val="2"/>
          <w:sz w:val="72"/>
          <w:szCs w:val="72"/>
          <w:lang w:val="en-US" w:eastAsia="zh-CN" w:bidi="ar-SA"/>
        </w:rPr>
      </w:pPr>
      <w:r>
        <w:rPr>
          <w:rFonts w:hint="eastAsia" w:ascii="宋体" w:hAnsi="宋体" w:eastAsia="宋体" w:cs="宋体"/>
          <w:bCs/>
          <w:kern w:val="2"/>
          <w:sz w:val="72"/>
          <w:szCs w:val="72"/>
          <w:lang w:val="en-US" w:eastAsia="zh-CN" w:bidi="ar-SA"/>
        </w:rPr>
        <w:t>政府采购</w:t>
      </w:r>
    </w:p>
    <w:p>
      <w:pPr>
        <w:adjustRightInd w:val="0"/>
        <w:snapToGrid w:val="0"/>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rPr>
        <w:t>投 标 文 件</w:t>
      </w:r>
    </w:p>
    <w:p>
      <w:pPr>
        <w:keepNext/>
        <w:keepLines/>
        <w:widowControl w:val="0"/>
        <w:adjustRightInd w:val="0"/>
        <w:snapToGrid w:val="0"/>
        <w:spacing w:line="360" w:lineRule="auto"/>
        <w:jc w:val="center"/>
        <w:outlineLvl w:val="1"/>
        <w:rPr>
          <w:rFonts w:hint="eastAsia" w:ascii="宋体" w:hAnsi="宋体" w:eastAsia="宋体" w:cs="宋体"/>
          <w:b/>
          <w:bCs/>
          <w:kern w:val="2"/>
          <w:sz w:val="44"/>
          <w:szCs w:val="44"/>
          <w:lang w:val="en-US" w:eastAsia="zh-CN" w:bidi="ar-SA"/>
        </w:rPr>
      </w:pPr>
      <w:bookmarkStart w:id="311" w:name="_Toc15033"/>
      <w:r>
        <w:rPr>
          <w:rFonts w:hint="eastAsia" w:ascii="宋体" w:hAnsi="宋体" w:eastAsia="宋体" w:cs="宋体"/>
          <w:b/>
          <w:bCs/>
          <w:kern w:val="2"/>
          <w:sz w:val="44"/>
          <w:szCs w:val="44"/>
          <w:lang w:val="en-US" w:eastAsia="zh-CN" w:bidi="ar-SA"/>
        </w:rPr>
        <w:t>第三部分 技术文件</w:t>
      </w:r>
      <w:bookmarkEnd w:id="311"/>
    </w:p>
    <w:p>
      <w:pPr>
        <w:adjustRightInd w:val="0"/>
        <w:snapToGrid w:val="0"/>
        <w:spacing w:line="360" w:lineRule="auto"/>
        <w:rPr>
          <w:rFonts w:hint="eastAsia" w:ascii="宋体" w:hAnsi="宋体" w:eastAsia="宋体" w:cs="宋体"/>
          <w:sz w:val="32"/>
          <w:szCs w:val="32"/>
        </w:rPr>
      </w:pP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lang w:val="en-US" w:eastAsia="zh-CN" w:bidi="ar-SA"/>
        </w:rPr>
      </w:pP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lang w:val="en-US" w:eastAsia="zh-CN" w:bidi="ar-SA"/>
        </w:rPr>
      </w:pP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u w:val="single"/>
          <w:lang w:val="en-US" w:eastAsia="zh-CN" w:bidi="ar-SA"/>
        </w:rPr>
      </w:pPr>
      <w:r>
        <w:rPr>
          <w:rFonts w:hint="eastAsia" w:ascii="宋体" w:hAnsi="宋体" w:eastAsia="宋体" w:cs="宋体"/>
          <w:b/>
          <w:bCs/>
          <w:kern w:val="2"/>
          <w:sz w:val="30"/>
          <w:szCs w:val="30"/>
          <w:lang w:val="en-US" w:eastAsia="zh-CN" w:bidi="ar-SA"/>
        </w:rPr>
        <w:t>采购项目名称：</w:t>
      </w:r>
      <w:r>
        <w:rPr>
          <w:rFonts w:hint="eastAsia" w:ascii="宋体" w:hAnsi="宋体" w:eastAsia="宋体" w:cs="宋体"/>
          <w:b/>
          <w:bCs/>
          <w:kern w:val="2"/>
          <w:sz w:val="30"/>
          <w:szCs w:val="30"/>
          <w:u w:val="single"/>
          <w:lang w:val="en-US" w:eastAsia="zh-CN" w:bidi="ar-SA"/>
        </w:rPr>
        <w:t xml:space="preserve">                       </w:t>
      </w: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u w:val="single"/>
          <w:lang w:val="en-US" w:eastAsia="zh-CN" w:bidi="ar-SA"/>
        </w:rPr>
      </w:pPr>
      <w:r>
        <w:rPr>
          <w:rFonts w:hint="eastAsia" w:ascii="宋体" w:hAnsi="宋体" w:eastAsia="宋体" w:cs="宋体"/>
          <w:b/>
          <w:bCs/>
          <w:kern w:val="2"/>
          <w:sz w:val="30"/>
          <w:szCs w:val="30"/>
          <w:lang w:val="en-US" w:eastAsia="zh-CN" w:bidi="ar-SA"/>
        </w:rPr>
        <w:t>政府采购编号：</w:t>
      </w:r>
      <w:r>
        <w:rPr>
          <w:rFonts w:hint="eastAsia" w:ascii="宋体" w:hAnsi="宋体" w:eastAsia="宋体" w:cs="宋体"/>
          <w:b/>
          <w:bCs/>
          <w:kern w:val="2"/>
          <w:sz w:val="30"/>
          <w:szCs w:val="30"/>
          <w:u w:val="single"/>
          <w:lang w:val="en-US" w:eastAsia="zh-CN" w:bidi="ar-SA"/>
        </w:rPr>
        <w:t xml:space="preserve">                       </w:t>
      </w: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u w:val="single"/>
          <w:lang w:val="en-US" w:eastAsia="zh-CN" w:bidi="ar-SA"/>
        </w:rPr>
      </w:pPr>
      <w:r>
        <w:rPr>
          <w:rFonts w:hint="eastAsia" w:ascii="宋体" w:hAnsi="宋体" w:eastAsia="宋体" w:cs="宋体"/>
          <w:b/>
          <w:bCs/>
          <w:kern w:val="2"/>
          <w:sz w:val="30"/>
          <w:szCs w:val="30"/>
          <w:lang w:val="en-US" w:eastAsia="zh-CN" w:bidi="ar-SA"/>
        </w:rPr>
        <w:t>采购代理编号：</w:t>
      </w:r>
      <w:r>
        <w:rPr>
          <w:rFonts w:hint="eastAsia" w:ascii="宋体" w:hAnsi="宋体" w:eastAsia="宋体" w:cs="宋体"/>
          <w:b/>
          <w:bCs/>
          <w:kern w:val="2"/>
          <w:sz w:val="30"/>
          <w:szCs w:val="30"/>
          <w:u w:val="single"/>
          <w:lang w:val="en-US" w:eastAsia="zh-CN" w:bidi="ar-SA"/>
        </w:rPr>
        <w:t xml:space="preserve">                       </w:t>
      </w:r>
    </w:p>
    <w:p>
      <w:pPr>
        <w:adjustRightInd w:val="0"/>
        <w:snapToGrid w:val="0"/>
        <w:spacing w:line="360" w:lineRule="auto"/>
        <w:rPr>
          <w:rFonts w:hint="eastAsia" w:ascii="宋体" w:hAnsi="宋体" w:eastAsia="宋体" w:cs="宋体"/>
          <w:sz w:val="30"/>
          <w:szCs w:val="30"/>
        </w:rPr>
      </w:pPr>
    </w:p>
    <w:p>
      <w:pPr>
        <w:widowControl/>
        <w:ind w:firstLine="420"/>
        <w:jc w:val="left"/>
        <w:rPr>
          <w:rFonts w:ascii="Times New Roman" w:hAnsi="Times New Roman" w:eastAsia="宋体" w:cs="Times New Roman"/>
          <w:kern w:val="0"/>
          <w:sz w:val="20"/>
          <w:szCs w:val="20"/>
          <w:lang w:val="en-US" w:eastAsia="zh-CN" w:bidi="ar-SA"/>
        </w:rPr>
      </w:pPr>
    </w:p>
    <w:p>
      <w:pPr>
        <w:adjustRightInd w:val="0"/>
        <w:snapToGrid w:val="0"/>
        <w:spacing w:line="360" w:lineRule="auto"/>
        <w:rPr>
          <w:rFonts w:hint="eastAsia" w:ascii="宋体" w:hAnsi="宋体" w:eastAsia="宋体" w:cs="宋体"/>
          <w:sz w:val="30"/>
          <w:szCs w:val="30"/>
        </w:rPr>
      </w:pPr>
    </w:p>
    <w:p>
      <w:pPr>
        <w:adjustRightInd w:val="0"/>
        <w:snapToGrid w:val="0"/>
        <w:spacing w:line="360" w:lineRule="auto"/>
        <w:rPr>
          <w:rFonts w:hint="eastAsia" w:ascii="宋体" w:hAnsi="宋体" w:eastAsia="宋体" w:cs="宋体"/>
          <w:sz w:val="30"/>
          <w:szCs w:val="30"/>
        </w:rPr>
      </w:pPr>
    </w:p>
    <w:p>
      <w:pPr>
        <w:adjustRightInd w:val="0"/>
        <w:snapToGrid w:val="0"/>
        <w:spacing w:line="360" w:lineRule="auto"/>
        <w:rPr>
          <w:rFonts w:hint="eastAsia" w:ascii="宋体" w:hAnsi="宋体" w:eastAsia="宋体" w:cs="宋体"/>
          <w:sz w:val="30"/>
          <w:szCs w:val="30"/>
        </w:rPr>
      </w:pPr>
    </w:p>
    <w:p>
      <w:pPr>
        <w:adjustRightInd w:val="0"/>
        <w:snapToGrid w:val="0"/>
        <w:spacing w:line="360" w:lineRule="auto"/>
        <w:ind w:left="1273" w:leftChars="606" w:firstLine="2"/>
        <w:rPr>
          <w:rFonts w:hint="eastAsia" w:ascii="宋体" w:hAnsi="宋体" w:eastAsia="宋体" w:cs="宋体"/>
          <w:sz w:val="32"/>
          <w:szCs w:val="32"/>
          <w:u w:val="single"/>
        </w:rPr>
      </w:pPr>
      <w:r>
        <w:rPr>
          <w:rFonts w:hint="eastAsia" w:ascii="宋体" w:hAnsi="宋体" w:eastAsia="宋体" w:cs="宋体"/>
          <w:sz w:val="32"/>
          <w:szCs w:val="32"/>
        </w:rPr>
        <w:t>投标人</w:t>
      </w:r>
      <w:r>
        <w:rPr>
          <w:rFonts w:hint="eastAsia" w:ascii="宋体" w:hAnsi="宋体" w:eastAsia="宋体" w:cs="宋体"/>
          <w:sz w:val="32"/>
          <w:szCs w:val="32"/>
          <w:u w:val="single"/>
        </w:rPr>
        <w:t xml:space="preserve">                         </w:t>
      </w:r>
    </w:p>
    <w:p>
      <w:pPr>
        <w:adjustRightInd w:val="0"/>
        <w:snapToGrid w:val="0"/>
        <w:spacing w:line="360" w:lineRule="auto"/>
        <w:jc w:val="center"/>
        <w:rPr>
          <w:rFonts w:hint="eastAsia" w:ascii="宋体" w:hAnsi="宋体" w:eastAsia="宋体" w:cs="宋体"/>
          <w:sz w:val="32"/>
          <w:szCs w:val="32"/>
        </w:rPr>
      </w:pPr>
      <w:r>
        <w:rPr>
          <w:rFonts w:hint="eastAsia" w:ascii="宋体" w:hAnsi="宋体" w:eastAsia="宋体" w:cs="宋体"/>
          <w:sz w:val="32"/>
          <w:szCs w:val="32"/>
        </w:rPr>
        <w:t>年  月  日</w:t>
      </w:r>
    </w:p>
    <w:bookmarkEnd w:id="310"/>
    <w:p>
      <w:pPr>
        <w:rPr>
          <w:rFonts w:hint="eastAsia" w:ascii="宋体" w:hAnsi="宋体" w:eastAsia="宋体" w:cs="宋体"/>
          <w:sz w:val="28"/>
          <w:szCs w:val="28"/>
        </w:rPr>
      </w:pPr>
      <w:r>
        <w:rPr>
          <w:rFonts w:hint="eastAsia" w:ascii="宋体" w:hAnsi="宋体" w:eastAsia="宋体" w:cs="宋体"/>
          <w:u w:val="single"/>
        </w:rPr>
        <w:br w:type="page"/>
      </w:r>
    </w:p>
    <w:p>
      <w:pPr>
        <w:adjustRightInd w:val="0"/>
        <w:snapToGrid w:val="0"/>
        <w:spacing w:line="360" w:lineRule="auto"/>
        <w:jc w:val="center"/>
        <w:outlineLvl w:val="2"/>
        <w:rPr>
          <w:rFonts w:hint="eastAsia" w:ascii="宋体" w:hAnsi="宋体" w:eastAsia="黑体" w:cs="宋体"/>
          <w:b/>
          <w:bCs/>
          <w:sz w:val="28"/>
          <w:szCs w:val="28"/>
        </w:rPr>
      </w:pPr>
      <w:bookmarkStart w:id="312" w:name="OLE_LINK160"/>
      <w:bookmarkStart w:id="313" w:name="OLE_LINK224"/>
      <w:bookmarkStart w:id="314" w:name="OLE_LINK161"/>
      <w:bookmarkStart w:id="315" w:name="OLE_LINK225"/>
      <w:bookmarkStart w:id="316" w:name="_Toc9738"/>
      <w:r>
        <w:rPr>
          <w:rFonts w:hint="eastAsia" w:ascii="宋体" w:hAnsi="宋体" w:eastAsia="黑体" w:cs="宋体"/>
          <w:b/>
          <w:bCs/>
          <w:sz w:val="28"/>
          <w:szCs w:val="28"/>
        </w:rPr>
        <w:t>十二、货物说明一览表</w:t>
      </w:r>
      <w:bookmarkEnd w:id="312"/>
    </w:p>
    <w:bookmarkEnd w:id="313"/>
    <w:p>
      <w:pPr>
        <w:adjustRightInd w:val="0"/>
        <w:snapToGrid w:val="0"/>
        <w:spacing w:line="360" w:lineRule="auto"/>
        <w:ind w:left="-88" w:leftChars="-42"/>
        <w:jc w:val="center"/>
        <w:rPr>
          <w:rFonts w:hint="eastAsia" w:ascii="宋体" w:hAnsi="宋体" w:eastAsia="宋体" w:cs="宋体"/>
          <w:sz w:val="24"/>
        </w:rPr>
      </w:pPr>
    </w:p>
    <w:p>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采购代理编号：</w:t>
      </w:r>
      <w:r>
        <w:rPr>
          <w:rFonts w:hint="eastAsia" w:ascii="宋体" w:hAnsi="宋体" w:eastAsia="宋体" w:cs="宋体"/>
          <w:szCs w:val="21"/>
          <w:u w:val="single"/>
        </w:rPr>
        <w:t xml:space="preserve">            </w:t>
      </w:r>
      <w:r>
        <w:rPr>
          <w:rFonts w:hint="eastAsia" w:ascii="宋体" w:hAnsi="宋体" w:eastAsia="宋体" w:cs="宋体"/>
          <w:szCs w:val="21"/>
        </w:rPr>
        <w:t xml:space="preserve">                       项目名称：</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djustRightInd w:val="0"/>
        <w:snapToGrid w:val="0"/>
        <w:spacing w:before="161" w:beforeLines="50" w:line="360" w:lineRule="auto"/>
        <w:rPr>
          <w:rFonts w:hint="eastAsia" w:ascii="宋体" w:hAnsi="宋体" w:eastAsia="宋体" w:cs="宋体"/>
        </w:rPr>
      </w:pPr>
      <w:r>
        <w:rPr>
          <w:rFonts w:hint="eastAsia" w:ascii="宋体" w:hAnsi="宋体" w:eastAsia="宋体" w:cs="宋体"/>
          <w:szCs w:val="21"/>
        </w:rPr>
        <w:t>包号：</w:t>
      </w:r>
      <w:r>
        <w:rPr>
          <w:rFonts w:hint="eastAsia" w:ascii="宋体" w:hAnsi="宋体" w:eastAsia="宋体" w:cs="宋体"/>
          <w:szCs w:val="21"/>
          <w:u w:val="single"/>
        </w:rPr>
        <w:t xml:space="preserve">              </w:t>
      </w:r>
      <w:r>
        <w:rPr>
          <w:rFonts w:hint="eastAsia" w:ascii="宋体" w:hAnsi="宋体" w:eastAsia="宋体" w:cs="宋体"/>
          <w:szCs w:val="21"/>
        </w:rPr>
        <w:t xml:space="preserve">                               包名称：</w:t>
      </w:r>
      <w:r>
        <w:rPr>
          <w:rFonts w:hint="eastAsia" w:ascii="宋体" w:hAnsi="宋体" w:eastAsia="宋体" w:cs="宋体"/>
          <w:szCs w:val="21"/>
          <w:u w:val="single"/>
        </w:rPr>
        <w:t xml:space="preserve">             </w:t>
      </w:r>
      <w:r>
        <w:rPr>
          <w:rFonts w:hint="eastAsia" w:ascii="宋体" w:hAnsi="宋体" w:eastAsia="宋体" w:cs="宋体"/>
          <w:szCs w:val="21"/>
        </w:rPr>
        <w:t xml:space="preserve"> </w:t>
      </w:r>
    </w:p>
    <w:tbl>
      <w:tblPr>
        <w:tblStyle w:val="42"/>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659"/>
        <w:gridCol w:w="731"/>
        <w:gridCol w:w="1934"/>
        <w:gridCol w:w="1331"/>
        <w:gridCol w:w="1184"/>
        <w:gridCol w:w="2149"/>
        <w:gridCol w:w="95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r>
              <w:rPr>
                <w:rFonts w:ascii="宋体" w:hAnsi="宋体" w:eastAsia="宋体" w:cs="宋体"/>
                <w:szCs w:val="21"/>
              </w:rPr>
              <w:t>序号</w:t>
            </w: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r>
              <w:rPr>
                <w:rFonts w:ascii="宋体" w:hAnsi="宋体" w:eastAsia="宋体" w:cs="宋体"/>
                <w:szCs w:val="21"/>
              </w:rPr>
              <w:t>包号</w:t>
            </w: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r>
              <w:rPr>
                <w:rFonts w:ascii="宋体" w:hAnsi="宋体" w:eastAsia="宋体" w:cs="宋体"/>
                <w:szCs w:val="21"/>
              </w:rPr>
              <w:t>货物名称</w:t>
            </w: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r>
              <w:rPr>
                <w:rFonts w:ascii="宋体" w:hAnsi="宋体" w:eastAsia="宋体" w:cs="宋体"/>
                <w:szCs w:val="21"/>
              </w:rPr>
              <w:t>制造商名称</w:t>
            </w: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r>
              <w:rPr>
                <w:rFonts w:ascii="宋体" w:hAnsi="宋体" w:eastAsia="宋体" w:cs="宋体"/>
                <w:szCs w:val="21"/>
              </w:rPr>
              <w:t>型号规格</w:t>
            </w: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r>
              <w:rPr>
                <w:rFonts w:ascii="宋体" w:hAnsi="宋体" w:eastAsia="宋体" w:cs="宋体"/>
                <w:szCs w:val="21"/>
              </w:rPr>
              <w:t>主要技术参数和技术指标</w:t>
            </w: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r>
              <w:rPr>
                <w:rFonts w:ascii="宋体" w:hAnsi="宋体" w:eastAsia="宋体" w:cs="宋体"/>
                <w:szCs w:val="21"/>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rPr>
            </w:pPr>
          </w:p>
        </w:tc>
      </w:tr>
    </w:tbl>
    <w:p>
      <w:pPr>
        <w:rPr>
          <w:rFonts w:ascii="Times New Roman" w:hAnsi="Times New Roman" w:eastAsia="宋体" w:cs="Times New Roman"/>
        </w:rPr>
      </w:pPr>
      <w:r>
        <w:rPr>
          <w:rFonts w:ascii="Times New Roman" w:hAnsi="Times New Roman" w:eastAsia="宋体" w:cs="Times New Roman"/>
        </w:rPr>
        <w:t xml:space="preserve">  </w:t>
      </w:r>
    </w:p>
    <w:p>
      <w:pPr>
        <w:rPr>
          <w:rFonts w:ascii="Times New Roman" w:hAnsi="Times New Roman" w:eastAsia="宋体" w:cs="Times New Roman"/>
        </w:rPr>
      </w:pPr>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rPr>
          <w:rFonts w:ascii="Times New Roman" w:hAnsi="Times New Roman" w:eastAsia="宋体" w:cs="Times New Roman"/>
        </w:rPr>
        <w:t xml:space="preserve"> </w:t>
      </w:r>
    </w:p>
    <w:p>
      <w:pPr>
        <w:spacing w:line="360" w:lineRule="auto"/>
        <w:rPr>
          <w:rFonts w:ascii="Times New Roman" w:hAnsi="Times New Roman" w:eastAsia="宋体" w:cs="Times New Roman"/>
        </w:rPr>
      </w:pPr>
      <w:r>
        <w:rPr>
          <w:rFonts w:ascii="Times New Roman" w:hAnsi="Times New Roman" w:eastAsia="宋体" w:cs="Times New Roman"/>
          <w:szCs w:val="21"/>
        </w:rPr>
        <w:t xml:space="preserve">  </w:t>
      </w:r>
    </w:p>
    <w:p>
      <w:pPr>
        <w:spacing w:line="360" w:lineRule="auto"/>
        <w:rPr>
          <w:rFonts w:ascii="Times New Roman" w:hAnsi="Times New Roman" w:eastAsia="宋体" w:cs="Times New Roman"/>
        </w:rPr>
      </w:pPr>
      <w:r>
        <w:rPr>
          <w:rFonts w:ascii="Times New Roman" w:hAnsi="Times New Roman" w:eastAsia="宋体" w:cs="Times New Roman"/>
          <w:szCs w:val="21"/>
        </w:rPr>
        <w:t xml:space="preserve">  </w:t>
      </w:r>
    </w:p>
    <w:p>
      <w:pPr>
        <w:spacing w:before="50" w:line="360" w:lineRule="auto"/>
        <w:rPr>
          <w:rFonts w:ascii="Times New Roman" w:hAnsi="Times New Roman" w:eastAsia="宋体" w:cs="Times New Roman"/>
        </w:rPr>
      </w:pPr>
      <w:r>
        <w:rPr>
          <w:rFonts w:ascii="宋体" w:hAnsi="宋体" w:eastAsia="宋体" w:cs="宋体"/>
          <w:szCs w:val="21"/>
        </w:rPr>
        <w:t>投标人名称（单位章）：</w:t>
      </w:r>
      <w:r>
        <w:rPr>
          <w:rFonts w:ascii="Times New Roman" w:hAnsi="Times New Roman" w:eastAsia="宋体" w:cs="Times New Roman"/>
          <w:szCs w:val="21"/>
        </w:rPr>
        <w:t xml:space="preserve"> </w:t>
      </w:r>
    </w:p>
    <w:p>
      <w:pPr>
        <w:spacing w:before="50" w:line="360" w:lineRule="auto"/>
        <w:rPr>
          <w:rFonts w:ascii="Times New Roman" w:hAnsi="Times New Roman" w:eastAsia="宋体" w:cs="Times New Roman"/>
        </w:rPr>
      </w:pPr>
      <w:r>
        <w:rPr>
          <w:rFonts w:ascii="宋体" w:hAnsi="宋体" w:eastAsia="宋体" w:cs="宋体"/>
          <w:szCs w:val="21"/>
        </w:rPr>
        <w:t>法定代表人或其授权的代理人(</w:t>
      </w:r>
      <w:r>
        <w:rPr>
          <w:rFonts w:hint="eastAsia" w:ascii="宋体" w:hAnsi="宋体" w:eastAsia="宋体" w:cs="宋体"/>
          <w:szCs w:val="21"/>
        </w:rPr>
        <w:t>签字或印章）</w:t>
      </w:r>
      <w:r>
        <w:rPr>
          <w:rFonts w:ascii="宋体" w:hAnsi="宋体" w:eastAsia="宋体" w:cs="宋体"/>
          <w:szCs w:val="21"/>
        </w:rPr>
        <w:t>：</w:t>
      </w:r>
      <w:r>
        <w:rPr>
          <w:rFonts w:ascii="Times New Roman" w:hAnsi="Times New Roman" w:eastAsia="宋体" w:cs="Times New Roman"/>
          <w:szCs w:val="21"/>
        </w:rPr>
        <w:t xml:space="preserve"> </w:t>
      </w:r>
    </w:p>
    <w:p>
      <w:pPr>
        <w:rPr>
          <w:rFonts w:ascii="Times New Roman" w:hAnsi="Times New Roman" w:eastAsia="宋体" w:cs="Times New Roman"/>
        </w:rPr>
      </w:pPr>
      <w:r>
        <w:rPr>
          <w:rFonts w:hint="eastAsia" w:ascii="宋体" w:hAnsi="宋体" w:eastAsia="宋体" w:cs="Times New Roman"/>
          <w:szCs w:val="22"/>
          <w:lang w:bidi="ar"/>
        </w:rPr>
        <w:t>日期：   年   月   日</w:t>
      </w:r>
      <w:bookmarkEnd w:id="314"/>
    </w:p>
    <w:bookmarkEnd w:id="315"/>
    <w:p>
      <w:pPr>
        <w:rPr>
          <w:rFonts w:hint="eastAsia" w:ascii="宋体" w:hAnsi="宋体" w:eastAsia="宋体" w:cs="宋体"/>
          <w:b/>
          <w:bCs/>
          <w:sz w:val="32"/>
          <w:szCs w:val="21"/>
        </w:rPr>
      </w:pPr>
      <w:r>
        <w:rPr>
          <w:rFonts w:hint="eastAsia" w:ascii="宋体" w:hAnsi="宋体" w:eastAsia="宋体" w:cs="宋体"/>
          <w:b/>
          <w:bCs/>
          <w:sz w:val="32"/>
          <w:szCs w:val="21"/>
        </w:rPr>
        <w:br w:type="page"/>
      </w:r>
    </w:p>
    <w:p>
      <w:pPr>
        <w:adjustRightInd w:val="0"/>
        <w:snapToGrid w:val="0"/>
        <w:spacing w:line="360" w:lineRule="auto"/>
        <w:jc w:val="center"/>
        <w:outlineLvl w:val="2"/>
        <w:rPr>
          <w:rFonts w:hint="eastAsia" w:ascii="宋体" w:hAnsi="宋体" w:eastAsia="黑体" w:cs="宋体"/>
          <w:b/>
          <w:bCs/>
          <w:sz w:val="28"/>
          <w:szCs w:val="28"/>
        </w:rPr>
      </w:pPr>
      <w:bookmarkStart w:id="317" w:name="OLE_LINK162"/>
      <w:bookmarkStart w:id="318" w:name="OLE_LINK226"/>
      <w:bookmarkStart w:id="319" w:name="OLE_LINK163"/>
      <w:r>
        <w:rPr>
          <w:rFonts w:hint="eastAsia" w:ascii="宋体" w:hAnsi="宋体" w:eastAsia="黑体" w:cs="宋体"/>
          <w:b/>
          <w:bCs/>
          <w:sz w:val="28"/>
          <w:szCs w:val="28"/>
        </w:rPr>
        <w:t>十三、响应偏离表</w:t>
      </w:r>
      <w:bookmarkEnd w:id="317"/>
    </w:p>
    <w:bookmarkEnd w:id="318"/>
    <w:p>
      <w:pPr>
        <w:adjustRightInd w:val="0"/>
        <w:snapToGrid w:val="0"/>
        <w:spacing w:before="161" w:beforeLines="50" w:line="360" w:lineRule="auto"/>
        <w:rPr>
          <w:rFonts w:hint="eastAsia" w:ascii="宋体" w:hAnsi="宋体" w:eastAsia="宋体" w:cs="宋体"/>
        </w:rPr>
      </w:pPr>
    </w:p>
    <w:p>
      <w:pPr>
        <w:keepNext/>
        <w:keepLines/>
        <w:widowControl w:val="0"/>
        <w:adjustRightInd w:val="0"/>
        <w:snapToGrid w:val="0"/>
        <w:spacing w:before="0" w:after="0" w:line="360" w:lineRule="auto"/>
        <w:jc w:val="center"/>
        <w:outlineLvl w:val="2"/>
        <w:rPr>
          <w:rFonts w:hint="eastAsia" w:ascii="宋体" w:hAnsi="宋体" w:eastAsia="宋体" w:cs="宋体"/>
          <w:b/>
          <w:bCs/>
          <w:kern w:val="2"/>
          <w:sz w:val="28"/>
          <w:szCs w:val="28"/>
          <w:lang w:val="en-US" w:eastAsia="zh-CN" w:bidi="ar-SA"/>
        </w:rPr>
      </w:pPr>
      <w:bookmarkStart w:id="320" w:name="_Toc1343"/>
      <w:bookmarkStart w:id="321" w:name="_Toc31026"/>
      <w:bookmarkStart w:id="322" w:name="_Toc22465"/>
      <w:r>
        <w:rPr>
          <w:rFonts w:hint="eastAsia" w:ascii="宋体" w:hAnsi="宋体" w:eastAsia="宋体" w:cs="宋体"/>
          <w:b/>
          <w:bCs/>
          <w:kern w:val="2"/>
          <w:sz w:val="28"/>
          <w:szCs w:val="28"/>
          <w:lang w:val="en-US" w:eastAsia="zh-CN" w:bidi="ar-SA"/>
        </w:rPr>
        <w:t>（1）采购需求偏离表</w:t>
      </w:r>
      <w:bookmarkEnd w:id="320"/>
      <w:bookmarkEnd w:id="321"/>
      <w:bookmarkEnd w:id="322"/>
    </w:p>
    <w:p>
      <w:pPr>
        <w:adjustRightInd w:val="0"/>
        <w:snapToGrid w:val="0"/>
        <w:spacing w:line="360" w:lineRule="auto"/>
        <w:ind w:left="-88" w:leftChars="-42"/>
        <w:jc w:val="center"/>
        <w:rPr>
          <w:rFonts w:hint="eastAsia" w:ascii="宋体" w:hAnsi="宋体" w:eastAsia="宋体" w:cs="宋体"/>
          <w:sz w:val="24"/>
        </w:rPr>
      </w:pPr>
    </w:p>
    <w:p>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采购代理编号：</w:t>
      </w:r>
      <w:r>
        <w:rPr>
          <w:rFonts w:hint="eastAsia" w:ascii="宋体" w:hAnsi="宋体" w:eastAsia="宋体" w:cs="宋体"/>
          <w:szCs w:val="21"/>
          <w:u w:val="single"/>
        </w:rPr>
        <w:t xml:space="preserve">            </w:t>
      </w:r>
      <w:r>
        <w:rPr>
          <w:rFonts w:hint="eastAsia" w:ascii="宋体" w:hAnsi="宋体" w:eastAsia="宋体" w:cs="宋体"/>
          <w:szCs w:val="21"/>
        </w:rPr>
        <w:t xml:space="preserve">                       项目名称：</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djustRightInd w:val="0"/>
        <w:snapToGrid w:val="0"/>
        <w:spacing w:before="161" w:beforeLines="50" w:line="360" w:lineRule="auto"/>
        <w:rPr>
          <w:rFonts w:hint="eastAsia" w:ascii="宋体" w:hAnsi="宋体" w:eastAsia="宋体" w:cs="宋体"/>
          <w:spacing w:val="28"/>
          <w:szCs w:val="21"/>
        </w:rPr>
      </w:pPr>
      <w:r>
        <w:rPr>
          <w:rFonts w:hint="eastAsia" w:ascii="宋体" w:hAnsi="宋体" w:eastAsia="宋体" w:cs="宋体"/>
          <w:szCs w:val="21"/>
        </w:rPr>
        <w:t>包号：</w:t>
      </w:r>
      <w:r>
        <w:rPr>
          <w:rFonts w:hint="eastAsia" w:ascii="宋体" w:hAnsi="宋体" w:eastAsia="宋体" w:cs="宋体"/>
          <w:szCs w:val="21"/>
          <w:u w:val="single"/>
        </w:rPr>
        <w:t xml:space="preserve">              </w:t>
      </w:r>
      <w:r>
        <w:rPr>
          <w:rFonts w:hint="eastAsia" w:ascii="宋体" w:hAnsi="宋体" w:eastAsia="宋体" w:cs="宋体"/>
          <w:szCs w:val="21"/>
        </w:rPr>
        <w:t xml:space="preserve">                               包名称：</w:t>
      </w:r>
      <w:r>
        <w:rPr>
          <w:rFonts w:hint="eastAsia" w:ascii="宋体" w:hAnsi="宋体" w:eastAsia="宋体" w:cs="宋体"/>
          <w:szCs w:val="21"/>
          <w:u w:val="single"/>
        </w:rPr>
        <w:t xml:space="preserve">             </w:t>
      </w:r>
      <w:r>
        <w:rPr>
          <w:rFonts w:hint="eastAsia" w:ascii="宋体" w:hAnsi="宋体" w:eastAsia="宋体" w:cs="宋体"/>
          <w:szCs w:val="21"/>
        </w:rPr>
        <w:t xml:space="preserve"> </w:t>
      </w:r>
    </w:p>
    <w:tbl>
      <w:tblPr>
        <w:tblStyle w:val="42"/>
        <w:tblW w:w="90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737"/>
        <w:gridCol w:w="2410"/>
        <w:gridCol w:w="1985"/>
        <w:gridCol w:w="2126"/>
        <w:gridCol w:w="17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r>
              <w:rPr>
                <w:rFonts w:hint="eastAsia" w:ascii="宋体" w:hAnsi="宋体" w:eastAsia="宋体" w:cs="宋体"/>
                <w:bCs/>
                <w:szCs w:val="21"/>
              </w:rPr>
              <w:t>序</w:t>
            </w:r>
            <w:r>
              <w:rPr>
                <w:rFonts w:hint="eastAsia" w:ascii="宋体" w:hAnsi="宋体" w:eastAsia="宋体" w:cs="宋体"/>
                <w:szCs w:val="21"/>
              </w:rPr>
              <w:t>号</w:t>
            </w: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r>
              <w:rPr>
                <w:rFonts w:hint="eastAsia" w:ascii="宋体" w:hAnsi="宋体" w:eastAsia="宋体" w:cs="宋体"/>
                <w:szCs w:val="21"/>
              </w:rPr>
              <w:t>招标文件章节</w:t>
            </w:r>
            <w:r>
              <w:rPr>
                <w:rFonts w:hint="eastAsia" w:ascii="宋体" w:hAnsi="宋体" w:eastAsia="宋体" w:cs="宋体"/>
                <w:bCs/>
                <w:szCs w:val="21"/>
              </w:rPr>
              <w:t>条</w:t>
            </w:r>
            <w:r>
              <w:rPr>
                <w:rFonts w:hint="eastAsia" w:ascii="宋体" w:hAnsi="宋体" w:eastAsia="宋体" w:cs="宋体"/>
                <w:szCs w:val="21"/>
              </w:rPr>
              <w:t>款号</w:t>
            </w:r>
          </w:p>
        </w:tc>
        <w:tc>
          <w:tcPr>
            <w:tcW w:w="1985" w:type="dxa"/>
            <w:tcBorders>
              <w:tl2br w:val="nil"/>
              <w:tr2bl w:val="nil"/>
            </w:tcBorders>
            <w:noWrap/>
          </w:tcPr>
          <w:p>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招标文件要求</w:t>
            </w:r>
          </w:p>
        </w:tc>
        <w:tc>
          <w:tcPr>
            <w:tcW w:w="2126" w:type="dxa"/>
            <w:tcBorders>
              <w:tl2br w:val="nil"/>
              <w:tr2bl w:val="nil"/>
            </w:tcBorders>
            <w:noWrap/>
          </w:tcPr>
          <w:p>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投标文件应答</w:t>
            </w: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r>
              <w:rPr>
                <w:rFonts w:hint="eastAsia" w:ascii="宋体" w:hAnsi="宋体" w:eastAsia="宋体" w:cs="宋体"/>
                <w:szCs w:val="21"/>
              </w:rPr>
              <w:t>偏离说明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7"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3882" w:type="dxa"/>
            <w:gridSpan w:val="2"/>
            <w:tcBorders>
              <w:tl2br w:val="nil"/>
              <w:tr2bl w:val="nil"/>
            </w:tcBorders>
            <w:noWrap/>
            <w:vAlign w:val="center"/>
          </w:tcPr>
          <w:p>
            <w:pPr>
              <w:adjustRightInd w:val="0"/>
              <w:snapToGrid w:val="0"/>
              <w:spacing w:before="50" w:line="360" w:lineRule="auto"/>
              <w:ind w:firstLine="422" w:firstLineChars="200"/>
              <w:rPr>
                <w:rFonts w:hint="eastAsia" w:ascii="宋体" w:hAnsi="宋体" w:eastAsia="宋体" w:cs="宋体"/>
                <w:szCs w:val="21"/>
              </w:rPr>
            </w:pPr>
            <w:r>
              <w:rPr>
                <w:rFonts w:hint="eastAsia" w:ascii="宋体" w:hAnsi="宋体" w:eastAsia="宋体" w:cs="宋体"/>
                <w:b/>
                <w:szCs w:val="21"/>
              </w:rPr>
              <w:t>投标人保证：除本采购需求偏离表列出的偏离外，我单位对招标文件的其他采购需求条款完全响应，无偏离。</w:t>
            </w:r>
          </w:p>
        </w:tc>
      </w:tr>
    </w:tbl>
    <w:p>
      <w:pPr>
        <w:adjustRightInd w:val="0"/>
        <w:snapToGrid w:val="0"/>
        <w:spacing w:before="50" w:line="360" w:lineRule="auto"/>
        <w:ind w:left="-88" w:leftChars="-42"/>
        <w:rPr>
          <w:rFonts w:hint="eastAsia" w:ascii="宋体" w:hAnsi="宋体" w:eastAsia="宋体" w:cs="宋体"/>
          <w:szCs w:val="21"/>
        </w:rPr>
      </w:pPr>
      <w:r>
        <w:rPr>
          <w:rFonts w:hint="eastAsia" w:ascii="宋体" w:hAnsi="宋体" w:eastAsia="宋体" w:cs="宋体"/>
          <w:b/>
          <w:szCs w:val="21"/>
        </w:rPr>
        <w:t>备注</w:t>
      </w:r>
      <w:r>
        <w:rPr>
          <w:rFonts w:hint="eastAsia" w:ascii="宋体" w:hAnsi="宋体" w:eastAsia="宋体" w:cs="宋体"/>
          <w:szCs w:val="21"/>
        </w:rPr>
        <w:t>：（1）投标人应根据招标文件第五章“采购需求”填写本表；</w:t>
      </w:r>
    </w:p>
    <w:p>
      <w:pPr>
        <w:adjustRightInd w:val="0"/>
        <w:snapToGrid w:val="0"/>
        <w:spacing w:before="50" w:line="360" w:lineRule="auto"/>
        <w:ind w:left="-88" w:leftChars="-42" w:firstLine="420" w:firstLineChars="200"/>
        <w:rPr>
          <w:rFonts w:hint="eastAsia" w:ascii="宋体" w:hAnsi="宋体" w:eastAsia="宋体" w:cs="宋体"/>
          <w:b/>
          <w:szCs w:val="21"/>
        </w:rPr>
      </w:pPr>
      <w:r>
        <w:rPr>
          <w:rFonts w:hint="eastAsia" w:ascii="宋体" w:hAnsi="宋体" w:eastAsia="宋体" w:cs="宋体"/>
          <w:szCs w:val="21"/>
        </w:rPr>
        <w:t>（2）</w:t>
      </w:r>
      <w:r>
        <w:rPr>
          <w:rFonts w:hint="eastAsia" w:ascii="宋体" w:hAnsi="宋体" w:eastAsia="宋体" w:cs="宋体"/>
          <w:b/>
          <w:szCs w:val="21"/>
        </w:rPr>
        <w:t>投标人如果对招标文件第五章“采购需求”的响应有偏离，应将偏离条款逐条如实应答，并作出说明；</w:t>
      </w:r>
    </w:p>
    <w:p>
      <w:pPr>
        <w:adjustRightInd w:val="0"/>
        <w:snapToGrid w:val="0"/>
        <w:spacing w:before="50" w:line="360" w:lineRule="auto"/>
        <w:ind w:left="-88" w:leftChars="-42" w:firstLine="420" w:firstLineChars="200"/>
        <w:rPr>
          <w:rFonts w:hint="eastAsia" w:ascii="宋体" w:hAnsi="宋体" w:eastAsia="宋体" w:cs="宋体"/>
          <w:szCs w:val="21"/>
        </w:rPr>
      </w:pPr>
      <w:r>
        <w:rPr>
          <w:rFonts w:hint="eastAsia" w:ascii="宋体" w:hAnsi="宋体" w:eastAsia="宋体" w:cs="宋体"/>
          <w:szCs w:val="21"/>
        </w:rPr>
        <w:t>（3）如不提供此表，则视为投标人不满足招标文件第五章的所有条款要求，其</w:t>
      </w:r>
      <w:r>
        <w:rPr>
          <w:rFonts w:hint="eastAsia" w:ascii="宋体" w:hAnsi="宋体" w:eastAsia="宋体" w:cs="宋体"/>
          <w:b/>
          <w:szCs w:val="21"/>
        </w:rPr>
        <w:t>投标无效</w:t>
      </w:r>
      <w:r>
        <w:rPr>
          <w:rFonts w:hint="eastAsia" w:ascii="宋体" w:hAnsi="宋体" w:eastAsia="宋体" w:cs="宋体"/>
          <w:szCs w:val="21"/>
        </w:rPr>
        <w:t>。</w:t>
      </w:r>
    </w:p>
    <w:p>
      <w:pPr>
        <w:adjustRightInd w:val="0"/>
        <w:snapToGrid w:val="0"/>
        <w:spacing w:before="50" w:line="360" w:lineRule="auto"/>
        <w:ind w:left="-88" w:leftChars="-42" w:firstLine="420" w:firstLineChars="200"/>
        <w:rPr>
          <w:rFonts w:hint="eastAsia" w:ascii="宋体" w:hAnsi="宋体" w:eastAsia="宋体" w:cs="宋体"/>
          <w:szCs w:val="21"/>
        </w:rPr>
      </w:pPr>
      <w:r>
        <w:rPr>
          <w:rFonts w:hint="eastAsia" w:ascii="宋体" w:hAnsi="宋体" w:eastAsia="宋体" w:cs="宋体"/>
          <w:szCs w:val="21"/>
        </w:rPr>
        <w:t>（4）在采购人与成交投标人签订合同时，如成交投标人未在投标文件“采购需求偏离表”中列出偏离说明，无论已发生或即将发生任何情形，均视为完全符合招标文件要求，并写入合同。若成交投标人在合同签订前，以上述事项为借口而不履行合同签订手续及执行合同，则视作拒绝与采购人签订合同。</w:t>
      </w:r>
    </w:p>
    <w:p>
      <w:pPr>
        <w:adjustRightInd w:val="0"/>
        <w:snapToGrid w:val="0"/>
        <w:spacing w:before="50" w:line="360" w:lineRule="auto"/>
        <w:rPr>
          <w:rFonts w:hint="eastAsia" w:ascii="宋体" w:hAnsi="宋体" w:eastAsia="宋体" w:cs="宋体"/>
          <w:szCs w:val="21"/>
        </w:rPr>
      </w:pPr>
    </w:p>
    <w:p>
      <w:pPr>
        <w:adjustRightInd w:val="0"/>
        <w:snapToGrid w:val="0"/>
        <w:spacing w:before="50" w:line="360" w:lineRule="auto"/>
        <w:rPr>
          <w:rFonts w:hint="eastAsia" w:ascii="宋体" w:hAnsi="宋体" w:eastAsia="宋体" w:cs="宋体"/>
          <w:szCs w:val="21"/>
        </w:rPr>
      </w:pPr>
      <w:r>
        <w:rPr>
          <w:rFonts w:hint="eastAsia" w:ascii="宋体" w:hAnsi="宋体" w:eastAsia="宋体" w:cs="宋体"/>
          <w:szCs w:val="21"/>
        </w:rPr>
        <w:t>投标人名称（盖单位章）：</w:t>
      </w:r>
    </w:p>
    <w:p>
      <w:pPr>
        <w:adjustRightInd w:val="0"/>
        <w:snapToGrid w:val="0"/>
        <w:spacing w:before="50" w:line="360" w:lineRule="auto"/>
        <w:rPr>
          <w:rFonts w:hint="eastAsia" w:ascii="宋体" w:hAnsi="宋体" w:eastAsia="宋体" w:cs="宋体"/>
          <w:szCs w:val="21"/>
        </w:rPr>
      </w:pPr>
      <w:r>
        <w:rPr>
          <w:rFonts w:hint="eastAsia" w:ascii="宋体" w:hAnsi="宋体" w:eastAsia="宋体" w:cs="宋体"/>
          <w:spacing w:val="-2"/>
          <w:kern w:val="0"/>
          <w:szCs w:val="21"/>
        </w:rPr>
        <w:t>法</w:t>
      </w:r>
      <w:r>
        <w:rPr>
          <w:rFonts w:hint="eastAsia" w:ascii="宋体" w:hAnsi="宋体" w:eastAsia="宋体" w:cs="宋体"/>
          <w:kern w:val="0"/>
          <w:szCs w:val="21"/>
        </w:rPr>
        <w:t>定</w:t>
      </w:r>
      <w:r>
        <w:rPr>
          <w:rFonts w:hint="eastAsia" w:ascii="宋体" w:hAnsi="宋体" w:eastAsia="宋体" w:cs="宋体"/>
          <w:spacing w:val="-2"/>
          <w:kern w:val="0"/>
          <w:szCs w:val="21"/>
        </w:rPr>
        <w:t>代</w:t>
      </w:r>
      <w:r>
        <w:rPr>
          <w:rFonts w:hint="eastAsia" w:ascii="宋体" w:hAnsi="宋体" w:eastAsia="宋体" w:cs="宋体"/>
          <w:kern w:val="0"/>
          <w:szCs w:val="21"/>
        </w:rPr>
        <w:t>表</w:t>
      </w:r>
      <w:r>
        <w:rPr>
          <w:rFonts w:hint="eastAsia" w:ascii="宋体" w:hAnsi="宋体" w:eastAsia="宋体" w:cs="宋体"/>
          <w:spacing w:val="-2"/>
          <w:kern w:val="0"/>
          <w:szCs w:val="21"/>
        </w:rPr>
        <w:t>人</w:t>
      </w:r>
      <w:r>
        <w:rPr>
          <w:rFonts w:hint="eastAsia" w:ascii="宋体" w:hAnsi="宋体" w:eastAsia="宋体" w:cs="宋体"/>
          <w:kern w:val="0"/>
          <w:szCs w:val="21"/>
        </w:rPr>
        <w:t>（</w:t>
      </w:r>
      <w:r>
        <w:rPr>
          <w:rFonts w:hint="eastAsia" w:ascii="宋体" w:hAnsi="宋体" w:eastAsia="宋体" w:cs="宋体"/>
          <w:spacing w:val="-2"/>
          <w:kern w:val="0"/>
          <w:szCs w:val="21"/>
        </w:rPr>
        <w:t>单</w:t>
      </w:r>
      <w:r>
        <w:rPr>
          <w:rFonts w:hint="eastAsia" w:ascii="宋体" w:hAnsi="宋体" w:eastAsia="宋体" w:cs="宋体"/>
          <w:kern w:val="0"/>
          <w:szCs w:val="21"/>
        </w:rPr>
        <w:t>位</w:t>
      </w:r>
      <w:r>
        <w:rPr>
          <w:rFonts w:hint="eastAsia" w:ascii="宋体" w:hAnsi="宋体" w:eastAsia="宋体" w:cs="宋体"/>
          <w:spacing w:val="-2"/>
          <w:kern w:val="0"/>
          <w:szCs w:val="21"/>
        </w:rPr>
        <w:t>负</w:t>
      </w:r>
      <w:r>
        <w:rPr>
          <w:rFonts w:hint="eastAsia" w:ascii="宋体" w:hAnsi="宋体" w:eastAsia="宋体" w:cs="宋体"/>
          <w:kern w:val="0"/>
          <w:szCs w:val="21"/>
        </w:rPr>
        <w:t>责人</w:t>
      </w:r>
      <w:r>
        <w:rPr>
          <w:rFonts w:hint="eastAsia" w:ascii="宋体" w:hAnsi="宋体" w:eastAsia="宋体" w:cs="宋体"/>
          <w:spacing w:val="-2"/>
          <w:kern w:val="0"/>
          <w:szCs w:val="21"/>
        </w:rPr>
        <w:t>）</w:t>
      </w:r>
      <w:r>
        <w:rPr>
          <w:rFonts w:hint="eastAsia" w:ascii="宋体" w:hAnsi="宋体" w:eastAsia="宋体" w:cs="宋体"/>
          <w:szCs w:val="21"/>
        </w:rPr>
        <w:t>或其授权的代理人（签字或印章）：</w:t>
      </w:r>
    </w:p>
    <w:p>
      <w:pPr>
        <w:adjustRightInd w:val="0"/>
        <w:snapToGrid w:val="0"/>
        <w:spacing w:line="360" w:lineRule="auto"/>
        <w:rPr>
          <w:rFonts w:hint="eastAsia" w:ascii="宋体" w:hAnsi="宋体" w:eastAsia="宋体" w:cs="宋体"/>
        </w:rPr>
      </w:pPr>
      <w:r>
        <w:rPr>
          <w:rFonts w:hint="eastAsia" w:ascii="宋体" w:hAnsi="宋体" w:eastAsia="宋体" w:cs="Times New Roman"/>
          <w:szCs w:val="22"/>
          <w:lang w:bidi="ar"/>
        </w:rPr>
        <w:t>日期：   年   月   日</w:t>
      </w:r>
    </w:p>
    <w:p>
      <w:pPr>
        <w:adjustRightInd w:val="0"/>
        <w:snapToGrid w:val="0"/>
        <w:spacing w:line="360" w:lineRule="auto"/>
        <w:rPr>
          <w:rFonts w:hint="eastAsia" w:ascii="宋体" w:hAnsi="宋体" w:eastAsia="宋体" w:cs="宋体"/>
          <w:szCs w:val="21"/>
        </w:rPr>
      </w:pPr>
    </w:p>
    <w:p>
      <w:pPr>
        <w:adjustRightInd w:val="0"/>
        <w:snapToGrid w:val="0"/>
        <w:spacing w:line="360" w:lineRule="auto"/>
        <w:rPr>
          <w:rFonts w:hint="eastAsia" w:ascii="宋体" w:hAnsi="宋体" w:cs="宋体"/>
          <w:sz w:val="28"/>
          <w:szCs w:val="28"/>
        </w:rPr>
        <w:sectPr>
          <w:footerReference r:id="rId8" w:type="default"/>
          <w:pgSz w:w="11905" w:h="16838"/>
          <w:pgMar w:top="1440" w:right="1587" w:bottom="1440" w:left="1587" w:header="1020" w:footer="567" w:gutter="0"/>
          <w:pgBorders>
            <w:top w:val="none" w:sz="0" w:space="0"/>
            <w:left w:val="none" w:sz="0" w:space="0"/>
            <w:bottom w:val="none" w:sz="0" w:space="0"/>
            <w:right w:val="none" w:sz="0" w:space="0"/>
          </w:pgBorders>
          <w:cols w:space="0" w:num="1"/>
          <w:docGrid w:type="lines" w:linePitch="323" w:charSpace="0"/>
        </w:sectPr>
      </w:pPr>
    </w:p>
    <w:p>
      <w:pPr>
        <w:keepNext/>
        <w:keepLines/>
        <w:widowControl w:val="0"/>
        <w:adjustRightInd w:val="0"/>
        <w:snapToGrid w:val="0"/>
        <w:spacing w:before="0" w:after="0" w:line="360" w:lineRule="auto"/>
        <w:jc w:val="center"/>
        <w:outlineLvl w:val="2"/>
        <w:rPr>
          <w:rFonts w:hint="eastAsia" w:ascii="宋体" w:hAnsi="宋体" w:eastAsia="宋体" w:cs="宋体"/>
          <w:b/>
          <w:bCs/>
          <w:kern w:val="2"/>
          <w:sz w:val="28"/>
          <w:szCs w:val="28"/>
          <w:lang w:val="en-US" w:eastAsia="zh-CN" w:bidi="ar-SA"/>
        </w:rPr>
      </w:pPr>
      <w:bookmarkStart w:id="323" w:name="_Toc25311"/>
      <w:bookmarkStart w:id="324" w:name="_Toc3846"/>
      <w:bookmarkStart w:id="325" w:name="_Toc32303"/>
      <w:bookmarkStart w:id="326" w:name="_Toc6946"/>
      <w:r>
        <w:rPr>
          <w:rFonts w:hint="eastAsia" w:ascii="宋体" w:hAnsi="宋体" w:eastAsia="宋体" w:cs="宋体"/>
          <w:b/>
          <w:bCs/>
          <w:kern w:val="2"/>
          <w:sz w:val="28"/>
          <w:szCs w:val="28"/>
          <w:lang w:val="en-US" w:eastAsia="zh-CN" w:bidi="ar-SA"/>
        </w:rPr>
        <w:t>（2）合同条款偏离表</w:t>
      </w:r>
      <w:bookmarkEnd w:id="323"/>
      <w:bookmarkEnd w:id="324"/>
      <w:bookmarkEnd w:id="325"/>
      <w:bookmarkEnd w:id="326"/>
    </w:p>
    <w:p>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采购代理编号：</w:t>
      </w:r>
      <w:r>
        <w:rPr>
          <w:rFonts w:hint="eastAsia" w:ascii="宋体" w:hAnsi="宋体" w:eastAsia="宋体" w:cs="宋体"/>
          <w:szCs w:val="21"/>
          <w:u w:val="single"/>
        </w:rPr>
        <w:t xml:space="preserve">            </w:t>
      </w:r>
      <w:r>
        <w:rPr>
          <w:rFonts w:hint="eastAsia" w:ascii="宋体" w:hAnsi="宋体" w:eastAsia="宋体" w:cs="宋体"/>
          <w:szCs w:val="21"/>
        </w:rPr>
        <w:t xml:space="preserve">                       项目名称：</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djustRightInd w:val="0"/>
        <w:snapToGrid w:val="0"/>
        <w:spacing w:before="50" w:line="360" w:lineRule="auto"/>
        <w:rPr>
          <w:rFonts w:hint="eastAsia" w:ascii="宋体" w:hAnsi="宋体" w:eastAsia="宋体" w:cs="宋体"/>
          <w:b/>
          <w:bCs/>
          <w:szCs w:val="21"/>
          <w:u w:val="single"/>
        </w:rPr>
      </w:pPr>
      <w:r>
        <w:rPr>
          <w:rFonts w:hint="eastAsia" w:ascii="宋体" w:hAnsi="宋体" w:eastAsia="宋体" w:cs="宋体"/>
          <w:szCs w:val="21"/>
        </w:rPr>
        <w:t>包号：</w:t>
      </w:r>
      <w:r>
        <w:rPr>
          <w:rFonts w:hint="eastAsia" w:ascii="宋体" w:hAnsi="宋体" w:eastAsia="宋体" w:cs="宋体"/>
          <w:szCs w:val="21"/>
          <w:u w:val="single"/>
        </w:rPr>
        <w:t xml:space="preserve">              </w:t>
      </w:r>
      <w:r>
        <w:rPr>
          <w:rFonts w:hint="eastAsia" w:ascii="宋体" w:hAnsi="宋体" w:eastAsia="宋体" w:cs="宋体"/>
          <w:szCs w:val="21"/>
        </w:rPr>
        <w:t xml:space="preserve">                               包名称：</w:t>
      </w:r>
      <w:r>
        <w:rPr>
          <w:rFonts w:hint="eastAsia" w:ascii="宋体" w:hAnsi="宋体" w:eastAsia="宋体" w:cs="宋体"/>
          <w:szCs w:val="21"/>
          <w:u w:val="single"/>
        </w:rPr>
        <w:t xml:space="preserve">             </w:t>
      </w:r>
    </w:p>
    <w:tbl>
      <w:tblPr>
        <w:tblStyle w:val="42"/>
        <w:tblW w:w="90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95"/>
        <w:gridCol w:w="2410"/>
        <w:gridCol w:w="1985"/>
        <w:gridCol w:w="2082"/>
        <w:gridCol w:w="19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r>
              <w:rPr>
                <w:rFonts w:hint="eastAsia" w:ascii="宋体" w:hAnsi="宋体" w:eastAsia="宋体" w:cs="宋体"/>
                <w:bCs/>
                <w:szCs w:val="21"/>
              </w:rPr>
              <w:t>序</w:t>
            </w:r>
            <w:r>
              <w:rPr>
                <w:rFonts w:hint="eastAsia" w:ascii="宋体" w:hAnsi="宋体" w:eastAsia="宋体" w:cs="宋体"/>
                <w:szCs w:val="21"/>
              </w:rPr>
              <w:t>号</w:t>
            </w: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r>
              <w:rPr>
                <w:rFonts w:hint="eastAsia" w:ascii="宋体" w:hAnsi="宋体" w:eastAsia="宋体" w:cs="宋体"/>
                <w:szCs w:val="21"/>
              </w:rPr>
              <w:t>招标文件章节</w:t>
            </w:r>
            <w:r>
              <w:rPr>
                <w:rFonts w:hint="eastAsia" w:ascii="宋体" w:hAnsi="宋体" w:eastAsia="宋体" w:cs="宋体"/>
                <w:bCs/>
                <w:szCs w:val="21"/>
              </w:rPr>
              <w:t>条</w:t>
            </w:r>
            <w:r>
              <w:rPr>
                <w:rFonts w:hint="eastAsia" w:ascii="宋体" w:hAnsi="宋体" w:eastAsia="宋体" w:cs="宋体"/>
                <w:szCs w:val="21"/>
              </w:rPr>
              <w:t>款号</w:t>
            </w: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r>
              <w:rPr>
                <w:rFonts w:hint="eastAsia" w:ascii="宋体" w:hAnsi="宋体" w:eastAsia="宋体" w:cs="宋体"/>
              </w:rPr>
              <w:t>招标文件要求</w:t>
            </w:r>
          </w:p>
        </w:tc>
        <w:tc>
          <w:tcPr>
            <w:tcW w:w="2082" w:type="dxa"/>
            <w:tcBorders>
              <w:tl2br w:val="nil"/>
              <w:tr2bl w:val="nil"/>
            </w:tcBorders>
            <w:noWrap/>
            <w:vAlign w:val="center"/>
          </w:tcPr>
          <w:p>
            <w:pPr>
              <w:adjustRightInd w:val="0"/>
              <w:snapToGrid w:val="0"/>
              <w:spacing w:before="50" w:line="360" w:lineRule="auto"/>
              <w:jc w:val="center"/>
              <w:rPr>
                <w:rFonts w:hint="eastAsia" w:ascii="宋体" w:hAnsi="宋体" w:eastAsia="宋体" w:cs="宋体"/>
                <w:szCs w:val="21"/>
              </w:rPr>
            </w:pPr>
            <w:r>
              <w:rPr>
                <w:rFonts w:hint="eastAsia" w:ascii="宋体" w:hAnsi="宋体" w:eastAsia="宋体" w:cs="宋体"/>
              </w:rPr>
              <w:t>投标文件的应答</w:t>
            </w: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r>
              <w:rPr>
                <w:rFonts w:hint="eastAsia" w:ascii="宋体" w:hAnsi="宋体" w:eastAsia="宋体" w:cs="宋体"/>
                <w:szCs w:val="21"/>
              </w:rPr>
              <w:t>偏离说明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tcPr>
          <w:p>
            <w:pPr>
              <w:adjustRightInd w:val="0"/>
              <w:snapToGrid w:val="0"/>
              <w:spacing w:before="50" w:line="360" w:lineRule="auto"/>
              <w:rPr>
                <w:rFonts w:hint="eastAsia" w:ascii="宋体" w:hAnsi="宋体" w:eastAsia="宋体" w:cs="宋体"/>
              </w:rPr>
            </w:pPr>
          </w:p>
        </w:tc>
        <w:tc>
          <w:tcPr>
            <w:tcW w:w="2082" w:type="dxa"/>
            <w:tcBorders>
              <w:tl2br w:val="nil"/>
              <w:tr2bl w:val="nil"/>
            </w:tcBorders>
            <w:noWrap/>
          </w:tcPr>
          <w:p>
            <w:pPr>
              <w:adjustRightInd w:val="0"/>
              <w:snapToGrid w:val="0"/>
              <w:spacing w:before="50" w:line="360" w:lineRule="auto"/>
              <w:rPr>
                <w:rFonts w:hint="eastAsia" w:ascii="宋体" w:hAnsi="宋体" w:eastAsia="宋体" w:cs="宋体"/>
              </w:rPr>
            </w:pPr>
          </w:p>
        </w:tc>
        <w:tc>
          <w:tcPr>
            <w:tcW w:w="1942" w:type="dxa"/>
            <w:tcBorders>
              <w:tl2br w:val="nil"/>
              <w:tr2bl w:val="nil"/>
            </w:tcBorders>
            <w:noWrap/>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rPr>
            </w:pPr>
          </w:p>
        </w:tc>
        <w:tc>
          <w:tcPr>
            <w:tcW w:w="4024" w:type="dxa"/>
            <w:gridSpan w:val="2"/>
            <w:tcBorders>
              <w:tl2br w:val="nil"/>
              <w:tr2bl w:val="nil"/>
            </w:tcBorders>
            <w:noWrap/>
            <w:vAlign w:val="center"/>
          </w:tcPr>
          <w:p>
            <w:pPr>
              <w:adjustRightInd w:val="0"/>
              <w:snapToGrid w:val="0"/>
              <w:spacing w:before="50" w:line="360" w:lineRule="auto"/>
              <w:ind w:firstLine="422" w:firstLineChars="200"/>
              <w:jc w:val="left"/>
              <w:rPr>
                <w:rFonts w:hint="eastAsia" w:ascii="宋体" w:hAnsi="宋体" w:eastAsia="宋体" w:cs="宋体"/>
                <w:b/>
                <w:szCs w:val="21"/>
              </w:rPr>
            </w:pPr>
            <w:r>
              <w:rPr>
                <w:rFonts w:hint="eastAsia" w:ascii="宋体" w:hAnsi="宋体" w:eastAsia="宋体" w:cs="宋体"/>
                <w:b/>
                <w:szCs w:val="21"/>
              </w:rPr>
              <w:t>投标人保证：除本合同条款偏离表列出的偏离外，我单位对招标文件的其他商务、合同条款完全响应，无偏离。</w:t>
            </w:r>
          </w:p>
        </w:tc>
      </w:tr>
    </w:tbl>
    <w:p>
      <w:pPr>
        <w:adjustRightInd w:val="0"/>
        <w:snapToGrid w:val="0"/>
        <w:spacing w:before="50" w:line="360" w:lineRule="auto"/>
        <w:ind w:left="-88" w:leftChars="-42"/>
        <w:rPr>
          <w:rFonts w:hint="eastAsia" w:ascii="宋体" w:hAnsi="宋体" w:eastAsia="宋体" w:cs="宋体"/>
          <w:szCs w:val="21"/>
        </w:rPr>
      </w:pPr>
      <w:r>
        <w:rPr>
          <w:rFonts w:hint="eastAsia" w:ascii="宋体" w:hAnsi="宋体" w:eastAsia="宋体" w:cs="宋体"/>
          <w:b/>
          <w:szCs w:val="21"/>
        </w:rPr>
        <w:t>备注</w:t>
      </w:r>
      <w:r>
        <w:rPr>
          <w:rFonts w:hint="eastAsia" w:ascii="宋体" w:hAnsi="宋体" w:eastAsia="宋体" w:cs="宋体"/>
          <w:szCs w:val="21"/>
        </w:rPr>
        <w:t>：（1）投标人应根据招标文件第六章“政府采购合同”填写本表；</w:t>
      </w:r>
    </w:p>
    <w:p>
      <w:pPr>
        <w:adjustRightInd w:val="0"/>
        <w:snapToGrid w:val="0"/>
        <w:spacing w:before="50" w:line="360" w:lineRule="auto"/>
        <w:ind w:left="-88" w:leftChars="-42" w:firstLine="420" w:firstLineChars="200"/>
        <w:rPr>
          <w:rFonts w:hint="eastAsia" w:ascii="宋体" w:hAnsi="宋体" w:eastAsia="宋体" w:cs="宋体"/>
          <w:b/>
          <w:szCs w:val="21"/>
        </w:rPr>
      </w:pPr>
      <w:r>
        <w:rPr>
          <w:rFonts w:hint="eastAsia" w:ascii="宋体" w:hAnsi="宋体" w:eastAsia="宋体" w:cs="宋体"/>
          <w:szCs w:val="21"/>
        </w:rPr>
        <w:t>（2）</w:t>
      </w:r>
      <w:r>
        <w:rPr>
          <w:rFonts w:hint="eastAsia" w:ascii="宋体" w:hAnsi="宋体" w:eastAsia="宋体" w:cs="宋体"/>
          <w:b/>
          <w:szCs w:val="21"/>
        </w:rPr>
        <w:t>投标人如果对招标文件第六章“政府采购合同”的响应有偏离，应将偏离条款逐条如实应答，并作出说明；</w:t>
      </w:r>
    </w:p>
    <w:p>
      <w:pPr>
        <w:adjustRightInd w:val="0"/>
        <w:snapToGrid w:val="0"/>
        <w:spacing w:before="50" w:line="360" w:lineRule="auto"/>
        <w:ind w:left="-88" w:leftChars="-42" w:firstLine="420" w:firstLineChars="200"/>
        <w:rPr>
          <w:rFonts w:hint="eastAsia" w:ascii="宋体" w:hAnsi="宋体" w:eastAsia="宋体" w:cs="宋体"/>
          <w:szCs w:val="21"/>
        </w:rPr>
      </w:pPr>
      <w:r>
        <w:rPr>
          <w:rFonts w:hint="eastAsia" w:ascii="宋体" w:hAnsi="宋体" w:eastAsia="宋体" w:cs="宋体"/>
          <w:szCs w:val="21"/>
        </w:rPr>
        <w:t>（3）如不提供此表，则视为投标人不满足招标文件第六章的所有条款要求，其</w:t>
      </w:r>
      <w:r>
        <w:rPr>
          <w:rFonts w:hint="eastAsia" w:ascii="宋体" w:hAnsi="宋体" w:eastAsia="宋体" w:cs="宋体"/>
          <w:b/>
          <w:szCs w:val="21"/>
        </w:rPr>
        <w:t>投标无效</w:t>
      </w:r>
      <w:r>
        <w:rPr>
          <w:rFonts w:hint="eastAsia" w:ascii="宋体" w:hAnsi="宋体" w:eastAsia="宋体" w:cs="宋体"/>
          <w:szCs w:val="21"/>
        </w:rPr>
        <w:t>。</w:t>
      </w:r>
    </w:p>
    <w:p>
      <w:pPr>
        <w:adjustRightInd w:val="0"/>
        <w:snapToGrid w:val="0"/>
        <w:spacing w:before="50" w:line="360" w:lineRule="auto"/>
        <w:ind w:left="-88" w:leftChars="-42" w:firstLine="420" w:firstLineChars="200"/>
        <w:rPr>
          <w:rFonts w:hint="eastAsia" w:ascii="宋体" w:hAnsi="宋体" w:eastAsia="宋体" w:cs="宋体"/>
          <w:szCs w:val="21"/>
        </w:rPr>
      </w:pPr>
      <w:r>
        <w:rPr>
          <w:rFonts w:hint="eastAsia" w:ascii="宋体" w:hAnsi="宋体" w:eastAsia="宋体" w:cs="宋体"/>
          <w:szCs w:val="21"/>
        </w:rPr>
        <w:t>（4）在采购人与成交投标人签订合同时，如成交投标人未在投标文件“合同条款偏离表”中列出偏离说明，无论已发生或即将发生任何情形，均视为完全符合招标文件要求，并写入合同。若成交投标人在合同签订前，以上述事项为借口而不履行合同签订手续及执行合同，则视作拒绝与采购人签订合同。</w:t>
      </w:r>
    </w:p>
    <w:p>
      <w:pPr>
        <w:adjustRightInd w:val="0"/>
        <w:snapToGrid w:val="0"/>
        <w:spacing w:before="50" w:line="360" w:lineRule="auto"/>
        <w:rPr>
          <w:rFonts w:hint="eastAsia" w:ascii="宋体" w:hAnsi="宋体" w:eastAsia="宋体" w:cs="宋体"/>
          <w:szCs w:val="21"/>
        </w:rPr>
      </w:pPr>
    </w:p>
    <w:p>
      <w:pPr>
        <w:adjustRightInd w:val="0"/>
        <w:snapToGrid w:val="0"/>
        <w:spacing w:before="50" w:line="360" w:lineRule="auto"/>
        <w:rPr>
          <w:rFonts w:hint="eastAsia" w:ascii="宋体" w:hAnsi="宋体" w:eastAsia="宋体" w:cs="宋体"/>
          <w:szCs w:val="21"/>
        </w:rPr>
      </w:pPr>
    </w:p>
    <w:p>
      <w:pPr>
        <w:adjustRightInd w:val="0"/>
        <w:snapToGrid w:val="0"/>
        <w:spacing w:before="50" w:line="360" w:lineRule="auto"/>
        <w:rPr>
          <w:rFonts w:hint="eastAsia" w:ascii="宋体" w:hAnsi="宋体" w:eastAsia="宋体" w:cs="宋体"/>
          <w:szCs w:val="21"/>
        </w:rPr>
      </w:pPr>
      <w:r>
        <w:rPr>
          <w:rFonts w:hint="eastAsia" w:ascii="宋体" w:hAnsi="宋体" w:eastAsia="宋体" w:cs="宋体"/>
          <w:szCs w:val="21"/>
        </w:rPr>
        <w:t>投标人名称（盖单位章）：</w:t>
      </w:r>
    </w:p>
    <w:p>
      <w:pPr>
        <w:adjustRightInd w:val="0"/>
        <w:snapToGrid w:val="0"/>
        <w:spacing w:before="50" w:line="360" w:lineRule="auto"/>
        <w:rPr>
          <w:rFonts w:hint="eastAsia" w:ascii="宋体" w:hAnsi="宋体" w:eastAsia="宋体" w:cs="宋体"/>
          <w:szCs w:val="21"/>
        </w:rPr>
      </w:pPr>
      <w:r>
        <w:rPr>
          <w:rFonts w:hint="eastAsia" w:ascii="宋体" w:hAnsi="宋体" w:eastAsia="宋体" w:cs="宋体"/>
          <w:spacing w:val="-2"/>
          <w:kern w:val="0"/>
          <w:szCs w:val="21"/>
        </w:rPr>
        <w:t>法</w:t>
      </w:r>
      <w:r>
        <w:rPr>
          <w:rFonts w:hint="eastAsia" w:ascii="宋体" w:hAnsi="宋体" w:eastAsia="宋体" w:cs="宋体"/>
          <w:kern w:val="0"/>
          <w:szCs w:val="21"/>
        </w:rPr>
        <w:t>定</w:t>
      </w:r>
      <w:r>
        <w:rPr>
          <w:rFonts w:hint="eastAsia" w:ascii="宋体" w:hAnsi="宋体" w:eastAsia="宋体" w:cs="宋体"/>
          <w:spacing w:val="-2"/>
          <w:kern w:val="0"/>
          <w:szCs w:val="21"/>
        </w:rPr>
        <w:t>代</w:t>
      </w:r>
      <w:r>
        <w:rPr>
          <w:rFonts w:hint="eastAsia" w:ascii="宋体" w:hAnsi="宋体" w:eastAsia="宋体" w:cs="宋体"/>
          <w:kern w:val="0"/>
          <w:szCs w:val="21"/>
        </w:rPr>
        <w:t>表</w:t>
      </w:r>
      <w:r>
        <w:rPr>
          <w:rFonts w:hint="eastAsia" w:ascii="宋体" w:hAnsi="宋体" w:eastAsia="宋体" w:cs="宋体"/>
          <w:spacing w:val="-2"/>
          <w:kern w:val="0"/>
          <w:szCs w:val="21"/>
        </w:rPr>
        <w:t>人</w:t>
      </w:r>
      <w:r>
        <w:rPr>
          <w:rFonts w:hint="eastAsia" w:ascii="宋体" w:hAnsi="宋体" w:eastAsia="宋体" w:cs="宋体"/>
          <w:kern w:val="0"/>
          <w:szCs w:val="21"/>
        </w:rPr>
        <w:t>（</w:t>
      </w:r>
      <w:r>
        <w:rPr>
          <w:rFonts w:hint="eastAsia" w:ascii="宋体" w:hAnsi="宋体" w:eastAsia="宋体" w:cs="宋体"/>
          <w:spacing w:val="-2"/>
          <w:kern w:val="0"/>
          <w:szCs w:val="21"/>
        </w:rPr>
        <w:t>单</w:t>
      </w:r>
      <w:r>
        <w:rPr>
          <w:rFonts w:hint="eastAsia" w:ascii="宋体" w:hAnsi="宋体" w:eastAsia="宋体" w:cs="宋体"/>
          <w:kern w:val="0"/>
          <w:szCs w:val="21"/>
        </w:rPr>
        <w:t>位</w:t>
      </w:r>
      <w:r>
        <w:rPr>
          <w:rFonts w:hint="eastAsia" w:ascii="宋体" w:hAnsi="宋体" w:eastAsia="宋体" w:cs="宋体"/>
          <w:spacing w:val="-2"/>
          <w:kern w:val="0"/>
          <w:szCs w:val="21"/>
        </w:rPr>
        <w:t>负</w:t>
      </w:r>
      <w:r>
        <w:rPr>
          <w:rFonts w:hint="eastAsia" w:ascii="宋体" w:hAnsi="宋体" w:eastAsia="宋体" w:cs="宋体"/>
          <w:kern w:val="0"/>
          <w:szCs w:val="21"/>
        </w:rPr>
        <w:t>责人</w:t>
      </w:r>
      <w:r>
        <w:rPr>
          <w:rFonts w:hint="eastAsia" w:ascii="宋体" w:hAnsi="宋体" w:eastAsia="宋体" w:cs="宋体"/>
          <w:spacing w:val="-2"/>
          <w:kern w:val="0"/>
          <w:szCs w:val="21"/>
        </w:rPr>
        <w:t>）</w:t>
      </w:r>
      <w:r>
        <w:rPr>
          <w:rFonts w:hint="eastAsia" w:ascii="宋体" w:hAnsi="宋体" w:eastAsia="宋体" w:cs="宋体"/>
          <w:szCs w:val="21"/>
        </w:rPr>
        <w:t>或其授权的代理人（签字或印章）：</w:t>
      </w:r>
    </w:p>
    <w:p>
      <w:pPr>
        <w:adjustRightInd w:val="0"/>
        <w:snapToGrid w:val="0"/>
        <w:spacing w:before="161" w:beforeLines="50" w:line="360" w:lineRule="auto"/>
        <w:rPr>
          <w:rFonts w:hint="eastAsia" w:ascii="宋体" w:hAnsi="宋体" w:eastAsia="宋体" w:cs="宋体"/>
        </w:rPr>
      </w:pPr>
      <w:r>
        <w:rPr>
          <w:rFonts w:hint="eastAsia" w:ascii="宋体" w:hAnsi="宋体" w:eastAsia="宋体" w:cs="Times New Roman"/>
          <w:szCs w:val="22"/>
          <w:lang w:bidi="ar"/>
        </w:rPr>
        <w:t>日期：   年   月   日</w:t>
      </w:r>
    </w:p>
    <w:bookmarkEnd w:id="319"/>
    <w:p>
      <w:pPr>
        <w:adjustRightInd w:val="0"/>
        <w:snapToGrid w:val="0"/>
        <w:spacing w:before="161" w:beforeLines="50" w:line="360" w:lineRule="auto"/>
        <w:ind w:firstLine="420" w:firstLineChars="200"/>
        <w:rPr>
          <w:rFonts w:hint="eastAsia" w:ascii="宋体" w:hAnsi="宋体" w:eastAsia="宋体" w:cs="宋体"/>
        </w:rPr>
      </w:pPr>
    </w:p>
    <w:p>
      <w:pPr>
        <w:adjustRightInd w:val="0"/>
        <w:snapToGrid w:val="0"/>
        <w:spacing w:before="161" w:beforeLines="50" w:line="360" w:lineRule="auto"/>
        <w:ind w:firstLine="420" w:firstLineChars="200"/>
        <w:rPr>
          <w:rFonts w:hint="eastAsia" w:ascii="宋体" w:hAnsi="宋体" w:eastAsia="宋体" w:cs="宋体"/>
        </w:rPr>
      </w:pPr>
    </w:p>
    <w:p>
      <w:pPr>
        <w:adjustRightInd w:val="0"/>
        <w:snapToGrid w:val="0"/>
        <w:spacing w:line="360" w:lineRule="auto"/>
        <w:jc w:val="center"/>
        <w:outlineLvl w:val="2"/>
        <w:rPr>
          <w:rFonts w:hint="eastAsia" w:ascii="宋体" w:hAnsi="宋体" w:eastAsia="黑体" w:cs="宋体"/>
          <w:b/>
          <w:bCs/>
          <w:sz w:val="28"/>
          <w:szCs w:val="28"/>
        </w:rPr>
      </w:pPr>
      <w:bookmarkStart w:id="327" w:name="OLE_LINK164"/>
      <w:bookmarkStart w:id="328" w:name="OLE_LINK165"/>
      <w:r>
        <w:rPr>
          <w:rFonts w:hint="eastAsia" w:ascii="宋体" w:hAnsi="宋体" w:eastAsia="黑体" w:cs="宋体"/>
          <w:b/>
          <w:bCs/>
          <w:sz w:val="28"/>
          <w:szCs w:val="28"/>
        </w:rPr>
        <w:t>十四、投标货物符合招标文件规定的证明文件</w:t>
      </w:r>
      <w:bookmarkEnd w:id="327"/>
    </w:p>
    <w:p>
      <w:pPr>
        <w:spacing w:before="156" w:line="360" w:lineRule="auto"/>
        <w:rPr>
          <w:rFonts w:ascii="Times New Roman" w:hAnsi="Times New Roman" w:eastAsia="宋体" w:cs="Times New Roman"/>
          <w:szCs w:val="21"/>
        </w:rPr>
      </w:pPr>
      <w:r>
        <w:rPr>
          <w:rFonts w:ascii="宋体" w:hAnsi="宋体" w:eastAsia="宋体" w:cs="宋体"/>
          <w:b/>
          <w:bCs/>
          <w:szCs w:val="21"/>
        </w:rPr>
        <w:t>备注</w:t>
      </w:r>
      <w:r>
        <w:rPr>
          <w:rFonts w:ascii="宋体" w:hAnsi="宋体" w:eastAsia="宋体" w:cs="宋体"/>
          <w:szCs w:val="21"/>
        </w:rPr>
        <w:t>：</w:t>
      </w:r>
      <w:r>
        <w:rPr>
          <w:rFonts w:hint="eastAsia" w:ascii="宋体" w:hAnsi="宋体" w:eastAsia="宋体" w:cs="宋体"/>
          <w:szCs w:val="21"/>
        </w:rPr>
        <w:t>1、</w:t>
      </w:r>
      <w:r>
        <w:rPr>
          <w:rFonts w:ascii="宋体" w:hAnsi="宋体" w:eastAsia="宋体" w:cs="宋体"/>
          <w:szCs w:val="21"/>
        </w:rPr>
        <w:t>提供</w:t>
      </w:r>
      <w:r>
        <w:rPr>
          <w:rFonts w:hint="eastAsia" w:ascii="宋体" w:hAnsi="宋体" w:eastAsia="宋体" w:cs="宋体"/>
          <w:szCs w:val="21"/>
        </w:rPr>
        <w:t>招标文件</w:t>
      </w:r>
      <w:r>
        <w:rPr>
          <w:rFonts w:ascii="宋体" w:hAnsi="宋体" w:eastAsia="宋体" w:cs="宋体"/>
          <w:szCs w:val="21"/>
        </w:rPr>
        <w:t>“技术规格、参数及要求”规定（包括投标货物的强制性认证、注册等）的证明材料复印件</w:t>
      </w:r>
      <w:r>
        <w:rPr>
          <w:rFonts w:ascii="Times New Roman" w:hAnsi="Times New Roman" w:eastAsia="宋体" w:cs="Times New Roman"/>
          <w:szCs w:val="21"/>
        </w:rPr>
        <w:t xml:space="preserve"> </w:t>
      </w:r>
      <w:r>
        <w:rPr>
          <w:rFonts w:hint="eastAsia" w:ascii="Times New Roman" w:hAnsi="Times New Roman" w:eastAsia="宋体" w:cs="Times New Roman"/>
          <w:szCs w:val="21"/>
        </w:rPr>
        <w:t>；</w:t>
      </w:r>
    </w:p>
    <w:p>
      <w:pPr>
        <w:spacing w:line="360" w:lineRule="auto"/>
        <w:ind w:firstLine="420" w:firstLineChars="200"/>
        <w:rPr>
          <w:rFonts w:hint="eastAsia" w:ascii="宋体" w:hAnsi="宋体" w:eastAsia="宋体" w:cs="宋体"/>
        </w:rPr>
      </w:pPr>
      <w:r>
        <w:rPr>
          <w:rFonts w:hint="eastAsia" w:ascii="宋体" w:hAnsi="宋体" w:eastAsia="宋体" w:cs="宋体"/>
        </w:rPr>
        <w:t>2、本项目采购产品中如属于《节能产品政府采购品目清单》中以“</w:t>
      </w:r>
      <w:r>
        <w:rPr>
          <w:rFonts w:hint="eastAsia" w:ascii="宋体" w:hAnsi="宋体" w:eastAsia="宋体" w:cs="宋体"/>
          <w:kern w:val="0"/>
        </w:rPr>
        <w:sym w:font="Wingdings" w:char="F0AB"/>
      </w:r>
      <w:r>
        <w:rPr>
          <w:rFonts w:hint="eastAsia" w:ascii="宋体" w:hAnsi="宋体" w:eastAsia="宋体" w:cs="宋体"/>
        </w:rPr>
        <w:t>”标注的政府强制采购产品，投标人所投产品应当取得国家确定的认证机构出具的、处于有效期之内的节能产品认证证书，并在投标文件中提供证书复印件，否则视为无效投标。</w:t>
      </w:r>
    </w:p>
    <w:p>
      <w:pPr>
        <w:spacing w:line="360" w:lineRule="auto"/>
        <w:ind w:firstLine="420" w:firstLineChars="200"/>
        <w:rPr>
          <w:rFonts w:hint="eastAsia" w:ascii="宋体" w:hAnsi="宋体" w:eastAsia="宋体" w:cs="宋体"/>
        </w:rPr>
      </w:pPr>
      <w:r>
        <w:rPr>
          <w:rFonts w:hint="eastAsia" w:ascii="宋体" w:hAnsi="宋体" w:eastAsia="宋体" w:cs="宋体"/>
        </w:rPr>
        <w:t>3、节能产品认证证书内容注明“详见证书附件”的，应提供其附件，以证明认证证书与响应文件一致。否则视为无效响应。</w:t>
      </w:r>
      <w:bookmarkEnd w:id="328"/>
    </w:p>
    <w:p>
      <w:pPr>
        <w:widowControl w:val="0"/>
        <w:adjustRightInd w:val="0"/>
        <w:ind w:left="360" w:hanging="360"/>
        <w:jc w:val="both"/>
        <w:textAlignment w:val="baseline"/>
        <w:rPr>
          <w:rFonts w:hint="eastAsia" w:ascii="宋体" w:hAnsi="宋体" w:eastAsia="宋体" w:cs="Times New Roman"/>
          <w:i/>
          <w:kern w:val="0"/>
          <w:sz w:val="21"/>
          <w:szCs w:val="21"/>
          <w:lang w:val="en-US" w:eastAsia="zh-CN" w:bidi="ar-SA"/>
        </w:rPr>
      </w:pPr>
    </w:p>
    <w:bookmarkEnd w:id="316"/>
    <w:p>
      <w:pPr>
        <w:adjustRightInd w:val="0"/>
        <w:snapToGrid w:val="0"/>
        <w:spacing w:line="360" w:lineRule="auto"/>
        <w:jc w:val="center"/>
        <w:rPr>
          <w:rFonts w:hint="eastAsia" w:ascii="宋体" w:hAnsi="宋体" w:eastAsia="宋体" w:cs="宋体"/>
          <w:b/>
          <w:bCs/>
          <w:sz w:val="32"/>
          <w:szCs w:val="21"/>
        </w:rPr>
      </w:pPr>
    </w:p>
    <w:p>
      <w:pPr>
        <w:adjustRightInd w:val="0"/>
        <w:snapToGrid w:val="0"/>
        <w:spacing w:line="360" w:lineRule="auto"/>
        <w:jc w:val="center"/>
        <w:outlineLvl w:val="2"/>
        <w:rPr>
          <w:rFonts w:hint="eastAsia" w:ascii="宋体" w:hAnsi="宋体" w:eastAsia="黑体" w:cs="宋体"/>
          <w:b/>
          <w:bCs/>
          <w:sz w:val="28"/>
          <w:szCs w:val="28"/>
        </w:rPr>
      </w:pPr>
      <w:bookmarkStart w:id="329" w:name="OLE_LINK166"/>
      <w:r>
        <w:rPr>
          <w:rFonts w:hint="eastAsia" w:ascii="宋体" w:hAnsi="宋体" w:eastAsia="黑体" w:cs="宋体"/>
          <w:b/>
          <w:bCs/>
          <w:sz w:val="28"/>
          <w:szCs w:val="28"/>
        </w:rPr>
        <w:t>十五、技术指标和功能要求</w:t>
      </w:r>
    </w:p>
    <w:p>
      <w:pPr>
        <w:spacing w:before="156" w:line="360" w:lineRule="auto"/>
        <w:rPr>
          <w:rFonts w:hint="eastAsia" w:ascii="宋体" w:hAnsi="宋体" w:eastAsia="宋体" w:cs="宋体"/>
          <w:szCs w:val="21"/>
        </w:rPr>
      </w:pPr>
      <w:r>
        <w:rPr>
          <w:rFonts w:hint="eastAsia" w:ascii="宋体" w:hAnsi="宋体" w:eastAsia="宋体" w:cs="宋体"/>
          <w:szCs w:val="21"/>
        </w:rPr>
        <w:t>备注：按本招标文件评标办法要求提供 “十一、货物说明一览表”、“十二、响应偏离表”及相关证明材料。</w:t>
      </w:r>
      <w:bookmarkEnd w:id="329"/>
    </w:p>
    <w:p>
      <w:pPr>
        <w:adjustRightInd w:val="0"/>
        <w:snapToGrid w:val="0"/>
        <w:spacing w:line="360" w:lineRule="auto"/>
        <w:jc w:val="center"/>
        <w:outlineLvl w:val="2"/>
        <w:rPr>
          <w:rFonts w:hint="eastAsia" w:ascii="宋体" w:hAnsi="宋体" w:eastAsia="黑体" w:cs="宋体"/>
          <w:b/>
          <w:bCs/>
          <w:sz w:val="28"/>
          <w:szCs w:val="28"/>
        </w:rPr>
      </w:pPr>
    </w:p>
    <w:p>
      <w:pPr>
        <w:adjustRightInd w:val="0"/>
        <w:snapToGrid w:val="0"/>
        <w:spacing w:line="360" w:lineRule="auto"/>
        <w:jc w:val="center"/>
        <w:outlineLvl w:val="2"/>
        <w:rPr>
          <w:rFonts w:hint="eastAsia" w:ascii="宋体" w:hAnsi="宋体" w:eastAsia="黑体" w:cs="宋体"/>
          <w:b/>
          <w:bCs/>
          <w:sz w:val="28"/>
          <w:szCs w:val="28"/>
        </w:rPr>
      </w:pPr>
    </w:p>
    <w:p>
      <w:pPr>
        <w:adjustRightInd w:val="0"/>
        <w:snapToGrid w:val="0"/>
        <w:spacing w:line="360" w:lineRule="auto"/>
        <w:jc w:val="center"/>
        <w:outlineLvl w:val="2"/>
        <w:rPr>
          <w:rFonts w:hint="eastAsia" w:ascii="宋体" w:hAnsi="宋体" w:eastAsia="黑体" w:cs="宋体"/>
          <w:b/>
          <w:bCs/>
          <w:sz w:val="28"/>
          <w:szCs w:val="28"/>
        </w:rPr>
      </w:pPr>
      <w:bookmarkStart w:id="330" w:name="OLE_LINK227"/>
      <w:r>
        <w:rPr>
          <w:rFonts w:hint="eastAsia" w:ascii="宋体" w:hAnsi="宋体" w:eastAsia="黑体" w:cs="宋体"/>
          <w:b/>
          <w:bCs/>
          <w:sz w:val="28"/>
          <w:szCs w:val="28"/>
        </w:rPr>
        <w:t>十</w:t>
      </w:r>
      <w:r>
        <w:rPr>
          <w:rFonts w:hint="eastAsia" w:ascii="宋体" w:hAnsi="宋体" w:eastAsia="黑体" w:cs="宋体"/>
          <w:b/>
          <w:bCs/>
          <w:sz w:val="28"/>
          <w:szCs w:val="28"/>
          <w:lang w:eastAsia="zh-CN"/>
        </w:rPr>
        <w:t>六</w:t>
      </w:r>
      <w:r>
        <w:rPr>
          <w:rFonts w:hint="eastAsia" w:ascii="宋体" w:hAnsi="宋体" w:eastAsia="黑体" w:cs="宋体"/>
          <w:b/>
          <w:bCs/>
          <w:sz w:val="28"/>
          <w:szCs w:val="28"/>
        </w:rPr>
        <w:t>、视频演示</w:t>
      </w:r>
    </w:p>
    <w:p>
      <w:pPr>
        <w:rPr>
          <w:rFonts w:hint="eastAsia" w:ascii="宋体" w:hAnsi="宋体" w:eastAsia="宋体" w:cs="宋体"/>
        </w:rPr>
      </w:pPr>
      <w:bookmarkStart w:id="331" w:name="OLE_LINK167"/>
      <w:r>
        <w:rPr>
          <w:rFonts w:hint="eastAsia" w:ascii="宋体" w:hAnsi="宋体" w:eastAsia="宋体" w:cs="宋体"/>
        </w:rPr>
        <w:t>备注：提供本项目招标文件采购需求及评标方法自行编辑。</w:t>
      </w:r>
      <w:bookmarkEnd w:id="330"/>
    </w:p>
    <w:p>
      <w:pPr>
        <w:adjustRightInd w:val="0"/>
        <w:snapToGrid w:val="0"/>
        <w:spacing w:line="360" w:lineRule="auto"/>
        <w:jc w:val="center"/>
        <w:outlineLvl w:val="2"/>
        <w:rPr>
          <w:rFonts w:hint="eastAsia" w:ascii="宋体" w:hAnsi="宋体" w:eastAsia="黑体" w:cs="宋体"/>
          <w:b/>
          <w:bCs/>
          <w:sz w:val="28"/>
          <w:szCs w:val="28"/>
        </w:rPr>
      </w:pPr>
    </w:p>
    <w:p>
      <w:pPr>
        <w:adjustRightInd w:val="0"/>
        <w:snapToGrid w:val="0"/>
        <w:spacing w:line="360" w:lineRule="auto"/>
        <w:jc w:val="center"/>
        <w:outlineLvl w:val="2"/>
        <w:rPr>
          <w:rFonts w:hint="eastAsia" w:ascii="宋体" w:hAnsi="宋体" w:eastAsia="黑体" w:cs="宋体"/>
          <w:b/>
          <w:bCs/>
          <w:sz w:val="28"/>
          <w:szCs w:val="28"/>
        </w:rPr>
      </w:pPr>
    </w:p>
    <w:p>
      <w:pPr>
        <w:adjustRightInd w:val="0"/>
        <w:snapToGrid w:val="0"/>
        <w:spacing w:line="360" w:lineRule="auto"/>
        <w:jc w:val="center"/>
        <w:outlineLvl w:val="2"/>
        <w:rPr>
          <w:rFonts w:hint="eastAsia" w:ascii="宋体" w:hAnsi="宋体" w:eastAsia="黑体" w:cs="宋体"/>
          <w:b/>
          <w:bCs/>
          <w:sz w:val="28"/>
          <w:szCs w:val="28"/>
        </w:rPr>
      </w:pPr>
      <w:bookmarkStart w:id="332" w:name="OLE_LINK228"/>
      <w:r>
        <w:rPr>
          <w:rFonts w:hint="eastAsia" w:ascii="宋体" w:hAnsi="宋体" w:eastAsia="黑体" w:cs="宋体"/>
          <w:b/>
          <w:bCs/>
          <w:sz w:val="28"/>
          <w:szCs w:val="28"/>
        </w:rPr>
        <w:t>十</w:t>
      </w:r>
      <w:r>
        <w:rPr>
          <w:rFonts w:hint="eastAsia" w:ascii="宋体" w:hAnsi="宋体" w:eastAsia="黑体" w:cs="宋体"/>
          <w:b/>
          <w:bCs/>
          <w:sz w:val="28"/>
          <w:szCs w:val="28"/>
          <w:lang w:eastAsia="zh-CN"/>
        </w:rPr>
        <w:t>七</w:t>
      </w:r>
      <w:r>
        <w:rPr>
          <w:rFonts w:hint="eastAsia" w:ascii="宋体" w:hAnsi="宋体" w:eastAsia="黑体" w:cs="宋体"/>
          <w:b/>
          <w:bCs/>
          <w:sz w:val="28"/>
          <w:szCs w:val="28"/>
        </w:rPr>
        <w:t>、项目实施方案</w:t>
      </w:r>
    </w:p>
    <w:p>
      <w:pPr>
        <w:rPr>
          <w:rFonts w:hint="eastAsia" w:ascii="宋体" w:hAnsi="宋体" w:eastAsia="宋体" w:cs="宋体"/>
        </w:rPr>
      </w:pPr>
      <w:r>
        <w:rPr>
          <w:rFonts w:hint="eastAsia" w:ascii="宋体" w:hAnsi="宋体" w:eastAsia="宋体" w:cs="宋体"/>
        </w:rPr>
        <w:t>备注：提供本项目招标文件采购需求及评标方法自行编辑。</w:t>
      </w:r>
      <w:bookmarkEnd w:id="331"/>
      <w:bookmarkEnd w:id="332"/>
    </w:p>
    <w:p>
      <w:pPr>
        <w:adjustRightInd w:val="0"/>
        <w:snapToGrid w:val="0"/>
        <w:spacing w:before="161" w:beforeLines="50"/>
        <w:rPr>
          <w:rFonts w:hint="eastAsia" w:ascii="宋体" w:hAnsi="宋体" w:cs="宋体"/>
          <w:szCs w:val="21"/>
        </w:rPr>
      </w:pPr>
    </w:p>
    <w:p>
      <w:pPr>
        <w:adjustRightInd w:val="0"/>
        <w:snapToGrid w:val="0"/>
        <w:spacing w:before="161" w:beforeLines="50"/>
        <w:ind w:firstLine="630" w:firstLineChars="300"/>
        <w:rPr>
          <w:rFonts w:hint="eastAsia" w:ascii="宋体" w:hAnsi="宋体" w:cs="宋体"/>
          <w:szCs w:val="21"/>
        </w:rPr>
      </w:pPr>
    </w:p>
    <w:p>
      <w:pPr>
        <w:adjustRightInd w:val="0"/>
        <w:snapToGrid w:val="0"/>
        <w:spacing w:before="161" w:beforeLines="50"/>
        <w:ind w:firstLine="630" w:firstLineChars="300"/>
        <w:rPr>
          <w:rFonts w:hint="eastAsia" w:ascii="宋体" w:hAnsi="宋体" w:cs="宋体"/>
          <w:szCs w:val="21"/>
        </w:rPr>
      </w:pPr>
    </w:p>
    <w:p>
      <w:pPr>
        <w:rPr>
          <w:rFonts w:hint="eastAsia" w:ascii="宋体" w:hAnsi="宋体" w:cs="宋体"/>
          <w:b/>
          <w:bCs/>
          <w:sz w:val="32"/>
          <w:szCs w:val="21"/>
        </w:rPr>
      </w:pPr>
    </w:p>
    <w:sectPr>
      <w:footerReference r:id="rId9" w:type="default"/>
      <w:pgSz w:w="11905" w:h="16838"/>
      <w:pgMar w:top="1440" w:right="1587" w:bottom="1440" w:left="1587" w:header="1020" w:footer="567" w:gutter="0"/>
      <w:pgBorders>
        <w:top w:val="none" w:sz="0" w:space="0"/>
        <w:left w:val="none" w:sz="0" w:space="0"/>
        <w:bottom w:val="none" w:sz="0" w:space="0"/>
        <w:right w:val="none" w:sz="0" w:space="0"/>
      </w:pgBorders>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4C48A9A-4D3D-4257-8312-D623E2991540}"/>
  </w:font>
  <w:font w:name="Arial">
    <w:panose1 w:val="020B0604020202020204"/>
    <w:charset w:val="01"/>
    <w:family w:val="swiss"/>
    <w:pitch w:val="default"/>
    <w:sig w:usb0="E0002AFF" w:usb1="C0007843" w:usb2="00000009" w:usb3="00000000" w:csb0="400001FF" w:csb1="FFFF0000"/>
    <w:embedRegular r:id="rId2" w:fontKey="{2B1954D6-0A24-4AB6-81FF-9BC94BE55A38}"/>
  </w:font>
  <w:font w:name="黑体">
    <w:panose1 w:val="02010609060101010101"/>
    <w:charset w:val="86"/>
    <w:family w:val="auto"/>
    <w:pitch w:val="default"/>
    <w:sig w:usb0="800002BF" w:usb1="38CF7CFA" w:usb2="00000016" w:usb3="00000000" w:csb0="00040001" w:csb1="00000000"/>
    <w:embedRegular r:id="rId3" w:fontKey="{0F455245-7693-417E-B673-1315C3378A80}"/>
  </w:font>
  <w:font w:name="Courier New">
    <w:panose1 w:val="02070309020205020404"/>
    <w:charset w:val="01"/>
    <w:family w:val="modern"/>
    <w:pitch w:val="default"/>
    <w:sig w:usb0="E0002AFF" w:usb1="C0007843" w:usb2="00000009" w:usb3="00000000" w:csb0="400001FF" w:csb1="FFFF0000"/>
    <w:embedRegular r:id="rId4" w:fontKey="{2A3F6C4E-CC0E-452C-AA01-B4130EF6805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5" w:fontKey="{FEB46863-6A99-42CB-870D-C21DF50CC76E}"/>
  </w:font>
  <w:font w:name="仿宋_GB2312">
    <w:panose1 w:val="02010609030101010101"/>
    <w:charset w:val="86"/>
    <w:family w:val="modern"/>
    <w:pitch w:val="default"/>
    <w:sig w:usb0="00000001" w:usb1="080E0000" w:usb2="00000000" w:usb3="00000000" w:csb0="00040000" w:csb1="00000000"/>
    <w:embedRegular r:id="rId6" w:fontKey="{5CE19A28-528F-41E7-A791-8617760BFFB4}"/>
  </w:font>
  <w:font w:name="楷体_GB2312">
    <w:panose1 w:val="02010609030101010101"/>
    <w:charset w:val="86"/>
    <w:family w:val="modern"/>
    <w:pitch w:val="default"/>
    <w:sig w:usb0="00000001" w:usb1="080E0000" w:usb2="00000000" w:usb3="00000000" w:csb0="00040000" w:csb1="00000000"/>
    <w:embedRegular r:id="rId7" w:fontKey="{B7FB70DE-1F7E-4789-BFE6-5ADC173AA023}"/>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embedRegular r:id="rId8" w:fontKey="{CF1476F0-645D-4E94-A19C-7A1778AB75B7}"/>
  </w:font>
  <w:font w:name="华文宋体">
    <w:panose1 w:val="02010600040101010101"/>
    <w:charset w:val="86"/>
    <w:family w:val="auto"/>
    <w:pitch w:val="default"/>
    <w:sig w:usb0="00000287" w:usb1="080F0000" w:usb2="00000000" w:usb3="00000000" w:csb0="0004009F" w:csb1="DFD70000"/>
    <w:embedRegular r:id="rId9" w:fontKey="{998146D6-6544-4C4F-A9CF-3B0D7378FCC6}"/>
  </w:font>
  <w:font w:name="仿宋">
    <w:panose1 w:val="02010609060101010101"/>
    <w:charset w:val="86"/>
    <w:family w:val="modern"/>
    <w:pitch w:val="default"/>
    <w:sig w:usb0="800002BF" w:usb1="38CF7CFA" w:usb2="00000016" w:usb3="00000000" w:csb0="00040001" w:csb1="00000000"/>
    <w:embedRegular r:id="rId10" w:fontKey="{D1696CAF-27F6-4D66-9836-573B1ED97136}"/>
  </w:font>
  <w:font w:name="新宋体">
    <w:panose1 w:val="02010609030101010101"/>
    <w:charset w:val="86"/>
    <w:family w:val="modern"/>
    <w:pitch w:val="default"/>
    <w:sig w:usb0="00000003" w:usb1="288F0000" w:usb2="00000006" w:usb3="00000000" w:csb0="00040001" w:csb1="00000000"/>
    <w:embedRegular r:id="rId11" w:fontKey="{F3A2F8D3-CB82-41C3-8F6C-D2DDC26436F4}"/>
  </w:font>
  <w:font w:name="华文中宋">
    <w:panose1 w:val="02010600040101010101"/>
    <w:charset w:val="86"/>
    <w:family w:val="auto"/>
    <w:pitch w:val="default"/>
    <w:sig w:usb0="00000287" w:usb1="080F0000" w:usb2="00000000" w:usb3="00000000" w:csb0="0004009F" w:csb1="DFD70000"/>
    <w:embedRegular r:id="rId12" w:fontKey="{F76BDC39-1BAE-4DDA-B828-DA23FD3F4612}"/>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rPr>
        <w:rFonts w:hint="eastAsia" w:ascii="宋体" w:hAnsi="宋体" w:cs="宋体"/>
      </w:rPr>
    </w:pPr>
    <w:r>
      <w:rPr>
        <w:rFonts w:hint="eastAsia" w:ascii="宋体" w:hAnsi="宋体" w:cs="宋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79375</wp:posOffset>
              </wp:positionV>
              <wp:extent cx="103505" cy="278765"/>
              <wp:effectExtent l="0" t="0" r="0" b="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03505" cy="278765"/>
                      </a:xfrm>
                      <a:prstGeom prst="rect">
                        <a:avLst/>
                      </a:prstGeom>
                      <a:noFill/>
                      <a:ln>
                        <a:noFill/>
                      </a:ln>
                      <a:effectLst/>
                    </wps:spPr>
                    <wps:txbx>
                      <w:txbxContent>
                        <w:p>
                          <w:pPr>
                            <w:snapToGrid w:val="0"/>
                            <w:rPr>
                              <w:sz w:val="18"/>
                            </w:rPr>
                          </w:pPr>
                        </w:p>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6.25pt;height:21.95pt;width:8.15pt;mso-position-horizontal:center;mso-position-horizontal-relative:margin;mso-wrap-style:none;z-index:251660288;mso-width-relative:page;mso-height-relative:page;" filled="f" stroked="f" coordsize="21600,21600" o:gfxdata="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MaWcbSAAAABQEAAA8AAAAAAAAAAQAgAAAAIgAA&#10;AGRycy9kb3ducmV2LnhtbFBLAQIUABQAAAAIAIdO4kCt2UOJDgIAABAEAAAOAAAAAAAAAAEAIAAA&#10;ACEBAABkcnMvZTJvRG9jLnhtbFBLBQYAAAAABgAGAFkBAAChBQAAAAA=&#10;">
              <v:fill on="f" focussize="0,0"/>
              <v:stroke on="f"/>
              <v:imagedata o:title=""/>
              <o:lock v:ext="edit" aspectratio="f"/>
              <v:textbox inset="0mm,0mm,0mm,0mm" style="mso-fit-shape-to-text:t;">
                <w:txbxContent>
                  <w:p>
                    <w:pPr>
                      <w:snapToGrid w:val="0"/>
                      <w:rPr>
                        <w:sz w:val="18"/>
                      </w:rPr>
                    </w:pPr>
                  </w:p>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mc:Fallback>
      </mc:AlternateContent>
    </w:r>
  </w:p>
  <w:p>
    <w:pPr>
      <w:pStyle w:val="26"/>
      <w:rPr>
        <w:rFonts w:hint="eastAsia" w:ascii="宋体" w:hAnsi="宋体" w:cs="宋体"/>
      </w:rPr>
    </w:pPr>
    <w:r>
      <w:rPr>
        <w:rFonts w:hint="eastAsia" w:ascii="宋体" w:hAnsi="宋体" w:cs="宋体"/>
      </w:rPr>
      <mc:AlternateContent>
        <mc:Choice Requires="wps">
          <w:drawing>
            <wp:anchor distT="0" distB="0" distL="114300" distR="114300" simplePos="0" relativeHeight="251659264" behindDoc="0" locked="0" layoutInCell="1" allowOverlap="1">
              <wp:simplePos x="0" y="0"/>
              <wp:positionH relativeFrom="margin">
                <wp:posOffset>2448560</wp:posOffset>
              </wp:positionH>
              <wp:positionV relativeFrom="paragraph">
                <wp:posOffset>50165</wp:posOffset>
              </wp:positionV>
              <wp:extent cx="114935" cy="162560"/>
              <wp:effectExtent l="0" t="0" r="0" b="0"/>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192.8pt;margin-top:3.95pt;height:12.8pt;width:9.05pt;mso-position-horizontal-relative:margin;mso-wrap-style:none;z-index:251659264;mso-width-relative:page;mso-height-relative:page;" filled="f" stroked="f" coordsize="21600,21600" o:gfxdata="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mOf0v1QAAAAgBAAAPAAAAAAAAAAEAIAAA&#10;ACIAAABkcnMvZG93bnJldi54bWxQSwECFAAUAAAACACHTuJA4Qt+0A8CAAAQBAAADgAAAAAAAAAB&#10;ACAAAAAkAQAAZHJzL2Uyb0RvYy54bWxQSwUGAAAAAAYABgBZAQAApQUAAAAA&#10;">
              <v:fill on="f" focussize="0,0"/>
              <v:stroke on="f"/>
              <v:imagedata o:title=""/>
              <o:lock v:ext="edit" aspectratio="f"/>
              <v:textbox inset="0mm,0mm,0mm,0mm" style="mso-fit-shape-to-text:t;">
                <w:txbxContent>
                  <w:p/>
                </w:txbxContent>
              </v:textbox>
            </v:shape>
          </w:pict>
        </mc:Fallback>
      </mc:AlternateContent>
    </w:r>
    <w:r>
      <w:rPr>
        <w:rFonts w:hint="eastAsia" w:ascii="宋体" w:hAnsi="宋体" w:cs="宋体"/>
      </w:rPr>
      <w:t>湖南万达项目管理有限公司                              地址：株洲市天元区长江中央商务大厦A座五楼</w:t>
    </w:r>
  </w:p>
  <w:p>
    <w:pPr>
      <w:pStyle w:val="26"/>
      <w:rPr>
        <w:rFonts w:hint="eastAsia" w:ascii="宋体" w:hAnsi="宋体" w:cs="宋体"/>
      </w:rPr>
    </w:pPr>
    <w:r>
      <w:rPr>
        <w:rFonts w:hint="eastAsia" w:ascii="宋体" w:hAnsi="宋体" w:cs="宋体"/>
      </w:rPr>
      <w:t>邮编：412007                                          电话：0731-</w:t>
    </w:r>
    <w:r>
      <w:rPr>
        <w:rFonts w:hint="eastAsia" w:cs="宋体"/>
      </w:rPr>
      <w:t>22861466</w:t>
    </w:r>
  </w:p>
  <w:p>
    <w:pPr>
      <w:pStyle w:val="26"/>
      <w:rPr>
        <w:rFonts w:hint="eastAsia" w:ascii="宋体" w:hAnsi="宋体" w:cs="宋体"/>
      </w:rPr>
    </w:pPr>
    <w:r>
      <w:rPr>
        <w:rFonts w:hint="eastAsia" w:ascii="宋体" w:hAnsi="宋体" w:cs="宋体"/>
      </w:rPr>
      <w:t>E-mail：HNWD88888@163.com                             传真：0731-22885223</w:t>
    </w:r>
  </w:p>
  <w:p>
    <w:pPr>
      <w:pStyle w:val="26"/>
      <w:ind w:left="180" w:right="359" w:rightChars="171" w:hanging="180" w:hangingChars="100"/>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rPr>
        <w:rFonts w:hint="eastAsia" w:ascii="宋体" w:hAnsi="宋体" w:eastAsia="宋体" w:cs="宋体"/>
      </w:rPr>
    </w:pPr>
    <w:r>
      <w:rPr>
        <w:rFonts w:ascii="宋体" w:hAnsi="宋体" w:eastAsia="宋体" w:cs="宋体"/>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79375</wp:posOffset>
              </wp:positionV>
              <wp:extent cx="103505" cy="27876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03505" cy="278765"/>
                      </a:xfrm>
                      <a:prstGeom prst="rect">
                        <a:avLst/>
                      </a:prstGeom>
                      <a:noFill/>
                      <a:ln>
                        <a:noFill/>
                      </a:ln>
                      <a:effectLst/>
                    </wps:spPr>
                    <wps:txbx>
                      <w:txbxContent>
                        <w:p>
                          <w:pPr>
                            <w:snapToGrid w:val="0"/>
                            <w:rPr>
                              <w:rFonts w:ascii="Times New Roman" w:hAnsi="Times New Roman" w:eastAsia="宋体" w:cs="Times New Roman"/>
                              <w:sz w:val="18"/>
                            </w:rPr>
                          </w:pPr>
                        </w:p>
                        <w:p>
                          <w:pPr>
                            <w:snapToGrid w:val="0"/>
                            <w:rPr>
                              <w:rFonts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18"/>
                            </w:rPr>
                            <w:t>68</w:t>
                          </w:r>
                          <w:r>
                            <w:rPr>
                              <w:rFonts w:hint="eastAsia" w:ascii="Times New Roman" w:hAnsi="Times New Roman" w:eastAsia="宋体"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6.25pt;height:21.95pt;width:8.15pt;mso-position-horizontal:center;mso-position-horizontal-relative:margin;mso-wrap-style:none;z-index:251665408;mso-width-relative:page;mso-height-relative:page;" filled="f" stroked="f" coordsize="21600,21600" o:gfxdata="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zGlnG0gAAAAUBAAAPAAAAAAAAAAEAIAAAACIA&#10;AABkcnMvZG93bnJldi54bWxQSwECFAAUAAAACACHTuJAXirifw8CAAAQBAAADgAAAAAAAAABACAA&#10;AAAhAQAAZHJzL2Uyb0RvYy54bWxQSwUGAAAAAAYABgBZAQAAogUAAAAA&#10;">
              <v:fill on="f" focussize="0,0"/>
              <v:stroke on="f"/>
              <v:imagedata o:title=""/>
              <o:lock v:ext="edit" aspectratio="f"/>
              <v:textbox inset="0mm,0mm,0mm,0mm" style="mso-fit-shape-to-text:t;">
                <w:txbxContent>
                  <w:p>
                    <w:pPr>
                      <w:snapToGrid w:val="0"/>
                      <w:rPr>
                        <w:rFonts w:ascii="Times New Roman" w:hAnsi="Times New Roman" w:eastAsia="宋体" w:cs="Times New Roman"/>
                        <w:sz w:val="18"/>
                      </w:rPr>
                    </w:pPr>
                  </w:p>
                  <w:p>
                    <w:pPr>
                      <w:snapToGrid w:val="0"/>
                      <w:rPr>
                        <w:rFonts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18"/>
                      </w:rPr>
                      <w:t>68</w:t>
                    </w:r>
                    <w:r>
                      <w:rPr>
                        <w:rFonts w:hint="eastAsia" w:ascii="Times New Roman" w:hAnsi="Times New Roman" w:eastAsia="宋体" w:cs="Times New Roman"/>
                        <w:sz w:val="18"/>
                      </w:rPr>
                      <w:fldChar w:fldCharType="end"/>
                    </w:r>
                  </w:p>
                </w:txbxContent>
              </v:textbox>
            </v:shape>
          </w:pict>
        </mc:Fallback>
      </mc:AlternateContent>
    </w:r>
  </w:p>
  <w:p>
    <w:pPr>
      <w:widowControl w:val="0"/>
      <w:snapToGrid w:val="0"/>
      <w:jc w:val="left"/>
      <w:rPr>
        <w:rFonts w:hint="eastAsia" w:ascii="宋体" w:hAnsi="宋体" w:eastAsia="宋体" w:cs="宋体"/>
        <w:kern w:val="2"/>
        <w:sz w:val="18"/>
        <w:szCs w:val="18"/>
        <w:lang w:val="en-US" w:eastAsia="zh-CN" w:bidi="ar-SA"/>
      </w:rPr>
    </w:pPr>
    <w:r>
      <w:rPr>
        <w:rFonts w:ascii="宋体" w:hAnsi="宋体" w:eastAsia="宋体" w:cs="宋体"/>
        <w:kern w:val="2"/>
        <w:sz w:val="18"/>
        <w:szCs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posOffset>2448560</wp:posOffset>
              </wp:positionH>
              <wp:positionV relativeFrom="paragraph">
                <wp:posOffset>50165</wp:posOffset>
              </wp:positionV>
              <wp:extent cx="114935" cy="16256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ffectLst/>
                    </wps:spPr>
                    <wps:txbx>
                      <w:txbxContent>
                        <w:p>
                          <w:pPr>
                            <w:rPr>
                              <w:rFonts w:ascii="Times New Roman" w:hAnsi="Times New Roman" w:eastAsia="宋体" w:cs="Times New Roman"/>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192.8pt;margin-top:3.95pt;height:12.8pt;width:9.05pt;mso-position-horizontal-relative:margin;mso-wrap-style:none;z-index:251664384;mso-width-relative:page;mso-height-relative:page;" filled="f" stroked="f" coordsize="21600,21600" o:gfxdata="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mOf0v1QAAAAgBAAAPAAAAAAAAAAEAIAAA&#10;ACIAAABkcnMvZG93bnJldi54bWxQSwECFAAUAAAACACHTuJAnf2KLg8CAAAQBAAADgAAAAAAAAAB&#10;ACAAAAAkAQAAZHJzL2Uyb0RvYy54bWxQSwUGAAAAAAYABgBZAQAApQUAAAAA&#10;">
              <v:fill on="f" focussize="0,0"/>
              <v:stroke on="f"/>
              <v:imagedata o:title=""/>
              <o:lock v:ext="edit" aspectratio="f"/>
              <v:textbox inset="0mm,0mm,0mm,0mm" style="mso-fit-shape-to-text:t;">
                <w:txbxContent>
                  <w:p>
                    <w:pPr>
                      <w:rPr>
                        <w:rFonts w:ascii="Times New Roman" w:hAnsi="Times New Roman" w:eastAsia="宋体" w:cs="Times New Roman"/>
                      </w:rPr>
                    </w:pPr>
                  </w:p>
                </w:txbxContent>
              </v:textbox>
            </v:shape>
          </w:pict>
        </mc:Fallback>
      </mc:AlternateContent>
    </w:r>
    <w:r>
      <w:rPr>
        <w:rFonts w:hint="eastAsia" w:ascii="宋体" w:hAnsi="宋体" w:eastAsia="宋体" w:cs="宋体"/>
        <w:kern w:val="2"/>
        <w:sz w:val="18"/>
        <w:szCs w:val="18"/>
        <w:lang w:val="en-US" w:eastAsia="zh-CN" w:bidi="ar-SA"/>
      </w:rPr>
      <w:t>湖南万达项目管理有限公司                              地址：株洲市天元区长江中央商务大厦A座五楼</w:t>
    </w:r>
  </w:p>
  <w:p>
    <w:pPr>
      <w:widowControl w:val="0"/>
      <w:snapToGrid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邮编：412007                                          电话：0731-</w:t>
    </w:r>
    <w:r>
      <w:rPr>
        <w:rFonts w:hint="eastAsia" w:ascii="Times New Roman" w:hAnsi="Times New Roman" w:eastAsia="宋体" w:cs="宋体"/>
        <w:kern w:val="2"/>
        <w:sz w:val="18"/>
        <w:szCs w:val="18"/>
        <w:lang w:val="en-US" w:eastAsia="zh-CN" w:bidi="ar-SA"/>
      </w:rPr>
      <w:t>22861466</w:t>
    </w:r>
  </w:p>
  <w:p>
    <w:pPr>
      <w:widowControl w:val="0"/>
      <w:snapToGrid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E-mail：HNWD88888@163.com                             传真：0731-22885223</w:t>
    </w:r>
  </w:p>
  <w:p>
    <w:pPr>
      <w:widowControl w:val="0"/>
      <w:snapToGrid w:val="0"/>
      <w:ind w:left="180" w:right="359" w:rightChars="171" w:hanging="180" w:hangingChars="100"/>
      <w:jc w:val="left"/>
      <w:rPr>
        <w:rFonts w:ascii="Times New Roman" w:hAnsi="Times New Roman" w:eastAsia="楷体_GB2312"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rPr>
        <w:rFonts w:hint="eastAsia" w:ascii="宋体" w:hAnsi="宋体" w:cs="宋体"/>
      </w:rPr>
    </w:pPr>
    <w:r>
      <w:rPr>
        <w:rFonts w:ascii="宋体" w:hAnsi="宋体" w:cs="宋体"/>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79375</wp:posOffset>
              </wp:positionV>
              <wp:extent cx="103505" cy="27876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03505" cy="278765"/>
                      </a:xfrm>
                      <a:prstGeom prst="rect">
                        <a:avLst/>
                      </a:prstGeom>
                      <a:noFill/>
                      <a:ln>
                        <a:noFill/>
                      </a:ln>
                      <a:effectLst/>
                    </wps:spPr>
                    <wps:txbx>
                      <w:txbxContent>
                        <w:p>
                          <w:pPr>
                            <w:snapToGrid w:val="0"/>
                            <w:rPr>
                              <w:sz w:val="18"/>
                            </w:rPr>
                          </w:pPr>
                        </w:p>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68</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6.25pt;height:21.95pt;width:8.15pt;mso-position-horizontal:center;mso-position-horizontal-relative:margin;mso-wrap-style:none;z-index:251663360;mso-width-relative:page;mso-height-relative:page;" filled="f" stroked="f" coordsize="21600,21600" o:gfxdata="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MaWcbSAAAABQEAAA8AAAAAAAAAAQAgAAAAIgAA&#10;AGRycy9kb3ducmV2LnhtbFBLAQIUABQAAAAIAIdO4kDb1i54DgIAABAEAAAOAAAAAAAAAAEAIAAA&#10;ACEBAABkcnMvZTJvRG9jLnhtbFBLBQYAAAAABgAGAFkBAAChBQAAAAA=&#10;">
              <v:fill on="f" focussize="0,0"/>
              <v:stroke on="f"/>
              <v:imagedata o:title=""/>
              <o:lock v:ext="edit" aspectratio="f"/>
              <v:textbox inset="0mm,0mm,0mm,0mm" style="mso-fit-shape-to-text:t;">
                <w:txbxContent>
                  <w:p>
                    <w:pPr>
                      <w:snapToGrid w:val="0"/>
                      <w:rPr>
                        <w:sz w:val="18"/>
                      </w:rPr>
                    </w:pPr>
                  </w:p>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68</w:t>
                    </w:r>
                    <w:r>
                      <w:rPr>
                        <w:rFonts w:hint="eastAsia"/>
                        <w:sz w:val="18"/>
                      </w:rPr>
                      <w:fldChar w:fldCharType="end"/>
                    </w:r>
                  </w:p>
                </w:txbxContent>
              </v:textbox>
            </v:shape>
          </w:pict>
        </mc:Fallback>
      </mc:AlternateContent>
    </w:r>
  </w:p>
  <w:p>
    <w:pPr>
      <w:pStyle w:val="26"/>
      <w:rPr>
        <w:rFonts w:hint="eastAsia" w:ascii="宋体" w:hAnsi="宋体" w:cs="宋体"/>
      </w:rPr>
    </w:pPr>
    <w:r>
      <w:rPr>
        <w:rFonts w:ascii="宋体" w:hAnsi="宋体" w:cs="宋体"/>
      </w:rPr>
      <mc:AlternateContent>
        <mc:Choice Requires="wps">
          <w:drawing>
            <wp:anchor distT="0" distB="0" distL="114300" distR="114300" simplePos="0" relativeHeight="251662336" behindDoc="0" locked="0" layoutInCell="1" allowOverlap="1">
              <wp:simplePos x="0" y="0"/>
              <wp:positionH relativeFrom="margin">
                <wp:posOffset>2448560</wp:posOffset>
              </wp:positionH>
              <wp:positionV relativeFrom="paragraph">
                <wp:posOffset>50165</wp:posOffset>
              </wp:positionV>
              <wp:extent cx="114935" cy="16256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192.8pt;margin-top:3.95pt;height:12.8pt;width:9.05pt;mso-position-horizontal-relative:margin;mso-wrap-style:none;z-index:251662336;mso-width-relative:page;mso-height-relative:page;" filled="f" stroked="f" coordsize="21600,21600" o:gfxdata="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mOf0v1QAAAAgBAAAPAAAAAAAAAAEAIAAA&#10;ACIAAABkcnMvZG93bnJldi54bWxQSwECFAAUAAAACACHTuJAEvjfJg8CAAAQBAAADgAAAAAAAAAB&#10;ACAAAAAkAQAAZHJzL2Uyb0RvYy54bWxQSwUGAAAAAAYABgBZAQAApQUAAAAA&#10;">
              <v:fill on="f" focussize="0,0"/>
              <v:stroke on="f"/>
              <v:imagedata o:title=""/>
              <o:lock v:ext="edit" aspectratio="f"/>
              <v:textbox inset="0mm,0mm,0mm,0mm" style="mso-fit-shape-to-text:t;">
                <w:txbxContent>
                  <w:p/>
                </w:txbxContent>
              </v:textbox>
            </v:shape>
          </w:pict>
        </mc:Fallback>
      </mc:AlternateContent>
    </w:r>
    <w:r>
      <w:rPr>
        <w:rFonts w:hint="eastAsia" w:ascii="宋体" w:hAnsi="宋体" w:cs="宋体"/>
      </w:rPr>
      <w:t>湖南万达项目管理有限公司                              地址：株洲市天元区长江中央商务大厦A座五楼</w:t>
    </w:r>
  </w:p>
  <w:p>
    <w:pPr>
      <w:pStyle w:val="26"/>
      <w:rPr>
        <w:rFonts w:hint="eastAsia" w:ascii="宋体" w:hAnsi="宋体" w:cs="宋体"/>
      </w:rPr>
    </w:pPr>
    <w:r>
      <w:rPr>
        <w:rFonts w:hint="eastAsia" w:ascii="宋体" w:hAnsi="宋体" w:cs="宋体"/>
      </w:rPr>
      <w:t>邮编：412007                                          电话：0731-</w:t>
    </w:r>
    <w:r>
      <w:rPr>
        <w:rFonts w:hint="eastAsia" w:cs="宋体"/>
      </w:rPr>
      <w:t>22861466</w:t>
    </w:r>
  </w:p>
  <w:p>
    <w:pPr>
      <w:pStyle w:val="26"/>
      <w:rPr>
        <w:rFonts w:hint="eastAsia" w:ascii="宋体" w:hAnsi="宋体" w:cs="宋体"/>
      </w:rPr>
    </w:pPr>
    <w:r>
      <w:rPr>
        <w:rFonts w:hint="eastAsia" w:ascii="宋体" w:hAnsi="宋体" w:cs="宋体"/>
      </w:rPr>
      <w:t>E-mail：HNWD88888@163.com                             传真：0731-22885223</w:t>
    </w:r>
  </w:p>
  <w:p>
    <w:pPr>
      <w:pStyle w:val="26"/>
      <w:ind w:left="180" w:right="359" w:rightChars="171" w:hanging="180" w:hangingChars="100"/>
      <w:rPr>
        <w:rFonts w:eastAsia="楷体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jc w:val="both"/>
      <w:rPr>
        <w:u w:val="single"/>
      </w:rPr>
    </w:pPr>
    <w:r>
      <w:rPr>
        <w:rFonts w:hint="eastAsia" w:ascii="宋体" w:hAnsi="宋体"/>
        <w:szCs w:val="21"/>
        <w:u w:val="single"/>
        <w:lang w:eastAsia="zh-CN"/>
      </w:rPr>
      <w:t>湖南化工职业技术学院</w:t>
    </w:r>
    <w:bookmarkStart w:id="333" w:name="OLE_LINK13"/>
    <w:r>
      <w:rPr>
        <w:rFonts w:hint="eastAsia" w:ascii="宋体" w:hAnsi="宋体"/>
        <w:szCs w:val="21"/>
        <w:u w:val="single"/>
        <w:lang w:eastAsia="zh-CN"/>
      </w:rPr>
      <w:t>先进制造工程中心（数控加工实训室）</w:t>
    </w:r>
    <w:bookmarkEnd w:id="333"/>
    <w:r>
      <w:rPr>
        <w:rFonts w:hint="eastAsia" w:ascii="宋体" w:hAnsi="宋体"/>
        <w:szCs w:val="21"/>
        <w:u w:val="single"/>
        <w:lang w:val="en-US" w:eastAsia="zh-CN"/>
      </w:rPr>
      <w:t xml:space="preserve">                            </w:t>
    </w:r>
    <w:r>
      <w:rPr>
        <w:rFonts w:hint="eastAsia" w:ascii="宋体" w:hAnsi="宋体"/>
        <w:szCs w:val="21"/>
        <w:u w:val="single"/>
      </w:rPr>
      <w:t xml:space="preserve">   招标文件</w:t>
    </w:r>
  </w:p>
  <w:p>
    <w:pPr>
      <w:pStyle w:val="27"/>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BC2381"/>
    <w:multiLevelType w:val="singleLevel"/>
    <w:tmpl w:val="AFBC2381"/>
    <w:lvl w:ilvl="0" w:tentative="0">
      <w:start w:val="1"/>
      <w:numFmt w:val="decimal"/>
      <w:suff w:val="space"/>
      <w:lvlText w:val="%1."/>
      <w:lvlJc w:val="left"/>
    </w:lvl>
  </w:abstractNum>
  <w:abstractNum w:abstractNumId="1">
    <w:nsid w:val="43028597"/>
    <w:multiLevelType w:val="singleLevel"/>
    <w:tmpl w:val="43028597"/>
    <w:lvl w:ilvl="0" w:tentative="0">
      <w:start w:val="3"/>
      <w:numFmt w:val="decimal"/>
      <w:suff w:val="nothing"/>
      <w:lvlText w:val="%1、"/>
      <w:lvlJc w:val="left"/>
    </w:lvl>
  </w:abstractNum>
  <w:abstractNum w:abstractNumId="2">
    <w:nsid w:val="5BCB995D"/>
    <w:multiLevelType w:val="singleLevel"/>
    <w:tmpl w:val="5BCB995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21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E2MTFiYWVjMGRkMmUzMWFhMGUyN2E0MjJkMWY2MTIifQ=="/>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3365"/>
    <w:rsid w:val="00013466"/>
    <w:rsid w:val="00013574"/>
    <w:rsid w:val="00013923"/>
    <w:rsid w:val="00014A82"/>
    <w:rsid w:val="00015858"/>
    <w:rsid w:val="00015A29"/>
    <w:rsid w:val="0001617A"/>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35B62"/>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914"/>
    <w:rsid w:val="000620A1"/>
    <w:rsid w:val="000638C9"/>
    <w:rsid w:val="000662FC"/>
    <w:rsid w:val="000666F2"/>
    <w:rsid w:val="000675E6"/>
    <w:rsid w:val="000677C7"/>
    <w:rsid w:val="00067D0B"/>
    <w:rsid w:val="000709FB"/>
    <w:rsid w:val="00070B21"/>
    <w:rsid w:val="00070F95"/>
    <w:rsid w:val="00072573"/>
    <w:rsid w:val="0007343D"/>
    <w:rsid w:val="000745C1"/>
    <w:rsid w:val="0007473A"/>
    <w:rsid w:val="00074CB8"/>
    <w:rsid w:val="00076502"/>
    <w:rsid w:val="000775DD"/>
    <w:rsid w:val="000777C0"/>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4AF"/>
    <w:rsid w:val="000B0F6F"/>
    <w:rsid w:val="000B1637"/>
    <w:rsid w:val="000B1715"/>
    <w:rsid w:val="000B2722"/>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D6F5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0F773F"/>
    <w:rsid w:val="001000C3"/>
    <w:rsid w:val="0010071B"/>
    <w:rsid w:val="0010346A"/>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172D"/>
    <w:rsid w:val="001322EF"/>
    <w:rsid w:val="001324B3"/>
    <w:rsid w:val="001345E9"/>
    <w:rsid w:val="00134894"/>
    <w:rsid w:val="001348D3"/>
    <w:rsid w:val="00135375"/>
    <w:rsid w:val="001370E3"/>
    <w:rsid w:val="00137DBD"/>
    <w:rsid w:val="00137DCD"/>
    <w:rsid w:val="00140DA3"/>
    <w:rsid w:val="00140E05"/>
    <w:rsid w:val="001413DF"/>
    <w:rsid w:val="00141BEE"/>
    <w:rsid w:val="00143121"/>
    <w:rsid w:val="00144141"/>
    <w:rsid w:val="00144F97"/>
    <w:rsid w:val="00145791"/>
    <w:rsid w:val="0014699B"/>
    <w:rsid w:val="00146D14"/>
    <w:rsid w:val="00151BA6"/>
    <w:rsid w:val="0015269F"/>
    <w:rsid w:val="00153C89"/>
    <w:rsid w:val="00156049"/>
    <w:rsid w:val="001564DB"/>
    <w:rsid w:val="00156F75"/>
    <w:rsid w:val="00160E3C"/>
    <w:rsid w:val="001617E9"/>
    <w:rsid w:val="00162175"/>
    <w:rsid w:val="00162403"/>
    <w:rsid w:val="0016254E"/>
    <w:rsid w:val="00162F23"/>
    <w:rsid w:val="001637C1"/>
    <w:rsid w:val="0016451E"/>
    <w:rsid w:val="00164C0D"/>
    <w:rsid w:val="001655DB"/>
    <w:rsid w:val="0016583A"/>
    <w:rsid w:val="00166A7A"/>
    <w:rsid w:val="00166B47"/>
    <w:rsid w:val="00166F38"/>
    <w:rsid w:val="00167313"/>
    <w:rsid w:val="00167763"/>
    <w:rsid w:val="001708E8"/>
    <w:rsid w:val="0017148D"/>
    <w:rsid w:val="0017284E"/>
    <w:rsid w:val="0017334A"/>
    <w:rsid w:val="00173713"/>
    <w:rsid w:val="00173A95"/>
    <w:rsid w:val="00173D83"/>
    <w:rsid w:val="0017404D"/>
    <w:rsid w:val="00174FE9"/>
    <w:rsid w:val="00175C3F"/>
    <w:rsid w:val="00175FE2"/>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0A9"/>
    <w:rsid w:val="001A4D9B"/>
    <w:rsid w:val="001A561A"/>
    <w:rsid w:val="001A58C6"/>
    <w:rsid w:val="001A59EB"/>
    <w:rsid w:val="001B0B82"/>
    <w:rsid w:val="001B2294"/>
    <w:rsid w:val="001B313B"/>
    <w:rsid w:val="001B383C"/>
    <w:rsid w:val="001B4531"/>
    <w:rsid w:val="001B4F01"/>
    <w:rsid w:val="001B5907"/>
    <w:rsid w:val="001C2072"/>
    <w:rsid w:val="001C274B"/>
    <w:rsid w:val="001C3481"/>
    <w:rsid w:val="001C4E4C"/>
    <w:rsid w:val="001C5444"/>
    <w:rsid w:val="001C737E"/>
    <w:rsid w:val="001C7B25"/>
    <w:rsid w:val="001D0F5F"/>
    <w:rsid w:val="001D1A86"/>
    <w:rsid w:val="001D26DC"/>
    <w:rsid w:val="001D300D"/>
    <w:rsid w:val="001D302B"/>
    <w:rsid w:val="001D574C"/>
    <w:rsid w:val="001D5B75"/>
    <w:rsid w:val="001E1D4A"/>
    <w:rsid w:val="001E3396"/>
    <w:rsid w:val="001E3A6E"/>
    <w:rsid w:val="001E3AF6"/>
    <w:rsid w:val="001E3D6A"/>
    <w:rsid w:val="001E4458"/>
    <w:rsid w:val="001E59F7"/>
    <w:rsid w:val="001E6A66"/>
    <w:rsid w:val="001F075D"/>
    <w:rsid w:val="001F130D"/>
    <w:rsid w:val="001F1819"/>
    <w:rsid w:val="001F27AD"/>
    <w:rsid w:val="001F3A23"/>
    <w:rsid w:val="001F4878"/>
    <w:rsid w:val="001F5321"/>
    <w:rsid w:val="001F534E"/>
    <w:rsid w:val="001F5B18"/>
    <w:rsid w:val="001F7AFA"/>
    <w:rsid w:val="00200789"/>
    <w:rsid w:val="002008A9"/>
    <w:rsid w:val="00200C39"/>
    <w:rsid w:val="00200D09"/>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0836"/>
    <w:rsid w:val="00221240"/>
    <w:rsid w:val="00221600"/>
    <w:rsid w:val="00221BE4"/>
    <w:rsid w:val="00223541"/>
    <w:rsid w:val="00223B66"/>
    <w:rsid w:val="002240A4"/>
    <w:rsid w:val="0022478B"/>
    <w:rsid w:val="00225547"/>
    <w:rsid w:val="00226CCD"/>
    <w:rsid w:val="002303FF"/>
    <w:rsid w:val="00230B4C"/>
    <w:rsid w:val="00231C9E"/>
    <w:rsid w:val="0023235C"/>
    <w:rsid w:val="00232836"/>
    <w:rsid w:val="00232D80"/>
    <w:rsid w:val="0023339C"/>
    <w:rsid w:val="00234309"/>
    <w:rsid w:val="00235123"/>
    <w:rsid w:val="002416E2"/>
    <w:rsid w:val="002419D0"/>
    <w:rsid w:val="00242897"/>
    <w:rsid w:val="00242A62"/>
    <w:rsid w:val="002444EA"/>
    <w:rsid w:val="00244B2A"/>
    <w:rsid w:val="0024556F"/>
    <w:rsid w:val="00245EF6"/>
    <w:rsid w:val="00250A62"/>
    <w:rsid w:val="0025131F"/>
    <w:rsid w:val="00253669"/>
    <w:rsid w:val="00255AC7"/>
    <w:rsid w:val="002567DA"/>
    <w:rsid w:val="002569C5"/>
    <w:rsid w:val="00256A84"/>
    <w:rsid w:val="00257F4D"/>
    <w:rsid w:val="00260902"/>
    <w:rsid w:val="00260A71"/>
    <w:rsid w:val="0026198C"/>
    <w:rsid w:val="00261AC6"/>
    <w:rsid w:val="00262FCB"/>
    <w:rsid w:val="00263AB2"/>
    <w:rsid w:val="002643E5"/>
    <w:rsid w:val="00264503"/>
    <w:rsid w:val="00264EB2"/>
    <w:rsid w:val="00265009"/>
    <w:rsid w:val="0026705D"/>
    <w:rsid w:val="00267C83"/>
    <w:rsid w:val="00270DBF"/>
    <w:rsid w:val="00272498"/>
    <w:rsid w:val="002725B6"/>
    <w:rsid w:val="002726B5"/>
    <w:rsid w:val="00276030"/>
    <w:rsid w:val="002764F7"/>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C24"/>
    <w:rsid w:val="002923F1"/>
    <w:rsid w:val="00292441"/>
    <w:rsid w:val="00292F73"/>
    <w:rsid w:val="00293A07"/>
    <w:rsid w:val="002950BC"/>
    <w:rsid w:val="002958E2"/>
    <w:rsid w:val="00295CE8"/>
    <w:rsid w:val="002962B1"/>
    <w:rsid w:val="002965AD"/>
    <w:rsid w:val="00297B75"/>
    <w:rsid w:val="002A07BB"/>
    <w:rsid w:val="002A0C4E"/>
    <w:rsid w:val="002A15D6"/>
    <w:rsid w:val="002A1672"/>
    <w:rsid w:val="002A22D6"/>
    <w:rsid w:val="002A2F91"/>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6C82"/>
    <w:rsid w:val="002B7974"/>
    <w:rsid w:val="002C0DD0"/>
    <w:rsid w:val="002C1AB9"/>
    <w:rsid w:val="002C2D6E"/>
    <w:rsid w:val="002C3042"/>
    <w:rsid w:val="002C33EB"/>
    <w:rsid w:val="002C363B"/>
    <w:rsid w:val="002C465A"/>
    <w:rsid w:val="002C666B"/>
    <w:rsid w:val="002C6C07"/>
    <w:rsid w:val="002C6E3F"/>
    <w:rsid w:val="002C7157"/>
    <w:rsid w:val="002D13DD"/>
    <w:rsid w:val="002D1777"/>
    <w:rsid w:val="002D2F30"/>
    <w:rsid w:val="002D2FEB"/>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788A"/>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52D1"/>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4D87"/>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01B"/>
    <w:rsid w:val="0038366B"/>
    <w:rsid w:val="00383E27"/>
    <w:rsid w:val="00384A33"/>
    <w:rsid w:val="00384F53"/>
    <w:rsid w:val="00385AD7"/>
    <w:rsid w:val="0038718B"/>
    <w:rsid w:val="00390037"/>
    <w:rsid w:val="003908CB"/>
    <w:rsid w:val="00390F51"/>
    <w:rsid w:val="00391805"/>
    <w:rsid w:val="00392780"/>
    <w:rsid w:val="003965DB"/>
    <w:rsid w:val="003966A4"/>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304F"/>
    <w:rsid w:val="003B36FD"/>
    <w:rsid w:val="003B3CC9"/>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3B9A"/>
    <w:rsid w:val="003D42BA"/>
    <w:rsid w:val="003D4669"/>
    <w:rsid w:val="003D5E2A"/>
    <w:rsid w:val="003D6B57"/>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6CBB"/>
    <w:rsid w:val="003F7A91"/>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3EF3"/>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2A1D"/>
    <w:rsid w:val="004438EC"/>
    <w:rsid w:val="00445686"/>
    <w:rsid w:val="00446471"/>
    <w:rsid w:val="004470BD"/>
    <w:rsid w:val="00447425"/>
    <w:rsid w:val="00447F68"/>
    <w:rsid w:val="004508EB"/>
    <w:rsid w:val="004515F1"/>
    <w:rsid w:val="004522A9"/>
    <w:rsid w:val="00453947"/>
    <w:rsid w:val="00456A2C"/>
    <w:rsid w:val="00457B50"/>
    <w:rsid w:val="00460668"/>
    <w:rsid w:val="004611C1"/>
    <w:rsid w:val="00462B72"/>
    <w:rsid w:val="00465AF5"/>
    <w:rsid w:val="004661B0"/>
    <w:rsid w:val="00466FEA"/>
    <w:rsid w:val="004702BD"/>
    <w:rsid w:val="00470775"/>
    <w:rsid w:val="0047091D"/>
    <w:rsid w:val="00472D5C"/>
    <w:rsid w:val="00473A7F"/>
    <w:rsid w:val="0047596E"/>
    <w:rsid w:val="00477865"/>
    <w:rsid w:val="00480F9B"/>
    <w:rsid w:val="00482A44"/>
    <w:rsid w:val="004838AA"/>
    <w:rsid w:val="00484599"/>
    <w:rsid w:val="004851C5"/>
    <w:rsid w:val="00485335"/>
    <w:rsid w:val="00485F0D"/>
    <w:rsid w:val="00487EFD"/>
    <w:rsid w:val="004911DC"/>
    <w:rsid w:val="004920BD"/>
    <w:rsid w:val="004944B6"/>
    <w:rsid w:val="00494A80"/>
    <w:rsid w:val="004A0A29"/>
    <w:rsid w:val="004A3B8B"/>
    <w:rsid w:val="004A4630"/>
    <w:rsid w:val="004A4CC2"/>
    <w:rsid w:val="004A5AEC"/>
    <w:rsid w:val="004A7952"/>
    <w:rsid w:val="004A7AFF"/>
    <w:rsid w:val="004B1465"/>
    <w:rsid w:val="004B268D"/>
    <w:rsid w:val="004B5555"/>
    <w:rsid w:val="004B6A9B"/>
    <w:rsid w:val="004C0A57"/>
    <w:rsid w:val="004C159B"/>
    <w:rsid w:val="004C1CEC"/>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5588"/>
    <w:rsid w:val="005361E0"/>
    <w:rsid w:val="005378EF"/>
    <w:rsid w:val="00540570"/>
    <w:rsid w:val="005437CF"/>
    <w:rsid w:val="0054482C"/>
    <w:rsid w:val="00547B5A"/>
    <w:rsid w:val="00547F21"/>
    <w:rsid w:val="00550282"/>
    <w:rsid w:val="0055130D"/>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99E"/>
    <w:rsid w:val="00575CB7"/>
    <w:rsid w:val="00580F55"/>
    <w:rsid w:val="00583F70"/>
    <w:rsid w:val="00584D05"/>
    <w:rsid w:val="0058523D"/>
    <w:rsid w:val="00586934"/>
    <w:rsid w:val="00587C00"/>
    <w:rsid w:val="00587E4F"/>
    <w:rsid w:val="0059033F"/>
    <w:rsid w:val="00591BBD"/>
    <w:rsid w:val="0059449D"/>
    <w:rsid w:val="00597E4B"/>
    <w:rsid w:val="005A1260"/>
    <w:rsid w:val="005A2328"/>
    <w:rsid w:val="005A2FA1"/>
    <w:rsid w:val="005A3014"/>
    <w:rsid w:val="005A35B6"/>
    <w:rsid w:val="005A4232"/>
    <w:rsid w:val="005A50A0"/>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E79D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743"/>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343A"/>
    <w:rsid w:val="00653A2A"/>
    <w:rsid w:val="00653B74"/>
    <w:rsid w:val="006569FD"/>
    <w:rsid w:val="0066096D"/>
    <w:rsid w:val="0066100B"/>
    <w:rsid w:val="0066219C"/>
    <w:rsid w:val="00663D25"/>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66"/>
    <w:rsid w:val="006855D3"/>
    <w:rsid w:val="00685D06"/>
    <w:rsid w:val="00686202"/>
    <w:rsid w:val="00690243"/>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72AA"/>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59D7"/>
    <w:rsid w:val="006D6DB3"/>
    <w:rsid w:val="006E0419"/>
    <w:rsid w:val="006E0CF5"/>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D52"/>
    <w:rsid w:val="007001BB"/>
    <w:rsid w:val="0070184C"/>
    <w:rsid w:val="007028E7"/>
    <w:rsid w:val="007039B7"/>
    <w:rsid w:val="00703CAD"/>
    <w:rsid w:val="0070401B"/>
    <w:rsid w:val="00704082"/>
    <w:rsid w:val="00705371"/>
    <w:rsid w:val="007077DC"/>
    <w:rsid w:val="00707DAE"/>
    <w:rsid w:val="00710C2B"/>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5AFA"/>
    <w:rsid w:val="007460BC"/>
    <w:rsid w:val="00746586"/>
    <w:rsid w:val="00747190"/>
    <w:rsid w:val="00747779"/>
    <w:rsid w:val="00747DDA"/>
    <w:rsid w:val="00747F03"/>
    <w:rsid w:val="00750446"/>
    <w:rsid w:val="00751132"/>
    <w:rsid w:val="00751F7C"/>
    <w:rsid w:val="00753FAF"/>
    <w:rsid w:val="0075439C"/>
    <w:rsid w:val="00755F77"/>
    <w:rsid w:val="007567BC"/>
    <w:rsid w:val="007568EE"/>
    <w:rsid w:val="007601F3"/>
    <w:rsid w:val="007606C3"/>
    <w:rsid w:val="00760E64"/>
    <w:rsid w:val="007611A9"/>
    <w:rsid w:val="00761C5D"/>
    <w:rsid w:val="00761F02"/>
    <w:rsid w:val="0076488F"/>
    <w:rsid w:val="00765AED"/>
    <w:rsid w:val="0076675E"/>
    <w:rsid w:val="0076684A"/>
    <w:rsid w:val="00767220"/>
    <w:rsid w:val="00771449"/>
    <w:rsid w:val="00771DE6"/>
    <w:rsid w:val="00771E3B"/>
    <w:rsid w:val="007723AB"/>
    <w:rsid w:val="0077273F"/>
    <w:rsid w:val="0077276B"/>
    <w:rsid w:val="007741AD"/>
    <w:rsid w:val="00774632"/>
    <w:rsid w:val="00775065"/>
    <w:rsid w:val="00776368"/>
    <w:rsid w:val="00777B6C"/>
    <w:rsid w:val="00780CB0"/>
    <w:rsid w:val="007847B2"/>
    <w:rsid w:val="00785952"/>
    <w:rsid w:val="00786755"/>
    <w:rsid w:val="00787111"/>
    <w:rsid w:val="00787136"/>
    <w:rsid w:val="0078751B"/>
    <w:rsid w:val="00787713"/>
    <w:rsid w:val="00787B90"/>
    <w:rsid w:val="007928E2"/>
    <w:rsid w:val="007936B7"/>
    <w:rsid w:val="007938A2"/>
    <w:rsid w:val="00793C99"/>
    <w:rsid w:val="007946C7"/>
    <w:rsid w:val="007946EE"/>
    <w:rsid w:val="007948EB"/>
    <w:rsid w:val="0079531F"/>
    <w:rsid w:val="00795D1A"/>
    <w:rsid w:val="007972B8"/>
    <w:rsid w:val="00797518"/>
    <w:rsid w:val="007975C6"/>
    <w:rsid w:val="007A2C3D"/>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C0630"/>
    <w:rsid w:val="007C0C56"/>
    <w:rsid w:val="007C2C9D"/>
    <w:rsid w:val="007C2CDB"/>
    <w:rsid w:val="007C302F"/>
    <w:rsid w:val="007C5C1F"/>
    <w:rsid w:val="007C5F6A"/>
    <w:rsid w:val="007C6ED7"/>
    <w:rsid w:val="007C76F3"/>
    <w:rsid w:val="007D0885"/>
    <w:rsid w:val="007D12C0"/>
    <w:rsid w:val="007D1565"/>
    <w:rsid w:val="007D23C8"/>
    <w:rsid w:val="007D348B"/>
    <w:rsid w:val="007D3A8A"/>
    <w:rsid w:val="007D405F"/>
    <w:rsid w:val="007D460B"/>
    <w:rsid w:val="007D4EAE"/>
    <w:rsid w:val="007D51DC"/>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E62CD"/>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7280"/>
    <w:rsid w:val="00807527"/>
    <w:rsid w:val="008100B3"/>
    <w:rsid w:val="00811559"/>
    <w:rsid w:val="008137E0"/>
    <w:rsid w:val="00814617"/>
    <w:rsid w:val="00814F1A"/>
    <w:rsid w:val="008168BB"/>
    <w:rsid w:val="008171F2"/>
    <w:rsid w:val="008176E3"/>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573"/>
    <w:rsid w:val="00844C56"/>
    <w:rsid w:val="00845C17"/>
    <w:rsid w:val="00846C2C"/>
    <w:rsid w:val="0085129C"/>
    <w:rsid w:val="00852675"/>
    <w:rsid w:val="00852853"/>
    <w:rsid w:val="00853251"/>
    <w:rsid w:val="00854301"/>
    <w:rsid w:val="008551CB"/>
    <w:rsid w:val="008558C2"/>
    <w:rsid w:val="008570AA"/>
    <w:rsid w:val="00860E07"/>
    <w:rsid w:val="008613AD"/>
    <w:rsid w:val="0086223C"/>
    <w:rsid w:val="00862AC9"/>
    <w:rsid w:val="00862E2B"/>
    <w:rsid w:val="00863896"/>
    <w:rsid w:val="00865FC0"/>
    <w:rsid w:val="00865FEB"/>
    <w:rsid w:val="0086659F"/>
    <w:rsid w:val="00866B3B"/>
    <w:rsid w:val="008706F9"/>
    <w:rsid w:val="00871BBB"/>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1FA"/>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3FC4"/>
    <w:rsid w:val="008D499A"/>
    <w:rsid w:val="008D4A08"/>
    <w:rsid w:val="008D5A64"/>
    <w:rsid w:val="008D63C6"/>
    <w:rsid w:val="008D71E1"/>
    <w:rsid w:val="008E1B2E"/>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3049E"/>
    <w:rsid w:val="009308B5"/>
    <w:rsid w:val="00932D24"/>
    <w:rsid w:val="0093371D"/>
    <w:rsid w:val="0093449D"/>
    <w:rsid w:val="0093744F"/>
    <w:rsid w:val="009438E2"/>
    <w:rsid w:val="00943F2F"/>
    <w:rsid w:val="009440E8"/>
    <w:rsid w:val="0094476B"/>
    <w:rsid w:val="00944F45"/>
    <w:rsid w:val="00945FCD"/>
    <w:rsid w:val="009471C8"/>
    <w:rsid w:val="00950768"/>
    <w:rsid w:val="00951E05"/>
    <w:rsid w:val="009523BC"/>
    <w:rsid w:val="0095283A"/>
    <w:rsid w:val="009530CA"/>
    <w:rsid w:val="00953295"/>
    <w:rsid w:val="009533D4"/>
    <w:rsid w:val="009536C0"/>
    <w:rsid w:val="00955A0A"/>
    <w:rsid w:val="00956792"/>
    <w:rsid w:val="009575AE"/>
    <w:rsid w:val="0096037C"/>
    <w:rsid w:val="009605C3"/>
    <w:rsid w:val="00960AEF"/>
    <w:rsid w:val="00964404"/>
    <w:rsid w:val="009663CE"/>
    <w:rsid w:val="00966666"/>
    <w:rsid w:val="00966A87"/>
    <w:rsid w:val="00967B29"/>
    <w:rsid w:val="00967EB5"/>
    <w:rsid w:val="0097053B"/>
    <w:rsid w:val="009716E8"/>
    <w:rsid w:val="00974D37"/>
    <w:rsid w:val="00974E44"/>
    <w:rsid w:val="009764A4"/>
    <w:rsid w:val="009771AA"/>
    <w:rsid w:val="0098151F"/>
    <w:rsid w:val="00981707"/>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2BE"/>
    <w:rsid w:val="009A2CBF"/>
    <w:rsid w:val="009A30BF"/>
    <w:rsid w:val="009A31F4"/>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9BD"/>
    <w:rsid w:val="009C6A32"/>
    <w:rsid w:val="009C7F22"/>
    <w:rsid w:val="009D09B9"/>
    <w:rsid w:val="009D7095"/>
    <w:rsid w:val="009E04AF"/>
    <w:rsid w:val="009E4A6F"/>
    <w:rsid w:val="009E5AB9"/>
    <w:rsid w:val="009E5BB5"/>
    <w:rsid w:val="009E6986"/>
    <w:rsid w:val="009E69CC"/>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7BA"/>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40D8"/>
    <w:rsid w:val="00A35822"/>
    <w:rsid w:val="00A364E0"/>
    <w:rsid w:val="00A3740A"/>
    <w:rsid w:val="00A40786"/>
    <w:rsid w:val="00A410EA"/>
    <w:rsid w:val="00A4267E"/>
    <w:rsid w:val="00A42F8F"/>
    <w:rsid w:val="00A43F6D"/>
    <w:rsid w:val="00A44AA1"/>
    <w:rsid w:val="00A45D07"/>
    <w:rsid w:val="00A47B85"/>
    <w:rsid w:val="00A513BE"/>
    <w:rsid w:val="00A51B00"/>
    <w:rsid w:val="00A53A4C"/>
    <w:rsid w:val="00A53AA9"/>
    <w:rsid w:val="00A53D8E"/>
    <w:rsid w:val="00A543D4"/>
    <w:rsid w:val="00A54ADC"/>
    <w:rsid w:val="00A572BD"/>
    <w:rsid w:val="00A57941"/>
    <w:rsid w:val="00A57B0B"/>
    <w:rsid w:val="00A60510"/>
    <w:rsid w:val="00A611BB"/>
    <w:rsid w:val="00A64028"/>
    <w:rsid w:val="00A64425"/>
    <w:rsid w:val="00A668FB"/>
    <w:rsid w:val="00A6702B"/>
    <w:rsid w:val="00A71189"/>
    <w:rsid w:val="00A71D10"/>
    <w:rsid w:val="00A71D21"/>
    <w:rsid w:val="00A7220C"/>
    <w:rsid w:val="00A73A8A"/>
    <w:rsid w:val="00A74F07"/>
    <w:rsid w:val="00A76084"/>
    <w:rsid w:val="00A806A9"/>
    <w:rsid w:val="00A807C8"/>
    <w:rsid w:val="00A80A87"/>
    <w:rsid w:val="00A812A3"/>
    <w:rsid w:val="00A81C21"/>
    <w:rsid w:val="00A83F45"/>
    <w:rsid w:val="00A8400E"/>
    <w:rsid w:val="00A867DB"/>
    <w:rsid w:val="00A869D6"/>
    <w:rsid w:val="00A86ECE"/>
    <w:rsid w:val="00A90B18"/>
    <w:rsid w:val="00A92883"/>
    <w:rsid w:val="00A92E92"/>
    <w:rsid w:val="00A93090"/>
    <w:rsid w:val="00A933B4"/>
    <w:rsid w:val="00A95AC6"/>
    <w:rsid w:val="00A95E01"/>
    <w:rsid w:val="00A96972"/>
    <w:rsid w:val="00A9710F"/>
    <w:rsid w:val="00A979CB"/>
    <w:rsid w:val="00AA4277"/>
    <w:rsid w:val="00AA4545"/>
    <w:rsid w:val="00AA6414"/>
    <w:rsid w:val="00AA7772"/>
    <w:rsid w:val="00AB03B3"/>
    <w:rsid w:val="00AB05A0"/>
    <w:rsid w:val="00AB0DD6"/>
    <w:rsid w:val="00AB126F"/>
    <w:rsid w:val="00AB1312"/>
    <w:rsid w:val="00AB179F"/>
    <w:rsid w:val="00AB210D"/>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3BA9"/>
    <w:rsid w:val="00AF4CCA"/>
    <w:rsid w:val="00AF7B5E"/>
    <w:rsid w:val="00B00935"/>
    <w:rsid w:val="00B00CF6"/>
    <w:rsid w:val="00B012BD"/>
    <w:rsid w:val="00B014E7"/>
    <w:rsid w:val="00B02A7E"/>
    <w:rsid w:val="00B02D50"/>
    <w:rsid w:val="00B036E5"/>
    <w:rsid w:val="00B06424"/>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05D3"/>
    <w:rsid w:val="00B318AA"/>
    <w:rsid w:val="00B31CB9"/>
    <w:rsid w:val="00B33C46"/>
    <w:rsid w:val="00B37CD6"/>
    <w:rsid w:val="00B416F4"/>
    <w:rsid w:val="00B41991"/>
    <w:rsid w:val="00B420B0"/>
    <w:rsid w:val="00B42258"/>
    <w:rsid w:val="00B42450"/>
    <w:rsid w:val="00B44107"/>
    <w:rsid w:val="00B45413"/>
    <w:rsid w:val="00B45891"/>
    <w:rsid w:val="00B46449"/>
    <w:rsid w:val="00B47A89"/>
    <w:rsid w:val="00B47F99"/>
    <w:rsid w:val="00B50B02"/>
    <w:rsid w:val="00B51CB4"/>
    <w:rsid w:val="00B52945"/>
    <w:rsid w:val="00B52B57"/>
    <w:rsid w:val="00B53341"/>
    <w:rsid w:val="00B533D2"/>
    <w:rsid w:val="00B53710"/>
    <w:rsid w:val="00B53D89"/>
    <w:rsid w:val="00B56CDE"/>
    <w:rsid w:val="00B5734F"/>
    <w:rsid w:val="00B575F0"/>
    <w:rsid w:val="00B578B5"/>
    <w:rsid w:val="00B6048A"/>
    <w:rsid w:val="00B61262"/>
    <w:rsid w:val="00B612F1"/>
    <w:rsid w:val="00B618A0"/>
    <w:rsid w:val="00B629EE"/>
    <w:rsid w:val="00B6426D"/>
    <w:rsid w:val="00B650CF"/>
    <w:rsid w:val="00B661D4"/>
    <w:rsid w:val="00B667F6"/>
    <w:rsid w:val="00B70D74"/>
    <w:rsid w:val="00B71032"/>
    <w:rsid w:val="00B716F8"/>
    <w:rsid w:val="00B71E34"/>
    <w:rsid w:val="00B7326F"/>
    <w:rsid w:val="00B762A9"/>
    <w:rsid w:val="00B76AA9"/>
    <w:rsid w:val="00B77BB6"/>
    <w:rsid w:val="00B80917"/>
    <w:rsid w:val="00B81B3B"/>
    <w:rsid w:val="00B8333A"/>
    <w:rsid w:val="00B83403"/>
    <w:rsid w:val="00B8443F"/>
    <w:rsid w:val="00B87EE4"/>
    <w:rsid w:val="00B91352"/>
    <w:rsid w:val="00B917E2"/>
    <w:rsid w:val="00B924B7"/>
    <w:rsid w:val="00B924B9"/>
    <w:rsid w:val="00B92BEC"/>
    <w:rsid w:val="00B93D7E"/>
    <w:rsid w:val="00B948B3"/>
    <w:rsid w:val="00B95659"/>
    <w:rsid w:val="00B95BF4"/>
    <w:rsid w:val="00B962C7"/>
    <w:rsid w:val="00B9759F"/>
    <w:rsid w:val="00BA1CF8"/>
    <w:rsid w:val="00BA27AD"/>
    <w:rsid w:val="00BA2A64"/>
    <w:rsid w:val="00BA3DEF"/>
    <w:rsid w:val="00BA499C"/>
    <w:rsid w:val="00BA5A6A"/>
    <w:rsid w:val="00BB014D"/>
    <w:rsid w:val="00BB1830"/>
    <w:rsid w:val="00BB220F"/>
    <w:rsid w:val="00BB4A09"/>
    <w:rsid w:val="00BB5B51"/>
    <w:rsid w:val="00BB7E13"/>
    <w:rsid w:val="00BC06E2"/>
    <w:rsid w:val="00BC0FDA"/>
    <w:rsid w:val="00BC1A1F"/>
    <w:rsid w:val="00BC23A2"/>
    <w:rsid w:val="00BC2B50"/>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2EF"/>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3084"/>
    <w:rsid w:val="00C17281"/>
    <w:rsid w:val="00C208F9"/>
    <w:rsid w:val="00C20B7F"/>
    <w:rsid w:val="00C23CC1"/>
    <w:rsid w:val="00C23D8A"/>
    <w:rsid w:val="00C23E80"/>
    <w:rsid w:val="00C2463D"/>
    <w:rsid w:val="00C251FE"/>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135"/>
    <w:rsid w:val="00C54290"/>
    <w:rsid w:val="00C54739"/>
    <w:rsid w:val="00C54C6E"/>
    <w:rsid w:val="00C55250"/>
    <w:rsid w:val="00C55584"/>
    <w:rsid w:val="00C578FA"/>
    <w:rsid w:val="00C6021F"/>
    <w:rsid w:val="00C608E7"/>
    <w:rsid w:val="00C613C2"/>
    <w:rsid w:val="00C61777"/>
    <w:rsid w:val="00C62CE9"/>
    <w:rsid w:val="00C62FE6"/>
    <w:rsid w:val="00C63C78"/>
    <w:rsid w:val="00C63CB0"/>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49DC"/>
    <w:rsid w:val="00C84BEE"/>
    <w:rsid w:val="00C85093"/>
    <w:rsid w:val="00C867C3"/>
    <w:rsid w:val="00C903D2"/>
    <w:rsid w:val="00C912F2"/>
    <w:rsid w:val="00C93B6F"/>
    <w:rsid w:val="00C946D4"/>
    <w:rsid w:val="00C94A69"/>
    <w:rsid w:val="00C9576D"/>
    <w:rsid w:val="00C957B6"/>
    <w:rsid w:val="00CA0823"/>
    <w:rsid w:val="00CA467A"/>
    <w:rsid w:val="00CA46D9"/>
    <w:rsid w:val="00CA473C"/>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25F6"/>
    <w:rsid w:val="00CC26CB"/>
    <w:rsid w:val="00CC27F3"/>
    <w:rsid w:val="00CC30C2"/>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761E"/>
    <w:rsid w:val="00CD77FE"/>
    <w:rsid w:val="00CE5D57"/>
    <w:rsid w:val="00CE65EA"/>
    <w:rsid w:val="00CF2EFB"/>
    <w:rsid w:val="00CF42C0"/>
    <w:rsid w:val="00CF50E5"/>
    <w:rsid w:val="00CF5178"/>
    <w:rsid w:val="00CF565F"/>
    <w:rsid w:val="00CF5905"/>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671F"/>
    <w:rsid w:val="00D468AC"/>
    <w:rsid w:val="00D506A7"/>
    <w:rsid w:val="00D5329B"/>
    <w:rsid w:val="00D539C8"/>
    <w:rsid w:val="00D53E60"/>
    <w:rsid w:val="00D56DE3"/>
    <w:rsid w:val="00D570BC"/>
    <w:rsid w:val="00D573EA"/>
    <w:rsid w:val="00D579A6"/>
    <w:rsid w:val="00D6062B"/>
    <w:rsid w:val="00D60D2B"/>
    <w:rsid w:val="00D61D9E"/>
    <w:rsid w:val="00D6300D"/>
    <w:rsid w:val="00D631D2"/>
    <w:rsid w:val="00D636FB"/>
    <w:rsid w:val="00D65906"/>
    <w:rsid w:val="00D66DC1"/>
    <w:rsid w:val="00D66EF0"/>
    <w:rsid w:val="00D66F25"/>
    <w:rsid w:val="00D66FC5"/>
    <w:rsid w:val="00D679C2"/>
    <w:rsid w:val="00D71941"/>
    <w:rsid w:val="00D720BD"/>
    <w:rsid w:val="00D720F1"/>
    <w:rsid w:val="00D7252F"/>
    <w:rsid w:val="00D76F19"/>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1D0E"/>
    <w:rsid w:val="00DB2595"/>
    <w:rsid w:val="00DB65C0"/>
    <w:rsid w:val="00DB74B1"/>
    <w:rsid w:val="00DC144A"/>
    <w:rsid w:val="00DC181C"/>
    <w:rsid w:val="00DC2440"/>
    <w:rsid w:val="00DC2A42"/>
    <w:rsid w:val="00DC30F3"/>
    <w:rsid w:val="00DC40C3"/>
    <w:rsid w:val="00DC4278"/>
    <w:rsid w:val="00DC4A83"/>
    <w:rsid w:val="00DC6C22"/>
    <w:rsid w:val="00DD1F39"/>
    <w:rsid w:val="00DD2D6E"/>
    <w:rsid w:val="00DD33A0"/>
    <w:rsid w:val="00DD3AC2"/>
    <w:rsid w:val="00DD3C69"/>
    <w:rsid w:val="00DD5C09"/>
    <w:rsid w:val="00DD7653"/>
    <w:rsid w:val="00DD790D"/>
    <w:rsid w:val="00DD7F96"/>
    <w:rsid w:val="00DE0A40"/>
    <w:rsid w:val="00DE1653"/>
    <w:rsid w:val="00DE2D8D"/>
    <w:rsid w:val="00DE6364"/>
    <w:rsid w:val="00DE6929"/>
    <w:rsid w:val="00DE7D7D"/>
    <w:rsid w:val="00DF0E04"/>
    <w:rsid w:val="00DF210C"/>
    <w:rsid w:val="00DF4387"/>
    <w:rsid w:val="00DF493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234"/>
    <w:rsid w:val="00E15A39"/>
    <w:rsid w:val="00E15DAA"/>
    <w:rsid w:val="00E17470"/>
    <w:rsid w:val="00E17FC4"/>
    <w:rsid w:val="00E22C20"/>
    <w:rsid w:val="00E23E08"/>
    <w:rsid w:val="00E23EBF"/>
    <w:rsid w:val="00E24459"/>
    <w:rsid w:val="00E246D4"/>
    <w:rsid w:val="00E25F5E"/>
    <w:rsid w:val="00E2648E"/>
    <w:rsid w:val="00E26F87"/>
    <w:rsid w:val="00E3015C"/>
    <w:rsid w:val="00E3127B"/>
    <w:rsid w:val="00E32B75"/>
    <w:rsid w:val="00E32BB2"/>
    <w:rsid w:val="00E33154"/>
    <w:rsid w:val="00E33BEE"/>
    <w:rsid w:val="00E34719"/>
    <w:rsid w:val="00E34AC2"/>
    <w:rsid w:val="00E35E3C"/>
    <w:rsid w:val="00E372AE"/>
    <w:rsid w:val="00E372F7"/>
    <w:rsid w:val="00E37331"/>
    <w:rsid w:val="00E40217"/>
    <w:rsid w:val="00E40A2D"/>
    <w:rsid w:val="00E42AE6"/>
    <w:rsid w:val="00E43872"/>
    <w:rsid w:val="00E44AE9"/>
    <w:rsid w:val="00E451F3"/>
    <w:rsid w:val="00E473F1"/>
    <w:rsid w:val="00E50005"/>
    <w:rsid w:val="00E5009F"/>
    <w:rsid w:val="00E50972"/>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6566"/>
    <w:rsid w:val="00E66603"/>
    <w:rsid w:val="00E711EA"/>
    <w:rsid w:val="00E715D0"/>
    <w:rsid w:val="00E735A9"/>
    <w:rsid w:val="00E735FE"/>
    <w:rsid w:val="00E73ACF"/>
    <w:rsid w:val="00E74ECC"/>
    <w:rsid w:val="00E776F0"/>
    <w:rsid w:val="00E80640"/>
    <w:rsid w:val="00E8157E"/>
    <w:rsid w:val="00E815FC"/>
    <w:rsid w:val="00E81736"/>
    <w:rsid w:val="00E81ED7"/>
    <w:rsid w:val="00E82586"/>
    <w:rsid w:val="00E826C4"/>
    <w:rsid w:val="00E82F1F"/>
    <w:rsid w:val="00E83A20"/>
    <w:rsid w:val="00E84C24"/>
    <w:rsid w:val="00E84D69"/>
    <w:rsid w:val="00E850C3"/>
    <w:rsid w:val="00E85C7C"/>
    <w:rsid w:val="00E86488"/>
    <w:rsid w:val="00E90228"/>
    <w:rsid w:val="00E907F4"/>
    <w:rsid w:val="00E9145C"/>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578A"/>
    <w:rsid w:val="00EB6AFD"/>
    <w:rsid w:val="00EB6C7D"/>
    <w:rsid w:val="00EB70E5"/>
    <w:rsid w:val="00EB7C8E"/>
    <w:rsid w:val="00EC02BE"/>
    <w:rsid w:val="00EC146E"/>
    <w:rsid w:val="00EC1B1A"/>
    <w:rsid w:val="00EC35DE"/>
    <w:rsid w:val="00EC53E6"/>
    <w:rsid w:val="00EC543A"/>
    <w:rsid w:val="00EC5975"/>
    <w:rsid w:val="00EC6130"/>
    <w:rsid w:val="00EC6766"/>
    <w:rsid w:val="00EC6B27"/>
    <w:rsid w:val="00EC6BF6"/>
    <w:rsid w:val="00EC7AE3"/>
    <w:rsid w:val="00EC7E08"/>
    <w:rsid w:val="00ED0F4E"/>
    <w:rsid w:val="00ED171F"/>
    <w:rsid w:val="00ED2563"/>
    <w:rsid w:val="00ED2A4C"/>
    <w:rsid w:val="00ED52B8"/>
    <w:rsid w:val="00ED6DFC"/>
    <w:rsid w:val="00ED762B"/>
    <w:rsid w:val="00EE067C"/>
    <w:rsid w:val="00EE1275"/>
    <w:rsid w:val="00EE1D7D"/>
    <w:rsid w:val="00EE2031"/>
    <w:rsid w:val="00EE2D3E"/>
    <w:rsid w:val="00EE35DE"/>
    <w:rsid w:val="00EE4924"/>
    <w:rsid w:val="00EE7A5E"/>
    <w:rsid w:val="00EF039F"/>
    <w:rsid w:val="00EF11CE"/>
    <w:rsid w:val="00EF13FE"/>
    <w:rsid w:val="00EF145F"/>
    <w:rsid w:val="00EF2143"/>
    <w:rsid w:val="00EF3159"/>
    <w:rsid w:val="00EF384D"/>
    <w:rsid w:val="00EF4569"/>
    <w:rsid w:val="00EF4B37"/>
    <w:rsid w:val="00EF4F51"/>
    <w:rsid w:val="00EF6960"/>
    <w:rsid w:val="00EF74D6"/>
    <w:rsid w:val="00EF7D4C"/>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4F34"/>
    <w:rsid w:val="00F35350"/>
    <w:rsid w:val="00F35D14"/>
    <w:rsid w:val="00F35E37"/>
    <w:rsid w:val="00F36CF6"/>
    <w:rsid w:val="00F37737"/>
    <w:rsid w:val="00F4022D"/>
    <w:rsid w:val="00F40BDA"/>
    <w:rsid w:val="00F40E17"/>
    <w:rsid w:val="00F419C8"/>
    <w:rsid w:val="00F41C30"/>
    <w:rsid w:val="00F4352C"/>
    <w:rsid w:val="00F435DD"/>
    <w:rsid w:val="00F43806"/>
    <w:rsid w:val="00F44A54"/>
    <w:rsid w:val="00F46DC9"/>
    <w:rsid w:val="00F47051"/>
    <w:rsid w:val="00F47C82"/>
    <w:rsid w:val="00F47DFA"/>
    <w:rsid w:val="00F5078F"/>
    <w:rsid w:val="00F56757"/>
    <w:rsid w:val="00F61830"/>
    <w:rsid w:val="00F61929"/>
    <w:rsid w:val="00F61F2B"/>
    <w:rsid w:val="00F632F0"/>
    <w:rsid w:val="00F635D8"/>
    <w:rsid w:val="00F650C6"/>
    <w:rsid w:val="00F6654F"/>
    <w:rsid w:val="00F670C5"/>
    <w:rsid w:val="00F672F3"/>
    <w:rsid w:val="00F67E52"/>
    <w:rsid w:val="00F717A9"/>
    <w:rsid w:val="00F72893"/>
    <w:rsid w:val="00F72F75"/>
    <w:rsid w:val="00F744CB"/>
    <w:rsid w:val="00F74885"/>
    <w:rsid w:val="00F74CCD"/>
    <w:rsid w:val="00F75D7F"/>
    <w:rsid w:val="00F808C8"/>
    <w:rsid w:val="00F82F71"/>
    <w:rsid w:val="00F8319D"/>
    <w:rsid w:val="00F852AC"/>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1F7B"/>
    <w:rsid w:val="00FD2A36"/>
    <w:rsid w:val="00FD45B6"/>
    <w:rsid w:val="00FD5B9A"/>
    <w:rsid w:val="00FD5BAB"/>
    <w:rsid w:val="00FD6621"/>
    <w:rsid w:val="00FE058D"/>
    <w:rsid w:val="00FE2FFD"/>
    <w:rsid w:val="00FE369C"/>
    <w:rsid w:val="00FE477F"/>
    <w:rsid w:val="00FE4CEE"/>
    <w:rsid w:val="00FE53AC"/>
    <w:rsid w:val="00FE6F80"/>
    <w:rsid w:val="00FE78F3"/>
    <w:rsid w:val="00FE7D71"/>
    <w:rsid w:val="00FF0141"/>
    <w:rsid w:val="00FF1535"/>
    <w:rsid w:val="00FF309C"/>
    <w:rsid w:val="00FF5CDC"/>
    <w:rsid w:val="00FF6FAA"/>
    <w:rsid w:val="00FF771D"/>
    <w:rsid w:val="00FF77B0"/>
    <w:rsid w:val="010D5C13"/>
    <w:rsid w:val="01382DD2"/>
    <w:rsid w:val="019741FF"/>
    <w:rsid w:val="02090669"/>
    <w:rsid w:val="022F36E0"/>
    <w:rsid w:val="029C760B"/>
    <w:rsid w:val="02A97FD3"/>
    <w:rsid w:val="02BC5C52"/>
    <w:rsid w:val="03597A7D"/>
    <w:rsid w:val="03707700"/>
    <w:rsid w:val="038928AB"/>
    <w:rsid w:val="039C5442"/>
    <w:rsid w:val="04131F51"/>
    <w:rsid w:val="042B0B8C"/>
    <w:rsid w:val="043B2EAD"/>
    <w:rsid w:val="043D451A"/>
    <w:rsid w:val="04C64E6C"/>
    <w:rsid w:val="05556E6A"/>
    <w:rsid w:val="05696E27"/>
    <w:rsid w:val="05793C8D"/>
    <w:rsid w:val="05976809"/>
    <w:rsid w:val="05AB61E2"/>
    <w:rsid w:val="05AE7D0B"/>
    <w:rsid w:val="05AF5900"/>
    <w:rsid w:val="05E20B3F"/>
    <w:rsid w:val="06712D0C"/>
    <w:rsid w:val="06957033"/>
    <w:rsid w:val="06E85D2B"/>
    <w:rsid w:val="06FA6568"/>
    <w:rsid w:val="07350992"/>
    <w:rsid w:val="075232EA"/>
    <w:rsid w:val="07800C8B"/>
    <w:rsid w:val="079D2B5D"/>
    <w:rsid w:val="08406FD2"/>
    <w:rsid w:val="08463D54"/>
    <w:rsid w:val="084E335E"/>
    <w:rsid w:val="08865DB5"/>
    <w:rsid w:val="08ED6E6B"/>
    <w:rsid w:val="09014680"/>
    <w:rsid w:val="0946657C"/>
    <w:rsid w:val="09A62ED4"/>
    <w:rsid w:val="09E14383"/>
    <w:rsid w:val="09E35B78"/>
    <w:rsid w:val="0A5D02A3"/>
    <w:rsid w:val="0A6071C9"/>
    <w:rsid w:val="0A7669ED"/>
    <w:rsid w:val="0AB17A25"/>
    <w:rsid w:val="0AB448A0"/>
    <w:rsid w:val="0B1F6BBB"/>
    <w:rsid w:val="0B3F3282"/>
    <w:rsid w:val="0BE5642C"/>
    <w:rsid w:val="0C203A76"/>
    <w:rsid w:val="0C224451"/>
    <w:rsid w:val="0C2B7C1A"/>
    <w:rsid w:val="0C836240"/>
    <w:rsid w:val="0CA822F0"/>
    <w:rsid w:val="0E1956DB"/>
    <w:rsid w:val="0E2C2FD8"/>
    <w:rsid w:val="0E8A515C"/>
    <w:rsid w:val="0EC2698E"/>
    <w:rsid w:val="0ECD6DF7"/>
    <w:rsid w:val="0F1A64E0"/>
    <w:rsid w:val="0F6B6D3C"/>
    <w:rsid w:val="0F934CD4"/>
    <w:rsid w:val="10093E5F"/>
    <w:rsid w:val="101A0376"/>
    <w:rsid w:val="105F7F23"/>
    <w:rsid w:val="10644DA4"/>
    <w:rsid w:val="109B71AD"/>
    <w:rsid w:val="109E37AA"/>
    <w:rsid w:val="111B209C"/>
    <w:rsid w:val="11444A93"/>
    <w:rsid w:val="115631CB"/>
    <w:rsid w:val="11BE373B"/>
    <w:rsid w:val="11C40985"/>
    <w:rsid w:val="11E418A8"/>
    <w:rsid w:val="123D3153"/>
    <w:rsid w:val="124A70DD"/>
    <w:rsid w:val="128B4FFF"/>
    <w:rsid w:val="12A41A33"/>
    <w:rsid w:val="12B25FC2"/>
    <w:rsid w:val="13135720"/>
    <w:rsid w:val="13266548"/>
    <w:rsid w:val="133706DE"/>
    <w:rsid w:val="13832AE3"/>
    <w:rsid w:val="138C102F"/>
    <w:rsid w:val="139620B1"/>
    <w:rsid w:val="13E57B44"/>
    <w:rsid w:val="13FE468A"/>
    <w:rsid w:val="148368D6"/>
    <w:rsid w:val="14946EDA"/>
    <w:rsid w:val="149A630A"/>
    <w:rsid w:val="14A975E7"/>
    <w:rsid w:val="14AA1B1B"/>
    <w:rsid w:val="14EB743D"/>
    <w:rsid w:val="15051099"/>
    <w:rsid w:val="15063063"/>
    <w:rsid w:val="151E346F"/>
    <w:rsid w:val="152A0E70"/>
    <w:rsid w:val="15301265"/>
    <w:rsid w:val="155142DE"/>
    <w:rsid w:val="158C3568"/>
    <w:rsid w:val="15A84CFD"/>
    <w:rsid w:val="15D168FF"/>
    <w:rsid w:val="1635326A"/>
    <w:rsid w:val="1638724C"/>
    <w:rsid w:val="163A2FAC"/>
    <w:rsid w:val="164E3BC2"/>
    <w:rsid w:val="168F051F"/>
    <w:rsid w:val="169E635C"/>
    <w:rsid w:val="16CB14F6"/>
    <w:rsid w:val="16D31DCE"/>
    <w:rsid w:val="16EF0F7F"/>
    <w:rsid w:val="170E0C3E"/>
    <w:rsid w:val="17822E75"/>
    <w:rsid w:val="179E46C0"/>
    <w:rsid w:val="17A12B47"/>
    <w:rsid w:val="17C61088"/>
    <w:rsid w:val="17CA481C"/>
    <w:rsid w:val="182535E7"/>
    <w:rsid w:val="187512D6"/>
    <w:rsid w:val="18920BA9"/>
    <w:rsid w:val="193273A3"/>
    <w:rsid w:val="19570331"/>
    <w:rsid w:val="19583B97"/>
    <w:rsid w:val="1A0C111B"/>
    <w:rsid w:val="1A0C1FB2"/>
    <w:rsid w:val="1A0D279E"/>
    <w:rsid w:val="1A1F6AA4"/>
    <w:rsid w:val="1A3809A3"/>
    <w:rsid w:val="1A611BBB"/>
    <w:rsid w:val="1A9F79EC"/>
    <w:rsid w:val="1B087B35"/>
    <w:rsid w:val="1B4F30FA"/>
    <w:rsid w:val="1B58689E"/>
    <w:rsid w:val="1B5C1041"/>
    <w:rsid w:val="1C174A1E"/>
    <w:rsid w:val="1C4A1059"/>
    <w:rsid w:val="1C4F625B"/>
    <w:rsid w:val="1C6568C1"/>
    <w:rsid w:val="1CC84941"/>
    <w:rsid w:val="1CEA2593"/>
    <w:rsid w:val="1CF42800"/>
    <w:rsid w:val="1D05291B"/>
    <w:rsid w:val="1D13456F"/>
    <w:rsid w:val="1D2A68D9"/>
    <w:rsid w:val="1D346515"/>
    <w:rsid w:val="1D3C17D4"/>
    <w:rsid w:val="1D440BCC"/>
    <w:rsid w:val="1DC615E1"/>
    <w:rsid w:val="1DD3548B"/>
    <w:rsid w:val="1DEA24EE"/>
    <w:rsid w:val="1DED21D8"/>
    <w:rsid w:val="1E4B01BE"/>
    <w:rsid w:val="1E6C7E69"/>
    <w:rsid w:val="1EA64E83"/>
    <w:rsid w:val="1EAD26C7"/>
    <w:rsid w:val="1EB302D7"/>
    <w:rsid w:val="1EBE6111"/>
    <w:rsid w:val="1F0E3DA5"/>
    <w:rsid w:val="1F163855"/>
    <w:rsid w:val="1F935EA4"/>
    <w:rsid w:val="1FB40652"/>
    <w:rsid w:val="1FCB2EDF"/>
    <w:rsid w:val="1FF55333"/>
    <w:rsid w:val="203821AD"/>
    <w:rsid w:val="20714D14"/>
    <w:rsid w:val="20875C75"/>
    <w:rsid w:val="209F2622"/>
    <w:rsid w:val="20AD18CC"/>
    <w:rsid w:val="20B55001"/>
    <w:rsid w:val="20C57C3F"/>
    <w:rsid w:val="20C80CAE"/>
    <w:rsid w:val="20CE49AC"/>
    <w:rsid w:val="20EE3329"/>
    <w:rsid w:val="20FA3A7C"/>
    <w:rsid w:val="213E7A85"/>
    <w:rsid w:val="214D44F3"/>
    <w:rsid w:val="216347C7"/>
    <w:rsid w:val="216C68EA"/>
    <w:rsid w:val="21B648EA"/>
    <w:rsid w:val="21BE1B00"/>
    <w:rsid w:val="22033F90"/>
    <w:rsid w:val="22133E8F"/>
    <w:rsid w:val="22264EF8"/>
    <w:rsid w:val="22267F2C"/>
    <w:rsid w:val="22561DFC"/>
    <w:rsid w:val="2257297B"/>
    <w:rsid w:val="22611D24"/>
    <w:rsid w:val="227D52B6"/>
    <w:rsid w:val="22971035"/>
    <w:rsid w:val="22F75C0D"/>
    <w:rsid w:val="22FC1ABA"/>
    <w:rsid w:val="230876C4"/>
    <w:rsid w:val="230C56CE"/>
    <w:rsid w:val="237476EB"/>
    <w:rsid w:val="238B6148"/>
    <w:rsid w:val="238B6B31"/>
    <w:rsid w:val="23AE6D9F"/>
    <w:rsid w:val="243C3E85"/>
    <w:rsid w:val="244558F0"/>
    <w:rsid w:val="246B4C91"/>
    <w:rsid w:val="24962E1F"/>
    <w:rsid w:val="24AA22CC"/>
    <w:rsid w:val="24BE012D"/>
    <w:rsid w:val="25056E93"/>
    <w:rsid w:val="25114177"/>
    <w:rsid w:val="252E5D0B"/>
    <w:rsid w:val="255E5034"/>
    <w:rsid w:val="25A0096A"/>
    <w:rsid w:val="263A3AA4"/>
    <w:rsid w:val="264A1D32"/>
    <w:rsid w:val="2650413E"/>
    <w:rsid w:val="266A5E2E"/>
    <w:rsid w:val="278D44C9"/>
    <w:rsid w:val="27EB7ACC"/>
    <w:rsid w:val="284B2E0F"/>
    <w:rsid w:val="284C2C33"/>
    <w:rsid w:val="289E47CB"/>
    <w:rsid w:val="28A013AD"/>
    <w:rsid w:val="290D12D5"/>
    <w:rsid w:val="290F7096"/>
    <w:rsid w:val="29105050"/>
    <w:rsid w:val="29226266"/>
    <w:rsid w:val="29363EA1"/>
    <w:rsid w:val="296E21EF"/>
    <w:rsid w:val="29BB4267"/>
    <w:rsid w:val="2A0D3EBB"/>
    <w:rsid w:val="2A2B0E62"/>
    <w:rsid w:val="2A2B55CE"/>
    <w:rsid w:val="2A2E0670"/>
    <w:rsid w:val="2A351F61"/>
    <w:rsid w:val="2A6401B8"/>
    <w:rsid w:val="2AA94AAF"/>
    <w:rsid w:val="2AD0795F"/>
    <w:rsid w:val="2AD41DAB"/>
    <w:rsid w:val="2B27185F"/>
    <w:rsid w:val="2B297112"/>
    <w:rsid w:val="2B652C78"/>
    <w:rsid w:val="2C056CD7"/>
    <w:rsid w:val="2C471B3F"/>
    <w:rsid w:val="2CC86F80"/>
    <w:rsid w:val="2CEB049C"/>
    <w:rsid w:val="2D3A3A25"/>
    <w:rsid w:val="2DD006BD"/>
    <w:rsid w:val="2DE1346E"/>
    <w:rsid w:val="2DEA131C"/>
    <w:rsid w:val="2DFD63B0"/>
    <w:rsid w:val="2ED42C13"/>
    <w:rsid w:val="2EEB7D31"/>
    <w:rsid w:val="2F080C2C"/>
    <w:rsid w:val="2F2D26FC"/>
    <w:rsid w:val="2FB4004C"/>
    <w:rsid w:val="30174276"/>
    <w:rsid w:val="302C1D93"/>
    <w:rsid w:val="30895713"/>
    <w:rsid w:val="30A5032A"/>
    <w:rsid w:val="30C545DA"/>
    <w:rsid w:val="30C62284"/>
    <w:rsid w:val="31040148"/>
    <w:rsid w:val="31466138"/>
    <w:rsid w:val="31A97B58"/>
    <w:rsid w:val="31EC4348"/>
    <w:rsid w:val="31FF443E"/>
    <w:rsid w:val="321B1AA4"/>
    <w:rsid w:val="3231747E"/>
    <w:rsid w:val="323F6514"/>
    <w:rsid w:val="32647278"/>
    <w:rsid w:val="32F4282D"/>
    <w:rsid w:val="32FD5D4E"/>
    <w:rsid w:val="33010C9A"/>
    <w:rsid w:val="33573C57"/>
    <w:rsid w:val="338502F4"/>
    <w:rsid w:val="33A5558E"/>
    <w:rsid w:val="33BC1065"/>
    <w:rsid w:val="33C65A3F"/>
    <w:rsid w:val="33CA3782"/>
    <w:rsid w:val="33F00D0E"/>
    <w:rsid w:val="33FD3B12"/>
    <w:rsid w:val="341879F4"/>
    <w:rsid w:val="34290DEF"/>
    <w:rsid w:val="34A42225"/>
    <w:rsid w:val="34B87A7E"/>
    <w:rsid w:val="34D92FDC"/>
    <w:rsid w:val="34D94F35"/>
    <w:rsid w:val="34DB6C5D"/>
    <w:rsid w:val="34E7506A"/>
    <w:rsid w:val="352574EC"/>
    <w:rsid w:val="35543AE0"/>
    <w:rsid w:val="355576C7"/>
    <w:rsid w:val="355B0760"/>
    <w:rsid w:val="3583008C"/>
    <w:rsid w:val="35886E48"/>
    <w:rsid w:val="35B57A8E"/>
    <w:rsid w:val="35C91DF7"/>
    <w:rsid w:val="36147D97"/>
    <w:rsid w:val="361B2518"/>
    <w:rsid w:val="36327087"/>
    <w:rsid w:val="368E084D"/>
    <w:rsid w:val="36B0542A"/>
    <w:rsid w:val="36D466C5"/>
    <w:rsid w:val="372A4537"/>
    <w:rsid w:val="373431FE"/>
    <w:rsid w:val="375C32C8"/>
    <w:rsid w:val="376E7E98"/>
    <w:rsid w:val="377555A7"/>
    <w:rsid w:val="379A7F64"/>
    <w:rsid w:val="379D752E"/>
    <w:rsid w:val="37A05893"/>
    <w:rsid w:val="38080D1C"/>
    <w:rsid w:val="38103CF4"/>
    <w:rsid w:val="38150E48"/>
    <w:rsid w:val="381E22EE"/>
    <w:rsid w:val="38804D57"/>
    <w:rsid w:val="38B83CE2"/>
    <w:rsid w:val="38BF44BA"/>
    <w:rsid w:val="38C26B8B"/>
    <w:rsid w:val="39036686"/>
    <w:rsid w:val="390F2BD2"/>
    <w:rsid w:val="39754190"/>
    <w:rsid w:val="398D7A20"/>
    <w:rsid w:val="39B06DC7"/>
    <w:rsid w:val="39BC591B"/>
    <w:rsid w:val="39ED3F6A"/>
    <w:rsid w:val="3A172381"/>
    <w:rsid w:val="3A321AC9"/>
    <w:rsid w:val="3A416625"/>
    <w:rsid w:val="3A622A90"/>
    <w:rsid w:val="3A974841"/>
    <w:rsid w:val="3AB8299D"/>
    <w:rsid w:val="3AD30F35"/>
    <w:rsid w:val="3AD60EBE"/>
    <w:rsid w:val="3ADC3D9A"/>
    <w:rsid w:val="3AE14365"/>
    <w:rsid w:val="3B1B2427"/>
    <w:rsid w:val="3B4D0352"/>
    <w:rsid w:val="3B702E61"/>
    <w:rsid w:val="3BB6645B"/>
    <w:rsid w:val="3C1557B6"/>
    <w:rsid w:val="3C315BF1"/>
    <w:rsid w:val="3C597D99"/>
    <w:rsid w:val="3C8A2E4E"/>
    <w:rsid w:val="3CC07F25"/>
    <w:rsid w:val="3CD75208"/>
    <w:rsid w:val="3D4810BA"/>
    <w:rsid w:val="3D4B2677"/>
    <w:rsid w:val="3D6D51E3"/>
    <w:rsid w:val="3D764AF4"/>
    <w:rsid w:val="3DA23079"/>
    <w:rsid w:val="3DB03FCF"/>
    <w:rsid w:val="3DBF3C2B"/>
    <w:rsid w:val="3DE511B8"/>
    <w:rsid w:val="3DEA5678"/>
    <w:rsid w:val="3DF55242"/>
    <w:rsid w:val="3E0E0EF9"/>
    <w:rsid w:val="3E2B7513"/>
    <w:rsid w:val="3E467D57"/>
    <w:rsid w:val="3E812E3A"/>
    <w:rsid w:val="3EA23048"/>
    <w:rsid w:val="3F0A1399"/>
    <w:rsid w:val="3F222DA6"/>
    <w:rsid w:val="3F4B0972"/>
    <w:rsid w:val="3F5F233C"/>
    <w:rsid w:val="3F8F762D"/>
    <w:rsid w:val="3FAC4683"/>
    <w:rsid w:val="3FF658FE"/>
    <w:rsid w:val="40035527"/>
    <w:rsid w:val="40302BBE"/>
    <w:rsid w:val="404228F2"/>
    <w:rsid w:val="40655352"/>
    <w:rsid w:val="406B3111"/>
    <w:rsid w:val="40701B25"/>
    <w:rsid w:val="410A417D"/>
    <w:rsid w:val="410F0A26"/>
    <w:rsid w:val="41A344F8"/>
    <w:rsid w:val="41A76CDF"/>
    <w:rsid w:val="41C25FA8"/>
    <w:rsid w:val="41D239DD"/>
    <w:rsid w:val="4225527B"/>
    <w:rsid w:val="42624E68"/>
    <w:rsid w:val="4280593C"/>
    <w:rsid w:val="429C2867"/>
    <w:rsid w:val="42A53D71"/>
    <w:rsid w:val="42DB58C4"/>
    <w:rsid w:val="42FB5153"/>
    <w:rsid w:val="431F6330"/>
    <w:rsid w:val="437521E9"/>
    <w:rsid w:val="43F959BD"/>
    <w:rsid w:val="442817D0"/>
    <w:rsid w:val="4436451B"/>
    <w:rsid w:val="44814C4C"/>
    <w:rsid w:val="44B90145"/>
    <w:rsid w:val="44E0053D"/>
    <w:rsid w:val="45193644"/>
    <w:rsid w:val="452E4AC2"/>
    <w:rsid w:val="452E71B7"/>
    <w:rsid w:val="45330708"/>
    <w:rsid w:val="45390F04"/>
    <w:rsid w:val="45AB3679"/>
    <w:rsid w:val="45E34D7E"/>
    <w:rsid w:val="45EA7CB3"/>
    <w:rsid w:val="45FF3F96"/>
    <w:rsid w:val="46032557"/>
    <w:rsid w:val="46551467"/>
    <w:rsid w:val="465E2C17"/>
    <w:rsid w:val="46713D38"/>
    <w:rsid w:val="469B65FD"/>
    <w:rsid w:val="46DD15C6"/>
    <w:rsid w:val="46F645CC"/>
    <w:rsid w:val="47647649"/>
    <w:rsid w:val="4766650C"/>
    <w:rsid w:val="4791488A"/>
    <w:rsid w:val="47C61DCC"/>
    <w:rsid w:val="47CF09E2"/>
    <w:rsid w:val="47D62807"/>
    <w:rsid w:val="47F83928"/>
    <w:rsid w:val="482C7726"/>
    <w:rsid w:val="483B0352"/>
    <w:rsid w:val="48A71E8C"/>
    <w:rsid w:val="48D933B6"/>
    <w:rsid w:val="48F62B42"/>
    <w:rsid w:val="49064084"/>
    <w:rsid w:val="490C1868"/>
    <w:rsid w:val="49206685"/>
    <w:rsid w:val="495D4D2C"/>
    <w:rsid w:val="49A32653"/>
    <w:rsid w:val="4A3414FD"/>
    <w:rsid w:val="4AA03036"/>
    <w:rsid w:val="4ABC1ACF"/>
    <w:rsid w:val="4AFF5C9C"/>
    <w:rsid w:val="4B152832"/>
    <w:rsid w:val="4BA82682"/>
    <w:rsid w:val="4BFA5680"/>
    <w:rsid w:val="4C7B3413"/>
    <w:rsid w:val="4CAB66AC"/>
    <w:rsid w:val="4D0225B8"/>
    <w:rsid w:val="4D08141E"/>
    <w:rsid w:val="4D085AA9"/>
    <w:rsid w:val="4D146BAD"/>
    <w:rsid w:val="4D47637D"/>
    <w:rsid w:val="4DAE15C6"/>
    <w:rsid w:val="4DFC220F"/>
    <w:rsid w:val="4E33190A"/>
    <w:rsid w:val="4E4D2C46"/>
    <w:rsid w:val="4E724CEA"/>
    <w:rsid w:val="4EDA2611"/>
    <w:rsid w:val="4EE25B1E"/>
    <w:rsid w:val="4EF32B77"/>
    <w:rsid w:val="4F0A0FF2"/>
    <w:rsid w:val="4F42646A"/>
    <w:rsid w:val="4F456EFD"/>
    <w:rsid w:val="4F635279"/>
    <w:rsid w:val="4FD02436"/>
    <w:rsid w:val="4FD67345"/>
    <w:rsid w:val="4FFC34D7"/>
    <w:rsid w:val="500F4B6D"/>
    <w:rsid w:val="503D66B9"/>
    <w:rsid w:val="505A082A"/>
    <w:rsid w:val="50976E7E"/>
    <w:rsid w:val="50BB5E6E"/>
    <w:rsid w:val="50C07F8E"/>
    <w:rsid w:val="50F82989"/>
    <w:rsid w:val="50FE3A3F"/>
    <w:rsid w:val="510B15E6"/>
    <w:rsid w:val="511B159F"/>
    <w:rsid w:val="511D7A65"/>
    <w:rsid w:val="514B3DD8"/>
    <w:rsid w:val="51586419"/>
    <w:rsid w:val="518A6447"/>
    <w:rsid w:val="519D1DE6"/>
    <w:rsid w:val="51A23F66"/>
    <w:rsid w:val="51D83BB9"/>
    <w:rsid w:val="52173BDE"/>
    <w:rsid w:val="521C1A31"/>
    <w:rsid w:val="528B6BC7"/>
    <w:rsid w:val="52A116FA"/>
    <w:rsid w:val="52DE1AC2"/>
    <w:rsid w:val="53027173"/>
    <w:rsid w:val="530D3950"/>
    <w:rsid w:val="53EB5EC1"/>
    <w:rsid w:val="542A7078"/>
    <w:rsid w:val="54593006"/>
    <w:rsid w:val="54A604E0"/>
    <w:rsid w:val="54E104D3"/>
    <w:rsid w:val="54F56D9D"/>
    <w:rsid w:val="55041B33"/>
    <w:rsid w:val="55120D38"/>
    <w:rsid w:val="5516323D"/>
    <w:rsid w:val="554E114C"/>
    <w:rsid w:val="556877D0"/>
    <w:rsid w:val="55B26AD7"/>
    <w:rsid w:val="55C45031"/>
    <w:rsid w:val="55E90DB1"/>
    <w:rsid w:val="560A7010"/>
    <w:rsid w:val="564567E7"/>
    <w:rsid w:val="565E0F51"/>
    <w:rsid w:val="566B5FD6"/>
    <w:rsid w:val="56830726"/>
    <w:rsid w:val="569E071C"/>
    <w:rsid w:val="576E12EF"/>
    <w:rsid w:val="576F1363"/>
    <w:rsid w:val="57A921C8"/>
    <w:rsid w:val="57B62C1A"/>
    <w:rsid w:val="57C9179C"/>
    <w:rsid w:val="591C4CF6"/>
    <w:rsid w:val="592610F0"/>
    <w:rsid w:val="59924AB1"/>
    <w:rsid w:val="59A37640"/>
    <w:rsid w:val="59D40607"/>
    <w:rsid w:val="59DD1FBF"/>
    <w:rsid w:val="59EC1740"/>
    <w:rsid w:val="5A024AB1"/>
    <w:rsid w:val="5A5C6442"/>
    <w:rsid w:val="5A6052BA"/>
    <w:rsid w:val="5AAC50E0"/>
    <w:rsid w:val="5B10566E"/>
    <w:rsid w:val="5B1A7AFF"/>
    <w:rsid w:val="5B29674D"/>
    <w:rsid w:val="5BC7243D"/>
    <w:rsid w:val="5BD13050"/>
    <w:rsid w:val="5C4D4BEF"/>
    <w:rsid w:val="5C760D64"/>
    <w:rsid w:val="5CB16F7C"/>
    <w:rsid w:val="5D2A06A6"/>
    <w:rsid w:val="5D36061C"/>
    <w:rsid w:val="5D5D7A3F"/>
    <w:rsid w:val="5D9D4937"/>
    <w:rsid w:val="5E1E62F4"/>
    <w:rsid w:val="5E316D41"/>
    <w:rsid w:val="5E3E24F3"/>
    <w:rsid w:val="5E6261E1"/>
    <w:rsid w:val="5ED209B4"/>
    <w:rsid w:val="5EEA50C1"/>
    <w:rsid w:val="5F183AB6"/>
    <w:rsid w:val="5F2144C4"/>
    <w:rsid w:val="5FD56E87"/>
    <w:rsid w:val="5FD749AD"/>
    <w:rsid w:val="5FDB260C"/>
    <w:rsid w:val="600A4D82"/>
    <w:rsid w:val="601479AF"/>
    <w:rsid w:val="60343BAD"/>
    <w:rsid w:val="60B97DB3"/>
    <w:rsid w:val="612B644D"/>
    <w:rsid w:val="612F2012"/>
    <w:rsid w:val="61344C5A"/>
    <w:rsid w:val="61351776"/>
    <w:rsid w:val="617A1A94"/>
    <w:rsid w:val="61DB4D1A"/>
    <w:rsid w:val="61DE64C6"/>
    <w:rsid w:val="6202607C"/>
    <w:rsid w:val="62106DBF"/>
    <w:rsid w:val="622931C8"/>
    <w:rsid w:val="6235591B"/>
    <w:rsid w:val="629F555A"/>
    <w:rsid w:val="62EE5C99"/>
    <w:rsid w:val="63123548"/>
    <w:rsid w:val="631B5D45"/>
    <w:rsid w:val="63343EC4"/>
    <w:rsid w:val="63A728E8"/>
    <w:rsid w:val="63C910B3"/>
    <w:rsid w:val="63DF02D4"/>
    <w:rsid w:val="645A3FDC"/>
    <w:rsid w:val="65520E00"/>
    <w:rsid w:val="655E621E"/>
    <w:rsid w:val="6562503C"/>
    <w:rsid w:val="65A25924"/>
    <w:rsid w:val="661425D1"/>
    <w:rsid w:val="66297F99"/>
    <w:rsid w:val="66540B05"/>
    <w:rsid w:val="668E35D0"/>
    <w:rsid w:val="669B5489"/>
    <w:rsid w:val="66C537B1"/>
    <w:rsid w:val="66FD2B1D"/>
    <w:rsid w:val="67164C09"/>
    <w:rsid w:val="67204E8B"/>
    <w:rsid w:val="6720686F"/>
    <w:rsid w:val="678056D4"/>
    <w:rsid w:val="678A67A9"/>
    <w:rsid w:val="67D75D30"/>
    <w:rsid w:val="681724DB"/>
    <w:rsid w:val="68271AFF"/>
    <w:rsid w:val="686D1925"/>
    <w:rsid w:val="68977852"/>
    <w:rsid w:val="68DB550E"/>
    <w:rsid w:val="692A1B53"/>
    <w:rsid w:val="69434E72"/>
    <w:rsid w:val="6958716E"/>
    <w:rsid w:val="695E1C9B"/>
    <w:rsid w:val="69B0699A"/>
    <w:rsid w:val="69D83509"/>
    <w:rsid w:val="69F32CC8"/>
    <w:rsid w:val="69FF1F45"/>
    <w:rsid w:val="6A1E0186"/>
    <w:rsid w:val="6A252BDC"/>
    <w:rsid w:val="6A6079B9"/>
    <w:rsid w:val="6ADC63F1"/>
    <w:rsid w:val="6AFC003E"/>
    <w:rsid w:val="6B0F149F"/>
    <w:rsid w:val="6B1839A2"/>
    <w:rsid w:val="6B2C2051"/>
    <w:rsid w:val="6B7760F6"/>
    <w:rsid w:val="6BB64010"/>
    <w:rsid w:val="6BB84928"/>
    <w:rsid w:val="6BF048CA"/>
    <w:rsid w:val="6BFA6B88"/>
    <w:rsid w:val="6BFF7765"/>
    <w:rsid w:val="6C040369"/>
    <w:rsid w:val="6C08708C"/>
    <w:rsid w:val="6C172D01"/>
    <w:rsid w:val="6C252779"/>
    <w:rsid w:val="6C36516A"/>
    <w:rsid w:val="6C411B2C"/>
    <w:rsid w:val="6C5B0466"/>
    <w:rsid w:val="6C601D7A"/>
    <w:rsid w:val="6C6E603F"/>
    <w:rsid w:val="6C7020E5"/>
    <w:rsid w:val="6C865827"/>
    <w:rsid w:val="6CA72958"/>
    <w:rsid w:val="6D074D1B"/>
    <w:rsid w:val="6D3111A0"/>
    <w:rsid w:val="6D3B6142"/>
    <w:rsid w:val="6D473F14"/>
    <w:rsid w:val="6D7C28B0"/>
    <w:rsid w:val="6E4213C7"/>
    <w:rsid w:val="6E531D02"/>
    <w:rsid w:val="6E9221CF"/>
    <w:rsid w:val="6E9C129B"/>
    <w:rsid w:val="6EA91C0A"/>
    <w:rsid w:val="6EE064EB"/>
    <w:rsid w:val="6F013B3F"/>
    <w:rsid w:val="6F9E54E7"/>
    <w:rsid w:val="703C0D46"/>
    <w:rsid w:val="704B06F2"/>
    <w:rsid w:val="70572204"/>
    <w:rsid w:val="70904E30"/>
    <w:rsid w:val="70AD75CC"/>
    <w:rsid w:val="70F61965"/>
    <w:rsid w:val="71015D2D"/>
    <w:rsid w:val="710E36BE"/>
    <w:rsid w:val="712D491D"/>
    <w:rsid w:val="714E7FE3"/>
    <w:rsid w:val="716F4A32"/>
    <w:rsid w:val="71CD1E61"/>
    <w:rsid w:val="72193D7F"/>
    <w:rsid w:val="722F2426"/>
    <w:rsid w:val="72625119"/>
    <w:rsid w:val="72646DB4"/>
    <w:rsid w:val="726C4E04"/>
    <w:rsid w:val="727D3FE6"/>
    <w:rsid w:val="72B21806"/>
    <w:rsid w:val="72E94CCB"/>
    <w:rsid w:val="72FA2105"/>
    <w:rsid w:val="73871A96"/>
    <w:rsid w:val="73944C37"/>
    <w:rsid w:val="73F07553"/>
    <w:rsid w:val="74036859"/>
    <w:rsid w:val="74512B28"/>
    <w:rsid w:val="745D327B"/>
    <w:rsid w:val="7491561A"/>
    <w:rsid w:val="74C52193"/>
    <w:rsid w:val="74F92A17"/>
    <w:rsid w:val="75220020"/>
    <w:rsid w:val="754206C3"/>
    <w:rsid w:val="7545143B"/>
    <w:rsid w:val="75684E21"/>
    <w:rsid w:val="75951D5F"/>
    <w:rsid w:val="759D3E7E"/>
    <w:rsid w:val="75A921B6"/>
    <w:rsid w:val="75B23A9A"/>
    <w:rsid w:val="76231834"/>
    <w:rsid w:val="762B406D"/>
    <w:rsid w:val="763640CB"/>
    <w:rsid w:val="763847BF"/>
    <w:rsid w:val="765969E1"/>
    <w:rsid w:val="766528BB"/>
    <w:rsid w:val="76760624"/>
    <w:rsid w:val="767A6B4A"/>
    <w:rsid w:val="76901DB2"/>
    <w:rsid w:val="76A5718E"/>
    <w:rsid w:val="77377CE0"/>
    <w:rsid w:val="775841CD"/>
    <w:rsid w:val="77732DB5"/>
    <w:rsid w:val="77BE1157"/>
    <w:rsid w:val="77C774F2"/>
    <w:rsid w:val="77FD189C"/>
    <w:rsid w:val="782A5A80"/>
    <w:rsid w:val="783A6C9F"/>
    <w:rsid w:val="78A422CD"/>
    <w:rsid w:val="78A50ECD"/>
    <w:rsid w:val="78BE2756"/>
    <w:rsid w:val="78CA44B8"/>
    <w:rsid w:val="79050EF9"/>
    <w:rsid w:val="79186C11"/>
    <w:rsid w:val="79451204"/>
    <w:rsid w:val="794F7837"/>
    <w:rsid w:val="795D0407"/>
    <w:rsid w:val="79646E59"/>
    <w:rsid w:val="796E748C"/>
    <w:rsid w:val="797B1156"/>
    <w:rsid w:val="79E8522B"/>
    <w:rsid w:val="7A285C9F"/>
    <w:rsid w:val="7A2B5BC9"/>
    <w:rsid w:val="7A5C348F"/>
    <w:rsid w:val="7A915D8D"/>
    <w:rsid w:val="7B1448AF"/>
    <w:rsid w:val="7B362EDE"/>
    <w:rsid w:val="7B5F30B1"/>
    <w:rsid w:val="7BB50B94"/>
    <w:rsid w:val="7BBD0AA3"/>
    <w:rsid w:val="7BC2410D"/>
    <w:rsid w:val="7BFB4BEA"/>
    <w:rsid w:val="7C412F09"/>
    <w:rsid w:val="7C460A98"/>
    <w:rsid w:val="7C4667E8"/>
    <w:rsid w:val="7C5424EB"/>
    <w:rsid w:val="7C8A6529"/>
    <w:rsid w:val="7C976D73"/>
    <w:rsid w:val="7CC15762"/>
    <w:rsid w:val="7D1D50FB"/>
    <w:rsid w:val="7D225061"/>
    <w:rsid w:val="7D2D175A"/>
    <w:rsid w:val="7D3923AB"/>
    <w:rsid w:val="7E2873B4"/>
    <w:rsid w:val="7E722019"/>
    <w:rsid w:val="7E774D32"/>
    <w:rsid w:val="7EC03B6B"/>
    <w:rsid w:val="7EFF7DB6"/>
    <w:rsid w:val="7F2824FB"/>
    <w:rsid w:val="7F7818B1"/>
    <w:rsid w:val="7FC52D07"/>
    <w:rsid w:val="7FE66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4"/>
    <w:qFormat/>
    <w:uiPriority w:val="0"/>
    <w:pPr>
      <w:keepNext/>
      <w:jc w:val="center"/>
      <w:outlineLvl w:val="0"/>
    </w:pPr>
    <w:rPr>
      <w:b/>
      <w:bCs/>
      <w:sz w:val="24"/>
      <w:szCs w:val="20"/>
    </w:rPr>
  </w:style>
  <w:style w:type="paragraph" w:styleId="3">
    <w:name w:val="heading 2"/>
    <w:basedOn w:val="1"/>
    <w:next w:val="1"/>
    <w:link w:val="65"/>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6"/>
    <w:qFormat/>
    <w:uiPriority w:val="0"/>
    <w:pPr>
      <w:keepNext/>
      <w:keepLines/>
      <w:spacing w:before="260" w:after="260" w:line="416" w:lineRule="auto"/>
      <w:outlineLvl w:val="2"/>
    </w:pPr>
    <w:rPr>
      <w:b/>
      <w:bCs/>
      <w:sz w:val="32"/>
      <w:szCs w:val="32"/>
    </w:rPr>
  </w:style>
  <w:style w:type="paragraph" w:styleId="5">
    <w:name w:val="heading 4"/>
    <w:basedOn w:val="1"/>
    <w:next w:val="1"/>
    <w:link w:val="6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8"/>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9"/>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0"/>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5"/>
    <w:semiHidden/>
    <w:qFormat/>
    <w:uiPriority w:val="0"/>
    <w:pPr>
      <w:shd w:val="clear" w:color="auto" w:fill="000080"/>
    </w:pPr>
  </w:style>
  <w:style w:type="paragraph" w:styleId="14">
    <w:name w:val="annotation text"/>
    <w:basedOn w:val="1"/>
    <w:link w:val="80"/>
    <w:semiHidden/>
    <w:qFormat/>
    <w:uiPriority w:val="0"/>
    <w:pPr>
      <w:jc w:val="left"/>
    </w:pPr>
  </w:style>
  <w:style w:type="paragraph" w:styleId="15">
    <w:name w:val="Salutation"/>
    <w:basedOn w:val="1"/>
    <w:next w:val="1"/>
    <w:link w:val="85"/>
    <w:qFormat/>
    <w:uiPriority w:val="0"/>
    <w:rPr>
      <w:rFonts w:ascii="仿宋_GB2312" w:eastAsia="仿宋_GB2312"/>
      <w:sz w:val="24"/>
    </w:rPr>
  </w:style>
  <w:style w:type="paragraph" w:styleId="16">
    <w:name w:val="Body Text"/>
    <w:basedOn w:val="1"/>
    <w:link w:val="74"/>
    <w:qFormat/>
    <w:uiPriority w:val="0"/>
    <w:pPr>
      <w:spacing w:after="120"/>
    </w:pPr>
  </w:style>
  <w:style w:type="paragraph" w:styleId="17">
    <w:name w:val="Body Text Indent"/>
    <w:basedOn w:val="1"/>
    <w:next w:val="18"/>
    <w:link w:val="77"/>
    <w:qFormat/>
    <w:uiPriority w:val="0"/>
    <w:pPr>
      <w:spacing w:after="120"/>
      <w:ind w:left="420" w:leftChars="200"/>
    </w:pPr>
  </w:style>
  <w:style w:type="paragraph" w:styleId="18">
    <w:name w:val="Body Text Indent 2"/>
    <w:basedOn w:val="1"/>
    <w:link w:val="87"/>
    <w:qFormat/>
    <w:uiPriority w:val="0"/>
    <w:pPr>
      <w:spacing w:after="120" w:line="480" w:lineRule="auto"/>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1">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2">
    <w:name w:val="Plain Text"/>
    <w:basedOn w:val="1"/>
    <w:link w:val="79"/>
    <w:qFormat/>
    <w:uiPriority w:val="0"/>
    <w:rPr>
      <w:rFonts w:ascii="宋体" w:hAnsi="Courier New" w:cs="Courier New"/>
      <w:szCs w:val="21"/>
    </w:rPr>
  </w:style>
  <w:style w:type="paragraph" w:styleId="2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4">
    <w:name w:val="Date"/>
    <w:basedOn w:val="1"/>
    <w:next w:val="1"/>
    <w:link w:val="90"/>
    <w:qFormat/>
    <w:uiPriority w:val="0"/>
    <w:rPr>
      <w:sz w:val="24"/>
      <w:szCs w:val="20"/>
    </w:rPr>
  </w:style>
  <w:style w:type="paragraph" w:styleId="25">
    <w:name w:val="Balloon Text"/>
    <w:basedOn w:val="1"/>
    <w:link w:val="103"/>
    <w:qFormat/>
    <w:uiPriority w:val="0"/>
    <w:rPr>
      <w:sz w:val="18"/>
      <w:szCs w:val="18"/>
    </w:rPr>
  </w:style>
  <w:style w:type="paragraph" w:styleId="26">
    <w:name w:val="footer"/>
    <w:basedOn w:val="1"/>
    <w:link w:val="75"/>
    <w:qFormat/>
    <w:uiPriority w:val="0"/>
    <w:pPr>
      <w:tabs>
        <w:tab w:val="center" w:pos="4153"/>
        <w:tab w:val="right" w:pos="8306"/>
      </w:tabs>
      <w:snapToGrid w:val="0"/>
      <w:jc w:val="left"/>
    </w:pPr>
    <w:rPr>
      <w:sz w:val="18"/>
      <w:szCs w:val="18"/>
    </w:rPr>
  </w:style>
  <w:style w:type="paragraph" w:styleId="27">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line="360" w:lineRule="auto"/>
    </w:pPr>
    <w:rPr>
      <w:rFonts w:asciiTheme="minorEastAsia" w:hAnsiTheme="minorEastAsia" w:eastAsiaTheme="minorEastAsia"/>
      <w:b/>
      <w:sz w:val="24"/>
      <w:szCs w:val="21"/>
    </w:rPr>
  </w:style>
  <w:style w:type="paragraph" w:styleId="29">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0">
    <w:name w:val="toc 6"/>
    <w:basedOn w:val="1"/>
    <w:next w:val="1"/>
    <w:qFormat/>
    <w:uiPriority w:val="39"/>
    <w:pPr>
      <w:ind w:left="2100"/>
    </w:pPr>
    <w:rPr>
      <w:szCs w:val="20"/>
    </w:rPr>
  </w:style>
  <w:style w:type="paragraph" w:styleId="31">
    <w:name w:val="Body Text Indent 3"/>
    <w:basedOn w:val="1"/>
    <w:link w:val="89"/>
    <w:qFormat/>
    <w:uiPriority w:val="0"/>
    <w:pPr>
      <w:spacing w:after="120"/>
      <w:ind w:left="420" w:leftChars="200"/>
    </w:pPr>
    <w:rPr>
      <w:sz w:val="16"/>
      <w:szCs w:val="16"/>
    </w:rPr>
  </w:style>
  <w:style w:type="paragraph" w:styleId="32">
    <w:name w:val="toc 2"/>
    <w:basedOn w:val="1"/>
    <w:next w:val="1"/>
    <w:unhideWhenUsed/>
    <w:qFormat/>
    <w:uiPriority w:val="39"/>
    <w:pPr>
      <w:spacing w:line="360" w:lineRule="auto"/>
      <w:ind w:left="200" w:leftChars="200"/>
    </w:pPr>
    <w:rPr>
      <w:rFonts w:eastAsiaTheme="majorEastAsia"/>
      <w:b/>
    </w:rPr>
  </w:style>
  <w:style w:type="paragraph" w:styleId="33">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4">
    <w:name w:val="Body Text 2"/>
    <w:basedOn w:val="1"/>
    <w:link w:val="86"/>
    <w:qFormat/>
    <w:uiPriority w:val="0"/>
    <w:pPr>
      <w:spacing w:after="120" w:line="480" w:lineRule="auto"/>
    </w:pPr>
  </w:style>
  <w:style w:type="paragraph" w:styleId="35">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next w:val="1"/>
    <w:qFormat/>
    <w:uiPriority w:val="0"/>
    <w:pPr>
      <w:spacing w:line="220" w:lineRule="exact"/>
      <w:jc w:val="center"/>
    </w:pPr>
    <w:rPr>
      <w:rFonts w:ascii="仿宋_GB2312" w:eastAsia="仿宋_GB2312"/>
      <w:szCs w:val="20"/>
    </w:rPr>
  </w:style>
  <w:style w:type="paragraph" w:styleId="38">
    <w:name w:val="Title"/>
    <w:basedOn w:val="1"/>
    <w:link w:val="120"/>
    <w:qFormat/>
    <w:uiPriority w:val="0"/>
    <w:pPr>
      <w:jc w:val="center"/>
      <w:outlineLvl w:val="0"/>
    </w:pPr>
    <w:rPr>
      <w:rFonts w:asciiTheme="minorHAnsi" w:hAnsiTheme="minorHAnsi" w:eastAsiaTheme="minorEastAsia" w:cstheme="minorBidi"/>
      <w:b/>
      <w:sz w:val="32"/>
      <w:szCs w:val="22"/>
    </w:rPr>
  </w:style>
  <w:style w:type="paragraph" w:styleId="39">
    <w:name w:val="annotation subject"/>
    <w:basedOn w:val="14"/>
    <w:next w:val="14"/>
    <w:link w:val="102"/>
    <w:qFormat/>
    <w:uiPriority w:val="0"/>
    <w:rPr>
      <w:b/>
      <w:bCs/>
    </w:rPr>
  </w:style>
  <w:style w:type="paragraph" w:styleId="40">
    <w:name w:val="Body Text First Indent"/>
    <w:basedOn w:val="16"/>
    <w:unhideWhenUsed/>
    <w:qFormat/>
    <w:uiPriority w:val="0"/>
    <w:pPr>
      <w:ind w:firstLine="420" w:firstLineChars="100"/>
    </w:pPr>
  </w:style>
  <w:style w:type="paragraph" w:styleId="41">
    <w:name w:val="Body Text First Indent 2"/>
    <w:basedOn w:val="17"/>
    <w:unhideWhenUsed/>
    <w:qFormat/>
    <w:uiPriority w:val="99"/>
    <w:pPr>
      <w:ind w:firstLine="420" w:firstLineChars="200"/>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basedOn w:val="44"/>
    <w:qFormat/>
    <w:uiPriority w:val="20"/>
    <w:rPr>
      <w:b/>
      <w:bCs/>
    </w:rPr>
  </w:style>
  <w:style w:type="character" w:styleId="49">
    <w:name w:val="HTML Definition"/>
    <w:basedOn w:val="44"/>
    <w:semiHidden/>
    <w:unhideWhenUsed/>
    <w:qFormat/>
    <w:uiPriority w:val="99"/>
  </w:style>
  <w:style w:type="character" w:styleId="50">
    <w:name w:val="HTML Typewriter"/>
    <w:basedOn w:val="44"/>
    <w:semiHidden/>
    <w:unhideWhenUsed/>
    <w:qFormat/>
    <w:uiPriority w:val="99"/>
    <w:rPr>
      <w:rFonts w:hint="default" w:ascii="monospace" w:hAnsi="monospace" w:eastAsia="monospace" w:cs="monospace"/>
      <w:sz w:val="20"/>
    </w:rPr>
  </w:style>
  <w:style w:type="character" w:styleId="51">
    <w:name w:val="HTML Acronym"/>
    <w:basedOn w:val="44"/>
    <w:semiHidden/>
    <w:unhideWhenUsed/>
    <w:qFormat/>
    <w:uiPriority w:val="99"/>
  </w:style>
  <w:style w:type="character" w:styleId="52">
    <w:name w:val="HTML Variable"/>
    <w:basedOn w:val="44"/>
    <w:semiHidden/>
    <w:unhideWhenUsed/>
    <w:qFormat/>
    <w:uiPriority w:val="99"/>
  </w:style>
  <w:style w:type="character" w:styleId="53">
    <w:name w:val="Hyperlink"/>
    <w:qFormat/>
    <w:uiPriority w:val="99"/>
    <w:rPr>
      <w:color w:val="136EC2"/>
      <w:u w:val="single"/>
    </w:rPr>
  </w:style>
  <w:style w:type="character" w:styleId="54">
    <w:name w:val="HTML Code"/>
    <w:basedOn w:val="44"/>
    <w:semiHidden/>
    <w:unhideWhenUsed/>
    <w:qFormat/>
    <w:uiPriority w:val="99"/>
    <w:rPr>
      <w:rFonts w:ascii="monospace" w:hAnsi="monospace" w:eastAsia="monospace" w:cs="monospace"/>
      <w:sz w:val="0"/>
      <w:szCs w:val="0"/>
      <w:bdr w:val="single" w:color="auto" w:sz="2" w:space="0"/>
    </w:rPr>
  </w:style>
  <w:style w:type="character" w:styleId="55">
    <w:name w:val="annotation reference"/>
    <w:qFormat/>
    <w:uiPriority w:val="0"/>
    <w:rPr>
      <w:sz w:val="21"/>
      <w:szCs w:val="21"/>
    </w:rPr>
  </w:style>
  <w:style w:type="character" w:styleId="56">
    <w:name w:val="HTML Cite"/>
    <w:basedOn w:val="44"/>
    <w:semiHidden/>
    <w:unhideWhenUsed/>
    <w:qFormat/>
    <w:uiPriority w:val="99"/>
  </w:style>
  <w:style w:type="character" w:styleId="57">
    <w:name w:val="HTML Keyboard"/>
    <w:basedOn w:val="44"/>
    <w:semiHidden/>
    <w:unhideWhenUsed/>
    <w:qFormat/>
    <w:uiPriority w:val="99"/>
    <w:rPr>
      <w:rFonts w:hint="default" w:ascii="monospace" w:hAnsi="monospace" w:eastAsia="monospace" w:cs="monospace"/>
      <w:sz w:val="20"/>
    </w:rPr>
  </w:style>
  <w:style w:type="character" w:styleId="58">
    <w:name w:val="HTML Sample"/>
    <w:basedOn w:val="44"/>
    <w:semiHidden/>
    <w:unhideWhenUsed/>
    <w:qFormat/>
    <w:uiPriority w:val="99"/>
    <w:rPr>
      <w:rFonts w:hint="default" w:ascii="monospace" w:hAnsi="monospace" w:eastAsia="monospace" w:cs="monospace"/>
    </w:rPr>
  </w:style>
  <w:style w:type="paragraph" w:customStyle="1" w:styleId="59">
    <w:name w:val="列出段落1"/>
    <w:basedOn w:val="1"/>
    <w:qFormat/>
    <w:uiPriority w:val="0"/>
    <w:pPr>
      <w:ind w:firstLine="420" w:firstLineChars="200"/>
    </w:pPr>
    <w:rPr>
      <w:rFonts w:ascii="Calibri" w:hAnsi="Calibri"/>
      <w:b/>
      <w:szCs w:val="22"/>
    </w:rPr>
  </w:style>
  <w:style w:type="paragraph" w:customStyle="1" w:styleId="60">
    <w:name w:val="样式2"/>
    <w:basedOn w:val="61"/>
    <w:next w:val="1"/>
    <w:qFormat/>
    <w:uiPriority w:val="0"/>
    <w:pPr>
      <w:tabs>
        <w:tab w:val="left" w:pos="360"/>
      </w:tabs>
    </w:pPr>
    <w:rPr>
      <w:i/>
    </w:rPr>
  </w:style>
  <w:style w:type="paragraph" w:customStyle="1" w:styleId="61">
    <w:name w:val="样式1"/>
    <w:basedOn w:val="1"/>
    <w:next w:val="1"/>
    <w:link w:val="122"/>
    <w:qFormat/>
    <w:uiPriority w:val="0"/>
    <w:pPr>
      <w:tabs>
        <w:tab w:val="left" w:pos="360"/>
      </w:tabs>
      <w:adjustRightInd w:val="0"/>
      <w:ind w:left="360" w:hanging="360"/>
      <w:textAlignment w:val="baseline"/>
    </w:pPr>
    <w:rPr>
      <w:rFonts w:ascii="宋体" w:hAnsi="宋体"/>
      <w:kern w:val="0"/>
      <w:szCs w:val="21"/>
    </w:rPr>
  </w:style>
  <w:style w:type="paragraph" w:customStyle="1" w:styleId="62">
    <w:name w:val="1 Char Char Char Char"/>
    <w:basedOn w:val="1"/>
    <w:qFormat/>
    <w:uiPriority w:val="0"/>
  </w:style>
  <w:style w:type="paragraph" w:customStyle="1" w:styleId="63">
    <w:name w:val="正文1"/>
    <w:basedOn w:val="1"/>
    <w:qFormat/>
    <w:uiPriority w:val="0"/>
    <w:pPr>
      <w:spacing w:line="360" w:lineRule="auto"/>
      <w:ind w:firstLine="480" w:firstLineChars="200"/>
    </w:pPr>
    <w:rPr>
      <w:sz w:val="24"/>
    </w:rPr>
  </w:style>
  <w:style w:type="character" w:customStyle="1" w:styleId="64">
    <w:name w:val="标题 1 字符"/>
    <w:basedOn w:val="44"/>
    <w:link w:val="2"/>
    <w:qFormat/>
    <w:uiPriority w:val="0"/>
    <w:rPr>
      <w:rFonts w:ascii="Times New Roman" w:hAnsi="Times New Roman" w:eastAsia="宋体" w:cs="Times New Roman"/>
      <w:b/>
      <w:bCs/>
      <w:sz w:val="24"/>
      <w:szCs w:val="20"/>
    </w:rPr>
  </w:style>
  <w:style w:type="character" w:customStyle="1" w:styleId="65">
    <w:name w:val="标题 2 字符"/>
    <w:basedOn w:val="44"/>
    <w:link w:val="3"/>
    <w:qFormat/>
    <w:uiPriority w:val="0"/>
    <w:rPr>
      <w:rFonts w:ascii="Arial" w:hAnsi="Arial" w:eastAsia="宋体" w:cs="Times New Roman"/>
      <w:b/>
      <w:bCs/>
      <w:sz w:val="24"/>
      <w:szCs w:val="32"/>
    </w:rPr>
  </w:style>
  <w:style w:type="character" w:customStyle="1" w:styleId="66">
    <w:name w:val="标题 3 字符"/>
    <w:basedOn w:val="44"/>
    <w:link w:val="4"/>
    <w:qFormat/>
    <w:uiPriority w:val="0"/>
    <w:rPr>
      <w:rFonts w:ascii="Times New Roman" w:hAnsi="Times New Roman" w:eastAsia="宋体" w:cs="Times New Roman"/>
      <w:b/>
      <w:bCs/>
      <w:sz w:val="32"/>
      <w:szCs w:val="32"/>
    </w:rPr>
  </w:style>
  <w:style w:type="character" w:customStyle="1" w:styleId="67">
    <w:name w:val="标题 4 字符"/>
    <w:basedOn w:val="44"/>
    <w:link w:val="5"/>
    <w:qFormat/>
    <w:uiPriority w:val="0"/>
    <w:rPr>
      <w:rFonts w:ascii="Arial" w:hAnsi="Arial" w:eastAsia="黑体" w:cs="Times New Roman"/>
      <w:b/>
      <w:bCs/>
      <w:sz w:val="28"/>
      <w:szCs w:val="28"/>
    </w:rPr>
  </w:style>
  <w:style w:type="character" w:customStyle="1" w:styleId="68">
    <w:name w:val="标题 5 字符"/>
    <w:basedOn w:val="44"/>
    <w:link w:val="6"/>
    <w:qFormat/>
    <w:uiPriority w:val="0"/>
    <w:rPr>
      <w:rFonts w:ascii="Times New Roman" w:hAnsi="Times New Roman" w:eastAsia="宋体" w:cs="Times New Roman"/>
      <w:b/>
      <w:bCs/>
      <w:kern w:val="0"/>
      <w:sz w:val="28"/>
      <w:szCs w:val="28"/>
    </w:rPr>
  </w:style>
  <w:style w:type="character" w:customStyle="1" w:styleId="69">
    <w:name w:val="标题 6 字符"/>
    <w:basedOn w:val="44"/>
    <w:link w:val="7"/>
    <w:qFormat/>
    <w:uiPriority w:val="0"/>
    <w:rPr>
      <w:rFonts w:ascii="Arial" w:hAnsi="Arial" w:eastAsia="黑体" w:cs="Times New Roman"/>
      <w:b/>
      <w:bCs/>
      <w:kern w:val="0"/>
      <w:sz w:val="24"/>
      <w:szCs w:val="24"/>
    </w:rPr>
  </w:style>
  <w:style w:type="character" w:customStyle="1" w:styleId="70">
    <w:name w:val="标题 7 字符"/>
    <w:basedOn w:val="44"/>
    <w:link w:val="8"/>
    <w:qFormat/>
    <w:uiPriority w:val="0"/>
    <w:rPr>
      <w:rFonts w:ascii="Times New Roman" w:hAnsi="Times New Roman" w:eastAsia="宋体" w:cs="Times New Roman"/>
      <w:b/>
      <w:bCs/>
      <w:kern w:val="0"/>
      <w:sz w:val="24"/>
      <w:szCs w:val="24"/>
    </w:rPr>
  </w:style>
  <w:style w:type="character" w:customStyle="1" w:styleId="71">
    <w:name w:val="标题 8 字符"/>
    <w:basedOn w:val="44"/>
    <w:link w:val="9"/>
    <w:qFormat/>
    <w:uiPriority w:val="0"/>
    <w:rPr>
      <w:rFonts w:ascii="Arial" w:hAnsi="Arial" w:eastAsia="黑体" w:cs="Times New Roman"/>
      <w:kern w:val="0"/>
      <w:sz w:val="24"/>
      <w:szCs w:val="24"/>
    </w:rPr>
  </w:style>
  <w:style w:type="character" w:customStyle="1" w:styleId="72">
    <w:name w:val="标题 9 字符"/>
    <w:basedOn w:val="44"/>
    <w:link w:val="10"/>
    <w:qFormat/>
    <w:uiPriority w:val="0"/>
    <w:rPr>
      <w:rFonts w:ascii="Arial" w:hAnsi="Arial" w:eastAsia="黑体" w:cs="Times New Roman"/>
      <w:kern w:val="0"/>
      <w:szCs w:val="21"/>
    </w:rPr>
  </w:style>
  <w:style w:type="paragraph" w:customStyle="1" w:styleId="73">
    <w:name w:val="表格内容"/>
    <w:basedOn w:val="16"/>
    <w:qFormat/>
    <w:uiPriority w:val="0"/>
    <w:pPr>
      <w:suppressLineNumbers/>
      <w:suppressAutoHyphens/>
      <w:jc w:val="left"/>
    </w:pPr>
    <w:rPr>
      <w:rFonts w:cs="Tahoma"/>
      <w:kern w:val="0"/>
      <w:sz w:val="24"/>
    </w:rPr>
  </w:style>
  <w:style w:type="character" w:customStyle="1" w:styleId="74">
    <w:name w:val="正文文本 字符"/>
    <w:basedOn w:val="44"/>
    <w:link w:val="16"/>
    <w:qFormat/>
    <w:uiPriority w:val="0"/>
    <w:rPr>
      <w:rFonts w:ascii="Times New Roman" w:hAnsi="Times New Roman" w:eastAsia="宋体" w:cs="Times New Roman"/>
      <w:szCs w:val="24"/>
    </w:rPr>
  </w:style>
  <w:style w:type="character" w:customStyle="1" w:styleId="75">
    <w:name w:val="页脚 字符"/>
    <w:basedOn w:val="44"/>
    <w:link w:val="26"/>
    <w:qFormat/>
    <w:uiPriority w:val="99"/>
    <w:rPr>
      <w:rFonts w:ascii="Times New Roman" w:hAnsi="Times New Roman" w:eastAsia="宋体" w:cs="Times New Roman"/>
      <w:sz w:val="18"/>
      <w:szCs w:val="18"/>
    </w:rPr>
  </w:style>
  <w:style w:type="character" w:customStyle="1" w:styleId="76">
    <w:name w:val="页眉 字符"/>
    <w:basedOn w:val="44"/>
    <w:link w:val="27"/>
    <w:qFormat/>
    <w:uiPriority w:val="99"/>
    <w:rPr>
      <w:rFonts w:ascii="Times New Roman" w:hAnsi="Times New Roman" w:eastAsia="宋体" w:cs="Times New Roman"/>
      <w:sz w:val="18"/>
      <w:szCs w:val="18"/>
    </w:rPr>
  </w:style>
  <w:style w:type="character" w:customStyle="1" w:styleId="77">
    <w:name w:val="正文文本缩进 字符"/>
    <w:basedOn w:val="44"/>
    <w:link w:val="17"/>
    <w:qFormat/>
    <w:uiPriority w:val="0"/>
    <w:rPr>
      <w:rFonts w:ascii="Times New Roman" w:hAnsi="Times New Roman" w:eastAsia="宋体" w:cs="Times New Roman"/>
      <w:szCs w:val="24"/>
    </w:rPr>
  </w:style>
  <w:style w:type="paragraph" w:customStyle="1" w:styleId="78">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79">
    <w:name w:val="纯文本 字符"/>
    <w:basedOn w:val="44"/>
    <w:link w:val="22"/>
    <w:qFormat/>
    <w:uiPriority w:val="0"/>
    <w:rPr>
      <w:rFonts w:ascii="宋体" w:hAnsi="Courier New" w:eastAsia="宋体" w:cs="Courier New"/>
      <w:szCs w:val="21"/>
    </w:rPr>
  </w:style>
  <w:style w:type="character" w:customStyle="1" w:styleId="80">
    <w:name w:val="批注文字 字符"/>
    <w:basedOn w:val="44"/>
    <w:link w:val="14"/>
    <w:semiHidden/>
    <w:qFormat/>
    <w:uiPriority w:val="0"/>
    <w:rPr>
      <w:rFonts w:ascii="Times New Roman" w:hAnsi="Times New Roman" w:eastAsia="宋体" w:cs="Times New Roman"/>
      <w:szCs w:val="24"/>
    </w:rPr>
  </w:style>
  <w:style w:type="paragraph" w:customStyle="1" w:styleId="8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82">
    <w:name w:val="Char Char Char"/>
    <w:basedOn w:val="1"/>
    <w:qFormat/>
    <w:uiPriority w:val="0"/>
    <w:rPr>
      <w:rFonts w:ascii="宋体" w:hAnsi="宋体"/>
      <w:b/>
      <w:sz w:val="28"/>
      <w:szCs w:val="28"/>
    </w:rPr>
  </w:style>
  <w:style w:type="paragraph" w:customStyle="1" w:styleId="8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84">
    <w:name w:val="HTML 预设格式 字符"/>
    <w:basedOn w:val="44"/>
    <w:link w:val="35"/>
    <w:qFormat/>
    <w:uiPriority w:val="0"/>
    <w:rPr>
      <w:rFonts w:ascii="Arial" w:hAnsi="Arial" w:eastAsia="宋体" w:cs="Arial"/>
      <w:kern w:val="0"/>
      <w:sz w:val="24"/>
      <w:szCs w:val="24"/>
    </w:rPr>
  </w:style>
  <w:style w:type="character" w:customStyle="1" w:styleId="85">
    <w:name w:val="称呼 字符"/>
    <w:basedOn w:val="44"/>
    <w:link w:val="15"/>
    <w:qFormat/>
    <w:uiPriority w:val="0"/>
    <w:rPr>
      <w:rFonts w:ascii="仿宋_GB2312" w:hAnsi="Times New Roman" w:eastAsia="仿宋_GB2312" w:cs="Times New Roman"/>
      <w:sz w:val="24"/>
      <w:szCs w:val="24"/>
    </w:rPr>
  </w:style>
  <w:style w:type="character" w:customStyle="1" w:styleId="86">
    <w:name w:val="正文文本 2 字符"/>
    <w:basedOn w:val="44"/>
    <w:link w:val="34"/>
    <w:qFormat/>
    <w:uiPriority w:val="0"/>
    <w:rPr>
      <w:rFonts w:ascii="Times New Roman" w:hAnsi="Times New Roman" w:eastAsia="宋体" w:cs="Times New Roman"/>
      <w:szCs w:val="24"/>
    </w:rPr>
  </w:style>
  <w:style w:type="character" w:customStyle="1" w:styleId="87">
    <w:name w:val="正文文本缩进 2 字符"/>
    <w:basedOn w:val="44"/>
    <w:link w:val="18"/>
    <w:qFormat/>
    <w:uiPriority w:val="0"/>
    <w:rPr>
      <w:rFonts w:ascii="Times New Roman" w:hAnsi="Times New Roman" w:eastAsia="宋体" w:cs="Times New Roman"/>
      <w:szCs w:val="24"/>
    </w:rPr>
  </w:style>
  <w:style w:type="paragraph" w:customStyle="1" w:styleId="88">
    <w:name w:val="Char"/>
    <w:basedOn w:val="1"/>
    <w:qFormat/>
    <w:uiPriority w:val="0"/>
    <w:pPr>
      <w:tabs>
        <w:tab w:val="left" w:pos="360"/>
      </w:tabs>
      <w:ind w:left="360" w:hanging="360" w:hangingChars="200"/>
    </w:pPr>
    <w:rPr>
      <w:sz w:val="24"/>
    </w:rPr>
  </w:style>
  <w:style w:type="character" w:customStyle="1" w:styleId="89">
    <w:name w:val="正文文本缩进 3 字符"/>
    <w:basedOn w:val="44"/>
    <w:link w:val="31"/>
    <w:qFormat/>
    <w:uiPriority w:val="0"/>
    <w:rPr>
      <w:rFonts w:ascii="Times New Roman" w:hAnsi="Times New Roman" w:eastAsia="宋体" w:cs="Times New Roman"/>
      <w:sz w:val="16"/>
      <w:szCs w:val="16"/>
    </w:rPr>
  </w:style>
  <w:style w:type="character" w:customStyle="1" w:styleId="90">
    <w:name w:val="日期 字符"/>
    <w:basedOn w:val="44"/>
    <w:link w:val="24"/>
    <w:qFormat/>
    <w:uiPriority w:val="0"/>
    <w:rPr>
      <w:rFonts w:ascii="Times New Roman" w:hAnsi="Times New Roman" w:eastAsia="宋体" w:cs="Times New Roman"/>
      <w:sz w:val="24"/>
      <w:szCs w:val="20"/>
    </w:rPr>
  </w:style>
  <w:style w:type="character" w:customStyle="1" w:styleId="91">
    <w:name w:val="p0 Char"/>
    <w:link w:val="92"/>
    <w:qFormat/>
    <w:uiPriority w:val="0"/>
    <w:rPr>
      <w:rFonts w:eastAsia="宋体"/>
      <w:szCs w:val="21"/>
    </w:rPr>
  </w:style>
  <w:style w:type="paragraph" w:customStyle="1" w:styleId="92">
    <w:name w:val="p0"/>
    <w:basedOn w:val="1"/>
    <w:link w:val="91"/>
    <w:qFormat/>
    <w:uiPriority w:val="0"/>
    <w:pPr>
      <w:widowControl/>
    </w:pPr>
    <w:rPr>
      <w:rFonts w:asciiTheme="minorHAnsi" w:hAnsiTheme="minorHAnsi" w:cstheme="minorBidi"/>
      <w:szCs w:val="21"/>
    </w:rPr>
  </w:style>
  <w:style w:type="paragraph" w:customStyle="1" w:styleId="93">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94">
    <w:name w:val="Char Char1 Char Char Char Char Char1 Char Char Char Char"/>
    <w:basedOn w:val="13"/>
    <w:qFormat/>
    <w:uiPriority w:val="0"/>
    <w:rPr>
      <w:rFonts w:ascii="Tahoma" w:hAnsi="Tahoma"/>
    </w:rPr>
  </w:style>
  <w:style w:type="character" w:customStyle="1" w:styleId="95">
    <w:name w:val="文档结构图 字符"/>
    <w:basedOn w:val="44"/>
    <w:link w:val="13"/>
    <w:semiHidden/>
    <w:qFormat/>
    <w:uiPriority w:val="0"/>
    <w:rPr>
      <w:rFonts w:ascii="Times New Roman" w:hAnsi="Times New Roman" w:eastAsia="宋体" w:cs="Times New Roman"/>
      <w:szCs w:val="24"/>
      <w:shd w:val="clear" w:color="auto" w:fill="000080"/>
    </w:rPr>
  </w:style>
  <w:style w:type="paragraph" w:customStyle="1" w:styleId="96">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97">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9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99">
    <w:name w:val="1"/>
    <w:basedOn w:val="1"/>
    <w:qFormat/>
    <w:uiPriority w:val="0"/>
    <w:pPr>
      <w:spacing w:afterLines="50" w:line="360" w:lineRule="auto"/>
    </w:pPr>
    <w:rPr>
      <w:rFonts w:ascii="宋体" w:hAnsi="宋体"/>
      <w:b/>
      <w:sz w:val="30"/>
      <w:szCs w:val="21"/>
    </w:rPr>
  </w:style>
  <w:style w:type="paragraph" w:customStyle="1" w:styleId="100">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1">
    <w:name w:val="标题 1 +"/>
    <w:basedOn w:val="2"/>
    <w:next w:val="1"/>
    <w:qFormat/>
    <w:uiPriority w:val="0"/>
    <w:pPr>
      <w:keepLines/>
      <w:spacing w:line="600" w:lineRule="auto"/>
    </w:pPr>
    <w:rPr>
      <w:rFonts w:eastAsia="黑体"/>
      <w:kern w:val="0"/>
      <w:sz w:val="32"/>
      <w:szCs w:val="32"/>
    </w:rPr>
  </w:style>
  <w:style w:type="character" w:customStyle="1" w:styleId="102">
    <w:name w:val="批注主题 字符"/>
    <w:basedOn w:val="80"/>
    <w:link w:val="39"/>
    <w:qFormat/>
    <w:uiPriority w:val="0"/>
    <w:rPr>
      <w:rFonts w:ascii="Times New Roman" w:hAnsi="Times New Roman" w:eastAsia="宋体" w:cs="Times New Roman"/>
      <w:b/>
      <w:bCs/>
      <w:szCs w:val="24"/>
    </w:rPr>
  </w:style>
  <w:style w:type="character" w:customStyle="1" w:styleId="103">
    <w:name w:val="批注框文本 字符"/>
    <w:basedOn w:val="44"/>
    <w:link w:val="25"/>
    <w:qFormat/>
    <w:uiPriority w:val="0"/>
    <w:rPr>
      <w:rFonts w:ascii="Times New Roman" w:hAnsi="Times New Roman" w:eastAsia="宋体" w:cs="Times New Roman"/>
      <w:sz w:val="18"/>
      <w:szCs w:val="18"/>
    </w:rPr>
  </w:style>
  <w:style w:type="paragraph" w:customStyle="1" w:styleId="104">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05">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06">
    <w:name w:val="Char1 Char Char Char 字元 Char Char 字元 Char 字元 Char1 Char Char Char"/>
    <w:basedOn w:val="1"/>
    <w:qFormat/>
    <w:uiPriority w:val="0"/>
    <w:rPr>
      <w:szCs w:val="20"/>
    </w:rPr>
  </w:style>
  <w:style w:type="paragraph" w:customStyle="1" w:styleId="107">
    <w:name w:val="p16"/>
    <w:basedOn w:val="1"/>
    <w:qFormat/>
    <w:uiPriority w:val="0"/>
    <w:pPr>
      <w:widowControl/>
      <w:jc w:val="left"/>
    </w:pPr>
    <w:rPr>
      <w:kern w:val="0"/>
      <w:szCs w:val="21"/>
    </w:rPr>
  </w:style>
  <w:style w:type="paragraph" w:customStyle="1" w:styleId="108">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0">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2">
    <w:name w:val="Char Char Char1 Char"/>
    <w:basedOn w:val="1"/>
    <w:qFormat/>
    <w:uiPriority w:val="0"/>
    <w:pPr>
      <w:tabs>
        <w:tab w:val="left" w:pos="360"/>
      </w:tabs>
      <w:snapToGrid w:val="0"/>
      <w:spacing w:line="360" w:lineRule="auto"/>
    </w:pPr>
    <w:rPr>
      <w:rFonts w:eastAsia="仿宋_GB2312" w:cs="宋体"/>
      <w:sz w:val="24"/>
    </w:rPr>
  </w:style>
  <w:style w:type="paragraph" w:styleId="113">
    <w:name w:val="List Paragraph"/>
    <w:basedOn w:val="1"/>
    <w:link w:val="119"/>
    <w:qFormat/>
    <w:uiPriority w:val="0"/>
    <w:pPr>
      <w:ind w:firstLine="420" w:firstLineChars="200"/>
    </w:pPr>
  </w:style>
  <w:style w:type="character" w:customStyle="1" w:styleId="114">
    <w:name w:val="fontstyle01"/>
    <w:basedOn w:val="44"/>
    <w:qFormat/>
    <w:uiPriority w:val="0"/>
    <w:rPr>
      <w:rFonts w:hint="eastAsia" w:ascii="宋体" w:hAnsi="宋体" w:eastAsia="宋体"/>
      <w:color w:val="000000"/>
      <w:sz w:val="24"/>
      <w:szCs w:val="24"/>
    </w:rPr>
  </w:style>
  <w:style w:type="character" w:customStyle="1" w:styleId="115">
    <w:name w:val="fontstyle11"/>
    <w:basedOn w:val="44"/>
    <w:qFormat/>
    <w:uiPriority w:val="0"/>
    <w:rPr>
      <w:rFonts w:hint="default" w:ascii="TimesNewRomanPSMT" w:hAnsi="TimesNewRomanPSMT"/>
      <w:color w:val="000000"/>
      <w:sz w:val="24"/>
      <w:szCs w:val="24"/>
    </w:rPr>
  </w:style>
  <w:style w:type="paragraph" w:customStyle="1" w:styleId="116">
    <w:name w:val="TOC 标题1"/>
    <w:basedOn w:val="2"/>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7">
    <w:name w:val="fontstyle21"/>
    <w:basedOn w:val="44"/>
    <w:qFormat/>
    <w:uiPriority w:val="0"/>
    <w:rPr>
      <w:rFonts w:hint="eastAsia" w:ascii="宋体" w:hAnsi="宋体" w:eastAsia="宋体"/>
      <w:color w:val="993300"/>
      <w:sz w:val="24"/>
      <w:szCs w:val="24"/>
    </w:rPr>
  </w:style>
  <w:style w:type="character" w:customStyle="1" w:styleId="118">
    <w:name w:val="fontstyle31"/>
    <w:basedOn w:val="44"/>
    <w:qFormat/>
    <w:uiPriority w:val="0"/>
    <w:rPr>
      <w:rFonts w:hint="default" w:ascii="Arial" w:hAnsi="Arial" w:cs="Arial"/>
      <w:color w:val="993300"/>
      <w:sz w:val="24"/>
      <w:szCs w:val="24"/>
    </w:rPr>
  </w:style>
  <w:style w:type="character" w:customStyle="1" w:styleId="119">
    <w:name w:val="列表段落 字符"/>
    <w:link w:val="113"/>
    <w:qFormat/>
    <w:uiPriority w:val="0"/>
    <w:rPr>
      <w:rFonts w:ascii="Times New Roman" w:hAnsi="Times New Roman" w:eastAsia="宋体" w:cs="Times New Roman"/>
      <w:szCs w:val="24"/>
    </w:rPr>
  </w:style>
  <w:style w:type="character" w:customStyle="1" w:styleId="120">
    <w:name w:val="标题 字符"/>
    <w:link w:val="38"/>
    <w:qFormat/>
    <w:uiPriority w:val="0"/>
    <w:rPr>
      <w:b/>
      <w:sz w:val="32"/>
    </w:rPr>
  </w:style>
  <w:style w:type="character" w:customStyle="1" w:styleId="121">
    <w:name w:val="标题 Char1"/>
    <w:basedOn w:val="44"/>
    <w:qFormat/>
    <w:uiPriority w:val="10"/>
    <w:rPr>
      <w:rFonts w:eastAsia="宋体" w:asciiTheme="majorHAnsi" w:hAnsiTheme="majorHAnsi" w:cstheme="majorBidi"/>
      <w:b/>
      <w:bCs/>
      <w:sz w:val="32"/>
      <w:szCs w:val="32"/>
    </w:rPr>
  </w:style>
  <w:style w:type="character" w:customStyle="1" w:styleId="122">
    <w:name w:val="样式1 Char Char"/>
    <w:link w:val="61"/>
    <w:qFormat/>
    <w:uiPriority w:val="0"/>
    <w:rPr>
      <w:rFonts w:ascii="宋体" w:hAnsi="宋体" w:eastAsia="宋体" w:cs="Times New Roman"/>
      <w:kern w:val="0"/>
      <w:szCs w:val="21"/>
    </w:rPr>
  </w:style>
  <w:style w:type="character" w:customStyle="1" w:styleId="123">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24">
    <w:name w:val="Table Paragraph"/>
    <w:basedOn w:val="1"/>
    <w:qFormat/>
    <w:uiPriority w:val="1"/>
    <w:rPr>
      <w:rFonts w:ascii="宋体" w:hAnsi="宋体" w:cs="宋体"/>
      <w:lang w:val="zh-CN" w:bidi="zh-CN"/>
    </w:rPr>
  </w:style>
  <w:style w:type="paragraph" w:styleId="12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正文_35_0"/>
    <w:basedOn w:val="127"/>
    <w:qFormat/>
    <w:uiPriority w:val="0"/>
    <w:rPr>
      <w:rFonts w:cs="Times New Roman"/>
    </w:rPr>
  </w:style>
  <w:style w:type="paragraph" w:customStyle="1" w:styleId="127">
    <w:name w:val="正文_45"/>
    <w:next w:val="128"/>
    <w:qFormat/>
    <w:uiPriority w:val="0"/>
    <w:pPr>
      <w:widowControl w:val="0"/>
      <w:jc w:val="both"/>
    </w:pPr>
    <w:rPr>
      <w:rFonts w:ascii="Times New Roman" w:hAnsi="Times New Roman" w:eastAsia="宋体" w:cs="宋体"/>
      <w:kern w:val="2"/>
      <w:sz w:val="21"/>
      <w:szCs w:val="21"/>
      <w:lang w:val="en-US" w:eastAsia="zh-CN" w:bidi="ar-SA"/>
    </w:rPr>
  </w:style>
  <w:style w:type="paragraph" w:customStyle="1" w:styleId="128">
    <w:name w:val="正文首行缩进 2_43"/>
    <w:basedOn w:val="129"/>
    <w:qFormat/>
    <w:uiPriority w:val="99"/>
    <w:pPr>
      <w:ind w:firstLine="420" w:firstLineChars="200"/>
    </w:pPr>
  </w:style>
  <w:style w:type="paragraph" w:customStyle="1" w:styleId="129">
    <w:name w:val="正文文本缩进_44"/>
    <w:basedOn w:val="127"/>
    <w:qFormat/>
    <w:uiPriority w:val="99"/>
    <w:pPr>
      <w:spacing w:after="120"/>
      <w:ind w:left="420" w:leftChars="200"/>
    </w:pPr>
  </w:style>
  <w:style w:type="character" w:customStyle="1" w:styleId="130">
    <w:name w:val="10_5"/>
    <w:basedOn w:val="44"/>
    <w:qFormat/>
    <w:uiPriority w:val="0"/>
    <w:rPr>
      <w:rFonts w:hint="default" w:ascii="Times New Roman" w:hAnsi="Times New Roman" w:cs="Times New Roman"/>
    </w:rPr>
  </w:style>
  <w:style w:type="paragraph" w:customStyle="1" w:styleId="131">
    <w:name w:val="首行缩进"/>
    <w:basedOn w:val="1"/>
    <w:qFormat/>
    <w:uiPriority w:val="0"/>
    <w:rPr>
      <w:lang w:val="zh-CN"/>
    </w:rPr>
  </w:style>
  <w:style w:type="character" w:customStyle="1" w:styleId="132">
    <w:name w:val="font151"/>
    <w:basedOn w:val="44"/>
    <w:qFormat/>
    <w:uiPriority w:val="0"/>
    <w:rPr>
      <w:rFonts w:ascii="Calibri" w:hAnsi="Calibri" w:cs="Calibri"/>
      <w:color w:val="000000"/>
      <w:sz w:val="20"/>
      <w:szCs w:val="20"/>
      <w:u w:val="none"/>
    </w:rPr>
  </w:style>
  <w:style w:type="character" w:customStyle="1" w:styleId="133">
    <w:name w:val="font21"/>
    <w:basedOn w:val="44"/>
    <w:qFormat/>
    <w:uiPriority w:val="0"/>
    <w:rPr>
      <w:rFonts w:hint="eastAsia" w:ascii="宋体" w:hAnsi="宋体" w:eastAsia="宋体" w:cs="宋体"/>
      <w:color w:val="000000"/>
      <w:sz w:val="20"/>
      <w:szCs w:val="20"/>
      <w:u w:val="none"/>
    </w:rPr>
  </w:style>
  <w:style w:type="character" w:customStyle="1" w:styleId="134">
    <w:name w:val="font101"/>
    <w:basedOn w:val="44"/>
    <w:qFormat/>
    <w:uiPriority w:val="0"/>
    <w:rPr>
      <w:rFonts w:hint="eastAsia" w:ascii="宋体" w:hAnsi="宋体" w:eastAsia="宋体" w:cs="宋体"/>
      <w:color w:val="000000"/>
      <w:sz w:val="20"/>
      <w:szCs w:val="20"/>
      <w:u w:val="none"/>
    </w:rPr>
  </w:style>
  <w:style w:type="character" w:customStyle="1" w:styleId="135">
    <w:name w:val="font112"/>
    <w:basedOn w:val="44"/>
    <w:qFormat/>
    <w:uiPriority w:val="0"/>
    <w:rPr>
      <w:rFonts w:hint="eastAsia" w:ascii="宋体" w:hAnsi="宋体" w:eastAsia="宋体" w:cs="宋体"/>
      <w:color w:val="000000"/>
      <w:sz w:val="20"/>
      <w:szCs w:val="20"/>
      <w:u w:val="none"/>
    </w:rPr>
  </w:style>
  <w:style w:type="character" w:customStyle="1" w:styleId="136">
    <w:name w:val="font01"/>
    <w:basedOn w:val="44"/>
    <w:qFormat/>
    <w:uiPriority w:val="0"/>
    <w:rPr>
      <w:rFonts w:ascii="Calibri" w:hAnsi="Calibri" w:cs="Calibri"/>
      <w:color w:val="000000"/>
      <w:sz w:val="20"/>
      <w:szCs w:val="20"/>
      <w:u w:val="none"/>
    </w:rPr>
  </w:style>
  <w:style w:type="character" w:customStyle="1" w:styleId="137">
    <w:name w:val="mini-tree-nodetext2"/>
    <w:basedOn w:val="44"/>
    <w:qFormat/>
    <w:uiPriority w:val="0"/>
  </w:style>
  <w:style w:type="character" w:customStyle="1" w:styleId="138">
    <w:name w:val="mini-tree-nodetext3"/>
    <w:basedOn w:val="44"/>
    <w:qFormat/>
    <w:uiPriority w:val="0"/>
  </w:style>
  <w:style w:type="character" w:customStyle="1" w:styleId="139">
    <w:name w:val="font61"/>
    <w:basedOn w:val="44"/>
    <w:qFormat/>
    <w:uiPriority w:val="0"/>
    <w:rPr>
      <w:rFonts w:hint="eastAsia" w:ascii="宋体" w:hAnsi="宋体" w:eastAsia="宋体" w:cs="宋体"/>
      <w:color w:val="FF0000"/>
      <w:sz w:val="20"/>
      <w:szCs w:val="20"/>
      <w:u w:val="none"/>
    </w:rPr>
  </w:style>
  <w:style w:type="character" w:customStyle="1" w:styleId="140">
    <w:name w:val="font131"/>
    <w:basedOn w:val="44"/>
    <w:qFormat/>
    <w:uiPriority w:val="0"/>
    <w:rPr>
      <w:rFonts w:hint="eastAsia" w:ascii="宋体" w:hAnsi="宋体" w:eastAsia="宋体" w:cs="宋体"/>
      <w:color w:val="000000"/>
      <w:sz w:val="20"/>
      <w:szCs w:val="20"/>
      <w:u w:val="none"/>
    </w:rPr>
  </w:style>
  <w:style w:type="character" w:customStyle="1" w:styleId="141">
    <w:name w:val="font181"/>
    <w:basedOn w:val="44"/>
    <w:qFormat/>
    <w:uiPriority w:val="0"/>
    <w:rPr>
      <w:rFonts w:hint="eastAsia" w:ascii="宋体" w:hAnsi="宋体" w:eastAsia="宋体" w:cs="宋体"/>
      <w:color w:val="FF0000"/>
      <w:sz w:val="20"/>
      <w:szCs w:val="20"/>
      <w:u w:val="none"/>
    </w:rPr>
  </w:style>
  <w:style w:type="character" w:customStyle="1" w:styleId="142">
    <w:name w:val="font121"/>
    <w:basedOn w:val="44"/>
    <w:qFormat/>
    <w:uiPriority w:val="0"/>
    <w:rPr>
      <w:rFonts w:hint="eastAsia" w:ascii="宋体" w:hAnsi="宋体" w:eastAsia="宋体" w:cs="宋体"/>
      <w:color w:val="000000"/>
      <w:sz w:val="20"/>
      <w:szCs w:val="20"/>
      <w:u w:val="none"/>
    </w:rPr>
  </w:style>
  <w:style w:type="character" w:customStyle="1" w:styleId="143">
    <w:name w:val="font11"/>
    <w:basedOn w:val="44"/>
    <w:qFormat/>
    <w:uiPriority w:val="0"/>
    <w:rPr>
      <w:rFonts w:hint="eastAsia" w:ascii="宋体" w:hAnsi="宋体" w:eastAsia="宋体" w:cs="宋体"/>
      <w:color w:val="000000"/>
      <w:sz w:val="20"/>
      <w:szCs w:val="20"/>
      <w:u w:val="none"/>
    </w:rPr>
  </w:style>
  <w:style w:type="character" w:customStyle="1" w:styleId="144">
    <w:name w:val="font81"/>
    <w:basedOn w:val="44"/>
    <w:qFormat/>
    <w:uiPriority w:val="0"/>
    <w:rPr>
      <w:rFonts w:hint="eastAsia" w:ascii="宋体" w:hAnsi="宋体" w:eastAsia="宋体" w:cs="宋体"/>
      <w:color w:val="FF0000"/>
      <w:sz w:val="20"/>
      <w:szCs w:val="20"/>
      <w:u w:val="none"/>
    </w:rPr>
  </w:style>
  <w:style w:type="character" w:customStyle="1" w:styleId="145">
    <w:name w:val="font161"/>
    <w:basedOn w:val="44"/>
    <w:qFormat/>
    <w:uiPriority w:val="0"/>
    <w:rPr>
      <w:rFonts w:hint="eastAsia" w:ascii="宋体" w:hAnsi="宋体" w:eastAsia="宋体" w:cs="宋体"/>
      <w:color w:val="000000"/>
      <w:sz w:val="20"/>
      <w:szCs w:val="20"/>
      <w:u w:val="none"/>
    </w:rPr>
  </w:style>
  <w:style w:type="character" w:customStyle="1" w:styleId="146">
    <w:name w:val="font191"/>
    <w:basedOn w:val="44"/>
    <w:qFormat/>
    <w:uiPriority w:val="0"/>
    <w:rPr>
      <w:rFonts w:hint="eastAsia" w:ascii="宋体" w:hAnsi="宋体" w:eastAsia="宋体" w:cs="宋体"/>
      <w:color w:val="000000"/>
      <w:sz w:val="20"/>
      <w:szCs w:val="20"/>
      <w:u w:val="none"/>
      <w:vertAlign w:val="superscript"/>
    </w:rPr>
  </w:style>
  <w:style w:type="character" w:customStyle="1" w:styleId="147">
    <w:name w:val="font91"/>
    <w:basedOn w:val="44"/>
    <w:qFormat/>
    <w:uiPriority w:val="0"/>
    <w:rPr>
      <w:rFonts w:hint="eastAsia" w:ascii="宋体" w:hAnsi="宋体" w:eastAsia="宋体" w:cs="宋体"/>
      <w:color w:val="000000"/>
      <w:sz w:val="20"/>
      <w:szCs w:val="20"/>
      <w:u w:val="none"/>
    </w:rPr>
  </w:style>
  <w:style w:type="character" w:customStyle="1" w:styleId="148">
    <w:name w:val="font201"/>
    <w:basedOn w:val="44"/>
    <w:qFormat/>
    <w:uiPriority w:val="0"/>
    <w:rPr>
      <w:rFonts w:ascii="Arial" w:hAnsi="Arial" w:cs="Arial"/>
      <w:color w:val="000000"/>
      <w:sz w:val="20"/>
      <w:szCs w:val="20"/>
      <w:u w:val="none"/>
    </w:rPr>
  </w:style>
  <w:style w:type="character" w:customStyle="1" w:styleId="149">
    <w:name w:val="font41"/>
    <w:basedOn w:val="44"/>
    <w:qFormat/>
    <w:uiPriority w:val="0"/>
    <w:rPr>
      <w:rFonts w:hint="default" w:ascii="Calibri" w:hAnsi="Calibri" w:cs="Calibri"/>
      <w:color w:val="FF0000"/>
      <w:sz w:val="20"/>
      <w:szCs w:val="20"/>
      <w:u w:val="none"/>
    </w:rPr>
  </w:style>
  <w:style w:type="character" w:customStyle="1" w:styleId="150">
    <w:name w:val="font171"/>
    <w:basedOn w:val="44"/>
    <w:qFormat/>
    <w:uiPriority w:val="0"/>
    <w:rPr>
      <w:rFonts w:hint="eastAsia" w:ascii="宋体" w:hAnsi="宋体" w:eastAsia="宋体" w:cs="宋体"/>
      <w:color w:val="000000"/>
      <w:sz w:val="20"/>
      <w:szCs w:val="20"/>
      <w:u w:val="none"/>
      <w:vertAlign w:val="superscript"/>
    </w:rPr>
  </w:style>
  <w:style w:type="character" w:customStyle="1" w:styleId="151">
    <w:name w:val="NormalCharacter"/>
    <w:qFormat/>
    <w:uiPriority w:val="0"/>
    <w:rPr>
      <w:rFonts w:ascii="Times New Roman" w:hAnsi="Times New Roman" w:eastAsia="宋体" w:cs="Times New Roman"/>
      <w:kern w:val="2"/>
      <w:sz w:val="21"/>
      <w:szCs w:val="24"/>
      <w:lang w:val="en-US" w:eastAsia="zh-CN" w:bidi="ar-SA"/>
    </w:rPr>
  </w:style>
  <w:style w:type="character" w:customStyle="1" w:styleId="152">
    <w:name w:val="font31"/>
    <w:basedOn w:val="44"/>
    <w:qFormat/>
    <w:uiPriority w:val="0"/>
    <w:rPr>
      <w:rFonts w:hint="eastAsia" w:ascii="微软雅黑" w:hAnsi="微软雅黑" w:eastAsia="微软雅黑" w:cs="微软雅黑"/>
      <w:color w:val="000000"/>
      <w:sz w:val="20"/>
      <w:szCs w:val="20"/>
      <w:u w:val="none"/>
    </w:rPr>
  </w:style>
  <w:style w:type="character" w:customStyle="1" w:styleId="153">
    <w:name w:val="nth-child(1)"/>
    <w:basedOn w:val="44"/>
    <w:qFormat/>
    <w:uiPriority w:val="0"/>
  </w:style>
  <w:style w:type="character" w:customStyle="1" w:styleId="154">
    <w:name w:val="nth-child(1)1"/>
    <w:basedOn w:val="44"/>
    <w:qFormat/>
    <w:uiPriority w:val="0"/>
  </w:style>
  <w:style w:type="character" w:customStyle="1" w:styleId="155">
    <w:name w:val="hidden"/>
    <w:basedOn w:val="44"/>
    <w:qFormat/>
    <w:uiPriority w:val="0"/>
    <w:rPr>
      <w:vanish/>
    </w:rPr>
  </w:style>
  <w:style w:type="character" w:customStyle="1" w:styleId="156">
    <w:name w:val="one-lines"/>
    <w:basedOn w:val="44"/>
    <w:qFormat/>
    <w:uiPriority w:val="0"/>
  </w:style>
  <w:style w:type="character" w:customStyle="1" w:styleId="157">
    <w:name w:val="two-lines"/>
    <w:basedOn w:val="44"/>
    <w:qFormat/>
    <w:uiPriority w:val="0"/>
  </w:style>
  <w:style w:type="character" w:customStyle="1" w:styleId="158">
    <w:name w:val="trumbowyg-msg-error"/>
    <w:basedOn w:val="44"/>
    <w:qFormat/>
    <w:uiPriority w:val="0"/>
    <w:rPr>
      <w:color w:val="E74C3C"/>
    </w:rPr>
  </w:style>
  <w:style w:type="character" w:customStyle="1" w:styleId="159">
    <w:name w:val="trumbowyg-msg-error1"/>
    <w:basedOn w:val="44"/>
    <w:qFormat/>
    <w:uiPriority w:val="0"/>
    <w:rPr>
      <w:color w:val="E74C3C"/>
    </w:rPr>
  </w:style>
  <w:style w:type="character" w:customStyle="1" w:styleId="160">
    <w:name w:val="font231"/>
    <w:basedOn w:val="44"/>
    <w:qFormat/>
    <w:uiPriority w:val="0"/>
    <w:rPr>
      <w:rFonts w:hint="eastAsia" w:ascii="宋体" w:hAnsi="宋体" w:eastAsia="宋体" w:cs="宋体"/>
      <w:b/>
      <w:bCs/>
      <w:color w:val="000000"/>
      <w:sz w:val="32"/>
      <w:szCs w:val="32"/>
      <w:u w:val="none"/>
    </w:rPr>
  </w:style>
  <w:style w:type="character" w:customStyle="1" w:styleId="161">
    <w:name w:val="font222"/>
    <w:basedOn w:val="44"/>
    <w:qFormat/>
    <w:uiPriority w:val="0"/>
    <w:rPr>
      <w:rFonts w:hint="default" w:ascii="Arial" w:hAnsi="Arial" w:cs="Arial"/>
      <w:b/>
      <w:bCs/>
      <w:color w:val="000000"/>
      <w:sz w:val="32"/>
      <w:szCs w:val="32"/>
      <w:u w:val="none"/>
    </w:rPr>
  </w:style>
  <w:style w:type="paragraph" w:customStyle="1" w:styleId="162">
    <w:name w:val="UserStyle_0"/>
    <w:basedOn w:val="1"/>
    <w:qFormat/>
    <w:uiPriority w:val="0"/>
    <w:pPr>
      <w:ind w:firstLine="420" w:firstLineChars="200"/>
      <w:textAlignment w:val="baseline"/>
    </w:pPr>
    <w:rPr>
      <w:szCs w:val="21"/>
    </w:rPr>
  </w:style>
  <w:style w:type="paragraph" w:customStyle="1" w:styleId="163">
    <w:name w:val="Normal_2"/>
    <w:qFormat/>
    <w:uiPriority w:val="0"/>
    <w:pPr>
      <w:spacing w:before="120" w:after="240"/>
      <w:jc w:val="both"/>
    </w:pPr>
    <w:rPr>
      <w:rFonts w:ascii="Calibri" w:hAnsi="Calibri" w:eastAsia="Calibri" w:cs="Times New Roman"/>
      <w:sz w:val="22"/>
      <w:szCs w:val="22"/>
      <w:lang w:val="ru-RU" w:eastAsia="en-US" w:bidi="ar-SA"/>
    </w:rPr>
  </w:style>
  <w:style w:type="paragraph" w:customStyle="1" w:styleId="164">
    <w:name w:val="Normal_3"/>
    <w:qFormat/>
    <w:uiPriority w:val="0"/>
    <w:pPr>
      <w:spacing w:before="120" w:after="240"/>
      <w:jc w:val="both"/>
    </w:pPr>
    <w:rPr>
      <w:rFonts w:ascii="Calibri" w:hAnsi="Calibri" w:eastAsia="Calibri" w:cs="Times New Roman"/>
      <w:sz w:val="22"/>
      <w:szCs w:val="22"/>
      <w:lang w:val="ru-RU" w:eastAsia="en-US" w:bidi="ar-SA"/>
    </w:rPr>
  </w:style>
  <w:style w:type="character" w:customStyle="1" w:styleId="165">
    <w:name w:val="mini-outputtext1"/>
    <w:basedOn w:val="44"/>
    <w:qFormat/>
    <w:uiPriority w:val="0"/>
  </w:style>
  <w:style w:type="paragraph" w:customStyle="1" w:styleId="16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7">
    <w:name w:val="Normal_0_1"/>
    <w:qFormat/>
    <w:uiPriority w:val="0"/>
    <w:rPr>
      <w:rFonts w:ascii="Times New Roman" w:hAnsi="Times New Roman" w:eastAsia="Times New Roman" w:cs="Times New Roman"/>
      <w:sz w:val="24"/>
      <w:szCs w:val="24"/>
      <w:lang w:val="en-US" w:eastAsia="zh-CN" w:bidi="ar-SA"/>
    </w:rPr>
  </w:style>
  <w:style w:type="paragraph" w:customStyle="1" w:styleId="168">
    <w:name w:val="Normal_0_2"/>
    <w:qFormat/>
    <w:uiPriority w:val="0"/>
    <w:rPr>
      <w:rFonts w:ascii="Times New Roman" w:hAnsi="Times New Roman" w:eastAsia="Times New Roman" w:cs="Times New Roman"/>
      <w:sz w:val="24"/>
      <w:szCs w:val="24"/>
      <w:lang w:val="en-US" w:eastAsia="zh-CN" w:bidi="ar-SA"/>
    </w:rPr>
  </w:style>
  <w:style w:type="paragraph" w:customStyle="1" w:styleId="169">
    <w:name w:val="Normal_0"/>
    <w:qFormat/>
    <w:uiPriority w:val="0"/>
    <w:rPr>
      <w:rFonts w:ascii="Times New Roman" w:hAnsi="Times New Roman" w:eastAsia="Times New Roman" w:cs="Times New Roman"/>
      <w:sz w:val="24"/>
      <w:szCs w:val="24"/>
      <w:lang w:val="en-US" w:eastAsia="zh-CN" w:bidi="ar-SA"/>
    </w:rPr>
  </w:style>
  <w:style w:type="paragraph" w:customStyle="1" w:styleId="170">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71">
    <w:name w:val="Table Text"/>
    <w:basedOn w:val="1"/>
    <w:semiHidden/>
    <w:qFormat/>
    <w:uiPriority w:val="0"/>
    <w:rPr>
      <w:rFonts w:ascii="宋体" w:hAnsi="宋体" w:cs="宋体"/>
      <w:szCs w:val="21"/>
      <w:lang w:eastAsia="en-US"/>
    </w:rPr>
  </w:style>
  <w:style w:type="table" w:customStyle="1" w:styleId="17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oleObject" Target="embeddings/oleObject2.bin"/><Relationship Id="rId14" Type="http://schemas.openxmlformats.org/officeDocument/2006/relationships/image" Target="media/image3.wmf"/><Relationship Id="rId13" Type="http://schemas.openxmlformats.org/officeDocument/2006/relationships/oleObject" Target="embeddings/oleObject1.bin"/><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119</Pages>
  <Words>62876</Words>
  <Characters>68916</Characters>
  <Lines>498</Lines>
  <Paragraphs>140</Paragraphs>
  <TotalTime>75</TotalTime>
  <ScaleCrop>false</ScaleCrop>
  <LinksUpToDate>false</LinksUpToDate>
  <CharactersWithSpaces>73288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2025-09-03T01:21:00Z</dcterms:created>
  <dc:creator>admin</dc:creator>
  <cp:lastModifiedBy>黄曦</cp:lastModifiedBy>
  <cp:lastPrinted>2026-07-06T02:31:00Z</cp:lastPrinted>
  <dcterms:modified xsi:type="dcterms:W3CDTF">2026-07-10T05:37:31Z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B1FBF689D7844F08BB7823B681C26A0C_13</vt:lpwstr>
  </property>
  <property fmtid="{D5CDD505-2E9C-101B-9397-08002B2CF9AE}" pid="4" name="KSOTemplateDocerSaveRecord">
    <vt:lpwstr>eyJoZGlkIjoiZTY2ZTVkMzZiY2RlZDBjYjIzYmViMTQyODU3MWQ4Y2YiLCJ1c2VySWQiOiI2Mzg4NDcwMzYifQ==</vt:lpwstr>
  </property>
</Properties>
</file>