
<file path=[Content_Types].xml><?xml version="1.0" encoding="utf-8"?>
<Types xmlns="http://schemas.openxmlformats.org/package/2006/content-types">
  <Default Extension="xml" ContentType="application/xml"/>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0"/>
        <w:tblpPr w:leftFromText="180" w:rightFromText="180" w:vertAnchor="page" w:horzAnchor="page" w:tblpX="6668" w:tblpY="146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0"/>
      </w:tblGrid>
      <w:tr w14:paraId="5DD8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4" w:hRule="atLeast"/>
        </w:trPr>
        <w:tc>
          <w:tcPr>
            <w:tcW w:w="3780" w:type="dxa"/>
            <w:tcBorders>
              <w:top w:val="single" w:color="auto" w:sz="4" w:space="0"/>
              <w:left w:val="single" w:color="auto" w:sz="4" w:space="0"/>
              <w:bottom w:val="single" w:color="auto" w:sz="4" w:space="0"/>
              <w:right w:val="single" w:color="auto" w:sz="4" w:space="0"/>
            </w:tcBorders>
          </w:tcPr>
          <w:p w14:paraId="2EB9A640">
            <w:pPr>
              <w:pStyle w:val="11"/>
              <w:spacing w:line="400" w:lineRule="atLeast"/>
              <w:rPr>
                <w:rFonts w:hint="eastAsia" w:hAnsi="宋体"/>
                <w:b/>
                <w:color w:val="000000"/>
                <w:sz w:val="24"/>
                <w:szCs w:val="24"/>
              </w:rPr>
            </w:pPr>
            <w:r>
              <w:rPr>
                <w:rFonts w:hint="eastAsia" w:hAnsi="宋体"/>
                <w:b/>
                <w:color w:val="000000"/>
                <w:sz w:val="24"/>
                <w:szCs w:val="24"/>
              </w:rPr>
              <w:t>采购单位审核意见：</w:t>
            </w:r>
          </w:p>
          <w:p w14:paraId="386705D8">
            <w:pPr>
              <w:pStyle w:val="11"/>
              <w:spacing w:line="400" w:lineRule="atLeast"/>
              <w:jc w:val="center"/>
              <w:rPr>
                <w:rFonts w:hint="eastAsia" w:hAnsi="宋体"/>
                <w:b/>
                <w:color w:val="000000"/>
                <w:sz w:val="24"/>
                <w:szCs w:val="24"/>
              </w:rPr>
            </w:pPr>
          </w:p>
          <w:p w14:paraId="72D0D2BD">
            <w:pPr>
              <w:pStyle w:val="11"/>
              <w:spacing w:line="400" w:lineRule="atLeast"/>
              <w:jc w:val="center"/>
              <w:rPr>
                <w:rFonts w:hint="eastAsia" w:hAnsi="宋体"/>
                <w:b/>
                <w:color w:val="000000"/>
                <w:sz w:val="24"/>
                <w:szCs w:val="24"/>
              </w:rPr>
            </w:pPr>
          </w:p>
          <w:p w14:paraId="557BF0DD">
            <w:pPr>
              <w:pStyle w:val="11"/>
              <w:spacing w:line="400" w:lineRule="atLeast"/>
              <w:jc w:val="center"/>
              <w:rPr>
                <w:rFonts w:hint="eastAsia" w:hAnsi="宋体"/>
                <w:b/>
                <w:color w:val="000000"/>
                <w:sz w:val="24"/>
                <w:szCs w:val="24"/>
              </w:rPr>
            </w:pPr>
          </w:p>
          <w:p w14:paraId="3FFDCF7A">
            <w:pPr>
              <w:pStyle w:val="11"/>
              <w:spacing w:line="400" w:lineRule="atLeast"/>
              <w:jc w:val="center"/>
              <w:rPr>
                <w:rFonts w:hint="eastAsia" w:hAnsi="宋体"/>
                <w:b/>
                <w:color w:val="000000"/>
                <w:sz w:val="24"/>
                <w:szCs w:val="24"/>
              </w:rPr>
            </w:pPr>
          </w:p>
          <w:p w14:paraId="53015FC4">
            <w:pPr>
              <w:pStyle w:val="11"/>
              <w:spacing w:line="400" w:lineRule="atLeast"/>
              <w:jc w:val="center"/>
              <w:rPr>
                <w:rFonts w:hint="eastAsia" w:hAnsi="宋体"/>
                <w:b/>
                <w:color w:val="000000"/>
                <w:sz w:val="24"/>
                <w:szCs w:val="24"/>
              </w:rPr>
            </w:pPr>
            <w:r>
              <w:rPr>
                <w:rFonts w:hAnsi="宋体"/>
                <w:b/>
                <w:color w:val="000000"/>
                <w:sz w:val="24"/>
                <w:szCs w:val="24"/>
              </w:rPr>
              <w:t xml:space="preserve">                    </w:t>
            </w:r>
            <w:r>
              <w:rPr>
                <w:rFonts w:hint="eastAsia" w:hAnsi="宋体"/>
                <w:b/>
                <w:color w:val="000000"/>
                <w:sz w:val="24"/>
                <w:szCs w:val="24"/>
              </w:rPr>
              <w:t>（签章）</w:t>
            </w:r>
          </w:p>
          <w:p w14:paraId="580A8782">
            <w:pPr>
              <w:pStyle w:val="11"/>
              <w:spacing w:line="400" w:lineRule="atLeast"/>
              <w:jc w:val="center"/>
              <w:rPr>
                <w:rFonts w:hint="eastAsia" w:hAnsi="宋体"/>
                <w:b/>
                <w:color w:val="000000"/>
                <w:sz w:val="24"/>
                <w:szCs w:val="24"/>
              </w:rPr>
            </w:pPr>
            <w:r>
              <w:rPr>
                <w:rFonts w:hint="eastAsia" w:hAnsi="宋体"/>
                <w:b/>
                <w:color w:val="000000"/>
                <w:sz w:val="24"/>
                <w:szCs w:val="24"/>
              </w:rPr>
              <w:t xml:space="preserve">               年    月    日</w:t>
            </w:r>
          </w:p>
        </w:tc>
      </w:tr>
    </w:tbl>
    <w:p w14:paraId="2F04666C">
      <w:pPr>
        <w:pStyle w:val="11"/>
        <w:spacing w:line="360" w:lineRule="auto"/>
        <w:rPr>
          <w:rFonts w:hint="eastAsia" w:hAnsi="宋体"/>
          <w:b/>
          <w:color w:val="auto"/>
          <w:sz w:val="32"/>
          <w:szCs w:val="32"/>
        </w:rPr>
      </w:pPr>
    </w:p>
    <w:p w14:paraId="45D1913A">
      <w:pPr>
        <w:pStyle w:val="11"/>
        <w:spacing w:line="360" w:lineRule="auto"/>
        <w:jc w:val="center"/>
        <w:rPr>
          <w:rFonts w:hint="eastAsia" w:hAnsi="宋体"/>
          <w:b/>
          <w:color w:val="auto"/>
          <w:sz w:val="84"/>
          <w:szCs w:val="84"/>
        </w:rPr>
      </w:pPr>
    </w:p>
    <w:p w14:paraId="3A95C677">
      <w:pPr>
        <w:pStyle w:val="11"/>
        <w:spacing w:line="360" w:lineRule="auto"/>
        <w:jc w:val="center"/>
        <w:rPr>
          <w:rFonts w:hint="eastAsia" w:hAnsi="宋体"/>
          <w:b/>
          <w:color w:val="auto"/>
          <w:sz w:val="84"/>
          <w:szCs w:val="84"/>
        </w:rPr>
      </w:pPr>
    </w:p>
    <w:p w14:paraId="0DE96D1E">
      <w:pPr>
        <w:pStyle w:val="11"/>
        <w:spacing w:line="360" w:lineRule="auto"/>
        <w:jc w:val="center"/>
        <w:rPr>
          <w:rFonts w:hint="eastAsia" w:hAnsi="宋体"/>
          <w:b/>
          <w:color w:val="auto"/>
          <w:sz w:val="84"/>
          <w:szCs w:val="84"/>
        </w:rPr>
      </w:pPr>
    </w:p>
    <w:p w14:paraId="2E829CD4">
      <w:pPr>
        <w:pStyle w:val="11"/>
        <w:spacing w:line="360" w:lineRule="auto"/>
        <w:jc w:val="center"/>
        <w:rPr>
          <w:rFonts w:hint="eastAsia" w:hAnsi="宋体"/>
          <w:b/>
          <w:bCs/>
          <w:color w:val="auto"/>
          <w:sz w:val="84"/>
          <w:szCs w:val="84"/>
        </w:rPr>
      </w:pPr>
      <w:r>
        <w:rPr>
          <w:rFonts w:hint="eastAsia" w:hAnsi="宋体"/>
          <w:b/>
          <w:color w:val="auto"/>
          <w:sz w:val="84"/>
          <w:szCs w:val="84"/>
        </w:rPr>
        <w:t>政府采购</w:t>
      </w:r>
    </w:p>
    <w:p w14:paraId="21168AE0">
      <w:pPr>
        <w:pStyle w:val="11"/>
        <w:adjustRightInd w:val="0"/>
        <w:snapToGrid w:val="0"/>
        <w:spacing w:line="360" w:lineRule="auto"/>
        <w:jc w:val="center"/>
        <w:rPr>
          <w:rFonts w:hint="eastAsia"/>
          <w:b/>
          <w:color w:val="auto"/>
          <w:sz w:val="32"/>
          <w:szCs w:val="32"/>
        </w:rPr>
      </w:pPr>
      <w:r>
        <w:rPr>
          <w:rFonts w:hint="eastAsia" w:hAnsi="宋体"/>
          <w:b/>
          <w:color w:val="auto"/>
          <w:sz w:val="84"/>
          <w:szCs w:val="84"/>
        </w:rPr>
        <w:t>竞争性磋商文件</w:t>
      </w:r>
    </w:p>
    <w:p w14:paraId="12F004D2">
      <w:pPr>
        <w:pStyle w:val="11"/>
        <w:keepNext w:val="0"/>
        <w:keepLines w:val="0"/>
        <w:pageBreakBefore w:val="0"/>
        <w:widowControl w:val="0"/>
        <w:kinsoku/>
        <w:wordWrap/>
        <w:overflowPunct/>
        <w:topLinePunct w:val="0"/>
        <w:autoSpaceDE/>
        <w:autoSpaceDN/>
        <w:bidi w:val="0"/>
        <w:adjustRightInd w:val="0"/>
        <w:snapToGrid w:val="0"/>
        <w:spacing w:before="157" w:beforeLines="50" w:line="360" w:lineRule="auto"/>
        <w:ind w:left="3085" w:leftChars="532" w:hanging="1968" w:hangingChars="700"/>
        <w:textAlignment w:val="auto"/>
        <w:rPr>
          <w:rFonts w:hint="eastAsia" w:hAnsi="宋体"/>
          <w:b/>
          <w:bCs/>
          <w:color w:val="auto"/>
          <w:sz w:val="28"/>
          <w:szCs w:val="28"/>
        </w:rPr>
      </w:pPr>
    </w:p>
    <w:p w14:paraId="14489953">
      <w:pPr>
        <w:pStyle w:val="11"/>
        <w:keepNext w:val="0"/>
        <w:keepLines w:val="0"/>
        <w:pageBreakBefore w:val="0"/>
        <w:widowControl w:val="0"/>
        <w:kinsoku/>
        <w:wordWrap/>
        <w:overflowPunct/>
        <w:topLinePunct w:val="0"/>
        <w:autoSpaceDE/>
        <w:autoSpaceDN/>
        <w:bidi w:val="0"/>
        <w:adjustRightInd w:val="0"/>
        <w:snapToGrid w:val="0"/>
        <w:spacing w:before="157" w:beforeLines="50" w:line="360" w:lineRule="auto"/>
        <w:ind w:left="3085" w:leftChars="532" w:hanging="1968" w:hangingChars="700"/>
        <w:textAlignment w:val="auto"/>
        <w:rPr>
          <w:rFonts w:hint="eastAsia" w:hAnsi="宋体"/>
          <w:b/>
          <w:bCs/>
          <w:color w:val="auto"/>
          <w:sz w:val="28"/>
          <w:szCs w:val="28"/>
        </w:rPr>
      </w:pPr>
    </w:p>
    <w:p w14:paraId="6AB047AC">
      <w:pPr>
        <w:pStyle w:val="11"/>
        <w:keepNext w:val="0"/>
        <w:keepLines w:val="0"/>
        <w:pageBreakBefore w:val="0"/>
        <w:widowControl w:val="0"/>
        <w:kinsoku/>
        <w:wordWrap/>
        <w:overflowPunct/>
        <w:topLinePunct w:val="0"/>
        <w:autoSpaceDE/>
        <w:autoSpaceDN/>
        <w:bidi w:val="0"/>
        <w:adjustRightInd w:val="0"/>
        <w:snapToGrid w:val="0"/>
        <w:spacing w:before="157" w:beforeLines="50" w:line="360" w:lineRule="auto"/>
        <w:ind w:left="3085" w:leftChars="532" w:hanging="1968" w:hangingChars="700"/>
        <w:textAlignment w:val="auto"/>
        <w:rPr>
          <w:rFonts w:hint="eastAsia" w:hAnsi="宋体"/>
          <w:b/>
          <w:bCs/>
          <w:color w:val="auto"/>
          <w:sz w:val="28"/>
          <w:szCs w:val="28"/>
          <w:lang w:eastAsia="zh-CN"/>
        </w:rPr>
      </w:pPr>
      <w:r>
        <w:rPr>
          <w:rFonts w:hint="eastAsia" w:hAnsi="宋体"/>
          <w:b/>
          <w:bCs/>
          <w:color w:val="auto"/>
          <w:sz w:val="28"/>
          <w:szCs w:val="28"/>
        </w:rPr>
        <w:t>采购项目名称：</w:t>
      </w:r>
      <w:r>
        <w:rPr>
          <w:rFonts w:hint="eastAsia" w:hAnsi="宋体"/>
          <w:b/>
          <w:bCs/>
          <w:color w:val="auto"/>
          <w:sz w:val="28"/>
          <w:szCs w:val="28"/>
          <w:u w:val="single"/>
          <w:lang w:eastAsia="zh-CN"/>
        </w:rPr>
        <w:t>湘潭市中级人民法院大要案审判转播保障系统建设项目</w:t>
      </w:r>
    </w:p>
    <w:p w14:paraId="5922B7E6">
      <w:pPr>
        <w:pStyle w:val="11"/>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1124" w:firstLineChars="400"/>
        <w:textAlignment w:val="auto"/>
        <w:rPr>
          <w:rFonts w:hint="eastAsia" w:hAnsi="宋体" w:eastAsia="宋体"/>
          <w:b/>
          <w:bCs/>
          <w:color w:val="auto"/>
          <w:sz w:val="28"/>
          <w:szCs w:val="28"/>
          <w:lang w:eastAsia="zh-CN"/>
        </w:rPr>
      </w:pPr>
      <w:r>
        <w:rPr>
          <w:rFonts w:hint="eastAsia" w:hAnsi="宋体"/>
          <w:b/>
          <w:bCs/>
          <w:color w:val="auto"/>
          <w:sz w:val="28"/>
          <w:szCs w:val="28"/>
        </w:rPr>
        <w:t>项目采购人：</w:t>
      </w:r>
      <w:r>
        <w:rPr>
          <w:rFonts w:hint="eastAsia" w:hAnsi="宋体"/>
          <w:b/>
          <w:bCs/>
          <w:color w:val="auto"/>
          <w:sz w:val="28"/>
          <w:szCs w:val="28"/>
          <w:u w:val="single"/>
          <w:lang w:eastAsia="zh-CN"/>
        </w:rPr>
        <w:t>湘潭市中级人民法院</w:t>
      </w:r>
    </w:p>
    <w:p w14:paraId="07DA3E58">
      <w:pPr>
        <w:pStyle w:val="11"/>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1124" w:firstLineChars="400"/>
        <w:textAlignment w:val="auto"/>
        <w:rPr>
          <w:rFonts w:hint="default" w:hAnsi="宋体" w:eastAsia="宋体"/>
          <w:b/>
          <w:bCs/>
          <w:color w:val="auto"/>
          <w:sz w:val="28"/>
          <w:szCs w:val="28"/>
          <w:u w:val="single"/>
          <w:lang w:val="en-US" w:eastAsia="zh-CN"/>
        </w:rPr>
      </w:pPr>
      <w:r>
        <w:rPr>
          <w:rFonts w:hint="eastAsia" w:hAnsi="宋体"/>
          <w:b/>
          <w:bCs/>
          <w:color w:val="auto"/>
          <w:sz w:val="28"/>
          <w:szCs w:val="28"/>
        </w:rPr>
        <w:t>采购计划编号</w:t>
      </w:r>
      <w:r>
        <w:rPr>
          <w:rFonts w:hint="eastAsia" w:hAnsi="宋体"/>
          <w:b/>
          <w:bCs/>
          <w:color w:val="auto"/>
          <w:sz w:val="28"/>
          <w:szCs w:val="28"/>
          <w:u w:val="none"/>
        </w:rPr>
        <w:t>：</w:t>
      </w:r>
      <w:r>
        <w:rPr>
          <w:rFonts w:hint="eastAsia" w:hAnsi="宋体"/>
          <w:b/>
          <w:bCs/>
          <w:color w:val="auto"/>
          <w:sz w:val="28"/>
          <w:szCs w:val="28"/>
          <w:u w:val="single"/>
        </w:rPr>
        <w:t>(2026)430000003101-1</w:t>
      </w:r>
      <w:r>
        <w:rPr>
          <w:rFonts w:hint="eastAsia" w:hAnsi="宋体"/>
          <w:b/>
          <w:bCs/>
          <w:color w:val="auto"/>
          <w:sz w:val="28"/>
          <w:szCs w:val="28"/>
          <w:u w:val="single"/>
          <w:lang w:val="en-US" w:eastAsia="zh-CN"/>
        </w:rPr>
        <w:t xml:space="preserve"> </w:t>
      </w:r>
    </w:p>
    <w:p w14:paraId="4F746F7D">
      <w:pPr>
        <w:pStyle w:val="11"/>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1124" w:firstLineChars="400"/>
        <w:textAlignment w:val="auto"/>
        <w:rPr>
          <w:rFonts w:hint="default" w:hAnsi="宋体" w:eastAsia="宋体"/>
          <w:b/>
          <w:bCs/>
          <w:color w:val="auto"/>
          <w:sz w:val="28"/>
          <w:szCs w:val="28"/>
          <w:u w:val="single"/>
          <w:lang w:val="en-US" w:eastAsia="zh-CN"/>
        </w:rPr>
      </w:pPr>
      <w:r>
        <w:rPr>
          <w:rFonts w:hint="eastAsia" w:hAnsi="宋体"/>
          <w:b/>
          <w:bCs/>
          <w:color w:val="auto"/>
          <w:sz w:val="28"/>
          <w:szCs w:val="28"/>
        </w:rPr>
        <w:t>委托代理编号：</w:t>
      </w:r>
      <w:r>
        <w:rPr>
          <w:rFonts w:hint="eastAsia" w:hAnsi="宋体"/>
          <w:b/>
          <w:bCs/>
          <w:color w:val="auto"/>
          <w:sz w:val="28"/>
          <w:szCs w:val="28"/>
          <w:u w:val="single"/>
        </w:rPr>
        <w:t>CGXM2026430000002500</w:t>
      </w:r>
    </w:p>
    <w:p w14:paraId="3164B42E">
      <w:pPr>
        <w:pStyle w:val="11"/>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1124" w:firstLineChars="400"/>
        <w:textAlignment w:val="auto"/>
        <w:rPr>
          <w:rFonts w:hint="eastAsia"/>
          <w:color w:val="auto"/>
        </w:rPr>
      </w:pPr>
      <w:r>
        <w:rPr>
          <w:rFonts w:hint="eastAsia" w:hAnsi="宋体"/>
          <w:b/>
          <w:bCs/>
          <w:color w:val="auto"/>
          <w:sz w:val="28"/>
          <w:szCs w:val="28"/>
        </w:rPr>
        <w:t>采购代理机构:</w:t>
      </w:r>
      <w:r>
        <w:rPr>
          <w:rFonts w:hint="eastAsia" w:hAnsi="宋体"/>
          <w:b/>
          <w:bCs/>
          <w:color w:val="auto"/>
          <w:sz w:val="28"/>
          <w:szCs w:val="28"/>
          <w:u w:val="single"/>
        </w:rPr>
        <w:t>湖南大湘招标代理有限公司</w:t>
      </w:r>
    </w:p>
    <w:p w14:paraId="4969B9BC">
      <w:pPr>
        <w:pStyle w:val="26"/>
        <w:spacing w:line="360" w:lineRule="auto"/>
        <w:rPr>
          <w:color w:val="auto"/>
        </w:rPr>
      </w:pPr>
    </w:p>
    <w:p w14:paraId="2F86DCC3">
      <w:pPr>
        <w:pStyle w:val="11"/>
        <w:adjustRightInd w:val="0"/>
        <w:snapToGrid w:val="0"/>
        <w:spacing w:line="360" w:lineRule="auto"/>
        <w:jc w:val="center"/>
        <w:rPr>
          <w:rFonts w:hint="eastAsia" w:hAnsi="宋体"/>
          <w:b/>
          <w:color w:val="auto"/>
          <w:sz w:val="32"/>
          <w:u w:val="none"/>
        </w:rPr>
      </w:pPr>
      <w:r>
        <w:rPr>
          <w:rFonts w:hint="eastAsia" w:hAnsi="宋体"/>
          <w:b/>
          <w:color w:val="auto"/>
          <w:sz w:val="32"/>
          <w:u w:val="none"/>
        </w:rPr>
        <w:t>202</w:t>
      </w:r>
      <w:r>
        <w:rPr>
          <w:rFonts w:hint="eastAsia" w:hAnsi="宋体"/>
          <w:b/>
          <w:color w:val="auto"/>
          <w:sz w:val="32"/>
          <w:u w:val="none"/>
          <w:lang w:val="en-US" w:eastAsia="zh-CN"/>
        </w:rPr>
        <w:t>6</w:t>
      </w:r>
      <w:r>
        <w:rPr>
          <w:rFonts w:hint="eastAsia" w:hAnsi="宋体"/>
          <w:b/>
          <w:color w:val="auto"/>
          <w:sz w:val="32"/>
          <w:u w:val="none"/>
        </w:rPr>
        <w:t>年</w:t>
      </w:r>
      <w:r>
        <w:rPr>
          <w:rFonts w:hint="eastAsia" w:hAnsi="宋体"/>
          <w:b/>
          <w:color w:val="auto"/>
          <w:sz w:val="32"/>
          <w:u w:val="none"/>
          <w:lang w:val="en-US" w:eastAsia="zh-CN"/>
        </w:rPr>
        <w:t>9</w:t>
      </w:r>
      <w:r>
        <w:rPr>
          <w:rFonts w:hint="eastAsia" w:hAnsi="宋体"/>
          <w:b/>
          <w:color w:val="auto"/>
          <w:sz w:val="32"/>
          <w:u w:val="none"/>
        </w:rPr>
        <w:t>月</w:t>
      </w:r>
    </w:p>
    <w:p w14:paraId="29DE7137">
      <w:pPr>
        <w:pStyle w:val="11"/>
        <w:adjustRightInd w:val="0"/>
        <w:snapToGrid w:val="0"/>
        <w:spacing w:line="360" w:lineRule="auto"/>
        <w:rPr>
          <w:rFonts w:hAnsi="宋体"/>
          <w:b/>
          <w:color w:val="auto"/>
          <w:sz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531" w:bottom="1440" w:left="1531" w:header="851" w:footer="992" w:gutter="0"/>
          <w:pgNumType w:fmt="decimal"/>
          <w:cols w:space="720" w:num="1"/>
          <w:titlePg/>
          <w:docGrid w:type="lines" w:linePitch="312" w:charSpace="0"/>
        </w:sectPr>
      </w:pPr>
    </w:p>
    <w:p w14:paraId="7F07C6E2">
      <w:pPr>
        <w:pStyle w:val="11"/>
        <w:adjustRightInd w:val="0"/>
        <w:snapToGrid w:val="0"/>
        <w:spacing w:line="360" w:lineRule="auto"/>
        <w:rPr>
          <w:rFonts w:hint="eastAsia" w:ascii="方正小标宋_GBK" w:hAnsi="宋体" w:eastAsia="方正小标宋_GBK"/>
          <w:color w:val="auto"/>
          <w:spacing w:val="160"/>
          <w:sz w:val="36"/>
          <w:szCs w:val="36"/>
        </w:rPr>
      </w:pPr>
    </w:p>
    <w:p w14:paraId="5E43E96E">
      <w:pPr>
        <w:pStyle w:val="11"/>
        <w:adjustRightInd w:val="0"/>
        <w:snapToGrid w:val="0"/>
        <w:spacing w:line="360" w:lineRule="auto"/>
        <w:rPr>
          <w:rFonts w:hint="eastAsia" w:ascii="方正小标宋_GBK" w:hAnsi="宋体" w:eastAsia="方正小标宋_GBK"/>
          <w:color w:val="auto"/>
          <w:spacing w:val="160"/>
          <w:sz w:val="36"/>
          <w:szCs w:val="36"/>
        </w:rPr>
      </w:pPr>
    </w:p>
    <w:p w14:paraId="454E0A3C">
      <w:pPr>
        <w:pStyle w:val="11"/>
        <w:adjustRightInd w:val="0"/>
        <w:snapToGrid w:val="0"/>
        <w:spacing w:line="360" w:lineRule="auto"/>
        <w:rPr>
          <w:rFonts w:hint="eastAsia" w:ascii="方正小标宋_GBK" w:hAnsi="宋体" w:eastAsia="方正小标宋_GBK"/>
          <w:color w:val="auto"/>
          <w:spacing w:val="160"/>
          <w:sz w:val="36"/>
          <w:szCs w:val="36"/>
        </w:rPr>
      </w:pPr>
    </w:p>
    <w:p w14:paraId="6B606168">
      <w:pPr>
        <w:pStyle w:val="11"/>
        <w:adjustRightInd w:val="0"/>
        <w:snapToGrid w:val="0"/>
        <w:spacing w:line="360" w:lineRule="auto"/>
        <w:rPr>
          <w:rFonts w:hint="eastAsia" w:ascii="方正小标宋_GBK" w:hAnsi="宋体" w:eastAsia="方正小标宋_GBK"/>
          <w:color w:val="auto"/>
          <w:spacing w:val="160"/>
          <w:sz w:val="36"/>
          <w:szCs w:val="36"/>
        </w:rPr>
      </w:pPr>
    </w:p>
    <w:p w14:paraId="22B236DC">
      <w:pPr>
        <w:pStyle w:val="11"/>
        <w:adjustRightInd w:val="0"/>
        <w:snapToGrid w:val="0"/>
        <w:spacing w:line="360" w:lineRule="auto"/>
        <w:rPr>
          <w:rFonts w:hint="eastAsia" w:ascii="方正小标宋_GBK" w:hAnsi="宋体" w:eastAsia="方正小标宋_GBK"/>
          <w:color w:val="auto"/>
          <w:spacing w:val="160"/>
          <w:sz w:val="36"/>
          <w:szCs w:val="36"/>
        </w:rPr>
      </w:pPr>
    </w:p>
    <w:p w14:paraId="5B5C9442">
      <w:pPr>
        <w:pStyle w:val="11"/>
        <w:adjustRightInd w:val="0"/>
        <w:snapToGrid w:val="0"/>
        <w:spacing w:line="360" w:lineRule="auto"/>
        <w:rPr>
          <w:rFonts w:hint="eastAsia" w:ascii="方正小标宋_GBK" w:hAnsi="宋体" w:eastAsia="方正小标宋_GBK"/>
          <w:color w:val="auto"/>
          <w:spacing w:val="160"/>
          <w:sz w:val="36"/>
          <w:szCs w:val="36"/>
        </w:rPr>
      </w:pPr>
    </w:p>
    <w:p w14:paraId="25420A4A">
      <w:pPr>
        <w:pStyle w:val="11"/>
        <w:adjustRightInd w:val="0"/>
        <w:snapToGrid w:val="0"/>
        <w:spacing w:line="360" w:lineRule="auto"/>
        <w:rPr>
          <w:rFonts w:hint="eastAsia" w:ascii="方正小标宋_GBK" w:hAnsi="宋体" w:eastAsia="方正小标宋_GBK"/>
          <w:color w:val="auto"/>
          <w:spacing w:val="160"/>
          <w:sz w:val="36"/>
          <w:szCs w:val="36"/>
        </w:rPr>
      </w:pPr>
    </w:p>
    <w:p w14:paraId="50192C0C">
      <w:pPr>
        <w:pStyle w:val="11"/>
        <w:adjustRightInd w:val="0"/>
        <w:snapToGrid w:val="0"/>
        <w:spacing w:line="360" w:lineRule="auto"/>
        <w:rPr>
          <w:rFonts w:hint="eastAsia" w:ascii="方正小标宋_GBK" w:hAnsi="宋体" w:eastAsia="方正小标宋_GBK"/>
          <w:color w:val="auto"/>
          <w:spacing w:val="160"/>
          <w:sz w:val="36"/>
          <w:szCs w:val="36"/>
        </w:rPr>
      </w:pPr>
    </w:p>
    <w:p w14:paraId="3939F59E">
      <w:pPr>
        <w:pStyle w:val="11"/>
        <w:adjustRightInd w:val="0"/>
        <w:snapToGrid w:val="0"/>
        <w:spacing w:line="360" w:lineRule="auto"/>
        <w:rPr>
          <w:rFonts w:hint="eastAsia" w:ascii="方正小标宋_GBK" w:hAnsi="宋体" w:eastAsia="方正小标宋_GBK"/>
          <w:color w:val="auto"/>
          <w:spacing w:val="160"/>
          <w:sz w:val="36"/>
          <w:szCs w:val="36"/>
        </w:rPr>
      </w:pPr>
    </w:p>
    <w:p w14:paraId="33C528A8">
      <w:pPr>
        <w:pStyle w:val="11"/>
        <w:adjustRightInd w:val="0"/>
        <w:snapToGrid w:val="0"/>
        <w:spacing w:line="360" w:lineRule="auto"/>
        <w:rPr>
          <w:rFonts w:hint="eastAsia" w:ascii="方正小标宋_GBK" w:hAnsi="宋体" w:eastAsia="方正小标宋_GBK"/>
          <w:color w:val="auto"/>
          <w:spacing w:val="160"/>
          <w:sz w:val="36"/>
          <w:szCs w:val="36"/>
        </w:rPr>
      </w:pPr>
    </w:p>
    <w:p w14:paraId="3C4AAC7E">
      <w:pPr>
        <w:pStyle w:val="11"/>
        <w:adjustRightInd w:val="0"/>
        <w:snapToGrid w:val="0"/>
        <w:spacing w:line="360" w:lineRule="auto"/>
        <w:rPr>
          <w:rFonts w:hint="eastAsia" w:ascii="方正小标宋_GBK" w:hAnsi="宋体" w:eastAsia="方正小标宋_GBK"/>
          <w:color w:val="auto"/>
          <w:spacing w:val="160"/>
          <w:sz w:val="36"/>
          <w:szCs w:val="36"/>
        </w:rPr>
      </w:pPr>
    </w:p>
    <w:p w14:paraId="6E928E48">
      <w:pPr>
        <w:pStyle w:val="11"/>
        <w:adjustRightInd w:val="0"/>
        <w:snapToGrid w:val="0"/>
        <w:spacing w:line="360" w:lineRule="auto"/>
        <w:rPr>
          <w:rFonts w:hint="eastAsia" w:ascii="方正小标宋_GBK" w:hAnsi="宋体" w:eastAsia="方正小标宋_GBK"/>
          <w:color w:val="auto"/>
          <w:spacing w:val="160"/>
          <w:sz w:val="36"/>
          <w:szCs w:val="36"/>
        </w:rPr>
      </w:pPr>
    </w:p>
    <w:p w14:paraId="658B28BF">
      <w:pPr>
        <w:pStyle w:val="11"/>
        <w:adjustRightInd w:val="0"/>
        <w:snapToGrid w:val="0"/>
        <w:spacing w:line="360" w:lineRule="auto"/>
        <w:rPr>
          <w:rFonts w:hint="eastAsia" w:ascii="方正小标宋_GBK" w:hAnsi="宋体" w:eastAsia="方正小标宋_GBK"/>
          <w:color w:val="auto"/>
          <w:spacing w:val="160"/>
          <w:sz w:val="36"/>
          <w:szCs w:val="36"/>
        </w:rPr>
      </w:pPr>
    </w:p>
    <w:p w14:paraId="43AC90F2">
      <w:pPr>
        <w:pStyle w:val="11"/>
        <w:adjustRightInd w:val="0"/>
        <w:snapToGrid w:val="0"/>
        <w:spacing w:line="360" w:lineRule="auto"/>
        <w:rPr>
          <w:rFonts w:hint="eastAsia" w:ascii="方正小标宋_GBK" w:hAnsi="宋体" w:eastAsia="方正小标宋_GBK"/>
          <w:color w:val="auto"/>
          <w:spacing w:val="160"/>
          <w:sz w:val="36"/>
          <w:szCs w:val="36"/>
        </w:rPr>
      </w:pPr>
    </w:p>
    <w:p w14:paraId="27B4F464">
      <w:pPr>
        <w:pStyle w:val="11"/>
        <w:adjustRightInd w:val="0"/>
        <w:snapToGrid w:val="0"/>
        <w:spacing w:line="360" w:lineRule="auto"/>
        <w:rPr>
          <w:rFonts w:hint="eastAsia" w:ascii="方正小标宋_GBK" w:hAnsi="宋体" w:eastAsia="方正小标宋_GBK"/>
          <w:color w:val="auto"/>
          <w:spacing w:val="160"/>
          <w:sz w:val="36"/>
          <w:szCs w:val="36"/>
        </w:rPr>
      </w:pPr>
    </w:p>
    <w:p w14:paraId="23C1F608">
      <w:pPr>
        <w:pStyle w:val="11"/>
        <w:adjustRightInd w:val="0"/>
        <w:snapToGrid w:val="0"/>
        <w:spacing w:line="360" w:lineRule="auto"/>
        <w:rPr>
          <w:rFonts w:hint="eastAsia" w:ascii="方正小标宋_GBK" w:hAnsi="宋体" w:eastAsia="方正小标宋_GBK"/>
          <w:color w:val="auto"/>
          <w:spacing w:val="160"/>
          <w:sz w:val="36"/>
          <w:szCs w:val="36"/>
        </w:rPr>
      </w:pPr>
    </w:p>
    <w:p w14:paraId="210114C4">
      <w:pPr>
        <w:pStyle w:val="11"/>
        <w:adjustRightInd w:val="0"/>
        <w:snapToGrid w:val="0"/>
        <w:spacing w:line="360" w:lineRule="auto"/>
        <w:ind w:firstLine="3740" w:firstLineChars="550"/>
        <w:rPr>
          <w:rFonts w:hint="eastAsia" w:hAnsi="宋体"/>
          <w:b/>
          <w:color w:val="auto"/>
          <w:sz w:val="32"/>
        </w:rPr>
      </w:pPr>
      <w:r>
        <w:rPr>
          <w:rFonts w:hint="eastAsia" w:ascii="方正小标宋_GBK" w:hAnsi="宋体" w:eastAsia="方正小标宋_GBK"/>
          <w:color w:val="auto"/>
          <w:spacing w:val="160"/>
          <w:sz w:val="36"/>
          <w:szCs w:val="36"/>
        </w:rPr>
        <w:t>目录</w:t>
      </w:r>
    </w:p>
    <w:p w14:paraId="0A950C95">
      <w:pPr>
        <w:pStyle w:val="11"/>
        <w:adjustRightInd w:val="0"/>
        <w:snapToGrid w:val="0"/>
        <w:spacing w:line="480" w:lineRule="auto"/>
        <w:rPr>
          <w:rFonts w:hint="eastAsia" w:hAnsi="宋体"/>
          <w:b/>
          <w:color w:val="auto"/>
          <w:sz w:val="24"/>
          <w:szCs w:val="24"/>
        </w:rPr>
      </w:pPr>
    </w:p>
    <w:p w14:paraId="2D2658DE">
      <w:pPr>
        <w:pStyle w:val="27"/>
        <w:tabs>
          <w:tab w:val="right" w:leader="dot" w:pos="8844"/>
        </w:tabs>
        <w:spacing w:line="480" w:lineRule="auto"/>
        <w:rPr>
          <w:rFonts w:hint="eastAsia" w:ascii="宋体" w:hAnsi="宋体" w:eastAsia="宋体" w:cs="宋体"/>
          <w:b/>
          <w:bCs/>
          <w:color w:val="auto"/>
          <w:sz w:val="24"/>
          <w:szCs w:val="24"/>
        </w:rPr>
      </w:pPr>
      <w:r>
        <w:rPr>
          <w:rFonts w:hint="eastAsia" w:ascii="黑体" w:eastAsia="黑体"/>
          <w:b/>
          <w:color w:val="auto"/>
          <w:sz w:val="24"/>
        </w:rPr>
        <w:fldChar w:fldCharType="begin"/>
      </w:r>
      <w:r>
        <w:rPr>
          <w:rFonts w:hint="eastAsia" w:ascii="黑体" w:eastAsia="黑体"/>
          <w:b/>
          <w:color w:val="auto"/>
          <w:sz w:val="24"/>
        </w:rPr>
        <w:instrText xml:space="preserve">TOC \o "1-1" \h \u </w:instrText>
      </w:r>
      <w:r>
        <w:rPr>
          <w:rFonts w:hint="eastAsia" w:ascii="黑体" w:eastAsia="黑体"/>
          <w:b/>
          <w:color w:val="auto"/>
          <w:sz w:val="24"/>
        </w:rPr>
        <w:fldChar w:fldCharType="separate"/>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_Toc1058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第一章 磋商邀请</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_Toc1058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1</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37ADC88A">
      <w:pPr>
        <w:pStyle w:val="27"/>
        <w:tabs>
          <w:tab w:val="right" w:leader="dot" w:pos="8844"/>
        </w:tabs>
        <w:spacing w:line="48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_Toc24991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第二章 磋商须知</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fldChar w:fldCharType="end"/>
      </w:r>
    </w:p>
    <w:p w14:paraId="705088DF">
      <w:pPr>
        <w:pStyle w:val="27"/>
        <w:tabs>
          <w:tab w:val="right" w:leader="dot" w:pos="8844"/>
        </w:tabs>
        <w:spacing w:line="48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_Toc16107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第三章 政府采购合同格式条款</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fldChar w:fldCharType="end"/>
      </w:r>
      <w:r>
        <w:rPr>
          <w:rFonts w:hint="eastAsia" w:ascii="宋体" w:hAnsi="宋体" w:cs="宋体"/>
          <w:b/>
          <w:bCs/>
          <w:color w:val="auto"/>
          <w:sz w:val="24"/>
          <w:szCs w:val="24"/>
          <w:lang w:val="en-US" w:eastAsia="zh-CN"/>
        </w:rPr>
        <w:t>7</w:t>
      </w:r>
    </w:p>
    <w:p w14:paraId="793604B9">
      <w:pPr>
        <w:pStyle w:val="27"/>
        <w:tabs>
          <w:tab w:val="right" w:leader="dot" w:pos="8844"/>
        </w:tabs>
        <w:spacing w:line="48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_Toc24620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第四章 采购需求</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lang w:val="en-US" w:eastAsia="zh-CN"/>
        </w:rPr>
        <w:t>3</w:t>
      </w:r>
      <w:r>
        <w:rPr>
          <w:rFonts w:hint="eastAsia" w:ascii="宋体" w:hAnsi="宋体" w:cs="宋体"/>
          <w:b/>
          <w:bCs/>
          <w:color w:val="auto"/>
          <w:sz w:val="24"/>
          <w:szCs w:val="24"/>
          <w:lang w:val="en-US" w:eastAsia="zh-CN"/>
        </w:rPr>
        <w:t>0</w:t>
      </w:r>
      <w:r>
        <w:rPr>
          <w:rFonts w:hint="eastAsia" w:ascii="宋体" w:hAnsi="宋体" w:eastAsia="宋体" w:cs="宋体"/>
          <w:b/>
          <w:bCs/>
          <w:color w:val="auto"/>
          <w:sz w:val="24"/>
          <w:szCs w:val="24"/>
        </w:rPr>
        <w:fldChar w:fldCharType="end"/>
      </w:r>
    </w:p>
    <w:p w14:paraId="7E1B5178">
      <w:pPr>
        <w:pStyle w:val="27"/>
        <w:tabs>
          <w:tab w:val="right" w:leader="dot" w:pos="8844"/>
        </w:tabs>
        <w:spacing w:line="48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_Toc7650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第五章 响应文件组成</w:t>
      </w:r>
      <w:r>
        <w:rPr>
          <w:rFonts w:hint="eastAsia" w:ascii="宋体" w:hAnsi="宋体" w:eastAsia="宋体" w:cs="宋体"/>
          <w:b/>
          <w:bCs/>
          <w:color w:val="auto"/>
          <w:sz w:val="24"/>
          <w:szCs w:val="24"/>
        </w:rPr>
        <w:tab/>
      </w:r>
      <w:r>
        <w:rPr>
          <w:rFonts w:hint="eastAsia" w:ascii="宋体" w:hAnsi="宋体" w:cs="宋体"/>
          <w:b/>
          <w:bCs/>
          <w:color w:val="auto"/>
          <w:sz w:val="24"/>
          <w:szCs w:val="24"/>
          <w:lang w:val="en-US" w:eastAsia="zh-CN"/>
        </w:rPr>
        <w:t>4</w:t>
      </w:r>
      <w:r>
        <w:rPr>
          <w:rFonts w:hint="eastAsia" w:ascii="宋体" w:hAnsi="宋体" w:eastAsia="宋体" w:cs="宋体"/>
          <w:b/>
          <w:bCs/>
          <w:color w:val="auto"/>
          <w:sz w:val="24"/>
          <w:szCs w:val="24"/>
        </w:rPr>
        <w:fldChar w:fldCharType="end"/>
      </w:r>
      <w:r>
        <w:rPr>
          <w:rFonts w:hint="eastAsia" w:ascii="宋体" w:hAnsi="宋体" w:cs="宋体"/>
          <w:b/>
          <w:bCs/>
          <w:color w:val="auto"/>
          <w:sz w:val="24"/>
          <w:szCs w:val="24"/>
          <w:lang w:val="en-US" w:eastAsia="zh-CN"/>
        </w:rPr>
        <w:t>5</w:t>
      </w:r>
    </w:p>
    <w:p w14:paraId="3B9DF23F">
      <w:pPr>
        <w:pStyle w:val="27"/>
        <w:tabs>
          <w:tab w:val="right" w:leader="dot" w:pos="8844"/>
        </w:tabs>
        <w:spacing w:line="480" w:lineRule="auto"/>
        <w:rPr>
          <w:color w:val="auto"/>
        </w:rPr>
      </w:pPr>
    </w:p>
    <w:p w14:paraId="3791B5B5">
      <w:pPr>
        <w:pStyle w:val="27"/>
        <w:tabs>
          <w:tab w:val="right" w:leader="dot" w:pos="8844"/>
        </w:tabs>
        <w:spacing w:line="480" w:lineRule="auto"/>
        <w:rPr>
          <w:color w:val="auto"/>
        </w:rPr>
      </w:pPr>
    </w:p>
    <w:p w14:paraId="2F1F4402">
      <w:pPr>
        <w:spacing w:line="480" w:lineRule="auto"/>
        <w:rPr>
          <w:rFonts w:hint="eastAsia"/>
          <w:color w:val="auto"/>
        </w:rPr>
        <w:sectPr>
          <w:footerReference r:id="rId10" w:type="first"/>
          <w:footerReference r:id="rId9" w:type="default"/>
          <w:pgSz w:w="11906" w:h="16838"/>
          <w:pgMar w:top="1440" w:right="1531" w:bottom="1440" w:left="1531" w:header="851" w:footer="1304" w:gutter="0"/>
          <w:pgNumType w:fmt="decimal" w:start="1"/>
          <w:cols w:space="720" w:num="1"/>
          <w:docGrid w:type="lines" w:linePitch="312" w:charSpace="0"/>
        </w:sectPr>
      </w:pPr>
      <w:r>
        <w:rPr>
          <w:rFonts w:hint="eastAsia" w:ascii="黑体" w:eastAsia="黑体"/>
          <w:color w:val="auto"/>
        </w:rPr>
        <w:fldChar w:fldCharType="end"/>
      </w:r>
    </w:p>
    <w:p w14:paraId="634B60C8">
      <w:pPr>
        <w:pStyle w:val="2"/>
        <w:bidi w:val="0"/>
        <w:rPr>
          <w:rFonts w:hint="eastAsia" w:ascii="黑体" w:hAnsi="黑体" w:eastAsia="黑体" w:cs="黑体"/>
          <w:sz w:val="32"/>
          <w:szCs w:val="32"/>
        </w:rPr>
      </w:pPr>
      <w:bookmarkStart w:id="0" w:name="_Toc1058"/>
      <w:r>
        <w:rPr>
          <w:rFonts w:hint="eastAsia" w:ascii="黑体" w:hAnsi="黑体" w:eastAsia="黑体" w:cs="黑体"/>
          <w:sz w:val="32"/>
          <w:szCs w:val="32"/>
        </w:rPr>
        <w:t>第一章  磋商邀请</w:t>
      </w:r>
      <w:bookmarkEnd w:id="0"/>
    </w:p>
    <w:p w14:paraId="6D272D6B">
      <w:pPr>
        <w:pStyle w:val="11"/>
        <w:adjustRightInd w:val="0"/>
        <w:snapToGrid w:val="0"/>
        <w:spacing w:line="360" w:lineRule="auto"/>
        <w:ind w:firstLine="420" w:firstLineChars="200"/>
        <w:rPr>
          <w:rFonts w:hint="eastAsia"/>
          <w:color w:val="auto"/>
          <w:u w:val="single"/>
          <w:lang w:eastAsia="zh-CN"/>
        </w:rPr>
      </w:pPr>
    </w:p>
    <w:p w14:paraId="66E6C07E">
      <w:pPr>
        <w:pStyle w:val="9"/>
        <w:tabs>
          <w:tab w:val="left" w:pos="1043"/>
          <w:tab w:val="left" w:pos="2095"/>
          <w:tab w:val="left" w:pos="6833"/>
        </w:tabs>
        <w:autoSpaceDE w:val="0"/>
        <w:autoSpaceDN w:val="0"/>
        <w:spacing w:line="360" w:lineRule="auto"/>
        <w:ind w:firstLine="840" w:firstLineChars="400"/>
        <w:rPr>
          <w:rFonts w:hint="eastAsia" w:ascii="宋体" w:hAnsi="宋体" w:cs="宋体"/>
          <w:color w:val="auto"/>
          <w:sz w:val="21"/>
          <w:szCs w:val="21"/>
          <w:highlight w:val="none"/>
        </w:rPr>
      </w:pPr>
      <w:bookmarkStart w:id="1" w:name="_Toc24991"/>
      <w:r>
        <w:rPr>
          <w:rFonts w:hint="eastAsia" w:ascii="宋体" w:hAnsi="宋体" w:cs="宋体"/>
          <w:color w:val="auto"/>
          <w:sz w:val="21"/>
          <w:szCs w:val="21"/>
          <w:highlight w:val="none"/>
          <w:u w:val="single"/>
          <w:lang w:eastAsia="zh-CN"/>
        </w:rPr>
        <w:t>湘潭市中级人民法院大要案审判转播保障系统建设项目</w:t>
      </w:r>
      <w:r>
        <w:rPr>
          <w:rFonts w:hint="eastAsia" w:ascii="宋体" w:hAnsi="宋体" w:cs="宋体"/>
          <w:color w:val="auto"/>
          <w:sz w:val="21"/>
          <w:szCs w:val="21"/>
          <w:highlight w:val="none"/>
        </w:rPr>
        <w:t>进行采购，现</w:t>
      </w:r>
      <w:r>
        <w:rPr>
          <w:rFonts w:hint="eastAsia" w:ascii="宋体" w:hAnsi="宋体" w:cs="宋体"/>
          <w:color w:val="auto"/>
          <w:spacing w:val="-13"/>
          <w:sz w:val="21"/>
          <w:szCs w:val="21"/>
          <w:highlight w:val="none"/>
        </w:rPr>
        <w:t>邀</w:t>
      </w:r>
      <w:r>
        <w:rPr>
          <w:rFonts w:hint="eastAsia" w:ascii="宋体" w:hAnsi="宋体" w:cs="宋体"/>
          <w:color w:val="auto"/>
          <w:sz w:val="21"/>
          <w:szCs w:val="21"/>
          <w:highlight w:val="none"/>
        </w:rPr>
        <w:t>请合格投标供应商参加投标。</w:t>
      </w:r>
    </w:p>
    <w:p w14:paraId="4E2CEF23">
      <w:pPr>
        <w:pStyle w:val="9"/>
        <w:bidi w:val="0"/>
        <w:ind w:firstLine="422" w:firstLineChars="200"/>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一、采购项目基本信息：</w:t>
      </w:r>
    </w:p>
    <w:p w14:paraId="6D18B4C2">
      <w:pPr>
        <w:pStyle w:val="9"/>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1、采购项目名称：</w:t>
      </w:r>
      <w:r>
        <w:rPr>
          <w:rFonts w:hint="eastAsia" w:ascii="宋体" w:hAnsi="宋体" w:cs="宋体"/>
          <w:color w:val="auto"/>
          <w:sz w:val="21"/>
          <w:szCs w:val="21"/>
          <w:highlight w:val="none"/>
          <w:lang w:eastAsia="zh-CN"/>
        </w:rPr>
        <w:t>湘潭市中级人民法院大要案审判转播保障系统建设项目</w:t>
      </w:r>
    </w:p>
    <w:p w14:paraId="3814CB34">
      <w:pPr>
        <w:pStyle w:val="9"/>
        <w:spacing w:after="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2、政府采购计划编号：(2026)430000003101-1</w:t>
      </w:r>
    </w:p>
    <w:p w14:paraId="6B088931">
      <w:pPr>
        <w:pStyle w:val="9"/>
        <w:spacing w:after="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3、委托代理编号：CGXM2026430000002500</w:t>
      </w:r>
    </w:p>
    <w:p w14:paraId="16004B3D">
      <w:pPr>
        <w:pStyle w:val="9"/>
        <w:spacing w:after="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4、采购项目预算：1675</w:t>
      </w:r>
      <w:r>
        <w:rPr>
          <w:rFonts w:hint="eastAsia" w:ascii="宋体" w:hAnsi="宋体" w:cs="宋体"/>
          <w:color w:val="auto"/>
          <w:sz w:val="21"/>
          <w:szCs w:val="21"/>
          <w:highlight w:val="none"/>
          <w:lang w:val="en-US" w:eastAsia="zh-CN"/>
        </w:rPr>
        <w:t>900元</w:t>
      </w:r>
    </w:p>
    <w:p w14:paraId="72BF5B40">
      <w:pPr>
        <w:pStyle w:val="28"/>
        <w:tabs>
          <w:tab w:val="left" w:pos="1113"/>
          <w:tab w:val="left" w:pos="1125"/>
          <w:tab w:val="left" w:pos="3855"/>
          <w:tab w:val="left" w:pos="4378"/>
        </w:tabs>
        <w:spacing w:line="360" w:lineRule="auto"/>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w:t>
      </w:r>
      <w:r>
        <w:rPr>
          <w:rFonts w:hint="eastAsia" w:ascii="宋体" w:hAnsi="宋体" w:cs="宋体"/>
          <w:color w:val="auto"/>
          <w:sz w:val="21"/>
          <w:szCs w:val="21"/>
          <w:highlight w:val="none"/>
        </w:rPr>
        <w:sym w:font="Wingdings" w:char="00A8"/>
      </w:r>
      <w:r>
        <w:rPr>
          <w:rFonts w:hint="eastAsia" w:ascii="宋体" w:hAnsi="宋体" w:eastAsia="宋体" w:cs="宋体"/>
          <w:color w:val="auto"/>
          <w:kern w:val="2"/>
          <w:sz w:val="21"/>
          <w:szCs w:val="21"/>
          <w:highlight w:val="none"/>
          <w:lang w:val="en-US" w:eastAsia="zh-CN" w:bidi="ar-SA"/>
        </w:rPr>
        <w:t>支持预付款，预付比例：</w:t>
      </w:r>
      <w:r>
        <w:rPr>
          <w:rFonts w:hint="eastAsia" w:ascii="宋体" w:hAnsi="宋体" w:cs="宋体"/>
          <w:color w:val="auto"/>
          <w:sz w:val="21"/>
          <w:szCs w:val="21"/>
          <w:highlight w:val="none"/>
          <w:u w:val="single"/>
          <w:lang w:val="en-US" w:eastAsia="zh-CN"/>
        </w:rPr>
        <w:t>/</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ab/>
      </w:r>
    </w:p>
    <w:p w14:paraId="0B4C03B9">
      <w:pPr>
        <w:pStyle w:val="9"/>
        <w:tabs>
          <w:tab w:val="left" w:pos="5348"/>
          <w:tab w:val="left" w:pos="6187"/>
        </w:tabs>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5、本项目对应的中小企业划分标准所属行业：</w:t>
      </w:r>
      <w:r>
        <w:rPr>
          <w:rFonts w:hint="eastAsia" w:ascii="宋体" w:hAnsi="宋体" w:cs="宋体"/>
          <w:color w:val="auto"/>
          <w:sz w:val="21"/>
          <w:szCs w:val="21"/>
          <w:highlight w:val="none"/>
          <w:lang w:eastAsia="zh-CN"/>
        </w:rPr>
        <w:t>软件和信息技术服务业</w:t>
      </w:r>
      <w:r>
        <w:rPr>
          <w:rFonts w:hint="eastAsia" w:ascii="宋体" w:hAnsi="宋体" w:cs="宋体"/>
          <w:color w:val="auto"/>
          <w:sz w:val="21"/>
          <w:szCs w:val="21"/>
          <w:highlight w:val="none"/>
        </w:rPr>
        <w:tab/>
      </w:r>
    </w:p>
    <w:p w14:paraId="33ACE8D6">
      <w:pPr>
        <w:pStyle w:val="9"/>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6、评标方法：</w:t>
      </w:r>
      <w:r>
        <w:rPr>
          <w:rFonts w:hint="eastAsia" w:ascii="宋体" w:hAnsi="宋体" w:cs="宋体"/>
          <w:color w:val="auto"/>
          <w:sz w:val="21"/>
          <w:szCs w:val="21"/>
          <w:highlight w:val="none"/>
        </w:rPr>
        <w:sym w:font="Wingdings" w:char="00A8"/>
      </w:r>
      <w:r>
        <w:rPr>
          <w:rFonts w:hint="eastAsia" w:ascii="宋体" w:hAnsi="宋体" w:cs="宋体"/>
          <w:color w:val="auto"/>
          <w:sz w:val="21"/>
          <w:szCs w:val="21"/>
          <w:highlight w:val="none"/>
        </w:rPr>
        <w:t>最低评标价法</w:t>
      </w:r>
      <w:r>
        <w:rPr>
          <w:rFonts w:hint="eastAsia" w:ascii="宋体" w:hAnsi="宋体" w:cs="宋体"/>
          <w:color w:val="auto"/>
          <w:sz w:val="21"/>
          <w:szCs w:val="21"/>
          <w:highlight w:val="none"/>
        </w:rPr>
        <w:sym w:font="Wingdings" w:char="00FE"/>
      </w:r>
      <w:r>
        <w:rPr>
          <w:rFonts w:hint="eastAsia" w:ascii="宋体" w:hAnsi="宋体" w:cs="宋体"/>
          <w:color w:val="auto"/>
          <w:sz w:val="21"/>
          <w:szCs w:val="21"/>
          <w:highlight w:val="none"/>
        </w:rPr>
        <w:t>综合评分法 </w:t>
      </w:r>
    </w:p>
    <w:p w14:paraId="48628F8F">
      <w:pPr>
        <w:pStyle w:val="9"/>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7、合同定价方式：</w:t>
      </w:r>
      <w:r>
        <w:rPr>
          <w:rFonts w:hint="eastAsia" w:ascii="宋体" w:hAnsi="宋体" w:cs="宋体"/>
          <w:color w:val="auto"/>
          <w:sz w:val="21"/>
          <w:szCs w:val="21"/>
          <w:highlight w:val="none"/>
        </w:rPr>
        <w:sym w:font="Wingdings" w:char="00FE"/>
      </w:r>
      <w:r>
        <w:rPr>
          <w:rFonts w:hint="eastAsia" w:ascii="宋体" w:hAnsi="宋体" w:cs="宋体"/>
          <w:color w:val="auto"/>
          <w:sz w:val="21"/>
          <w:szCs w:val="21"/>
          <w:highlight w:val="none"/>
        </w:rPr>
        <w:t>固定总价 </w:t>
      </w:r>
      <w:r>
        <w:rPr>
          <w:rFonts w:hint="eastAsia" w:ascii="宋体" w:hAnsi="宋体" w:cs="宋体"/>
          <w:color w:val="auto"/>
          <w:sz w:val="21"/>
          <w:szCs w:val="21"/>
          <w:highlight w:val="none"/>
        </w:rPr>
        <w:sym w:font="Wingdings" w:char="00A8"/>
      </w:r>
      <w:r>
        <w:rPr>
          <w:rFonts w:hint="eastAsia" w:ascii="宋体" w:hAnsi="宋体" w:cs="宋体"/>
          <w:color w:val="auto"/>
          <w:sz w:val="21"/>
          <w:szCs w:val="21"/>
          <w:highlight w:val="none"/>
        </w:rPr>
        <w:t>固定单价 </w:t>
      </w:r>
      <w:r>
        <w:rPr>
          <w:rFonts w:hint="eastAsia" w:ascii="宋体" w:hAnsi="宋体" w:cs="宋体"/>
          <w:color w:val="auto"/>
          <w:sz w:val="21"/>
          <w:szCs w:val="21"/>
          <w:highlight w:val="none"/>
        </w:rPr>
        <w:sym w:font="Wingdings" w:char="00A8"/>
      </w:r>
      <w:r>
        <w:rPr>
          <w:rFonts w:hint="eastAsia" w:ascii="宋体" w:hAnsi="宋体" w:cs="宋体"/>
          <w:color w:val="auto"/>
          <w:sz w:val="21"/>
          <w:szCs w:val="21"/>
          <w:highlight w:val="none"/>
        </w:rPr>
        <w:t>成本补偿 </w:t>
      </w:r>
      <w:r>
        <w:rPr>
          <w:rFonts w:hint="eastAsia" w:ascii="宋体" w:hAnsi="宋体" w:cs="宋体"/>
          <w:color w:val="auto"/>
          <w:sz w:val="21"/>
          <w:szCs w:val="21"/>
          <w:highlight w:val="none"/>
        </w:rPr>
        <w:sym w:font="Wingdings" w:char="00A8"/>
      </w:r>
      <w:r>
        <w:rPr>
          <w:rFonts w:hint="eastAsia" w:ascii="宋体" w:hAnsi="宋体" w:cs="宋体"/>
          <w:color w:val="auto"/>
          <w:sz w:val="21"/>
          <w:szCs w:val="21"/>
          <w:highlight w:val="none"/>
        </w:rPr>
        <w:t>绩效激励</w:t>
      </w:r>
    </w:p>
    <w:p w14:paraId="5B74613E">
      <w:pPr>
        <w:pStyle w:val="9"/>
        <w:spacing w:after="0" w:line="360" w:lineRule="auto"/>
        <w:ind w:left="420" w:leftChars="200" w:firstLine="0" w:firstLineChars="0"/>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8、合同</w:t>
      </w:r>
      <w:r>
        <w:rPr>
          <w:rFonts w:hint="eastAsia" w:ascii="宋体" w:hAnsi="宋体" w:cs="宋体"/>
          <w:color w:val="auto"/>
          <w:sz w:val="21"/>
          <w:szCs w:val="21"/>
          <w:highlight w:val="none"/>
        </w:rPr>
        <w:t>履行期限</w:t>
      </w:r>
      <w:r>
        <w:rPr>
          <w:rFonts w:hint="eastAsia" w:ascii="宋体" w:hAnsi="宋体" w:eastAsia="宋体" w:cs="宋体"/>
          <w:color w:val="auto"/>
          <w:sz w:val="21"/>
          <w:szCs w:val="21"/>
          <w:highlight w:val="none"/>
        </w:rPr>
        <w:t>：</w:t>
      </w:r>
      <w:r>
        <w:rPr>
          <w:rFonts w:hint="eastAsia" w:ascii="宋体" w:hAnsi="宋体" w:eastAsia="宋体" w:cs="宋体"/>
          <w:spacing w:val="6"/>
          <w:sz w:val="21"/>
          <w:szCs w:val="21"/>
        </w:rPr>
        <w:t>合同签订后</w:t>
      </w:r>
      <w:r>
        <w:rPr>
          <w:rFonts w:hint="eastAsia" w:ascii="宋体" w:hAnsi="宋体" w:eastAsia="宋体" w:cs="宋体"/>
          <w:spacing w:val="6"/>
          <w:sz w:val="21"/>
          <w:szCs w:val="21"/>
          <w:lang w:val="en-US" w:eastAsia="zh-CN"/>
        </w:rPr>
        <w:t>30天</w:t>
      </w:r>
      <w:r>
        <w:rPr>
          <w:rFonts w:hint="eastAsia" w:ascii="宋体" w:hAnsi="宋体" w:eastAsia="宋体" w:cs="宋体"/>
          <w:spacing w:val="6"/>
          <w:sz w:val="21"/>
          <w:szCs w:val="21"/>
        </w:rPr>
        <w:t>内安装调</w:t>
      </w:r>
      <w:r>
        <w:rPr>
          <w:rFonts w:hint="eastAsia" w:ascii="宋体" w:hAnsi="宋体" w:eastAsia="宋体" w:cs="宋体"/>
          <w:spacing w:val="5"/>
          <w:sz w:val="21"/>
          <w:szCs w:val="21"/>
        </w:rPr>
        <w:t>试完毕验收合格。</w:t>
      </w:r>
      <w:r>
        <w:rPr>
          <w:rFonts w:hint="eastAsia" w:ascii="宋体" w:hAnsi="宋体" w:eastAsia="宋体" w:cs="宋体"/>
          <w:spacing w:val="5"/>
          <w:sz w:val="21"/>
          <w:szCs w:val="21"/>
        </w:rPr>
        <w:br w:type="textWrapping"/>
      </w:r>
      <w:r>
        <w:rPr>
          <w:rFonts w:hint="eastAsia" w:ascii="宋体" w:hAnsi="宋体" w:cs="宋体"/>
          <w:color w:val="auto"/>
          <w:sz w:val="21"/>
          <w:szCs w:val="21"/>
          <w:highlight w:val="none"/>
        </w:rPr>
        <w:t>9、本项目分阶段要求投标供应商提供以下保证：</w:t>
      </w:r>
    </w:p>
    <w:p w14:paraId="7AD399DF">
      <w:pPr>
        <w:pStyle w:val="28"/>
        <w:tabs>
          <w:tab w:val="left" w:pos="917"/>
          <w:tab w:val="left" w:pos="4063"/>
        </w:tabs>
        <w:spacing w:line="360" w:lineRule="auto"/>
        <w:ind w:firstLine="397"/>
        <w:jc w:val="left"/>
        <w:rPr>
          <w:rFonts w:hint="eastAsia" w:ascii="宋体" w:hAnsi="宋体" w:cs="宋体"/>
          <w:color w:val="auto"/>
          <w:sz w:val="21"/>
          <w:szCs w:val="21"/>
          <w:highlight w:val="none"/>
        </w:rPr>
      </w:pPr>
      <w:r>
        <w:rPr>
          <w:rFonts w:hint="eastAsia" w:ascii="宋体" w:hAnsi="宋体" w:cs="宋体"/>
          <w:color w:val="auto"/>
          <w:sz w:val="21"/>
          <w:szCs w:val="21"/>
          <w:highlight w:val="none"/>
        </w:rPr>
        <w:sym w:font="Wingdings" w:char="00A8"/>
      </w:r>
      <w:r>
        <w:rPr>
          <w:rFonts w:hint="eastAsia" w:ascii="宋体" w:hAnsi="宋体" w:cs="宋体"/>
          <w:color w:val="auto"/>
          <w:sz w:val="21"/>
          <w:szCs w:val="21"/>
          <w:highlight w:val="none"/>
        </w:rPr>
        <w:t>投标保证金：采购项目预算的</w:t>
      </w:r>
      <w:r>
        <w:rPr>
          <w:rFonts w:hint="eastAsia" w:ascii="宋体" w:hAnsi="宋体" w:cs="宋体"/>
          <w:color w:val="auto"/>
          <w:spacing w:val="-3"/>
          <w:sz w:val="21"/>
          <w:szCs w:val="21"/>
          <w:highlight w:val="none"/>
          <w:u w:val="single"/>
          <w:lang w:val="en-US" w:eastAsia="zh-CN"/>
        </w:rPr>
        <w:t>/</w:t>
      </w:r>
      <w:r>
        <w:rPr>
          <w:rFonts w:hint="eastAsia" w:ascii="宋体" w:hAnsi="宋体" w:cs="宋体"/>
          <w:color w:val="auto"/>
          <w:sz w:val="21"/>
          <w:szCs w:val="21"/>
          <w:highlight w:val="none"/>
        </w:rPr>
        <w:t>%；</w:t>
      </w:r>
    </w:p>
    <w:p w14:paraId="72B6415C">
      <w:pPr>
        <w:pStyle w:val="28"/>
        <w:tabs>
          <w:tab w:val="left" w:pos="917"/>
          <w:tab w:val="left" w:pos="3643"/>
        </w:tabs>
        <w:spacing w:line="360" w:lineRule="auto"/>
        <w:ind w:firstLine="0" w:firstLineChars="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w:t>
      </w:r>
      <w:r>
        <w:rPr>
          <w:rFonts w:hint="eastAsia" w:ascii="宋体" w:hAnsi="宋体" w:cs="宋体"/>
          <w:color w:val="auto"/>
          <w:sz w:val="21"/>
          <w:szCs w:val="21"/>
          <w:highlight w:val="none"/>
        </w:rPr>
        <w:sym w:font="Wingdings" w:char="00A8"/>
      </w:r>
      <w:r>
        <w:rPr>
          <w:rFonts w:hint="eastAsia" w:ascii="宋体" w:hAnsi="宋体" w:cs="宋体"/>
          <w:color w:val="auto"/>
          <w:sz w:val="21"/>
          <w:szCs w:val="21"/>
          <w:highlight w:val="none"/>
        </w:rPr>
        <w:t>履约保证金：中标金额的</w:t>
      </w:r>
      <w:r>
        <w:rPr>
          <w:rFonts w:hint="eastAsia" w:ascii="宋体" w:hAnsi="宋体" w:cs="宋体"/>
          <w:color w:val="auto"/>
          <w:spacing w:val="-3"/>
          <w:sz w:val="21"/>
          <w:szCs w:val="21"/>
          <w:highlight w:val="none"/>
          <w:u w:val="single"/>
          <w:lang w:val="en-US" w:eastAsia="zh-CN"/>
        </w:rPr>
        <w:t>/</w:t>
      </w:r>
      <w:r>
        <w:rPr>
          <w:rFonts w:hint="eastAsia" w:ascii="宋体" w:hAnsi="宋体" w:cs="宋体"/>
          <w:color w:val="auto"/>
          <w:sz w:val="21"/>
          <w:szCs w:val="21"/>
          <w:highlight w:val="none"/>
        </w:rPr>
        <w:t>%；</w:t>
      </w:r>
    </w:p>
    <w:p w14:paraId="2946E71D">
      <w:pPr>
        <w:pStyle w:val="28"/>
        <w:tabs>
          <w:tab w:val="left" w:pos="917"/>
          <w:tab w:val="left" w:pos="3749"/>
        </w:tabs>
        <w:spacing w:line="360" w:lineRule="auto"/>
        <w:ind w:firstLine="0" w:firstLineChars="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w:t>
      </w:r>
      <w:r>
        <w:rPr>
          <w:rFonts w:hint="eastAsia" w:ascii="宋体" w:hAnsi="宋体" w:cs="宋体"/>
          <w:color w:val="auto"/>
          <w:sz w:val="21"/>
          <w:szCs w:val="21"/>
          <w:highlight w:val="none"/>
        </w:rPr>
        <w:sym w:font="Wingdings" w:char="00A8"/>
      </w:r>
      <w:r>
        <w:rPr>
          <w:rFonts w:hint="eastAsia" w:ascii="宋体" w:hAnsi="宋体" w:cs="宋体"/>
          <w:color w:val="auto"/>
          <w:sz w:val="21"/>
          <w:szCs w:val="21"/>
          <w:highlight w:val="none"/>
        </w:rPr>
        <w:t>预付款保证金：预付款的</w:t>
      </w:r>
      <w:r>
        <w:rPr>
          <w:rFonts w:hint="eastAsia" w:ascii="宋体" w:hAnsi="宋体" w:cs="宋体"/>
          <w:color w:val="auto"/>
          <w:spacing w:val="-3"/>
          <w:sz w:val="21"/>
          <w:szCs w:val="21"/>
          <w:highlight w:val="none"/>
          <w:u w:val="single"/>
          <w:lang w:val="en-US" w:eastAsia="zh-CN"/>
        </w:rPr>
        <w:t>/</w:t>
      </w:r>
      <w:r>
        <w:rPr>
          <w:rFonts w:hint="eastAsia" w:ascii="宋体" w:hAnsi="宋体" w:cs="宋体"/>
          <w:color w:val="auto"/>
          <w:sz w:val="21"/>
          <w:szCs w:val="21"/>
          <w:highlight w:val="none"/>
        </w:rPr>
        <w:t>%；</w:t>
      </w:r>
    </w:p>
    <w:p w14:paraId="570C4683">
      <w:pPr>
        <w:pStyle w:val="28"/>
        <w:tabs>
          <w:tab w:val="left" w:pos="917"/>
          <w:tab w:val="left" w:pos="3643"/>
        </w:tabs>
        <w:spacing w:after="47" w:line="360" w:lineRule="auto"/>
        <w:ind w:left="210" w:leftChars="100" w:right="6104" w:firstLine="210" w:firstLineChars="100"/>
        <w:jc w:val="left"/>
        <w:rPr>
          <w:rFonts w:hint="eastAsia" w:ascii="宋体" w:hAnsi="宋体" w:cs="宋体"/>
          <w:color w:val="auto"/>
          <w:spacing w:val="-16"/>
          <w:sz w:val="21"/>
          <w:szCs w:val="21"/>
          <w:highlight w:val="none"/>
        </w:rPr>
      </w:pPr>
      <w:r>
        <w:rPr>
          <w:rFonts w:hint="eastAsia" w:ascii="宋体" w:hAnsi="宋体" w:cs="宋体"/>
          <w:color w:val="auto"/>
          <w:sz w:val="21"/>
          <w:szCs w:val="21"/>
          <w:highlight w:val="none"/>
        </w:rPr>
        <w:sym w:font="Wingdings" w:char="00A8"/>
      </w:r>
      <w:r>
        <w:rPr>
          <w:rFonts w:hint="eastAsia" w:ascii="宋体" w:hAnsi="宋体" w:cs="宋体"/>
          <w:color w:val="auto"/>
          <w:sz w:val="21"/>
          <w:szCs w:val="21"/>
          <w:highlight w:val="none"/>
        </w:rPr>
        <w:t>质量保证金：合同金额的</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pacing w:val="-3"/>
          <w:sz w:val="21"/>
          <w:szCs w:val="21"/>
          <w:highlight w:val="none"/>
          <w:u w:val="single"/>
          <w:lang w:val="en-US" w:eastAsia="zh-CN"/>
        </w:rPr>
        <w:t xml:space="preserve"> </w:t>
      </w:r>
      <w:r>
        <w:rPr>
          <w:rFonts w:hint="eastAsia" w:ascii="宋体" w:hAnsi="宋体" w:cs="宋体"/>
          <w:color w:val="auto"/>
          <w:sz w:val="21"/>
          <w:szCs w:val="21"/>
          <w:highlight w:val="none"/>
        </w:rPr>
        <w:t>%</w:t>
      </w:r>
      <w:r>
        <w:rPr>
          <w:rFonts w:hint="eastAsia" w:ascii="宋体" w:hAnsi="宋体" w:cs="宋体"/>
          <w:color w:val="auto"/>
          <w:spacing w:val="-16"/>
          <w:sz w:val="21"/>
          <w:szCs w:val="21"/>
          <w:highlight w:val="none"/>
        </w:rPr>
        <w:t>。</w:t>
      </w:r>
    </w:p>
    <w:p w14:paraId="76CF42EE">
      <w:pPr>
        <w:pStyle w:val="28"/>
        <w:tabs>
          <w:tab w:val="left" w:pos="917"/>
          <w:tab w:val="left" w:pos="3643"/>
        </w:tabs>
        <w:spacing w:after="47" w:line="360" w:lineRule="auto"/>
        <w:ind w:left="210" w:leftChars="100" w:right="6104" w:firstLine="211" w:firstLineChars="100"/>
        <w:jc w:val="left"/>
        <w:rPr>
          <w:rFonts w:hint="eastAsia" w:ascii="宋体" w:hAnsi="宋体" w:cs="宋体"/>
          <w:b/>
          <w:color w:val="auto"/>
          <w:sz w:val="21"/>
          <w:szCs w:val="21"/>
          <w:highlight w:val="none"/>
        </w:rPr>
      </w:pPr>
      <w:r>
        <w:rPr>
          <w:rFonts w:hint="eastAsia" w:ascii="宋体" w:hAnsi="宋体" w:cs="宋体"/>
          <w:b/>
          <w:bCs/>
          <w:color w:val="auto"/>
          <w:sz w:val="21"/>
          <w:szCs w:val="21"/>
          <w:highlight w:val="none"/>
        </w:rPr>
        <w:t>二、采购人的采购需求：</w:t>
      </w:r>
    </w:p>
    <w:tbl>
      <w:tblPr>
        <w:tblStyle w:val="20"/>
        <w:tblW w:w="5234" w:type="pct"/>
        <w:tblInd w:w="-46" w:type="dxa"/>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Layout w:type="autofit"/>
        <w:tblCellMar>
          <w:top w:w="0" w:type="dxa"/>
          <w:left w:w="0" w:type="dxa"/>
          <w:bottom w:w="0" w:type="dxa"/>
          <w:right w:w="0" w:type="dxa"/>
        </w:tblCellMar>
      </w:tblPr>
      <w:tblGrid>
        <w:gridCol w:w="666"/>
        <w:gridCol w:w="1332"/>
        <w:gridCol w:w="1733"/>
        <w:gridCol w:w="2019"/>
        <w:gridCol w:w="587"/>
        <w:gridCol w:w="1664"/>
        <w:gridCol w:w="901"/>
        <w:gridCol w:w="901"/>
      </w:tblGrid>
      <w:tr w14:paraId="578A92C9">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579" w:hRule="atLeast"/>
        </w:trPr>
        <w:tc>
          <w:tcPr>
            <w:tcW w:w="340" w:type="pct"/>
            <w:tcBorders>
              <w:bottom w:val="single" w:color="000000" w:sz="6" w:space="0"/>
              <w:right w:val="single" w:color="000000" w:sz="6" w:space="0"/>
            </w:tcBorders>
            <w:noWrap w:val="0"/>
            <w:vAlign w:val="center"/>
          </w:tcPr>
          <w:p w14:paraId="7DBA03B0">
            <w:pPr>
              <w:pStyle w:val="29"/>
              <w:spacing w:line="360" w:lineRule="auto"/>
              <w:jc w:val="center"/>
              <w:rPr>
                <w:rFonts w:hint="eastAsia" w:hAnsi="宋体"/>
                <w:b/>
                <w:bCs/>
                <w:color w:val="auto"/>
                <w:sz w:val="21"/>
                <w:szCs w:val="21"/>
                <w:highlight w:val="none"/>
              </w:rPr>
            </w:pPr>
            <w:r>
              <w:rPr>
                <w:rFonts w:hint="eastAsia" w:hAnsi="宋体"/>
                <w:b/>
                <w:bCs/>
                <w:color w:val="auto"/>
                <w:sz w:val="21"/>
                <w:szCs w:val="21"/>
                <w:highlight w:val="none"/>
              </w:rPr>
              <w:t>包名称</w:t>
            </w:r>
          </w:p>
        </w:tc>
        <w:tc>
          <w:tcPr>
            <w:tcW w:w="679" w:type="pct"/>
            <w:tcBorders>
              <w:left w:val="single" w:color="000000" w:sz="6" w:space="0"/>
              <w:bottom w:val="single" w:color="000000" w:sz="6" w:space="0"/>
              <w:right w:val="single" w:color="000000" w:sz="6" w:space="0"/>
            </w:tcBorders>
            <w:noWrap w:val="0"/>
            <w:vAlign w:val="center"/>
          </w:tcPr>
          <w:p w14:paraId="7C62C17F">
            <w:pPr>
              <w:pStyle w:val="29"/>
              <w:spacing w:line="360" w:lineRule="auto"/>
              <w:jc w:val="center"/>
              <w:rPr>
                <w:rFonts w:hint="eastAsia" w:hAnsi="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最高限价（元）</w:t>
            </w:r>
          </w:p>
        </w:tc>
        <w:tc>
          <w:tcPr>
            <w:tcW w:w="883" w:type="pct"/>
            <w:tcBorders>
              <w:left w:val="single" w:color="000000" w:sz="6" w:space="0"/>
              <w:bottom w:val="single" w:color="000000" w:sz="6" w:space="0"/>
              <w:right w:val="single" w:color="000000" w:sz="6" w:space="0"/>
            </w:tcBorders>
            <w:noWrap w:val="0"/>
            <w:vAlign w:val="center"/>
          </w:tcPr>
          <w:p w14:paraId="580461E1">
            <w:pPr>
              <w:pStyle w:val="29"/>
              <w:spacing w:line="360" w:lineRule="auto"/>
              <w:jc w:val="center"/>
              <w:rPr>
                <w:rFonts w:hint="eastAsia" w:hAnsi="宋体"/>
                <w:b/>
                <w:bCs/>
                <w:color w:val="auto"/>
                <w:sz w:val="21"/>
                <w:szCs w:val="21"/>
                <w:highlight w:val="none"/>
              </w:rPr>
            </w:pPr>
            <w:r>
              <w:rPr>
                <w:rFonts w:hint="eastAsia" w:hAnsi="宋体"/>
                <w:b/>
                <w:bCs/>
                <w:color w:val="auto"/>
                <w:sz w:val="21"/>
                <w:szCs w:val="21"/>
                <w:highlight w:val="none"/>
              </w:rPr>
              <w:t>标的名称</w:t>
            </w:r>
          </w:p>
        </w:tc>
        <w:tc>
          <w:tcPr>
            <w:tcW w:w="1029" w:type="pct"/>
            <w:tcBorders>
              <w:left w:val="single" w:color="000000" w:sz="6" w:space="0"/>
              <w:bottom w:val="single" w:color="000000" w:sz="6" w:space="0"/>
              <w:right w:val="single" w:color="000000" w:sz="6" w:space="0"/>
            </w:tcBorders>
            <w:noWrap w:val="0"/>
            <w:vAlign w:val="center"/>
          </w:tcPr>
          <w:p w14:paraId="5B76796D">
            <w:pPr>
              <w:pStyle w:val="29"/>
              <w:spacing w:line="360" w:lineRule="auto"/>
              <w:jc w:val="center"/>
              <w:rPr>
                <w:rFonts w:hint="eastAsia" w:hAnsi="宋体"/>
                <w:b/>
                <w:bCs/>
                <w:color w:val="auto"/>
                <w:sz w:val="21"/>
                <w:szCs w:val="21"/>
                <w:highlight w:val="none"/>
              </w:rPr>
            </w:pPr>
            <w:r>
              <w:rPr>
                <w:rFonts w:hint="eastAsia" w:hAnsi="宋体"/>
                <w:b/>
                <w:bCs/>
                <w:color w:val="auto"/>
                <w:sz w:val="21"/>
                <w:szCs w:val="21"/>
                <w:highlight w:val="none"/>
              </w:rPr>
              <w:t>简要技术要求</w:t>
            </w:r>
          </w:p>
        </w:tc>
        <w:tc>
          <w:tcPr>
            <w:tcW w:w="299" w:type="pct"/>
            <w:tcBorders>
              <w:left w:val="single" w:color="000000" w:sz="6" w:space="0"/>
              <w:bottom w:val="single" w:color="000000" w:sz="6" w:space="0"/>
              <w:right w:val="single" w:color="000000" w:sz="6" w:space="0"/>
            </w:tcBorders>
            <w:noWrap w:val="0"/>
            <w:vAlign w:val="center"/>
          </w:tcPr>
          <w:p w14:paraId="4F9FA69D">
            <w:pPr>
              <w:pStyle w:val="29"/>
              <w:spacing w:line="360" w:lineRule="auto"/>
              <w:jc w:val="center"/>
              <w:rPr>
                <w:rFonts w:hint="eastAsia" w:hAnsi="宋体"/>
                <w:b/>
                <w:bCs/>
                <w:color w:val="auto"/>
                <w:sz w:val="21"/>
                <w:szCs w:val="21"/>
                <w:highlight w:val="none"/>
              </w:rPr>
            </w:pPr>
            <w:r>
              <w:rPr>
                <w:rFonts w:hint="eastAsia" w:hAnsi="宋体"/>
                <w:b/>
                <w:bCs/>
                <w:color w:val="auto"/>
                <w:sz w:val="21"/>
                <w:szCs w:val="21"/>
                <w:highlight w:val="none"/>
              </w:rPr>
              <w:t>数量</w:t>
            </w:r>
          </w:p>
        </w:tc>
        <w:tc>
          <w:tcPr>
            <w:tcW w:w="848" w:type="pct"/>
            <w:tcBorders>
              <w:left w:val="single" w:color="000000" w:sz="6" w:space="0"/>
              <w:bottom w:val="single" w:color="000000" w:sz="6" w:space="0"/>
              <w:right w:val="single" w:color="000000" w:sz="6" w:space="0"/>
            </w:tcBorders>
            <w:noWrap w:val="0"/>
            <w:vAlign w:val="center"/>
          </w:tcPr>
          <w:p w14:paraId="293EDC3D">
            <w:pPr>
              <w:pStyle w:val="29"/>
              <w:spacing w:line="36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标的预算</w:t>
            </w:r>
          </w:p>
          <w:p w14:paraId="1AE79018">
            <w:pPr>
              <w:pStyle w:val="29"/>
              <w:spacing w:line="360" w:lineRule="auto"/>
              <w:jc w:val="center"/>
              <w:rPr>
                <w:rFonts w:hint="eastAsia" w:hAnsi="宋体"/>
                <w:b/>
                <w:bCs/>
                <w:color w:val="auto"/>
                <w:sz w:val="21"/>
                <w:szCs w:val="21"/>
                <w:highlight w:val="none"/>
              </w:rPr>
            </w:pPr>
            <w:r>
              <w:rPr>
                <w:rFonts w:hint="eastAsia" w:ascii="宋体" w:hAnsi="宋体" w:eastAsia="宋体" w:cs="宋体"/>
                <w:b/>
                <w:bCs/>
                <w:color w:val="auto"/>
                <w:sz w:val="21"/>
                <w:szCs w:val="21"/>
                <w:highlight w:val="none"/>
                <w:lang w:val="en-US" w:eastAsia="zh-CN"/>
              </w:rPr>
              <w:t>（元）</w:t>
            </w:r>
          </w:p>
        </w:tc>
        <w:tc>
          <w:tcPr>
            <w:tcW w:w="459" w:type="pct"/>
            <w:tcBorders>
              <w:left w:val="single" w:color="000000" w:sz="6" w:space="0"/>
              <w:bottom w:val="single" w:color="000000" w:sz="6" w:space="0"/>
              <w:right w:val="single" w:color="000000" w:sz="6" w:space="0"/>
            </w:tcBorders>
            <w:noWrap w:val="0"/>
            <w:vAlign w:val="center"/>
          </w:tcPr>
          <w:p w14:paraId="6CF364CC">
            <w:pPr>
              <w:pStyle w:val="29"/>
              <w:spacing w:line="360" w:lineRule="auto"/>
              <w:jc w:val="center"/>
              <w:rPr>
                <w:rFonts w:hint="eastAsia" w:hAnsi="宋体"/>
                <w:b/>
                <w:bCs/>
                <w:color w:val="auto"/>
                <w:sz w:val="21"/>
                <w:szCs w:val="21"/>
                <w:highlight w:val="none"/>
              </w:rPr>
            </w:pPr>
            <w:r>
              <w:rPr>
                <w:rFonts w:hint="eastAsia" w:hAnsi="宋体"/>
                <w:b/>
                <w:bCs/>
                <w:color w:val="auto"/>
                <w:sz w:val="21"/>
                <w:szCs w:val="21"/>
                <w:highlight w:val="none"/>
              </w:rPr>
              <w:t>节能产品</w:t>
            </w:r>
          </w:p>
        </w:tc>
        <w:tc>
          <w:tcPr>
            <w:tcW w:w="459" w:type="pct"/>
            <w:tcBorders>
              <w:left w:val="single" w:color="000000" w:sz="6" w:space="0"/>
              <w:bottom w:val="single" w:color="000000" w:sz="6" w:space="0"/>
            </w:tcBorders>
            <w:noWrap w:val="0"/>
            <w:vAlign w:val="center"/>
          </w:tcPr>
          <w:p w14:paraId="2CF4E22C">
            <w:pPr>
              <w:pStyle w:val="29"/>
              <w:spacing w:line="360" w:lineRule="auto"/>
              <w:jc w:val="center"/>
              <w:rPr>
                <w:rFonts w:hint="eastAsia" w:hAnsi="宋体"/>
                <w:b/>
                <w:bCs/>
                <w:color w:val="auto"/>
                <w:sz w:val="21"/>
                <w:szCs w:val="21"/>
                <w:highlight w:val="none"/>
              </w:rPr>
            </w:pPr>
            <w:r>
              <w:rPr>
                <w:rFonts w:hint="eastAsia" w:hAnsi="宋体"/>
                <w:b/>
                <w:bCs/>
                <w:color w:val="auto"/>
                <w:sz w:val="21"/>
                <w:szCs w:val="21"/>
                <w:highlight w:val="none"/>
              </w:rPr>
              <w:t>进口产品</w:t>
            </w:r>
          </w:p>
        </w:tc>
      </w:tr>
      <w:tr w14:paraId="45C1ABD6">
        <w:tblPrEx>
          <w:tblBorders>
            <w:top w:val="double" w:color="000000" w:sz="0" w:space="0"/>
            <w:left w:val="double" w:color="000000" w:sz="0" w:space="0"/>
            <w:bottom w:val="double" w:color="000000" w:sz="0" w:space="0"/>
            <w:right w:val="double" w:color="000000" w:sz="0" w:space="0"/>
            <w:insideH w:val="double" w:color="000000" w:sz="0" w:space="0"/>
            <w:insideV w:val="double" w:color="000000" w:sz="0" w:space="0"/>
          </w:tblBorders>
          <w:tblCellMar>
            <w:top w:w="0" w:type="dxa"/>
            <w:left w:w="0" w:type="dxa"/>
            <w:bottom w:w="0" w:type="dxa"/>
            <w:right w:w="0" w:type="dxa"/>
          </w:tblCellMar>
        </w:tblPrEx>
        <w:trPr>
          <w:trHeight w:val="359" w:hRule="atLeast"/>
        </w:trPr>
        <w:tc>
          <w:tcPr>
            <w:tcW w:w="340" w:type="pct"/>
            <w:tcBorders>
              <w:top w:val="single" w:color="000000" w:sz="6" w:space="0"/>
              <w:bottom w:val="single" w:color="000000" w:sz="6" w:space="0"/>
              <w:right w:val="single" w:color="000000" w:sz="6" w:space="0"/>
            </w:tcBorders>
            <w:noWrap w:val="0"/>
            <w:vAlign w:val="center"/>
          </w:tcPr>
          <w:p w14:paraId="7558E530">
            <w:pPr>
              <w:pStyle w:val="29"/>
              <w:spacing w:before="1" w:line="360" w:lineRule="auto"/>
              <w:jc w:val="center"/>
              <w:rPr>
                <w:rFonts w:hint="eastAsia" w:hAnsi="宋体" w:eastAsia="宋体"/>
                <w:color w:val="auto"/>
                <w:sz w:val="21"/>
                <w:szCs w:val="21"/>
                <w:highlight w:val="none"/>
                <w:lang w:val="en-US" w:eastAsia="zh-CN"/>
              </w:rPr>
            </w:pPr>
            <w:r>
              <w:rPr>
                <w:rFonts w:hint="eastAsia" w:hAnsi="宋体"/>
                <w:color w:val="auto"/>
                <w:sz w:val="21"/>
                <w:szCs w:val="21"/>
                <w:highlight w:val="none"/>
                <w:lang w:eastAsia="zh-CN"/>
              </w:rPr>
              <w:t>整包</w:t>
            </w:r>
          </w:p>
        </w:tc>
        <w:tc>
          <w:tcPr>
            <w:tcW w:w="679" w:type="pct"/>
            <w:tcBorders>
              <w:top w:val="single" w:color="000000" w:sz="6" w:space="0"/>
              <w:left w:val="single" w:color="000000" w:sz="6" w:space="0"/>
              <w:bottom w:val="single" w:color="000000" w:sz="6" w:space="0"/>
              <w:right w:val="single" w:color="000000" w:sz="6" w:space="0"/>
            </w:tcBorders>
            <w:noWrap w:val="0"/>
            <w:vAlign w:val="center"/>
          </w:tcPr>
          <w:p w14:paraId="598C68E3">
            <w:pPr>
              <w:pStyle w:val="29"/>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1675900元</w:t>
            </w:r>
          </w:p>
        </w:tc>
        <w:tc>
          <w:tcPr>
            <w:tcW w:w="883" w:type="pct"/>
            <w:tcBorders>
              <w:top w:val="single" w:color="000000" w:sz="6" w:space="0"/>
              <w:left w:val="single" w:color="000000" w:sz="6" w:space="0"/>
              <w:bottom w:val="single" w:color="000000" w:sz="6" w:space="0"/>
              <w:right w:val="single" w:color="000000" w:sz="6" w:space="0"/>
            </w:tcBorders>
            <w:noWrap w:val="0"/>
            <w:vAlign w:val="center"/>
          </w:tcPr>
          <w:p w14:paraId="13AE806F">
            <w:pPr>
              <w:pStyle w:val="9"/>
              <w:spacing w:after="0" w:line="240" w:lineRule="auto"/>
              <w:jc w:val="center"/>
              <w:rPr>
                <w:rFonts w:hint="eastAsia" w:hAnsi="宋体" w:eastAsia="宋体"/>
                <w:color w:val="auto"/>
                <w:sz w:val="21"/>
                <w:szCs w:val="21"/>
                <w:highlight w:val="none"/>
                <w:lang w:val="en-US" w:eastAsia="zh-CN"/>
              </w:rPr>
            </w:pPr>
            <w:r>
              <w:rPr>
                <w:rFonts w:hint="eastAsia" w:ascii="宋体" w:hAnsi="宋体" w:cs="宋体"/>
                <w:color w:val="auto"/>
                <w:sz w:val="21"/>
                <w:szCs w:val="21"/>
                <w:highlight w:val="none"/>
                <w:lang w:eastAsia="zh-CN"/>
              </w:rPr>
              <w:t>湘潭市中级人民法院大要案审判转播保障系统建设项目</w:t>
            </w:r>
          </w:p>
        </w:tc>
        <w:tc>
          <w:tcPr>
            <w:tcW w:w="1029" w:type="pct"/>
            <w:tcBorders>
              <w:top w:val="single" w:color="000000" w:sz="6" w:space="0"/>
              <w:left w:val="single" w:color="000000" w:sz="6" w:space="0"/>
              <w:bottom w:val="single" w:color="000000" w:sz="6" w:space="0"/>
              <w:right w:val="single" w:color="000000" w:sz="6" w:space="0"/>
            </w:tcBorders>
            <w:noWrap w:val="0"/>
            <w:vAlign w:val="center"/>
          </w:tcPr>
          <w:p w14:paraId="3E7713C2">
            <w:pPr>
              <w:pStyle w:val="29"/>
              <w:spacing w:line="240" w:lineRule="auto"/>
              <w:ind w:left="154" w:right="145" w:hanging="1"/>
              <w:jc w:val="center"/>
              <w:rPr>
                <w:rFonts w:hint="eastAsia" w:hAnsi="宋体" w:eastAsia="宋体"/>
                <w:color w:val="auto"/>
                <w:sz w:val="21"/>
                <w:szCs w:val="21"/>
                <w:highlight w:val="none"/>
                <w:lang w:eastAsia="zh-CN"/>
              </w:rPr>
            </w:pPr>
            <w:r>
              <w:rPr>
                <w:rFonts w:hint="eastAsia" w:ascii="宋体" w:hAnsi="宋体" w:cs="宋体"/>
                <w:color w:val="auto"/>
                <w:sz w:val="21"/>
                <w:szCs w:val="21"/>
                <w:highlight w:val="none"/>
                <w:lang w:eastAsia="zh-CN"/>
              </w:rPr>
              <w:t>大要案审判转播保障系统建设</w:t>
            </w:r>
          </w:p>
        </w:tc>
        <w:tc>
          <w:tcPr>
            <w:tcW w:w="299" w:type="pct"/>
            <w:tcBorders>
              <w:top w:val="single" w:color="000000" w:sz="6" w:space="0"/>
              <w:left w:val="single" w:color="000000" w:sz="6" w:space="0"/>
              <w:bottom w:val="single" w:color="000000" w:sz="6" w:space="0"/>
              <w:right w:val="single" w:color="000000" w:sz="6" w:space="0"/>
            </w:tcBorders>
            <w:noWrap w:val="0"/>
            <w:vAlign w:val="center"/>
          </w:tcPr>
          <w:p w14:paraId="3F7DC433">
            <w:pPr>
              <w:pStyle w:val="29"/>
              <w:spacing w:line="360" w:lineRule="auto"/>
              <w:ind w:right="83"/>
              <w:jc w:val="center"/>
              <w:rPr>
                <w:rFonts w:hint="eastAsia" w:hAnsi="宋体"/>
                <w:color w:val="auto"/>
                <w:sz w:val="21"/>
                <w:szCs w:val="21"/>
                <w:highlight w:val="none"/>
                <w:lang w:val="en-US"/>
              </w:rPr>
            </w:pPr>
            <w:r>
              <w:rPr>
                <w:rFonts w:hint="eastAsia" w:hAnsi="宋体"/>
                <w:color w:val="auto"/>
                <w:sz w:val="21"/>
                <w:szCs w:val="21"/>
                <w:highlight w:val="none"/>
                <w:lang w:val="en-US"/>
              </w:rPr>
              <w:t>1项</w:t>
            </w:r>
          </w:p>
        </w:tc>
        <w:tc>
          <w:tcPr>
            <w:tcW w:w="848" w:type="pct"/>
            <w:tcBorders>
              <w:top w:val="single" w:color="000000" w:sz="6" w:space="0"/>
              <w:left w:val="single" w:color="000000" w:sz="6" w:space="0"/>
              <w:bottom w:val="single" w:color="000000" w:sz="6" w:space="0"/>
              <w:right w:val="single" w:color="000000" w:sz="6" w:space="0"/>
            </w:tcBorders>
            <w:noWrap w:val="0"/>
            <w:vAlign w:val="center"/>
          </w:tcPr>
          <w:p w14:paraId="11B6F93A">
            <w:pPr>
              <w:pStyle w:val="29"/>
              <w:spacing w:line="360" w:lineRule="auto"/>
              <w:ind w:left="154" w:right="145" w:hanging="1"/>
              <w:jc w:val="center"/>
              <w:rPr>
                <w:rFonts w:hint="eastAsia" w:hAnsi="宋体" w:eastAsia="宋体"/>
                <w:color w:val="auto"/>
                <w:sz w:val="21"/>
                <w:szCs w:val="21"/>
                <w:highlight w:val="none"/>
                <w:lang w:val="en-US" w:eastAsia="zh-CN"/>
              </w:rPr>
            </w:pPr>
            <w:r>
              <w:rPr>
                <w:rFonts w:hint="eastAsia" w:hAnsi="宋体" w:eastAsia="宋体"/>
                <w:color w:val="auto"/>
                <w:sz w:val="21"/>
                <w:szCs w:val="21"/>
                <w:highlight w:val="none"/>
                <w:lang w:val="en-US" w:eastAsia="zh-CN"/>
              </w:rPr>
              <w:t>1675</w:t>
            </w:r>
            <w:r>
              <w:rPr>
                <w:rFonts w:hint="eastAsia" w:hAnsi="宋体"/>
                <w:color w:val="auto"/>
                <w:sz w:val="21"/>
                <w:szCs w:val="21"/>
                <w:highlight w:val="none"/>
                <w:lang w:val="en-US" w:eastAsia="zh-CN"/>
              </w:rPr>
              <w:t>900</w:t>
            </w:r>
            <w:r>
              <w:rPr>
                <w:rFonts w:hint="eastAsia" w:hAnsi="宋体" w:eastAsia="宋体"/>
                <w:color w:val="auto"/>
                <w:sz w:val="21"/>
                <w:szCs w:val="21"/>
                <w:highlight w:val="none"/>
                <w:lang w:val="en-US" w:eastAsia="zh-CN"/>
              </w:rPr>
              <w:t>元</w:t>
            </w:r>
          </w:p>
        </w:tc>
        <w:tc>
          <w:tcPr>
            <w:tcW w:w="459" w:type="pct"/>
            <w:tcBorders>
              <w:top w:val="single" w:color="000000" w:sz="6" w:space="0"/>
              <w:left w:val="single" w:color="000000" w:sz="6" w:space="0"/>
              <w:bottom w:val="single" w:color="000000" w:sz="6" w:space="0"/>
              <w:right w:val="single" w:color="000000" w:sz="6" w:space="0"/>
            </w:tcBorders>
            <w:noWrap w:val="0"/>
            <w:vAlign w:val="center"/>
          </w:tcPr>
          <w:p w14:paraId="4130B140">
            <w:pPr>
              <w:pStyle w:val="29"/>
              <w:spacing w:line="360" w:lineRule="auto"/>
              <w:jc w:val="center"/>
              <w:rPr>
                <w:rFonts w:hint="eastAsia" w:hAnsi="宋体"/>
                <w:color w:val="auto"/>
                <w:sz w:val="21"/>
                <w:szCs w:val="21"/>
                <w:highlight w:val="none"/>
              </w:rPr>
            </w:pPr>
            <w:r>
              <w:rPr>
                <w:rFonts w:hint="eastAsia" w:hAnsi="宋体"/>
                <w:color w:val="auto"/>
                <w:sz w:val="21"/>
                <w:szCs w:val="21"/>
                <w:highlight w:val="none"/>
              </w:rPr>
              <w:object>
                <v:shape id="_x0000_i1025" o:spt="201" alt="" type="#_x0000_t201" style="height:15.75pt;width:20.25pt;" o:ole="t" filled="f" o:preferrelative="t" stroked="f" coordsize="21600,21600">
                  <v:path/>
                  <v:fill on="f" focussize="0,0"/>
                  <v:stroke on="f"/>
                  <v:imagedata r:id="rId21" o:title=""/>
                  <o:lock v:ext="edit" aspectratio="t"/>
                  <w10:wrap type="none"/>
                  <w10:anchorlock/>
                </v:shape>
                <w:control r:id="rId20" w:name="CheckBox1" w:shapeid="_x0000_i1025"/>
              </w:object>
            </w:r>
          </w:p>
        </w:tc>
        <w:tc>
          <w:tcPr>
            <w:tcW w:w="459" w:type="pct"/>
            <w:tcBorders>
              <w:top w:val="single" w:color="000000" w:sz="6" w:space="0"/>
              <w:left w:val="single" w:color="000000" w:sz="6" w:space="0"/>
              <w:bottom w:val="single" w:color="000000" w:sz="6" w:space="0"/>
            </w:tcBorders>
            <w:noWrap w:val="0"/>
            <w:vAlign w:val="center"/>
          </w:tcPr>
          <w:p w14:paraId="17855A28">
            <w:pPr>
              <w:pStyle w:val="29"/>
              <w:spacing w:line="360" w:lineRule="auto"/>
              <w:ind w:right="239"/>
              <w:jc w:val="center"/>
              <w:rPr>
                <w:rFonts w:hint="eastAsia" w:hAnsi="宋体"/>
                <w:color w:val="auto"/>
                <w:sz w:val="21"/>
                <w:szCs w:val="21"/>
                <w:highlight w:val="none"/>
              </w:rPr>
            </w:pPr>
            <w:r>
              <w:rPr>
                <w:rFonts w:hint="eastAsia" w:hAnsi="宋体"/>
                <w:color w:val="auto"/>
                <w:sz w:val="21"/>
                <w:szCs w:val="21"/>
                <w:highlight w:val="none"/>
              </w:rPr>
              <w:object>
                <v:shape id="_x0000_i1026" o:spt="201" alt="" type="#_x0000_t201" style="height:15.75pt;width:20.25pt;" o:ole="t" filled="f" o:preferrelative="t" stroked="f" coordsize="21600,21600">
                  <v:path/>
                  <v:fill on="f" focussize="0,0"/>
                  <v:stroke on="f"/>
                  <v:imagedata r:id="rId21" o:title=""/>
                  <o:lock v:ext="edit" aspectratio="t"/>
                  <w10:wrap type="none"/>
                  <w10:anchorlock/>
                </v:shape>
                <w:control r:id="rId22" w:name="CheckBox2" w:shapeid="_x0000_i1026"/>
              </w:object>
            </w:r>
          </w:p>
        </w:tc>
      </w:tr>
    </w:tbl>
    <w:p w14:paraId="35204B28">
      <w:pPr>
        <w:pStyle w:val="9"/>
        <w:spacing w:after="0"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说明：</w:t>
      </w:r>
    </w:p>
    <w:p w14:paraId="318AB87A">
      <w:pPr>
        <w:pStyle w:val="9"/>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1、节能产品实行强制采购的，需提供国家认证机构出具的、处于有效期内的节能产品证书。</w:t>
      </w:r>
    </w:p>
    <w:p w14:paraId="785489B8">
      <w:pPr>
        <w:pStyle w:val="28"/>
        <w:tabs>
          <w:tab w:val="left" w:pos="940"/>
        </w:tabs>
        <w:spacing w:line="360" w:lineRule="auto"/>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2、同意购买进口产品的，不限制满足采购需求的国内产品参与投标。 </w:t>
      </w:r>
    </w:p>
    <w:p w14:paraId="3D1E575C">
      <w:pPr>
        <w:pStyle w:val="28"/>
        <w:tabs>
          <w:tab w:val="left" w:pos="940"/>
        </w:tabs>
        <w:spacing w:line="360" w:lineRule="auto"/>
        <w:ind w:firstLine="422"/>
        <w:jc w:val="left"/>
        <w:rPr>
          <w:rFonts w:hint="eastAsia" w:ascii="宋体" w:hAnsi="宋体" w:cs="宋体"/>
          <w:color w:val="auto"/>
          <w:sz w:val="21"/>
          <w:szCs w:val="21"/>
          <w:highlight w:val="none"/>
        </w:rPr>
      </w:pPr>
      <w:r>
        <w:rPr>
          <w:rFonts w:hint="eastAsia" w:ascii="宋体" w:hAnsi="宋体" w:cs="宋体"/>
          <w:b/>
          <w:bCs/>
          <w:color w:val="auto"/>
          <w:sz w:val="21"/>
          <w:szCs w:val="21"/>
          <w:highlight w:val="none"/>
        </w:rPr>
        <w:t>三、采购项目需落实的政府采购政策：</w:t>
      </w:r>
    </w:p>
    <w:p w14:paraId="77B265E6">
      <w:pPr>
        <w:adjustRightInd w:val="0"/>
        <w:snapToGrid w:val="0"/>
        <w:spacing w:line="360" w:lineRule="auto"/>
        <w:ind w:firstLine="420" w:firstLineChars="200"/>
        <w:rPr>
          <w:color w:val="auto"/>
        </w:rPr>
      </w:pPr>
      <w:r>
        <w:rPr>
          <w:rFonts w:hint="eastAsia" w:ascii="宋体" w:hAnsi="宋体"/>
          <w:color w:val="auto"/>
          <w:szCs w:val="21"/>
          <w:highlight w:val="white"/>
          <w:lang w:eastAsia="zh-CN"/>
        </w:rPr>
        <w:t>□</w:t>
      </w:r>
      <w:r>
        <w:rPr>
          <w:rFonts w:hint="eastAsia" w:ascii="宋体" w:hAnsi="宋体"/>
          <w:color w:val="auto"/>
          <w:szCs w:val="21"/>
          <w:highlight w:val="white"/>
        </w:rPr>
        <w:t>强制采购：政府采购实行强制采购的节能产品。</w:t>
      </w:r>
    </w:p>
    <w:p w14:paraId="11FC30C7">
      <w:pPr>
        <w:adjustRightInd w:val="0"/>
        <w:snapToGrid w:val="0"/>
        <w:spacing w:line="360" w:lineRule="auto"/>
        <w:ind w:firstLine="420" w:firstLineChars="200"/>
        <w:rPr>
          <w:rFonts w:ascii="宋体" w:hAnsi="宋体"/>
          <w:color w:val="auto"/>
          <w:szCs w:val="21"/>
        </w:rPr>
      </w:pPr>
      <w:bookmarkStart w:id="2" w:name="EBba485444197c44308c95bc3919654924"/>
      <w:r>
        <w:rPr>
          <w:rFonts w:hint="eastAsia" w:ascii="宋体" w:hAnsi="宋体"/>
          <w:color w:val="auto"/>
          <w:szCs w:val="21"/>
          <w:highlight w:val="white"/>
        </w:rPr>
        <w:t>☑</w:t>
      </w:r>
      <w:bookmarkEnd w:id="2"/>
      <w:r>
        <w:rPr>
          <w:rFonts w:hint="eastAsia" w:ascii="宋体" w:hAnsi="宋体"/>
          <w:color w:val="auto"/>
          <w:szCs w:val="21"/>
        </w:rPr>
        <w:t>优先采购：节能产品、环境标志产品享受加分或价格折扣。</w:t>
      </w:r>
    </w:p>
    <w:p w14:paraId="12E7FE77">
      <w:pPr>
        <w:adjustRightInd w:val="0"/>
        <w:snapToGrid w:val="0"/>
        <w:spacing w:line="360" w:lineRule="auto"/>
        <w:ind w:firstLine="420" w:firstLineChars="200"/>
        <w:rPr>
          <w:rFonts w:ascii="宋体" w:hAnsi="宋体"/>
          <w:color w:val="auto"/>
          <w:szCs w:val="21"/>
        </w:rPr>
      </w:pPr>
      <w:bookmarkStart w:id="3" w:name="EB16493418eeb44312b35d524132d4ad51"/>
      <w:r>
        <w:rPr>
          <w:rFonts w:hint="eastAsia" w:ascii="宋体" w:hAnsi="宋体"/>
          <w:color w:val="auto"/>
          <w:szCs w:val="21"/>
          <w:highlight w:val="white"/>
        </w:rPr>
        <w:t>☑</w:t>
      </w:r>
      <w:bookmarkEnd w:id="3"/>
      <w:r>
        <w:rPr>
          <w:rFonts w:hint="eastAsia" w:ascii="宋体" w:hAnsi="宋体"/>
          <w:color w:val="auto"/>
          <w:szCs w:val="21"/>
        </w:rPr>
        <w:t>支持中小企业：中小企业享受预留采购份额或价格折扣。</w:t>
      </w:r>
    </w:p>
    <w:p w14:paraId="6919C93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highlight w:val="white"/>
        </w:rPr>
        <w:t>☑</w:t>
      </w:r>
      <w:r>
        <w:rPr>
          <w:rFonts w:hint="eastAsia" w:ascii="宋体" w:hAnsi="宋体"/>
          <w:color w:val="auto"/>
          <w:szCs w:val="21"/>
        </w:rPr>
        <w:t>支持本国产品:对本国产品给予价格评审优惠。</w:t>
      </w:r>
    </w:p>
    <w:p w14:paraId="1C3312F5">
      <w:pPr>
        <w:spacing w:line="360" w:lineRule="auto"/>
        <w:ind w:firstLine="422" w:firstLineChars="200"/>
        <w:jc w:val="left"/>
        <w:rPr>
          <w:rFonts w:hint="eastAsia" w:ascii="宋体" w:hAnsi="宋体" w:cs="宋体"/>
          <w:color w:val="auto"/>
          <w:szCs w:val="21"/>
          <w:highlight w:val="none"/>
        </w:rPr>
      </w:pPr>
      <w:r>
        <w:rPr>
          <w:rFonts w:hint="eastAsia" w:ascii="宋体" w:hAnsi="宋体" w:cs="宋体"/>
          <w:b/>
          <w:bCs/>
          <w:color w:val="auto"/>
          <w:kern w:val="0"/>
          <w:szCs w:val="21"/>
          <w:highlight w:val="none"/>
        </w:rPr>
        <w:t>四、投标供应商的资格要求：</w:t>
      </w:r>
    </w:p>
    <w:p w14:paraId="5F66A790">
      <w:pPr>
        <w:pStyle w:val="9"/>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1、投标供应商的基本资格条件：投标供应商必须是在中华人民共和国境内注册登记的法人、其他组织或者自然人，且应当符合《政府采购法》第二十二条第一款的规定。</w:t>
      </w:r>
    </w:p>
    <w:p w14:paraId="12D6B4C2">
      <w:pPr>
        <w:pStyle w:val="9"/>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2、落实政府采购政策需满足的资格要求：</w:t>
      </w:r>
    </w:p>
    <w:p w14:paraId="75024517">
      <w:pPr>
        <w:pStyle w:val="28"/>
        <w:tabs>
          <w:tab w:val="left" w:pos="1125"/>
          <w:tab w:val="left" w:pos="3411"/>
        </w:tabs>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专门面向：</w:t>
      </w:r>
      <w:r>
        <w:rPr>
          <w:rFonts w:hint="eastAsia" w:ascii="宋体" w:hAnsi="宋体" w:eastAsia="宋体" w:cs="宋体"/>
          <w:color w:val="auto"/>
          <w:kern w:val="2"/>
          <w:sz w:val="21"/>
          <w:szCs w:val="21"/>
          <w:highlight w:val="none"/>
          <w:lang w:val="en-US" w:eastAsia="zh-CN" w:bidi="ar-SA"/>
        </w:rPr>
        <w:sym w:font="Wingdings" w:char="00A8"/>
      </w:r>
      <w:r>
        <w:rPr>
          <w:rFonts w:hint="eastAsia" w:ascii="宋体" w:hAnsi="宋体" w:eastAsia="宋体" w:cs="宋体"/>
          <w:color w:val="auto"/>
          <w:kern w:val="2"/>
          <w:sz w:val="21"/>
          <w:szCs w:val="21"/>
          <w:highlight w:val="none"/>
          <w:lang w:val="en-US" w:eastAsia="zh-CN" w:bidi="ar-SA"/>
        </w:rPr>
        <w:t>中小企业</w:t>
      </w:r>
      <w:r>
        <w:rPr>
          <w:rFonts w:hint="eastAsia" w:ascii="宋体" w:hAnsi="宋体" w:eastAsia="宋体" w:cs="宋体"/>
          <w:color w:val="auto"/>
          <w:kern w:val="2"/>
          <w:sz w:val="21"/>
          <w:szCs w:val="21"/>
          <w:highlight w:val="none"/>
          <w:lang w:val="en-US" w:eastAsia="zh-CN" w:bidi="ar-SA"/>
        </w:rPr>
        <w:sym w:font="Wingdings" w:char="00A8"/>
      </w:r>
      <w:r>
        <w:rPr>
          <w:rFonts w:hint="eastAsia" w:ascii="宋体" w:hAnsi="宋体" w:eastAsia="宋体" w:cs="宋体"/>
          <w:color w:val="auto"/>
          <w:kern w:val="2"/>
          <w:sz w:val="21"/>
          <w:szCs w:val="21"/>
          <w:highlight w:val="none"/>
          <w:lang w:val="en-US" w:eastAsia="zh-CN" w:bidi="ar-SA"/>
        </w:rPr>
        <w:t xml:space="preserve">小微企业 </w:t>
      </w:r>
      <w:r>
        <w:rPr>
          <w:rFonts w:hint="eastAsia" w:ascii="宋体" w:hAnsi="宋体" w:eastAsia="宋体" w:cs="宋体"/>
          <w:color w:val="auto"/>
          <w:kern w:val="2"/>
          <w:sz w:val="21"/>
          <w:szCs w:val="21"/>
          <w:highlight w:val="none"/>
          <w:lang w:val="en-US" w:eastAsia="zh-CN" w:bidi="ar-SA"/>
        </w:rPr>
        <w:sym w:font="Wingdings" w:char="00A8"/>
      </w:r>
      <w:r>
        <w:rPr>
          <w:rFonts w:hint="eastAsia" w:ascii="宋体" w:hAnsi="宋体" w:eastAsia="宋体" w:cs="宋体"/>
          <w:color w:val="auto"/>
          <w:kern w:val="2"/>
          <w:sz w:val="21"/>
          <w:szCs w:val="21"/>
          <w:highlight w:val="none"/>
          <w:lang w:val="en-US" w:eastAsia="zh-CN" w:bidi="ar-SA"/>
        </w:rPr>
        <w:t xml:space="preserve">监狱企业 </w:t>
      </w:r>
      <w:r>
        <w:rPr>
          <w:rFonts w:hint="eastAsia" w:ascii="宋体" w:hAnsi="宋体" w:eastAsia="宋体" w:cs="宋体"/>
          <w:color w:val="auto"/>
          <w:kern w:val="2"/>
          <w:sz w:val="21"/>
          <w:szCs w:val="21"/>
          <w:highlight w:val="none"/>
          <w:lang w:val="en-US" w:eastAsia="zh-CN" w:bidi="ar-SA"/>
        </w:rPr>
        <w:sym w:font="Wingdings" w:char="00A8"/>
      </w:r>
      <w:r>
        <w:rPr>
          <w:rFonts w:hint="eastAsia" w:ascii="宋体" w:hAnsi="宋体" w:eastAsia="宋体" w:cs="宋体"/>
          <w:color w:val="auto"/>
          <w:kern w:val="2"/>
          <w:sz w:val="21"/>
          <w:szCs w:val="21"/>
          <w:highlight w:val="none"/>
          <w:lang w:val="en-US" w:eastAsia="zh-CN" w:bidi="ar-SA"/>
        </w:rPr>
        <w:t>福利性单位。</w:t>
      </w:r>
    </w:p>
    <w:p w14:paraId="6C4FA9CC">
      <w:pPr>
        <w:pStyle w:val="28"/>
        <w:tabs>
          <w:tab w:val="left" w:pos="1125"/>
          <w:tab w:val="left" w:pos="4191"/>
          <w:tab w:val="left" w:pos="4904"/>
          <w:tab w:val="left" w:pos="5031"/>
          <w:tab w:val="left" w:pos="5218"/>
        </w:tabs>
        <w:spacing w:line="360" w:lineRule="auto"/>
        <w:jc w:val="left"/>
        <w:rPr>
          <w:rFonts w:hint="eastAsia" w:ascii="宋体" w:hAnsi="宋体" w:cs="宋体"/>
          <w:color w:val="auto"/>
          <w:spacing w:val="-13"/>
          <w:sz w:val="21"/>
          <w:szCs w:val="21"/>
          <w:highlight w:val="none"/>
        </w:rPr>
      </w:pPr>
      <w:r>
        <w:rPr>
          <w:rFonts w:hint="eastAsia" w:ascii="宋体" w:hAnsi="宋体" w:cs="宋体"/>
          <w:color w:val="auto"/>
          <w:sz w:val="21"/>
          <w:szCs w:val="21"/>
          <w:highlight w:val="none"/>
        </w:rPr>
        <w:t xml:space="preserve"> 强制分包：大型企业应将采购份额的</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%分包给中小企业</w:t>
      </w:r>
      <w:r>
        <w:rPr>
          <w:rFonts w:hint="eastAsia" w:ascii="宋体" w:hAnsi="宋体" w:cs="宋体"/>
          <w:color w:val="auto"/>
          <w:spacing w:val="-13"/>
          <w:sz w:val="21"/>
          <w:szCs w:val="21"/>
          <w:highlight w:val="none"/>
        </w:rPr>
        <w:t>。</w:t>
      </w:r>
    </w:p>
    <w:p w14:paraId="669E3718">
      <w:pPr>
        <w:pStyle w:val="9"/>
        <w:numPr>
          <w:ilvl w:val="0"/>
          <w:numId w:val="0"/>
        </w:numPr>
        <w:spacing w:after="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采购项目的特定资格条件：</w:t>
      </w:r>
      <w:r>
        <w:rPr>
          <w:rFonts w:hint="eastAsia" w:ascii="宋体" w:hAnsi="宋体" w:cs="宋体"/>
          <w:color w:val="auto"/>
          <w:sz w:val="21"/>
          <w:szCs w:val="21"/>
          <w:highlight w:val="none"/>
          <w:lang w:val="en-US" w:eastAsia="zh-CN"/>
        </w:rPr>
        <w:t>无。</w:t>
      </w:r>
    </w:p>
    <w:p w14:paraId="62543C34">
      <w:pPr>
        <w:pStyle w:val="9"/>
        <w:spacing w:after="0" w:line="360" w:lineRule="auto"/>
        <w:ind w:firstLine="420" w:firstLineChars="200"/>
        <w:rPr>
          <w:rFonts w:hint="eastAsia" w:ascii="宋体" w:hAnsi="宋体" w:eastAsia="宋体" w:cs="宋体"/>
          <w:color w:val="auto"/>
          <w:sz w:val="21"/>
          <w:szCs w:val="21"/>
          <w:highlight w:val="none"/>
          <w:lang w:eastAsia="en-US"/>
        </w:rPr>
      </w:pPr>
      <w:r>
        <w:rPr>
          <w:rFonts w:hint="eastAsia" w:ascii="宋体" w:hAnsi="宋体" w:eastAsia="宋体" w:cs="宋体"/>
          <w:color w:val="auto"/>
          <w:sz w:val="21"/>
          <w:szCs w:val="21"/>
          <w:highlight w:val="none"/>
        </w:rPr>
        <w:t>4、单位负责人为同一人或者存在直接控股、管理关系的不同投标供应商，不得参加同一合同项下的政</w:t>
      </w:r>
      <w:r>
        <w:rPr>
          <w:rFonts w:hint="eastAsia" w:ascii="宋体" w:hAnsi="宋体" w:eastAsia="宋体" w:cs="宋体"/>
          <w:color w:val="auto"/>
          <w:sz w:val="21"/>
          <w:szCs w:val="21"/>
          <w:highlight w:val="none"/>
          <w:lang w:eastAsia="en-US"/>
        </w:rPr>
        <w:t>府采购活动。</w:t>
      </w:r>
    </w:p>
    <w:p w14:paraId="5BAFD4AC">
      <w:pPr>
        <w:pStyle w:val="9"/>
        <w:numPr>
          <w:ilvl w:val="0"/>
          <w:numId w:val="0"/>
        </w:numPr>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为本采购项目提供整体设计、规范编制或者项目管理、监理、检测等服务的，不得再参加此项</w:t>
      </w:r>
    </w:p>
    <w:p w14:paraId="1D814392">
      <w:pPr>
        <w:pStyle w:val="9"/>
        <w:spacing w:after="0" w:line="360" w:lineRule="auto"/>
        <w:rPr>
          <w:rFonts w:hint="eastAsia" w:ascii="宋体" w:hAnsi="宋体" w:cs="宋体"/>
          <w:color w:val="auto"/>
          <w:sz w:val="21"/>
          <w:szCs w:val="21"/>
          <w:highlight w:val="none"/>
          <w:lang w:eastAsia="en-US"/>
        </w:rPr>
      </w:pPr>
      <w:r>
        <w:rPr>
          <w:rFonts w:hint="eastAsia" w:ascii="宋体" w:hAnsi="宋体" w:cs="宋体"/>
          <w:color w:val="auto"/>
          <w:sz w:val="21"/>
          <w:szCs w:val="21"/>
          <w:highlight w:val="none"/>
          <w:lang w:eastAsia="en-US"/>
        </w:rPr>
        <w:t>目的其他采购活动。</w:t>
      </w:r>
    </w:p>
    <w:p w14:paraId="3EBC1CC4">
      <w:pPr>
        <w:pStyle w:val="9"/>
        <w:numPr>
          <w:ilvl w:val="0"/>
          <w:numId w:val="0"/>
        </w:numPr>
        <w:spacing w:after="0"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列入失信被执行人、重大税收违法失信主体名单、政府采购严重违法失信行为记录名单的，拒</w:t>
      </w:r>
    </w:p>
    <w:p w14:paraId="75E213D5">
      <w:pPr>
        <w:pStyle w:val="9"/>
        <w:spacing w:after="0"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绝其参与政府采购活动。</w:t>
      </w:r>
    </w:p>
    <w:p w14:paraId="2062A633">
      <w:pPr>
        <w:pStyle w:val="9"/>
        <w:numPr>
          <w:ilvl w:val="0"/>
          <w:numId w:val="0"/>
        </w:numPr>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联合体投标。本次招标不接受联合体投标。</w:t>
      </w:r>
    </w:p>
    <w:p w14:paraId="185865B3">
      <w:pPr>
        <w:pStyle w:val="9"/>
        <w:numPr>
          <w:ilvl w:val="0"/>
          <w:numId w:val="0"/>
        </w:numPr>
        <w:spacing w:after="0" w:line="360" w:lineRule="auto"/>
        <w:ind w:firstLine="422" w:firstLineChars="200"/>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五、获取磋商文件的时间、期限、地点及方式</w:t>
      </w:r>
      <w:r>
        <w:rPr>
          <w:rFonts w:hint="eastAsia" w:ascii="宋体" w:hAnsi="宋体" w:cs="宋体"/>
          <w:b/>
          <w:bCs/>
          <w:color w:val="auto"/>
          <w:sz w:val="21"/>
          <w:szCs w:val="21"/>
          <w:highlight w:val="none"/>
        </w:rPr>
        <w:t>：</w:t>
      </w:r>
    </w:p>
    <w:p w14:paraId="32F8387B">
      <w:pPr>
        <w:pStyle w:val="9"/>
        <w:numPr>
          <w:ilvl w:val="0"/>
          <w:numId w:val="0"/>
        </w:numPr>
        <w:spacing w:after="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有意参加投标者，于</w:t>
      </w:r>
      <w:r>
        <w:rPr>
          <w:rFonts w:hint="eastAsia" w:ascii="宋体" w:hAnsi="宋体" w:eastAsia="宋体" w:cs="宋体"/>
          <w:b/>
          <w:bCs/>
          <w:color w:val="auto"/>
          <w:sz w:val="21"/>
          <w:szCs w:val="21"/>
          <w:highlight w:val="none"/>
          <w:u w:val="single"/>
          <w:lang w:val="en-US" w:eastAsia="zh-CN"/>
        </w:rPr>
        <w:t>2026年</w:t>
      </w:r>
      <w:r>
        <w:rPr>
          <w:rFonts w:hint="eastAsia" w:ascii="宋体" w:hAnsi="宋体" w:cs="宋体"/>
          <w:b/>
          <w:bCs/>
          <w:color w:val="auto"/>
          <w:sz w:val="21"/>
          <w:szCs w:val="21"/>
          <w:highlight w:val="none"/>
          <w:u w:val="single"/>
          <w:lang w:val="en-US" w:eastAsia="zh-CN"/>
        </w:rPr>
        <w:t>10</w:t>
      </w:r>
      <w:r>
        <w:rPr>
          <w:rFonts w:hint="eastAsia" w:ascii="宋体" w:hAnsi="宋体" w:eastAsia="宋体" w:cs="宋体"/>
          <w:b/>
          <w:bCs/>
          <w:color w:val="auto"/>
          <w:sz w:val="21"/>
          <w:szCs w:val="21"/>
          <w:highlight w:val="none"/>
          <w:u w:val="single"/>
          <w:lang w:val="en-US" w:eastAsia="zh-CN"/>
        </w:rPr>
        <w:t>月</w:t>
      </w:r>
      <w:r>
        <w:rPr>
          <w:rFonts w:hint="eastAsia" w:ascii="宋体" w:hAnsi="宋体" w:cs="宋体"/>
          <w:b/>
          <w:bCs/>
          <w:color w:val="auto"/>
          <w:sz w:val="21"/>
          <w:szCs w:val="21"/>
          <w:highlight w:val="none"/>
          <w:u w:val="single"/>
          <w:lang w:val="en-US" w:eastAsia="zh-CN"/>
        </w:rPr>
        <w:t>10</w:t>
      </w:r>
      <w:r>
        <w:rPr>
          <w:rFonts w:hint="eastAsia" w:ascii="宋体" w:hAnsi="宋体" w:eastAsia="宋体" w:cs="宋体"/>
          <w:b/>
          <w:bCs/>
          <w:color w:val="auto"/>
          <w:sz w:val="21"/>
          <w:szCs w:val="21"/>
          <w:highlight w:val="none"/>
          <w:u w:val="single"/>
          <w:lang w:val="en-US" w:eastAsia="zh-CN"/>
        </w:rPr>
        <w:t>日至2026年</w:t>
      </w:r>
      <w:r>
        <w:rPr>
          <w:rFonts w:hint="eastAsia" w:ascii="宋体" w:hAnsi="宋体" w:cs="宋体"/>
          <w:b/>
          <w:bCs/>
          <w:color w:val="auto"/>
          <w:sz w:val="21"/>
          <w:szCs w:val="21"/>
          <w:highlight w:val="none"/>
          <w:u w:val="single"/>
          <w:lang w:val="en-US" w:eastAsia="zh-CN"/>
        </w:rPr>
        <w:t>10</w:t>
      </w:r>
      <w:r>
        <w:rPr>
          <w:rFonts w:hint="eastAsia" w:ascii="宋体" w:hAnsi="宋体" w:eastAsia="宋体" w:cs="宋体"/>
          <w:b/>
          <w:bCs/>
          <w:color w:val="auto"/>
          <w:sz w:val="21"/>
          <w:szCs w:val="21"/>
          <w:highlight w:val="none"/>
          <w:u w:val="single"/>
          <w:lang w:val="en-US" w:eastAsia="zh-CN"/>
        </w:rPr>
        <w:t>月</w:t>
      </w:r>
      <w:r>
        <w:rPr>
          <w:rFonts w:hint="eastAsia" w:ascii="宋体" w:hAnsi="宋体" w:cs="宋体"/>
          <w:b/>
          <w:bCs/>
          <w:color w:val="auto"/>
          <w:sz w:val="21"/>
          <w:szCs w:val="21"/>
          <w:highlight w:val="none"/>
          <w:u w:val="single"/>
          <w:lang w:val="en-US" w:eastAsia="zh-CN"/>
        </w:rPr>
        <w:t>16</w:t>
      </w:r>
      <w:r>
        <w:rPr>
          <w:rFonts w:hint="eastAsia" w:ascii="宋体" w:hAnsi="宋体" w:eastAsia="宋体" w:cs="宋体"/>
          <w:b/>
          <w:bCs/>
          <w:color w:val="auto"/>
          <w:sz w:val="21"/>
          <w:szCs w:val="21"/>
          <w:highlight w:val="none"/>
          <w:u w:val="single"/>
          <w:lang w:val="en-US" w:eastAsia="zh-CN"/>
        </w:rPr>
        <w:t>日</w:t>
      </w:r>
      <w:r>
        <w:rPr>
          <w:rFonts w:hint="eastAsia" w:ascii="宋体" w:hAnsi="宋体" w:eastAsia="宋体" w:cs="宋体"/>
          <w:color w:val="auto"/>
          <w:sz w:val="21"/>
          <w:szCs w:val="21"/>
          <w:highlight w:val="none"/>
          <w:lang w:val="en-US" w:eastAsia="zh-CN"/>
        </w:rPr>
        <w:t>， 上午08:30至12:00，下午 14:30至17:30，（北京时间，法定节假日除外），在</w:t>
      </w:r>
      <w:r>
        <w:rPr>
          <w:rFonts w:hint="eastAsia" w:ascii="宋体" w:hAnsi="宋体"/>
          <w:bCs/>
          <w:color w:val="auto"/>
          <w:szCs w:val="21"/>
          <w:highlight w:val="none"/>
        </w:rPr>
        <w:t>湖南省湘潭市岳塘区宝塔街道芙蓉路53号栢丽广场1号楼1单元0901003号</w:t>
      </w:r>
      <w:r>
        <w:rPr>
          <w:rFonts w:hint="eastAsia" w:ascii="宋体" w:hAnsi="宋体" w:eastAsia="宋体" w:cs="宋体"/>
          <w:color w:val="auto"/>
          <w:sz w:val="21"/>
          <w:szCs w:val="21"/>
          <w:highlight w:val="none"/>
          <w:lang w:val="en-US" w:eastAsia="zh-CN"/>
        </w:rPr>
        <w:t>（湖南大湘招标代理有限公司）持本人身份证原件、法定代表人身份证明（法定代表人领取）或法定代表人授权书及法定代表人身份证明（授权委托人领取）并加盖公章获取磋商文件。</w:t>
      </w:r>
    </w:p>
    <w:p w14:paraId="2CC40A16">
      <w:pPr>
        <w:pStyle w:val="9"/>
        <w:numPr>
          <w:ilvl w:val="0"/>
          <w:numId w:val="0"/>
        </w:numPr>
        <w:spacing w:after="0"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cs="宋体"/>
          <w:color w:val="auto"/>
          <w:sz w:val="21"/>
          <w:szCs w:val="21"/>
          <w:highlight w:val="none"/>
        </w:rPr>
        <w:sym w:font="Wingdings" w:char="00A8"/>
      </w:r>
      <w:r>
        <w:rPr>
          <w:rFonts w:hint="eastAsia" w:ascii="宋体" w:hAnsi="宋体" w:eastAsia="宋体" w:cs="宋体"/>
          <w:b w:val="0"/>
          <w:bCs w:val="0"/>
          <w:color w:val="auto"/>
          <w:sz w:val="21"/>
          <w:szCs w:val="21"/>
          <w:highlight w:val="none"/>
          <w:lang w:val="en-US" w:eastAsia="zh-CN"/>
        </w:rPr>
        <w:t>本项目实行电子交易，有意参加投标者，在</w:t>
      </w:r>
      <w:r>
        <w:rPr>
          <w:rFonts w:hint="eastAsia" w:ascii="宋体" w:hAnsi="宋体"/>
          <w:bCs/>
          <w:color w:val="auto"/>
          <w:szCs w:val="21"/>
          <w:highlight w:val="none"/>
        </w:rPr>
        <w:t>湖南省湘潭市岳塘区宝塔街道芙蓉路53号栢丽广场1号楼1单元0901003号</w:t>
      </w:r>
      <w:r>
        <w:rPr>
          <w:rFonts w:hint="eastAsia" w:ascii="宋体" w:hAnsi="宋体" w:eastAsia="宋体" w:cs="宋体"/>
          <w:b w:val="0"/>
          <w:bCs w:val="0"/>
          <w:color w:val="auto"/>
          <w:sz w:val="21"/>
          <w:szCs w:val="21"/>
          <w:highlight w:val="none"/>
          <w:lang w:val="en-US" w:eastAsia="zh-CN"/>
        </w:rPr>
        <w:t xml:space="preserve">（湖南大湘招标代理有限公司）获取电子版磋商文件。 </w:t>
      </w:r>
    </w:p>
    <w:p w14:paraId="71FC3794">
      <w:pPr>
        <w:pStyle w:val="9"/>
        <w:numPr>
          <w:ilvl w:val="0"/>
          <w:numId w:val="0"/>
        </w:numPr>
        <w:spacing w:after="0"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cs="宋体"/>
          <w:color w:val="auto"/>
          <w:sz w:val="21"/>
          <w:szCs w:val="21"/>
          <w:highlight w:val="none"/>
        </w:rPr>
        <w:sym w:font="Wingdings" w:char="00A8"/>
      </w:r>
      <w:r>
        <w:rPr>
          <w:rFonts w:hint="eastAsia" w:ascii="宋体" w:hAnsi="宋体" w:eastAsia="宋体" w:cs="宋体"/>
          <w:b w:val="0"/>
          <w:bCs w:val="0"/>
          <w:color w:val="auto"/>
          <w:sz w:val="21"/>
          <w:szCs w:val="21"/>
          <w:highlight w:val="none"/>
          <w:lang w:val="en-US" w:eastAsia="zh-CN"/>
        </w:rPr>
        <w:t xml:space="preserve">本项目进行资格预审，磋商文件将向所有通过资格预审的供应商提供。 </w:t>
      </w:r>
    </w:p>
    <w:p w14:paraId="76A1BBD8">
      <w:pPr>
        <w:pStyle w:val="9"/>
        <w:numPr>
          <w:ilvl w:val="0"/>
          <w:numId w:val="1"/>
        </w:numPr>
        <w:spacing w:after="0" w:line="360" w:lineRule="auto"/>
        <w:ind w:firstLine="422" w:firstLineChars="200"/>
        <w:rPr>
          <w:rFonts w:hint="eastAsia" w:ascii="宋体" w:hAnsi="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SA"/>
        </w:rPr>
        <w:t>投标截止时间、开标时间及地点</w:t>
      </w:r>
      <w:r>
        <w:rPr>
          <w:rFonts w:hint="eastAsia" w:ascii="宋体" w:hAnsi="宋体" w:cs="宋体"/>
          <w:b/>
          <w:bCs/>
          <w:color w:val="auto"/>
          <w:sz w:val="21"/>
          <w:szCs w:val="21"/>
          <w:highlight w:val="none"/>
        </w:rPr>
        <w:t>：</w:t>
      </w:r>
    </w:p>
    <w:p w14:paraId="714EF59B">
      <w:pPr>
        <w:pStyle w:val="9"/>
        <w:numPr>
          <w:ilvl w:val="0"/>
          <w:numId w:val="2"/>
        </w:numPr>
        <w:spacing w:after="0"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提交响应文件的截止时间：</w:t>
      </w:r>
      <w:r>
        <w:rPr>
          <w:rFonts w:hint="eastAsia" w:ascii="宋体" w:hAnsi="宋体" w:eastAsia="宋体" w:cs="宋体"/>
          <w:b/>
          <w:bCs/>
          <w:color w:val="auto"/>
          <w:sz w:val="21"/>
          <w:szCs w:val="21"/>
          <w:highlight w:val="none"/>
          <w:u w:val="single"/>
          <w:lang w:val="en-US" w:eastAsia="zh-CN"/>
        </w:rPr>
        <w:t>2026年</w:t>
      </w:r>
      <w:r>
        <w:rPr>
          <w:rFonts w:hint="eastAsia" w:ascii="宋体" w:hAnsi="宋体" w:cs="宋体"/>
          <w:b/>
          <w:bCs/>
          <w:color w:val="auto"/>
          <w:sz w:val="21"/>
          <w:szCs w:val="21"/>
          <w:highlight w:val="none"/>
          <w:u w:val="single"/>
          <w:lang w:val="en-US" w:eastAsia="zh-CN"/>
        </w:rPr>
        <w:t>10</w:t>
      </w:r>
      <w:r>
        <w:rPr>
          <w:rFonts w:hint="eastAsia" w:ascii="宋体" w:hAnsi="宋体" w:eastAsia="宋体" w:cs="宋体"/>
          <w:b/>
          <w:bCs/>
          <w:color w:val="auto"/>
          <w:sz w:val="21"/>
          <w:szCs w:val="21"/>
          <w:highlight w:val="none"/>
          <w:u w:val="single"/>
          <w:lang w:val="en-US" w:eastAsia="zh-CN"/>
        </w:rPr>
        <w:t>月</w:t>
      </w:r>
      <w:r>
        <w:rPr>
          <w:rFonts w:hint="eastAsia" w:ascii="宋体" w:hAnsi="宋体" w:cs="宋体"/>
          <w:b/>
          <w:bCs/>
          <w:color w:val="auto"/>
          <w:sz w:val="21"/>
          <w:szCs w:val="21"/>
          <w:highlight w:val="none"/>
          <w:u w:val="single"/>
          <w:lang w:val="en-US" w:eastAsia="zh-CN"/>
        </w:rPr>
        <w:t>21</w:t>
      </w:r>
      <w:r>
        <w:rPr>
          <w:rFonts w:hint="eastAsia" w:ascii="宋体" w:hAnsi="宋体" w:eastAsia="宋体" w:cs="宋体"/>
          <w:b/>
          <w:bCs/>
          <w:color w:val="auto"/>
          <w:sz w:val="21"/>
          <w:szCs w:val="21"/>
          <w:highlight w:val="none"/>
          <w:u w:val="single"/>
          <w:lang w:val="en-US" w:eastAsia="zh-CN"/>
        </w:rPr>
        <w:t>日09点</w:t>
      </w:r>
      <w:r>
        <w:rPr>
          <w:rFonts w:hint="eastAsia" w:ascii="宋体" w:hAnsi="宋体" w:cs="宋体"/>
          <w:b/>
          <w:bCs/>
          <w:color w:val="auto"/>
          <w:sz w:val="21"/>
          <w:szCs w:val="21"/>
          <w:highlight w:val="none"/>
          <w:u w:val="single"/>
          <w:lang w:val="en-US" w:eastAsia="zh-CN"/>
        </w:rPr>
        <w:t>3</w:t>
      </w:r>
      <w:r>
        <w:rPr>
          <w:rFonts w:hint="eastAsia" w:ascii="宋体" w:hAnsi="宋体" w:eastAsia="宋体" w:cs="宋体"/>
          <w:b/>
          <w:bCs/>
          <w:color w:val="auto"/>
          <w:sz w:val="21"/>
          <w:szCs w:val="21"/>
          <w:highlight w:val="none"/>
          <w:u w:val="single"/>
          <w:lang w:val="en-US" w:eastAsia="zh-CN"/>
        </w:rPr>
        <w:t>0分</w:t>
      </w:r>
      <w:r>
        <w:rPr>
          <w:rFonts w:hint="eastAsia" w:ascii="宋体" w:hAnsi="宋体" w:eastAsia="宋体" w:cs="宋体"/>
          <w:b/>
          <w:bCs/>
          <w:color w:val="auto"/>
          <w:sz w:val="21"/>
          <w:szCs w:val="21"/>
          <w:highlight w:val="none"/>
          <w:lang w:val="en-US" w:eastAsia="zh-CN"/>
        </w:rPr>
        <w:t>（北京时间）</w:t>
      </w:r>
    </w:p>
    <w:p w14:paraId="529059BC">
      <w:pPr>
        <w:pStyle w:val="9"/>
        <w:numPr>
          <w:ilvl w:val="0"/>
          <w:numId w:val="0"/>
        </w:numPr>
        <w:spacing w:after="0"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2、提交响应文件地点：湖南大湘招标代理有限公司开标室（</w:t>
      </w:r>
      <w:r>
        <w:rPr>
          <w:rFonts w:hint="eastAsia" w:ascii="宋体" w:hAnsi="宋体"/>
          <w:bCs/>
          <w:color w:val="auto"/>
          <w:szCs w:val="21"/>
          <w:highlight w:val="none"/>
        </w:rPr>
        <w:t>湖南省湘潭市岳塘区宝塔街道芙蓉路53号栢丽广场1号楼1单元0901003号</w:t>
      </w:r>
    </w:p>
    <w:p w14:paraId="67C0C7DF">
      <w:pPr>
        <w:pStyle w:val="9"/>
        <w:numPr>
          <w:ilvl w:val="0"/>
          <w:numId w:val="0"/>
        </w:numPr>
        <w:spacing w:after="0"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3、开标时间：</w:t>
      </w:r>
      <w:r>
        <w:rPr>
          <w:rFonts w:hint="eastAsia" w:ascii="宋体" w:hAnsi="宋体" w:eastAsia="宋体" w:cs="宋体"/>
          <w:b/>
          <w:bCs/>
          <w:color w:val="auto"/>
          <w:sz w:val="21"/>
          <w:szCs w:val="21"/>
          <w:highlight w:val="none"/>
          <w:u w:val="single"/>
          <w:lang w:val="en-US" w:eastAsia="zh-CN"/>
        </w:rPr>
        <w:t>2026年</w:t>
      </w:r>
      <w:r>
        <w:rPr>
          <w:rFonts w:hint="eastAsia" w:ascii="宋体" w:hAnsi="宋体" w:cs="宋体"/>
          <w:b/>
          <w:bCs/>
          <w:color w:val="auto"/>
          <w:sz w:val="21"/>
          <w:szCs w:val="21"/>
          <w:highlight w:val="none"/>
          <w:u w:val="single"/>
          <w:lang w:val="en-US" w:eastAsia="zh-CN"/>
        </w:rPr>
        <w:t>10</w:t>
      </w:r>
      <w:r>
        <w:rPr>
          <w:rFonts w:hint="eastAsia" w:ascii="宋体" w:hAnsi="宋体" w:eastAsia="宋体" w:cs="宋体"/>
          <w:b/>
          <w:bCs/>
          <w:color w:val="auto"/>
          <w:sz w:val="21"/>
          <w:szCs w:val="21"/>
          <w:highlight w:val="none"/>
          <w:u w:val="single"/>
          <w:lang w:val="en-US" w:eastAsia="zh-CN"/>
        </w:rPr>
        <w:t>月</w:t>
      </w:r>
      <w:r>
        <w:rPr>
          <w:rFonts w:hint="eastAsia" w:ascii="宋体" w:hAnsi="宋体" w:cs="宋体"/>
          <w:b/>
          <w:bCs/>
          <w:color w:val="auto"/>
          <w:sz w:val="21"/>
          <w:szCs w:val="21"/>
          <w:highlight w:val="none"/>
          <w:u w:val="single"/>
          <w:lang w:val="en-US" w:eastAsia="zh-CN"/>
        </w:rPr>
        <w:t>21</w:t>
      </w:r>
      <w:r>
        <w:rPr>
          <w:rFonts w:hint="eastAsia" w:ascii="宋体" w:hAnsi="宋体" w:eastAsia="宋体" w:cs="宋体"/>
          <w:b/>
          <w:bCs/>
          <w:color w:val="auto"/>
          <w:sz w:val="21"/>
          <w:szCs w:val="21"/>
          <w:highlight w:val="none"/>
          <w:u w:val="single"/>
          <w:lang w:val="en-US" w:eastAsia="zh-CN"/>
        </w:rPr>
        <w:t>日09点</w:t>
      </w:r>
      <w:r>
        <w:rPr>
          <w:rFonts w:hint="eastAsia" w:ascii="宋体" w:hAnsi="宋体" w:cs="宋体"/>
          <w:b/>
          <w:bCs/>
          <w:color w:val="auto"/>
          <w:sz w:val="21"/>
          <w:szCs w:val="21"/>
          <w:highlight w:val="none"/>
          <w:u w:val="single"/>
          <w:lang w:val="en-US" w:eastAsia="zh-CN"/>
        </w:rPr>
        <w:t>3</w:t>
      </w:r>
      <w:r>
        <w:rPr>
          <w:rFonts w:hint="eastAsia" w:ascii="宋体" w:hAnsi="宋体" w:eastAsia="宋体" w:cs="宋体"/>
          <w:b/>
          <w:bCs/>
          <w:color w:val="auto"/>
          <w:sz w:val="21"/>
          <w:szCs w:val="21"/>
          <w:highlight w:val="none"/>
          <w:u w:val="single"/>
          <w:lang w:val="en-US" w:eastAsia="zh-CN"/>
        </w:rPr>
        <w:t>0分</w:t>
      </w:r>
      <w:r>
        <w:rPr>
          <w:rFonts w:hint="eastAsia" w:ascii="宋体" w:hAnsi="宋体" w:eastAsia="宋体" w:cs="宋体"/>
          <w:b/>
          <w:bCs/>
          <w:color w:val="auto"/>
          <w:sz w:val="21"/>
          <w:szCs w:val="21"/>
          <w:highlight w:val="none"/>
          <w:lang w:val="en-US" w:eastAsia="zh-CN"/>
        </w:rPr>
        <w:t>（北京时间）</w:t>
      </w:r>
      <w:bookmarkStart w:id="109" w:name="_GoBack"/>
      <w:bookmarkEnd w:id="109"/>
    </w:p>
    <w:p w14:paraId="61360DDE">
      <w:pPr>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4、开标地点：湖南大湘招标代理有限公司开标室（湖南省湘潭市岳塘区宝塔街道芙蓉路53号栢丽广场1号楼1单元0901003号</w:t>
      </w:r>
    </w:p>
    <w:p w14:paraId="47248A69">
      <w:pPr>
        <w:spacing w:line="360" w:lineRule="auto"/>
        <w:ind w:firstLine="422" w:firstLineChars="20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七、公告期限：</w:t>
      </w:r>
    </w:p>
    <w:p w14:paraId="37946948">
      <w:pPr>
        <w:pStyle w:val="9"/>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1、本招标公告在中国湖南政府采购网发布。公告期限从本招标公告发布之日起</w:t>
      </w:r>
      <w:r>
        <w:rPr>
          <w:rFonts w:hint="eastAsia" w:ascii="宋体" w:hAnsi="宋体" w:cs="宋体"/>
          <w:b w:val="0"/>
          <w:bCs w:val="0"/>
          <w:color w:val="auto"/>
          <w:kern w:val="2"/>
          <w:sz w:val="21"/>
          <w:szCs w:val="21"/>
          <w:highlight w:val="none"/>
          <w:lang w:val="en-US" w:eastAsia="zh-CN" w:bidi="ar-SA"/>
        </w:rPr>
        <w:t>5</w:t>
      </w:r>
      <w:r>
        <w:rPr>
          <w:rFonts w:hint="eastAsia" w:ascii="宋体" w:hAnsi="宋体" w:eastAsia="宋体" w:cs="宋体"/>
          <w:b w:val="0"/>
          <w:bCs w:val="0"/>
          <w:color w:val="auto"/>
          <w:kern w:val="2"/>
          <w:sz w:val="21"/>
          <w:szCs w:val="21"/>
          <w:highlight w:val="none"/>
          <w:lang w:val="en-US" w:eastAsia="zh-CN" w:bidi="ar-SA"/>
        </w:rPr>
        <w:t>个工作日。</w:t>
      </w:r>
    </w:p>
    <w:p w14:paraId="18035C9F">
      <w:pPr>
        <w:pStyle w:val="9"/>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2、在其他媒体发布的招标公告，公告内容以本招标公告指定媒体发布的公告为准；公告期限自本招标公告指定媒体最先发布公告之日起算。</w:t>
      </w:r>
    </w:p>
    <w:p w14:paraId="1069023C">
      <w:pPr>
        <w:spacing w:line="360" w:lineRule="auto"/>
        <w:ind w:firstLine="422" w:firstLineChars="20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八、询问及质疑：</w:t>
      </w:r>
    </w:p>
    <w:p w14:paraId="7B94A38B">
      <w:pPr>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1、潜在供应商对政府采购活动事项如有疑问的，可以向采购人、采购代理机构提出询问。采购人、采购代理机构将在 3 个工作日内作出答复。</w:t>
      </w:r>
    </w:p>
    <w:p w14:paraId="6F74B4DB">
      <w:pPr>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2、潜在供应商认为磋商文件或邀请公告使自己的合法权益受到损害的，可以在收到磋商文件或邀请公告期限届满之日起 7 个工作日内，按《湖南省财政厅关于印发＜政府采购质疑答复和投诉处理操作规程＞的通知》(湘财购〔2024〕67 号)规定，以书面形式向采购人、采购代理机构提出质疑（投标供应商应在法定质疑期内一次性提出针对同一采购程序环节的质疑）。</w:t>
      </w:r>
    </w:p>
    <w:p w14:paraId="5107E73F">
      <w:pPr>
        <w:spacing w:line="360" w:lineRule="auto"/>
        <w:ind w:firstLine="422" w:firstLineChars="20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九、投标说明：</w:t>
      </w:r>
    </w:p>
    <w:p w14:paraId="2B916844">
      <w:pPr>
        <w:pStyle w:val="9"/>
        <w:spacing w:after="0" w:line="360" w:lineRule="auto"/>
        <w:ind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1、本公告选项：</w:t>
      </w:r>
      <w:r>
        <w:rPr>
          <w:rFonts w:hint="eastAsia" w:ascii="宋体" w:hAnsi="宋体" w:eastAsia="宋体" w:cs="宋体"/>
          <w:color w:val="auto"/>
          <w:spacing w:val="-12"/>
          <w:sz w:val="21"/>
          <w:szCs w:val="21"/>
          <w:highlight w:val="none"/>
          <w:lang w:eastAsia="en-US"/>
        </w:rPr>
        <w:sym w:font="Wingdings" w:char="00FE"/>
      </w:r>
      <w:r>
        <w:rPr>
          <w:rFonts w:hint="eastAsia" w:ascii="宋体" w:hAnsi="宋体" w:eastAsia="宋体" w:cs="宋体"/>
          <w:color w:val="auto"/>
          <w:spacing w:val="-12"/>
          <w:sz w:val="21"/>
          <w:szCs w:val="21"/>
          <w:highlight w:val="none"/>
        </w:rPr>
        <w:t>表示选择，</w:t>
      </w:r>
      <w:r>
        <w:rPr>
          <w:rFonts w:hint="eastAsia" w:ascii="宋体" w:hAnsi="宋体" w:eastAsia="宋体" w:cs="宋体"/>
          <w:color w:val="auto"/>
          <w:spacing w:val="-12"/>
          <w:sz w:val="21"/>
          <w:szCs w:val="21"/>
          <w:highlight w:val="none"/>
          <w:lang w:eastAsia="en-US"/>
        </w:rPr>
        <w:sym w:font="Wingdings" w:char="00A8"/>
      </w:r>
      <w:r>
        <w:rPr>
          <w:rFonts w:hint="eastAsia" w:ascii="宋体" w:hAnsi="宋体" w:eastAsia="宋体" w:cs="宋体"/>
          <w:color w:val="auto"/>
          <w:spacing w:val="-12"/>
          <w:sz w:val="21"/>
          <w:szCs w:val="21"/>
          <w:highlight w:val="none"/>
        </w:rPr>
        <w:t xml:space="preserve">表示未选择。 </w:t>
      </w:r>
    </w:p>
    <w:p w14:paraId="7F55EE27">
      <w:pPr>
        <w:pStyle w:val="9"/>
        <w:spacing w:after="0" w:line="360" w:lineRule="auto"/>
        <w:ind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2、供应商参与政府采购活动，无需向采购人、代理机构、交易平台缴纳任何费用。</w:t>
      </w:r>
    </w:p>
    <w:p w14:paraId="23387DB9">
      <w:pPr>
        <w:spacing w:line="360" w:lineRule="auto"/>
        <w:ind w:firstLine="422" w:firstLineChars="20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十、采购项目联系人姓名和电话：</w:t>
      </w:r>
    </w:p>
    <w:p w14:paraId="2C80F044">
      <w:pPr>
        <w:adjustRightInd w:val="0"/>
        <w:snapToGrid w:val="0"/>
        <w:spacing w:line="360" w:lineRule="auto"/>
        <w:ind w:firstLine="420" w:firstLineChars="200"/>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1、联系人姓名：</w:t>
      </w:r>
      <w:r>
        <w:rPr>
          <w:rFonts w:hint="eastAsia" w:ascii="宋体" w:hAnsi="宋体" w:cs="宋体"/>
          <w:b w:val="0"/>
          <w:bCs w:val="0"/>
          <w:color w:val="auto"/>
          <w:kern w:val="0"/>
          <w:sz w:val="21"/>
          <w:szCs w:val="21"/>
          <w:highlight w:val="none"/>
          <w:lang w:val="en-US" w:eastAsia="zh-CN" w:bidi="ar-SA"/>
        </w:rPr>
        <w:t>黄佳婧、</w:t>
      </w:r>
      <w:r>
        <w:rPr>
          <w:rFonts w:hint="eastAsia" w:ascii="宋体" w:hAnsi="宋体" w:cs="宋体"/>
          <w:color w:val="auto"/>
          <w:szCs w:val="21"/>
          <w:highlight w:val="none"/>
        </w:rPr>
        <w:t>陈丽娟</w:t>
      </w:r>
      <w:r>
        <w:rPr>
          <w:rFonts w:hint="eastAsia" w:ascii="宋体" w:hAnsi="宋体" w:cs="宋体"/>
          <w:color w:val="auto"/>
          <w:szCs w:val="21"/>
          <w:highlight w:val="none"/>
          <w:lang w:eastAsia="zh-CN"/>
        </w:rPr>
        <w:t>、沈琼湘</w:t>
      </w:r>
    </w:p>
    <w:p w14:paraId="3DC97BE2">
      <w:pPr>
        <w:adjustRightInd w:val="0"/>
        <w:snapToGrid w:val="0"/>
        <w:spacing w:line="360" w:lineRule="auto"/>
        <w:ind w:firstLine="420" w:firstLineChars="20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2、电话：</w:t>
      </w:r>
      <w:r>
        <w:rPr>
          <w:rFonts w:hint="eastAsia" w:ascii="宋体" w:hAnsi="宋体" w:cs="宋体"/>
          <w:color w:val="auto"/>
          <w:szCs w:val="21"/>
          <w:highlight w:val="none"/>
        </w:rPr>
        <w:t>0731-58390160</w:t>
      </w:r>
    </w:p>
    <w:p w14:paraId="48977EFD">
      <w:pPr>
        <w:spacing w:line="360" w:lineRule="auto"/>
        <w:ind w:firstLine="422" w:firstLineChars="20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十一、采购人、采购代理机构的名称、地址和联系方法:</w:t>
      </w:r>
    </w:p>
    <w:p w14:paraId="4945A7F3">
      <w:pPr>
        <w:spacing w:line="360" w:lineRule="auto"/>
        <w:ind w:left="728"/>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1、采购人信息</w:t>
      </w:r>
    </w:p>
    <w:p w14:paraId="46909452">
      <w:pPr>
        <w:adjustRightInd w:val="0"/>
        <w:snapToGrid w:val="0"/>
        <w:spacing w:line="360" w:lineRule="auto"/>
        <w:ind w:firstLine="411" w:firstLineChars="196"/>
        <w:rPr>
          <w:rFonts w:hint="eastAsia" w:ascii="宋体" w:hAnsi="宋体"/>
          <w:bCs/>
          <w:color w:val="auto"/>
          <w:szCs w:val="21"/>
          <w:highlight w:val="none"/>
          <w:lang w:eastAsia="zh-CN"/>
        </w:rPr>
      </w:pPr>
      <w:r>
        <w:rPr>
          <w:rFonts w:hint="eastAsia" w:ascii="宋体" w:hAnsi="宋体" w:cs="宋体"/>
          <w:color w:val="auto"/>
          <w:szCs w:val="21"/>
          <w:highlight w:val="none"/>
        </w:rPr>
        <w:t xml:space="preserve">（1）名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称：</w:t>
      </w:r>
      <w:r>
        <w:rPr>
          <w:rFonts w:hint="eastAsia" w:ascii="宋体" w:hAnsi="宋体"/>
          <w:bCs/>
          <w:color w:val="auto"/>
          <w:szCs w:val="21"/>
          <w:highlight w:val="none"/>
          <w:lang w:eastAsia="zh-CN"/>
        </w:rPr>
        <w:t>湘潭市中级人民法院</w:t>
      </w:r>
    </w:p>
    <w:p w14:paraId="1EFEB916">
      <w:pPr>
        <w:adjustRightInd w:val="0"/>
        <w:snapToGrid w:val="0"/>
        <w:spacing w:line="360" w:lineRule="auto"/>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（2）地  址：</w:t>
      </w:r>
      <w:r>
        <w:rPr>
          <w:rFonts w:hint="eastAsia" w:ascii="宋体" w:hAnsi="宋体" w:cs="宋体"/>
          <w:color w:val="auto"/>
          <w:szCs w:val="21"/>
          <w:highlight w:val="none"/>
          <w:lang w:val="en-US" w:eastAsia="zh-CN"/>
        </w:rPr>
        <w:t>湘潭市芙蓉路58号</w:t>
      </w:r>
    </w:p>
    <w:p w14:paraId="591045A2">
      <w:pPr>
        <w:adjustRightInd w:val="0"/>
        <w:snapToGrid w:val="0"/>
        <w:spacing w:line="360" w:lineRule="auto"/>
        <w:ind w:firstLine="420" w:firstLineChars="200"/>
        <w:rPr>
          <w:rFonts w:hint="eastAsia" w:ascii="宋体" w:hAnsi="宋体" w:eastAsia="宋体" w:cs="宋体"/>
          <w:bCs/>
          <w:color w:val="auto"/>
          <w:szCs w:val="21"/>
          <w:highlight w:val="none"/>
          <w:lang w:eastAsia="zh-CN"/>
        </w:rPr>
      </w:pPr>
      <w:r>
        <w:rPr>
          <w:rFonts w:hint="eastAsia" w:ascii="宋体" w:hAnsi="宋体" w:cs="宋体"/>
          <w:color w:val="auto"/>
          <w:szCs w:val="21"/>
          <w:highlight w:val="none"/>
        </w:rPr>
        <w:t>（3）</w:t>
      </w:r>
      <w:r>
        <w:rPr>
          <w:rFonts w:hint="eastAsia" w:ascii="宋体" w:hAnsi="宋体" w:cs="宋体"/>
          <w:bCs/>
          <w:color w:val="auto"/>
          <w:szCs w:val="21"/>
          <w:highlight w:val="none"/>
        </w:rPr>
        <w:t>联系人：</w:t>
      </w:r>
      <w:r>
        <w:rPr>
          <w:rFonts w:hint="eastAsia" w:ascii="宋体" w:hAnsi="宋体" w:cs="宋体"/>
          <w:bCs/>
          <w:color w:val="auto"/>
          <w:szCs w:val="21"/>
          <w:highlight w:val="none"/>
          <w:lang w:val="en-US" w:eastAsia="zh-CN"/>
        </w:rPr>
        <w:t>李先生</w:t>
      </w:r>
    </w:p>
    <w:p w14:paraId="55B9F5DA">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（4）电</w:t>
      </w:r>
      <w:r>
        <w:rPr>
          <w:rFonts w:hint="eastAsia" w:ascii="宋体" w:hAnsi="宋体" w:cs="宋体"/>
          <w:bCs/>
          <w:color w:val="auto"/>
          <w:szCs w:val="21"/>
          <w:highlight w:val="none"/>
          <w:lang w:val="en-US" w:eastAsia="zh-CN"/>
        </w:rPr>
        <w:t xml:space="preserve">  </w:t>
      </w:r>
      <w:r>
        <w:rPr>
          <w:rFonts w:hint="eastAsia" w:ascii="宋体" w:hAnsi="宋体" w:cs="宋体"/>
          <w:bCs/>
          <w:color w:val="auto"/>
          <w:szCs w:val="21"/>
          <w:highlight w:val="none"/>
        </w:rPr>
        <w:t>话：</w:t>
      </w:r>
      <w:r>
        <w:rPr>
          <w:rFonts w:hint="eastAsia" w:ascii="宋体" w:hAnsi="宋体" w:cs="宋体"/>
          <w:bCs/>
          <w:color w:val="auto"/>
          <w:szCs w:val="21"/>
          <w:highlight w:val="none"/>
          <w:lang w:val="en-US" w:eastAsia="zh-CN"/>
        </w:rPr>
        <w:t>0731-58553202</w:t>
      </w:r>
    </w:p>
    <w:p w14:paraId="69A733AA">
      <w:pPr>
        <w:spacing w:line="360" w:lineRule="auto"/>
        <w:ind w:left="728"/>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2、采购代理机构信息</w:t>
      </w:r>
    </w:p>
    <w:p w14:paraId="6039FC12">
      <w:pPr>
        <w:adjustRightInd w:val="0"/>
        <w:snapToGrid w:val="0"/>
        <w:spacing w:line="360" w:lineRule="auto"/>
        <w:ind w:firstLine="411" w:firstLineChars="196"/>
        <w:rPr>
          <w:rFonts w:hint="eastAsia" w:ascii="宋体" w:hAnsi="宋体" w:cs="宋体"/>
          <w:bCs/>
          <w:color w:val="auto"/>
          <w:szCs w:val="21"/>
          <w:highlight w:val="none"/>
        </w:rPr>
      </w:pPr>
      <w:r>
        <w:rPr>
          <w:rFonts w:hint="eastAsia" w:ascii="宋体" w:hAnsi="宋体" w:cs="宋体"/>
          <w:color w:val="auto"/>
          <w:szCs w:val="21"/>
          <w:highlight w:val="none"/>
        </w:rPr>
        <w:t>（1）</w:t>
      </w:r>
      <w:r>
        <w:rPr>
          <w:rFonts w:hint="eastAsia" w:ascii="宋体" w:hAnsi="宋体" w:cs="宋体"/>
          <w:bCs/>
          <w:color w:val="auto"/>
          <w:szCs w:val="21"/>
          <w:highlight w:val="none"/>
        </w:rPr>
        <w:t>名  称：湖南大湘招标代理有限公司</w:t>
      </w:r>
    </w:p>
    <w:p w14:paraId="1E7D0FEC">
      <w:pPr>
        <w:adjustRightInd w:val="0"/>
        <w:snapToGrid w:val="0"/>
        <w:spacing w:line="360" w:lineRule="auto"/>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（2）地  址：</w:t>
      </w:r>
      <w:r>
        <w:rPr>
          <w:rFonts w:hint="eastAsia" w:ascii="宋体" w:hAnsi="宋体"/>
          <w:bCs/>
          <w:color w:val="auto"/>
          <w:szCs w:val="21"/>
          <w:highlight w:val="none"/>
        </w:rPr>
        <w:t>湖南省湘潭市岳塘区宝塔街道芙蓉路53号栢丽广场1号楼1单元0901003号</w:t>
      </w:r>
    </w:p>
    <w:p w14:paraId="1AC79184">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（3）联系人：</w:t>
      </w:r>
      <w:r>
        <w:rPr>
          <w:rFonts w:hint="eastAsia" w:ascii="宋体" w:hAnsi="宋体" w:cs="宋体"/>
          <w:color w:val="auto"/>
          <w:szCs w:val="21"/>
          <w:highlight w:val="none"/>
          <w:lang w:eastAsia="zh-CN"/>
        </w:rPr>
        <w:t>黄佳婧、</w:t>
      </w:r>
      <w:r>
        <w:rPr>
          <w:rFonts w:hint="eastAsia" w:ascii="宋体" w:hAnsi="宋体" w:cs="宋体"/>
          <w:color w:val="auto"/>
          <w:szCs w:val="21"/>
          <w:highlight w:val="none"/>
        </w:rPr>
        <w:t>陈丽娟</w:t>
      </w:r>
      <w:r>
        <w:rPr>
          <w:rFonts w:hint="eastAsia" w:ascii="宋体" w:hAnsi="宋体" w:cs="宋体"/>
          <w:color w:val="auto"/>
          <w:szCs w:val="21"/>
          <w:highlight w:val="none"/>
          <w:lang w:eastAsia="zh-CN"/>
        </w:rPr>
        <w:t>、沈琼湘</w:t>
      </w:r>
    </w:p>
    <w:p w14:paraId="44C7F96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（4）邮  编：411100</w:t>
      </w:r>
    </w:p>
    <w:p w14:paraId="4C7F9588">
      <w:pPr>
        <w:adjustRightInd w:val="0"/>
        <w:snapToGrid w:val="0"/>
        <w:spacing w:line="360" w:lineRule="auto"/>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（5）电  话：0731-58390160</w:t>
      </w:r>
    </w:p>
    <w:p w14:paraId="07FC2620">
      <w:pPr>
        <w:adjustRightInd w:val="0"/>
        <w:snapToGrid w:val="0"/>
        <w:spacing w:line="360" w:lineRule="auto"/>
        <w:ind w:firstLine="420" w:firstLineChars="200"/>
        <w:rPr>
          <w:rFonts w:hint="eastAsia" w:ascii="宋体" w:hAnsi="宋体" w:cs="宋体"/>
          <w:color w:val="auto"/>
          <w:szCs w:val="21"/>
          <w:highlight w:val="none"/>
        </w:rPr>
        <w:sectPr>
          <w:headerReference r:id="rId11" w:type="default"/>
          <w:footerReference r:id="rId12" w:type="default"/>
          <w:pgSz w:w="11910" w:h="16840"/>
          <w:pgMar w:top="1380" w:right="1281" w:bottom="1180" w:left="1280" w:header="873" w:footer="993" w:gutter="0"/>
          <w:pgNumType w:fmt="decimal" w:start="1"/>
          <w:cols w:space="720" w:num="1"/>
        </w:sectPr>
      </w:pPr>
    </w:p>
    <w:p w14:paraId="72851228">
      <w:pPr>
        <w:spacing w:line="420" w:lineRule="exact"/>
        <w:jc w:val="left"/>
        <w:rPr>
          <w:rFonts w:hint="eastAsia" w:ascii="华文中宋" w:hAnsi="华文中宋" w:eastAsia="华文中宋" w:cs="Times New Roman"/>
          <w:b/>
          <w:color w:val="auto"/>
          <w:szCs w:val="21"/>
          <w:lang w:val="en-US" w:eastAsia="zh-CN"/>
        </w:rPr>
      </w:pPr>
      <w:r>
        <w:rPr>
          <w:rFonts w:hint="eastAsia" w:ascii="华文中宋" w:hAnsi="华文中宋" w:eastAsia="华文中宋" w:cs="Times New Roman"/>
          <w:b/>
          <w:color w:val="auto"/>
          <w:szCs w:val="21"/>
          <w:lang w:val="en-US" w:eastAsia="zh-CN"/>
        </w:rPr>
        <w:t>附件1</w:t>
      </w:r>
    </w:p>
    <w:p w14:paraId="2BCAA4A4">
      <w:pPr>
        <w:jc w:val="cente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湖南省政府采购供应商资格承诺函</w:t>
      </w:r>
    </w:p>
    <w:p w14:paraId="18ACFABF">
      <w:pPr>
        <w:jc w:val="center"/>
        <w:rPr>
          <w:rFonts w:hint="eastAsia" w:ascii="宋体" w:hAnsi="宋体" w:eastAsia="宋体" w:cs="宋体"/>
          <w:color w:val="auto"/>
          <w:sz w:val="28"/>
          <w:szCs w:val="28"/>
          <w:lang w:val="en-US" w:eastAsia="zh-CN"/>
        </w:rPr>
      </w:pPr>
    </w:p>
    <w:p w14:paraId="1E044E88">
      <w:pPr>
        <w:spacing w:line="48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E462A28">
      <w:pPr>
        <w:spacing w:line="48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按照《政府采购促进中小企业发展管理办法》(财库[2020]46号)，本公司企业规模为:大型口中型口小型口微型口</w:t>
      </w:r>
    </w:p>
    <w:p w14:paraId="53F5A793">
      <w:pPr>
        <w:spacing w:line="48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口本公司自愿入驻湖南省政府采购电子卖场，遵守《湖南省政府采购电子卖场管理办法》(湘财购[2019]27号) ，如违反承诺，同意金融机构将增信保证划缴国库( 非电子卖场采</w:t>
      </w:r>
      <w:r>
        <w:rPr>
          <w:rFonts w:hint="eastAsia" w:ascii="宋体" w:hAnsi="宋体" w:eastAsia="宋体" w:cs="宋体"/>
          <w:color w:val="auto"/>
          <w:sz w:val="21"/>
          <w:szCs w:val="21"/>
          <w:lang w:val="en-US" w:eastAsia="zh-CN"/>
        </w:rPr>
        <w:t>购活动项目不需勾选）</w:t>
      </w:r>
    </w:p>
    <w:p w14:paraId="6E88AEFE">
      <w:pPr>
        <w:spacing w:line="480" w:lineRule="auto"/>
        <w:rPr>
          <w:rFonts w:hint="eastAsia" w:ascii="宋体" w:hAnsi="宋体" w:eastAsia="宋体" w:cs="宋体"/>
          <w:color w:val="auto"/>
          <w:sz w:val="21"/>
          <w:szCs w:val="21"/>
          <w:lang w:val="en-US" w:eastAsia="zh-CN"/>
        </w:rPr>
      </w:pPr>
    </w:p>
    <w:p w14:paraId="4A445F0A">
      <w:pPr>
        <w:spacing w:line="480" w:lineRule="auto"/>
        <w:ind w:firstLine="4200" w:firstLineChars="2000"/>
        <w:rPr>
          <w:rFonts w:hint="eastAsia" w:ascii="宋体" w:hAnsi="宋体" w:eastAsia="宋体" w:cs="宋体"/>
          <w:color w:val="auto"/>
          <w:sz w:val="21"/>
          <w:szCs w:val="21"/>
        </w:rPr>
      </w:pPr>
      <w:r>
        <w:rPr>
          <w:rFonts w:hint="eastAsia" w:ascii="宋体" w:hAnsi="宋体" w:eastAsia="宋体" w:cs="宋体"/>
          <w:color w:val="auto"/>
          <w:sz w:val="21"/>
          <w:szCs w:val="21"/>
        </w:rPr>
        <w:t>公司(单位)名称(盖章)</w:t>
      </w:r>
    </w:p>
    <w:p w14:paraId="5B5E879D">
      <w:pPr>
        <w:spacing w:line="480" w:lineRule="auto"/>
        <w:rPr>
          <w:rFonts w:hint="eastAsia" w:ascii="宋体" w:hAnsi="宋体" w:eastAsia="宋体" w:cs="宋体"/>
          <w:color w:val="auto"/>
          <w:sz w:val="21"/>
          <w:szCs w:val="21"/>
        </w:rPr>
      </w:pPr>
    </w:p>
    <w:p w14:paraId="7466CC86">
      <w:pPr>
        <w:spacing w:line="480" w:lineRule="auto"/>
        <w:ind w:firstLine="5040" w:firstLineChars="2400"/>
        <w:rPr>
          <w:rFonts w:hint="eastAsia" w:ascii="宋体" w:hAnsi="宋体" w:eastAsia="宋体" w:cs="宋体"/>
          <w:color w:val="auto"/>
          <w:sz w:val="21"/>
          <w:szCs w:val="21"/>
        </w:rPr>
      </w:pPr>
      <w:r>
        <w:rPr>
          <w:rFonts w:hint="eastAsia" w:ascii="宋体" w:hAnsi="宋体" w:eastAsia="宋体" w:cs="宋体"/>
          <w:color w:val="auto"/>
          <w:sz w:val="21"/>
          <w:szCs w:val="21"/>
        </w:rPr>
        <w:t>年__月__日</w:t>
      </w:r>
    </w:p>
    <w:p w14:paraId="16913B1C">
      <w:pPr>
        <w:spacing w:line="480" w:lineRule="auto"/>
        <w:rPr>
          <w:rFonts w:hint="eastAsia" w:ascii="宋体" w:hAnsi="宋体" w:eastAsia="宋体" w:cs="宋体"/>
          <w:color w:val="auto"/>
          <w:sz w:val="21"/>
          <w:szCs w:val="21"/>
        </w:rPr>
      </w:pPr>
    </w:p>
    <w:p w14:paraId="62A15C31">
      <w:pPr>
        <w:spacing w:line="480" w:lineRule="auto"/>
        <w:rPr>
          <w:rFonts w:hint="eastAsia" w:ascii="宋体" w:hAnsi="宋体" w:eastAsia="宋体" w:cs="宋体"/>
          <w:color w:val="auto"/>
          <w:sz w:val="21"/>
          <w:szCs w:val="21"/>
        </w:rPr>
      </w:pPr>
      <w:r>
        <w:rPr>
          <w:rFonts w:hint="eastAsia" w:ascii="宋体" w:hAnsi="宋体" w:eastAsia="宋体" w:cs="宋体"/>
          <w:color w:val="auto"/>
          <w:sz w:val="21"/>
          <w:szCs w:val="21"/>
        </w:rPr>
        <w:t>机构代码、注册登记机构、日期、有效期、注册资本、地址、经济行业、经济性质</w:t>
      </w:r>
    </w:p>
    <w:p w14:paraId="37BE7D66">
      <w:pPr>
        <w:spacing w:line="480" w:lineRule="auto"/>
        <w:rPr>
          <w:rFonts w:hint="eastAsia" w:ascii="宋体" w:hAnsi="宋体" w:eastAsia="宋体" w:cs="宋体"/>
          <w:color w:val="auto"/>
          <w:sz w:val="21"/>
          <w:szCs w:val="21"/>
        </w:rPr>
      </w:pPr>
      <w:r>
        <w:rPr>
          <w:rFonts w:hint="eastAsia" w:ascii="宋体" w:hAnsi="宋体" w:eastAsia="宋体" w:cs="宋体"/>
          <w:color w:val="auto"/>
          <w:sz w:val="21"/>
          <w:szCs w:val="21"/>
        </w:rPr>
        <w:t>法定代表人(负责人)姓名(签字)、身份证号、手机号:</w:t>
      </w:r>
    </w:p>
    <w:p w14:paraId="7BD5508C">
      <w:pPr>
        <w:spacing w:line="480" w:lineRule="auto"/>
        <w:rPr>
          <w:rFonts w:hint="eastAsia" w:ascii="宋体" w:hAnsi="宋体" w:eastAsia="宋体" w:cs="宋体"/>
          <w:color w:val="auto"/>
          <w:sz w:val="21"/>
          <w:szCs w:val="21"/>
        </w:rPr>
      </w:pPr>
      <w:r>
        <w:rPr>
          <w:rFonts w:hint="eastAsia" w:ascii="宋体" w:hAnsi="宋体" w:eastAsia="宋体" w:cs="宋体"/>
          <w:color w:val="auto"/>
          <w:sz w:val="21"/>
          <w:szCs w:val="21"/>
        </w:rPr>
        <w:t>授权代表人姓名(签字)、身份证号、手机号:</w:t>
      </w:r>
    </w:p>
    <w:p w14:paraId="20EA807F">
      <w:pPr>
        <w:rPr>
          <w:rFonts w:hint="eastAsia" w:ascii="宋体" w:hAnsi="宋体" w:eastAsia="宋体" w:cs="宋体"/>
          <w:color w:val="auto"/>
          <w:sz w:val="21"/>
          <w:szCs w:val="21"/>
        </w:rPr>
      </w:pPr>
    </w:p>
    <w:p w14:paraId="2F6D7115">
      <w:pPr>
        <w:pStyle w:val="30"/>
        <w:rPr>
          <w:rFonts w:hint="eastAsia" w:ascii="宋体" w:hAnsi="宋体"/>
          <w:b/>
          <w:color w:val="auto"/>
          <w:sz w:val="21"/>
          <w:szCs w:val="21"/>
        </w:rPr>
      </w:pPr>
    </w:p>
    <w:p w14:paraId="45C3753E">
      <w:pPr>
        <w:pStyle w:val="2"/>
        <w:bidi w:val="0"/>
        <w:rPr>
          <w:rFonts w:hint="eastAsia" w:ascii="黑体" w:eastAsia="黑体"/>
          <w:b/>
          <w:color w:val="auto"/>
          <w:szCs w:val="32"/>
        </w:rPr>
      </w:pPr>
      <w:r>
        <w:rPr>
          <w:rFonts w:hint="eastAsia" w:ascii="黑体" w:eastAsia="黑体"/>
          <w:b/>
          <w:color w:val="auto"/>
          <w:szCs w:val="32"/>
        </w:rPr>
        <w:br w:type="page"/>
      </w:r>
      <w:r>
        <w:rPr>
          <w:rFonts w:hint="eastAsia"/>
          <w:sz w:val="32"/>
          <w:szCs w:val="32"/>
        </w:rPr>
        <w:t>第二章 磋商须知</w:t>
      </w:r>
      <w:bookmarkEnd w:id="1"/>
    </w:p>
    <w:p w14:paraId="1776DDF1">
      <w:pPr>
        <w:pStyle w:val="3"/>
        <w:keepNext/>
        <w:keepLines/>
        <w:pageBreakBefore w:val="0"/>
        <w:widowControl w:val="0"/>
        <w:kinsoku/>
        <w:wordWrap/>
        <w:overflowPunct/>
        <w:topLinePunct w:val="0"/>
        <w:autoSpaceDE/>
        <w:autoSpaceDN/>
        <w:bidi w:val="0"/>
        <w:adjustRightInd/>
        <w:snapToGrid/>
        <w:spacing w:before="0" w:beforeLines="50"/>
        <w:jc w:val="center"/>
        <w:textAlignment w:val="auto"/>
        <w:rPr>
          <w:rFonts w:hint="eastAsia"/>
        </w:rPr>
      </w:pPr>
      <w:r>
        <w:rPr>
          <w:rFonts w:hint="eastAsia"/>
        </w:rPr>
        <w:t>磋商须知前附表</w:t>
      </w:r>
    </w:p>
    <w:tbl>
      <w:tblPr>
        <w:tblStyle w:val="20"/>
        <w:tblpPr w:leftFromText="180" w:rightFromText="180" w:vertAnchor="text" w:horzAnchor="page" w:tblpX="1572" w:tblpY="492"/>
        <w:tblOverlap w:val="never"/>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985"/>
        <w:gridCol w:w="5224"/>
      </w:tblGrid>
      <w:tr w14:paraId="5228B3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trPr>
        <w:tc>
          <w:tcPr>
            <w:tcW w:w="1844" w:type="dxa"/>
            <w:noWrap w:val="0"/>
            <w:vAlign w:val="center"/>
          </w:tcPr>
          <w:p w14:paraId="39ECBB20">
            <w:pPr>
              <w:adjustRightInd w:val="0"/>
              <w:snapToGri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条款号</w:t>
            </w:r>
          </w:p>
        </w:tc>
        <w:tc>
          <w:tcPr>
            <w:tcW w:w="1985" w:type="dxa"/>
            <w:noWrap w:val="0"/>
            <w:vAlign w:val="center"/>
          </w:tcPr>
          <w:p w14:paraId="7D05D009">
            <w:pPr>
              <w:adjustRightInd w:val="0"/>
              <w:snapToGri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条款名称</w:t>
            </w:r>
          </w:p>
        </w:tc>
        <w:tc>
          <w:tcPr>
            <w:tcW w:w="5224" w:type="dxa"/>
            <w:noWrap w:val="0"/>
            <w:vAlign w:val="center"/>
          </w:tcPr>
          <w:p w14:paraId="23E7F197">
            <w:pPr>
              <w:adjustRightInd w:val="0"/>
              <w:snapToGrid w:val="0"/>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编列内容规定</w:t>
            </w:r>
          </w:p>
        </w:tc>
      </w:tr>
      <w:tr w14:paraId="2D2CAB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53" w:type="dxa"/>
            <w:gridSpan w:val="3"/>
            <w:noWrap w:val="0"/>
            <w:vAlign w:val="center"/>
          </w:tcPr>
          <w:p w14:paraId="6E183108">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b/>
                <w:color w:val="auto"/>
                <w:sz w:val="21"/>
                <w:szCs w:val="21"/>
              </w:rPr>
              <w:t>一、说明</w:t>
            </w:r>
          </w:p>
        </w:tc>
      </w:tr>
      <w:tr w14:paraId="55C381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7150E1E1">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第二章第1.1款</w:t>
            </w:r>
          </w:p>
        </w:tc>
        <w:tc>
          <w:tcPr>
            <w:tcW w:w="1985" w:type="dxa"/>
            <w:noWrap w:val="0"/>
            <w:vAlign w:val="center"/>
          </w:tcPr>
          <w:p w14:paraId="23534659">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采购项目</w:t>
            </w:r>
          </w:p>
        </w:tc>
        <w:tc>
          <w:tcPr>
            <w:tcW w:w="5224" w:type="dxa"/>
            <w:noWrap w:val="0"/>
            <w:vAlign w:val="center"/>
          </w:tcPr>
          <w:p w14:paraId="1844E423">
            <w:pPr>
              <w:tabs>
                <w:tab w:val="left" w:pos="3375"/>
              </w:tabs>
              <w:adjustRightInd w:val="0"/>
              <w:snapToGrid w:val="0"/>
              <w:spacing w:line="24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湘潭市中级人民法院大要案审判转播保障系统建设项目</w:t>
            </w:r>
          </w:p>
        </w:tc>
      </w:tr>
      <w:tr w14:paraId="2657E7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6" w:hRule="atLeast"/>
        </w:trPr>
        <w:tc>
          <w:tcPr>
            <w:tcW w:w="1844" w:type="dxa"/>
            <w:noWrap w:val="0"/>
            <w:vAlign w:val="center"/>
          </w:tcPr>
          <w:p w14:paraId="3155A500">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第二章第2.1款</w:t>
            </w:r>
          </w:p>
        </w:tc>
        <w:tc>
          <w:tcPr>
            <w:tcW w:w="1985" w:type="dxa"/>
            <w:noWrap w:val="0"/>
            <w:vAlign w:val="center"/>
          </w:tcPr>
          <w:p w14:paraId="442E84C0">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采购人</w:t>
            </w:r>
          </w:p>
        </w:tc>
        <w:tc>
          <w:tcPr>
            <w:tcW w:w="5224" w:type="dxa"/>
            <w:noWrap w:val="0"/>
            <w:vAlign w:val="center"/>
          </w:tcPr>
          <w:p w14:paraId="26EFC013">
            <w:pPr>
              <w:adjustRightInd w:val="0"/>
              <w:snapToGrid w:val="0"/>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采购人：</w:t>
            </w:r>
            <w:r>
              <w:rPr>
                <w:rFonts w:hint="eastAsia" w:ascii="宋体" w:hAnsi="宋体" w:eastAsia="宋体" w:cs="宋体"/>
                <w:color w:val="auto"/>
                <w:sz w:val="21"/>
                <w:szCs w:val="21"/>
                <w:lang w:val="en-US" w:eastAsia="zh-CN"/>
              </w:rPr>
              <w:t>湘潭市中级人民法院</w:t>
            </w:r>
          </w:p>
          <w:p w14:paraId="273D5D59">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联系人：</w:t>
            </w:r>
            <w:r>
              <w:rPr>
                <w:rFonts w:hint="eastAsia" w:ascii="宋体" w:hAnsi="宋体" w:eastAsia="宋体" w:cs="宋体"/>
                <w:color w:val="auto"/>
                <w:sz w:val="21"/>
                <w:szCs w:val="21"/>
                <w:lang w:val="en-US" w:eastAsia="zh-CN"/>
              </w:rPr>
              <w:t>李先生</w:t>
            </w:r>
            <w:r>
              <w:rPr>
                <w:rFonts w:hint="eastAsia" w:ascii="宋体" w:hAnsi="宋体" w:eastAsia="宋体" w:cs="宋体"/>
                <w:color w:val="auto"/>
                <w:sz w:val="21"/>
                <w:szCs w:val="21"/>
              </w:rPr>
              <w:t xml:space="preserve">                      </w:t>
            </w:r>
          </w:p>
          <w:p w14:paraId="723803B3">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电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话：</w:t>
            </w:r>
            <w:r>
              <w:rPr>
                <w:rFonts w:hint="eastAsia" w:ascii="宋体" w:hAnsi="宋体" w:eastAsia="宋体" w:cs="宋体"/>
                <w:color w:val="auto"/>
                <w:sz w:val="21"/>
                <w:szCs w:val="21"/>
                <w:lang w:val="en-US" w:eastAsia="zh-CN"/>
              </w:rPr>
              <w:t>0731-58553202</w:t>
            </w:r>
            <w:r>
              <w:rPr>
                <w:rFonts w:hint="eastAsia" w:ascii="宋体" w:hAnsi="宋体" w:eastAsia="宋体" w:cs="宋体"/>
                <w:color w:val="auto"/>
                <w:sz w:val="21"/>
                <w:szCs w:val="21"/>
              </w:rPr>
              <w:t xml:space="preserve">         </w:t>
            </w:r>
          </w:p>
          <w:p w14:paraId="00CC51DE">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地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址：</w:t>
            </w:r>
            <w:r>
              <w:rPr>
                <w:rFonts w:hint="eastAsia" w:ascii="宋体" w:hAnsi="宋体" w:eastAsia="宋体" w:cs="宋体"/>
                <w:color w:val="auto"/>
                <w:sz w:val="21"/>
                <w:szCs w:val="21"/>
                <w:lang w:val="en-US" w:eastAsia="zh-CN"/>
              </w:rPr>
              <w:t>湘潭市芙蓉路58号</w:t>
            </w:r>
            <w:r>
              <w:rPr>
                <w:rFonts w:hint="eastAsia" w:ascii="宋体" w:hAnsi="宋体" w:eastAsia="宋体" w:cs="宋体"/>
                <w:color w:val="auto"/>
                <w:sz w:val="21"/>
                <w:szCs w:val="21"/>
              </w:rPr>
              <w:t xml:space="preserve"> </w:t>
            </w:r>
          </w:p>
        </w:tc>
      </w:tr>
      <w:tr w14:paraId="5CEF2E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195CF9E9">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第二章第2.2款</w:t>
            </w:r>
          </w:p>
        </w:tc>
        <w:tc>
          <w:tcPr>
            <w:tcW w:w="1985" w:type="dxa"/>
            <w:noWrap w:val="0"/>
            <w:vAlign w:val="center"/>
          </w:tcPr>
          <w:p w14:paraId="7C8D7A8E">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采购代理机构</w:t>
            </w:r>
          </w:p>
        </w:tc>
        <w:tc>
          <w:tcPr>
            <w:tcW w:w="5224" w:type="dxa"/>
            <w:noWrap w:val="0"/>
            <w:vAlign w:val="center"/>
          </w:tcPr>
          <w:p w14:paraId="658CAE55">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采购代理机构：湖南大湘招标代理有限公司</w:t>
            </w:r>
          </w:p>
          <w:p w14:paraId="455D48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rPr>
              <w:t>地 址：</w:t>
            </w:r>
            <w:r>
              <w:rPr>
                <w:rFonts w:hint="eastAsia" w:ascii="宋体" w:hAnsi="宋体"/>
                <w:bCs/>
                <w:color w:val="auto"/>
                <w:szCs w:val="21"/>
                <w:highlight w:val="none"/>
              </w:rPr>
              <w:t>湖南省湘潭市岳塘区宝塔街道芙蓉路53号栢丽广场1号楼1单元0901003号</w:t>
            </w:r>
          </w:p>
          <w:p w14:paraId="611A5E64">
            <w:pPr>
              <w:adjustRightInd w:val="0"/>
              <w:snapToGrid w:val="0"/>
              <w:spacing w:line="24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联系人：</w:t>
            </w:r>
            <w:r>
              <w:rPr>
                <w:rFonts w:hint="eastAsia" w:ascii="宋体" w:hAnsi="宋体" w:cs="宋体"/>
                <w:color w:val="auto"/>
                <w:sz w:val="21"/>
                <w:szCs w:val="21"/>
                <w:lang w:eastAsia="zh-CN"/>
              </w:rPr>
              <w:t>黄佳婧、</w:t>
            </w:r>
            <w:r>
              <w:rPr>
                <w:rFonts w:hint="eastAsia" w:ascii="宋体" w:hAnsi="宋体" w:cs="宋体"/>
                <w:color w:val="auto"/>
                <w:spacing w:val="-8"/>
                <w:sz w:val="21"/>
                <w:szCs w:val="21"/>
                <w:highlight w:val="none"/>
              </w:rPr>
              <w:t>陈丽娟</w:t>
            </w:r>
            <w:r>
              <w:rPr>
                <w:rFonts w:hint="eastAsia" w:ascii="宋体" w:hAnsi="宋体" w:cs="宋体"/>
                <w:color w:val="auto"/>
                <w:spacing w:val="-8"/>
                <w:sz w:val="21"/>
                <w:szCs w:val="21"/>
                <w:highlight w:val="none"/>
                <w:lang w:eastAsia="zh-CN"/>
              </w:rPr>
              <w:t>、沈琼湘</w:t>
            </w:r>
          </w:p>
          <w:p w14:paraId="18CCD90F">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邮编：411100</w:t>
            </w:r>
          </w:p>
          <w:p w14:paraId="69F7695B">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电 话：0731-58390160 </w:t>
            </w:r>
          </w:p>
        </w:tc>
      </w:tr>
      <w:tr w14:paraId="15FAA1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6437D2DF">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第二章第2.3款</w:t>
            </w:r>
          </w:p>
        </w:tc>
        <w:tc>
          <w:tcPr>
            <w:tcW w:w="1985" w:type="dxa"/>
            <w:noWrap w:val="0"/>
            <w:vAlign w:val="center"/>
          </w:tcPr>
          <w:p w14:paraId="3471C819">
            <w:pPr>
              <w:adjustRightInd w:val="0"/>
              <w:snapToGrid w:val="0"/>
              <w:spacing w:line="240" w:lineRule="auto"/>
              <w:rPr>
                <w:rFonts w:hint="eastAsia" w:ascii="宋体" w:hAnsi="宋体" w:eastAsia="宋体" w:cs="宋体"/>
                <w:bCs/>
                <w:color w:val="auto"/>
                <w:sz w:val="21"/>
                <w:szCs w:val="21"/>
              </w:rPr>
            </w:pPr>
            <w:r>
              <w:rPr>
                <w:rFonts w:hint="eastAsia" w:ascii="宋体" w:hAnsi="宋体" w:eastAsia="宋体" w:cs="宋体"/>
                <w:color w:val="auto"/>
                <w:kern w:val="0"/>
                <w:sz w:val="21"/>
                <w:szCs w:val="21"/>
              </w:rPr>
              <w:t>供应商的</w:t>
            </w:r>
            <w:r>
              <w:rPr>
                <w:rFonts w:hint="eastAsia" w:ascii="宋体" w:hAnsi="宋体" w:eastAsia="宋体" w:cs="宋体"/>
                <w:color w:val="auto"/>
                <w:sz w:val="21"/>
                <w:szCs w:val="21"/>
              </w:rPr>
              <w:t>邀请方式</w:t>
            </w:r>
          </w:p>
        </w:tc>
        <w:tc>
          <w:tcPr>
            <w:tcW w:w="5224" w:type="dxa"/>
            <w:noWrap w:val="0"/>
            <w:vAlign w:val="center"/>
          </w:tcPr>
          <w:p w14:paraId="6C7FD2F9">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FE"/>
            </w:r>
            <w:r>
              <w:rPr>
                <w:rFonts w:hint="eastAsia" w:ascii="宋体" w:hAnsi="宋体" w:eastAsia="宋体" w:cs="宋体"/>
                <w:color w:val="auto"/>
                <w:sz w:val="21"/>
                <w:szCs w:val="21"/>
              </w:rPr>
              <w:t xml:space="preserve"> 发布公告</w:t>
            </w:r>
          </w:p>
          <w:p w14:paraId="7F869C60">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从省级以上财政部门建立的供应商库中随机抽取</w:t>
            </w:r>
          </w:p>
          <w:p w14:paraId="55C15A06">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采购人和评审专家分别书面推荐的方式</w:t>
            </w:r>
          </w:p>
        </w:tc>
      </w:tr>
      <w:tr w14:paraId="27DEF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5" w:hRule="atLeast"/>
        </w:trPr>
        <w:tc>
          <w:tcPr>
            <w:tcW w:w="1844" w:type="dxa"/>
            <w:tcBorders>
              <w:bottom w:val="single" w:color="auto" w:sz="4" w:space="0"/>
            </w:tcBorders>
            <w:noWrap w:val="0"/>
            <w:vAlign w:val="center"/>
          </w:tcPr>
          <w:p w14:paraId="3DEE5517">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第二章第3.1款</w:t>
            </w:r>
          </w:p>
          <w:p w14:paraId="3E63BA07">
            <w:pPr>
              <w:adjustRightInd w:val="0"/>
              <w:snapToGrid w:val="0"/>
              <w:spacing w:line="240" w:lineRule="auto"/>
              <w:jc w:val="center"/>
              <w:rPr>
                <w:rFonts w:hint="eastAsia" w:ascii="宋体" w:hAnsi="宋体" w:eastAsia="宋体" w:cs="宋体"/>
                <w:color w:val="auto"/>
                <w:sz w:val="21"/>
                <w:szCs w:val="21"/>
              </w:rPr>
            </w:pPr>
          </w:p>
        </w:tc>
        <w:tc>
          <w:tcPr>
            <w:tcW w:w="1985" w:type="dxa"/>
            <w:tcBorders>
              <w:bottom w:val="single" w:color="auto" w:sz="4" w:space="0"/>
            </w:tcBorders>
            <w:noWrap w:val="0"/>
            <w:vAlign w:val="center"/>
          </w:tcPr>
          <w:p w14:paraId="538C2DAB">
            <w:pPr>
              <w:adjustRightInd w:val="0"/>
              <w:snapToGrid w:val="0"/>
              <w:spacing w:line="240" w:lineRule="auto"/>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供应商资格条件</w:t>
            </w:r>
          </w:p>
          <w:p w14:paraId="224EE4ED">
            <w:pPr>
              <w:adjustRightInd w:val="0"/>
              <w:snapToGrid w:val="0"/>
              <w:spacing w:line="240" w:lineRule="auto"/>
              <w:rPr>
                <w:rFonts w:hint="eastAsia" w:ascii="宋体" w:hAnsi="宋体" w:eastAsia="宋体" w:cs="宋体"/>
                <w:color w:val="auto"/>
                <w:sz w:val="21"/>
                <w:szCs w:val="21"/>
              </w:rPr>
            </w:pPr>
          </w:p>
        </w:tc>
        <w:tc>
          <w:tcPr>
            <w:tcW w:w="5224" w:type="dxa"/>
            <w:tcBorders>
              <w:bottom w:val="single" w:color="auto" w:sz="4" w:space="0"/>
            </w:tcBorders>
            <w:noWrap w:val="0"/>
            <w:vAlign w:val="center"/>
          </w:tcPr>
          <w:p w14:paraId="065B9607">
            <w:pPr>
              <w:pStyle w:val="9"/>
              <w:numPr>
                <w:ilvl w:val="0"/>
                <w:numId w:val="0"/>
              </w:numPr>
              <w:spacing w:after="0" w:line="240" w:lineRule="auto"/>
              <w:rPr>
                <w:rFonts w:hint="eastAsia" w:ascii="宋体" w:hAnsi="宋体" w:cs="宋体"/>
                <w:bCs/>
                <w:color w:val="auto"/>
                <w:szCs w:val="21"/>
                <w:lang w:eastAsia="zh-CN"/>
              </w:rPr>
            </w:pPr>
            <w:r>
              <w:rPr>
                <w:rFonts w:hint="eastAsia" w:ascii="宋体" w:hAnsi="宋体" w:cs="宋体"/>
                <w:bCs/>
                <w:color w:val="auto"/>
                <w:szCs w:val="21"/>
                <w:lang w:eastAsia="zh-CN"/>
              </w:rPr>
              <w:t>1、供应商的基本资格条件：供应商必须是在中华人民共和国境内注册登记的法人、其他组织或者自然人，且应当符合《政府采购法》第二十二条第一款的规定。</w:t>
            </w:r>
          </w:p>
          <w:p w14:paraId="78BCFEC5">
            <w:pPr>
              <w:pStyle w:val="9"/>
              <w:numPr>
                <w:ilvl w:val="0"/>
                <w:numId w:val="0"/>
              </w:numPr>
              <w:spacing w:after="0" w:line="240" w:lineRule="auto"/>
              <w:rPr>
                <w:rFonts w:hint="eastAsia" w:ascii="宋体" w:hAnsi="宋体" w:cs="宋体"/>
                <w:bCs/>
                <w:color w:val="auto"/>
                <w:szCs w:val="21"/>
                <w:lang w:eastAsia="zh-CN"/>
              </w:rPr>
            </w:pPr>
            <w:r>
              <w:rPr>
                <w:rFonts w:hint="eastAsia" w:ascii="宋体" w:hAnsi="宋体" w:cs="宋体"/>
                <w:bCs/>
                <w:color w:val="auto"/>
                <w:szCs w:val="21"/>
                <w:lang w:eastAsia="zh-CN"/>
              </w:rPr>
              <w:t>2、落实政府采购政策需满足的资格要求：</w:t>
            </w:r>
          </w:p>
          <w:p w14:paraId="44DA6542">
            <w:pPr>
              <w:pStyle w:val="9"/>
              <w:numPr>
                <w:ilvl w:val="0"/>
                <w:numId w:val="0"/>
              </w:numPr>
              <w:spacing w:after="0" w:line="240" w:lineRule="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专门面向：</w:t>
            </w:r>
            <w:r>
              <w:rPr>
                <w:rFonts w:hint="eastAsia" w:ascii="宋体" w:hAnsi="宋体" w:cs="宋体"/>
                <w:bCs/>
                <w:color w:val="auto"/>
                <w:szCs w:val="21"/>
                <w:highlight w:val="none"/>
                <w:lang w:val="en-US" w:eastAsia="zh-CN"/>
              </w:rPr>
              <w:sym w:font="Wingdings" w:char="00A8"/>
            </w:r>
            <w:r>
              <w:rPr>
                <w:rFonts w:hint="eastAsia" w:ascii="宋体" w:hAnsi="宋体" w:cs="宋体"/>
                <w:bCs/>
                <w:color w:val="auto"/>
                <w:szCs w:val="21"/>
                <w:highlight w:val="none"/>
                <w:lang w:val="en-US" w:eastAsia="zh-CN"/>
              </w:rPr>
              <w:t>中小企业</w:t>
            </w:r>
            <w:r>
              <w:rPr>
                <w:rFonts w:hint="eastAsia" w:ascii="宋体" w:hAnsi="宋体" w:cs="宋体"/>
                <w:bCs/>
                <w:color w:val="auto"/>
                <w:szCs w:val="21"/>
                <w:highlight w:val="none"/>
                <w:lang w:val="en-US" w:eastAsia="zh-CN"/>
              </w:rPr>
              <w:sym w:font="Wingdings" w:char="00A8"/>
            </w:r>
            <w:r>
              <w:rPr>
                <w:rFonts w:hint="eastAsia" w:ascii="宋体" w:hAnsi="宋体" w:cs="宋体"/>
                <w:bCs/>
                <w:color w:val="auto"/>
                <w:szCs w:val="21"/>
                <w:highlight w:val="none"/>
                <w:lang w:val="en-US" w:eastAsia="zh-CN"/>
              </w:rPr>
              <w:t xml:space="preserve">小微企业 </w:t>
            </w:r>
            <w:r>
              <w:rPr>
                <w:rFonts w:hint="eastAsia" w:ascii="宋体" w:hAnsi="宋体" w:cs="宋体"/>
                <w:bCs/>
                <w:color w:val="auto"/>
                <w:szCs w:val="21"/>
                <w:highlight w:val="none"/>
                <w:lang w:val="en-US" w:eastAsia="zh-CN"/>
              </w:rPr>
              <w:sym w:font="Wingdings" w:char="00A8"/>
            </w:r>
            <w:r>
              <w:rPr>
                <w:rFonts w:hint="eastAsia" w:ascii="宋体" w:hAnsi="宋体" w:cs="宋体"/>
                <w:bCs/>
                <w:color w:val="auto"/>
                <w:szCs w:val="21"/>
                <w:highlight w:val="none"/>
                <w:lang w:val="en-US" w:eastAsia="zh-CN"/>
              </w:rPr>
              <w:t xml:space="preserve">监狱企业 </w:t>
            </w:r>
            <w:r>
              <w:rPr>
                <w:rFonts w:hint="eastAsia" w:ascii="宋体" w:hAnsi="宋体" w:cs="宋体"/>
                <w:bCs/>
                <w:color w:val="auto"/>
                <w:szCs w:val="21"/>
                <w:highlight w:val="none"/>
                <w:lang w:val="en-US" w:eastAsia="zh-CN"/>
              </w:rPr>
              <w:sym w:font="Wingdings" w:char="00A8"/>
            </w:r>
            <w:r>
              <w:rPr>
                <w:rFonts w:hint="eastAsia" w:ascii="宋体" w:hAnsi="宋体" w:cs="宋体"/>
                <w:bCs/>
                <w:color w:val="auto"/>
                <w:szCs w:val="21"/>
                <w:highlight w:val="none"/>
                <w:lang w:val="en-US" w:eastAsia="zh-CN"/>
              </w:rPr>
              <w:t>福利性单位。</w:t>
            </w:r>
          </w:p>
          <w:p w14:paraId="097FCB9F">
            <w:pPr>
              <w:pStyle w:val="9"/>
              <w:numPr>
                <w:ilvl w:val="0"/>
                <w:numId w:val="0"/>
              </w:numPr>
              <w:spacing w:after="0" w:line="240" w:lineRule="auto"/>
              <w:rPr>
                <w:rFonts w:hint="eastAsia" w:ascii="宋体" w:hAnsi="宋体" w:cs="宋体"/>
                <w:bCs/>
                <w:color w:val="auto"/>
                <w:szCs w:val="21"/>
                <w:lang w:eastAsia="zh-CN"/>
              </w:rPr>
            </w:pPr>
            <w:r>
              <w:rPr>
                <w:rFonts w:hint="eastAsia" w:ascii="宋体" w:hAnsi="宋体" w:cs="宋体"/>
                <w:bCs/>
                <w:color w:val="auto"/>
                <w:szCs w:val="21"/>
                <w:lang w:eastAsia="zh-CN"/>
              </w:rPr>
              <w:t>强制分包：大型企业应将采购份额的 /%分包给中小企业。</w:t>
            </w:r>
          </w:p>
          <w:p w14:paraId="5A6B9C11">
            <w:pPr>
              <w:pStyle w:val="9"/>
              <w:numPr>
                <w:ilvl w:val="0"/>
                <w:numId w:val="0"/>
              </w:numPr>
              <w:spacing w:after="0" w:line="240" w:lineRule="auto"/>
              <w:rPr>
                <w:rFonts w:hint="eastAsia" w:ascii="宋体" w:hAnsi="宋体" w:cs="宋体"/>
                <w:bCs/>
                <w:color w:val="auto"/>
                <w:szCs w:val="21"/>
                <w:lang w:eastAsia="zh-CN"/>
              </w:rPr>
            </w:pPr>
            <w:r>
              <w:rPr>
                <w:rFonts w:hint="eastAsia" w:ascii="宋体" w:hAnsi="宋体" w:cs="宋体"/>
                <w:bCs/>
                <w:color w:val="auto"/>
                <w:szCs w:val="21"/>
                <w:lang w:val="en-US" w:eastAsia="zh-CN"/>
              </w:rPr>
              <w:t>3、</w:t>
            </w:r>
            <w:r>
              <w:rPr>
                <w:rFonts w:hint="eastAsia" w:ascii="宋体" w:hAnsi="宋体" w:cs="宋体"/>
                <w:bCs/>
                <w:color w:val="auto"/>
                <w:szCs w:val="21"/>
                <w:lang w:eastAsia="zh-CN"/>
              </w:rPr>
              <w:t>采购项目的特定资格条件：无</w:t>
            </w:r>
          </w:p>
          <w:p w14:paraId="27A2D655">
            <w:pPr>
              <w:pStyle w:val="9"/>
              <w:numPr>
                <w:ilvl w:val="0"/>
                <w:numId w:val="0"/>
              </w:numPr>
              <w:spacing w:after="0" w:line="240" w:lineRule="auto"/>
              <w:rPr>
                <w:rFonts w:hint="eastAsia" w:ascii="宋体" w:hAnsi="宋体" w:cs="宋体"/>
                <w:bCs/>
                <w:color w:val="auto"/>
                <w:szCs w:val="21"/>
                <w:lang w:eastAsia="zh-CN"/>
              </w:rPr>
            </w:pPr>
            <w:r>
              <w:rPr>
                <w:rFonts w:hint="eastAsia" w:ascii="宋体" w:hAnsi="宋体" w:cs="宋体"/>
                <w:bCs/>
                <w:color w:val="auto"/>
                <w:szCs w:val="21"/>
                <w:lang w:eastAsia="zh-CN"/>
              </w:rPr>
              <w:t>4、单位负责人为同一人或者存在直接控股、管理关系的不同投标供应商，不得参加同一合同项下的政府采购活动。</w:t>
            </w:r>
          </w:p>
          <w:p w14:paraId="7DCFF543">
            <w:pPr>
              <w:pStyle w:val="9"/>
              <w:numPr>
                <w:ilvl w:val="0"/>
                <w:numId w:val="0"/>
              </w:numPr>
              <w:spacing w:after="0" w:line="240" w:lineRule="auto"/>
              <w:rPr>
                <w:rFonts w:hint="eastAsia" w:ascii="宋体" w:hAnsi="宋体" w:cs="宋体"/>
                <w:bCs/>
                <w:color w:val="auto"/>
                <w:szCs w:val="21"/>
                <w:lang w:eastAsia="zh-CN"/>
              </w:rPr>
            </w:pPr>
            <w:r>
              <w:rPr>
                <w:rFonts w:hint="eastAsia" w:ascii="宋体" w:hAnsi="宋体" w:cs="宋体"/>
                <w:bCs/>
                <w:color w:val="auto"/>
                <w:szCs w:val="21"/>
                <w:lang w:val="en-US" w:eastAsia="zh-CN"/>
              </w:rPr>
              <w:t>5、</w:t>
            </w:r>
            <w:r>
              <w:rPr>
                <w:rFonts w:hint="eastAsia" w:ascii="宋体" w:hAnsi="宋体" w:cs="宋体"/>
                <w:bCs/>
                <w:color w:val="auto"/>
                <w:szCs w:val="21"/>
                <w:lang w:eastAsia="zh-CN"/>
              </w:rPr>
              <w:t>为本采购项目提供整体设计、规范编制或者项目管理、监理、检测等服务的，不得再参加此项目的其他采购活动。</w:t>
            </w:r>
          </w:p>
          <w:p w14:paraId="26B7D89B">
            <w:pPr>
              <w:pStyle w:val="9"/>
              <w:numPr>
                <w:ilvl w:val="0"/>
                <w:numId w:val="0"/>
              </w:numPr>
              <w:spacing w:after="0" w:line="240" w:lineRule="auto"/>
              <w:rPr>
                <w:rFonts w:hint="eastAsia" w:ascii="宋体" w:hAnsi="宋体" w:cs="宋体"/>
                <w:bCs/>
                <w:color w:val="auto"/>
                <w:szCs w:val="21"/>
                <w:lang w:eastAsia="zh-CN"/>
              </w:rPr>
            </w:pPr>
            <w:r>
              <w:rPr>
                <w:rFonts w:hint="eastAsia" w:ascii="宋体" w:hAnsi="宋体" w:cs="宋体"/>
                <w:bCs/>
                <w:color w:val="auto"/>
                <w:szCs w:val="21"/>
                <w:lang w:val="en-US" w:eastAsia="zh-CN"/>
              </w:rPr>
              <w:t>6、</w:t>
            </w:r>
            <w:r>
              <w:rPr>
                <w:rFonts w:hint="eastAsia" w:ascii="宋体" w:hAnsi="宋体" w:cs="宋体"/>
                <w:bCs/>
                <w:color w:val="auto"/>
                <w:szCs w:val="21"/>
                <w:lang w:eastAsia="zh-CN"/>
              </w:rPr>
              <w:t>列入失信被执行人、重大税收违法失信主体名单、政府采购严重违法失信行为记录名单的，拒绝其参与政府采购活动。</w:t>
            </w:r>
          </w:p>
          <w:p w14:paraId="6A7FCBB0">
            <w:pPr>
              <w:pStyle w:val="9"/>
              <w:numPr>
                <w:ilvl w:val="0"/>
                <w:numId w:val="0"/>
              </w:numPr>
              <w:spacing w:after="0" w:line="240" w:lineRule="auto"/>
              <w:rPr>
                <w:rFonts w:hint="eastAsia" w:ascii="宋体" w:hAnsi="宋体" w:cs="宋体"/>
                <w:bCs/>
                <w:color w:val="auto"/>
                <w:szCs w:val="21"/>
                <w:lang w:eastAsia="zh-CN"/>
              </w:rPr>
            </w:pPr>
            <w:r>
              <w:rPr>
                <w:rFonts w:hint="eastAsia" w:ascii="宋体" w:hAnsi="宋体" w:cs="宋体"/>
                <w:bCs/>
                <w:color w:val="auto"/>
                <w:szCs w:val="21"/>
                <w:lang w:val="en-US" w:eastAsia="zh-CN"/>
              </w:rPr>
              <w:t>7、</w:t>
            </w:r>
            <w:r>
              <w:rPr>
                <w:rFonts w:hint="eastAsia" w:ascii="宋体" w:hAnsi="宋体" w:cs="宋体"/>
                <w:bCs/>
                <w:color w:val="auto"/>
                <w:szCs w:val="21"/>
                <w:lang w:eastAsia="zh-CN"/>
              </w:rPr>
              <w:t>联合体投标。本次招标不接受联合体投标。</w:t>
            </w:r>
          </w:p>
          <w:p w14:paraId="36AB0BFE">
            <w:pPr>
              <w:rPr>
                <w:rFonts w:hint="eastAsia"/>
                <w:color w:val="auto"/>
                <w:lang w:eastAsia="zh-CN"/>
              </w:rPr>
            </w:pPr>
            <w:r>
              <w:rPr>
                <w:rFonts w:hint="eastAsia"/>
                <w:color w:val="auto"/>
                <w:lang w:val="en-US" w:eastAsia="zh-CN"/>
              </w:rPr>
              <w:t>8</w:t>
            </w:r>
            <w:r>
              <w:rPr>
                <w:rFonts w:hint="eastAsia"/>
                <w:color w:val="auto"/>
                <w:lang w:eastAsia="zh-CN"/>
              </w:rPr>
              <w:t>、供应商凭《湖南省政府采购供应商资格承诺函》参与政府采购活动，无需提供单位财务状况报告、依法缴纳税收和社会保障资金的相关材料、参加政府采购活动前三年内在经营活动中没有重大违法记录的书面声明。（格式见磋商文件，如未提供或填写存在不实情况，视为无效响应。）</w:t>
            </w:r>
          </w:p>
        </w:tc>
      </w:tr>
      <w:tr w14:paraId="4A4589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00F6325C">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第二章第6.1款</w:t>
            </w:r>
          </w:p>
        </w:tc>
        <w:tc>
          <w:tcPr>
            <w:tcW w:w="1985" w:type="dxa"/>
            <w:noWrap w:val="0"/>
            <w:vAlign w:val="center"/>
          </w:tcPr>
          <w:p w14:paraId="2DE2DE63">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联合体形式</w:t>
            </w:r>
          </w:p>
        </w:tc>
        <w:tc>
          <w:tcPr>
            <w:tcW w:w="5224" w:type="dxa"/>
            <w:noWrap w:val="0"/>
            <w:vAlign w:val="center"/>
          </w:tcPr>
          <w:p w14:paraId="509B7068">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FE"/>
            </w:r>
            <w:r>
              <w:rPr>
                <w:rFonts w:hint="eastAsia" w:ascii="宋体" w:hAnsi="宋体" w:eastAsia="宋体" w:cs="宋体"/>
                <w:color w:val="auto"/>
                <w:sz w:val="21"/>
                <w:szCs w:val="21"/>
              </w:rPr>
              <w:t xml:space="preserve"> 不接受</w:t>
            </w:r>
          </w:p>
          <w:p w14:paraId="1F78D30E">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接受</w:t>
            </w:r>
          </w:p>
        </w:tc>
      </w:tr>
      <w:tr w14:paraId="05A16E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4A457570">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第二章第6.2款</w:t>
            </w:r>
          </w:p>
        </w:tc>
        <w:tc>
          <w:tcPr>
            <w:tcW w:w="1985" w:type="dxa"/>
            <w:noWrap w:val="0"/>
            <w:vAlign w:val="center"/>
          </w:tcPr>
          <w:p w14:paraId="153B3C30">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对联合体各方的要求</w:t>
            </w:r>
          </w:p>
        </w:tc>
        <w:tc>
          <w:tcPr>
            <w:tcW w:w="5224" w:type="dxa"/>
            <w:noWrap w:val="0"/>
            <w:vAlign w:val="center"/>
          </w:tcPr>
          <w:p w14:paraId="7E5D34A0">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p>
        </w:tc>
      </w:tr>
      <w:tr w14:paraId="175F2F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4D41ECE1">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第二章第7.1款</w:t>
            </w:r>
          </w:p>
        </w:tc>
        <w:tc>
          <w:tcPr>
            <w:tcW w:w="1985" w:type="dxa"/>
            <w:noWrap w:val="0"/>
            <w:vAlign w:val="center"/>
          </w:tcPr>
          <w:p w14:paraId="438A7CFC">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现场勘察</w:t>
            </w:r>
          </w:p>
        </w:tc>
        <w:tc>
          <w:tcPr>
            <w:tcW w:w="5224" w:type="dxa"/>
            <w:noWrap w:val="0"/>
            <w:vAlign w:val="center"/>
          </w:tcPr>
          <w:p w14:paraId="5A70FD74">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FE"/>
            </w:r>
            <w:r>
              <w:rPr>
                <w:rFonts w:hint="eastAsia" w:ascii="宋体" w:hAnsi="宋体" w:eastAsia="宋体" w:cs="宋体"/>
                <w:color w:val="auto"/>
                <w:sz w:val="21"/>
                <w:szCs w:val="21"/>
              </w:rPr>
              <w:t xml:space="preserve">  采购人不组织</w:t>
            </w:r>
          </w:p>
          <w:p w14:paraId="638C5776">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采购人组织，时间：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地点：</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联系人：</w:t>
            </w:r>
            <w:r>
              <w:rPr>
                <w:rFonts w:hint="eastAsia" w:ascii="宋体" w:hAnsi="宋体" w:eastAsia="宋体" w:cs="宋体"/>
                <w:color w:val="auto"/>
                <w:sz w:val="21"/>
                <w:szCs w:val="21"/>
                <w:u w:val="single"/>
              </w:rPr>
              <w:t xml:space="preserve">  </w:t>
            </w:r>
          </w:p>
        </w:tc>
      </w:tr>
      <w:tr w14:paraId="00A00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70957C03">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第二章第8.1款</w:t>
            </w:r>
          </w:p>
        </w:tc>
        <w:tc>
          <w:tcPr>
            <w:tcW w:w="1985" w:type="dxa"/>
            <w:noWrap w:val="0"/>
            <w:vAlign w:val="center"/>
          </w:tcPr>
          <w:p w14:paraId="3D7235D0">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采购进口产品</w:t>
            </w:r>
          </w:p>
        </w:tc>
        <w:tc>
          <w:tcPr>
            <w:tcW w:w="5224" w:type="dxa"/>
            <w:noWrap w:val="0"/>
            <w:vAlign w:val="center"/>
          </w:tcPr>
          <w:p w14:paraId="0C00D45F">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FE"/>
            </w:r>
            <w:r>
              <w:rPr>
                <w:rFonts w:hint="eastAsia" w:ascii="宋体" w:hAnsi="宋体" w:eastAsia="宋体" w:cs="宋体"/>
                <w:color w:val="auto"/>
                <w:sz w:val="21"/>
                <w:szCs w:val="21"/>
              </w:rPr>
              <w:t xml:space="preserve"> 本项目拒绝采购进口产品</w:t>
            </w:r>
          </w:p>
          <w:p w14:paraId="14D88A61">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本项目已经财政部门审核同意购买进口产品</w:t>
            </w:r>
          </w:p>
        </w:tc>
      </w:tr>
      <w:tr w14:paraId="1D88D4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39A1A4C8">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第二章第9.1款</w:t>
            </w:r>
          </w:p>
        </w:tc>
        <w:tc>
          <w:tcPr>
            <w:tcW w:w="1985" w:type="dxa"/>
            <w:noWrap w:val="0"/>
            <w:vAlign w:val="center"/>
          </w:tcPr>
          <w:p w14:paraId="24732BB9">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政府采购强制采购：</w:t>
            </w:r>
          </w:p>
          <w:p w14:paraId="39149357">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1、强制采购的节能产品；</w:t>
            </w:r>
          </w:p>
          <w:p w14:paraId="682A0D35">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2、其他。</w:t>
            </w:r>
          </w:p>
        </w:tc>
        <w:tc>
          <w:tcPr>
            <w:tcW w:w="5224" w:type="dxa"/>
            <w:noWrap w:val="0"/>
            <w:vAlign w:val="center"/>
          </w:tcPr>
          <w:p w14:paraId="5F3E7309">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FE"/>
            </w:r>
            <w:r>
              <w:rPr>
                <w:rFonts w:hint="eastAsia" w:ascii="宋体" w:hAnsi="宋体" w:eastAsia="宋体" w:cs="宋体"/>
                <w:color w:val="auto"/>
                <w:sz w:val="21"/>
                <w:szCs w:val="21"/>
              </w:rPr>
              <w:t xml:space="preserve"> 否</w:t>
            </w:r>
          </w:p>
          <w:p w14:paraId="5FAFBC95">
            <w:pPr>
              <w:adjustRightInd w:val="0"/>
              <w:snapToGrid w:val="0"/>
              <w:spacing w:line="24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是，采购《节能产品政府采购清单》(</w:t>
            </w:r>
            <w:r>
              <w:rPr>
                <w:rFonts w:hint="eastAsia" w:ascii="宋体" w:hAnsi="宋体" w:eastAsia="宋体" w:cs="宋体"/>
                <w:color w:val="auto"/>
                <w:sz w:val="21"/>
                <w:szCs w:val="21"/>
                <w:lang w:eastAsia="zh-CN"/>
              </w:rPr>
              <w:t>最新一</w:t>
            </w:r>
            <w:r>
              <w:rPr>
                <w:rFonts w:hint="eastAsia" w:ascii="宋体" w:hAnsi="宋体" w:eastAsia="宋体" w:cs="宋体"/>
                <w:color w:val="auto"/>
                <w:sz w:val="21"/>
                <w:szCs w:val="21"/>
              </w:rPr>
              <w:t>期) 内标记★符号的节能产品。</w:t>
            </w:r>
          </w:p>
        </w:tc>
      </w:tr>
      <w:tr w14:paraId="19515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5" w:hRule="atLeast"/>
        </w:trPr>
        <w:tc>
          <w:tcPr>
            <w:tcW w:w="1844" w:type="dxa"/>
            <w:vMerge w:val="restart"/>
            <w:noWrap w:val="0"/>
            <w:vAlign w:val="center"/>
          </w:tcPr>
          <w:p w14:paraId="275FD1A1">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第二章第9.2款</w:t>
            </w:r>
          </w:p>
        </w:tc>
        <w:tc>
          <w:tcPr>
            <w:tcW w:w="1985" w:type="dxa"/>
            <w:vMerge w:val="restart"/>
            <w:noWrap w:val="0"/>
            <w:vAlign w:val="center"/>
          </w:tcPr>
          <w:p w14:paraId="776D68F3">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政府采购优先采购：</w:t>
            </w:r>
          </w:p>
          <w:p w14:paraId="0806193F">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1、非强制采购的节能产品；</w:t>
            </w:r>
          </w:p>
          <w:p w14:paraId="4EFD9295">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2、环境标志产品；</w:t>
            </w:r>
          </w:p>
          <w:p w14:paraId="0782EFF1">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eastAsia="宋体" w:cs="宋体"/>
                <w:bCs/>
                <w:color w:val="auto"/>
                <w:sz w:val="21"/>
                <w:szCs w:val="21"/>
              </w:rPr>
              <w:t>支持</w:t>
            </w:r>
            <w:r>
              <w:rPr>
                <w:rFonts w:hint="eastAsia" w:ascii="宋体" w:hAnsi="宋体" w:eastAsia="宋体" w:cs="宋体"/>
                <w:color w:val="auto"/>
                <w:sz w:val="21"/>
                <w:szCs w:val="21"/>
              </w:rPr>
              <w:t>中小企业发展；</w:t>
            </w:r>
          </w:p>
          <w:p w14:paraId="63406CB9">
            <w:pPr>
              <w:adjustRightInd w:val="0"/>
              <w:snapToGrid w:val="0"/>
              <w:spacing w:line="240" w:lineRule="auto"/>
              <w:rPr>
                <w:rFonts w:hint="eastAsia" w:ascii="宋体" w:hAnsi="宋体" w:eastAsia="宋体" w:cs="宋体"/>
                <w:color w:val="auto"/>
                <w:sz w:val="21"/>
                <w:szCs w:val="21"/>
              </w:rPr>
            </w:pPr>
          </w:p>
        </w:tc>
        <w:tc>
          <w:tcPr>
            <w:tcW w:w="5224" w:type="dxa"/>
            <w:tcBorders>
              <w:bottom w:val="single" w:color="auto" w:sz="4" w:space="0"/>
            </w:tcBorders>
            <w:noWrap w:val="0"/>
            <w:vAlign w:val="center"/>
          </w:tcPr>
          <w:p w14:paraId="60B77285">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否</w:t>
            </w:r>
          </w:p>
          <w:p w14:paraId="40BF176B">
            <w:pPr>
              <w:adjustRightInd w:val="0"/>
              <w:snapToGrid w:val="0"/>
              <w:spacing w:before="156" w:beforeLines="50" w:line="24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sym w:font="Wingdings" w:char="00FE"/>
            </w:r>
            <w:r>
              <w:rPr>
                <w:rFonts w:hint="eastAsia" w:ascii="宋体" w:hAnsi="宋体" w:eastAsia="宋体" w:cs="宋体"/>
                <w:color w:val="auto"/>
                <w:sz w:val="21"/>
                <w:szCs w:val="21"/>
              </w:rPr>
              <w:t>是</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采购产品为《节能产品政府采购清单》(</w:t>
            </w:r>
            <w:r>
              <w:rPr>
                <w:rFonts w:hint="eastAsia" w:ascii="宋体" w:hAnsi="宋体" w:eastAsia="宋体" w:cs="宋体"/>
                <w:color w:val="auto"/>
                <w:sz w:val="21"/>
                <w:szCs w:val="21"/>
                <w:lang w:eastAsia="zh-CN"/>
              </w:rPr>
              <w:t>最新一期</w:t>
            </w:r>
            <w:r>
              <w:rPr>
                <w:rFonts w:hint="eastAsia" w:ascii="宋体" w:hAnsi="宋体" w:eastAsia="宋体" w:cs="宋体"/>
                <w:color w:val="auto"/>
                <w:sz w:val="21"/>
                <w:szCs w:val="21"/>
              </w:rPr>
              <w:t>)内非标记★符号的，分别给予技术和价格项标准总分值4%-8%的加分。本项目具体加分比例分别为 ：技术</w:t>
            </w:r>
            <w:r>
              <w:rPr>
                <w:rFonts w:hint="eastAsia" w:ascii="宋体" w:hAnsi="宋体" w:cs="宋体"/>
                <w:color w:val="auto"/>
                <w:sz w:val="21"/>
                <w:szCs w:val="21"/>
                <w:lang w:val="en-US" w:eastAsia="zh-CN"/>
              </w:rPr>
              <w:t xml:space="preserve"> </w:t>
            </w:r>
            <w:r>
              <w:rPr>
                <w:rFonts w:hint="eastAsia" w:ascii="宋体" w:hAnsi="宋体" w:cs="宋体"/>
                <w:color w:val="auto"/>
                <w:sz w:val="21"/>
                <w:szCs w:val="21"/>
                <w:u w:val="single"/>
                <w:lang w:val="en-US" w:eastAsia="zh-CN"/>
              </w:rPr>
              <w:t>4</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%、价格</w:t>
            </w:r>
            <w:r>
              <w:rPr>
                <w:rFonts w:hint="eastAsia" w:ascii="宋体" w:hAnsi="宋体" w:cs="宋体"/>
                <w:color w:val="auto"/>
                <w:sz w:val="21"/>
                <w:szCs w:val="21"/>
                <w:u w:val="single"/>
                <w:lang w:val="en-US" w:eastAsia="zh-CN"/>
              </w:rPr>
              <w:t xml:space="preserve"> 4 </w:t>
            </w:r>
            <w:r>
              <w:rPr>
                <w:rFonts w:hint="eastAsia" w:ascii="宋体" w:hAnsi="宋体" w:eastAsia="宋体" w:cs="宋体"/>
                <w:color w:val="auto"/>
                <w:sz w:val="21"/>
                <w:szCs w:val="21"/>
              </w:rPr>
              <w:t>%。</w:t>
            </w:r>
          </w:p>
        </w:tc>
      </w:tr>
      <w:tr w14:paraId="6D7E8C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01" w:hRule="atLeast"/>
        </w:trPr>
        <w:tc>
          <w:tcPr>
            <w:tcW w:w="1844" w:type="dxa"/>
            <w:vMerge w:val="continue"/>
            <w:noWrap w:val="0"/>
            <w:vAlign w:val="center"/>
          </w:tcPr>
          <w:p w14:paraId="5F1D4411">
            <w:pPr>
              <w:adjustRightInd w:val="0"/>
              <w:snapToGrid w:val="0"/>
              <w:spacing w:line="240" w:lineRule="auto"/>
              <w:jc w:val="center"/>
              <w:rPr>
                <w:rFonts w:hint="eastAsia" w:ascii="宋体" w:hAnsi="宋体" w:eastAsia="宋体" w:cs="宋体"/>
                <w:color w:val="auto"/>
                <w:sz w:val="21"/>
                <w:szCs w:val="21"/>
              </w:rPr>
            </w:pPr>
          </w:p>
        </w:tc>
        <w:tc>
          <w:tcPr>
            <w:tcW w:w="1985" w:type="dxa"/>
            <w:vMerge w:val="continue"/>
            <w:noWrap w:val="0"/>
            <w:vAlign w:val="center"/>
          </w:tcPr>
          <w:p w14:paraId="77A74C21">
            <w:pPr>
              <w:adjustRightInd w:val="0"/>
              <w:snapToGrid w:val="0"/>
              <w:spacing w:line="240" w:lineRule="auto"/>
              <w:rPr>
                <w:rFonts w:hint="eastAsia" w:ascii="宋体" w:hAnsi="宋体" w:eastAsia="宋体" w:cs="宋体"/>
                <w:color w:val="auto"/>
                <w:sz w:val="21"/>
                <w:szCs w:val="21"/>
                <w:lang w:val="en-US" w:eastAsia="zh-CN"/>
              </w:rPr>
            </w:pPr>
          </w:p>
        </w:tc>
        <w:tc>
          <w:tcPr>
            <w:tcW w:w="5224" w:type="dxa"/>
            <w:tcBorders>
              <w:top w:val="single" w:color="auto" w:sz="4" w:space="0"/>
              <w:bottom w:val="single" w:color="auto" w:sz="4" w:space="0"/>
            </w:tcBorders>
            <w:noWrap w:val="0"/>
            <w:vAlign w:val="center"/>
          </w:tcPr>
          <w:p w14:paraId="7D1213F4">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否</w:t>
            </w:r>
          </w:p>
          <w:p w14:paraId="440E3DFC">
            <w:pPr>
              <w:adjustRightInd w:val="0"/>
              <w:snapToGrid w:val="0"/>
              <w:spacing w:before="156" w:beforeLines="5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FE"/>
            </w:r>
            <w:r>
              <w:rPr>
                <w:rFonts w:hint="eastAsia" w:ascii="宋体" w:hAnsi="宋体" w:eastAsia="宋体" w:cs="宋体"/>
                <w:color w:val="auto"/>
                <w:sz w:val="21"/>
                <w:szCs w:val="21"/>
              </w:rPr>
              <w:t>是</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采购产品为《环境标志产品政府采购清单》(</w:t>
            </w:r>
            <w:r>
              <w:rPr>
                <w:rFonts w:hint="eastAsia" w:ascii="宋体" w:hAnsi="宋体" w:eastAsia="宋体" w:cs="宋体"/>
                <w:color w:val="auto"/>
                <w:sz w:val="21"/>
                <w:szCs w:val="21"/>
                <w:lang w:eastAsia="zh-CN"/>
              </w:rPr>
              <w:t>最新一期</w:t>
            </w:r>
            <w:r>
              <w:rPr>
                <w:rFonts w:hint="eastAsia" w:ascii="宋体" w:hAnsi="宋体" w:eastAsia="宋体" w:cs="宋体"/>
                <w:color w:val="auto"/>
                <w:sz w:val="21"/>
                <w:szCs w:val="21"/>
              </w:rPr>
              <w:t>)内的，分别给予技术和价格项标准总分值4%-8%的加分。本项目具体加分比例分别为 ：技术</w:t>
            </w:r>
            <w:r>
              <w:rPr>
                <w:rFonts w:hint="eastAsia" w:ascii="宋体" w:hAnsi="宋体" w:cs="宋体"/>
                <w:color w:val="auto"/>
                <w:sz w:val="21"/>
                <w:szCs w:val="21"/>
                <w:u w:val="single"/>
                <w:lang w:val="en-US" w:eastAsia="zh-CN"/>
              </w:rPr>
              <w:t>4</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%、价格</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  4</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tc>
      </w:tr>
      <w:tr w14:paraId="79A373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9" w:hRule="atLeast"/>
        </w:trPr>
        <w:tc>
          <w:tcPr>
            <w:tcW w:w="1844" w:type="dxa"/>
            <w:vMerge w:val="continue"/>
            <w:noWrap w:val="0"/>
            <w:vAlign w:val="center"/>
          </w:tcPr>
          <w:p w14:paraId="23A6D206">
            <w:pPr>
              <w:adjustRightInd w:val="0"/>
              <w:snapToGrid w:val="0"/>
              <w:spacing w:line="240" w:lineRule="auto"/>
              <w:jc w:val="center"/>
              <w:rPr>
                <w:rFonts w:hint="eastAsia" w:ascii="宋体" w:hAnsi="宋体" w:eastAsia="宋体" w:cs="宋体"/>
                <w:color w:val="auto"/>
                <w:sz w:val="21"/>
                <w:szCs w:val="21"/>
              </w:rPr>
            </w:pPr>
          </w:p>
        </w:tc>
        <w:tc>
          <w:tcPr>
            <w:tcW w:w="1985" w:type="dxa"/>
            <w:vMerge w:val="continue"/>
            <w:noWrap w:val="0"/>
            <w:vAlign w:val="center"/>
          </w:tcPr>
          <w:p w14:paraId="4E38E76A">
            <w:pPr>
              <w:adjustRightInd w:val="0"/>
              <w:snapToGrid w:val="0"/>
              <w:spacing w:line="240" w:lineRule="auto"/>
              <w:rPr>
                <w:rFonts w:hint="eastAsia" w:ascii="宋体" w:hAnsi="宋体" w:eastAsia="宋体" w:cs="宋体"/>
                <w:color w:val="auto"/>
                <w:sz w:val="21"/>
                <w:szCs w:val="21"/>
                <w:lang w:val="en-US" w:eastAsia="zh-CN"/>
              </w:rPr>
            </w:pPr>
          </w:p>
        </w:tc>
        <w:tc>
          <w:tcPr>
            <w:tcW w:w="5224" w:type="dxa"/>
            <w:tcBorders>
              <w:top w:val="single" w:color="auto" w:sz="4" w:space="0"/>
            </w:tcBorders>
            <w:noWrap w:val="0"/>
            <w:vAlign w:val="center"/>
          </w:tcPr>
          <w:p w14:paraId="23898D10">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专门面向中小企业采购</w:t>
            </w:r>
          </w:p>
          <w:p w14:paraId="4E7A16F7">
            <w:pPr>
              <w:adjustRightInd w:val="0"/>
              <w:snapToGrid w:val="0"/>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根据《政府采购促进中小企业发展管理办法》（财库〔2020〕46 号文），本项目专门面向中小企业采购，不再执行价格评审优惠的扶持政策。供应商须提交《中小企业声明函》（格式详见磋商文件第五章），如未提供或填写存在不实情况，视为无效响应。本项目对应的中小企业划分标准所属行业：建筑业。</w:t>
            </w:r>
          </w:p>
          <w:p w14:paraId="6A89704F">
            <w:pPr>
              <w:keepNext w:val="0"/>
              <w:keepLines w:val="0"/>
              <w:pageBreakBefore w:val="0"/>
              <w:widowControl w:val="0"/>
              <w:kinsoku/>
              <w:overflowPunct/>
              <w:topLinePunct w:val="0"/>
              <w:autoSpaceDE/>
              <w:autoSpaceDN/>
              <w:bidi w:val="0"/>
              <w:adjustRightInd w:val="0"/>
              <w:snapToGrid w:val="0"/>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FE"/>
            </w:r>
            <w:r>
              <w:rPr>
                <w:rFonts w:hint="eastAsia" w:ascii="宋体" w:hAnsi="宋体" w:eastAsia="宋体" w:cs="宋体"/>
                <w:color w:val="auto"/>
                <w:sz w:val="21"/>
                <w:szCs w:val="21"/>
              </w:rPr>
              <w:t>非专门面向</w:t>
            </w:r>
            <w:r>
              <w:rPr>
                <w:rFonts w:hint="eastAsia" w:ascii="宋体" w:hAnsi="宋体" w:cs="宋体"/>
                <w:color w:val="auto"/>
                <w:szCs w:val="21"/>
              </w:rPr>
              <w:t>中小</w:t>
            </w:r>
            <w:r>
              <w:rPr>
                <w:rFonts w:hint="eastAsia" w:ascii="宋体" w:hAnsi="宋体" w:eastAsia="宋体" w:cs="宋体"/>
                <w:color w:val="auto"/>
                <w:sz w:val="21"/>
                <w:szCs w:val="21"/>
              </w:rPr>
              <w:t>企业采购，且符合政府采购促进小微企业发展相关规定的：</w:t>
            </w:r>
          </w:p>
          <w:p w14:paraId="0F8D2BAB">
            <w:pPr>
              <w:keepNext w:val="0"/>
              <w:keepLines w:val="0"/>
              <w:pageBreakBefore w:val="0"/>
              <w:widowControl w:val="0"/>
              <w:kinsoku/>
              <w:overflowPunct/>
              <w:topLinePunct w:val="0"/>
              <w:autoSpaceDE/>
              <w:autoSpaceDN/>
              <w:bidi w:val="0"/>
              <w:adjustRightInd w:val="0"/>
              <w:snapToGrid w:val="0"/>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（1）给予小型和微型企业产品的价格给予</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0%的扣除，用扣除后的价格参与评审，本项目具体扣除比例为</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10</w:t>
            </w:r>
            <w:r>
              <w:rPr>
                <w:rFonts w:hint="eastAsia" w:ascii="宋体" w:hAnsi="宋体" w:eastAsia="宋体" w:cs="宋体"/>
                <w:color w:val="auto"/>
                <w:sz w:val="21"/>
                <w:szCs w:val="21"/>
                <w:u w:val="single"/>
              </w:rPr>
              <w:t>%</w:t>
            </w:r>
            <w:r>
              <w:rPr>
                <w:rFonts w:hint="eastAsia" w:ascii="宋体" w:hAnsi="宋体" w:eastAsia="宋体" w:cs="宋体"/>
                <w:color w:val="auto"/>
                <w:sz w:val="21"/>
                <w:szCs w:val="21"/>
              </w:rPr>
              <w:t>。</w:t>
            </w:r>
          </w:p>
          <w:p w14:paraId="6813E7DF">
            <w:pPr>
              <w:keepNext w:val="0"/>
              <w:keepLines w:val="0"/>
              <w:pageBreakBefore w:val="0"/>
              <w:widowControl w:val="0"/>
              <w:kinsoku/>
              <w:overflowPunct/>
              <w:topLinePunct w:val="0"/>
              <w:autoSpaceDE/>
              <w:autoSpaceDN/>
              <w:bidi w:val="0"/>
              <w:adjustRightInd w:val="0"/>
              <w:snapToGrid w:val="0"/>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（2）给予联合体2%-3%的价格扣除，用扣除后的价格参与评审，本项目具体扣除比例为 </w:t>
            </w:r>
            <w:r>
              <w:rPr>
                <w:rFonts w:hint="eastAsia" w:ascii="宋体" w:hAnsi="宋体" w:eastAsia="宋体" w:cs="宋体"/>
                <w:color w:val="auto"/>
                <w:sz w:val="21"/>
                <w:szCs w:val="21"/>
                <w:u w:val="single"/>
              </w:rPr>
              <w:t xml:space="preserve"> / </w:t>
            </w:r>
            <w:r>
              <w:rPr>
                <w:rFonts w:hint="eastAsia" w:ascii="宋体" w:hAnsi="宋体" w:eastAsia="宋体" w:cs="宋体"/>
                <w:color w:val="auto"/>
                <w:sz w:val="21"/>
                <w:szCs w:val="21"/>
              </w:rPr>
              <w:t>％。</w:t>
            </w:r>
          </w:p>
        </w:tc>
      </w:tr>
      <w:tr w14:paraId="46273D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trPr>
        <w:tc>
          <w:tcPr>
            <w:tcW w:w="1844" w:type="dxa"/>
            <w:tcBorders>
              <w:top w:val="single" w:color="auto" w:sz="4" w:space="0"/>
              <w:bottom w:val="single" w:color="auto" w:sz="4" w:space="0"/>
            </w:tcBorders>
            <w:noWrap w:val="0"/>
            <w:vAlign w:val="center"/>
          </w:tcPr>
          <w:p w14:paraId="50248AFD">
            <w:pPr>
              <w:adjustRightInd w:val="0"/>
              <w:snapToGrid w:val="0"/>
              <w:spacing w:line="240" w:lineRule="auto"/>
              <w:jc w:val="center"/>
              <w:rPr>
                <w:rFonts w:hint="eastAsia" w:ascii="宋体" w:hAnsi="宋体" w:eastAsia="宋体" w:cs="宋体"/>
                <w:color w:val="auto"/>
                <w:sz w:val="21"/>
                <w:szCs w:val="21"/>
              </w:rPr>
            </w:pPr>
          </w:p>
        </w:tc>
        <w:tc>
          <w:tcPr>
            <w:tcW w:w="1985" w:type="dxa"/>
            <w:tcBorders>
              <w:top w:val="single" w:color="auto" w:sz="4" w:space="0"/>
              <w:bottom w:val="single" w:color="auto" w:sz="4" w:space="0"/>
            </w:tcBorders>
            <w:noWrap w:val="0"/>
            <w:vAlign w:val="center"/>
          </w:tcPr>
          <w:p w14:paraId="4902A447">
            <w:pPr>
              <w:adjustRightInd w:val="0"/>
              <w:snapToGrid w:val="0"/>
              <w:spacing w:line="240" w:lineRule="auto"/>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政府采购信用担保</w:t>
            </w:r>
          </w:p>
        </w:tc>
        <w:tc>
          <w:tcPr>
            <w:tcW w:w="5224" w:type="dxa"/>
            <w:tcBorders>
              <w:top w:val="single" w:color="auto" w:sz="4" w:space="0"/>
              <w:bottom w:val="single" w:color="auto" w:sz="4" w:space="0"/>
            </w:tcBorders>
            <w:noWrap w:val="0"/>
            <w:vAlign w:val="top"/>
          </w:tcPr>
          <w:p w14:paraId="245ABCC0">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有履约担保或融资担保需求的，可向本附表附页2所列担保机构咨询或登陆中国湖南政府采购网查询，格式见附页3。</w:t>
            </w:r>
          </w:p>
        </w:tc>
      </w:tr>
      <w:tr w14:paraId="7524B4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tcBorders>
              <w:top w:val="single" w:color="auto" w:sz="4" w:space="0"/>
              <w:bottom w:val="single" w:color="auto" w:sz="4" w:space="0"/>
            </w:tcBorders>
            <w:noWrap w:val="0"/>
            <w:vAlign w:val="center"/>
          </w:tcPr>
          <w:p w14:paraId="2C3E571E">
            <w:pPr>
              <w:adjustRightInd w:val="0"/>
              <w:snapToGrid w:val="0"/>
              <w:spacing w:line="240" w:lineRule="auto"/>
              <w:jc w:val="center"/>
              <w:rPr>
                <w:rFonts w:hint="eastAsia" w:ascii="宋体" w:hAnsi="宋体" w:eastAsia="宋体" w:cs="宋体"/>
                <w:color w:val="auto"/>
                <w:sz w:val="21"/>
                <w:szCs w:val="21"/>
              </w:rPr>
            </w:pPr>
          </w:p>
        </w:tc>
        <w:tc>
          <w:tcPr>
            <w:tcW w:w="1985" w:type="dxa"/>
            <w:tcBorders>
              <w:top w:val="single" w:color="auto" w:sz="4" w:space="0"/>
              <w:bottom w:val="single" w:color="auto" w:sz="4" w:space="0"/>
            </w:tcBorders>
            <w:noWrap w:val="0"/>
            <w:vAlign w:val="center"/>
          </w:tcPr>
          <w:p w14:paraId="613A2719">
            <w:pPr>
              <w:spacing w:line="240" w:lineRule="auto"/>
              <w:jc w:val="center"/>
              <w:rPr>
                <w:rFonts w:hint="eastAsia" w:ascii="宋体" w:hAnsi="宋体" w:eastAsia="宋体" w:cs="宋体"/>
                <w:bCs/>
                <w:color w:val="auto"/>
                <w:kern w:val="0"/>
                <w:sz w:val="21"/>
                <w:szCs w:val="21"/>
                <w:lang w:val="en-US" w:eastAsia="zh-CN" w:bidi="ar-SA"/>
              </w:rPr>
            </w:pPr>
            <w:r>
              <w:rPr>
                <w:rFonts w:hint="eastAsia" w:ascii="宋体" w:hAnsi="宋体" w:eastAsia="宋体" w:cs="宋体"/>
                <w:color w:val="auto"/>
                <w:sz w:val="21"/>
                <w:szCs w:val="21"/>
              </w:rPr>
              <w:t>监狱企业</w:t>
            </w:r>
          </w:p>
        </w:tc>
        <w:tc>
          <w:tcPr>
            <w:tcW w:w="5224" w:type="dxa"/>
            <w:tcBorders>
              <w:top w:val="single" w:color="auto" w:sz="4" w:space="0"/>
              <w:bottom w:val="single" w:color="auto" w:sz="4" w:space="0"/>
            </w:tcBorders>
            <w:noWrap w:val="0"/>
            <w:vAlign w:val="top"/>
          </w:tcPr>
          <w:p w14:paraId="58A9B925">
            <w:pPr>
              <w:spacing w:line="24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非专门面向监狱企业采购（投标供应商如是监狱企业参加政府采购活动时，</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文件应当提供由省级以上监狱管理局、戒毒管理局(含新疆生产建设兵团)出具的属于监狱企业的证明文件， 否则评审时不予以考虑）：</w:t>
            </w:r>
          </w:p>
          <w:p w14:paraId="117219FE">
            <w:pPr>
              <w:spacing w:line="24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监狱企业生生产的产品的价格给予6%-10%的扣除，用扣除后的价格参与评审，具体扣除比例为：</w:t>
            </w:r>
            <w:r>
              <w:rPr>
                <w:rFonts w:hint="eastAsia" w:ascii="宋体" w:hAnsi="宋体" w:eastAsia="宋体" w:cs="宋体"/>
                <w:color w:val="auto"/>
                <w:sz w:val="21"/>
                <w:szCs w:val="21"/>
                <w:u w:val="single"/>
                <w:lang w:val="en-US" w:eastAsia="zh-CN"/>
              </w:rPr>
              <w:t>/</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监狱企业福利性单位属于小型、微型企业的，不重复享受扶持中小企业发展的优惠政策。</w:t>
            </w:r>
          </w:p>
        </w:tc>
      </w:tr>
      <w:tr w14:paraId="56683A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tcBorders>
              <w:top w:val="single" w:color="auto" w:sz="4" w:space="0"/>
            </w:tcBorders>
            <w:noWrap w:val="0"/>
            <w:vAlign w:val="center"/>
          </w:tcPr>
          <w:p w14:paraId="0B085143">
            <w:pPr>
              <w:adjustRightInd w:val="0"/>
              <w:snapToGrid w:val="0"/>
              <w:spacing w:line="240" w:lineRule="auto"/>
              <w:jc w:val="center"/>
              <w:rPr>
                <w:rFonts w:hint="eastAsia" w:ascii="宋体" w:hAnsi="宋体" w:eastAsia="宋体" w:cs="宋体"/>
                <w:color w:val="auto"/>
                <w:sz w:val="21"/>
                <w:szCs w:val="21"/>
              </w:rPr>
            </w:pPr>
          </w:p>
        </w:tc>
        <w:tc>
          <w:tcPr>
            <w:tcW w:w="1985" w:type="dxa"/>
            <w:tcBorders>
              <w:top w:val="single" w:color="auto" w:sz="4" w:space="0"/>
            </w:tcBorders>
            <w:noWrap w:val="0"/>
            <w:vAlign w:val="center"/>
          </w:tcPr>
          <w:p w14:paraId="0BFC4520">
            <w:pPr>
              <w:spacing w:line="240" w:lineRule="auto"/>
              <w:jc w:val="center"/>
              <w:rPr>
                <w:rFonts w:hint="eastAsia" w:ascii="宋体" w:hAnsi="宋体" w:eastAsia="宋体" w:cs="宋体"/>
                <w:bCs/>
                <w:color w:val="auto"/>
                <w:kern w:val="0"/>
                <w:sz w:val="21"/>
                <w:szCs w:val="21"/>
                <w:lang w:val="en-US" w:eastAsia="zh-CN" w:bidi="ar-SA"/>
              </w:rPr>
            </w:pPr>
            <w:r>
              <w:rPr>
                <w:rFonts w:hint="eastAsia" w:ascii="宋体" w:hAnsi="宋体" w:eastAsia="宋体" w:cs="宋体"/>
                <w:color w:val="auto"/>
                <w:sz w:val="21"/>
                <w:szCs w:val="21"/>
              </w:rPr>
              <w:t>残疾人福利性单位</w:t>
            </w:r>
          </w:p>
        </w:tc>
        <w:tc>
          <w:tcPr>
            <w:tcW w:w="5224" w:type="dxa"/>
            <w:tcBorders>
              <w:top w:val="single" w:color="auto" w:sz="4" w:space="0"/>
            </w:tcBorders>
            <w:noWrap w:val="0"/>
            <w:vAlign w:val="top"/>
          </w:tcPr>
          <w:p w14:paraId="01C0985B">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非专门面向残疾人福利单位采购（投标供应商如提供残疾人福利性单位生产的产品，</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文件必须按</w:t>
            </w:r>
            <w:r>
              <w:rPr>
                <w:rFonts w:hint="eastAsia" w:ascii="宋体" w:hAnsi="宋体" w:eastAsia="宋体" w:cs="宋体"/>
                <w:color w:val="auto"/>
                <w:sz w:val="21"/>
                <w:szCs w:val="21"/>
                <w:lang w:eastAsia="zh-CN"/>
              </w:rPr>
              <w:t>磋商</w:t>
            </w:r>
            <w:r>
              <w:rPr>
                <w:rFonts w:hint="eastAsia" w:ascii="宋体" w:hAnsi="宋体" w:eastAsia="宋体" w:cs="宋体"/>
                <w:color w:val="auto"/>
                <w:sz w:val="21"/>
                <w:szCs w:val="21"/>
              </w:rPr>
              <w:t>文件对残疾人福利性单位所列要求特别标注说明所投残疾人福利性单位生产的产品所在品目、品牌、型号，否则评审时不予以考虑）：</w:t>
            </w:r>
          </w:p>
          <w:p w14:paraId="59CC9C7C">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残疾人福利性单位生产的产品的价格给予6%-10%的扣除，用扣除后的价格参与评审，具体扣除比例为：</w:t>
            </w:r>
            <w:r>
              <w:rPr>
                <w:rFonts w:hint="eastAsia" w:ascii="宋体" w:hAnsi="宋体" w:eastAsia="宋体" w:cs="宋体"/>
                <w:color w:val="auto"/>
                <w:sz w:val="21"/>
                <w:szCs w:val="21"/>
                <w:u w:val="single"/>
                <w:lang w:val="en-US" w:eastAsia="zh-CN"/>
              </w:rPr>
              <w:t>/</w:t>
            </w:r>
            <w:r>
              <w:rPr>
                <w:rFonts w:hint="eastAsia" w:ascii="宋体" w:hAnsi="宋体" w:eastAsia="宋体" w:cs="宋体"/>
                <w:color w:val="auto"/>
                <w:sz w:val="21"/>
                <w:szCs w:val="21"/>
              </w:rPr>
              <w:t>%</w:t>
            </w:r>
          </w:p>
          <w:p w14:paraId="7BF3F394">
            <w:pPr>
              <w:spacing w:line="24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残疾人福利性单位属于小型、微型企业的，不重复享受扶持中小企业发展的优惠政策。</w:t>
            </w:r>
          </w:p>
        </w:tc>
      </w:tr>
      <w:tr w14:paraId="7A7830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53" w:type="dxa"/>
            <w:gridSpan w:val="3"/>
            <w:noWrap w:val="0"/>
            <w:vAlign w:val="center"/>
          </w:tcPr>
          <w:p w14:paraId="230F8807">
            <w:pPr>
              <w:adjustRightInd w:val="0"/>
              <w:snapToGrid w:val="0"/>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二、磋商文件</w:t>
            </w:r>
          </w:p>
        </w:tc>
      </w:tr>
      <w:tr w14:paraId="7A8682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41B865FD">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第二章第10.2款</w:t>
            </w:r>
          </w:p>
        </w:tc>
        <w:tc>
          <w:tcPr>
            <w:tcW w:w="1985" w:type="dxa"/>
            <w:noWrap w:val="0"/>
            <w:vAlign w:val="center"/>
          </w:tcPr>
          <w:p w14:paraId="4D60646E">
            <w:pPr>
              <w:adjustRightInd w:val="0"/>
              <w:snapToGrid w:val="0"/>
              <w:spacing w:line="24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磋商文件的可能实质性变动内容</w:t>
            </w:r>
          </w:p>
        </w:tc>
        <w:tc>
          <w:tcPr>
            <w:tcW w:w="5224" w:type="dxa"/>
            <w:noWrap w:val="0"/>
            <w:vAlign w:val="center"/>
          </w:tcPr>
          <w:p w14:paraId="7AA19240">
            <w:pPr>
              <w:adjustRightInd w:val="0"/>
              <w:snapToGrid w:val="0"/>
              <w:spacing w:line="24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采购需求、合同条款、付款方式</w:t>
            </w:r>
          </w:p>
        </w:tc>
      </w:tr>
      <w:tr w14:paraId="118E9A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0F3767C0">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第二章第11.1款</w:t>
            </w:r>
          </w:p>
        </w:tc>
        <w:tc>
          <w:tcPr>
            <w:tcW w:w="1985" w:type="dxa"/>
            <w:noWrap w:val="0"/>
            <w:vAlign w:val="center"/>
          </w:tcPr>
          <w:p w14:paraId="2F3F5DDF">
            <w:pPr>
              <w:adjustRightInd w:val="0"/>
              <w:snapToGrid w:val="0"/>
              <w:spacing w:line="24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提供磋商文件期限</w:t>
            </w:r>
          </w:p>
        </w:tc>
        <w:tc>
          <w:tcPr>
            <w:tcW w:w="5224" w:type="dxa"/>
            <w:noWrap w:val="0"/>
            <w:vAlign w:val="center"/>
          </w:tcPr>
          <w:p w14:paraId="026B8BD9">
            <w:pPr>
              <w:adjustRightInd w:val="0"/>
              <w:snapToGrid w:val="0"/>
              <w:spacing w:line="24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以磋商邀请公告为准</w:t>
            </w:r>
          </w:p>
        </w:tc>
      </w:tr>
      <w:tr w14:paraId="3C6E53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47C437F0">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第二章第12.1款</w:t>
            </w:r>
          </w:p>
        </w:tc>
        <w:tc>
          <w:tcPr>
            <w:tcW w:w="1985" w:type="dxa"/>
            <w:noWrap w:val="0"/>
            <w:vAlign w:val="center"/>
          </w:tcPr>
          <w:p w14:paraId="2AEDE319">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提交首次响应文件的截止时间</w:t>
            </w:r>
          </w:p>
        </w:tc>
        <w:tc>
          <w:tcPr>
            <w:tcW w:w="5224" w:type="dxa"/>
            <w:noWrap w:val="0"/>
            <w:vAlign w:val="center"/>
          </w:tcPr>
          <w:p w14:paraId="12CF90BA">
            <w:pPr>
              <w:adjustRightInd w:val="0"/>
              <w:snapToGrid w:val="0"/>
              <w:spacing w:line="240" w:lineRule="auto"/>
              <w:jc w:val="left"/>
              <w:rPr>
                <w:rFonts w:hint="eastAsia" w:ascii="宋体" w:hAnsi="宋体" w:eastAsia="宋体" w:cs="宋体"/>
                <w:color w:val="auto"/>
                <w:sz w:val="21"/>
                <w:szCs w:val="21"/>
              </w:rPr>
            </w:pPr>
            <w:r>
              <w:rPr>
                <w:rFonts w:hint="eastAsia" w:ascii="宋体" w:hAnsi="宋体" w:eastAsia="宋体" w:cs="宋体"/>
                <w:color w:val="auto"/>
                <w:sz w:val="21"/>
                <w:szCs w:val="21"/>
              </w:rPr>
              <w:t>以磋商邀请公告为准</w:t>
            </w:r>
          </w:p>
        </w:tc>
      </w:tr>
      <w:tr w14:paraId="1E9670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53" w:type="dxa"/>
            <w:gridSpan w:val="3"/>
            <w:noWrap w:val="0"/>
            <w:vAlign w:val="center"/>
          </w:tcPr>
          <w:p w14:paraId="236F833B">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b/>
                <w:color w:val="auto"/>
                <w:sz w:val="21"/>
                <w:szCs w:val="21"/>
              </w:rPr>
              <w:t>三、响应文件的编写</w:t>
            </w:r>
          </w:p>
        </w:tc>
      </w:tr>
      <w:tr w14:paraId="73CE04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9" w:hRule="atLeast"/>
        </w:trPr>
        <w:tc>
          <w:tcPr>
            <w:tcW w:w="1844" w:type="dxa"/>
            <w:noWrap w:val="0"/>
            <w:vAlign w:val="center"/>
          </w:tcPr>
          <w:p w14:paraId="016E5E28">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第二章第16.4款</w:t>
            </w:r>
          </w:p>
        </w:tc>
        <w:tc>
          <w:tcPr>
            <w:tcW w:w="1985" w:type="dxa"/>
            <w:noWrap w:val="0"/>
            <w:vAlign w:val="center"/>
          </w:tcPr>
          <w:p w14:paraId="1285ABFF">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采购项目预算</w:t>
            </w:r>
          </w:p>
        </w:tc>
        <w:tc>
          <w:tcPr>
            <w:tcW w:w="5224" w:type="dxa"/>
            <w:noWrap w:val="0"/>
            <w:vAlign w:val="center"/>
          </w:tcPr>
          <w:p w14:paraId="78F7D009">
            <w:pPr>
              <w:adjustRightInd w:val="0"/>
              <w:snapToGrid w:val="0"/>
              <w:spacing w:line="240" w:lineRule="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采购预算：</w:t>
            </w:r>
            <w:r>
              <w:rPr>
                <w:rFonts w:hint="eastAsia" w:ascii="宋体" w:hAnsi="宋体" w:eastAsia="宋体" w:cs="宋体"/>
                <w:b/>
                <w:bCs/>
                <w:color w:val="auto"/>
                <w:sz w:val="21"/>
                <w:szCs w:val="21"/>
                <w:lang w:val="en-US" w:eastAsia="zh-CN"/>
              </w:rPr>
              <w:t>1675</w:t>
            </w:r>
            <w:r>
              <w:rPr>
                <w:rFonts w:hint="eastAsia" w:ascii="宋体" w:hAnsi="宋体" w:cs="宋体"/>
                <w:b/>
                <w:bCs/>
                <w:color w:val="auto"/>
                <w:sz w:val="21"/>
                <w:szCs w:val="21"/>
                <w:lang w:val="en-US" w:eastAsia="zh-CN"/>
              </w:rPr>
              <w:t>900</w:t>
            </w:r>
            <w:r>
              <w:rPr>
                <w:rFonts w:hint="eastAsia" w:ascii="宋体" w:hAnsi="宋体" w:eastAsia="宋体" w:cs="宋体"/>
                <w:b/>
                <w:bCs/>
                <w:color w:val="auto"/>
                <w:sz w:val="21"/>
                <w:szCs w:val="21"/>
                <w:lang w:val="en-US" w:eastAsia="zh-CN"/>
              </w:rPr>
              <w:t>元</w:t>
            </w:r>
            <w:r>
              <w:rPr>
                <w:rFonts w:hint="eastAsia" w:ascii="宋体" w:hAnsi="宋体" w:eastAsia="宋体" w:cs="宋体"/>
                <w:b/>
                <w:bCs/>
                <w:color w:val="auto"/>
                <w:sz w:val="21"/>
                <w:szCs w:val="21"/>
                <w:lang w:eastAsia="zh-CN"/>
              </w:rPr>
              <w:t>，最高限价：</w:t>
            </w:r>
            <w:r>
              <w:rPr>
                <w:rFonts w:hint="eastAsia" w:ascii="宋体" w:hAnsi="宋体" w:eastAsia="宋体" w:cs="宋体"/>
                <w:b/>
                <w:bCs/>
                <w:color w:val="auto"/>
                <w:sz w:val="21"/>
                <w:szCs w:val="21"/>
                <w:lang w:val="en-US" w:eastAsia="zh-CN"/>
              </w:rPr>
              <w:t>1675</w:t>
            </w:r>
            <w:r>
              <w:rPr>
                <w:rFonts w:hint="eastAsia" w:ascii="宋体" w:hAnsi="宋体" w:cs="宋体"/>
                <w:b/>
                <w:bCs/>
                <w:color w:val="auto"/>
                <w:sz w:val="21"/>
                <w:szCs w:val="21"/>
                <w:lang w:val="en-US" w:eastAsia="zh-CN"/>
              </w:rPr>
              <w:t>900</w:t>
            </w:r>
            <w:r>
              <w:rPr>
                <w:rFonts w:hint="eastAsia" w:ascii="宋体" w:hAnsi="宋体" w:eastAsia="宋体" w:cs="宋体"/>
                <w:b/>
                <w:bCs/>
                <w:color w:val="auto"/>
                <w:sz w:val="21"/>
                <w:szCs w:val="21"/>
                <w:lang w:val="en-US" w:eastAsia="zh-CN"/>
              </w:rPr>
              <w:t>元。</w:t>
            </w:r>
          </w:p>
          <w:p w14:paraId="221FAC73">
            <w:pPr>
              <w:pageBreakBefore w:val="0"/>
              <w:kinsoku/>
              <w:overflowPunct/>
              <w:bidi w:val="0"/>
              <w:adjustRightInd w:val="0"/>
              <w:snapToGrid w:val="0"/>
              <w:spacing w:line="240" w:lineRule="auto"/>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1、</w:t>
            </w:r>
            <w:r>
              <w:rPr>
                <w:rFonts w:hint="eastAsia" w:ascii="宋体" w:hAnsi="宋体" w:eastAsia="宋体" w:cs="宋体"/>
                <w:b/>
                <w:bCs/>
                <w:color w:val="auto"/>
                <w:sz w:val="21"/>
                <w:szCs w:val="21"/>
              </w:rPr>
              <w:t>投标</w:t>
            </w:r>
            <w:r>
              <w:rPr>
                <w:rFonts w:hint="eastAsia" w:ascii="宋体" w:hAnsi="宋体" w:eastAsia="宋体" w:cs="宋体"/>
                <w:b/>
                <w:bCs/>
                <w:color w:val="auto"/>
                <w:sz w:val="21"/>
                <w:szCs w:val="21"/>
                <w:lang w:eastAsia="zh-CN"/>
              </w:rPr>
              <w:t>供应商</w:t>
            </w:r>
            <w:r>
              <w:rPr>
                <w:rFonts w:hint="eastAsia" w:ascii="宋体" w:hAnsi="宋体" w:eastAsia="宋体" w:cs="宋体"/>
                <w:b/>
                <w:bCs/>
                <w:color w:val="auto"/>
                <w:sz w:val="21"/>
                <w:szCs w:val="21"/>
              </w:rPr>
              <w:t>的第一次报价不能</w:t>
            </w:r>
            <w:r>
              <w:rPr>
                <w:rFonts w:hint="eastAsia" w:ascii="宋体" w:hAnsi="宋体" w:eastAsia="宋体" w:cs="宋体"/>
                <w:b/>
                <w:bCs/>
                <w:color w:val="auto"/>
                <w:sz w:val="21"/>
                <w:szCs w:val="21"/>
                <w:lang w:val="en-US" w:eastAsia="zh-CN"/>
              </w:rPr>
              <w:t>高于最高限价</w:t>
            </w:r>
            <w:r>
              <w:rPr>
                <w:rFonts w:hint="eastAsia" w:ascii="宋体" w:hAnsi="宋体" w:eastAsia="宋体" w:cs="宋体"/>
                <w:b/>
                <w:bCs/>
                <w:color w:val="auto"/>
                <w:sz w:val="21"/>
                <w:szCs w:val="21"/>
              </w:rPr>
              <w:t>，在未对项目作任何实质性变动的情况下，第二次报价（现场最终报价）不得高于第一次报价，否则视为无效报价。</w:t>
            </w:r>
          </w:p>
          <w:p w14:paraId="7794B2B4">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rPr>
              <w:t>响应文件中的报价为第一次报价（第一次报价不予公布），第二次报价（最终报价）采用现场填写并当场公布，成交及价格评审以最终报价为准。</w:t>
            </w:r>
          </w:p>
        </w:tc>
      </w:tr>
      <w:tr w14:paraId="5D3A4A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8" w:hRule="atLeast"/>
        </w:trPr>
        <w:tc>
          <w:tcPr>
            <w:tcW w:w="1844" w:type="dxa"/>
            <w:noWrap w:val="0"/>
            <w:vAlign w:val="center"/>
          </w:tcPr>
          <w:p w14:paraId="6C41BD17">
            <w:pPr>
              <w:adjustRightInd w:val="0"/>
              <w:snapToGrid w:val="0"/>
              <w:spacing w:line="240" w:lineRule="auto"/>
              <w:jc w:val="center"/>
              <w:rPr>
                <w:rFonts w:hint="eastAsia" w:ascii="宋体" w:hAnsi="宋体" w:eastAsia="宋体" w:cs="宋体"/>
                <w:color w:val="auto"/>
                <w:sz w:val="21"/>
                <w:szCs w:val="21"/>
                <w:highlight w:val="red"/>
              </w:rPr>
            </w:pPr>
            <w:r>
              <w:rPr>
                <w:rFonts w:hint="eastAsia" w:ascii="宋体" w:hAnsi="宋体" w:eastAsia="宋体" w:cs="宋体"/>
                <w:color w:val="auto"/>
                <w:sz w:val="21"/>
                <w:szCs w:val="21"/>
                <w:highlight w:val="none"/>
              </w:rPr>
              <w:t>第二章第17.3款</w:t>
            </w:r>
          </w:p>
        </w:tc>
        <w:tc>
          <w:tcPr>
            <w:tcW w:w="1985" w:type="dxa"/>
            <w:noWrap w:val="0"/>
            <w:vAlign w:val="center"/>
          </w:tcPr>
          <w:p w14:paraId="41C492F9">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非制造商的证明 文件</w:t>
            </w:r>
          </w:p>
          <w:p w14:paraId="660992B5">
            <w:pPr>
              <w:adjustRightInd w:val="0"/>
              <w:snapToGrid w:val="0"/>
              <w:spacing w:line="240" w:lineRule="auto"/>
              <w:rPr>
                <w:rFonts w:hint="eastAsia" w:ascii="宋体" w:hAnsi="宋体" w:eastAsia="宋体" w:cs="宋体"/>
                <w:color w:val="auto"/>
                <w:sz w:val="21"/>
                <w:szCs w:val="21"/>
                <w:highlight w:val="red"/>
              </w:rPr>
            </w:pPr>
          </w:p>
        </w:tc>
        <w:tc>
          <w:tcPr>
            <w:tcW w:w="5224" w:type="dxa"/>
            <w:noWrap w:val="0"/>
            <w:vAlign w:val="center"/>
          </w:tcPr>
          <w:p w14:paraId="7B83E0F1">
            <w:pPr>
              <w:adjustRightInd w:val="0"/>
              <w:snapToGrid w:val="0"/>
              <w:spacing w:before="156" w:beforeLines="5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FE"/>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 xml:space="preserve">不要求提供 </w:t>
            </w:r>
          </w:p>
          <w:p w14:paraId="495AE9C8">
            <w:pPr>
              <w:adjustRightInd w:val="0"/>
              <w:snapToGrid w:val="0"/>
              <w:spacing w:before="156" w:beforeLines="5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 xml:space="preserve">要求提供：（证明文件复印件须加盖供应商单位公章，否则视为无效响应。） </w:t>
            </w:r>
          </w:p>
          <w:p w14:paraId="30414E6E">
            <w:pPr>
              <w:adjustRightInd w:val="0"/>
              <w:snapToGrid w:val="0"/>
              <w:spacing w:before="156" w:beforeLines="50" w:line="240" w:lineRule="auto"/>
              <w:rPr>
                <w:rFonts w:hint="eastAsia" w:ascii="宋体" w:hAnsi="宋体" w:eastAsia="宋体" w:cs="宋体"/>
                <w:color w:val="auto"/>
                <w:sz w:val="21"/>
                <w:szCs w:val="21"/>
                <w:highlight w:val="red"/>
              </w:rPr>
            </w:pPr>
            <w:r>
              <w:rPr>
                <w:rFonts w:hint="eastAsia" w:ascii="宋体" w:hAnsi="宋体" w:eastAsia="宋体" w:cs="宋体"/>
                <w:color w:val="auto"/>
                <w:sz w:val="21"/>
                <w:szCs w:val="21"/>
                <w:lang w:val="en-US" w:eastAsia="zh-CN"/>
              </w:rPr>
              <w:t>经销、或代理投标货物、或为投标货物提供售后服务的证明文件。</w:t>
            </w:r>
          </w:p>
        </w:tc>
      </w:tr>
      <w:tr w14:paraId="5DCBD4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0A86EAD3">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第二章第18.1款</w:t>
            </w:r>
          </w:p>
        </w:tc>
        <w:tc>
          <w:tcPr>
            <w:tcW w:w="1985" w:type="dxa"/>
            <w:noWrap w:val="0"/>
            <w:vAlign w:val="center"/>
          </w:tcPr>
          <w:p w14:paraId="11FF609A">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样品提供及样品提交的时间、地点</w:t>
            </w:r>
          </w:p>
        </w:tc>
        <w:tc>
          <w:tcPr>
            <w:tcW w:w="5224" w:type="dxa"/>
            <w:noWrap w:val="0"/>
            <w:vAlign w:val="center"/>
          </w:tcPr>
          <w:p w14:paraId="46028B5F">
            <w:pPr>
              <w:adjustRightInd w:val="0"/>
              <w:snapToGrid w:val="0"/>
              <w:spacing w:before="156" w:beforeLines="5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FE"/>
            </w:r>
            <w:r>
              <w:rPr>
                <w:rFonts w:hint="eastAsia" w:ascii="宋体" w:hAnsi="宋体" w:eastAsia="宋体" w:cs="宋体"/>
                <w:color w:val="auto"/>
                <w:sz w:val="21"/>
                <w:szCs w:val="21"/>
              </w:rPr>
              <w:t xml:space="preserve"> 不要求提供</w:t>
            </w:r>
          </w:p>
          <w:p w14:paraId="4514B4EA">
            <w:pPr>
              <w:adjustRightInd w:val="0"/>
              <w:snapToGrid w:val="0"/>
              <w:spacing w:before="156" w:beforeLines="5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rPr>
              <w:t xml:space="preserve"> 要求提供</w:t>
            </w:r>
          </w:p>
        </w:tc>
      </w:tr>
      <w:tr w14:paraId="7B4DD8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11E40638">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第二章第19.1款</w:t>
            </w:r>
          </w:p>
        </w:tc>
        <w:tc>
          <w:tcPr>
            <w:tcW w:w="1985" w:type="dxa"/>
            <w:noWrap w:val="0"/>
            <w:vAlign w:val="center"/>
          </w:tcPr>
          <w:p w14:paraId="2B6793E3">
            <w:pPr>
              <w:adjustRightInd w:val="0"/>
              <w:snapToGrid w:val="0"/>
              <w:spacing w:line="240" w:lineRule="auto"/>
              <w:ind w:left="-533" w:leftChars="-254" w:firstLine="533" w:firstLineChars="254"/>
              <w:rPr>
                <w:rFonts w:hint="eastAsia" w:ascii="宋体" w:hAnsi="宋体" w:eastAsia="宋体" w:cs="宋体"/>
                <w:color w:val="auto"/>
                <w:sz w:val="21"/>
                <w:szCs w:val="21"/>
              </w:rPr>
            </w:pPr>
            <w:r>
              <w:rPr>
                <w:rFonts w:hint="eastAsia" w:ascii="宋体" w:hAnsi="宋体" w:eastAsia="宋体" w:cs="宋体"/>
                <w:color w:val="auto"/>
                <w:sz w:val="21"/>
                <w:szCs w:val="21"/>
              </w:rPr>
              <w:t>磋商保证金</w:t>
            </w:r>
          </w:p>
        </w:tc>
        <w:tc>
          <w:tcPr>
            <w:tcW w:w="5224" w:type="dxa"/>
            <w:noWrap w:val="0"/>
            <w:vAlign w:val="center"/>
          </w:tcPr>
          <w:p w14:paraId="1EAEC9DC">
            <w:pPr>
              <w:pStyle w:val="16"/>
              <w:keepNext w:val="0"/>
              <w:keepLines w:val="0"/>
              <w:pageBreakBefore w:val="0"/>
              <w:kinsoku/>
              <w:wordWrap/>
              <w:overflowPunct/>
              <w:topLinePunct w:val="0"/>
              <w:autoSpaceDE/>
              <w:autoSpaceDN/>
              <w:bidi w:val="0"/>
              <w:spacing w:after="0" w:afterLines="0" w:line="240" w:lineRule="auto"/>
              <w:textAlignment w:val="auto"/>
              <w:rPr>
                <w:rFonts w:hint="eastAsia" w:ascii="宋体" w:hAnsi="宋体" w:eastAsia="宋体" w:cs="宋体"/>
                <w:color w:val="auto"/>
                <w:sz w:val="21"/>
                <w:szCs w:val="21"/>
              </w:rPr>
            </w:pPr>
            <w:r>
              <w:rPr>
                <w:rFonts w:hint="eastAsia"/>
                <w:color w:val="auto"/>
                <w:spacing w:val="6"/>
                <w:lang w:eastAsia="zh-CN"/>
              </w:rPr>
              <w:t>本项目不需要缴纳投标保证金，但</w:t>
            </w:r>
            <w:r>
              <w:rPr>
                <w:rFonts w:hint="eastAsia"/>
                <w:color w:val="auto"/>
                <w:spacing w:val="6"/>
                <w:lang w:val="en-US" w:eastAsia="zh-CN"/>
              </w:rPr>
              <w:t>供应商</w:t>
            </w:r>
            <w:r>
              <w:rPr>
                <w:rFonts w:hint="eastAsia"/>
                <w:color w:val="auto"/>
                <w:spacing w:val="6"/>
                <w:lang w:eastAsia="zh-CN"/>
              </w:rPr>
              <w:t>免交非免责。为保障采购人的合法权益，</w:t>
            </w:r>
            <w:r>
              <w:rPr>
                <w:rFonts w:hint="eastAsia"/>
                <w:color w:val="auto"/>
                <w:spacing w:val="6"/>
                <w:lang w:val="en-US" w:eastAsia="zh-CN"/>
              </w:rPr>
              <w:t>供应商</w:t>
            </w:r>
            <w:r>
              <w:rPr>
                <w:rFonts w:hint="eastAsia"/>
                <w:color w:val="auto"/>
                <w:spacing w:val="6"/>
                <w:lang w:eastAsia="zh-CN"/>
              </w:rPr>
              <w:t>应向采购人出具投标供应商免</w:t>
            </w:r>
            <w:r>
              <w:rPr>
                <w:rFonts w:hint="eastAsia"/>
                <w:color w:val="auto"/>
                <w:spacing w:val="6"/>
                <w:lang w:val="en-US" w:eastAsia="zh-CN"/>
              </w:rPr>
              <w:t>缴</w:t>
            </w:r>
            <w:r>
              <w:rPr>
                <w:rFonts w:hint="eastAsia"/>
                <w:color w:val="auto"/>
                <w:spacing w:val="6"/>
                <w:lang w:eastAsia="zh-CN"/>
              </w:rPr>
              <w:t>投标保证金信用承诺书，承诺遵守政府采购相关法律法规，对于违反相关规定给采购人造成损失的，依法承担赔偿责任，并接受相关行政监督部门处理。</w:t>
            </w:r>
          </w:p>
        </w:tc>
      </w:tr>
      <w:tr w14:paraId="049A15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68D62123">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第二章第20.1款</w:t>
            </w:r>
          </w:p>
        </w:tc>
        <w:tc>
          <w:tcPr>
            <w:tcW w:w="1985" w:type="dxa"/>
            <w:noWrap w:val="0"/>
            <w:vAlign w:val="center"/>
          </w:tcPr>
          <w:p w14:paraId="429F435D">
            <w:pPr>
              <w:adjustRightInd w:val="0"/>
              <w:snapToGrid w:val="0"/>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响应文件有效期</w:t>
            </w:r>
          </w:p>
        </w:tc>
        <w:tc>
          <w:tcPr>
            <w:tcW w:w="5224" w:type="dxa"/>
            <w:noWrap w:val="0"/>
            <w:vAlign w:val="center"/>
          </w:tcPr>
          <w:p w14:paraId="1B2BD615">
            <w:pPr>
              <w:adjustRightInd w:val="0"/>
              <w:snapToGrid w:val="0"/>
              <w:spacing w:line="240" w:lineRule="auto"/>
              <w:rPr>
                <w:rFonts w:hint="eastAsia" w:ascii="宋体" w:hAnsi="宋体" w:eastAsia="宋体" w:cs="宋体"/>
                <w:bCs/>
                <w:color w:val="auto"/>
                <w:sz w:val="21"/>
                <w:szCs w:val="21"/>
              </w:rPr>
            </w:pPr>
            <w:r>
              <w:rPr>
                <w:rFonts w:hint="eastAsia" w:ascii="宋体" w:hAnsi="宋体" w:eastAsia="宋体" w:cs="宋体"/>
                <w:color w:val="auto"/>
                <w:sz w:val="21"/>
                <w:szCs w:val="21"/>
              </w:rPr>
              <w:t>60日（日历日）</w:t>
            </w:r>
          </w:p>
        </w:tc>
      </w:tr>
      <w:tr w14:paraId="2DD1D8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44" w:type="dxa"/>
            <w:noWrap w:val="0"/>
            <w:vAlign w:val="center"/>
          </w:tcPr>
          <w:p w14:paraId="376D7424">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第二章第21.1款</w:t>
            </w:r>
          </w:p>
        </w:tc>
        <w:tc>
          <w:tcPr>
            <w:tcW w:w="1985" w:type="dxa"/>
            <w:noWrap w:val="0"/>
            <w:vAlign w:val="center"/>
          </w:tcPr>
          <w:p w14:paraId="39059D0B">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bCs/>
                <w:color w:val="auto"/>
                <w:sz w:val="21"/>
                <w:szCs w:val="21"/>
              </w:rPr>
              <w:t>响应</w:t>
            </w:r>
            <w:r>
              <w:rPr>
                <w:rFonts w:hint="eastAsia" w:ascii="宋体" w:hAnsi="宋体" w:eastAsia="宋体" w:cs="宋体"/>
                <w:color w:val="auto"/>
                <w:sz w:val="21"/>
                <w:szCs w:val="21"/>
              </w:rPr>
              <w:t>文件份数</w:t>
            </w:r>
          </w:p>
        </w:tc>
        <w:tc>
          <w:tcPr>
            <w:tcW w:w="5224" w:type="dxa"/>
            <w:noWrap w:val="0"/>
            <w:vAlign w:val="center"/>
          </w:tcPr>
          <w:p w14:paraId="6A3AE1CF">
            <w:pPr>
              <w:adjustRightInd w:val="0"/>
              <w:snapToGrid w:val="0"/>
              <w:spacing w:line="240" w:lineRule="auto"/>
              <w:rPr>
                <w:rFonts w:hint="eastAsia" w:ascii="宋体" w:hAnsi="宋体" w:eastAsia="宋体" w:cs="宋体"/>
                <w:color w:val="auto"/>
                <w:sz w:val="21"/>
                <w:szCs w:val="21"/>
                <w:u w:val="single"/>
              </w:rPr>
            </w:pPr>
            <w:r>
              <w:rPr>
                <w:rFonts w:hint="eastAsia" w:ascii="宋体" w:hAnsi="宋体" w:eastAsia="宋体" w:cs="宋体"/>
                <w:b/>
                <w:bCs/>
                <w:color w:val="auto"/>
                <w:sz w:val="21"/>
                <w:szCs w:val="21"/>
                <w:u w:val="none"/>
              </w:rPr>
              <w:t>正本1份，副本2 份，电子版文档</w:t>
            </w:r>
            <w:r>
              <w:rPr>
                <w:rFonts w:hint="eastAsia" w:ascii="宋体" w:hAnsi="宋体" w:eastAsia="宋体" w:cs="宋体"/>
                <w:b/>
                <w:bCs/>
                <w:color w:val="auto"/>
                <w:sz w:val="21"/>
                <w:szCs w:val="21"/>
                <w:u w:val="none"/>
                <w:lang w:val="en-US" w:eastAsia="zh-CN"/>
              </w:rPr>
              <w:t>1</w:t>
            </w:r>
            <w:r>
              <w:rPr>
                <w:rFonts w:hint="eastAsia" w:ascii="宋体" w:hAnsi="宋体" w:eastAsia="宋体" w:cs="宋体"/>
                <w:b/>
                <w:bCs/>
                <w:color w:val="auto"/>
                <w:sz w:val="21"/>
                <w:szCs w:val="21"/>
                <w:u w:val="none"/>
              </w:rPr>
              <w:t>份</w:t>
            </w:r>
            <w:r>
              <w:rPr>
                <w:rFonts w:hint="eastAsia" w:ascii="宋体" w:hAnsi="宋体" w:cs="宋体"/>
                <w:b/>
                <w:bCs/>
                <w:color w:val="auto"/>
                <w:sz w:val="21"/>
                <w:szCs w:val="21"/>
                <w:u w:val="none"/>
                <w:lang w:eastAsia="zh-CN"/>
              </w:rPr>
              <w:t>（盖章版）</w:t>
            </w:r>
            <w:r>
              <w:rPr>
                <w:rFonts w:hint="eastAsia" w:ascii="宋体" w:hAnsi="宋体" w:eastAsia="宋体" w:cs="宋体"/>
                <w:color w:val="auto"/>
                <w:sz w:val="21"/>
                <w:szCs w:val="21"/>
                <w:u w:val="none"/>
              </w:rPr>
              <w:t>，并在响应文件封面上明确写明“正本”或“副本”，正本和副本内容如不一致，以正本为准。</w:t>
            </w:r>
            <w:r>
              <w:rPr>
                <w:rFonts w:hint="eastAsia" w:ascii="宋体" w:hAnsi="宋体" w:eastAsia="宋体" w:cs="宋体"/>
                <w:color w:val="auto"/>
                <w:sz w:val="21"/>
                <w:szCs w:val="21"/>
                <w:u w:val="none"/>
                <w:lang w:eastAsia="zh-CN"/>
              </w:rPr>
              <w:t>响应</w:t>
            </w:r>
            <w:r>
              <w:rPr>
                <w:rFonts w:hint="eastAsia" w:ascii="宋体" w:hAnsi="宋体" w:eastAsia="宋体" w:cs="宋体"/>
                <w:color w:val="auto"/>
                <w:sz w:val="21"/>
                <w:szCs w:val="21"/>
                <w:u w:val="none"/>
              </w:rPr>
              <w:t>文件的正本与副本均应装订成册（胶装），不得采用活页夹。</w:t>
            </w:r>
          </w:p>
        </w:tc>
      </w:tr>
      <w:tr w14:paraId="130567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53" w:type="dxa"/>
            <w:gridSpan w:val="3"/>
            <w:noWrap w:val="0"/>
            <w:vAlign w:val="center"/>
          </w:tcPr>
          <w:p w14:paraId="0B969DAF">
            <w:pPr>
              <w:adjustRightInd w:val="0"/>
              <w:snapToGrid w:val="0"/>
              <w:spacing w:line="240" w:lineRule="auto"/>
              <w:rPr>
                <w:rFonts w:hint="eastAsia" w:ascii="宋体" w:hAnsi="宋体" w:eastAsia="宋体" w:cs="宋体"/>
                <w:b/>
                <w:bCs/>
                <w:color w:val="auto"/>
                <w:sz w:val="21"/>
                <w:szCs w:val="21"/>
              </w:rPr>
            </w:pPr>
            <w:r>
              <w:rPr>
                <w:rFonts w:hint="eastAsia" w:ascii="宋体" w:hAnsi="宋体" w:eastAsia="宋体" w:cs="宋体"/>
                <w:b/>
                <w:color w:val="auto"/>
                <w:sz w:val="21"/>
                <w:szCs w:val="21"/>
              </w:rPr>
              <w:t>四、响应文件的递交</w:t>
            </w:r>
          </w:p>
        </w:tc>
      </w:tr>
      <w:tr w14:paraId="73D5B2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0CCD86CF">
            <w:pPr>
              <w:adjustRightInd w:val="0"/>
              <w:snapToGrid w:val="0"/>
              <w:spacing w:line="24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第二章第22.2款</w:t>
            </w:r>
          </w:p>
        </w:tc>
        <w:tc>
          <w:tcPr>
            <w:tcW w:w="1985" w:type="dxa"/>
            <w:noWrap w:val="0"/>
            <w:vAlign w:val="center"/>
          </w:tcPr>
          <w:p w14:paraId="13E60DF2">
            <w:pPr>
              <w:adjustRightInd w:val="0"/>
              <w:snapToGrid w:val="0"/>
              <w:spacing w:line="24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封套上应载明的信息</w:t>
            </w:r>
          </w:p>
        </w:tc>
        <w:tc>
          <w:tcPr>
            <w:tcW w:w="5224" w:type="dxa"/>
            <w:noWrap w:val="0"/>
            <w:vAlign w:val="center"/>
          </w:tcPr>
          <w:p w14:paraId="74838E38">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采购项目响应文件</w:t>
            </w:r>
          </w:p>
          <w:p w14:paraId="452FCAE2">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政府采购编号：</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p w14:paraId="0DB1F133">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委托代理编号：</w:t>
            </w:r>
            <w:r>
              <w:rPr>
                <w:rFonts w:hint="eastAsia" w:ascii="宋体" w:hAnsi="宋体" w:eastAsia="宋体" w:cs="宋体"/>
                <w:color w:val="auto"/>
                <w:sz w:val="21"/>
                <w:szCs w:val="21"/>
                <w:u w:val="single"/>
              </w:rPr>
              <w:t xml:space="preserve">               </w:t>
            </w:r>
          </w:p>
          <w:p w14:paraId="14BA11FD">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供应商名称：</w:t>
            </w:r>
            <w:r>
              <w:rPr>
                <w:rFonts w:hint="eastAsia" w:ascii="宋体" w:hAnsi="宋体" w:eastAsia="宋体" w:cs="宋体"/>
                <w:color w:val="auto"/>
                <w:sz w:val="21"/>
                <w:szCs w:val="21"/>
                <w:u w:val="single"/>
              </w:rPr>
              <w:t xml:space="preserve">                    </w:t>
            </w:r>
          </w:p>
          <w:p w14:paraId="6BAAA943">
            <w:pPr>
              <w:adjustRightInd w:val="0"/>
              <w:snapToGrid w:val="0"/>
              <w:spacing w:line="24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年</w:t>
            </w:r>
            <w:r>
              <w:rPr>
                <w:rFonts w:hint="eastAsia" w:ascii="宋体" w:hAnsi="宋体" w:eastAsia="宋体" w:cs="宋体"/>
                <w:color w:val="auto"/>
                <w:sz w:val="21"/>
                <w:szCs w:val="21"/>
              </w:rPr>
              <w:t xml:space="preserve">  月   日    时    分之前不得启封</w:t>
            </w:r>
          </w:p>
        </w:tc>
      </w:tr>
      <w:tr w14:paraId="1CFE1D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77095159">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第二章第24.1款</w:t>
            </w:r>
          </w:p>
        </w:tc>
        <w:tc>
          <w:tcPr>
            <w:tcW w:w="1985" w:type="dxa"/>
            <w:noWrap w:val="0"/>
            <w:vAlign w:val="center"/>
          </w:tcPr>
          <w:p w14:paraId="7FBF0F9D">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响应文件的递交地点</w:t>
            </w:r>
          </w:p>
        </w:tc>
        <w:tc>
          <w:tcPr>
            <w:tcW w:w="5224" w:type="dxa"/>
            <w:noWrap w:val="0"/>
            <w:vAlign w:val="center"/>
          </w:tcPr>
          <w:p w14:paraId="7E22EB9A">
            <w:pPr>
              <w:adjustRightInd w:val="0"/>
              <w:snapToGrid w:val="0"/>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rPr>
              <w:t>湖南大湘招标代理有限公司开标室（湖南省湘潭市岳塘区宝塔街道芙蓉路53号栢丽广场1号楼1单元0901003号</w:t>
            </w:r>
          </w:p>
        </w:tc>
      </w:tr>
      <w:tr w14:paraId="5DB4E7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53" w:type="dxa"/>
            <w:gridSpan w:val="3"/>
            <w:noWrap w:val="0"/>
            <w:vAlign w:val="center"/>
          </w:tcPr>
          <w:p w14:paraId="69594022">
            <w:pPr>
              <w:adjustRightInd w:val="0"/>
              <w:snapToGrid w:val="0"/>
              <w:spacing w:line="24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五、响应文件的磋商与评审</w:t>
            </w:r>
          </w:p>
        </w:tc>
      </w:tr>
      <w:tr w14:paraId="323D7B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6BA69584">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第二章第31.2款</w:t>
            </w:r>
          </w:p>
        </w:tc>
        <w:tc>
          <w:tcPr>
            <w:tcW w:w="1985" w:type="dxa"/>
            <w:noWrap w:val="0"/>
            <w:vAlign w:val="center"/>
          </w:tcPr>
          <w:p w14:paraId="18CE78C0">
            <w:pPr>
              <w:adjustRightInd w:val="0"/>
              <w:snapToGrid w:val="0"/>
              <w:spacing w:line="24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评审因素和标准</w:t>
            </w:r>
          </w:p>
        </w:tc>
        <w:tc>
          <w:tcPr>
            <w:tcW w:w="5224" w:type="dxa"/>
            <w:noWrap w:val="0"/>
            <w:vAlign w:val="center"/>
          </w:tcPr>
          <w:p w14:paraId="34A994E5">
            <w:pPr>
              <w:adjustRightInd w:val="0"/>
              <w:snapToGrid w:val="0"/>
              <w:spacing w:line="24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见附页4</w:t>
            </w:r>
          </w:p>
        </w:tc>
      </w:tr>
      <w:tr w14:paraId="58ABDE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6649818A">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第二章第31.3款</w:t>
            </w:r>
          </w:p>
        </w:tc>
        <w:tc>
          <w:tcPr>
            <w:tcW w:w="1985" w:type="dxa"/>
            <w:noWrap w:val="0"/>
            <w:vAlign w:val="center"/>
          </w:tcPr>
          <w:p w14:paraId="0B3EFEB3">
            <w:pPr>
              <w:adjustRightInd w:val="0"/>
              <w:snapToGrid w:val="0"/>
              <w:spacing w:before="156" w:beforeLines="50" w:line="24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最后报价</w:t>
            </w:r>
            <w:r>
              <w:rPr>
                <w:rFonts w:hint="eastAsia" w:ascii="宋体" w:hAnsi="宋体" w:eastAsia="宋体" w:cs="宋体"/>
                <w:color w:val="auto"/>
                <w:sz w:val="21"/>
                <w:szCs w:val="21"/>
              </w:rPr>
              <w:t>调整</w:t>
            </w:r>
          </w:p>
        </w:tc>
        <w:tc>
          <w:tcPr>
            <w:tcW w:w="5224" w:type="dxa"/>
            <w:noWrap w:val="0"/>
            <w:vAlign w:val="center"/>
          </w:tcPr>
          <w:p w14:paraId="02BFF228">
            <w:pPr>
              <w:adjustRightInd w:val="0"/>
              <w:snapToGrid w:val="0"/>
              <w:spacing w:before="156" w:beforeLines="50" w:line="240" w:lineRule="auto"/>
              <w:rPr>
                <w:rFonts w:hint="eastAsia" w:ascii="宋体" w:hAnsi="宋体" w:eastAsia="宋体" w:cs="宋体"/>
                <w:color w:val="auto"/>
                <w:sz w:val="21"/>
                <w:szCs w:val="21"/>
              </w:rPr>
            </w:pPr>
            <w:r>
              <w:rPr>
                <w:rFonts w:hint="eastAsia" w:ascii="宋体" w:hAnsi="宋体" w:eastAsia="宋体" w:cs="宋体"/>
                <w:b w:val="0"/>
                <w:bCs w:val="0"/>
                <w:color w:val="auto"/>
                <w:sz w:val="21"/>
                <w:szCs w:val="21"/>
                <w:lang w:eastAsia="zh-CN"/>
              </w:rPr>
              <w:t>本项目</w:t>
            </w:r>
            <w:r>
              <w:rPr>
                <w:rFonts w:hint="eastAsia" w:ascii="宋体" w:hAnsi="宋体" w:cs="宋体"/>
                <w:b w:val="0"/>
                <w:bCs w:val="0"/>
                <w:color w:val="auto"/>
                <w:sz w:val="21"/>
                <w:szCs w:val="21"/>
                <w:lang w:eastAsia="zh-CN"/>
              </w:rPr>
              <w:t>非</w:t>
            </w:r>
            <w:r>
              <w:rPr>
                <w:rFonts w:hint="eastAsia" w:ascii="宋体" w:hAnsi="宋体" w:eastAsia="宋体" w:cs="宋体"/>
                <w:b w:val="0"/>
                <w:bCs w:val="0"/>
                <w:color w:val="auto"/>
                <w:sz w:val="21"/>
                <w:szCs w:val="21"/>
                <w:lang w:eastAsia="zh-CN"/>
              </w:rPr>
              <w:t>专门面向中小企业或者小型、微型企业采购</w:t>
            </w:r>
            <w:r>
              <w:rPr>
                <w:rFonts w:hint="eastAsia" w:ascii="宋体" w:hAnsi="宋体" w:eastAsia="宋体" w:cs="宋体"/>
                <w:b w:val="0"/>
                <w:bCs w:val="0"/>
                <w:color w:val="auto"/>
                <w:sz w:val="21"/>
                <w:szCs w:val="21"/>
              </w:rPr>
              <w:t>，执行价格评审优惠的扶持政策</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监狱企业、残疾人福利性单位视同小型、微型企业</w:t>
            </w:r>
            <w:r>
              <w:rPr>
                <w:rFonts w:hint="eastAsia" w:ascii="宋体" w:hAnsi="宋体" w:eastAsia="宋体" w:cs="宋体"/>
                <w:b w:val="0"/>
                <w:bCs w:val="0"/>
                <w:color w:val="auto"/>
                <w:sz w:val="21"/>
                <w:szCs w:val="21"/>
                <w:lang w:eastAsia="zh-CN"/>
              </w:rPr>
              <w:t>）。</w:t>
            </w:r>
          </w:p>
        </w:tc>
      </w:tr>
      <w:tr w14:paraId="1F191E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53" w:type="dxa"/>
            <w:gridSpan w:val="3"/>
            <w:noWrap w:val="0"/>
            <w:vAlign w:val="center"/>
          </w:tcPr>
          <w:p w14:paraId="06F82241">
            <w:pPr>
              <w:adjustRightInd w:val="0"/>
              <w:snapToGrid w:val="0"/>
              <w:spacing w:line="240" w:lineRule="auto"/>
              <w:rPr>
                <w:rFonts w:hint="eastAsia" w:ascii="宋体" w:hAnsi="宋体" w:eastAsia="宋体" w:cs="宋体"/>
                <w:color w:val="auto"/>
                <w:sz w:val="21"/>
                <w:szCs w:val="21"/>
              </w:rPr>
            </w:pPr>
            <w:r>
              <w:rPr>
                <w:rFonts w:hint="eastAsia" w:ascii="宋体" w:hAnsi="宋体" w:eastAsia="宋体" w:cs="宋体"/>
                <w:b/>
                <w:color w:val="auto"/>
                <w:sz w:val="21"/>
                <w:szCs w:val="21"/>
              </w:rPr>
              <w:t>六、成交结果信息公布与授予合同</w:t>
            </w:r>
          </w:p>
        </w:tc>
      </w:tr>
      <w:tr w14:paraId="6A9AD0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390644B4">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第二章第37.1款、</w:t>
            </w:r>
          </w:p>
        </w:tc>
        <w:tc>
          <w:tcPr>
            <w:tcW w:w="1985" w:type="dxa"/>
            <w:noWrap w:val="0"/>
            <w:vAlign w:val="center"/>
          </w:tcPr>
          <w:p w14:paraId="0E6EEF2B">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财政部门指定的媒体</w:t>
            </w:r>
          </w:p>
        </w:tc>
        <w:tc>
          <w:tcPr>
            <w:tcW w:w="5224" w:type="dxa"/>
            <w:noWrap w:val="0"/>
            <w:vAlign w:val="center"/>
          </w:tcPr>
          <w:p w14:paraId="7A9BB7DF">
            <w:pPr>
              <w:adjustRightInd w:val="0"/>
              <w:snapToGrid w:val="0"/>
              <w:spacing w:before="156" w:beforeLines="50" w:line="240" w:lineRule="auto"/>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中国 ·湖南政府采购网(</w:t>
            </w:r>
            <w:r>
              <w:rPr>
                <w:rFonts w:hint="eastAsia" w:ascii="宋体" w:hAnsi="宋体" w:eastAsia="宋体" w:cs="宋体"/>
                <w:color w:val="auto"/>
                <w:sz w:val="21"/>
                <w:szCs w:val="21"/>
                <w:lang w:eastAsia="zh-CN"/>
              </w:rPr>
              <w:fldChar w:fldCharType="begin"/>
            </w:r>
            <w:r>
              <w:rPr>
                <w:rFonts w:hint="eastAsia" w:ascii="宋体" w:hAnsi="宋体" w:eastAsia="宋体" w:cs="宋体"/>
                <w:color w:val="auto"/>
                <w:sz w:val="21"/>
                <w:szCs w:val="21"/>
                <w:lang w:eastAsia="zh-CN"/>
              </w:rPr>
              <w:instrText xml:space="preserve"> HYPERLINK "http://www.ccgp-hunan.gov.cn" </w:instrText>
            </w:r>
            <w:r>
              <w:rPr>
                <w:rFonts w:hint="eastAsia" w:ascii="宋体" w:hAnsi="宋体" w:eastAsia="宋体" w:cs="宋体"/>
                <w:color w:val="auto"/>
                <w:sz w:val="21"/>
                <w:szCs w:val="21"/>
                <w:lang w:eastAsia="zh-CN"/>
              </w:rPr>
              <w:fldChar w:fldCharType="separate"/>
            </w:r>
            <w:r>
              <w:rPr>
                <w:rFonts w:hint="eastAsia" w:ascii="宋体" w:hAnsi="宋体" w:eastAsia="宋体" w:cs="宋体"/>
                <w:color w:val="auto"/>
                <w:sz w:val="21"/>
                <w:szCs w:val="21"/>
                <w:lang w:eastAsia="zh-CN"/>
              </w:rPr>
              <w:t>www.ccgp-hunan.gov.cn</w:t>
            </w:r>
            <w:r>
              <w:rPr>
                <w:rFonts w:hint="eastAsia" w:ascii="宋体" w:hAnsi="宋体" w:eastAsia="宋体" w:cs="宋体"/>
                <w:color w:val="auto"/>
                <w:sz w:val="21"/>
                <w:szCs w:val="21"/>
                <w:lang w:eastAsia="zh-CN"/>
              </w:rPr>
              <w:fldChar w:fldCharType="end"/>
            </w:r>
            <w:r>
              <w:rPr>
                <w:rFonts w:hint="eastAsia" w:ascii="宋体" w:hAnsi="宋体" w:eastAsia="宋体" w:cs="宋体"/>
                <w:color w:val="auto"/>
                <w:sz w:val="21"/>
                <w:szCs w:val="21"/>
                <w:lang w:eastAsia="zh-CN"/>
              </w:rPr>
              <w:t>)</w:t>
            </w:r>
          </w:p>
        </w:tc>
      </w:tr>
      <w:tr w14:paraId="2D23C9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7864E32D">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第二章第39.3款</w:t>
            </w:r>
          </w:p>
        </w:tc>
        <w:tc>
          <w:tcPr>
            <w:tcW w:w="1985" w:type="dxa"/>
            <w:noWrap w:val="0"/>
            <w:vAlign w:val="center"/>
          </w:tcPr>
          <w:p w14:paraId="093D83CD">
            <w:pPr>
              <w:adjustRightInd w:val="0"/>
              <w:snapToGrid w:val="0"/>
              <w:spacing w:line="240" w:lineRule="auto"/>
              <w:jc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履约担保</w:t>
            </w:r>
          </w:p>
        </w:tc>
        <w:tc>
          <w:tcPr>
            <w:tcW w:w="5224" w:type="dxa"/>
            <w:noWrap w:val="0"/>
            <w:vAlign w:val="center"/>
          </w:tcPr>
          <w:p w14:paraId="039D80EE">
            <w:pPr>
              <w:adjustRightInd w:val="0"/>
              <w:snapToGrid w:val="0"/>
              <w:spacing w:line="240" w:lineRule="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sym w:font="Wingdings" w:char="00FE"/>
            </w:r>
            <w:r>
              <w:rPr>
                <w:rFonts w:hint="eastAsia" w:ascii="宋体" w:hAnsi="宋体" w:eastAsia="宋体" w:cs="宋体"/>
                <w:b w:val="0"/>
                <w:bCs w:val="0"/>
                <w:color w:val="auto"/>
                <w:kern w:val="2"/>
                <w:sz w:val="21"/>
                <w:szCs w:val="21"/>
                <w:lang w:val="en-US" w:eastAsia="zh-CN" w:bidi="ar-SA"/>
              </w:rPr>
              <w:t>不要求提供</w:t>
            </w:r>
          </w:p>
          <w:p w14:paraId="1C0099A8">
            <w:pPr>
              <w:adjustRightInd w:val="0"/>
              <w:snapToGrid w:val="0"/>
              <w:spacing w:line="240" w:lineRule="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sym w:font="Wingdings" w:char="00A8"/>
            </w:r>
            <w:r>
              <w:rPr>
                <w:rFonts w:hint="eastAsia" w:ascii="宋体" w:hAnsi="宋体" w:eastAsia="宋体" w:cs="宋体"/>
                <w:b w:val="0"/>
                <w:bCs w:val="0"/>
                <w:color w:val="auto"/>
                <w:kern w:val="2"/>
                <w:sz w:val="21"/>
                <w:szCs w:val="21"/>
                <w:lang w:val="en-US" w:eastAsia="zh-CN" w:bidi="ar-SA"/>
              </w:rPr>
              <w:t>要求提供，履约担保的金额为：成交金额的</w:t>
            </w:r>
            <w:r>
              <w:rPr>
                <w:rFonts w:hint="eastAsia" w:ascii="宋体" w:hAnsi="宋体" w:eastAsia="宋体" w:cs="宋体"/>
                <w:b w:val="0"/>
                <w:bCs w:val="0"/>
                <w:color w:val="auto"/>
                <w:kern w:val="2"/>
                <w:sz w:val="21"/>
                <w:szCs w:val="21"/>
                <w:u w:val="single"/>
                <w:lang w:val="en-US" w:eastAsia="zh-CN" w:bidi="ar-SA"/>
              </w:rPr>
              <w:t>/%</w:t>
            </w:r>
          </w:p>
          <w:p w14:paraId="77CE4A58">
            <w:pPr>
              <w:adjustRightInd w:val="0"/>
              <w:snapToGrid w:val="0"/>
              <w:spacing w:line="240" w:lineRule="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成交方在签订合同前须向采购人指定账户交纳成交金额</w:t>
            </w:r>
            <w:r>
              <w:rPr>
                <w:rFonts w:hint="eastAsia" w:ascii="宋体" w:hAnsi="宋体" w:eastAsia="宋体" w:cs="宋体"/>
                <w:b w:val="0"/>
                <w:bCs w:val="0"/>
                <w:color w:val="auto"/>
                <w:kern w:val="2"/>
                <w:sz w:val="21"/>
                <w:szCs w:val="21"/>
                <w:u w:val="single"/>
                <w:lang w:val="en-US" w:eastAsia="zh-CN" w:bidi="ar-SA"/>
              </w:rPr>
              <w:t>/</w:t>
            </w:r>
            <w:r>
              <w:rPr>
                <w:rFonts w:hint="eastAsia" w:ascii="宋体" w:hAnsi="宋体" w:eastAsia="宋体" w:cs="宋体"/>
                <w:b w:val="0"/>
                <w:bCs w:val="0"/>
                <w:color w:val="auto"/>
                <w:kern w:val="2"/>
                <w:sz w:val="21"/>
                <w:szCs w:val="21"/>
                <w:lang w:val="en-US" w:eastAsia="zh-CN" w:bidi="ar-SA"/>
              </w:rPr>
              <w:t>的履约保证金。成交方无违规行为的，其履约保证金在合同履行期满后，由采购人无息退还。</w:t>
            </w:r>
          </w:p>
          <w:p w14:paraId="4F7868D4">
            <w:pPr>
              <w:adjustRightInd w:val="0"/>
              <w:snapToGrid w:val="0"/>
              <w:spacing w:line="240" w:lineRule="auto"/>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履约保证金账户名称：/</w:t>
            </w:r>
          </w:p>
          <w:p w14:paraId="4F02B6F5">
            <w:pPr>
              <w:adjustRightInd w:val="0"/>
              <w:snapToGrid w:val="0"/>
              <w:spacing w:line="240" w:lineRule="auto"/>
              <w:rPr>
                <w:rFonts w:hint="default"/>
                <w:color w:val="auto"/>
                <w:lang w:val="en-US" w:eastAsia="zh-CN"/>
              </w:rPr>
            </w:pPr>
            <w:r>
              <w:rPr>
                <w:rFonts w:hint="eastAsia" w:ascii="宋体" w:hAnsi="宋体" w:eastAsia="宋体" w:cs="宋体"/>
                <w:b w:val="0"/>
                <w:bCs w:val="0"/>
                <w:color w:val="auto"/>
                <w:kern w:val="2"/>
                <w:sz w:val="21"/>
                <w:szCs w:val="21"/>
                <w:lang w:val="en-US" w:eastAsia="zh-CN" w:bidi="ar-SA"/>
              </w:rPr>
              <w:t>履约保证金账号：/</w:t>
            </w:r>
          </w:p>
        </w:tc>
      </w:tr>
      <w:tr w14:paraId="3460FD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53" w:type="dxa"/>
            <w:gridSpan w:val="3"/>
            <w:noWrap w:val="0"/>
            <w:vAlign w:val="center"/>
          </w:tcPr>
          <w:p w14:paraId="4BBB7C7D">
            <w:pPr>
              <w:adjustRightInd w:val="0"/>
              <w:snapToGrid w:val="0"/>
              <w:spacing w:line="24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七、其他规定</w:t>
            </w:r>
          </w:p>
        </w:tc>
      </w:tr>
      <w:tr w14:paraId="69A2EA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844" w:type="dxa"/>
            <w:noWrap w:val="0"/>
            <w:vAlign w:val="center"/>
          </w:tcPr>
          <w:p w14:paraId="0F69FD67">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第二章第41.1款</w:t>
            </w:r>
          </w:p>
        </w:tc>
        <w:tc>
          <w:tcPr>
            <w:tcW w:w="1985" w:type="dxa"/>
            <w:noWrap w:val="0"/>
            <w:vAlign w:val="center"/>
          </w:tcPr>
          <w:p w14:paraId="7890FADC">
            <w:pPr>
              <w:adjustRightInd w:val="0"/>
              <w:snapToGrid w:val="0"/>
              <w:spacing w:before="156" w:beforeLines="50" w:line="240" w:lineRule="auto"/>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采购代理服务费</w:t>
            </w:r>
          </w:p>
        </w:tc>
        <w:tc>
          <w:tcPr>
            <w:tcW w:w="5224" w:type="dxa"/>
            <w:noWrap w:val="0"/>
            <w:vAlign w:val="center"/>
          </w:tcPr>
          <w:p w14:paraId="51F92F9C">
            <w:pPr>
              <w:adjustRightInd w:val="0"/>
              <w:snapToGrid w:val="0"/>
              <w:spacing w:before="156" w:beforeLines="50" w:line="240" w:lineRule="auto"/>
              <w:jc w:val="both"/>
              <w:rPr>
                <w:rFonts w:hint="eastAsia" w:ascii="宋体" w:hAnsi="宋体" w:eastAsia="宋体" w:cs="宋体"/>
                <w:b w:val="0"/>
                <w:bCs w:val="0"/>
                <w:color w:val="auto"/>
                <w:sz w:val="21"/>
                <w:szCs w:val="21"/>
              </w:rPr>
            </w:pPr>
            <w:bookmarkStart w:id="4" w:name="_Toc21127"/>
            <w:bookmarkStart w:id="5" w:name="_Toc18391"/>
            <w:bookmarkStart w:id="6" w:name="_Toc27847"/>
            <w:bookmarkStart w:id="7" w:name="_Toc8342"/>
            <w:bookmarkStart w:id="8" w:name="_Toc1460"/>
            <w:bookmarkStart w:id="9" w:name="_Toc8845"/>
            <w:bookmarkStart w:id="10" w:name="_Toc24830"/>
            <w:bookmarkStart w:id="11" w:name="_Toc21421"/>
            <w:bookmarkStart w:id="12" w:name="_Toc12853"/>
            <w:bookmarkStart w:id="13" w:name="_Toc1137"/>
            <w:bookmarkStart w:id="14" w:name="_Toc24551"/>
            <w:bookmarkStart w:id="15" w:name="_Toc22935"/>
            <w:bookmarkStart w:id="16" w:name="_Toc32730"/>
            <w:r>
              <w:rPr>
                <w:rFonts w:hint="eastAsia" w:ascii="宋体" w:hAnsi="宋体" w:eastAsia="宋体" w:cs="宋体"/>
                <w:b w:val="0"/>
                <w:bCs w:val="0"/>
                <w:color w:val="auto"/>
                <w:sz w:val="21"/>
                <w:szCs w:val="21"/>
                <w:lang w:val="en-US" w:eastAsia="zh-CN"/>
              </w:rPr>
              <w:t>按照签订的招标代理协议约定由采购人支付。</w:t>
            </w:r>
            <w:bookmarkEnd w:id="4"/>
            <w:bookmarkEnd w:id="5"/>
            <w:bookmarkEnd w:id="6"/>
            <w:bookmarkEnd w:id="7"/>
            <w:bookmarkEnd w:id="8"/>
            <w:bookmarkEnd w:id="9"/>
            <w:bookmarkEnd w:id="10"/>
            <w:bookmarkEnd w:id="11"/>
            <w:bookmarkEnd w:id="12"/>
            <w:bookmarkEnd w:id="13"/>
            <w:bookmarkEnd w:id="14"/>
            <w:bookmarkEnd w:id="15"/>
            <w:bookmarkEnd w:id="16"/>
          </w:p>
        </w:tc>
      </w:tr>
      <w:tr w14:paraId="00BB4E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9" w:hRule="atLeast"/>
        </w:trPr>
        <w:tc>
          <w:tcPr>
            <w:tcW w:w="1844" w:type="dxa"/>
            <w:noWrap w:val="0"/>
            <w:vAlign w:val="center"/>
          </w:tcPr>
          <w:p w14:paraId="4FE774F9">
            <w:pPr>
              <w:adjustRightInd w:val="0"/>
              <w:snapToGrid w:val="0"/>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第二章第42.1款</w:t>
            </w:r>
          </w:p>
        </w:tc>
        <w:tc>
          <w:tcPr>
            <w:tcW w:w="1985" w:type="dxa"/>
            <w:noWrap w:val="0"/>
            <w:vAlign w:val="center"/>
          </w:tcPr>
          <w:p w14:paraId="5E18E627">
            <w:pPr>
              <w:adjustRightInd w:val="0"/>
              <w:snapToGrid w:val="0"/>
              <w:spacing w:line="240" w:lineRule="auto"/>
              <w:rPr>
                <w:rFonts w:hint="eastAsia" w:ascii="宋体" w:hAnsi="宋体" w:eastAsia="宋体" w:cs="宋体"/>
                <w:color w:val="auto"/>
                <w:sz w:val="21"/>
                <w:szCs w:val="21"/>
                <w:highlight w:val="cyan"/>
              </w:rPr>
            </w:pPr>
            <w:r>
              <w:rPr>
                <w:rFonts w:hint="eastAsia" w:ascii="宋体" w:hAnsi="宋体" w:eastAsia="宋体" w:cs="宋体"/>
                <w:color w:val="auto"/>
                <w:sz w:val="21"/>
                <w:szCs w:val="21"/>
              </w:rPr>
              <w:t>其他规定</w:t>
            </w:r>
          </w:p>
        </w:tc>
        <w:tc>
          <w:tcPr>
            <w:tcW w:w="5224" w:type="dxa"/>
            <w:noWrap w:val="0"/>
            <w:vAlign w:val="center"/>
          </w:tcPr>
          <w:p w14:paraId="3154443A">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参加开标的必须是</w:t>
            </w:r>
            <w:r>
              <w:rPr>
                <w:rFonts w:hint="eastAsia" w:ascii="宋体" w:hAnsi="宋体" w:cs="宋体"/>
                <w:color w:val="auto"/>
                <w:sz w:val="21"/>
                <w:szCs w:val="21"/>
                <w:lang w:eastAsia="zh-CN"/>
              </w:rPr>
              <w:t>供应商</w:t>
            </w:r>
            <w:r>
              <w:rPr>
                <w:rFonts w:hint="eastAsia" w:ascii="宋体" w:hAnsi="宋体" w:eastAsia="宋体" w:cs="宋体"/>
                <w:color w:val="auto"/>
                <w:sz w:val="21"/>
                <w:szCs w:val="21"/>
              </w:rPr>
              <w:t>法定代表人或者法定代表人授权的授权委托人凭法定代表人授权委托书附法定代表人身份证明书</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本人身份证参加开标会议；</w:t>
            </w:r>
          </w:p>
          <w:p w14:paraId="531EC0C2">
            <w:pPr>
              <w:adjustRightInd w:val="0"/>
              <w:snapToGrid w:val="0"/>
              <w:spacing w:line="240" w:lineRule="auto"/>
              <w:rPr>
                <w:rFonts w:hint="eastAsia"/>
                <w:color w:val="auto"/>
              </w:rPr>
            </w:pPr>
            <w:r>
              <w:rPr>
                <w:rFonts w:hint="eastAsia" w:ascii="宋体" w:hAnsi="宋体" w:eastAsia="宋体" w:cs="宋体"/>
                <w:b/>
                <w:bCs/>
                <w:color w:val="auto"/>
                <w:sz w:val="21"/>
                <w:szCs w:val="21"/>
              </w:rPr>
              <w:t>否则，</w:t>
            </w:r>
            <w:r>
              <w:rPr>
                <w:rFonts w:hint="eastAsia" w:ascii="宋体" w:hAnsi="宋体" w:eastAsia="宋体" w:cs="宋体"/>
                <w:b/>
                <w:bCs/>
                <w:color w:val="auto"/>
                <w:sz w:val="21"/>
                <w:szCs w:val="21"/>
                <w:lang w:val="en-US" w:eastAsia="zh-CN"/>
              </w:rPr>
              <w:t>采购人</w:t>
            </w:r>
            <w:r>
              <w:rPr>
                <w:rFonts w:hint="eastAsia" w:ascii="宋体" w:hAnsi="宋体" w:eastAsia="宋体" w:cs="宋体"/>
                <w:b/>
                <w:bCs/>
                <w:color w:val="auto"/>
                <w:sz w:val="21"/>
                <w:szCs w:val="21"/>
              </w:rPr>
              <w:t>不予受理</w:t>
            </w:r>
            <w:r>
              <w:rPr>
                <w:rFonts w:hint="eastAsia" w:ascii="宋体" w:hAnsi="宋体" w:eastAsia="宋体" w:cs="宋体"/>
                <w:color w:val="auto"/>
                <w:sz w:val="21"/>
                <w:szCs w:val="21"/>
              </w:rPr>
              <w:t>。</w:t>
            </w:r>
          </w:p>
        </w:tc>
      </w:tr>
    </w:tbl>
    <w:p w14:paraId="5DA31D52">
      <w:pPr>
        <w:spacing w:line="360" w:lineRule="auto"/>
        <w:rPr>
          <w:rFonts w:hint="eastAsia" w:ascii="宋体" w:hAnsi="宋体" w:eastAsia="宋体" w:cs="宋体"/>
          <w:color w:val="auto"/>
          <w:sz w:val="21"/>
          <w:szCs w:val="21"/>
        </w:rPr>
      </w:pPr>
    </w:p>
    <w:p w14:paraId="5E1BC7D4">
      <w:pPr>
        <w:pStyle w:val="9"/>
        <w:spacing w:before="157" w:line="240" w:lineRule="auto"/>
        <w:ind w:left="957"/>
        <w:rPr>
          <w:b/>
          <w:bCs/>
          <w:color w:val="auto"/>
          <w:spacing w:val="-4"/>
          <w:sz w:val="32"/>
          <w:szCs w:val="32"/>
        </w:rPr>
      </w:pPr>
    </w:p>
    <w:p w14:paraId="0902AD1C">
      <w:pPr>
        <w:spacing w:line="228" w:lineRule="auto"/>
        <w:rPr>
          <w:color w:val="auto"/>
          <w:sz w:val="20"/>
          <w:szCs w:val="20"/>
        </w:rPr>
        <w:sectPr>
          <w:footerReference r:id="rId13" w:type="default"/>
          <w:pgSz w:w="11906" w:h="16839"/>
          <w:pgMar w:top="1406" w:right="1418" w:bottom="1432" w:left="1425" w:header="737" w:footer="1077" w:gutter="0"/>
          <w:pgNumType w:fmt="decimal"/>
          <w:cols w:space="720" w:num="1"/>
        </w:sectPr>
      </w:pPr>
    </w:p>
    <w:p w14:paraId="3AF750B6">
      <w:pPr>
        <w:adjustRightInd w:val="0"/>
        <w:snapToGrid w:val="0"/>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附页1</w:t>
      </w:r>
    </w:p>
    <w:p w14:paraId="5AD418B7">
      <w:pPr>
        <w:adjustRightInd w:val="0"/>
        <w:snapToGrid w:val="0"/>
        <w:spacing w:line="360" w:lineRule="auto"/>
        <w:jc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湖南省政府采购支持中小企业融资合作银行及联系人名单</w:t>
      </w:r>
    </w:p>
    <w:tbl>
      <w:tblPr>
        <w:tblStyle w:val="2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704D32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noWrap w:val="0"/>
            <w:vAlign w:val="center"/>
          </w:tcPr>
          <w:p w14:paraId="7327AF3F">
            <w:pPr>
              <w:adjustRightInd w:val="0"/>
              <w:snapToGrid w:val="0"/>
              <w:spacing w:before="156" w:beforeLines="50" w:line="360" w:lineRule="auto"/>
              <w:jc w:val="center"/>
              <w:rPr>
                <w:rFonts w:hint="eastAsia" w:ascii="宋体" w:hAnsi="宋体" w:eastAsia="宋体" w:cs="宋体"/>
                <w:b/>
                <w:color w:val="auto"/>
                <w:sz w:val="21"/>
                <w:szCs w:val="21"/>
              </w:rPr>
            </w:pPr>
            <w:r>
              <w:rPr>
                <w:rFonts w:hint="eastAsia" w:ascii="宋体" w:hAnsi="宋体" w:eastAsia="宋体" w:cs="宋体"/>
                <w:b/>
                <w:bCs/>
                <w:color w:val="auto"/>
                <w:kern w:val="0"/>
                <w:sz w:val="21"/>
                <w:szCs w:val="21"/>
              </w:rPr>
              <w:t>银行名称</w:t>
            </w:r>
          </w:p>
        </w:tc>
        <w:tc>
          <w:tcPr>
            <w:tcW w:w="1080" w:type="dxa"/>
            <w:noWrap w:val="0"/>
            <w:vAlign w:val="center"/>
          </w:tcPr>
          <w:p w14:paraId="66D03DC8">
            <w:pPr>
              <w:adjustRightInd w:val="0"/>
              <w:snapToGrid w:val="0"/>
              <w:spacing w:before="156" w:beforeLines="50" w:line="360" w:lineRule="auto"/>
              <w:jc w:val="center"/>
              <w:rPr>
                <w:rFonts w:hint="eastAsia" w:ascii="宋体" w:hAnsi="宋体" w:eastAsia="宋体" w:cs="宋体"/>
                <w:b/>
                <w:color w:val="auto"/>
                <w:sz w:val="21"/>
                <w:szCs w:val="21"/>
              </w:rPr>
            </w:pPr>
            <w:r>
              <w:rPr>
                <w:rFonts w:hint="eastAsia" w:ascii="宋体" w:hAnsi="宋体" w:eastAsia="宋体" w:cs="宋体"/>
                <w:b/>
                <w:bCs/>
                <w:color w:val="auto"/>
                <w:kern w:val="0"/>
                <w:sz w:val="21"/>
                <w:szCs w:val="21"/>
              </w:rPr>
              <w:t>联系人</w:t>
            </w:r>
          </w:p>
        </w:tc>
        <w:tc>
          <w:tcPr>
            <w:tcW w:w="3060" w:type="dxa"/>
            <w:noWrap w:val="0"/>
            <w:vAlign w:val="center"/>
          </w:tcPr>
          <w:p w14:paraId="6A809BEB">
            <w:pPr>
              <w:adjustRightInd w:val="0"/>
              <w:snapToGrid w:val="0"/>
              <w:spacing w:before="156" w:beforeLines="50" w:line="360" w:lineRule="auto"/>
              <w:jc w:val="center"/>
              <w:rPr>
                <w:rFonts w:hint="eastAsia" w:ascii="宋体" w:hAnsi="宋体" w:eastAsia="宋体" w:cs="宋体"/>
                <w:b/>
                <w:color w:val="auto"/>
                <w:sz w:val="21"/>
                <w:szCs w:val="21"/>
              </w:rPr>
            </w:pPr>
            <w:r>
              <w:rPr>
                <w:rFonts w:hint="eastAsia" w:ascii="宋体" w:hAnsi="宋体" w:eastAsia="宋体" w:cs="宋体"/>
                <w:b/>
                <w:bCs/>
                <w:color w:val="auto"/>
                <w:kern w:val="0"/>
                <w:sz w:val="21"/>
                <w:szCs w:val="21"/>
              </w:rPr>
              <w:t>职 务</w:t>
            </w:r>
          </w:p>
        </w:tc>
        <w:tc>
          <w:tcPr>
            <w:tcW w:w="2340" w:type="dxa"/>
            <w:noWrap w:val="0"/>
            <w:vAlign w:val="center"/>
          </w:tcPr>
          <w:p w14:paraId="3C2B6784">
            <w:pPr>
              <w:adjustRightInd w:val="0"/>
              <w:snapToGrid w:val="0"/>
              <w:spacing w:before="156" w:beforeLines="50" w:line="360" w:lineRule="auto"/>
              <w:jc w:val="center"/>
              <w:rPr>
                <w:rFonts w:hint="eastAsia" w:ascii="宋体" w:hAnsi="宋体" w:eastAsia="宋体" w:cs="宋体"/>
                <w:b/>
                <w:color w:val="auto"/>
                <w:sz w:val="21"/>
                <w:szCs w:val="21"/>
              </w:rPr>
            </w:pPr>
            <w:r>
              <w:rPr>
                <w:rFonts w:hint="eastAsia" w:ascii="宋体" w:hAnsi="宋体" w:eastAsia="宋体" w:cs="宋体"/>
                <w:b/>
                <w:bCs/>
                <w:color w:val="auto"/>
                <w:kern w:val="0"/>
                <w:sz w:val="21"/>
                <w:szCs w:val="21"/>
              </w:rPr>
              <w:t>联系电话</w:t>
            </w:r>
          </w:p>
        </w:tc>
      </w:tr>
      <w:tr w14:paraId="326D9C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noWrap w:val="0"/>
            <w:vAlign w:val="center"/>
          </w:tcPr>
          <w:p w14:paraId="1D055B24">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交通银行湖南省分行</w:t>
            </w:r>
          </w:p>
        </w:tc>
        <w:tc>
          <w:tcPr>
            <w:tcW w:w="1080" w:type="dxa"/>
            <w:noWrap w:val="0"/>
            <w:vAlign w:val="center"/>
          </w:tcPr>
          <w:p w14:paraId="3AA645A3">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刘  波</w:t>
            </w:r>
          </w:p>
        </w:tc>
        <w:tc>
          <w:tcPr>
            <w:tcW w:w="3060" w:type="dxa"/>
            <w:noWrap w:val="0"/>
            <w:vAlign w:val="center"/>
          </w:tcPr>
          <w:p w14:paraId="02907612">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名城支行客户经理</w:t>
            </w:r>
          </w:p>
        </w:tc>
        <w:tc>
          <w:tcPr>
            <w:tcW w:w="2340" w:type="dxa"/>
            <w:noWrap w:val="0"/>
            <w:vAlign w:val="center"/>
          </w:tcPr>
          <w:p w14:paraId="19F67B76">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13874998873</w:t>
            </w:r>
          </w:p>
        </w:tc>
      </w:tr>
      <w:tr w14:paraId="5848E4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noWrap w:val="0"/>
            <w:vAlign w:val="center"/>
          </w:tcPr>
          <w:p w14:paraId="19C61953">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交通银行湖南省分行</w:t>
            </w:r>
          </w:p>
        </w:tc>
        <w:tc>
          <w:tcPr>
            <w:tcW w:w="1080" w:type="dxa"/>
            <w:noWrap w:val="0"/>
            <w:vAlign w:val="center"/>
          </w:tcPr>
          <w:p w14:paraId="12700660">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肖勇光</w:t>
            </w:r>
          </w:p>
        </w:tc>
        <w:tc>
          <w:tcPr>
            <w:tcW w:w="3060" w:type="dxa"/>
            <w:noWrap w:val="0"/>
            <w:vAlign w:val="center"/>
          </w:tcPr>
          <w:p w14:paraId="76A2D369">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分行高级经理</w:t>
            </w:r>
          </w:p>
        </w:tc>
        <w:tc>
          <w:tcPr>
            <w:tcW w:w="2340" w:type="dxa"/>
            <w:noWrap w:val="0"/>
            <w:vAlign w:val="center"/>
          </w:tcPr>
          <w:p w14:paraId="0F73DEE6">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13755192647</w:t>
            </w:r>
          </w:p>
        </w:tc>
      </w:tr>
      <w:tr w14:paraId="757253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3FAFC9EE">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中国民生银行长沙分行</w:t>
            </w:r>
          </w:p>
        </w:tc>
        <w:tc>
          <w:tcPr>
            <w:tcW w:w="1080" w:type="dxa"/>
            <w:noWrap w:val="0"/>
            <w:vAlign w:val="center"/>
          </w:tcPr>
          <w:p w14:paraId="38223A0E">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黄飞燕</w:t>
            </w:r>
          </w:p>
        </w:tc>
        <w:tc>
          <w:tcPr>
            <w:tcW w:w="3060" w:type="dxa"/>
            <w:noWrap w:val="0"/>
            <w:vAlign w:val="center"/>
          </w:tcPr>
          <w:p w14:paraId="611B0A3D">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营业部总经理</w:t>
            </w:r>
          </w:p>
        </w:tc>
        <w:tc>
          <w:tcPr>
            <w:tcW w:w="2340" w:type="dxa"/>
            <w:noWrap w:val="0"/>
            <w:vAlign w:val="center"/>
          </w:tcPr>
          <w:p w14:paraId="22A017BD">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13308463468</w:t>
            </w:r>
          </w:p>
        </w:tc>
      </w:tr>
      <w:tr w14:paraId="174843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7630DE79">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中国民生银行长沙分行</w:t>
            </w:r>
          </w:p>
        </w:tc>
        <w:tc>
          <w:tcPr>
            <w:tcW w:w="1080" w:type="dxa"/>
            <w:noWrap w:val="0"/>
            <w:vAlign w:val="center"/>
          </w:tcPr>
          <w:p w14:paraId="7DF66CFE">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蒋寒奇</w:t>
            </w:r>
          </w:p>
        </w:tc>
        <w:tc>
          <w:tcPr>
            <w:tcW w:w="3060" w:type="dxa"/>
            <w:noWrap w:val="0"/>
            <w:vAlign w:val="center"/>
          </w:tcPr>
          <w:p w14:paraId="407989D6">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营业部中小企业客户经理</w:t>
            </w:r>
          </w:p>
        </w:tc>
        <w:tc>
          <w:tcPr>
            <w:tcW w:w="2340" w:type="dxa"/>
            <w:noWrap w:val="0"/>
            <w:vAlign w:val="center"/>
          </w:tcPr>
          <w:p w14:paraId="20AA5AB1">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13548982975</w:t>
            </w:r>
          </w:p>
        </w:tc>
      </w:tr>
      <w:tr w14:paraId="601E63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noWrap w:val="0"/>
            <w:vAlign w:val="center"/>
          </w:tcPr>
          <w:p w14:paraId="03C209DA">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兴业银行长沙分行</w:t>
            </w:r>
          </w:p>
        </w:tc>
        <w:tc>
          <w:tcPr>
            <w:tcW w:w="1080" w:type="dxa"/>
            <w:noWrap w:val="0"/>
            <w:vAlign w:val="center"/>
          </w:tcPr>
          <w:p w14:paraId="48C0EF2D">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刘栅延</w:t>
            </w:r>
          </w:p>
        </w:tc>
        <w:tc>
          <w:tcPr>
            <w:tcW w:w="3060" w:type="dxa"/>
            <w:noWrap w:val="0"/>
            <w:vAlign w:val="center"/>
          </w:tcPr>
          <w:p w14:paraId="03766625">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支行行长</w:t>
            </w:r>
          </w:p>
        </w:tc>
        <w:tc>
          <w:tcPr>
            <w:tcW w:w="2340" w:type="dxa"/>
            <w:noWrap w:val="0"/>
            <w:vAlign w:val="center"/>
          </w:tcPr>
          <w:p w14:paraId="5821FE31">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13337316405</w:t>
            </w:r>
          </w:p>
        </w:tc>
      </w:tr>
      <w:tr w14:paraId="05AAE5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noWrap w:val="0"/>
            <w:vAlign w:val="center"/>
          </w:tcPr>
          <w:p w14:paraId="0E97E573">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兴业银行长沙分行</w:t>
            </w:r>
          </w:p>
        </w:tc>
        <w:tc>
          <w:tcPr>
            <w:tcW w:w="1080" w:type="dxa"/>
            <w:noWrap w:val="0"/>
            <w:vAlign w:val="center"/>
          </w:tcPr>
          <w:p w14:paraId="212763C6">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蒋修远</w:t>
            </w:r>
          </w:p>
        </w:tc>
        <w:tc>
          <w:tcPr>
            <w:tcW w:w="3060" w:type="dxa"/>
            <w:noWrap w:val="0"/>
            <w:vAlign w:val="center"/>
          </w:tcPr>
          <w:p w14:paraId="16C64E17">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支行客户经理</w:t>
            </w:r>
          </w:p>
        </w:tc>
        <w:tc>
          <w:tcPr>
            <w:tcW w:w="2340" w:type="dxa"/>
            <w:noWrap w:val="0"/>
            <w:vAlign w:val="center"/>
          </w:tcPr>
          <w:p w14:paraId="6FB9263F">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18607310422</w:t>
            </w:r>
          </w:p>
        </w:tc>
      </w:tr>
      <w:tr w14:paraId="679A0A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noWrap w:val="0"/>
            <w:vAlign w:val="center"/>
          </w:tcPr>
          <w:p w14:paraId="27F08391">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中国光大银行长沙分行</w:t>
            </w:r>
          </w:p>
        </w:tc>
        <w:tc>
          <w:tcPr>
            <w:tcW w:w="1080" w:type="dxa"/>
            <w:noWrap w:val="0"/>
            <w:vAlign w:val="center"/>
          </w:tcPr>
          <w:p w14:paraId="5B5C1EA5">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邓永胜</w:t>
            </w:r>
          </w:p>
        </w:tc>
        <w:tc>
          <w:tcPr>
            <w:tcW w:w="3060" w:type="dxa"/>
            <w:noWrap w:val="0"/>
            <w:vAlign w:val="center"/>
          </w:tcPr>
          <w:p w14:paraId="1FDB247E">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岳麓支行副行长</w:t>
            </w:r>
          </w:p>
        </w:tc>
        <w:tc>
          <w:tcPr>
            <w:tcW w:w="2340" w:type="dxa"/>
            <w:noWrap w:val="0"/>
            <w:vAlign w:val="center"/>
          </w:tcPr>
          <w:p w14:paraId="1A4D42C1">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13617319650</w:t>
            </w:r>
          </w:p>
        </w:tc>
      </w:tr>
      <w:tr w14:paraId="61DAE1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noWrap w:val="0"/>
            <w:vAlign w:val="center"/>
          </w:tcPr>
          <w:p w14:paraId="0C4E12BD">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中信银行长沙分行</w:t>
            </w:r>
          </w:p>
        </w:tc>
        <w:tc>
          <w:tcPr>
            <w:tcW w:w="1080" w:type="dxa"/>
            <w:noWrap w:val="0"/>
            <w:vAlign w:val="center"/>
          </w:tcPr>
          <w:p w14:paraId="273DBA6C">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蔡学军</w:t>
            </w:r>
          </w:p>
        </w:tc>
        <w:tc>
          <w:tcPr>
            <w:tcW w:w="3060" w:type="dxa"/>
            <w:noWrap w:val="0"/>
            <w:vAlign w:val="center"/>
          </w:tcPr>
          <w:p w14:paraId="2AE7C2CE">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公司银行部负责人</w:t>
            </w:r>
          </w:p>
        </w:tc>
        <w:tc>
          <w:tcPr>
            <w:tcW w:w="2340" w:type="dxa"/>
            <w:noWrap w:val="0"/>
            <w:vAlign w:val="center"/>
          </w:tcPr>
          <w:p w14:paraId="03CE8B58">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13055167195</w:t>
            </w:r>
          </w:p>
        </w:tc>
      </w:tr>
      <w:tr w14:paraId="53F809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7819F7AC">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中信银行长沙分行</w:t>
            </w:r>
          </w:p>
        </w:tc>
        <w:tc>
          <w:tcPr>
            <w:tcW w:w="1080" w:type="dxa"/>
            <w:noWrap w:val="0"/>
            <w:vAlign w:val="center"/>
          </w:tcPr>
          <w:p w14:paraId="707889C7">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宋学农</w:t>
            </w:r>
          </w:p>
        </w:tc>
        <w:tc>
          <w:tcPr>
            <w:tcW w:w="3060" w:type="dxa"/>
            <w:noWrap w:val="0"/>
            <w:vAlign w:val="center"/>
          </w:tcPr>
          <w:p w14:paraId="40B429F9">
            <w:pPr>
              <w:adjustRightInd w:val="0"/>
              <w:snapToGrid w:val="0"/>
              <w:spacing w:before="156" w:beforeLines="50" w:line="360" w:lineRule="auto"/>
              <w:rPr>
                <w:rFonts w:hint="eastAsia" w:ascii="宋体" w:hAnsi="宋体" w:eastAsia="宋体" w:cs="宋体"/>
                <w:color w:val="auto"/>
                <w:sz w:val="21"/>
                <w:szCs w:val="21"/>
              </w:rPr>
            </w:pPr>
            <w:r>
              <w:rPr>
                <w:rFonts w:hint="eastAsia" w:ascii="宋体" w:hAnsi="宋体" w:eastAsia="宋体" w:cs="宋体"/>
                <w:color w:val="auto"/>
                <w:kern w:val="0"/>
                <w:sz w:val="21"/>
                <w:szCs w:val="21"/>
              </w:rPr>
              <w:t>银行部综合管理部副总经理</w:t>
            </w:r>
          </w:p>
        </w:tc>
        <w:tc>
          <w:tcPr>
            <w:tcW w:w="2340" w:type="dxa"/>
            <w:noWrap w:val="0"/>
            <w:vAlign w:val="center"/>
          </w:tcPr>
          <w:p w14:paraId="58BACC26">
            <w:pPr>
              <w:adjustRightInd w:val="0"/>
              <w:snapToGrid w:val="0"/>
              <w:spacing w:before="156" w:beforeLines="50" w:line="360" w:lineRule="auto"/>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rPr>
              <w:t>0731-845822141</w:t>
            </w:r>
          </w:p>
        </w:tc>
      </w:tr>
    </w:tbl>
    <w:p w14:paraId="75D8E599">
      <w:pPr>
        <w:adjustRightInd w:val="0"/>
        <w:snapToGrid w:val="0"/>
        <w:spacing w:line="360" w:lineRule="auto"/>
        <w:rPr>
          <w:rFonts w:hint="eastAsia" w:ascii="宋体" w:hAnsi="宋体" w:eastAsia="宋体" w:cs="宋体"/>
          <w:b/>
          <w:bCs/>
          <w:color w:val="auto"/>
          <w:sz w:val="21"/>
          <w:szCs w:val="21"/>
        </w:rPr>
      </w:pPr>
    </w:p>
    <w:p w14:paraId="060ED10D">
      <w:pPr>
        <w:adjustRightInd w:val="0"/>
        <w:snapToGrid w:val="0"/>
        <w:spacing w:line="360" w:lineRule="auto"/>
        <w:rPr>
          <w:rFonts w:hint="eastAsia" w:ascii="宋体" w:hAnsi="宋体" w:eastAsia="宋体" w:cs="宋体"/>
          <w:b/>
          <w:bCs/>
          <w:color w:val="auto"/>
          <w:sz w:val="21"/>
          <w:szCs w:val="21"/>
        </w:rPr>
      </w:pPr>
    </w:p>
    <w:p w14:paraId="1494392D">
      <w:pPr>
        <w:adjustRightInd w:val="0"/>
        <w:snapToGrid w:val="0"/>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附页2</w:t>
      </w:r>
    </w:p>
    <w:p w14:paraId="710C1C1D">
      <w:pPr>
        <w:adjustRightInd w:val="0"/>
        <w:snapToGrid w:val="0"/>
        <w:spacing w:line="360" w:lineRule="auto"/>
        <w:jc w:val="center"/>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rPr>
        <w:t>湖南省政府采购信用担保试点工作的</w:t>
      </w:r>
      <w:r>
        <w:rPr>
          <w:rFonts w:hint="eastAsia" w:ascii="宋体" w:hAnsi="宋体" w:eastAsia="宋体" w:cs="宋体"/>
          <w:b/>
          <w:color w:val="auto"/>
          <w:sz w:val="21"/>
          <w:szCs w:val="21"/>
        </w:rPr>
        <w:t>信用担保机构名单</w:t>
      </w:r>
    </w:p>
    <w:tbl>
      <w:tblPr>
        <w:tblStyle w:val="20"/>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4FB4C6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78BFDD78">
            <w:pPr>
              <w:adjustRightInd w:val="0"/>
              <w:snapToGrid w:val="0"/>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color w:val="auto"/>
                <w:sz w:val="21"/>
                <w:szCs w:val="21"/>
              </w:rPr>
              <w:t>信用担保机构</w:t>
            </w:r>
          </w:p>
        </w:tc>
        <w:tc>
          <w:tcPr>
            <w:tcW w:w="1080" w:type="dxa"/>
            <w:noWrap w:val="0"/>
            <w:vAlign w:val="center"/>
          </w:tcPr>
          <w:p w14:paraId="1F3E88FD">
            <w:pPr>
              <w:adjustRightInd w:val="0"/>
              <w:snapToGrid w:val="0"/>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color w:val="auto"/>
                <w:sz w:val="21"/>
                <w:szCs w:val="21"/>
              </w:rPr>
              <w:t>联系人</w:t>
            </w:r>
          </w:p>
        </w:tc>
        <w:tc>
          <w:tcPr>
            <w:tcW w:w="3780" w:type="dxa"/>
            <w:noWrap w:val="0"/>
            <w:vAlign w:val="center"/>
          </w:tcPr>
          <w:p w14:paraId="0EA3F3F9">
            <w:pPr>
              <w:adjustRightInd w:val="0"/>
              <w:snapToGrid w:val="0"/>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color w:val="auto"/>
                <w:sz w:val="21"/>
                <w:szCs w:val="21"/>
              </w:rPr>
              <w:t>联系电话</w:t>
            </w:r>
          </w:p>
        </w:tc>
      </w:tr>
      <w:tr w14:paraId="7DCC8D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2DD6220F">
            <w:pPr>
              <w:adjustRightInd w:val="0"/>
              <w:snapToGrid w:val="0"/>
              <w:spacing w:line="360" w:lineRule="auto"/>
              <w:jc w:val="left"/>
              <w:rPr>
                <w:rFonts w:hint="eastAsia" w:ascii="宋体" w:hAnsi="宋体" w:eastAsia="宋体" w:cs="宋体"/>
                <w:bCs/>
                <w:color w:val="auto"/>
                <w:kern w:val="0"/>
                <w:sz w:val="21"/>
                <w:szCs w:val="21"/>
              </w:rPr>
            </w:pPr>
            <w:r>
              <w:rPr>
                <w:rFonts w:hint="eastAsia" w:ascii="宋体" w:hAnsi="宋体" w:eastAsia="宋体" w:cs="宋体"/>
                <w:color w:val="auto"/>
                <w:sz w:val="21"/>
                <w:szCs w:val="21"/>
              </w:rPr>
              <w:t>中国投资担保公司</w:t>
            </w:r>
          </w:p>
        </w:tc>
        <w:tc>
          <w:tcPr>
            <w:tcW w:w="1080" w:type="dxa"/>
            <w:noWrap w:val="0"/>
            <w:vAlign w:val="center"/>
          </w:tcPr>
          <w:p w14:paraId="1ABB8A2E">
            <w:pPr>
              <w:adjustRightInd w:val="0"/>
              <w:snapToGrid w:val="0"/>
              <w:spacing w:line="360" w:lineRule="auto"/>
              <w:jc w:val="center"/>
              <w:rPr>
                <w:rFonts w:hint="eastAsia" w:ascii="宋体" w:hAnsi="宋体" w:eastAsia="宋体" w:cs="宋体"/>
                <w:bCs/>
                <w:color w:val="auto"/>
                <w:kern w:val="0"/>
                <w:sz w:val="21"/>
                <w:szCs w:val="21"/>
              </w:rPr>
            </w:pPr>
            <w:r>
              <w:rPr>
                <w:rFonts w:hint="eastAsia" w:ascii="宋体" w:hAnsi="宋体" w:eastAsia="宋体" w:cs="宋体"/>
                <w:color w:val="auto"/>
                <w:sz w:val="21"/>
                <w:szCs w:val="21"/>
              </w:rPr>
              <w:t>何  嘉</w:t>
            </w:r>
          </w:p>
        </w:tc>
        <w:tc>
          <w:tcPr>
            <w:tcW w:w="3780" w:type="dxa"/>
            <w:noWrap w:val="0"/>
            <w:vAlign w:val="center"/>
          </w:tcPr>
          <w:p w14:paraId="7DE0CD6E">
            <w:pPr>
              <w:adjustRightInd w:val="0"/>
              <w:snapToGrid w:val="0"/>
              <w:spacing w:line="360" w:lineRule="auto"/>
              <w:jc w:val="left"/>
              <w:rPr>
                <w:rFonts w:hint="eastAsia" w:ascii="宋体" w:hAnsi="宋体" w:eastAsia="宋体" w:cs="宋体"/>
                <w:bCs/>
                <w:color w:val="auto"/>
                <w:kern w:val="0"/>
                <w:sz w:val="21"/>
                <w:szCs w:val="21"/>
              </w:rPr>
            </w:pPr>
            <w:r>
              <w:rPr>
                <w:rFonts w:hint="eastAsia" w:ascii="宋体" w:hAnsi="宋体" w:eastAsia="宋体" w:cs="宋体"/>
                <w:color w:val="auto"/>
                <w:sz w:val="21"/>
                <w:szCs w:val="21"/>
              </w:rPr>
              <w:t>010-88822659/13718642233</w:t>
            </w:r>
          </w:p>
        </w:tc>
      </w:tr>
      <w:tr w14:paraId="1FFCAF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737B34C9">
            <w:pPr>
              <w:adjustRightInd w:val="0"/>
              <w:snapToGrid w:val="0"/>
              <w:spacing w:line="360" w:lineRule="auto"/>
              <w:jc w:val="left"/>
              <w:rPr>
                <w:rFonts w:hint="eastAsia" w:ascii="宋体" w:hAnsi="宋体" w:eastAsia="宋体" w:cs="宋体"/>
                <w:bCs/>
                <w:color w:val="auto"/>
                <w:kern w:val="0"/>
                <w:sz w:val="21"/>
                <w:szCs w:val="21"/>
              </w:rPr>
            </w:pPr>
            <w:r>
              <w:rPr>
                <w:rFonts w:hint="eastAsia" w:ascii="宋体" w:hAnsi="宋体" w:eastAsia="宋体" w:cs="宋体"/>
                <w:color w:val="auto"/>
                <w:sz w:val="21"/>
                <w:szCs w:val="21"/>
              </w:rPr>
              <w:t>湖南省中小企业信用担保有限责任公司</w:t>
            </w:r>
          </w:p>
        </w:tc>
        <w:tc>
          <w:tcPr>
            <w:tcW w:w="1080" w:type="dxa"/>
            <w:noWrap w:val="0"/>
            <w:vAlign w:val="center"/>
          </w:tcPr>
          <w:p w14:paraId="49848A7C">
            <w:pPr>
              <w:adjustRightInd w:val="0"/>
              <w:snapToGrid w:val="0"/>
              <w:spacing w:line="360" w:lineRule="auto"/>
              <w:jc w:val="center"/>
              <w:rPr>
                <w:rFonts w:hint="eastAsia" w:ascii="宋体" w:hAnsi="宋体" w:eastAsia="宋体" w:cs="宋体"/>
                <w:bCs/>
                <w:color w:val="auto"/>
                <w:kern w:val="0"/>
                <w:sz w:val="21"/>
                <w:szCs w:val="21"/>
              </w:rPr>
            </w:pPr>
            <w:r>
              <w:rPr>
                <w:rFonts w:hint="eastAsia" w:ascii="宋体" w:hAnsi="宋体" w:eastAsia="宋体" w:cs="宋体"/>
                <w:color w:val="auto"/>
                <w:sz w:val="21"/>
                <w:szCs w:val="21"/>
              </w:rPr>
              <w:t>蔡建雄</w:t>
            </w:r>
          </w:p>
        </w:tc>
        <w:tc>
          <w:tcPr>
            <w:tcW w:w="3780" w:type="dxa"/>
            <w:noWrap w:val="0"/>
            <w:vAlign w:val="center"/>
          </w:tcPr>
          <w:p w14:paraId="65854D14">
            <w:pPr>
              <w:adjustRightInd w:val="0"/>
              <w:snapToGrid w:val="0"/>
              <w:spacing w:line="360" w:lineRule="auto"/>
              <w:jc w:val="left"/>
              <w:rPr>
                <w:rFonts w:hint="eastAsia" w:ascii="宋体" w:hAnsi="宋体" w:eastAsia="宋体" w:cs="宋体"/>
                <w:bCs/>
                <w:color w:val="auto"/>
                <w:kern w:val="0"/>
                <w:sz w:val="21"/>
                <w:szCs w:val="21"/>
              </w:rPr>
            </w:pPr>
            <w:r>
              <w:rPr>
                <w:rFonts w:hint="eastAsia" w:ascii="宋体" w:hAnsi="宋体" w:eastAsia="宋体" w:cs="宋体"/>
                <w:color w:val="auto"/>
                <w:sz w:val="21"/>
                <w:szCs w:val="21"/>
              </w:rPr>
              <w:t>0731-84172390-201/15573193555</w:t>
            </w:r>
          </w:p>
        </w:tc>
      </w:tr>
      <w:tr w14:paraId="33236C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205FBC1A">
            <w:pPr>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湖南农业信用担保有限公司</w:t>
            </w:r>
          </w:p>
        </w:tc>
        <w:tc>
          <w:tcPr>
            <w:tcW w:w="1080" w:type="dxa"/>
            <w:noWrap w:val="0"/>
            <w:vAlign w:val="center"/>
          </w:tcPr>
          <w:p w14:paraId="257AA992">
            <w:pPr>
              <w:adjustRightInd w:val="0"/>
              <w:snapToGrid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彭  球</w:t>
            </w:r>
          </w:p>
          <w:p w14:paraId="42166259">
            <w:pPr>
              <w:adjustRightInd w:val="0"/>
              <w:snapToGrid w:val="0"/>
              <w:spacing w:line="360" w:lineRule="auto"/>
              <w:jc w:val="center"/>
              <w:rPr>
                <w:rFonts w:hint="eastAsia" w:ascii="宋体" w:hAnsi="宋体" w:eastAsia="宋体" w:cs="宋体"/>
                <w:bCs/>
                <w:color w:val="auto"/>
                <w:kern w:val="0"/>
                <w:sz w:val="21"/>
                <w:szCs w:val="21"/>
              </w:rPr>
            </w:pPr>
            <w:r>
              <w:rPr>
                <w:rFonts w:hint="eastAsia" w:ascii="宋体" w:hAnsi="宋体" w:eastAsia="宋体" w:cs="宋体"/>
                <w:color w:val="auto"/>
                <w:sz w:val="21"/>
                <w:szCs w:val="21"/>
              </w:rPr>
              <w:t>邓霞英</w:t>
            </w:r>
          </w:p>
        </w:tc>
        <w:tc>
          <w:tcPr>
            <w:tcW w:w="3780" w:type="dxa"/>
            <w:noWrap w:val="0"/>
            <w:vAlign w:val="center"/>
          </w:tcPr>
          <w:p w14:paraId="2E99516C">
            <w:pPr>
              <w:adjustRightInd w:val="0"/>
              <w:snapToGrid w:val="0"/>
              <w:spacing w:line="360" w:lineRule="auto"/>
              <w:jc w:val="left"/>
              <w:rPr>
                <w:rFonts w:hint="eastAsia" w:ascii="宋体" w:hAnsi="宋体" w:eastAsia="宋体" w:cs="宋体"/>
                <w:bCs/>
                <w:color w:val="auto"/>
                <w:kern w:val="0"/>
                <w:sz w:val="21"/>
                <w:szCs w:val="21"/>
              </w:rPr>
            </w:pPr>
            <w:r>
              <w:rPr>
                <w:rFonts w:hint="eastAsia" w:ascii="宋体" w:hAnsi="宋体" w:eastAsia="宋体" w:cs="宋体"/>
                <w:color w:val="auto"/>
                <w:sz w:val="21"/>
                <w:szCs w:val="21"/>
              </w:rPr>
              <w:t>0731-89761702/13875980906 0731-89761706/13574125851</w:t>
            </w:r>
          </w:p>
        </w:tc>
      </w:tr>
    </w:tbl>
    <w:p w14:paraId="13B6C3AC">
      <w:pPr>
        <w:adjustRightInd w:val="0"/>
        <w:snapToGrid w:val="0"/>
        <w:spacing w:line="360" w:lineRule="auto"/>
        <w:rPr>
          <w:rFonts w:hint="eastAsia" w:ascii="宋体" w:hAnsi="宋体" w:eastAsia="宋体" w:cs="宋体"/>
          <w:b/>
          <w:color w:val="auto"/>
          <w:sz w:val="18"/>
          <w:szCs w:val="18"/>
        </w:rPr>
        <w:sectPr>
          <w:footerReference r:id="rId15" w:type="first"/>
          <w:footerReference r:id="rId14" w:type="default"/>
          <w:pgSz w:w="11906" w:h="16838"/>
          <w:pgMar w:top="1440" w:right="1531" w:bottom="1440" w:left="1531" w:header="851" w:footer="992" w:gutter="0"/>
          <w:pgNumType w:fmt="decimal"/>
          <w:cols w:space="720" w:num="1"/>
          <w:titlePg/>
          <w:docGrid w:type="lines" w:linePitch="312" w:charSpace="0"/>
        </w:sectPr>
      </w:pPr>
    </w:p>
    <w:p w14:paraId="169AD692">
      <w:pPr>
        <w:adjustRightInd w:val="0"/>
        <w:snapToGrid w:val="0"/>
        <w:spacing w:line="360" w:lineRule="auto"/>
        <w:rPr>
          <w:rFonts w:hint="eastAsia" w:ascii="宋体" w:hAnsi="宋体"/>
          <w:b/>
          <w:bCs/>
          <w:color w:val="auto"/>
          <w:szCs w:val="21"/>
        </w:rPr>
      </w:pPr>
      <w:r>
        <w:rPr>
          <w:rFonts w:hint="eastAsia" w:ascii="宋体" w:hAnsi="宋体"/>
          <w:b/>
          <w:bCs/>
          <w:color w:val="auto"/>
          <w:szCs w:val="21"/>
        </w:rPr>
        <w:t>附页3</w:t>
      </w:r>
    </w:p>
    <w:p w14:paraId="516EAE8E">
      <w:pPr>
        <w:adjustRightInd w:val="0"/>
        <w:snapToGrid w:val="0"/>
        <w:spacing w:line="360" w:lineRule="auto"/>
        <w:jc w:val="center"/>
        <w:rPr>
          <w:rFonts w:hint="eastAsia" w:ascii="宋体" w:hAnsi="宋体" w:cs="宋体"/>
          <w:b/>
          <w:color w:val="auto"/>
          <w:kern w:val="0"/>
          <w:sz w:val="28"/>
          <w:szCs w:val="28"/>
        </w:rPr>
      </w:pPr>
      <w:r>
        <w:rPr>
          <w:rFonts w:hint="eastAsia" w:ascii="宋体" w:hAnsi="宋体" w:cs="宋体"/>
          <w:b/>
          <w:color w:val="auto"/>
          <w:kern w:val="0"/>
          <w:sz w:val="28"/>
          <w:szCs w:val="28"/>
        </w:rPr>
        <w:t>政府采购履约担保函</w:t>
      </w:r>
    </w:p>
    <w:p w14:paraId="164B9865">
      <w:pPr>
        <w:adjustRightInd w:val="0"/>
        <w:snapToGrid w:val="0"/>
        <w:spacing w:line="360" w:lineRule="auto"/>
        <w:ind w:firstLine="6510" w:firstLineChars="3100"/>
        <w:rPr>
          <w:rFonts w:hint="eastAsia" w:ascii="宋体" w:hAnsi="宋体" w:cs="宋体"/>
          <w:b/>
          <w:color w:val="auto"/>
          <w:kern w:val="0"/>
          <w:szCs w:val="21"/>
        </w:rPr>
      </w:pP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p>
    <w:p w14:paraId="358725AD">
      <w:pPr>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（采购人）： </w:t>
      </w:r>
    </w:p>
    <w:p w14:paraId="59D567D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鉴于你方与</w:t>
      </w:r>
      <w:r>
        <w:rPr>
          <w:rFonts w:hint="eastAsia" w:ascii="宋体" w:hAnsi="宋体" w:cs="宋体"/>
          <w:color w:val="auto"/>
          <w:kern w:val="0"/>
          <w:szCs w:val="21"/>
          <w:u w:val="single"/>
        </w:rPr>
        <w:t xml:space="preserve">                   </w:t>
      </w:r>
      <w:r>
        <w:rPr>
          <w:rFonts w:hint="eastAsia" w:ascii="宋体" w:hAnsi="宋体" w:cs="宋体"/>
          <w:color w:val="auto"/>
          <w:kern w:val="0"/>
          <w:szCs w:val="21"/>
        </w:rPr>
        <w:t>（以下简称供应商）于</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日签定编号为</w:t>
      </w:r>
      <w:r>
        <w:rPr>
          <w:rFonts w:hint="eastAsia" w:ascii="宋体" w:hAnsi="宋体" w:cs="宋体"/>
          <w:color w:val="auto"/>
          <w:kern w:val="0"/>
          <w:szCs w:val="21"/>
          <w:u w:val="single"/>
        </w:rPr>
        <w:t xml:space="preserve">           </w:t>
      </w:r>
      <w:r>
        <w:rPr>
          <w:rFonts w:hint="eastAsia" w:ascii="宋体" w:hAnsi="宋体" w:cs="宋体"/>
          <w:color w:val="auto"/>
          <w:kern w:val="0"/>
          <w:szCs w:val="21"/>
        </w:rPr>
        <w:t>的《</w:t>
      </w:r>
      <w:r>
        <w:rPr>
          <w:rFonts w:hint="eastAsia" w:ascii="宋体" w:hAnsi="宋体" w:cs="宋体"/>
          <w:color w:val="auto"/>
          <w:kern w:val="0"/>
          <w:szCs w:val="21"/>
          <w:u w:val="single"/>
        </w:rPr>
        <w:t xml:space="preserve">            </w:t>
      </w:r>
      <w:r>
        <w:rPr>
          <w:rFonts w:hint="eastAsia" w:ascii="宋体" w:hAnsi="宋体" w:cs="宋体"/>
          <w:color w:val="auto"/>
          <w:kern w:val="0"/>
          <w:szCs w:val="21"/>
        </w:rPr>
        <w:t>政府采购合同》（以下简称主合同），且依据该合同的约定，供应商应在</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日前向你方交纳履约保证金，且可以履约担保函的形式交纳履约保证金。应供应商的申请，我方以保证的方式向你方提供如下履约保证金担保：</w:t>
      </w:r>
    </w:p>
    <w:p w14:paraId="2DD50BA1">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一、保证责任的情形及保证金额</w:t>
      </w:r>
    </w:p>
    <w:p w14:paraId="3C3D9B8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（一）在供应商出现下列情形之一时，我方承担保证责任：</w:t>
      </w:r>
    </w:p>
    <w:p w14:paraId="0C16613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1．将中标项目转让给他人，或者在投标文件中未说明，且未经采购人同意，将中标项目分包给他人的；</w:t>
      </w:r>
    </w:p>
    <w:p w14:paraId="66A88810">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2．主合同约定的应当缴纳履约保证金的情形: </w:t>
      </w:r>
    </w:p>
    <w:p w14:paraId="5B63EF83">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（1）未按主合同约定的质量、数量和期限供应货物/提供服务/完成工程的； </w:t>
      </w:r>
    </w:p>
    <w:p w14:paraId="057CF0A4">
      <w:pPr>
        <w:adjustRightInd w:val="0"/>
        <w:snapToGrid w:val="0"/>
        <w:spacing w:line="360" w:lineRule="auto"/>
        <w:ind w:firstLine="420" w:firstLineChars="200"/>
        <w:rPr>
          <w:rFonts w:hint="eastAsia" w:ascii="宋体" w:hAnsi="宋体" w:cs="宋体"/>
          <w:color w:val="auto"/>
          <w:kern w:val="0"/>
          <w:szCs w:val="21"/>
          <w:u w:val="single"/>
        </w:rPr>
      </w:pPr>
      <w:r>
        <w:rPr>
          <w:rFonts w:hint="eastAsia" w:ascii="宋体" w:hAnsi="宋体" w:cs="宋体"/>
          <w:color w:val="auto"/>
          <w:kern w:val="0"/>
          <w:szCs w:val="21"/>
        </w:rPr>
        <w:t>（2）</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5E9C9690">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（二）我方的保证范围是主合同约定的合同价款总额的</w:t>
      </w:r>
      <w:r>
        <w:rPr>
          <w:rFonts w:hint="eastAsia" w:ascii="宋体" w:hAnsi="宋体" w:cs="宋体"/>
          <w:color w:val="auto"/>
          <w:kern w:val="0"/>
          <w:szCs w:val="21"/>
          <w:u w:val="single"/>
        </w:rPr>
        <w:t xml:space="preserve">   </w:t>
      </w:r>
      <w:r>
        <w:rPr>
          <w:rFonts w:hint="eastAsia" w:ascii="宋体" w:hAnsi="宋体" w:cs="宋体"/>
          <w:color w:val="auto"/>
          <w:kern w:val="0"/>
          <w:szCs w:val="21"/>
        </w:rPr>
        <w:t>%数额为</w:t>
      </w:r>
      <w:r>
        <w:rPr>
          <w:rFonts w:hint="eastAsia" w:ascii="宋体" w:hAnsi="宋体" w:cs="宋体"/>
          <w:color w:val="auto"/>
          <w:kern w:val="0"/>
          <w:szCs w:val="21"/>
          <w:u w:val="single"/>
        </w:rPr>
        <w:t xml:space="preserve">      </w:t>
      </w:r>
      <w:r>
        <w:rPr>
          <w:rFonts w:hint="eastAsia" w:ascii="宋体" w:hAnsi="宋体" w:cs="宋体"/>
          <w:color w:val="auto"/>
          <w:kern w:val="0"/>
          <w:szCs w:val="21"/>
        </w:rPr>
        <w:t>元（大写</w:t>
      </w:r>
      <w:r>
        <w:rPr>
          <w:rFonts w:hint="eastAsia" w:ascii="宋体" w:hAnsi="宋体" w:cs="宋体"/>
          <w:color w:val="auto"/>
          <w:kern w:val="0"/>
          <w:szCs w:val="21"/>
          <w:u w:val="single"/>
        </w:rPr>
        <w:t xml:space="preserve">                  </w:t>
      </w:r>
      <w:r>
        <w:rPr>
          <w:rFonts w:hint="eastAsia" w:ascii="宋体" w:hAnsi="宋体" w:cs="宋体"/>
          <w:color w:val="auto"/>
          <w:kern w:val="0"/>
          <w:szCs w:val="21"/>
        </w:rPr>
        <w:t>），币种为</w:t>
      </w:r>
      <w:r>
        <w:rPr>
          <w:rFonts w:hint="eastAsia" w:ascii="宋体" w:hAnsi="宋体" w:cs="宋体"/>
          <w:color w:val="auto"/>
          <w:kern w:val="0"/>
          <w:szCs w:val="21"/>
          <w:u w:val="single"/>
        </w:rPr>
        <w:t xml:space="preserve">        </w:t>
      </w:r>
      <w:r>
        <w:rPr>
          <w:rFonts w:hint="eastAsia" w:ascii="宋体" w:hAnsi="宋体" w:cs="宋体"/>
          <w:color w:val="auto"/>
          <w:kern w:val="0"/>
          <w:szCs w:val="21"/>
        </w:rPr>
        <w:t>。（即主合同履约保证金金额）</w:t>
      </w:r>
    </w:p>
    <w:p w14:paraId="28646ED6">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二、保证的方式及保证期间 </w:t>
      </w:r>
    </w:p>
    <w:p w14:paraId="1EC0F20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我方保证的方式为：连带责任保证。 </w:t>
      </w:r>
    </w:p>
    <w:p w14:paraId="7EA2C482">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我方保证的期间为：自本合同生效之日起至供应商按照主合同约定的供货/完工期限届满后</w:t>
      </w:r>
      <w:r>
        <w:rPr>
          <w:rFonts w:hint="eastAsia" w:ascii="宋体" w:hAnsi="宋体" w:cs="宋体"/>
          <w:color w:val="auto"/>
          <w:kern w:val="0"/>
          <w:szCs w:val="21"/>
          <w:u w:val="single"/>
        </w:rPr>
        <w:t xml:space="preserve">    </w:t>
      </w:r>
      <w:r>
        <w:rPr>
          <w:rFonts w:hint="eastAsia" w:ascii="宋体" w:hAnsi="宋体" w:cs="宋体"/>
          <w:color w:val="auto"/>
          <w:kern w:val="0"/>
          <w:szCs w:val="21"/>
        </w:rPr>
        <w:t>日内。</w:t>
      </w:r>
    </w:p>
    <w:p w14:paraId="2083E03C">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如果供应商未按主合同约定向贵方供应货物/提供服务/完成工程的，由我方在保证金额内向你方支付上述款项。 </w:t>
      </w:r>
    </w:p>
    <w:p w14:paraId="4BD22BC6">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三、承担保证责任的程序</w:t>
      </w:r>
    </w:p>
    <w:p w14:paraId="6E9C898F">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2CBECC1F">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如果你方与供应商因货物质量问题产生争议，你方还需同时提供</w:t>
      </w:r>
      <w:r>
        <w:rPr>
          <w:rFonts w:hint="eastAsia" w:ascii="宋体" w:hAnsi="宋体" w:cs="宋体"/>
          <w:color w:val="auto"/>
          <w:kern w:val="0"/>
          <w:szCs w:val="21"/>
          <w:u w:val="single"/>
        </w:rPr>
        <w:t xml:space="preserve">        </w:t>
      </w:r>
      <w:r>
        <w:rPr>
          <w:rFonts w:hint="eastAsia" w:ascii="宋体" w:hAnsi="宋体" w:cs="宋体"/>
          <w:color w:val="auto"/>
          <w:kern w:val="0"/>
          <w:szCs w:val="21"/>
        </w:rPr>
        <w:t>部门出具的质量检测报告，或经诉讼（仲裁）程序裁决后的裁决书、调解书，本保证人即按照检测结果或裁决书、调解书决定是否承担保证责任。</w:t>
      </w:r>
    </w:p>
    <w:p w14:paraId="5D66EDB4">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2．我方收到你方的书面索赔通知及相应证明材料，在</w:t>
      </w:r>
      <w:r>
        <w:rPr>
          <w:rFonts w:hint="eastAsia" w:ascii="宋体" w:hAnsi="宋体" w:cs="宋体"/>
          <w:color w:val="auto"/>
          <w:kern w:val="0"/>
          <w:szCs w:val="21"/>
          <w:u w:val="single"/>
        </w:rPr>
        <w:t xml:space="preserve">    </w:t>
      </w:r>
      <w:r>
        <w:rPr>
          <w:rFonts w:hint="eastAsia" w:ascii="宋体" w:hAnsi="宋体" w:cs="宋体"/>
          <w:color w:val="auto"/>
          <w:kern w:val="0"/>
          <w:szCs w:val="21"/>
        </w:rPr>
        <w:t>工作日内进行核定后按照本保函的承诺承担保证责任。</w:t>
      </w:r>
    </w:p>
    <w:p w14:paraId="1FF22DA1">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四、保证责任的终止</w:t>
      </w:r>
    </w:p>
    <w:p w14:paraId="5FF12DF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1EE0DE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2．我方按照本保函向你方履行了保证责任后，自我方向你方支付款项（支付款项从我方账户划出）之日起，保证责任即终止。</w:t>
      </w:r>
    </w:p>
    <w:p w14:paraId="6441A3D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3．按照法律法规的规定或出现应终止我方保证责任的其它情形的，我方在本保函项下的保证责任亦终止。</w:t>
      </w:r>
    </w:p>
    <w:p w14:paraId="3C950F52">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238BFF8E">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五、免责条款</w:t>
      </w:r>
    </w:p>
    <w:p w14:paraId="42890E1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1．因你方违反主合同约定致使供应商不能履行义务的，我方不承担保证责任。</w:t>
      </w:r>
    </w:p>
    <w:p w14:paraId="206BEFFD">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2．依照法律法规的规定或你方与供应商的另行约定，全部或者部分免除供应商应缴纳的保证金义务的，我方亦免除相应的保证责任。</w:t>
      </w:r>
    </w:p>
    <w:p w14:paraId="578E4B1E">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3．因不可抗力造成供应商不能履行供货义务的，我方不承担保证责任。</w:t>
      </w:r>
    </w:p>
    <w:p w14:paraId="385CD5CF">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六、争议的解决</w:t>
      </w:r>
    </w:p>
    <w:p w14:paraId="5876903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因本保函发生的纠纷，由你我双方协商解决，协商不成的，通过诉讼程序解决，诉讼管辖地法院为</w:t>
      </w:r>
      <w:r>
        <w:rPr>
          <w:rFonts w:hint="eastAsia" w:ascii="宋体" w:hAnsi="宋体" w:cs="宋体"/>
          <w:color w:val="auto"/>
          <w:kern w:val="0"/>
          <w:szCs w:val="21"/>
          <w:u w:val="single"/>
        </w:rPr>
        <w:t xml:space="preserve">          </w:t>
      </w:r>
      <w:r>
        <w:rPr>
          <w:rFonts w:hint="eastAsia" w:ascii="宋体" w:hAnsi="宋体" w:cs="宋体"/>
          <w:color w:val="auto"/>
          <w:kern w:val="0"/>
          <w:szCs w:val="21"/>
        </w:rPr>
        <w:t>法院。</w:t>
      </w:r>
    </w:p>
    <w:p w14:paraId="19D32152">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七、保函的生效 </w:t>
      </w:r>
    </w:p>
    <w:p w14:paraId="66A0708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本保函自我方加盖公章之日起生效。 </w:t>
      </w:r>
    </w:p>
    <w:p w14:paraId="5DA3035C">
      <w:pPr>
        <w:tabs>
          <w:tab w:val="left" w:pos="2850"/>
        </w:tabs>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ascii="宋体" w:hAnsi="宋体" w:cs="宋体"/>
          <w:color w:val="auto"/>
          <w:kern w:val="0"/>
          <w:szCs w:val="21"/>
        </w:rPr>
        <w:tab/>
      </w:r>
      <w:r>
        <w:rPr>
          <w:rFonts w:hint="eastAsia" w:ascii="宋体" w:hAnsi="宋体" w:cs="宋体"/>
          <w:color w:val="auto"/>
          <w:kern w:val="0"/>
          <w:szCs w:val="21"/>
        </w:rPr>
        <w:t xml:space="preserve">          保证人：（公章） </w:t>
      </w:r>
    </w:p>
    <w:p w14:paraId="46F4FF59">
      <w:pPr>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0BF6038C">
      <w:pPr>
        <w:spacing w:line="360" w:lineRule="auto"/>
        <w:rPr>
          <w:color w:val="auto"/>
        </w:rPr>
      </w:pPr>
    </w:p>
    <w:p w14:paraId="7967DD50">
      <w:pPr>
        <w:spacing w:line="360" w:lineRule="auto"/>
        <w:rPr>
          <w:color w:val="auto"/>
        </w:rPr>
      </w:pPr>
    </w:p>
    <w:p w14:paraId="0EC84D4D">
      <w:pPr>
        <w:spacing w:line="360" w:lineRule="auto"/>
        <w:rPr>
          <w:color w:val="auto"/>
        </w:rPr>
      </w:pPr>
    </w:p>
    <w:p w14:paraId="76739ABB">
      <w:pPr>
        <w:spacing w:line="360" w:lineRule="auto"/>
        <w:rPr>
          <w:color w:val="auto"/>
        </w:rPr>
      </w:pPr>
    </w:p>
    <w:p w14:paraId="3EF86257">
      <w:pPr>
        <w:spacing w:line="360" w:lineRule="auto"/>
        <w:rPr>
          <w:color w:val="auto"/>
        </w:rPr>
      </w:pPr>
    </w:p>
    <w:p w14:paraId="5C49E642">
      <w:pPr>
        <w:spacing w:line="360" w:lineRule="auto"/>
        <w:rPr>
          <w:color w:val="auto"/>
        </w:rPr>
      </w:pPr>
    </w:p>
    <w:p w14:paraId="072791AF">
      <w:pPr>
        <w:spacing w:line="360" w:lineRule="auto"/>
        <w:rPr>
          <w:color w:val="auto"/>
        </w:rPr>
      </w:pPr>
    </w:p>
    <w:p w14:paraId="7B8B3C28">
      <w:pPr>
        <w:spacing w:line="360" w:lineRule="auto"/>
        <w:rPr>
          <w:color w:val="auto"/>
        </w:rPr>
      </w:pPr>
    </w:p>
    <w:p w14:paraId="35DF2F6C">
      <w:pPr>
        <w:spacing w:line="360" w:lineRule="auto"/>
        <w:rPr>
          <w:color w:val="auto"/>
        </w:rPr>
      </w:pPr>
    </w:p>
    <w:p w14:paraId="548899AF">
      <w:pPr>
        <w:spacing w:line="360" w:lineRule="auto"/>
        <w:rPr>
          <w:color w:val="auto"/>
        </w:rPr>
      </w:pPr>
    </w:p>
    <w:p w14:paraId="098CBDA8">
      <w:pPr>
        <w:spacing w:line="360" w:lineRule="auto"/>
        <w:jc w:val="left"/>
        <w:rPr>
          <w:color w:val="auto"/>
        </w:rPr>
        <w:sectPr>
          <w:pgSz w:w="11906" w:h="16838"/>
          <w:pgMar w:top="1440" w:right="1531" w:bottom="1440" w:left="1531" w:header="851" w:footer="992" w:gutter="0"/>
          <w:pgNumType w:fmt="decimal"/>
          <w:cols w:space="720" w:num="1"/>
          <w:docGrid w:type="lines" w:linePitch="312" w:charSpace="0"/>
        </w:sectPr>
      </w:pPr>
    </w:p>
    <w:p w14:paraId="42D48F62">
      <w:pPr>
        <w:keepNext w:val="0"/>
        <w:keepLines w:val="0"/>
        <w:pageBreakBefore w:val="0"/>
        <w:kinsoku/>
        <w:wordWrap/>
        <w:overflowPunct/>
        <w:topLinePunct w:val="0"/>
        <w:autoSpaceDE/>
        <w:autoSpaceDN/>
        <w:bidi w:val="0"/>
        <w:spacing w:line="360" w:lineRule="exact"/>
        <w:rPr>
          <w:rFonts w:hint="eastAsia" w:ascii="宋体" w:hAnsi="宋体" w:eastAsia="宋体" w:cs="宋体"/>
          <w:b/>
          <w:bCs/>
          <w:sz w:val="24"/>
          <w:szCs w:val="24"/>
        </w:rPr>
      </w:pPr>
      <w:r>
        <w:rPr>
          <w:rFonts w:hint="eastAsia" w:ascii="宋体" w:hAnsi="宋体"/>
          <w:b/>
          <w:bCs/>
          <w:color w:val="auto"/>
          <w:szCs w:val="21"/>
        </w:rPr>
        <w:t>附页</w:t>
      </w:r>
      <w:r>
        <w:rPr>
          <w:rFonts w:ascii="宋体" w:hAnsi="宋体"/>
          <w:b/>
          <w:bCs/>
          <w:color w:val="auto"/>
          <w:szCs w:val="21"/>
        </w:rPr>
        <w:t>4</w:t>
      </w:r>
      <w:r>
        <w:rPr>
          <w:rFonts w:ascii="宋体" w:hAnsi="宋体" w:cs="宋体"/>
          <w:b/>
          <w:color w:val="auto"/>
          <w:szCs w:val="21"/>
        </w:rPr>
        <w:t xml:space="preserve">           </w:t>
      </w:r>
    </w:p>
    <w:tbl>
      <w:tblPr>
        <w:tblStyle w:val="20"/>
        <w:tblW w:w="5029" w:type="pct"/>
        <w:jc w:val="center"/>
        <w:tblLayout w:type="autofit"/>
        <w:tblCellMar>
          <w:top w:w="0" w:type="dxa"/>
          <w:left w:w="108" w:type="dxa"/>
          <w:bottom w:w="0" w:type="dxa"/>
          <w:right w:w="108" w:type="dxa"/>
        </w:tblCellMar>
      </w:tblPr>
      <w:tblGrid>
        <w:gridCol w:w="3899"/>
        <w:gridCol w:w="2269"/>
        <w:gridCol w:w="2945"/>
      </w:tblGrid>
      <w:tr w14:paraId="0645BCDF">
        <w:tblPrEx>
          <w:tblCellMar>
            <w:top w:w="0" w:type="dxa"/>
            <w:left w:w="108" w:type="dxa"/>
            <w:bottom w:w="0" w:type="dxa"/>
            <w:right w:w="108" w:type="dxa"/>
          </w:tblCellMar>
        </w:tblPrEx>
        <w:trPr>
          <w:trHeight w:val="537"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vAlign w:val="center"/>
          </w:tcPr>
          <w:p w14:paraId="698B61C9">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color w:val="auto"/>
                <w:sz w:val="21"/>
                <w:szCs w:val="21"/>
              </w:rPr>
              <w:t>竞争性磋商综合评分法</w:t>
            </w:r>
          </w:p>
        </w:tc>
      </w:tr>
      <w:tr w14:paraId="05A5853C">
        <w:tblPrEx>
          <w:tblCellMar>
            <w:top w:w="0" w:type="dxa"/>
            <w:left w:w="108" w:type="dxa"/>
            <w:bottom w:w="0" w:type="dxa"/>
            <w:right w:w="108" w:type="dxa"/>
          </w:tblCellMar>
        </w:tblPrEx>
        <w:trPr>
          <w:trHeight w:val="90" w:hRule="atLeast"/>
          <w:jc w:val="center"/>
        </w:trPr>
        <w:tc>
          <w:tcPr>
            <w:tcW w:w="2139" w:type="pct"/>
            <w:tcBorders>
              <w:top w:val="single" w:color="000000" w:sz="4" w:space="0"/>
              <w:left w:val="single" w:color="000000" w:sz="4" w:space="0"/>
              <w:bottom w:val="single" w:color="000000" w:sz="4" w:space="0"/>
              <w:right w:val="nil"/>
            </w:tcBorders>
            <w:vAlign w:val="center"/>
          </w:tcPr>
          <w:p w14:paraId="10477987">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采购项目定标方式</w:t>
            </w:r>
          </w:p>
        </w:tc>
        <w:tc>
          <w:tcPr>
            <w:tcW w:w="2860" w:type="pct"/>
            <w:gridSpan w:val="2"/>
            <w:tcBorders>
              <w:top w:val="single" w:color="000000" w:sz="4" w:space="0"/>
              <w:left w:val="single" w:color="000000" w:sz="4" w:space="0"/>
              <w:bottom w:val="single" w:color="000000" w:sz="4" w:space="0"/>
              <w:right w:val="single" w:color="000000" w:sz="4" w:space="0"/>
            </w:tcBorders>
            <w:vAlign w:val="center"/>
          </w:tcPr>
          <w:p w14:paraId="7BEBEB73">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整包</w:t>
            </w:r>
          </w:p>
        </w:tc>
      </w:tr>
      <w:tr w14:paraId="4B2EE626">
        <w:tblPrEx>
          <w:tblCellMar>
            <w:top w:w="0" w:type="dxa"/>
            <w:left w:w="108" w:type="dxa"/>
            <w:bottom w:w="0" w:type="dxa"/>
            <w:right w:w="108" w:type="dxa"/>
          </w:tblCellMar>
        </w:tblPrEx>
        <w:trPr>
          <w:trHeight w:val="494"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vAlign w:val="center"/>
          </w:tcPr>
          <w:p w14:paraId="0582E1EF">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评审因素及权值</w:t>
            </w:r>
          </w:p>
        </w:tc>
      </w:tr>
      <w:tr w14:paraId="6D5333C6">
        <w:tblPrEx>
          <w:tblCellMar>
            <w:top w:w="0" w:type="dxa"/>
            <w:left w:w="108" w:type="dxa"/>
            <w:bottom w:w="0" w:type="dxa"/>
            <w:right w:w="108" w:type="dxa"/>
          </w:tblCellMar>
        </w:tblPrEx>
        <w:trPr>
          <w:trHeight w:val="446" w:hRule="atLeast"/>
          <w:jc w:val="center"/>
        </w:trPr>
        <w:tc>
          <w:tcPr>
            <w:tcW w:w="2139" w:type="pct"/>
            <w:tcBorders>
              <w:top w:val="single" w:color="000000" w:sz="4" w:space="0"/>
              <w:left w:val="single" w:color="000000" w:sz="4" w:space="0"/>
              <w:bottom w:val="single" w:color="000000" w:sz="4" w:space="0"/>
              <w:right w:val="nil"/>
            </w:tcBorders>
            <w:vAlign w:val="center"/>
          </w:tcPr>
          <w:p w14:paraId="15B90DCE">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评审因素</w:t>
            </w:r>
          </w:p>
        </w:tc>
        <w:tc>
          <w:tcPr>
            <w:tcW w:w="1245" w:type="pct"/>
            <w:tcBorders>
              <w:top w:val="single" w:color="000000" w:sz="4" w:space="0"/>
              <w:left w:val="single" w:color="000000" w:sz="6" w:space="0"/>
              <w:bottom w:val="single" w:color="000000" w:sz="4" w:space="0"/>
              <w:right w:val="single" w:color="auto" w:sz="4" w:space="0"/>
            </w:tcBorders>
            <w:vAlign w:val="center"/>
          </w:tcPr>
          <w:p w14:paraId="23F6112D">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权值范围</w:t>
            </w:r>
          </w:p>
        </w:tc>
        <w:tc>
          <w:tcPr>
            <w:tcW w:w="1614" w:type="pct"/>
            <w:tcBorders>
              <w:top w:val="single" w:color="000000" w:sz="4" w:space="0"/>
              <w:left w:val="single" w:color="auto" w:sz="4" w:space="0"/>
              <w:bottom w:val="single" w:color="000000" w:sz="4" w:space="0"/>
              <w:right w:val="single" w:color="000000" w:sz="4" w:space="0"/>
            </w:tcBorders>
            <w:vAlign w:val="center"/>
          </w:tcPr>
          <w:p w14:paraId="064BEBB6">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分值（A）</w:t>
            </w:r>
          </w:p>
        </w:tc>
      </w:tr>
      <w:tr w14:paraId="05FC474D">
        <w:tblPrEx>
          <w:tblCellMar>
            <w:top w:w="0" w:type="dxa"/>
            <w:left w:w="108" w:type="dxa"/>
            <w:bottom w:w="0" w:type="dxa"/>
            <w:right w:w="108" w:type="dxa"/>
          </w:tblCellMar>
        </w:tblPrEx>
        <w:trPr>
          <w:trHeight w:val="438" w:hRule="atLeast"/>
          <w:jc w:val="center"/>
        </w:trPr>
        <w:tc>
          <w:tcPr>
            <w:tcW w:w="2139" w:type="pct"/>
            <w:tcBorders>
              <w:top w:val="single" w:color="000000" w:sz="4" w:space="0"/>
              <w:left w:val="single" w:color="000000" w:sz="4" w:space="0"/>
              <w:bottom w:val="single" w:color="000000" w:sz="4" w:space="0"/>
              <w:right w:val="nil"/>
            </w:tcBorders>
            <w:vAlign w:val="center"/>
          </w:tcPr>
          <w:p w14:paraId="2D031A00">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商务部分</w:t>
            </w:r>
          </w:p>
        </w:tc>
        <w:tc>
          <w:tcPr>
            <w:tcW w:w="1245" w:type="pct"/>
            <w:tcBorders>
              <w:top w:val="single" w:color="000000" w:sz="4" w:space="0"/>
              <w:left w:val="single" w:color="000000" w:sz="6" w:space="0"/>
              <w:bottom w:val="single" w:color="000000" w:sz="4" w:space="0"/>
              <w:right w:val="single" w:color="auto" w:sz="4" w:space="0"/>
            </w:tcBorders>
            <w:vAlign w:val="center"/>
          </w:tcPr>
          <w:p w14:paraId="1CC577CA">
            <w:pPr>
              <w:pStyle w:val="9"/>
              <w:keepNext w:val="0"/>
              <w:keepLines w:val="0"/>
              <w:pageBreakBefore w:val="0"/>
              <w:kinsoku/>
              <w:wordWrap/>
              <w:overflowPunct/>
              <w:topLinePunct w:val="0"/>
              <w:autoSpaceDE/>
              <w:autoSpaceDN/>
              <w:bidi w:val="0"/>
              <w:spacing w:line="360" w:lineRule="exact"/>
              <w:jc w:val="center"/>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rPr>
              <w:t>F1=0.</w:t>
            </w:r>
            <w:r>
              <w:rPr>
                <w:rFonts w:hint="eastAsia" w:ascii="宋体" w:hAnsi="宋体" w:cs="宋体"/>
                <w:b w:val="0"/>
                <w:bCs w:val="0"/>
                <w:sz w:val="21"/>
                <w:szCs w:val="21"/>
                <w:lang w:val="en-US" w:eastAsia="zh-CN"/>
              </w:rPr>
              <w:t>24</w:t>
            </w:r>
          </w:p>
        </w:tc>
        <w:tc>
          <w:tcPr>
            <w:tcW w:w="1614" w:type="pct"/>
            <w:tcBorders>
              <w:top w:val="single" w:color="000000" w:sz="4" w:space="0"/>
              <w:left w:val="single" w:color="auto" w:sz="4" w:space="0"/>
              <w:bottom w:val="single" w:color="000000" w:sz="4" w:space="0"/>
              <w:right w:val="single" w:color="000000" w:sz="4" w:space="0"/>
            </w:tcBorders>
            <w:vAlign w:val="center"/>
          </w:tcPr>
          <w:p w14:paraId="7CC9D205">
            <w:pPr>
              <w:pStyle w:val="9"/>
              <w:keepNext w:val="0"/>
              <w:keepLines w:val="0"/>
              <w:pageBreakBefore w:val="0"/>
              <w:kinsoku/>
              <w:wordWrap/>
              <w:overflowPunct/>
              <w:topLinePunct w:val="0"/>
              <w:autoSpaceDE/>
              <w:autoSpaceDN/>
              <w:bidi w:val="0"/>
              <w:spacing w:line="360" w:lineRule="exact"/>
              <w:jc w:val="center"/>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18</w:t>
            </w:r>
          </w:p>
        </w:tc>
      </w:tr>
      <w:tr w14:paraId="2BFB634A">
        <w:tblPrEx>
          <w:tblCellMar>
            <w:top w:w="0" w:type="dxa"/>
            <w:left w:w="108" w:type="dxa"/>
            <w:bottom w:w="0" w:type="dxa"/>
            <w:right w:w="108" w:type="dxa"/>
          </w:tblCellMar>
        </w:tblPrEx>
        <w:trPr>
          <w:trHeight w:val="431" w:hRule="atLeast"/>
          <w:jc w:val="center"/>
        </w:trPr>
        <w:tc>
          <w:tcPr>
            <w:tcW w:w="2139" w:type="pct"/>
            <w:tcBorders>
              <w:top w:val="single" w:color="000000" w:sz="4" w:space="0"/>
              <w:left w:val="single" w:color="000000" w:sz="4" w:space="0"/>
              <w:bottom w:val="single" w:color="000000" w:sz="4" w:space="0"/>
              <w:right w:val="nil"/>
            </w:tcBorders>
            <w:vAlign w:val="center"/>
          </w:tcPr>
          <w:p w14:paraId="50379A72">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技术部分</w:t>
            </w:r>
          </w:p>
        </w:tc>
        <w:tc>
          <w:tcPr>
            <w:tcW w:w="1245" w:type="pct"/>
            <w:tcBorders>
              <w:top w:val="single" w:color="000000" w:sz="4" w:space="0"/>
              <w:left w:val="single" w:color="000000" w:sz="6" w:space="0"/>
              <w:bottom w:val="single" w:color="000000" w:sz="4" w:space="0"/>
              <w:right w:val="single" w:color="auto" w:sz="4" w:space="0"/>
            </w:tcBorders>
            <w:vAlign w:val="center"/>
          </w:tcPr>
          <w:p w14:paraId="77DF746C">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F2=0.4</w:t>
            </w:r>
            <w:r>
              <w:rPr>
                <w:rFonts w:hint="eastAsia" w:ascii="宋体" w:hAnsi="宋体" w:cs="宋体"/>
                <w:b w:val="0"/>
                <w:bCs w:val="0"/>
                <w:sz w:val="21"/>
                <w:szCs w:val="21"/>
                <w:lang w:val="en-US" w:eastAsia="zh-CN"/>
              </w:rPr>
              <w:t>6</w:t>
            </w:r>
          </w:p>
        </w:tc>
        <w:tc>
          <w:tcPr>
            <w:tcW w:w="1614" w:type="pct"/>
            <w:tcBorders>
              <w:top w:val="single" w:color="000000" w:sz="4" w:space="0"/>
              <w:left w:val="single" w:color="auto" w:sz="4" w:space="0"/>
              <w:bottom w:val="single" w:color="000000" w:sz="4" w:space="0"/>
              <w:right w:val="single" w:color="000000" w:sz="4" w:space="0"/>
            </w:tcBorders>
            <w:vAlign w:val="center"/>
          </w:tcPr>
          <w:p w14:paraId="17A87ABD">
            <w:pPr>
              <w:pStyle w:val="9"/>
              <w:keepNext w:val="0"/>
              <w:keepLines w:val="0"/>
              <w:pageBreakBefore w:val="0"/>
              <w:kinsoku/>
              <w:wordWrap/>
              <w:overflowPunct/>
              <w:topLinePunct w:val="0"/>
              <w:autoSpaceDE/>
              <w:autoSpaceDN/>
              <w:bidi w:val="0"/>
              <w:spacing w:line="360" w:lineRule="exact"/>
              <w:jc w:val="center"/>
              <w:rPr>
                <w:rFonts w:hint="default"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52</w:t>
            </w:r>
          </w:p>
        </w:tc>
      </w:tr>
      <w:tr w14:paraId="2477027A">
        <w:tblPrEx>
          <w:tblCellMar>
            <w:top w:w="0" w:type="dxa"/>
            <w:left w:w="108" w:type="dxa"/>
            <w:bottom w:w="0" w:type="dxa"/>
            <w:right w:w="108" w:type="dxa"/>
          </w:tblCellMar>
        </w:tblPrEx>
        <w:trPr>
          <w:trHeight w:val="455" w:hRule="atLeast"/>
          <w:jc w:val="center"/>
        </w:trPr>
        <w:tc>
          <w:tcPr>
            <w:tcW w:w="2139" w:type="pct"/>
            <w:tcBorders>
              <w:top w:val="single" w:color="000000" w:sz="4" w:space="0"/>
              <w:left w:val="single" w:color="000000" w:sz="4" w:space="0"/>
              <w:bottom w:val="single" w:color="000000" w:sz="4" w:space="0"/>
              <w:right w:val="nil"/>
            </w:tcBorders>
            <w:vAlign w:val="center"/>
          </w:tcPr>
          <w:p w14:paraId="08A0E469">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价格部分</w:t>
            </w:r>
          </w:p>
        </w:tc>
        <w:tc>
          <w:tcPr>
            <w:tcW w:w="1245" w:type="pct"/>
            <w:tcBorders>
              <w:top w:val="single" w:color="000000" w:sz="4" w:space="0"/>
              <w:left w:val="single" w:color="000000" w:sz="6" w:space="0"/>
              <w:bottom w:val="single" w:color="000000" w:sz="4" w:space="0"/>
              <w:right w:val="single" w:color="auto" w:sz="4" w:space="0"/>
            </w:tcBorders>
            <w:vAlign w:val="center"/>
          </w:tcPr>
          <w:p w14:paraId="625A00DB">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F3=0.</w:t>
            </w:r>
            <w:r>
              <w:rPr>
                <w:rFonts w:hint="eastAsia" w:ascii="宋体" w:hAnsi="宋体" w:cs="宋体"/>
                <w:b w:val="0"/>
                <w:bCs w:val="0"/>
                <w:sz w:val="21"/>
                <w:szCs w:val="21"/>
                <w:lang w:val="en-US" w:eastAsia="zh-CN"/>
              </w:rPr>
              <w:t>3</w:t>
            </w:r>
            <w:r>
              <w:rPr>
                <w:rFonts w:hint="eastAsia" w:ascii="宋体" w:hAnsi="宋体" w:eastAsia="宋体" w:cs="宋体"/>
                <w:b w:val="0"/>
                <w:bCs w:val="0"/>
                <w:sz w:val="21"/>
                <w:szCs w:val="21"/>
              </w:rPr>
              <w:t>0</w:t>
            </w:r>
          </w:p>
        </w:tc>
        <w:tc>
          <w:tcPr>
            <w:tcW w:w="1614" w:type="pct"/>
            <w:tcBorders>
              <w:top w:val="single" w:color="000000" w:sz="4" w:space="0"/>
              <w:left w:val="single" w:color="auto" w:sz="4" w:space="0"/>
              <w:bottom w:val="single" w:color="000000" w:sz="4" w:space="0"/>
              <w:right w:val="single" w:color="000000" w:sz="4" w:space="0"/>
            </w:tcBorders>
            <w:vAlign w:val="center"/>
          </w:tcPr>
          <w:p w14:paraId="24583B6D">
            <w:pPr>
              <w:pStyle w:val="9"/>
              <w:keepNext w:val="0"/>
              <w:keepLines w:val="0"/>
              <w:pageBreakBefore w:val="0"/>
              <w:kinsoku/>
              <w:wordWrap/>
              <w:overflowPunct/>
              <w:topLinePunct w:val="0"/>
              <w:autoSpaceDE/>
              <w:autoSpaceDN/>
              <w:bidi w:val="0"/>
              <w:spacing w:line="360" w:lineRule="exact"/>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30</w:t>
            </w:r>
          </w:p>
        </w:tc>
      </w:tr>
    </w:tbl>
    <w:tbl>
      <w:tblPr>
        <w:tblStyle w:val="20"/>
        <w:tblpPr w:leftFromText="180" w:rightFromText="180" w:vertAnchor="text" w:horzAnchor="page" w:tblpX="1576" w:tblpY="358"/>
        <w:tblOverlap w:val="never"/>
        <w:tblW w:w="511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1015"/>
        <w:gridCol w:w="731"/>
        <w:gridCol w:w="6638"/>
      </w:tblGrid>
      <w:tr w14:paraId="54221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481" w:type="pct"/>
            <w:vAlign w:val="center"/>
          </w:tcPr>
          <w:p w14:paraId="0B26654A">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分类</w:t>
            </w:r>
          </w:p>
        </w:tc>
        <w:tc>
          <w:tcPr>
            <w:tcW w:w="547" w:type="pct"/>
            <w:vAlign w:val="center"/>
          </w:tcPr>
          <w:p w14:paraId="76CF86F4">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评审</w:t>
            </w:r>
          </w:p>
          <w:p w14:paraId="4240163B">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因素</w:t>
            </w:r>
          </w:p>
        </w:tc>
        <w:tc>
          <w:tcPr>
            <w:tcW w:w="394" w:type="pct"/>
            <w:vAlign w:val="center"/>
          </w:tcPr>
          <w:p w14:paraId="7E1DC39E">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权值</w:t>
            </w:r>
          </w:p>
        </w:tc>
        <w:tc>
          <w:tcPr>
            <w:tcW w:w="3576" w:type="pct"/>
            <w:vAlign w:val="center"/>
          </w:tcPr>
          <w:p w14:paraId="33205052">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评分标准</w:t>
            </w:r>
          </w:p>
        </w:tc>
      </w:tr>
      <w:tr w14:paraId="0C24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pct"/>
            <w:vAlign w:val="center"/>
          </w:tcPr>
          <w:p w14:paraId="101AA966">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报价</w:t>
            </w:r>
          </w:p>
          <w:p w14:paraId="67CF9C91">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部分</w:t>
            </w:r>
          </w:p>
          <w:p w14:paraId="3A851A74">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0分）</w:t>
            </w:r>
          </w:p>
        </w:tc>
        <w:tc>
          <w:tcPr>
            <w:tcW w:w="547" w:type="pct"/>
            <w:vAlign w:val="center"/>
          </w:tcPr>
          <w:p w14:paraId="66ED1CF2">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p>
          <w:p w14:paraId="0F40DA1E">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磋商</w:t>
            </w:r>
          </w:p>
          <w:p w14:paraId="0A004018">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报价</w:t>
            </w:r>
          </w:p>
          <w:p w14:paraId="4612F6BC">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p>
        </w:tc>
        <w:tc>
          <w:tcPr>
            <w:tcW w:w="394" w:type="pct"/>
            <w:vAlign w:val="center"/>
          </w:tcPr>
          <w:p w14:paraId="3852B3F9">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0分</w:t>
            </w:r>
          </w:p>
        </w:tc>
        <w:tc>
          <w:tcPr>
            <w:tcW w:w="3576" w:type="pct"/>
            <w:vAlign w:val="center"/>
          </w:tcPr>
          <w:p w14:paraId="53B699F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经磋商小组一致认定满足磋商文件要求且有效报价最低的供应商的价格为磋商基准价，其价格分为</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0分。其他有效供应商的价格得分统一按公式计算:</w:t>
            </w:r>
          </w:p>
          <w:p w14:paraId="405B59D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磋商报价得分=(磋商基准价÷最后磋商报价)×</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0。</w:t>
            </w:r>
          </w:p>
          <w:p w14:paraId="6AD2A2A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根据财库[2026]2号文件《财政部关于推动解决政府采购异常低价问题的通知》，供应商投标(响应)报价低于采购项目最高限价65%的属异常低价，按废标处理。</w:t>
            </w:r>
          </w:p>
        </w:tc>
      </w:tr>
      <w:tr w14:paraId="7BDA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81" w:type="pct"/>
            <w:vMerge w:val="restart"/>
            <w:vAlign w:val="center"/>
          </w:tcPr>
          <w:p w14:paraId="41997B1B">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技术</w:t>
            </w:r>
          </w:p>
          <w:p w14:paraId="60899890">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部分</w:t>
            </w:r>
          </w:p>
          <w:p w14:paraId="1CA0EEF8">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 w:val="21"/>
                <w:szCs w:val="21"/>
                <w:highlight w:val="none"/>
                <w:lang w:val="en-US" w:eastAsia="zh-CN"/>
              </w:rPr>
              <w:t>52</w:t>
            </w:r>
            <w:r>
              <w:rPr>
                <w:rFonts w:hint="eastAsia" w:ascii="宋体" w:hAnsi="宋体" w:eastAsia="宋体" w:cs="宋体"/>
                <w:b w:val="0"/>
                <w:bCs w:val="0"/>
                <w:color w:val="auto"/>
                <w:sz w:val="21"/>
                <w:szCs w:val="21"/>
                <w:highlight w:val="none"/>
              </w:rPr>
              <w:t>分）</w:t>
            </w:r>
          </w:p>
        </w:tc>
        <w:tc>
          <w:tcPr>
            <w:tcW w:w="547" w:type="pct"/>
            <w:vAlign w:val="center"/>
          </w:tcPr>
          <w:p w14:paraId="72181C0B">
            <w:pPr>
              <w:keepNext w:val="0"/>
              <w:keepLines w:val="0"/>
              <w:pageBreakBefore w:val="0"/>
              <w:widowControl/>
              <w:kinsoku w:val="0"/>
              <w:wordWrap/>
              <w:overflowPunct/>
              <w:topLinePunct w:val="0"/>
              <w:autoSpaceDE w:val="0"/>
              <w:autoSpaceDN w:val="0"/>
              <w:bidi w:val="0"/>
              <w:adjustRightInd w:val="0"/>
              <w:snapToGrid w:val="0"/>
              <w:spacing w:before="0" w:after="0" w:line="360" w:lineRule="exact"/>
              <w:ind w:left="0" w:leftChars="0" w:firstLine="0" w:firstLineChars="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技术满足招标文件技术要求程度</w:t>
            </w:r>
          </w:p>
        </w:tc>
        <w:tc>
          <w:tcPr>
            <w:tcW w:w="394" w:type="pct"/>
            <w:vAlign w:val="center"/>
          </w:tcPr>
          <w:p w14:paraId="574B40EB">
            <w:pPr>
              <w:keepNext w:val="0"/>
              <w:keepLines w:val="0"/>
              <w:pageBreakBefore w:val="0"/>
              <w:widowControl/>
              <w:kinsoku w:val="0"/>
              <w:wordWrap/>
              <w:overflowPunct/>
              <w:topLinePunct w:val="0"/>
              <w:autoSpaceDE w:val="0"/>
              <w:autoSpaceDN w:val="0"/>
              <w:bidi w:val="0"/>
              <w:adjustRightInd w:val="0"/>
              <w:snapToGrid w:val="0"/>
              <w:spacing w:before="0" w:after="0" w:line="360" w:lineRule="exact"/>
              <w:ind w:left="0" w:leftChars="0" w:firstLine="0" w:firstLineChars="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cs="宋体"/>
                <w:sz w:val="21"/>
                <w:szCs w:val="21"/>
                <w:highlight w:val="none"/>
                <w:lang w:val="en-US" w:eastAsia="zh-CN"/>
              </w:rPr>
              <w:t>18</w:t>
            </w:r>
            <w:r>
              <w:rPr>
                <w:rFonts w:hint="eastAsia" w:ascii="宋体" w:hAnsi="宋体" w:eastAsia="宋体" w:cs="宋体"/>
                <w:sz w:val="21"/>
                <w:szCs w:val="21"/>
                <w:highlight w:val="none"/>
              </w:rPr>
              <w:t>分</w:t>
            </w:r>
          </w:p>
        </w:tc>
        <w:tc>
          <w:tcPr>
            <w:tcW w:w="3576" w:type="pct"/>
            <w:vAlign w:val="center"/>
          </w:tcPr>
          <w:p w14:paraId="4A7B9D7C">
            <w:pPr>
              <w:pStyle w:val="8"/>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所投产品配置完全符合</w:t>
            </w:r>
            <w:r>
              <w:rPr>
                <w:rFonts w:hint="eastAsia" w:ascii="宋体" w:hAnsi="宋体" w:eastAsia="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rPr>
              <w:t>文件（</w:t>
            </w:r>
            <w:r>
              <w:rPr>
                <w:rFonts w:hint="eastAsia" w:ascii="宋体" w:hAnsi="宋体" w:eastAsia="宋体" w:cs="宋体"/>
                <w:b w:val="0"/>
                <w:bCs w:val="0"/>
                <w:color w:val="auto"/>
                <w:sz w:val="21"/>
                <w:szCs w:val="21"/>
                <w:highlight w:val="none"/>
                <w:lang w:val="en-US" w:eastAsia="zh-CN"/>
              </w:rPr>
              <w:t>采购需求</w:t>
            </w:r>
            <w:r>
              <w:rPr>
                <w:rFonts w:hint="eastAsia" w:ascii="宋体" w:hAnsi="宋体" w:eastAsia="宋体" w:cs="宋体"/>
                <w:b w:val="0"/>
                <w:bCs w:val="0"/>
                <w:color w:val="auto"/>
                <w:sz w:val="21"/>
                <w:szCs w:val="21"/>
                <w:highlight w:val="none"/>
              </w:rPr>
              <w:t>）的计</w:t>
            </w:r>
            <w:r>
              <w:rPr>
                <w:rFonts w:hint="eastAsia" w:ascii="宋体" w:hAnsi="宋体" w:cs="宋体"/>
                <w:b w:val="0"/>
                <w:bCs w:val="0"/>
                <w:color w:val="auto"/>
                <w:sz w:val="21"/>
                <w:szCs w:val="21"/>
                <w:highlight w:val="none"/>
                <w:lang w:val="en-US" w:eastAsia="zh-CN"/>
              </w:rPr>
              <w:t>18</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val="en-US" w:eastAsia="zh-CN"/>
              </w:rPr>
              <w:t>“▲”为重要技术指标参数；每出现一条负偏离扣</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分；非▲为一般技术指标参数，每出现一条负偏离扣</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分，扣完为止。</w:t>
            </w:r>
          </w:p>
          <w:p w14:paraId="771A802C">
            <w:pPr>
              <w:pStyle w:val="8"/>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注：所投产品的技术参数、性能缺项或负偏离；以及货物简要说明一览表、技术参数偏离表等性能描述与实际需求设备性能不一致；或者没有配置清单或者没有规格响应表；产品选型、综合性能、质量、技术水平及配置欠佳、配置不详；技术参数阐述不清楚、或者应答时缺项漏项；或要求提供证明材料未提供或提供的证明材料不清楚的不满足</w:t>
            </w:r>
            <w:r>
              <w:rPr>
                <w:rFonts w:hint="eastAsia" w:ascii="宋体" w:hAnsi="宋体" w:eastAsia="宋体" w:cs="宋体"/>
                <w:b/>
                <w:bCs/>
                <w:color w:val="auto"/>
                <w:sz w:val="21"/>
                <w:szCs w:val="21"/>
                <w:highlight w:val="none"/>
                <w:lang w:val="en-US" w:eastAsia="zh-CN"/>
              </w:rPr>
              <w:t>磋商</w:t>
            </w:r>
            <w:r>
              <w:rPr>
                <w:rFonts w:hint="eastAsia" w:ascii="宋体" w:hAnsi="宋体" w:eastAsia="宋体" w:cs="宋体"/>
                <w:b/>
                <w:bCs/>
                <w:color w:val="auto"/>
                <w:sz w:val="21"/>
                <w:szCs w:val="21"/>
                <w:highlight w:val="none"/>
              </w:rPr>
              <w:t>文件要求的，视同负偏离。</w:t>
            </w:r>
          </w:p>
        </w:tc>
      </w:tr>
      <w:tr w14:paraId="61E9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481" w:type="pct"/>
            <w:vMerge w:val="continue"/>
            <w:vAlign w:val="center"/>
          </w:tcPr>
          <w:p w14:paraId="253C6377">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p>
        </w:tc>
        <w:tc>
          <w:tcPr>
            <w:tcW w:w="547" w:type="pct"/>
            <w:vAlign w:val="center"/>
          </w:tcPr>
          <w:p w14:paraId="4B424153">
            <w:pPr>
              <w:pStyle w:val="28"/>
              <w:keepNext w:val="0"/>
              <w:keepLines w:val="0"/>
              <w:pageBreakBefore w:val="0"/>
              <w:overflowPunct/>
              <w:bidi w:val="0"/>
              <w:spacing w:line="360" w:lineRule="exact"/>
              <w:ind w:firstLine="0" w:firstLineChars="0"/>
              <w:jc w:val="center"/>
              <w:rPr>
                <w:rFonts w:hint="eastAsia" w:ascii="宋体" w:hAnsi="宋体" w:cs="宋体"/>
                <w:szCs w:val="21"/>
              </w:rPr>
            </w:pPr>
          </w:p>
          <w:p w14:paraId="7072BD76">
            <w:pPr>
              <w:pStyle w:val="28"/>
              <w:keepNext w:val="0"/>
              <w:keepLines w:val="0"/>
              <w:pageBreakBefore w:val="0"/>
              <w:overflowPunct/>
              <w:bidi w:val="0"/>
              <w:spacing w:line="360" w:lineRule="exact"/>
              <w:ind w:firstLine="0" w:firstLineChars="0"/>
              <w:jc w:val="center"/>
              <w:rPr>
                <w:rFonts w:hint="default" w:ascii="宋体" w:hAnsi="宋体" w:cs="宋体" w:eastAsiaTheme="minorEastAsia"/>
                <w:szCs w:val="21"/>
                <w:lang w:val="en-US" w:eastAsia="zh-CN"/>
              </w:rPr>
            </w:pPr>
            <w:r>
              <w:rPr>
                <w:rFonts w:hint="eastAsia" w:ascii="宋体" w:hAnsi="宋体" w:cs="宋体"/>
                <w:szCs w:val="21"/>
              </w:rPr>
              <w:t>产品</w:t>
            </w:r>
            <w:r>
              <w:rPr>
                <w:rFonts w:hint="eastAsia" w:ascii="宋体" w:hAnsi="宋体" w:cs="宋体"/>
                <w:b w:val="0"/>
                <w:bCs w:val="0"/>
                <w:color w:val="auto"/>
                <w:sz w:val="21"/>
                <w:szCs w:val="21"/>
                <w:lang w:val="en-US" w:eastAsia="zh-CN"/>
              </w:rPr>
              <w:t>成熟度</w:t>
            </w:r>
          </w:p>
          <w:p w14:paraId="63CCCC58">
            <w:pPr>
              <w:keepNext w:val="0"/>
              <w:keepLines w:val="0"/>
              <w:pageBreakBefore w:val="0"/>
              <w:widowControl/>
              <w:overflowPunct/>
              <w:bidi w:val="0"/>
              <w:spacing w:line="360" w:lineRule="exact"/>
              <w:jc w:val="center"/>
              <w:rPr>
                <w:rFonts w:hint="eastAsia" w:ascii="宋体" w:hAnsi="宋体" w:eastAsia="宋体" w:cs="宋体"/>
                <w:b w:val="0"/>
                <w:bCs w:val="0"/>
                <w:color w:val="auto"/>
                <w:sz w:val="21"/>
                <w:szCs w:val="21"/>
                <w:highlight w:val="none"/>
              </w:rPr>
            </w:pPr>
          </w:p>
        </w:tc>
        <w:tc>
          <w:tcPr>
            <w:tcW w:w="394" w:type="pct"/>
            <w:vAlign w:val="center"/>
          </w:tcPr>
          <w:p w14:paraId="310ED62C">
            <w:pPr>
              <w:keepNext w:val="0"/>
              <w:keepLines w:val="0"/>
              <w:pageBreakBefore w:val="0"/>
              <w:widowControl/>
              <w:overflowPunct/>
              <w:bidi w:val="0"/>
              <w:spacing w:line="36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cs="宋体"/>
                <w:color w:val="000000"/>
                <w:kern w:val="0"/>
                <w:szCs w:val="21"/>
                <w:lang w:val="en-US" w:eastAsia="zh-CN"/>
              </w:rPr>
              <w:t>18</w:t>
            </w:r>
            <w:r>
              <w:rPr>
                <w:rFonts w:hint="eastAsia" w:ascii="宋体" w:hAnsi="宋体" w:cs="宋体"/>
                <w:color w:val="000000"/>
                <w:kern w:val="0"/>
                <w:szCs w:val="21"/>
              </w:rPr>
              <w:t>分</w:t>
            </w:r>
          </w:p>
        </w:tc>
        <w:tc>
          <w:tcPr>
            <w:tcW w:w="3576" w:type="pct"/>
            <w:vAlign w:val="center"/>
          </w:tcPr>
          <w:p w14:paraId="405A02A2">
            <w:pPr>
              <w:keepNext w:val="0"/>
              <w:keepLines w:val="0"/>
              <w:pageBreakBefore w:val="0"/>
              <w:widowControl/>
              <w:overflowPunct/>
              <w:bidi w:val="0"/>
              <w:spacing w:line="360" w:lineRule="exact"/>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1、</w:t>
            </w:r>
            <w:r>
              <w:rPr>
                <w:rFonts w:hint="eastAsia" w:ascii="宋体" w:hAnsi="宋体" w:eastAsia="宋体" w:cs="宋体"/>
                <w:color w:val="auto"/>
                <w:sz w:val="21"/>
                <w:szCs w:val="21"/>
                <w:lang w:val="en-US" w:eastAsia="zh-CN"/>
              </w:rPr>
              <w:t>为保证</w:t>
            </w:r>
            <w:r>
              <w:rPr>
                <w:rFonts w:hint="eastAsia" w:ascii="宋体" w:hAnsi="宋体" w:eastAsia="宋体" w:cs="宋体"/>
                <w:color w:val="auto"/>
                <w:sz w:val="21"/>
                <w:szCs w:val="21"/>
                <w:lang w:eastAsia="zh-CN"/>
              </w:rPr>
              <w:t>所投</w:t>
            </w:r>
            <w:r>
              <w:rPr>
                <w:rFonts w:hint="eastAsia" w:ascii="宋体" w:hAnsi="宋体" w:eastAsia="宋体" w:cs="宋体"/>
                <w:color w:val="auto"/>
                <w:sz w:val="21"/>
                <w:szCs w:val="21"/>
                <w:lang w:val="en-US" w:eastAsia="zh-CN"/>
              </w:rPr>
              <w:t>产品</w:t>
            </w:r>
            <w:r>
              <w:rPr>
                <w:rFonts w:hint="eastAsia" w:ascii="宋体" w:hAnsi="宋体" w:eastAsia="宋体" w:cs="宋体"/>
                <w:color w:val="auto"/>
                <w:sz w:val="21"/>
                <w:szCs w:val="21"/>
                <w:lang w:eastAsia="zh-CN"/>
              </w:rPr>
              <w:t>4K超高清视频编解码终端，支持E1与IP网络同时接入，支持双网络双备份运行模式，保证网络安全，提供软件设置界面截图及</w:t>
            </w:r>
            <w:r>
              <w:rPr>
                <w:rFonts w:hint="eastAsia" w:ascii="宋体" w:hAnsi="宋体" w:eastAsia="宋体" w:cs="宋体"/>
                <w:color w:val="auto"/>
                <w:sz w:val="21"/>
                <w:szCs w:val="21"/>
                <w:lang w:val="en-US" w:eastAsia="zh-CN"/>
              </w:rPr>
              <w:t>设备</w:t>
            </w:r>
            <w:r>
              <w:rPr>
                <w:rFonts w:hint="eastAsia" w:ascii="宋体" w:hAnsi="宋体" w:eastAsia="宋体" w:cs="宋体"/>
                <w:color w:val="auto"/>
                <w:sz w:val="21"/>
                <w:szCs w:val="21"/>
                <w:lang w:eastAsia="zh-CN"/>
              </w:rPr>
              <w:t>实物图片证明</w:t>
            </w:r>
            <w:r>
              <w:rPr>
                <w:rFonts w:hint="eastAsia" w:ascii="宋体" w:hAnsi="宋体" w:cs="宋体"/>
                <w:color w:val="auto"/>
                <w:sz w:val="21"/>
                <w:szCs w:val="21"/>
                <w:lang w:val="en-US" w:eastAsia="zh-CN"/>
              </w:rPr>
              <w:t>并加盖投标人公章</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lang w:eastAsia="zh-CN"/>
              </w:rPr>
              <w:t>计</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eastAsia="zh-CN"/>
              </w:rPr>
              <w:t>分，未提供或提供不满足的不计分。</w:t>
            </w:r>
          </w:p>
          <w:p w14:paraId="788A8AC2">
            <w:pPr>
              <w:keepNext w:val="0"/>
              <w:keepLines w:val="0"/>
              <w:pageBreakBefore w:val="0"/>
              <w:widowControl/>
              <w:overflowPunct/>
              <w:bidi w:val="0"/>
              <w:spacing w:line="360" w:lineRule="exact"/>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2、</w:t>
            </w:r>
            <w:r>
              <w:rPr>
                <w:rFonts w:hint="eastAsia" w:ascii="宋体" w:hAnsi="宋体" w:eastAsia="宋体" w:cs="宋体"/>
                <w:color w:val="auto"/>
                <w:sz w:val="21"/>
                <w:szCs w:val="21"/>
                <w:lang w:val="en-US" w:eastAsia="zh-CN"/>
              </w:rPr>
              <w:t>为保证</w:t>
            </w:r>
            <w:r>
              <w:rPr>
                <w:rFonts w:hint="eastAsia" w:ascii="宋体" w:hAnsi="宋体" w:eastAsia="宋体" w:cs="宋体"/>
                <w:color w:val="auto"/>
                <w:sz w:val="21"/>
                <w:szCs w:val="21"/>
                <w:lang w:eastAsia="zh-CN"/>
              </w:rPr>
              <w:t>所投</w:t>
            </w:r>
            <w:r>
              <w:rPr>
                <w:rFonts w:hint="eastAsia" w:ascii="宋体" w:hAnsi="宋体" w:eastAsia="宋体" w:cs="宋体"/>
                <w:color w:val="auto"/>
                <w:sz w:val="21"/>
                <w:szCs w:val="21"/>
                <w:lang w:val="en-US" w:eastAsia="zh-CN"/>
              </w:rPr>
              <w:t>产品</w:t>
            </w:r>
            <w:r>
              <w:rPr>
                <w:rFonts w:hint="eastAsia" w:ascii="宋体" w:hAnsi="宋体" w:eastAsia="宋体" w:cs="宋体"/>
                <w:color w:val="auto"/>
                <w:sz w:val="21"/>
                <w:szCs w:val="21"/>
                <w:lang w:eastAsia="zh-CN"/>
              </w:rPr>
              <w:t>4K超高清音视频融合统一指挥调度平台，支持自动广播、自动轮询、手动浏览、预设模式等控制方式，提供软件截图证明文件证明</w:t>
            </w:r>
            <w:r>
              <w:rPr>
                <w:rFonts w:hint="eastAsia" w:ascii="宋体" w:hAnsi="宋体" w:cs="宋体"/>
                <w:color w:val="auto"/>
                <w:sz w:val="21"/>
                <w:szCs w:val="21"/>
                <w:lang w:val="en-US" w:eastAsia="zh-CN"/>
              </w:rPr>
              <w:t>并加盖投标人公章</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lang w:eastAsia="zh-CN"/>
              </w:rPr>
              <w:t>计</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eastAsia="zh-CN"/>
              </w:rPr>
              <w:t>分，（图片不得为后期修改或拼接而成）未提供或提供不符</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lang w:eastAsia="zh-CN"/>
              </w:rPr>
              <w:t>不得分。</w:t>
            </w:r>
            <w:r>
              <w:rPr>
                <w:rFonts w:hint="eastAsia" w:ascii="宋体" w:hAnsi="宋体" w:cs="宋体"/>
                <w:color w:val="auto"/>
                <w:sz w:val="21"/>
                <w:szCs w:val="21"/>
                <w:lang w:val="en-US" w:eastAsia="zh-CN"/>
              </w:rPr>
              <w:t xml:space="preserve"> </w:t>
            </w:r>
          </w:p>
          <w:p w14:paraId="484A0B46">
            <w:pPr>
              <w:keepNext w:val="0"/>
              <w:keepLines w:val="0"/>
              <w:pageBreakBefore w:val="0"/>
              <w:widowControl/>
              <w:overflowPunct/>
              <w:bidi w:val="0"/>
              <w:spacing w:line="360" w:lineRule="exact"/>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3、</w:t>
            </w:r>
            <w:r>
              <w:rPr>
                <w:rFonts w:hint="eastAsia" w:ascii="宋体" w:hAnsi="宋体" w:eastAsia="宋体" w:cs="宋体"/>
                <w:color w:val="auto"/>
                <w:sz w:val="21"/>
                <w:szCs w:val="21"/>
                <w:lang w:val="en-US" w:eastAsia="zh-CN"/>
              </w:rPr>
              <w:t>为保证所投产品</w:t>
            </w:r>
            <w:r>
              <w:rPr>
                <w:rFonts w:hint="eastAsia" w:ascii="宋体" w:hAnsi="宋体" w:eastAsia="宋体" w:cs="宋体"/>
                <w:color w:val="auto"/>
                <w:sz w:val="21"/>
                <w:szCs w:val="21"/>
                <w:lang w:eastAsia="zh-CN"/>
              </w:rPr>
              <w:t>多用途音视频编导播切换与存储流媒体系统，支持设置为1大5小多画面合成输出，大画面导播切换输出，且可方便切换到单画面导播输出，提供证明图片佐证</w:t>
            </w:r>
            <w:r>
              <w:rPr>
                <w:rFonts w:hint="eastAsia" w:ascii="宋体" w:hAnsi="宋体" w:cs="宋体"/>
                <w:color w:val="auto"/>
                <w:sz w:val="21"/>
                <w:szCs w:val="21"/>
                <w:lang w:val="en-US" w:eastAsia="zh-CN"/>
              </w:rPr>
              <w:t>并加盖投标人公章</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lang w:eastAsia="zh-CN"/>
              </w:rPr>
              <w:t>计</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eastAsia="zh-CN"/>
              </w:rPr>
              <w:t>分，（图片不得为后期修改或拼接而成）未提供或提供不符</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lang w:eastAsia="zh-CN"/>
              </w:rPr>
              <w:t>不得分。</w:t>
            </w:r>
          </w:p>
          <w:p w14:paraId="0EC51E73">
            <w:pPr>
              <w:keepNext w:val="0"/>
              <w:keepLines w:val="0"/>
              <w:pageBreakBefore w:val="0"/>
              <w:widowControl/>
              <w:overflowPunct/>
              <w:bidi w:val="0"/>
              <w:spacing w:line="360" w:lineRule="exact"/>
              <w:jc w:val="left"/>
              <w:rPr>
                <w:rFonts w:hint="default" w:ascii="宋体" w:hAnsi="宋体" w:eastAsia="宋体" w:cs="宋体"/>
                <w:b w:val="0"/>
                <w:bCs w:val="0"/>
                <w:color w:val="auto"/>
                <w:kern w:val="0"/>
                <w:sz w:val="21"/>
                <w:szCs w:val="21"/>
                <w:highlight w:val="none"/>
                <w:lang w:val="en-US"/>
              </w:rPr>
            </w:pPr>
            <w:r>
              <w:rPr>
                <w:rFonts w:hint="eastAsia" w:ascii="宋体" w:hAnsi="宋体" w:eastAsia="宋体" w:cs="宋体"/>
                <w:color w:val="auto"/>
                <w:sz w:val="21"/>
                <w:szCs w:val="21"/>
                <w:lang w:eastAsia="zh-CN"/>
              </w:rPr>
              <w:t>4、</w:t>
            </w:r>
            <w:r>
              <w:rPr>
                <w:rFonts w:hint="eastAsia" w:ascii="宋体" w:hAnsi="宋体" w:eastAsia="宋体" w:cs="宋体"/>
                <w:color w:val="auto"/>
                <w:sz w:val="21"/>
                <w:szCs w:val="21"/>
                <w:lang w:val="en-US" w:eastAsia="zh-CN"/>
              </w:rPr>
              <w:t>为保证</w:t>
            </w:r>
            <w:r>
              <w:rPr>
                <w:rFonts w:hint="eastAsia" w:ascii="宋体" w:hAnsi="宋体" w:eastAsia="宋体" w:cs="宋体"/>
                <w:color w:val="auto"/>
                <w:sz w:val="21"/>
                <w:szCs w:val="21"/>
                <w:lang w:eastAsia="zh-CN"/>
              </w:rPr>
              <w:t>所投</w:t>
            </w:r>
            <w:r>
              <w:rPr>
                <w:rFonts w:hint="eastAsia" w:ascii="宋体" w:hAnsi="宋体" w:eastAsia="宋体" w:cs="宋体"/>
                <w:color w:val="auto"/>
                <w:sz w:val="21"/>
                <w:szCs w:val="21"/>
                <w:lang w:val="en-US" w:eastAsia="zh-CN"/>
              </w:rPr>
              <w:t>产品</w:t>
            </w:r>
            <w:r>
              <w:rPr>
                <w:rFonts w:hint="eastAsia" w:ascii="宋体" w:hAnsi="宋体" w:eastAsia="宋体" w:cs="宋体"/>
                <w:color w:val="auto"/>
                <w:sz w:val="21"/>
                <w:szCs w:val="21"/>
                <w:lang w:eastAsia="zh-CN"/>
              </w:rPr>
              <w:t>4K超高清视频编解码终端，内置数字视频处理功能，实现视频降噪、动态调整、图像锐化、增强功能；提供软件设置界面截图证明</w:t>
            </w:r>
            <w:r>
              <w:rPr>
                <w:rFonts w:hint="eastAsia" w:ascii="宋体" w:hAnsi="宋体" w:cs="宋体"/>
                <w:color w:val="auto"/>
                <w:sz w:val="21"/>
                <w:szCs w:val="21"/>
                <w:lang w:val="en-US" w:eastAsia="zh-CN"/>
              </w:rPr>
              <w:t>并加盖投标人公章</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lang w:eastAsia="zh-CN"/>
              </w:rPr>
              <w:t>计</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eastAsia="zh-CN"/>
              </w:rPr>
              <w:t>分，未提供或提供不满足的不计分。</w:t>
            </w:r>
            <w:r>
              <w:rPr>
                <w:rFonts w:hint="eastAsia" w:ascii="宋体" w:hAnsi="宋体" w:eastAsia="宋体" w:cs="宋体"/>
                <w:color w:val="auto"/>
                <w:sz w:val="21"/>
                <w:szCs w:val="21"/>
                <w:lang w:eastAsia="zh-CN"/>
              </w:rPr>
              <w:br w:type="textWrapping"/>
            </w:r>
            <w:r>
              <w:rPr>
                <w:rFonts w:hint="eastAsia" w:ascii="宋体" w:hAnsi="宋体" w:cs="宋体"/>
                <w:color w:val="auto"/>
                <w:sz w:val="21"/>
                <w:szCs w:val="21"/>
                <w:lang w:val="en-US" w:eastAsia="zh-CN"/>
              </w:rPr>
              <w:t>5、供应商所投产品具有自主知识产权的与本项相关计算机软件著作权证书，每提供一个有效证书计2分，最多计10分。（须提供与本项目相关计算机软件著作权登记证书复印件并加盖投标人公章，否则不得分）。</w:t>
            </w:r>
          </w:p>
        </w:tc>
      </w:tr>
      <w:tr w14:paraId="4E95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pct"/>
            <w:vMerge w:val="continue"/>
            <w:vAlign w:val="center"/>
          </w:tcPr>
          <w:p w14:paraId="5642DCD1">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p>
        </w:tc>
        <w:tc>
          <w:tcPr>
            <w:tcW w:w="547" w:type="pct"/>
            <w:vAlign w:val="center"/>
          </w:tcPr>
          <w:p w14:paraId="2C6AA447">
            <w:pPr>
              <w:keepNext w:val="0"/>
              <w:keepLines w:val="0"/>
              <w:pageBreakBefore w:val="0"/>
              <w:widowControl/>
              <w:overflowPunct/>
              <w:bidi w:val="0"/>
              <w:spacing w:line="360" w:lineRule="exact"/>
              <w:jc w:val="center"/>
              <w:rPr>
                <w:rFonts w:hint="eastAsia" w:ascii="宋体" w:hAnsi="宋体" w:cs="宋体"/>
                <w:color w:val="000000"/>
                <w:kern w:val="0"/>
                <w:szCs w:val="21"/>
              </w:rPr>
            </w:pPr>
            <w:r>
              <w:rPr>
                <w:rFonts w:hint="eastAsia" w:ascii="宋体" w:hAnsi="宋体" w:cs="宋体"/>
                <w:color w:val="000000"/>
                <w:kern w:val="0"/>
                <w:szCs w:val="21"/>
              </w:rPr>
              <w:t>实施</w:t>
            </w:r>
          </w:p>
          <w:p w14:paraId="0E0AD3A3">
            <w:pPr>
              <w:keepNext w:val="0"/>
              <w:keepLines w:val="0"/>
              <w:pageBreakBefore w:val="0"/>
              <w:widowControl/>
              <w:kinsoku w:val="0"/>
              <w:wordWrap/>
              <w:overflowPunct/>
              <w:topLinePunct w:val="0"/>
              <w:autoSpaceDE w:val="0"/>
              <w:autoSpaceDN w:val="0"/>
              <w:bidi w:val="0"/>
              <w:adjustRightInd w:val="0"/>
              <w:snapToGrid w:val="0"/>
              <w:spacing w:before="0" w:after="0" w:line="360" w:lineRule="exact"/>
              <w:ind w:left="0" w:leftChars="0" w:firstLine="0" w:firstLineChars="0"/>
              <w:jc w:val="center"/>
              <w:textAlignment w:val="center"/>
              <w:rPr>
                <w:rFonts w:hint="eastAsia" w:ascii="宋体" w:hAnsi="宋体" w:eastAsia="宋体" w:cs="宋体"/>
                <w:b w:val="0"/>
                <w:bCs w:val="0"/>
                <w:color w:val="auto"/>
                <w:sz w:val="21"/>
                <w:szCs w:val="21"/>
                <w:highlight w:val="none"/>
              </w:rPr>
            </w:pPr>
            <w:r>
              <w:rPr>
                <w:rFonts w:hint="eastAsia" w:ascii="宋体" w:hAnsi="宋体" w:cs="宋体"/>
                <w:color w:val="000000"/>
                <w:kern w:val="0"/>
                <w:szCs w:val="21"/>
              </w:rPr>
              <w:t>方案</w:t>
            </w:r>
          </w:p>
        </w:tc>
        <w:tc>
          <w:tcPr>
            <w:tcW w:w="394" w:type="pct"/>
            <w:vAlign w:val="center"/>
          </w:tcPr>
          <w:p w14:paraId="42FC0F60">
            <w:pPr>
              <w:keepNext w:val="0"/>
              <w:keepLines w:val="0"/>
              <w:pageBreakBefore w:val="0"/>
              <w:widowControl/>
              <w:kinsoku w:val="0"/>
              <w:wordWrap/>
              <w:overflowPunct/>
              <w:topLinePunct w:val="0"/>
              <w:autoSpaceDE w:val="0"/>
              <w:autoSpaceDN w:val="0"/>
              <w:bidi w:val="0"/>
              <w:adjustRightInd w:val="0"/>
              <w:snapToGrid w:val="0"/>
              <w:spacing w:before="0" w:after="0" w:line="360" w:lineRule="exact"/>
              <w:ind w:left="0" w:leftChars="0" w:firstLine="0" w:firstLineChars="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rPr>
              <w:t>分</w:t>
            </w:r>
          </w:p>
        </w:tc>
        <w:tc>
          <w:tcPr>
            <w:tcW w:w="3576" w:type="pct"/>
            <w:vAlign w:val="center"/>
          </w:tcPr>
          <w:p w14:paraId="0769D884">
            <w:pPr>
              <w:pStyle w:val="8"/>
              <w:keepNext w:val="0"/>
              <w:keepLines w:val="0"/>
              <w:pageBreakBefore w:val="0"/>
              <w:widowControl w:val="0"/>
              <w:kinsoku/>
              <w:wordWrap w:val="0"/>
              <w:overflowPunct/>
              <w:topLinePunct/>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rPr>
            </w:pPr>
            <w:r>
              <w:rPr>
                <w:rFonts w:hint="eastAsia" w:ascii="宋体" w:hAnsi="宋体" w:cs="宋体"/>
                <w:color w:val="000000"/>
                <w:kern w:val="0"/>
                <w:szCs w:val="21"/>
              </w:rPr>
              <w:t>根据</w:t>
            </w:r>
            <w:r>
              <w:rPr>
                <w:rFonts w:hint="eastAsia" w:ascii="宋体" w:hAnsi="宋体" w:cs="宋体"/>
                <w:color w:val="000000"/>
                <w:kern w:val="0"/>
                <w:szCs w:val="21"/>
                <w:lang w:eastAsia="zh-CN"/>
              </w:rPr>
              <w:t>供应商</w:t>
            </w:r>
            <w:r>
              <w:rPr>
                <w:rFonts w:hint="eastAsia" w:ascii="宋体" w:hAnsi="宋体" w:cs="宋体"/>
                <w:color w:val="000000"/>
                <w:kern w:val="0"/>
                <w:szCs w:val="21"/>
              </w:rPr>
              <w:t>提供的实施方案</w:t>
            </w:r>
            <w:r>
              <w:rPr>
                <w:rFonts w:hint="eastAsia" w:ascii="宋体" w:hAnsi="宋体" w:cs="宋体"/>
                <w:color w:val="000000"/>
                <w:kern w:val="0"/>
                <w:szCs w:val="21"/>
                <w:lang w:eastAsia="zh-CN"/>
              </w:rPr>
              <w:t>，</w:t>
            </w:r>
            <w:r>
              <w:rPr>
                <w:rFonts w:hint="eastAsia" w:ascii="宋体" w:hAnsi="宋体" w:cs="宋体"/>
                <w:color w:val="000000"/>
                <w:kern w:val="0"/>
                <w:szCs w:val="21"/>
              </w:rPr>
              <w:t>包括</w:t>
            </w:r>
            <w:r>
              <w:rPr>
                <w:rFonts w:hint="eastAsia" w:ascii="宋体" w:hAnsi="宋体" w:cs="宋体"/>
                <w:color w:val="auto"/>
              </w:rPr>
              <w:t>①</w:t>
            </w:r>
            <w:r>
              <w:rPr>
                <w:rFonts w:hint="eastAsia" w:ascii="宋体" w:hAnsi="宋体" w:cs="宋体"/>
                <w:color w:val="000000"/>
                <w:kern w:val="0"/>
                <w:szCs w:val="21"/>
              </w:rPr>
              <w:t>总体实施计划，</w:t>
            </w:r>
            <w:r>
              <w:rPr>
                <w:rFonts w:hint="eastAsia" w:ascii="宋体" w:hAnsi="宋体" w:cs="宋体"/>
                <w:color w:val="auto"/>
              </w:rPr>
              <w:t>②</w:t>
            </w:r>
            <w:r>
              <w:rPr>
                <w:rFonts w:hint="eastAsia" w:ascii="宋体" w:hAnsi="宋体" w:cs="宋体"/>
                <w:color w:val="000000"/>
                <w:kern w:val="0"/>
                <w:szCs w:val="21"/>
              </w:rPr>
              <w:t>安装进度、检测、调试措施；</w:t>
            </w:r>
            <w:r>
              <w:rPr>
                <w:rFonts w:hint="eastAsia" w:ascii="宋体" w:hAnsi="宋体" w:cs="宋体"/>
                <w:color w:val="auto"/>
              </w:rPr>
              <w:t>③</w:t>
            </w:r>
            <w:r>
              <w:rPr>
                <w:rFonts w:hint="eastAsia" w:ascii="宋体" w:hAnsi="宋体" w:cs="宋体"/>
                <w:color w:val="000000"/>
                <w:kern w:val="0"/>
                <w:szCs w:val="21"/>
              </w:rPr>
              <w:t>人员配备安排</w:t>
            </w:r>
            <w:r>
              <w:rPr>
                <w:rFonts w:hint="eastAsia" w:ascii="宋体" w:hAnsi="宋体" w:cs="宋体"/>
                <w:color w:val="000000"/>
                <w:kern w:val="0"/>
                <w:szCs w:val="21"/>
                <w:lang w:eastAsia="zh-CN"/>
              </w:rPr>
              <w:t>（满足</w:t>
            </w:r>
            <w:r>
              <w:rPr>
                <w:rFonts w:hint="eastAsia" w:ascii="宋体" w:hAnsi="宋体" w:cs="宋体"/>
                <w:szCs w:val="21"/>
                <w:lang w:eastAsia="zh-CN"/>
              </w:rPr>
              <w:t>）</w:t>
            </w:r>
            <w:r>
              <w:rPr>
                <w:rFonts w:hint="eastAsia" w:ascii="宋体" w:hAnsi="宋体" w:cs="宋体"/>
                <w:szCs w:val="21"/>
                <w:lang w:val="en-US" w:eastAsia="zh-CN"/>
              </w:rPr>
              <w:t>；</w:t>
            </w:r>
            <w:r>
              <w:rPr>
                <w:rFonts w:hint="eastAsia" w:ascii="宋体" w:hAnsi="宋体" w:eastAsia="宋体" w:cs="宋体"/>
                <w:sz w:val="21"/>
                <w:szCs w:val="21"/>
                <w:lang w:val="en-US" w:eastAsia="zh-CN"/>
              </w:rPr>
              <w:t>④质量和安全控制措施，⑤交付使用</w:t>
            </w:r>
            <w:r>
              <w:rPr>
                <w:rFonts w:hint="eastAsia" w:ascii="宋体" w:hAnsi="宋体" w:cs="宋体"/>
                <w:szCs w:val="21"/>
                <w:lang w:val="en-US" w:eastAsia="zh-CN"/>
              </w:rPr>
              <w:t>等方案，</w:t>
            </w:r>
            <w:r>
              <w:rPr>
                <w:rFonts w:hint="eastAsia" w:ascii="宋体" w:hAnsi="宋体" w:eastAsia="宋体" w:cs="宋体"/>
                <w:sz w:val="21"/>
                <w:szCs w:val="21"/>
                <w:lang w:val="en-US" w:eastAsia="zh-CN"/>
              </w:rPr>
              <w:t>方案内容满足本项目采购需求且内容详细、科学合理、可行性强的以上每项计</w:t>
            </w:r>
            <w:r>
              <w:rPr>
                <w:rFonts w:hint="eastAsia" w:ascii="宋体" w:hAnsi="宋体" w:cs="宋体"/>
                <w:sz w:val="21"/>
                <w:szCs w:val="21"/>
                <w:lang w:val="en-US" w:eastAsia="zh-CN"/>
              </w:rPr>
              <w:t>2</w:t>
            </w:r>
            <w:r>
              <w:rPr>
                <w:rFonts w:hint="eastAsia" w:ascii="宋体" w:hAnsi="宋体" w:eastAsia="宋体" w:cs="宋体"/>
                <w:sz w:val="21"/>
                <w:szCs w:val="21"/>
                <w:lang w:val="en-US" w:eastAsia="zh-CN"/>
              </w:rPr>
              <w:t>分，方案内容不详细或描述不到位或欠合理的以上每项每处计1分，本项最多计1</w:t>
            </w:r>
            <w:r>
              <w:rPr>
                <w:rFonts w:hint="eastAsia" w:ascii="宋体" w:hAnsi="宋体" w:cs="宋体"/>
                <w:sz w:val="21"/>
                <w:szCs w:val="21"/>
                <w:lang w:val="en-US" w:eastAsia="zh-CN"/>
              </w:rPr>
              <w:t>0</w:t>
            </w:r>
            <w:r>
              <w:rPr>
                <w:rFonts w:hint="eastAsia" w:ascii="宋体" w:hAnsi="宋体" w:eastAsia="宋体" w:cs="宋体"/>
                <w:sz w:val="21"/>
                <w:szCs w:val="21"/>
                <w:lang w:val="en-US" w:eastAsia="zh-CN"/>
              </w:rPr>
              <w:t>分，未提供方案的不计分。</w:t>
            </w:r>
            <w:r>
              <w:rPr>
                <w:rFonts w:hint="eastAsia" w:ascii="宋体" w:hAnsi="宋体" w:eastAsia="宋体" w:cs="宋体"/>
                <w:sz w:val="21"/>
                <w:szCs w:val="21"/>
                <w:highlight w:val="none"/>
                <w:lang w:val="en-US" w:eastAsia="zh-CN"/>
              </w:rPr>
              <w:t>(缺陷是指:非专门针对本项目或不适用项目特性的情形、或内容不完整或缺少关键节点、或套用其他项目方案、或存在内容前后矛盾、规范及标准错误，不利于项目实施或不可能实现等任意一种</w:t>
            </w:r>
            <w:r>
              <w:rPr>
                <w:rFonts w:hint="eastAsia" w:ascii="宋体" w:hAnsi="宋体" w:cs="宋体"/>
                <w:sz w:val="21"/>
                <w:szCs w:val="21"/>
                <w:highlight w:val="none"/>
                <w:lang w:val="en-US" w:eastAsia="zh-CN"/>
              </w:rPr>
              <w:t>情形</w:t>
            </w:r>
            <w:r>
              <w:rPr>
                <w:rFonts w:hint="eastAsia" w:ascii="宋体" w:hAnsi="宋体" w:eastAsia="宋体" w:cs="宋体"/>
                <w:sz w:val="21"/>
                <w:szCs w:val="21"/>
                <w:highlight w:val="none"/>
                <w:lang w:val="en-US" w:eastAsia="zh-CN"/>
              </w:rPr>
              <w:t>)。</w:t>
            </w:r>
          </w:p>
        </w:tc>
      </w:tr>
      <w:tr w14:paraId="4CF0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pct"/>
            <w:vMerge w:val="continue"/>
            <w:vAlign w:val="center"/>
          </w:tcPr>
          <w:p w14:paraId="00C82D71">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p>
        </w:tc>
        <w:tc>
          <w:tcPr>
            <w:tcW w:w="547" w:type="pct"/>
            <w:vAlign w:val="center"/>
          </w:tcPr>
          <w:p w14:paraId="788BE1AE">
            <w:pPr>
              <w:keepNext w:val="0"/>
              <w:keepLines w:val="0"/>
              <w:pageBreakBefore w:val="0"/>
              <w:overflowPunct/>
              <w:bidi w:val="0"/>
              <w:spacing w:line="360" w:lineRule="exact"/>
              <w:jc w:val="center"/>
              <w:rPr>
                <w:rFonts w:hint="eastAsia" w:ascii="宋体" w:hAnsi="宋体" w:cs="宋体"/>
                <w:szCs w:val="21"/>
              </w:rPr>
            </w:pPr>
            <w:r>
              <w:rPr>
                <w:rFonts w:hint="eastAsia" w:ascii="宋体" w:hAnsi="宋体" w:cs="宋体"/>
                <w:szCs w:val="21"/>
              </w:rPr>
              <w:t>供货</w:t>
            </w:r>
          </w:p>
          <w:p w14:paraId="06D24843">
            <w:pPr>
              <w:keepNext w:val="0"/>
              <w:keepLines w:val="0"/>
              <w:pageBreakBefore w:val="0"/>
              <w:widowControl/>
              <w:kinsoku w:val="0"/>
              <w:wordWrap/>
              <w:overflowPunct/>
              <w:topLinePunct w:val="0"/>
              <w:autoSpaceDE w:val="0"/>
              <w:autoSpaceDN w:val="0"/>
              <w:bidi w:val="0"/>
              <w:adjustRightInd w:val="0"/>
              <w:snapToGrid w:val="0"/>
              <w:spacing w:before="0" w:after="0" w:line="360" w:lineRule="exact"/>
              <w:ind w:left="0" w:leftChars="0" w:firstLine="0" w:firstLineChars="0"/>
              <w:jc w:val="center"/>
              <w:textAlignment w:val="center"/>
              <w:rPr>
                <w:rFonts w:hint="eastAsia" w:ascii="宋体" w:hAnsi="宋体" w:eastAsia="宋体" w:cs="宋体"/>
                <w:b w:val="0"/>
                <w:bCs w:val="0"/>
                <w:color w:val="auto"/>
                <w:sz w:val="21"/>
                <w:szCs w:val="21"/>
                <w:highlight w:val="none"/>
              </w:rPr>
            </w:pPr>
            <w:r>
              <w:rPr>
                <w:rFonts w:hint="eastAsia" w:ascii="宋体" w:hAnsi="宋体" w:cs="宋体"/>
                <w:szCs w:val="21"/>
              </w:rPr>
              <w:t>保障</w:t>
            </w:r>
          </w:p>
        </w:tc>
        <w:tc>
          <w:tcPr>
            <w:tcW w:w="394" w:type="pct"/>
            <w:vAlign w:val="center"/>
          </w:tcPr>
          <w:p w14:paraId="10096719">
            <w:pPr>
              <w:keepNext w:val="0"/>
              <w:keepLines w:val="0"/>
              <w:pageBreakBefore w:val="0"/>
              <w:widowControl/>
              <w:kinsoku w:val="0"/>
              <w:wordWrap/>
              <w:overflowPunct/>
              <w:topLinePunct w:val="0"/>
              <w:autoSpaceDE w:val="0"/>
              <w:autoSpaceDN w:val="0"/>
              <w:bidi w:val="0"/>
              <w:adjustRightInd w:val="0"/>
              <w:snapToGrid w:val="0"/>
              <w:spacing w:before="0" w:after="0" w:line="360" w:lineRule="exact"/>
              <w:ind w:left="0" w:leftChars="0" w:firstLine="0" w:firstLineChars="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cs="宋体"/>
                <w:szCs w:val="21"/>
                <w:lang w:val="en-US" w:eastAsia="zh-CN"/>
              </w:rPr>
              <w:t>6分</w:t>
            </w:r>
          </w:p>
        </w:tc>
        <w:tc>
          <w:tcPr>
            <w:tcW w:w="3576" w:type="pct"/>
            <w:vAlign w:val="center"/>
          </w:tcPr>
          <w:p w14:paraId="707F42E3">
            <w:pPr>
              <w:pStyle w:val="8"/>
              <w:keepNext w:val="0"/>
              <w:keepLines w:val="0"/>
              <w:pageBreakBefore w:val="0"/>
              <w:widowControl w:val="0"/>
              <w:kinsoku/>
              <w:wordWrap w:val="0"/>
              <w:overflowPunct/>
              <w:topLinePunct/>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rPr>
            </w:pPr>
            <w:r>
              <w:rPr>
                <w:rFonts w:hint="eastAsia" w:ascii="宋体" w:hAnsi="宋体" w:cs="宋体"/>
                <w:color w:val="000000"/>
                <w:kern w:val="0"/>
                <w:szCs w:val="21"/>
              </w:rPr>
              <w:t>根据各</w:t>
            </w:r>
            <w:r>
              <w:rPr>
                <w:rFonts w:hint="eastAsia" w:ascii="宋体" w:hAnsi="宋体" w:cs="宋体"/>
                <w:color w:val="000000"/>
                <w:kern w:val="0"/>
                <w:szCs w:val="21"/>
                <w:lang w:eastAsia="zh-CN"/>
              </w:rPr>
              <w:t>供应商</w:t>
            </w:r>
            <w:r>
              <w:rPr>
                <w:rFonts w:hint="eastAsia" w:ascii="宋体" w:hAnsi="宋体" w:cs="宋体"/>
                <w:color w:val="000000"/>
                <w:kern w:val="0"/>
                <w:szCs w:val="21"/>
              </w:rPr>
              <w:t>针对本项目提供的</w:t>
            </w:r>
            <w:r>
              <w:rPr>
                <w:rFonts w:hint="eastAsia" w:ascii="宋体" w:hAnsi="宋体" w:cs="宋体"/>
                <w:color w:val="auto"/>
              </w:rPr>
              <w:t>①</w:t>
            </w:r>
            <w:r>
              <w:rPr>
                <w:rFonts w:hint="eastAsia" w:ascii="宋体" w:hAnsi="宋体" w:cs="宋体"/>
                <w:color w:val="000000"/>
                <w:kern w:val="0"/>
                <w:szCs w:val="21"/>
              </w:rPr>
              <w:t>供货计划</w:t>
            </w:r>
            <w:r>
              <w:rPr>
                <w:rFonts w:hint="eastAsia" w:ascii="宋体" w:hAnsi="宋体" w:cs="宋体"/>
                <w:color w:val="000000"/>
                <w:kern w:val="0"/>
                <w:szCs w:val="21"/>
                <w:lang w:eastAsia="zh-CN"/>
              </w:rPr>
              <w:t>；</w:t>
            </w:r>
            <w:r>
              <w:rPr>
                <w:rFonts w:hint="eastAsia" w:ascii="宋体" w:hAnsi="宋体" w:cs="宋体"/>
                <w:color w:val="auto"/>
              </w:rPr>
              <w:t>②</w:t>
            </w:r>
            <w:r>
              <w:rPr>
                <w:rFonts w:hint="eastAsia" w:ascii="宋体" w:hAnsi="宋体" w:cs="宋体"/>
                <w:color w:val="000000"/>
                <w:kern w:val="0"/>
                <w:szCs w:val="21"/>
              </w:rPr>
              <w:t>运输方案</w:t>
            </w:r>
            <w:r>
              <w:rPr>
                <w:rFonts w:hint="eastAsia" w:ascii="宋体" w:hAnsi="宋体" w:cs="宋体"/>
                <w:color w:val="000000"/>
                <w:kern w:val="0"/>
                <w:szCs w:val="21"/>
                <w:lang w:eastAsia="zh-CN"/>
              </w:rPr>
              <w:t>；</w:t>
            </w:r>
            <w:r>
              <w:rPr>
                <w:rFonts w:hint="eastAsia" w:ascii="宋体" w:hAnsi="宋体" w:eastAsia="宋体" w:cs="宋体"/>
                <w:sz w:val="21"/>
                <w:szCs w:val="21"/>
                <w:highlight w:val="none"/>
                <w:lang w:val="en-US" w:eastAsia="zh-CN"/>
              </w:rPr>
              <w:t>③</w:t>
            </w:r>
            <w:r>
              <w:rPr>
                <w:rFonts w:hint="eastAsia" w:ascii="宋体" w:hAnsi="宋体" w:cs="宋体"/>
                <w:color w:val="000000"/>
                <w:kern w:val="0"/>
                <w:szCs w:val="21"/>
              </w:rPr>
              <w:t>保障措施</w:t>
            </w:r>
            <w:r>
              <w:rPr>
                <w:rFonts w:hint="eastAsia" w:ascii="宋体" w:hAnsi="宋体" w:cs="宋体"/>
                <w:color w:val="000000"/>
                <w:kern w:val="0"/>
                <w:szCs w:val="21"/>
                <w:lang w:val="en-US" w:eastAsia="zh-CN"/>
              </w:rPr>
              <w:t>方案等</w:t>
            </w:r>
            <w:r>
              <w:rPr>
                <w:rFonts w:hint="eastAsia" w:ascii="宋体" w:hAnsi="宋体" w:cs="宋体"/>
                <w:color w:val="000000"/>
                <w:kern w:val="0"/>
                <w:szCs w:val="21"/>
              </w:rPr>
              <w:t>方案</w:t>
            </w:r>
            <w:r>
              <w:rPr>
                <w:rFonts w:hint="eastAsia" w:ascii="宋体" w:hAnsi="宋体" w:eastAsia="宋体" w:cs="宋体"/>
                <w:b w:val="0"/>
                <w:bCs w:val="0"/>
                <w:color w:val="auto"/>
                <w:sz w:val="21"/>
                <w:szCs w:val="21"/>
                <w:highlight w:val="none"/>
                <w:lang w:val="en-US" w:eastAsia="zh-CN"/>
              </w:rPr>
              <w:t>。评标委员会将根据方案内容的完整性、专业性、规范性进行综合评审，完整、可行、具有操作性，完全满足本项目采购需求的，计</w:t>
            </w:r>
            <w:r>
              <w:rPr>
                <w:rFonts w:hint="eastAsia" w:ascii="宋体" w:hAnsi="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val="en-US" w:eastAsia="zh-CN"/>
              </w:rPr>
              <w:t>分。以上内容每缺一项扣</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分，每有一处缺陷扣1分。(缺陷是指:非专门针对本项目或不适用项目特性的情形、或内容不完整或缺少关键节点、或套用其他项目方案、或存在内容前后矛盾、规范及标准错误，不利于项目实施或不可能实现等任意一种情形)。</w:t>
            </w:r>
          </w:p>
        </w:tc>
      </w:tr>
      <w:tr w14:paraId="24F3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481" w:type="pct"/>
            <w:vMerge w:val="restart"/>
            <w:vAlign w:val="center"/>
          </w:tcPr>
          <w:p w14:paraId="2C81CD15">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商务部分</w:t>
            </w:r>
          </w:p>
          <w:p w14:paraId="0345F38D">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r>
              <w:rPr>
                <w:rFonts w:hint="eastAsia" w:ascii="宋体" w:hAnsi="宋体" w:cs="宋体"/>
                <w:b w:val="0"/>
                <w:bCs w:val="0"/>
                <w:color w:val="auto"/>
                <w:sz w:val="21"/>
                <w:szCs w:val="21"/>
                <w:highlight w:val="none"/>
                <w:lang w:val="en-US" w:eastAsia="zh-CN"/>
              </w:rPr>
              <w:t>18</w:t>
            </w:r>
            <w:r>
              <w:rPr>
                <w:rFonts w:hint="eastAsia" w:ascii="宋体" w:hAnsi="宋体" w:eastAsia="宋体" w:cs="宋体"/>
                <w:b w:val="0"/>
                <w:bCs w:val="0"/>
                <w:color w:val="auto"/>
                <w:sz w:val="21"/>
                <w:szCs w:val="21"/>
                <w:highlight w:val="none"/>
              </w:rPr>
              <w:t>分）</w:t>
            </w:r>
          </w:p>
        </w:tc>
        <w:tc>
          <w:tcPr>
            <w:tcW w:w="547" w:type="pct"/>
            <w:vAlign w:val="center"/>
          </w:tcPr>
          <w:p w14:paraId="024E1B2F">
            <w:pPr>
              <w:keepNext w:val="0"/>
              <w:keepLines w:val="0"/>
              <w:pageBreakBefore w:val="0"/>
              <w:overflowPunct/>
              <w:bidi w:val="0"/>
              <w:spacing w:line="360" w:lineRule="exact"/>
              <w:jc w:val="center"/>
              <w:rPr>
                <w:rFonts w:hint="eastAsia" w:ascii="宋体" w:hAnsi="宋体" w:cs="宋体"/>
                <w:szCs w:val="21"/>
              </w:rPr>
            </w:pPr>
            <w:r>
              <w:rPr>
                <w:rFonts w:hint="eastAsia" w:ascii="宋体" w:hAnsi="宋体" w:cs="宋体"/>
                <w:szCs w:val="21"/>
              </w:rPr>
              <w:t>企业</w:t>
            </w:r>
          </w:p>
          <w:p w14:paraId="5EAF8FD6">
            <w:pPr>
              <w:keepNext w:val="0"/>
              <w:keepLines w:val="0"/>
              <w:pageBreakBefore w:val="0"/>
              <w:overflowPunct/>
              <w:bidi w:val="0"/>
              <w:spacing w:line="360" w:lineRule="exact"/>
              <w:jc w:val="center"/>
              <w:rPr>
                <w:rFonts w:hint="eastAsia" w:ascii="宋体" w:hAnsi="宋体" w:eastAsia="宋体" w:cs="宋体"/>
                <w:b w:val="0"/>
                <w:bCs w:val="0"/>
                <w:color w:val="auto"/>
                <w:sz w:val="21"/>
                <w:szCs w:val="21"/>
                <w:highlight w:val="none"/>
              </w:rPr>
            </w:pPr>
            <w:r>
              <w:rPr>
                <w:rFonts w:hint="eastAsia" w:ascii="宋体" w:hAnsi="宋体" w:cs="宋体"/>
                <w:szCs w:val="21"/>
              </w:rPr>
              <w:t>业绩</w:t>
            </w:r>
          </w:p>
        </w:tc>
        <w:tc>
          <w:tcPr>
            <w:tcW w:w="394" w:type="pct"/>
            <w:vAlign w:val="center"/>
          </w:tcPr>
          <w:p w14:paraId="50BF8E74">
            <w:pPr>
              <w:keepNext w:val="0"/>
              <w:keepLines w:val="0"/>
              <w:pageBreakBefore w:val="0"/>
              <w:widowControl/>
              <w:overflowPunct/>
              <w:bidi w:val="0"/>
              <w:spacing w:line="360" w:lineRule="exact"/>
              <w:jc w:val="center"/>
              <w:rPr>
                <w:rFonts w:hint="eastAsia" w:ascii="宋体" w:hAnsi="宋体" w:eastAsia="宋体" w:cs="宋体"/>
                <w:b w:val="0"/>
                <w:bCs w:val="0"/>
                <w:color w:val="auto"/>
                <w:sz w:val="21"/>
                <w:szCs w:val="21"/>
                <w:highlight w:val="none"/>
              </w:rPr>
            </w:pPr>
            <w:r>
              <w:rPr>
                <w:rFonts w:hint="eastAsia" w:ascii="宋体" w:hAnsi="宋体"/>
                <w:szCs w:val="21"/>
                <w:lang w:val="en-US" w:eastAsia="zh-CN"/>
              </w:rPr>
              <w:t>4</w:t>
            </w:r>
            <w:r>
              <w:rPr>
                <w:rFonts w:hint="eastAsia" w:ascii="宋体" w:hAnsi="宋体"/>
                <w:szCs w:val="21"/>
              </w:rPr>
              <w:t>分</w:t>
            </w:r>
          </w:p>
        </w:tc>
        <w:tc>
          <w:tcPr>
            <w:tcW w:w="3576" w:type="pct"/>
            <w:vAlign w:val="center"/>
          </w:tcPr>
          <w:p w14:paraId="611BF5B6">
            <w:pPr>
              <w:keepNext w:val="0"/>
              <w:keepLines w:val="0"/>
              <w:pageBreakBefore w:val="0"/>
              <w:widowControl/>
              <w:overflowPunct/>
              <w:bidi w:val="0"/>
              <w:spacing w:line="360" w:lineRule="exact"/>
              <w:rPr>
                <w:rFonts w:ascii="宋体" w:hAnsi="宋体" w:cs="宋体"/>
                <w:b w:val="0"/>
                <w:bCs w:val="0"/>
                <w:kern w:val="0"/>
                <w:szCs w:val="21"/>
              </w:rPr>
            </w:pPr>
            <w:r>
              <w:rPr>
                <w:rFonts w:ascii="宋体" w:hAnsi="宋体" w:cs="宋体"/>
                <w:b w:val="0"/>
                <w:bCs w:val="0"/>
                <w:kern w:val="0"/>
                <w:szCs w:val="21"/>
              </w:rPr>
              <w:t>近三年来（20</w:t>
            </w:r>
            <w:r>
              <w:rPr>
                <w:rFonts w:hint="eastAsia" w:ascii="宋体" w:hAnsi="宋体" w:cs="宋体"/>
                <w:b w:val="0"/>
                <w:bCs w:val="0"/>
                <w:kern w:val="0"/>
                <w:szCs w:val="21"/>
                <w:lang w:val="en-US" w:eastAsia="zh-CN"/>
              </w:rPr>
              <w:t>23</w:t>
            </w:r>
            <w:r>
              <w:rPr>
                <w:rFonts w:ascii="宋体" w:hAnsi="宋体" w:cs="宋体"/>
                <w:b w:val="0"/>
                <w:bCs w:val="0"/>
                <w:kern w:val="0"/>
                <w:szCs w:val="21"/>
              </w:rPr>
              <w:t xml:space="preserve"> 年至投标截止时间止。时间以合同签订的时间为准），</w:t>
            </w:r>
            <w:r>
              <w:rPr>
                <w:rFonts w:hint="eastAsia" w:ascii="宋体" w:hAnsi="宋体" w:cs="宋体"/>
                <w:b w:val="0"/>
                <w:bCs w:val="0"/>
                <w:kern w:val="0"/>
                <w:szCs w:val="21"/>
                <w:lang w:eastAsia="zh-CN"/>
              </w:rPr>
              <w:t>供应商</w:t>
            </w:r>
            <w:r>
              <w:rPr>
                <w:rFonts w:ascii="宋体" w:hAnsi="宋体" w:cs="宋体"/>
                <w:b w:val="0"/>
                <w:bCs w:val="0"/>
                <w:kern w:val="0"/>
                <w:szCs w:val="21"/>
              </w:rPr>
              <w:t>所投产品具有同类型项目业绩的，每个计</w:t>
            </w:r>
            <w:r>
              <w:rPr>
                <w:rFonts w:hint="eastAsia" w:ascii="宋体" w:hAnsi="宋体" w:cs="宋体"/>
                <w:b w:val="0"/>
                <w:bCs w:val="0"/>
                <w:kern w:val="0"/>
                <w:szCs w:val="21"/>
                <w:lang w:val="en-US" w:eastAsia="zh-CN"/>
              </w:rPr>
              <w:t>2</w:t>
            </w:r>
            <w:r>
              <w:rPr>
                <w:rFonts w:ascii="宋体" w:hAnsi="宋体" w:cs="宋体"/>
                <w:b w:val="0"/>
                <w:bCs w:val="0"/>
                <w:kern w:val="0"/>
                <w:szCs w:val="21"/>
              </w:rPr>
              <w:t>分，计满</w:t>
            </w:r>
            <w:r>
              <w:rPr>
                <w:rFonts w:hint="eastAsia" w:ascii="宋体" w:hAnsi="宋体" w:cs="宋体"/>
                <w:b w:val="0"/>
                <w:bCs w:val="0"/>
                <w:kern w:val="0"/>
                <w:szCs w:val="21"/>
                <w:lang w:val="en-US" w:eastAsia="zh-CN"/>
              </w:rPr>
              <w:t>4分</w:t>
            </w:r>
            <w:r>
              <w:rPr>
                <w:rFonts w:ascii="宋体" w:hAnsi="宋体" w:cs="宋体"/>
                <w:b w:val="0"/>
                <w:bCs w:val="0"/>
                <w:kern w:val="0"/>
                <w:szCs w:val="21"/>
              </w:rPr>
              <w:t xml:space="preserve">为止。 </w:t>
            </w:r>
          </w:p>
          <w:p w14:paraId="39A0BEF4">
            <w:pPr>
              <w:keepNext w:val="0"/>
              <w:keepLines w:val="0"/>
              <w:pageBreakBefore w:val="0"/>
              <w:widowControl/>
              <w:overflowPunct/>
              <w:bidi w:val="0"/>
              <w:spacing w:line="360" w:lineRule="exact"/>
              <w:rPr>
                <w:rFonts w:hint="eastAsia" w:ascii="宋体" w:hAnsi="宋体" w:eastAsia="宋体" w:cs="宋体"/>
                <w:b w:val="0"/>
                <w:bCs w:val="0"/>
                <w:color w:val="auto"/>
                <w:sz w:val="21"/>
                <w:szCs w:val="21"/>
                <w:highlight w:val="none"/>
              </w:rPr>
            </w:pPr>
            <w:r>
              <w:rPr>
                <w:rFonts w:ascii="宋体" w:hAnsi="宋体" w:cs="宋体"/>
                <w:b w:val="0"/>
                <w:bCs w:val="0"/>
                <w:kern w:val="0"/>
                <w:szCs w:val="21"/>
              </w:rPr>
              <w:t>备注：业绩证明材料必须提供合同复印件。</w:t>
            </w:r>
          </w:p>
        </w:tc>
      </w:tr>
      <w:tr w14:paraId="2C43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481" w:type="pct"/>
            <w:vMerge w:val="continue"/>
            <w:vAlign w:val="center"/>
          </w:tcPr>
          <w:p w14:paraId="0B3D41D3">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p>
        </w:tc>
        <w:tc>
          <w:tcPr>
            <w:tcW w:w="547" w:type="pct"/>
            <w:vAlign w:val="center"/>
          </w:tcPr>
          <w:p w14:paraId="67F1AA5E">
            <w:pPr>
              <w:keepNext w:val="0"/>
              <w:keepLines w:val="0"/>
              <w:pageBreakBefore w:val="0"/>
              <w:tabs>
                <w:tab w:val="left" w:pos="0"/>
              </w:tabs>
              <w:overflowPunct/>
              <w:bidi w:val="0"/>
              <w:adjustRightInd w:val="0"/>
              <w:snapToGrid w:val="0"/>
              <w:spacing w:before="156" w:beforeLines="50" w:line="360" w:lineRule="exact"/>
              <w:jc w:val="center"/>
              <w:rPr>
                <w:rFonts w:hint="eastAsia" w:ascii="宋体" w:hAnsi="宋体" w:eastAsia="宋体" w:cs="宋体"/>
                <w:b w:val="0"/>
                <w:bCs w:val="0"/>
                <w:color w:val="auto"/>
                <w:sz w:val="21"/>
                <w:szCs w:val="21"/>
                <w:highlight w:val="none"/>
              </w:rPr>
            </w:pPr>
            <w:r>
              <w:rPr>
                <w:rFonts w:hint="eastAsia" w:ascii="宋体" w:hAnsi="宋体"/>
                <w:szCs w:val="21"/>
                <w:lang w:val="en-US" w:eastAsia="zh-CN"/>
              </w:rPr>
              <w:t>团队实力</w:t>
            </w:r>
          </w:p>
        </w:tc>
        <w:tc>
          <w:tcPr>
            <w:tcW w:w="394" w:type="pct"/>
            <w:vAlign w:val="center"/>
          </w:tcPr>
          <w:p w14:paraId="2D2537DE">
            <w:pPr>
              <w:keepNext w:val="0"/>
              <w:keepLines w:val="0"/>
              <w:pageBreakBefore w:val="0"/>
              <w:tabs>
                <w:tab w:val="left" w:pos="0"/>
              </w:tabs>
              <w:overflowPunct/>
              <w:bidi w:val="0"/>
              <w:adjustRightInd w:val="0"/>
              <w:snapToGrid w:val="0"/>
              <w:spacing w:before="156" w:beforeLines="50" w:line="360" w:lineRule="exact"/>
              <w:jc w:val="center"/>
              <w:rPr>
                <w:rFonts w:hint="eastAsia" w:ascii="宋体" w:hAnsi="宋体" w:eastAsia="宋体" w:cs="宋体"/>
                <w:b w:val="0"/>
                <w:bCs w:val="0"/>
                <w:color w:val="auto"/>
                <w:sz w:val="21"/>
                <w:szCs w:val="21"/>
                <w:highlight w:val="none"/>
              </w:rPr>
            </w:pPr>
            <w:r>
              <w:rPr>
                <w:rFonts w:hint="eastAsia" w:ascii="宋体" w:hAnsi="宋体"/>
                <w:szCs w:val="21"/>
                <w:lang w:val="en-US" w:eastAsia="zh-CN"/>
              </w:rPr>
              <w:t>6分</w:t>
            </w:r>
          </w:p>
        </w:tc>
        <w:tc>
          <w:tcPr>
            <w:tcW w:w="3576" w:type="pct"/>
            <w:vAlign w:val="center"/>
          </w:tcPr>
          <w:p w14:paraId="634F01EC">
            <w:pPr>
              <w:keepNext w:val="0"/>
              <w:keepLines w:val="0"/>
              <w:pageBreakBefore w:val="0"/>
              <w:widowControl/>
              <w:overflowPunct/>
              <w:bidi w:val="0"/>
              <w:spacing w:line="360" w:lineRule="exact"/>
              <w:jc w:val="left"/>
              <w:rPr>
                <w:rFonts w:hint="eastAsia" w:ascii="宋体" w:hAnsi="宋体"/>
                <w:szCs w:val="21"/>
              </w:rPr>
            </w:pPr>
            <w:r>
              <w:rPr>
                <w:rFonts w:hint="eastAsia" w:ascii="宋体" w:hAnsi="宋体"/>
                <w:szCs w:val="21"/>
              </w:rPr>
              <w:t>为保证项目顺利实施，供应商为本项目派遣专业技术服务团队，其中包含项目经理1名、实施团队成员多名:</w:t>
            </w:r>
          </w:p>
          <w:p w14:paraId="567BFD7B">
            <w:pPr>
              <w:keepNext w:val="0"/>
              <w:keepLines w:val="0"/>
              <w:pageBreakBefore w:val="0"/>
              <w:widowControl/>
              <w:numPr>
                <w:ilvl w:val="0"/>
                <w:numId w:val="3"/>
              </w:numPr>
              <w:overflowPunct/>
              <w:bidi w:val="0"/>
              <w:spacing w:line="360" w:lineRule="exact"/>
              <w:jc w:val="left"/>
              <w:rPr>
                <w:rFonts w:hint="eastAsia" w:ascii="宋体" w:hAnsi="宋体"/>
                <w:szCs w:val="21"/>
                <w:lang w:val="en-US" w:eastAsia="zh-CN"/>
              </w:rPr>
            </w:pPr>
            <w:r>
              <w:rPr>
                <w:rFonts w:hint="eastAsia" w:ascii="宋体" w:hAnsi="宋体"/>
                <w:szCs w:val="21"/>
              </w:rPr>
              <w:t>拟任项目经理1人，具备网络工程师证书、信息安全管理认证证书，每满足</w:t>
            </w:r>
            <w:r>
              <w:rPr>
                <w:rFonts w:hint="eastAsia" w:ascii="宋体" w:hAnsi="宋体"/>
                <w:szCs w:val="21"/>
                <w:lang w:eastAsia="zh-CN"/>
              </w:rPr>
              <w:t>一项证书</w:t>
            </w:r>
            <w:r>
              <w:rPr>
                <w:rFonts w:hint="eastAsia" w:ascii="宋体" w:hAnsi="宋体"/>
                <w:szCs w:val="21"/>
              </w:rPr>
              <w:t>计</w:t>
            </w:r>
            <w:r>
              <w:rPr>
                <w:rFonts w:hint="eastAsia" w:ascii="宋体" w:hAnsi="宋体"/>
                <w:szCs w:val="21"/>
                <w:lang w:val="en-US" w:eastAsia="zh-CN"/>
              </w:rPr>
              <w:t>1</w:t>
            </w:r>
            <w:r>
              <w:rPr>
                <w:rFonts w:hint="eastAsia" w:ascii="宋体" w:hAnsi="宋体"/>
                <w:szCs w:val="21"/>
              </w:rPr>
              <w:t>分，最高计</w:t>
            </w:r>
            <w:r>
              <w:rPr>
                <w:rFonts w:hint="eastAsia" w:ascii="宋体" w:hAnsi="宋体"/>
                <w:szCs w:val="21"/>
                <w:lang w:val="en-US" w:eastAsia="zh-CN"/>
              </w:rPr>
              <w:t>2</w:t>
            </w:r>
            <w:r>
              <w:rPr>
                <w:rFonts w:hint="eastAsia" w:ascii="宋体" w:hAnsi="宋体"/>
                <w:szCs w:val="21"/>
              </w:rPr>
              <w:t>分。</w:t>
            </w:r>
          </w:p>
          <w:p w14:paraId="5A4C8F4A">
            <w:pPr>
              <w:keepNext w:val="0"/>
              <w:keepLines w:val="0"/>
              <w:pageBreakBefore w:val="0"/>
              <w:widowControl/>
              <w:numPr>
                <w:ilvl w:val="0"/>
                <w:numId w:val="3"/>
              </w:numPr>
              <w:overflowPunct/>
              <w:bidi w:val="0"/>
              <w:spacing w:line="360" w:lineRule="exact"/>
              <w:jc w:val="left"/>
              <w:rPr>
                <w:rFonts w:hint="eastAsia" w:ascii="宋体" w:hAnsi="宋体"/>
                <w:szCs w:val="21"/>
              </w:rPr>
            </w:pPr>
            <w:r>
              <w:rPr>
                <w:rFonts w:hint="eastAsia" w:ascii="宋体" w:hAnsi="宋体"/>
                <w:szCs w:val="21"/>
              </w:rPr>
              <w:t>拟投入本项目技术服务团队人员中除项目经理外具备①注册信息安全工程师、②系统集成项目管理工程师、③网络通信安全管理员、④设备环境工程师的，每具备一种证书类别的专业人员计</w:t>
            </w:r>
            <w:r>
              <w:rPr>
                <w:rFonts w:hint="eastAsia" w:ascii="宋体" w:hAnsi="宋体"/>
                <w:szCs w:val="21"/>
                <w:lang w:val="en-US" w:eastAsia="zh-CN"/>
              </w:rPr>
              <w:t>1</w:t>
            </w:r>
            <w:r>
              <w:rPr>
                <w:rFonts w:hint="eastAsia" w:ascii="宋体" w:hAnsi="宋体"/>
                <w:szCs w:val="21"/>
              </w:rPr>
              <w:t>分（每种类别的证书仅计一次分，同一人具备多种证书不重复计分），最高计</w:t>
            </w:r>
            <w:r>
              <w:rPr>
                <w:rFonts w:hint="eastAsia" w:ascii="宋体" w:hAnsi="宋体"/>
                <w:szCs w:val="21"/>
                <w:lang w:val="en-US" w:eastAsia="zh-CN"/>
              </w:rPr>
              <w:t>4</w:t>
            </w:r>
            <w:r>
              <w:rPr>
                <w:rFonts w:hint="eastAsia" w:ascii="宋体" w:hAnsi="宋体"/>
                <w:szCs w:val="21"/>
              </w:rPr>
              <w:t>分。</w:t>
            </w:r>
          </w:p>
          <w:p w14:paraId="15DC5E69">
            <w:pPr>
              <w:keepNext w:val="0"/>
              <w:keepLines w:val="0"/>
              <w:pageBreakBefore w:val="0"/>
              <w:widowControl/>
              <w:overflowPunct/>
              <w:bidi w:val="0"/>
              <w:spacing w:line="360" w:lineRule="exact"/>
              <w:jc w:val="left"/>
              <w:rPr>
                <w:rFonts w:hint="eastAsia" w:ascii="宋体" w:hAnsi="宋体" w:eastAsia="宋体" w:cs="宋体"/>
                <w:b w:val="0"/>
                <w:bCs w:val="0"/>
                <w:color w:val="auto"/>
                <w:sz w:val="21"/>
                <w:szCs w:val="21"/>
                <w:highlight w:val="none"/>
              </w:rPr>
            </w:pPr>
            <w:r>
              <w:rPr>
                <w:rFonts w:hint="eastAsia" w:ascii="宋体" w:hAnsi="宋体"/>
                <w:szCs w:val="21"/>
              </w:rPr>
              <w:t>上述团队人员均需提供人员证书复印件、供应商近三个月</w:t>
            </w:r>
            <w:r>
              <w:rPr>
                <w:rFonts w:hint="eastAsia" w:ascii="宋体" w:hAnsi="宋体"/>
                <w:szCs w:val="21"/>
                <w:lang w:eastAsia="zh-CN"/>
              </w:rPr>
              <w:t>中任意一个月</w:t>
            </w:r>
            <w:r>
              <w:rPr>
                <w:rFonts w:hint="eastAsia" w:ascii="宋体" w:hAnsi="宋体"/>
                <w:szCs w:val="21"/>
              </w:rPr>
              <w:t>为其缴纳社保的证明材料并加盖供应商公章，未按要求提供或未提供的不得分。</w:t>
            </w:r>
          </w:p>
        </w:tc>
      </w:tr>
      <w:tr w14:paraId="5252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481" w:type="pct"/>
            <w:vMerge w:val="continue"/>
            <w:vAlign w:val="center"/>
          </w:tcPr>
          <w:p w14:paraId="1D1C00DB">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rPr>
                <w:rFonts w:hint="eastAsia" w:ascii="宋体" w:hAnsi="宋体" w:eastAsia="宋体" w:cs="宋体"/>
                <w:b w:val="0"/>
                <w:bCs w:val="0"/>
                <w:color w:val="auto"/>
                <w:sz w:val="21"/>
                <w:szCs w:val="21"/>
                <w:highlight w:val="none"/>
              </w:rPr>
            </w:pPr>
          </w:p>
        </w:tc>
        <w:tc>
          <w:tcPr>
            <w:tcW w:w="547" w:type="pct"/>
            <w:vAlign w:val="center"/>
          </w:tcPr>
          <w:p w14:paraId="08ACC2E9">
            <w:pPr>
              <w:keepNext w:val="0"/>
              <w:keepLines w:val="0"/>
              <w:pageBreakBefore w:val="0"/>
              <w:tabs>
                <w:tab w:val="left" w:pos="0"/>
              </w:tabs>
              <w:overflowPunct/>
              <w:bidi w:val="0"/>
              <w:adjustRightInd w:val="0"/>
              <w:snapToGrid w:val="0"/>
              <w:spacing w:before="156" w:beforeLines="50" w:line="36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szCs w:val="21"/>
              </w:rPr>
              <w:t>售后服务体系</w:t>
            </w:r>
          </w:p>
        </w:tc>
        <w:tc>
          <w:tcPr>
            <w:tcW w:w="394" w:type="pct"/>
            <w:vAlign w:val="center"/>
          </w:tcPr>
          <w:p w14:paraId="3E8CCF2E">
            <w:pPr>
              <w:keepNext w:val="0"/>
              <w:keepLines w:val="0"/>
              <w:pageBreakBefore w:val="0"/>
              <w:tabs>
                <w:tab w:val="left" w:pos="0"/>
              </w:tabs>
              <w:overflowPunct/>
              <w:bidi w:val="0"/>
              <w:adjustRightInd w:val="0"/>
              <w:snapToGrid w:val="0"/>
              <w:spacing w:before="156" w:beforeLines="50" w:line="360" w:lineRule="exact"/>
              <w:jc w:val="center"/>
              <w:rPr>
                <w:rFonts w:hint="eastAsia" w:ascii="宋体" w:hAnsi="宋体" w:eastAsia="宋体" w:cs="宋体"/>
                <w:sz w:val="21"/>
                <w:szCs w:val="21"/>
              </w:rPr>
            </w:pPr>
            <w:r>
              <w:rPr>
                <w:rFonts w:hint="eastAsia" w:ascii="宋体" w:hAnsi="宋体"/>
                <w:szCs w:val="21"/>
                <w:lang w:val="en-US" w:eastAsia="zh-CN"/>
              </w:rPr>
              <w:t>8</w:t>
            </w:r>
            <w:r>
              <w:rPr>
                <w:rFonts w:hint="eastAsia"/>
                <w:szCs w:val="21"/>
              </w:rPr>
              <w:t>分</w:t>
            </w:r>
          </w:p>
        </w:tc>
        <w:tc>
          <w:tcPr>
            <w:tcW w:w="3576" w:type="pct"/>
            <w:vAlign w:val="center"/>
          </w:tcPr>
          <w:p w14:paraId="5E32A14B">
            <w:pPr>
              <w:keepNext w:val="0"/>
              <w:keepLines w:val="0"/>
              <w:pageBreakBefore w:val="0"/>
              <w:widowControl/>
              <w:overflowPunct/>
              <w:bidi w:val="0"/>
              <w:spacing w:line="360" w:lineRule="exact"/>
              <w:jc w:val="left"/>
              <w:rPr>
                <w:rFonts w:hint="eastAsia" w:ascii="宋体" w:hAnsi="宋体" w:eastAsia="宋体" w:cs="宋体"/>
                <w:b w:val="0"/>
                <w:bCs w:val="0"/>
                <w:color w:val="auto"/>
                <w:sz w:val="21"/>
                <w:szCs w:val="21"/>
                <w:highlight w:val="none"/>
                <w:lang w:val="en-US" w:eastAsia="zh-CN"/>
              </w:rPr>
            </w:pPr>
            <w:r>
              <w:rPr>
                <w:rFonts w:hint="eastAsia" w:ascii="宋体" w:hAnsi="宋体"/>
                <w:szCs w:val="21"/>
              </w:rPr>
              <w:t>维护与售后服务方案，是否有完备的售后服务体系及保修承诺措施，能够切实保证本项目的要求，根据</w:t>
            </w:r>
            <w:r>
              <w:rPr>
                <w:rFonts w:hint="eastAsia" w:ascii="宋体" w:hAnsi="宋体"/>
                <w:szCs w:val="21"/>
                <w:lang w:eastAsia="zh-CN"/>
              </w:rPr>
              <w:t>供应商</w:t>
            </w:r>
            <w:r>
              <w:rPr>
                <w:rFonts w:hint="eastAsia" w:ascii="宋体" w:hAnsi="宋体"/>
                <w:szCs w:val="21"/>
              </w:rPr>
              <w:t>的</w:t>
            </w:r>
            <w:r>
              <w:rPr>
                <w:rFonts w:hint="eastAsia" w:ascii="宋体" w:hAnsi="宋体" w:cs="宋体"/>
                <w:color w:val="auto"/>
              </w:rPr>
              <w:t>①</w:t>
            </w:r>
            <w:r>
              <w:rPr>
                <w:rFonts w:hint="eastAsia" w:ascii="宋体" w:hAnsi="宋体"/>
                <w:szCs w:val="21"/>
              </w:rPr>
              <w:t>售后服务措施、</w:t>
            </w:r>
            <w:r>
              <w:rPr>
                <w:rFonts w:hint="eastAsia" w:ascii="宋体" w:hAnsi="宋体" w:cs="宋体"/>
                <w:color w:val="auto"/>
              </w:rPr>
              <w:t>②</w:t>
            </w:r>
            <w:r>
              <w:rPr>
                <w:rFonts w:hint="eastAsia" w:ascii="宋体" w:hAnsi="宋体"/>
                <w:szCs w:val="21"/>
              </w:rPr>
              <w:t>响应时间、</w:t>
            </w:r>
            <w:r>
              <w:rPr>
                <w:rFonts w:hint="eastAsia" w:ascii="宋体" w:hAnsi="宋体" w:cs="宋体"/>
                <w:color w:val="auto"/>
              </w:rPr>
              <w:t>③</w:t>
            </w:r>
            <w:r>
              <w:rPr>
                <w:rFonts w:hint="eastAsia" w:ascii="宋体" w:hAnsi="宋体"/>
                <w:szCs w:val="21"/>
              </w:rPr>
              <w:t>维保机制、</w:t>
            </w:r>
            <w:r>
              <w:rPr>
                <w:rFonts w:hint="eastAsia" w:ascii="宋体" w:hAnsi="宋体" w:eastAsia="宋体" w:cs="宋体"/>
                <w:sz w:val="21"/>
                <w:szCs w:val="21"/>
                <w:lang w:val="en-US" w:eastAsia="zh-CN"/>
              </w:rPr>
              <w:t>④</w:t>
            </w:r>
            <w:r>
              <w:rPr>
                <w:rFonts w:hint="eastAsia" w:ascii="宋体" w:hAnsi="宋体"/>
                <w:szCs w:val="21"/>
              </w:rPr>
              <w:t>维保人员信息等</w:t>
            </w:r>
            <w:r>
              <w:rPr>
                <w:rFonts w:hint="eastAsia" w:ascii="宋体" w:hAnsi="宋体"/>
                <w:szCs w:val="21"/>
                <w:lang w:eastAsia="zh-CN"/>
              </w:rPr>
              <w:t>，</w:t>
            </w:r>
            <w:r>
              <w:rPr>
                <w:rFonts w:hint="eastAsia" w:ascii="宋体" w:hAnsi="宋体"/>
                <w:szCs w:val="21"/>
                <w:lang w:val="en-US" w:eastAsia="zh-CN"/>
              </w:rPr>
              <w:t>并提供售后服务承诺函，</w:t>
            </w:r>
            <w:r>
              <w:rPr>
                <w:rFonts w:hint="eastAsia" w:ascii="宋体" w:hAnsi="宋体" w:eastAsia="宋体" w:cs="宋体"/>
                <w:sz w:val="21"/>
                <w:szCs w:val="21"/>
                <w:lang w:val="en-US" w:eastAsia="zh-CN"/>
              </w:rPr>
              <w:t>方案内容满足本项目采购需求且内容详细、科学合理、可行性强的以上每项计2分，方案内容不详细或描述不到位或欠合理的以上每项每处计1分，本项最多计</w:t>
            </w:r>
            <w:r>
              <w:rPr>
                <w:rFonts w:hint="eastAsia" w:ascii="宋体" w:hAnsi="宋体" w:cs="宋体"/>
                <w:sz w:val="21"/>
                <w:szCs w:val="21"/>
                <w:lang w:val="en-US" w:eastAsia="zh-CN"/>
              </w:rPr>
              <w:t>8</w:t>
            </w:r>
            <w:r>
              <w:rPr>
                <w:rFonts w:hint="eastAsia" w:ascii="宋体" w:hAnsi="宋体" w:eastAsia="宋体" w:cs="宋体"/>
                <w:sz w:val="21"/>
                <w:szCs w:val="21"/>
                <w:lang w:val="en-US" w:eastAsia="zh-CN"/>
              </w:rPr>
              <w:t>分，未提供方案的不计分。</w:t>
            </w:r>
            <w:r>
              <w:rPr>
                <w:rFonts w:hint="eastAsia" w:ascii="宋体" w:hAnsi="宋体" w:eastAsia="宋体" w:cs="宋体"/>
                <w:sz w:val="21"/>
                <w:szCs w:val="21"/>
                <w:highlight w:val="none"/>
                <w:lang w:val="en-US" w:eastAsia="zh-CN"/>
              </w:rPr>
              <w:t>(缺陷是指:非专门针对本项目或不适用项目特性的情形、或内容不完整或缺少关键节点、或套用其他项目方案、或存在内容前后矛盾、规范及标准错误，不利于项目实施或不可能实现等任意一种</w:t>
            </w:r>
            <w:r>
              <w:rPr>
                <w:rFonts w:hint="eastAsia" w:ascii="宋体" w:hAnsi="宋体" w:cs="宋体"/>
                <w:sz w:val="21"/>
                <w:szCs w:val="21"/>
                <w:highlight w:val="none"/>
                <w:lang w:val="en-US" w:eastAsia="zh-CN"/>
              </w:rPr>
              <w:t>情形</w:t>
            </w:r>
            <w:r>
              <w:rPr>
                <w:rFonts w:hint="eastAsia" w:ascii="宋体" w:hAnsi="宋体" w:eastAsia="宋体" w:cs="宋体"/>
                <w:sz w:val="21"/>
                <w:szCs w:val="21"/>
                <w:highlight w:val="none"/>
                <w:lang w:val="en-US" w:eastAsia="zh-CN"/>
              </w:rPr>
              <w:t>)。</w:t>
            </w:r>
          </w:p>
        </w:tc>
      </w:tr>
      <w:tr w14:paraId="1FF7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5000" w:type="pct"/>
            <w:gridSpan w:val="4"/>
            <w:vAlign w:val="center"/>
          </w:tcPr>
          <w:p w14:paraId="61520FCE">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说明：</w:t>
            </w:r>
          </w:p>
          <w:p w14:paraId="649687ED">
            <w:pPr>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1、供应商的综合得分为：所有</w:t>
            </w:r>
            <w:r>
              <w:rPr>
                <w:rFonts w:hint="eastAsia" w:ascii="宋体" w:hAnsi="宋体" w:eastAsia="宋体" w:cs="宋体"/>
                <w:b w:val="0"/>
                <w:bCs w:val="0"/>
                <w:color w:val="auto"/>
                <w:sz w:val="21"/>
                <w:szCs w:val="21"/>
                <w:highlight w:val="none"/>
                <w:lang w:val="en-US" w:eastAsia="zh-CN"/>
              </w:rPr>
              <w:t>磋商小组</w:t>
            </w:r>
            <w:r>
              <w:rPr>
                <w:rFonts w:hint="eastAsia" w:ascii="宋体" w:hAnsi="宋体" w:eastAsia="宋体" w:cs="宋体"/>
                <w:b w:val="0"/>
                <w:bCs w:val="0"/>
                <w:color w:val="auto"/>
                <w:sz w:val="21"/>
                <w:szCs w:val="21"/>
                <w:highlight w:val="none"/>
              </w:rPr>
              <w:t>成员对其评标的综合得分。</w:t>
            </w:r>
          </w:p>
          <w:p w14:paraId="2EF20325">
            <w:pPr>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2、计算过程中，算术平均值保留2位小数（百分比亦取2位小数），第三位小数四舍五入。</w:t>
            </w:r>
          </w:p>
          <w:p w14:paraId="38D47196">
            <w:pPr>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3、评标结果按评审后得分由高到低顺序排列。评审得分相同的，按照最后报价由低到高的顺序推荐。评审得分且最后报价相同的，按照技术指标优劣顺序推荐排名第一的成交候选人。</w:t>
            </w:r>
          </w:p>
          <w:p w14:paraId="4A0F4E65">
            <w:pPr>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4、凡</w:t>
            </w:r>
            <w:r>
              <w:rPr>
                <w:rFonts w:hint="eastAsia" w:ascii="宋体" w:hAnsi="宋体" w:eastAsia="宋体" w:cs="宋体"/>
                <w:b w:val="0"/>
                <w:bCs w:val="0"/>
                <w:color w:val="auto"/>
                <w:sz w:val="21"/>
                <w:szCs w:val="21"/>
                <w:highlight w:val="none"/>
                <w:lang w:eastAsia="zh-CN"/>
              </w:rPr>
              <w:t>磋商小组</w:t>
            </w:r>
            <w:r>
              <w:rPr>
                <w:rFonts w:hint="eastAsia" w:ascii="宋体" w:hAnsi="宋体" w:eastAsia="宋体" w:cs="宋体"/>
                <w:b w:val="0"/>
                <w:bCs w:val="0"/>
                <w:color w:val="auto"/>
                <w:sz w:val="21"/>
                <w:szCs w:val="21"/>
                <w:highlight w:val="none"/>
              </w:rPr>
              <w:t>评分项牵涉到的证明文件、数据、承诺，响应文件中未提供、或已提供但是字迹模糊无法辨认、语义模糊易造成误解、前后文件内容不一致的则该评分项计0分处理。</w:t>
            </w:r>
          </w:p>
          <w:p w14:paraId="204D6864">
            <w:pPr>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exact"/>
              <w:ind w:left="0" w:right="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5、若提交的相关证明材料无法得到核实或未在规定的时间内提交，</w:t>
            </w:r>
            <w:r>
              <w:rPr>
                <w:rFonts w:hint="eastAsia" w:ascii="宋体" w:hAnsi="宋体" w:eastAsia="宋体" w:cs="宋体"/>
                <w:b w:val="0"/>
                <w:bCs w:val="0"/>
                <w:color w:val="auto"/>
                <w:sz w:val="21"/>
                <w:szCs w:val="21"/>
                <w:highlight w:val="none"/>
                <w:lang w:val="en-US" w:eastAsia="zh-CN"/>
              </w:rPr>
              <w:t>磋商小组</w:t>
            </w:r>
            <w:r>
              <w:rPr>
                <w:rFonts w:hint="eastAsia" w:ascii="宋体" w:hAnsi="宋体" w:eastAsia="宋体" w:cs="宋体"/>
                <w:b w:val="0"/>
                <w:bCs w:val="0"/>
                <w:color w:val="auto"/>
                <w:sz w:val="21"/>
                <w:szCs w:val="21"/>
                <w:highlight w:val="none"/>
              </w:rPr>
              <w:t>将对其所对应的评分项记0分。以上所有证明材料响应文件中需附相关资料复印件并加盖供应商公章，提供虚假资料的供应商将取消投标资格。</w:t>
            </w:r>
          </w:p>
        </w:tc>
      </w:tr>
    </w:tbl>
    <w:p w14:paraId="07BD0C04">
      <w:pPr>
        <w:pStyle w:val="3"/>
        <w:keepNext/>
        <w:keepLines/>
        <w:pageBreakBefore w:val="0"/>
        <w:widowControl w:val="0"/>
        <w:kinsoku/>
        <w:wordWrap/>
        <w:overflowPunct/>
        <w:topLinePunct w:val="0"/>
        <w:autoSpaceDE/>
        <w:autoSpaceDN/>
        <w:bidi w:val="0"/>
        <w:adjustRightInd/>
        <w:snapToGrid/>
        <w:spacing w:before="0" w:beforeLines="50"/>
        <w:jc w:val="center"/>
        <w:textAlignment w:val="auto"/>
        <w:rPr>
          <w:rFonts w:hint="eastAsia" w:eastAsia="宋体" w:cs="Times New Roman"/>
        </w:rPr>
        <w:sectPr>
          <w:headerReference r:id="rId16" w:type="default"/>
          <w:footerReference r:id="rId17" w:type="default"/>
          <w:pgSz w:w="11906" w:h="16838"/>
          <w:pgMar w:top="1474" w:right="1474" w:bottom="1284" w:left="1588" w:header="851" w:footer="737" w:gutter="0"/>
          <w:pgNumType w:fmt="decimal"/>
          <w:cols w:space="720" w:num="1"/>
          <w:docGrid w:type="lines" w:linePitch="312" w:charSpace="0"/>
        </w:sectPr>
      </w:pPr>
      <w:bookmarkStart w:id="17" w:name="_Toc16107"/>
    </w:p>
    <w:p w14:paraId="35D102BD">
      <w:pPr>
        <w:pStyle w:val="3"/>
        <w:keepNext/>
        <w:keepLines/>
        <w:pageBreakBefore w:val="0"/>
        <w:widowControl w:val="0"/>
        <w:kinsoku/>
        <w:wordWrap/>
        <w:overflowPunct/>
        <w:topLinePunct w:val="0"/>
        <w:autoSpaceDE/>
        <w:autoSpaceDN/>
        <w:bidi w:val="0"/>
        <w:adjustRightInd/>
        <w:snapToGrid/>
        <w:spacing w:before="0" w:beforeLines="50"/>
        <w:jc w:val="center"/>
        <w:textAlignment w:val="auto"/>
        <w:rPr>
          <w:rFonts w:hint="eastAsia" w:eastAsia="宋体" w:cs="Times New Roman"/>
        </w:rPr>
      </w:pPr>
      <w:r>
        <w:rPr>
          <w:rFonts w:hint="eastAsia" w:eastAsia="宋体" w:cs="Times New Roman"/>
        </w:rPr>
        <w:t>磋商须知正文</w:t>
      </w:r>
    </w:p>
    <w:p w14:paraId="7B93815C">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一、说明</w:t>
      </w:r>
    </w:p>
    <w:p w14:paraId="643EB6BC">
      <w:pPr>
        <w:adjustRightInd w:val="0"/>
        <w:snapToGrid w:val="0"/>
        <w:spacing w:line="360" w:lineRule="auto"/>
        <w:rPr>
          <w:rFonts w:hint="eastAsia" w:ascii="宋体" w:hAnsi="宋体"/>
          <w:b/>
          <w:bCs/>
          <w:color w:val="auto"/>
          <w:szCs w:val="21"/>
        </w:rPr>
      </w:pPr>
      <w:r>
        <w:rPr>
          <w:rFonts w:hint="eastAsia" w:ascii="宋体" w:hAnsi="宋体"/>
          <w:b/>
          <w:bCs/>
          <w:color w:val="auto"/>
          <w:szCs w:val="21"/>
        </w:rPr>
        <w:t>1.适用范围</w:t>
      </w:r>
    </w:p>
    <w:p w14:paraId="3286C8E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 本磋商文件仅适用于磋商须知前附表(以下简称</w:t>
      </w:r>
      <w:r>
        <w:rPr>
          <w:rFonts w:hint="eastAsia" w:ascii="宋体" w:hAnsi="宋体"/>
          <w:b/>
          <w:color w:val="auto"/>
          <w:szCs w:val="21"/>
        </w:rPr>
        <w:t>磋商须知前附表)</w:t>
      </w:r>
      <w:r>
        <w:rPr>
          <w:rFonts w:hint="eastAsia" w:ascii="宋体" w:hAnsi="宋体"/>
          <w:color w:val="auto"/>
          <w:szCs w:val="21"/>
        </w:rPr>
        <w:t>中所叙述的采购项目。</w:t>
      </w:r>
    </w:p>
    <w:p w14:paraId="64C46750">
      <w:pPr>
        <w:adjustRightInd w:val="0"/>
        <w:snapToGrid w:val="0"/>
        <w:spacing w:line="360" w:lineRule="auto"/>
        <w:rPr>
          <w:rFonts w:hint="eastAsia" w:ascii="宋体" w:hAnsi="宋体"/>
          <w:b/>
          <w:bCs/>
          <w:color w:val="auto"/>
          <w:szCs w:val="21"/>
        </w:rPr>
      </w:pPr>
      <w:r>
        <w:rPr>
          <w:rFonts w:hint="eastAsia" w:ascii="宋体" w:hAnsi="宋体"/>
          <w:b/>
          <w:bCs/>
          <w:color w:val="auto"/>
          <w:szCs w:val="21"/>
        </w:rPr>
        <w:t>2.定义</w:t>
      </w:r>
    </w:p>
    <w:p w14:paraId="751EDD61">
      <w:pPr>
        <w:adjustRightInd w:val="0"/>
        <w:snapToGrid w:val="0"/>
        <w:spacing w:line="360" w:lineRule="auto"/>
        <w:ind w:firstLine="420" w:firstLineChars="200"/>
        <w:rPr>
          <w:rFonts w:hint="eastAsia" w:ascii="宋体" w:hAnsi="宋体"/>
          <w:b/>
          <w:color w:val="auto"/>
          <w:szCs w:val="21"/>
        </w:rPr>
      </w:pPr>
      <w:r>
        <w:rPr>
          <w:rFonts w:hint="eastAsia" w:ascii="宋体" w:hAnsi="宋体"/>
          <w:color w:val="auto"/>
          <w:szCs w:val="21"/>
        </w:rPr>
        <w:t>2.1 “采购人”是指依法进行政府采购的国家机关、事业单位、团体组织。本次政府采购的采购人名称、地址、电话、联系人见</w:t>
      </w:r>
      <w:r>
        <w:rPr>
          <w:rFonts w:hint="eastAsia" w:ascii="宋体" w:hAnsi="宋体"/>
          <w:b/>
          <w:color w:val="auto"/>
          <w:szCs w:val="21"/>
        </w:rPr>
        <w:t>磋商须知前附表</w:t>
      </w:r>
      <w:r>
        <w:rPr>
          <w:rFonts w:hint="eastAsia" w:ascii="宋体" w:hAnsi="宋体"/>
          <w:color w:val="auto"/>
          <w:szCs w:val="21"/>
        </w:rPr>
        <w:t>。</w:t>
      </w:r>
    </w:p>
    <w:p w14:paraId="5018F60C">
      <w:pPr>
        <w:adjustRightInd w:val="0"/>
        <w:snapToGrid w:val="0"/>
        <w:spacing w:line="360" w:lineRule="auto"/>
        <w:ind w:firstLine="420" w:firstLineChars="200"/>
        <w:rPr>
          <w:rFonts w:hint="eastAsia" w:ascii="宋体" w:hAnsi="宋体"/>
          <w:b/>
          <w:color w:val="auto"/>
          <w:szCs w:val="21"/>
        </w:rPr>
      </w:pPr>
      <w:r>
        <w:rPr>
          <w:rFonts w:hint="eastAsia" w:ascii="宋体" w:hAnsi="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rPr>
        <w:t>磋商须知前附表。</w:t>
      </w:r>
    </w:p>
    <w:p w14:paraId="3CD331E7">
      <w:pPr>
        <w:adjustRightInd w:val="0"/>
        <w:snapToGrid w:val="0"/>
        <w:spacing w:line="360" w:lineRule="auto"/>
        <w:ind w:firstLine="420" w:firstLineChars="200"/>
        <w:rPr>
          <w:rFonts w:hint="eastAsia" w:ascii="宋体" w:hAnsi="宋体" w:cs="宋体"/>
          <w:bCs/>
          <w:color w:val="auto"/>
          <w:kern w:val="36"/>
          <w:szCs w:val="21"/>
        </w:rPr>
      </w:pPr>
      <w:r>
        <w:rPr>
          <w:rFonts w:hint="eastAsia" w:ascii="宋体" w:hAnsi="宋体"/>
          <w:color w:val="auto"/>
          <w:szCs w:val="21"/>
        </w:rPr>
        <w:t>2.3 “供应商”是指响应磋商文件要求、参加竞争性磋商采购的法人、其他组织或者自然人。本次政府采购项目</w:t>
      </w:r>
      <w:r>
        <w:rPr>
          <w:rFonts w:hint="eastAsia" w:ascii="宋体" w:hAnsi="宋体" w:cs="宋体"/>
          <w:color w:val="auto"/>
          <w:kern w:val="0"/>
          <w:szCs w:val="21"/>
        </w:rPr>
        <w:t>邀请</w:t>
      </w:r>
      <w:r>
        <w:rPr>
          <w:rFonts w:hint="eastAsia" w:ascii="宋体" w:hAnsi="宋体"/>
          <w:color w:val="auto"/>
          <w:szCs w:val="21"/>
        </w:rPr>
        <w:t>的</w:t>
      </w:r>
      <w:r>
        <w:rPr>
          <w:rFonts w:hint="eastAsia" w:ascii="宋体" w:hAnsi="宋体" w:cs="宋体"/>
          <w:color w:val="auto"/>
          <w:kern w:val="0"/>
          <w:szCs w:val="21"/>
        </w:rPr>
        <w:t>供应商通过</w:t>
      </w:r>
      <w:r>
        <w:rPr>
          <w:rFonts w:hint="eastAsia" w:ascii="宋体" w:hAnsi="宋体"/>
          <w:b/>
          <w:color w:val="auto"/>
          <w:szCs w:val="21"/>
        </w:rPr>
        <w:t>磋商须知前附表</w:t>
      </w:r>
      <w:r>
        <w:rPr>
          <w:rFonts w:hint="eastAsia" w:ascii="宋体" w:hAnsi="宋体"/>
          <w:color w:val="auto"/>
          <w:szCs w:val="21"/>
        </w:rPr>
        <w:t>所述方式</w:t>
      </w:r>
      <w:r>
        <w:rPr>
          <w:rFonts w:hint="eastAsia" w:ascii="宋体" w:hAnsi="宋体" w:cs="宋体"/>
          <w:color w:val="auto"/>
          <w:kern w:val="0"/>
          <w:szCs w:val="21"/>
        </w:rPr>
        <w:t>，邀请符合资格条件的供应商提交响应文件（含资格证明资料），参与竞争性磋商采购活动。</w:t>
      </w:r>
    </w:p>
    <w:p w14:paraId="5419ABD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olor w:val="auto"/>
          <w:szCs w:val="21"/>
        </w:rPr>
        <w:t>2.4 “磋商小组”是指</w:t>
      </w:r>
      <w:r>
        <w:rPr>
          <w:rFonts w:hint="eastAsia" w:ascii="宋体" w:hAnsi="宋体" w:cs="宋体"/>
          <w:color w:val="auto"/>
          <w:kern w:val="0"/>
          <w:szCs w:val="21"/>
        </w:rPr>
        <w:t>依据财政部</w:t>
      </w:r>
      <w:r>
        <w:rPr>
          <w:rFonts w:ascii="宋体" w:hAnsi="宋体" w:cs="宋体"/>
          <w:bCs/>
          <w:color w:val="auto"/>
          <w:kern w:val="36"/>
          <w:szCs w:val="21"/>
        </w:rPr>
        <w:t>《</w:t>
      </w:r>
      <w:r>
        <w:rPr>
          <w:rFonts w:hint="eastAsia" w:ascii="宋体" w:hAnsi="宋体" w:cs="宋体"/>
          <w:bCs/>
          <w:color w:val="auto"/>
          <w:kern w:val="36"/>
          <w:szCs w:val="21"/>
        </w:rPr>
        <w:t>政府采购竞争性磋商</w:t>
      </w:r>
      <w:r>
        <w:rPr>
          <w:rFonts w:hint="eastAsia" w:ascii="宋体" w:hAnsi="宋体" w:cs="宋体"/>
          <w:bCs/>
          <w:color w:val="auto"/>
          <w:kern w:val="36"/>
          <w:szCs w:val="21"/>
          <w:lang w:eastAsia="zh-CN"/>
        </w:rPr>
        <w:t>采购人</w:t>
      </w:r>
      <w:r>
        <w:rPr>
          <w:rFonts w:hint="eastAsia" w:ascii="宋体" w:hAnsi="宋体" w:cs="宋体"/>
          <w:bCs/>
          <w:color w:val="auto"/>
          <w:kern w:val="36"/>
          <w:szCs w:val="21"/>
        </w:rPr>
        <w:t>式管理暂行办法</w:t>
      </w:r>
      <w:r>
        <w:rPr>
          <w:rFonts w:ascii="宋体" w:hAnsi="宋体" w:cs="宋体"/>
          <w:bCs/>
          <w:color w:val="auto"/>
          <w:kern w:val="36"/>
          <w:szCs w:val="21"/>
        </w:rPr>
        <w:t>》</w:t>
      </w:r>
      <w:r>
        <w:rPr>
          <w:rFonts w:hint="eastAsia" w:ascii="宋体" w:hAnsi="宋体" w:cs="宋体"/>
          <w:bCs/>
          <w:color w:val="auto"/>
          <w:kern w:val="36"/>
          <w:szCs w:val="21"/>
        </w:rPr>
        <w:t>有关规定组建，依法依规</w:t>
      </w:r>
      <w:r>
        <w:rPr>
          <w:rFonts w:hint="eastAsia" w:ascii="宋体" w:hAnsi="宋体" w:cs="宋体"/>
          <w:color w:val="auto"/>
          <w:kern w:val="0"/>
          <w:szCs w:val="21"/>
        </w:rPr>
        <w:t>履行其职责和义务的机构。</w:t>
      </w:r>
    </w:p>
    <w:p w14:paraId="06E5057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2.5 “货物”是指各种形态和种类的物品，包括原资料、燃料、设备、产品等，详见《政府采购品目分类目录》(</w:t>
      </w:r>
      <w:r>
        <w:rPr>
          <w:rStyle w:val="23"/>
          <w:rFonts w:ascii="宋体" w:hAnsi="宋体"/>
          <w:b w:val="0"/>
          <w:color w:val="auto"/>
        </w:rPr>
        <w:t>财库</w:t>
      </w:r>
      <w:r>
        <w:rPr>
          <w:rStyle w:val="23"/>
          <w:rFonts w:hint="eastAsia" w:ascii="宋体" w:hAnsi="宋体"/>
          <w:b w:val="0"/>
          <w:color w:val="auto"/>
        </w:rPr>
        <w:t>[</w:t>
      </w:r>
      <w:r>
        <w:rPr>
          <w:rStyle w:val="23"/>
          <w:rFonts w:ascii="宋体" w:hAnsi="宋体"/>
          <w:b w:val="0"/>
          <w:color w:val="auto"/>
        </w:rPr>
        <w:t>2013</w:t>
      </w:r>
      <w:r>
        <w:rPr>
          <w:rStyle w:val="23"/>
          <w:rFonts w:hint="eastAsia" w:ascii="宋体" w:hAnsi="宋体"/>
          <w:b w:val="0"/>
          <w:color w:val="auto"/>
        </w:rPr>
        <w:t>]</w:t>
      </w:r>
      <w:r>
        <w:rPr>
          <w:rStyle w:val="23"/>
          <w:rFonts w:ascii="宋体" w:hAnsi="宋体"/>
          <w:b w:val="0"/>
          <w:color w:val="auto"/>
        </w:rPr>
        <w:t>189号</w:t>
      </w:r>
      <w:r>
        <w:rPr>
          <w:rFonts w:hint="eastAsia" w:ascii="宋体" w:hAnsi="宋体"/>
          <w:color w:val="auto"/>
          <w:szCs w:val="21"/>
        </w:rPr>
        <w:t>)。</w:t>
      </w:r>
    </w:p>
    <w:p w14:paraId="1B2D3A6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2.6 “工程”是指建设工程，包括建筑物和构筑物的新建、改建、扩建、装修、拆除、修缮等，详见《政府采购品目分类目录》(</w:t>
      </w:r>
      <w:r>
        <w:rPr>
          <w:rStyle w:val="23"/>
          <w:rFonts w:ascii="宋体" w:hAnsi="宋体"/>
          <w:b w:val="0"/>
          <w:color w:val="auto"/>
        </w:rPr>
        <w:t>财库</w:t>
      </w:r>
      <w:r>
        <w:rPr>
          <w:rStyle w:val="23"/>
          <w:rFonts w:hint="eastAsia" w:ascii="宋体" w:hAnsi="宋体"/>
          <w:b w:val="0"/>
          <w:color w:val="auto"/>
        </w:rPr>
        <w:t>[</w:t>
      </w:r>
      <w:r>
        <w:rPr>
          <w:rStyle w:val="23"/>
          <w:rFonts w:ascii="宋体" w:hAnsi="宋体"/>
          <w:b w:val="0"/>
          <w:color w:val="auto"/>
        </w:rPr>
        <w:t>2013</w:t>
      </w:r>
      <w:r>
        <w:rPr>
          <w:rStyle w:val="23"/>
          <w:rFonts w:hint="eastAsia" w:ascii="宋体" w:hAnsi="宋体"/>
          <w:b w:val="0"/>
          <w:color w:val="auto"/>
        </w:rPr>
        <w:t>]</w:t>
      </w:r>
      <w:r>
        <w:rPr>
          <w:rStyle w:val="23"/>
          <w:rFonts w:ascii="宋体" w:hAnsi="宋体"/>
          <w:b w:val="0"/>
          <w:color w:val="auto"/>
        </w:rPr>
        <w:t>189号</w:t>
      </w:r>
      <w:r>
        <w:rPr>
          <w:rFonts w:hint="eastAsia" w:ascii="宋体" w:hAnsi="宋体"/>
          <w:color w:val="auto"/>
          <w:szCs w:val="21"/>
        </w:rPr>
        <w:t>)。</w:t>
      </w:r>
    </w:p>
    <w:p w14:paraId="52F24CC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2.7 “服务”是指除货物和工程以外的其他政府采购对象，详见《政府采购品目分类目录》(</w:t>
      </w:r>
      <w:r>
        <w:rPr>
          <w:rStyle w:val="23"/>
          <w:rFonts w:ascii="宋体" w:hAnsi="宋体"/>
          <w:b w:val="0"/>
          <w:color w:val="auto"/>
        </w:rPr>
        <w:t>财库</w:t>
      </w:r>
      <w:r>
        <w:rPr>
          <w:rStyle w:val="23"/>
          <w:rFonts w:hint="eastAsia" w:ascii="宋体" w:hAnsi="宋体"/>
          <w:b w:val="0"/>
          <w:color w:val="auto"/>
        </w:rPr>
        <w:t>[</w:t>
      </w:r>
      <w:r>
        <w:rPr>
          <w:rStyle w:val="23"/>
          <w:rFonts w:ascii="宋体" w:hAnsi="宋体"/>
          <w:b w:val="0"/>
          <w:color w:val="auto"/>
        </w:rPr>
        <w:t>2013</w:t>
      </w:r>
      <w:r>
        <w:rPr>
          <w:rStyle w:val="23"/>
          <w:rFonts w:hint="eastAsia" w:ascii="宋体" w:hAnsi="宋体"/>
          <w:b w:val="0"/>
          <w:color w:val="auto"/>
        </w:rPr>
        <w:t>]</w:t>
      </w:r>
      <w:r>
        <w:rPr>
          <w:rStyle w:val="23"/>
          <w:rFonts w:ascii="宋体" w:hAnsi="宋体"/>
          <w:b w:val="0"/>
          <w:color w:val="auto"/>
        </w:rPr>
        <w:t>189号</w:t>
      </w:r>
      <w:r>
        <w:rPr>
          <w:rFonts w:hint="eastAsia" w:ascii="宋体" w:hAnsi="宋体"/>
          <w:color w:val="auto"/>
          <w:szCs w:val="21"/>
        </w:rPr>
        <w:t>)。</w:t>
      </w:r>
    </w:p>
    <w:p w14:paraId="7AE0CB8E">
      <w:pPr>
        <w:adjustRightInd w:val="0"/>
        <w:snapToGrid w:val="0"/>
        <w:spacing w:line="360" w:lineRule="auto"/>
        <w:ind w:firstLine="420" w:firstLineChars="200"/>
        <w:rPr>
          <w:rFonts w:hint="eastAsia" w:ascii="宋体" w:hAnsi="宋体"/>
          <w:color w:val="auto"/>
          <w:szCs w:val="21"/>
        </w:rPr>
      </w:pPr>
      <w:r>
        <w:rPr>
          <w:rFonts w:hint="eastAsia" w:ascii="宋体" w:hAnsi="宋体" w:cs="宋体"/>
          <w:color w:val="auto"/>
          <w:kern w:val="0"/>
          <w:szCs w:val="21"/>
        </w:rPr>
        <w:t>2.8</w:t>
      </w:r>
      <w:r>
        <w:rPr>
          <w:rFonts w:hint="eastAsia" w:ascii="宋体" w:hAnsi="宋体"/>
          <w:color w:val="auto"/>
          <w:szCs w:val="21"/>
        </w:rPr>
        <w:t xml:space="preserve"> “节能产品”或者“环保产品”是指财政部发布的《节能产品政府采购清单》或者《环境标志产品政府采购清单》的产品。</w:t>
      </w:r>
    </w:p>
    <w:p w14:paraId="1138F97C">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olor w:val="auto"/>
          <w:szCs w:val="21"/>
        </w:rPr>
        <w:t>2.9</w:t>
      </w:r>
      <w:r>
        <w:rPr>
          <w:rFonts w:hint="eastAsia" w:ascii="宋体" w:hAnsi="宋体" w:cs="宋体"/>
          <w:color w:val="auto"/>
          <w:kern w:val="0"/>
          <w:szCs w:val="21"/>
        </w:rPr>
        <w:t xml:space="preserve"> “进口产品”是指通过中国海关报关验放进入中国境内且产自关境外的产品，详见《</w:t>
      </w:r>
      <w:r>
        <w:rPr>
          <w:rFonts w:ascii="宋体" w:hAnsi="宋体" w:cs="宋体"/>
          <w:color w:val="auto"/>
          <w:kern w:val="0"/>
          <w:szCs w:val="21"/>
        </w:rPr>
        <w:t>关于政府采购进口产品管理有关问题的通知</w:t>
      </w:r>
      <w:r>
        <w:rPr>
          <w:rFonts w:hint="eastAsia" w:ascii="宋体" w:hAnsi="宋体" w:cs="宋体"/>
          <w:color w:val="auto"/>
          <w:kern w:val="0"/>
          <w:szCs w:val="21"/>
        </w:rPr>
        <w:t>》(财库[2007]119号)。</w:t>
      </w:r>
    </w:p>
    <w:p w14:paraId="6388EE52">
      <w:pPr>
        <w:adjustRightInd w:val="0"/>
        <w:snapToGrid w:val="0"/>
        <w:spacing w:line="360" w:lineRule="auto"/>
        <w:rPr>
          <w:rFonts w:hint="eastAsia" w:ascii="宋体" w:hAnsi="宋体"/>
          <w:b/>
          <w:bCs/>
          <w:color w:val="auto"/>
          <w:szCs w:val="21"/>
        </w:rPr>
      </w:pPr>
      <w:r>
        <w:rPr>
          <w:rFonts w:hint="eastAsia" w:ascii="宋体" w:hAnsi="宋体"/>
          <w:b/>
          <w:bCs/>
          <w:color w:val="auto"/>
          <w:szCs w:val="21"/>
        </w:rPr>
        <w:t>3.供应商的资格要求</w:t>
      </w:r>
    </w:p>
    <w:p w14:paraId="675E622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3.1 供应商应当符合</w:t>
      </w:r>
      <w:r>
        <w:rPr>
          <w:rFonts w:hint="eastAsia" w:ascii="宋体" w:hAnsi="宋体"/>
          <w:b/>
          <w:color w:val="auto"/>
          <w:szCs w:val="21"/>
        </w:rPr>
        <w:t>磋商须知前附表</w:t>
      </w:r>
      <w:r>
        <w:rPr>
          <w:rFonts w:hint="eastAsia" w:ascii="宋体" w:hAnsi="宋体"/>
          <w:color w:val="auto"/>
          <w:szCs w:val="21"/>
        </w:rPr>
        <w:t>中规定的资格条件要求。</w:t>
      </w:r>
    </w:p>
    <w:p w14:paraId="6761267C">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3.2供应商</w:t>
      </w:r>
      <w:r>
        <w:rPr>
          <w:rFonts w:hint="eastAsia" w:hAnsi="宋体"/>
          <w:color w:val="auto"/>
        </w:rPr>
        <w:t>为联合体形式的</w:t>
      </w:r>
      <w:r>
        <w:rPr>
          <w:rFonts w:hint="eastAsia" w:ascii="宋体" w:hAnsi="宋体"/>
          <w:color w:val="auto"/>
          <w:szCs w:val="21"/>
        </w:rPr>
        <w:t xml:space="preserve">，除应满足本章第3.1款资格条件要求及第3.3款规定外，还应遵守以下规定： </w:t>
      </w:r>
    </w:p>
    <w:p w14:paraId="47681763">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（1）联合体各方应按磋商文件提供的格式签订联合体协议书，明确联合体牵头人和各方权利义务(含承担工作及工作量比例)；</w:t>
      </w:r>
    </w:p>
    <w:p w14:paraId="7E510AF4">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（2）联合体中有同类资质的供应商按照联合体分工承担相同工作的，应当按照资质等级较低的供应商确定资质等级；</w:t>
      </w:r>
    </w:p>
    <w:p w14:paraId="34F300B5">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（3）以联合体形式参加政府采购活动的，联合体各方不得再单独参加或者与其他供应商另外组成联合体参加同一合同项下的政府采购活动。</w:t>
      </w:r>
    </w:p>
    <w:p w14:paraId="4D9CA6C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3.3 供应商不得存在下列情形之一：</w:t>
      </w:r>
    </w:p>
    <w:p w14:paraId="6E3E18E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（l）与采购人、采购代理机构存在</w:t>
      </w:r>
      <w:r>
        <w:rPr>
          <w:rFonts w:hint="eastAsia" w:ascii="宋体" w:hAnsi="宋体"/>
          <w:bCs/>
          <w:color w:val="auto"/>
          <w:szCs w:val="21"/>
        </w:rPr>
        <w:t>隶属关系或者其他利害关系</w:t>
      </w:r>
      <w:r>
        <w:rPr>
          <w:rFonts w:hint="eastAsia" w:ascii="宋体" w:hAnsi="宋体"/>
          <w:color w:val="auto"/>
          <w:szCs w:val="21"/>
        </w:rPr>
        <w:t>。</w:t>
      </w:r>
    </w:p>
    <w:p w14:paraId="0F1F24CD">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（2）与其他供应商的法定代表人（或者负责人）为同一人，或者与其他供应商存在直接控股、管理关系。</w:t>
      </w:r>
    </w:p>
    <w:p w14:paraId="366919C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w:t>
      </w:r>
      <w:r>
        <w:rPr>
          <w:rFonts w:hint="eastAsia" w:ascii="宋体" w:hAnsi="宋体"/>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olor w:val="auto"/>
          <w:szCs w:val="21"/>
        </w:rPr>
        <w:t>财政部门认定的其他重大违法记录。</w:t>
      </w:r>
    </w:p>
    <w:p w14:paraId="115B9F13">
      <w:pPr>
        <w:adjustRightInd w:val="0"/>
        <w:snapToGrid w:val="0"/>
        <w:spacing w:line="360" w:lineRule="auto"/>
        <w:rPr>
          <w:rFonts w:hint="eastAsia" w:ascii="宋体" w:hAnsi="宋体"/>
          <w:b/>
          <w:bCs/>
          <w:color w:val="auto"/>
          <w:szCs w:val="21"/>
        </w:rPr>
      </w:pPr>
      <w:r>
        <w:rPr>
          <w:rFonts w:hint="eastAsia" w:ascii="宋体" w:hAnsi="宋体"/>
          <w:b/>
          <w:bCs/>
          <w:color w:val="auto"/>
          <w:szCs w:val="21"/>
        </w:rPr>
        <w:t xml:space="preserve">4.参与磋商的费用 </w:t>
      </w:r>
    </w:p>
    <w:p w14:paraId="53AF613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4.1 无论磋商的结果如何，供应商应自行承担所有与竞争性磋商采购活动有关的全部费用。</w:t>
      </w:r>
    </w:p>
    <w:p w14:paraId="348B0373">
      <w:pPr>
        <w:pStyle w:val="11"/>
        <w:adjustRightInd w:val="0"/>
        <w:snapToGrid w:val="0"/>
        <w:spacing w:line="360" w:lineRule="auto"/>
        <w:rPr>
          <w:rFonts w:hint="eastAsia" w:hAnsi="宋体"/>
          <w:b/>
          <w:bCs/>
          <w:color w:val="auto"/>
        </w:rPr>
      </w:pPr>
      <w:r>
        <w:rPr>
          <w:rFonts w:hint="eastAsia" w:hAnsi="宋体"/>
          <w:b/>
          <w:color w:val="auto"/>
        </w:rPr>
        <w:t>5．</w:t>
      </w:r>
      <w:r>
        <w:rPr>
          <w:rFonts w:hint="eastAsia" w:hAnsi="宋体"/>
          <w:b/>
          <w:bCs/>
          <w:color w:val="auto"/>
        </w:rPr>
        <w:t>授权委托</w:t>
      </w:r>
    </w:p>
    <w:p w14:paraId="1E663351">
      <w:pPr>
        <w:pStyle w:val="11"/>
        <w:adjustRightInd w:val="0"/>
        <w:snapToGrid w:val="0"/>
        <w:spacing w:line="360" w:lineRule="auto"/>
        <w:ind w:firstLine="420" w:firstLineChars="200"/>
        <w:rPr>
          <w:rFonts w:hint="eastAsia" w:hAnsi="宋体"/>
          <w:color w:val="auto"/>
        </w:rPr>
      </w:pPr>
      <w:r>
        <w:rPr>
          <w:rFonts w:hint="eastAsia" w:hAnsi="宋体"/>
          <w:color w:val="auto"/>
        </w:rPr>
        <w:t>5.1供应商代表为供应商法定代表人的，应具备法定代表人身份证明。供应商代表不是供应商法定代表人的，应具备法定代表人授权书，并附法定代表人身份证明。</w:t>
      </w:r>
    </w:p>
    <w:p w14:paraId="0FCE9A89">
      <w:pPr>
        <w:pStyle w:val="11"/>
        <w:adjustRightInd w:val="0"/>
        <w:snapToGrid w:val="0"/>
        <w:spacing w:line="360" w:lineRule="auto"/>
        <w:rPr>
          <w:rFonts w:hint="eastAsia" w:hAnsi="宋体"/>
          <w:b/>
          <w:color w:val="auto"/>
        </w:rPr>
      </w:pPr>
      <w:r>
        <w:rPr>
          <w:rFonts w:hint="eastAsia" w:hAnsi="宋体"/>
          <w:b/>
          <w:color w:val="auto"/>
        </w:rPr>
        <w:t>6．联合体形式</w:t>
      </w:r>
    </w:p>
    <w:p w14:paraId="6A2828E6">
      <w:pPr>
        <w:pStyle w:val="11"/>
        <w:adjustRightInd w:val="0"/>
        <w:snapToGrid w:val="0"/>
        <w:spacing w:line="360" w:lineRule="auto"/>
        <w:ind w:firstLine="420" w:firstLineChars="200"/>
        <w:rPr>
          <w:rFonts w:hint="eastAsia" w:hAnsi="宋体"/>
          <w:color w:val="auto"/>
        </w:rPr>
      </w:pPr>
      <w:r>
        <w:rPr>
          <w:rFonts w:hint="eastAsia" w:hAnsi="宋体"/>
          <w:color w:val="auto"/>
        </w:rPr>
        <w:t>6.1除</w:t>
      </w:r>
      <w:r>
        <w:rPr>
          <w:rFonts w:hint="eastAsia" w:hAnsi="宋体"/>
          <w:b/>
          <w:color w:val="auto"/>
        </w:rPr>
        <w:t>磋商须知前附表</w:t>
      </w:r>
      <w:r>
        <w:rPr>
          <w:rFonts w:hint="eastAsia" w:hAnsi="宋体"/>
          <w:color w:val="auto"/>
        </w:rPr>
        <w:t>中另有规定，本次磋商采购不接受为联合体形式的供应商。</w:t>
      </w:r>
    </w:p>
    <w:p w14:paraId="18A9465C">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6.2供应商</w:t>
      </w:r>
      <w:r>
        <w:rPr>
          <w:rFonts w:hint="eastAsia" w:hAnsi="宋体"/>
          <w:color w:val="auto"/>
        </w:rPr>
        <w:t>为联合体形式的</w:t>
      </w:r>
      <w:r>
        <w:rPr>
          <w:rFonts w:hint="eastAsia" w:ascii="宋体" w:hAnsi="宋体"/>
          <w:color w:val="auto"/>
          <w:szCs w:val="21"/>
        </w:rPr>
        <w:t>，除应符合本章第3条规定外，还应遵守以下规定：</w:t>
      </w:r>
    </w:p>
    <w:p w14:paraId="65618AE1">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（l）联合体各方必须签订联合体协议书，明确联合体牵头人和各方的义务、工作、合同工作量比例；</w:t>
      </w:r>
    </w:p>
    <w:p w14:paraId="2DEBA18A">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（2）联合体各方均应当符合本章第3.1</w:t>
      </w:r>
      <w:r>
        <w:rPr>
          <w:rFonts w:hint="eastAsia" w:ascii="宋体" w:hAnsi="宋体" w:cs="宋体"/>
          <w:color w:val="auto"/>
          <w:kern w:val="0"/>
          <w:szCs w:val="21"/>
          <w:lang w:val="zh-CN"/>
        </w:rPr>
        <w:t>款</w:t>
      </w:r>
      <w:r>
        <w:rPr>
          <w:rFonts w:hint="eastAsia" w:ascii="宋体" w:hAnsi="宋体"/>
          <w:color w:val="auto"/>
          <w:szCs w:val="21"/>
        </w:rPr>
        <w:t>规定的供应商基本资格条件；</w:t>
      </w:r>
    </w:p>
    <w:p w14:paraId="430FFB82">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w:t>
      </w:r>
      <w:r>
        <w:rPr>
          <w:rFonts w:hint="eastAsia" w:ascii="宋体" w:hAnsi="宋体"/>
          <w:color w:val="auto"/>
        </w:rPr>
        <w:t>除</w:t>
      </w:r>
      <w:r>
        <w:rPr>
          <w:rFonts w:hint="eastAsia" w:ascii="宋体" w:hAnsi="宋体"/>
          <w:b/>
          <w:color w:val="auto"/>
        </w:rPr>
        <w:t>磋商须知前附表</w:t>
      </w:r>
      <w:r>
        <w:rPr>
          <w:rFonts w:hint="eastAsia" w:ascii="宋体" w:hAnsi="宋体"/>
          <w:color w:val="auto"/>
        </w:rPr>
        <w:t>中另有规定，</w:t>
      </w:r>
      <w:r>
        <w:rPr>
          <w:rFonts w:hint="eastAsia" w:ascii="宋体" w:hAnsi="宋体"/>
          <w:color w:val="auto"/>
          <w:szCs w:val="21"/>
        </w:rPr>
        <w:t>联合体各方中至少有一方应当符合本章第3.1</w:t>
      </w:r>
      <w:r>
        <w:rPr>
          <w:rFonts w:hint="eastAsia" w:ascii="宋体" w:hAnsi="宋体" w:cs="宋体"/>
          <w:color w:val="auto"/>
          <w:kern w:val="0"/>
          <w:szCs w:val="21"/>
          <w:lang w:val="zh-CN"/>
        </w:rPr>
        <w:t>款</w:t>
      </w:r>
      <w:r>
        <w:rPr>
          <w:rFonts w:hint="eastAsia" w:ascii="宋体" w:hAnsi="宋体"/>
          <w:color w:val="auto"/>
          <w:szCs w:val="21"/>
        </w:rPr>
        <w:t>规定的供应商特定资格条件；</w:t>
      </w:r>
    </w:p>
    <w:p w14:paraId="6A34812A">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olor w:val="auto"/>
          <w:szCs w:val="21"/>
        </w:rPr>
        <w:t>（4）</w:t>
      </w:r>
      <w:r>
        <w:rPr>
          <w:rFonts w:hint="eastAsia" w:ascii="宋体" w:hAnsi="宋体" w:cs="宋体"/>
          <w:color w:val="auto"/>
          <w:kern w:val="0"/>
          <w:szCs w:val="21"/>
          <w:lang w:val="zh-CN"/>
        </w:rPr>
        <w:t>联合体各方不得再单独或与其他供应商组成新的联合体参加同一项目的采购活动。</w:t>
      </w:r>
    </w:p>
    <w:p w14:paraId="0EAAB6FB">
      <w:pPr>
        <w:adjustRightInd w:val="0"/>
        <w:snapToGrid w:val="0"/>
        <w:spacing w:line="360" w:lineRule="auto"/>
        <w:rPr>
          <w:rFonts w:hint="eastAsia" w:ascii="宋体" w:hAnsi="宋体"/>
          <w:b/>
          <w:color w:val="auto"/>
          <w:szCs w:val="21"/>
        </w:rPr>
      </w:pPr>
      <w:r>
        <w:rPr>
          <w:rFonts w:hint="eastAsia" w:ascii="宋体" w:hAnsi="宋体"/>
          <w:b/>
          <w:color w:val="auto"/>
          <w:szCs w:val="21"/>
        </w:rPr>
        <w:t>7.现场勘察</w:t>
      </w:r>
    </w:p>
    <w:p w14:paraId="70F1D9C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7.1供应商应按</w:t>
      </w:r>
      <w:r>
        <w:rPr>
          <w:rFonts w:hint="eastAsia" w:hAnsi="宋体"/>
          <w:b/>
          <w:color w:val="auto"/>
        </w:rPr>
        <w:t>磋商须知前附表</w:t>
      </w:r>
      <w:r>
        <w:rPr>
          <w:rFonts w:hint="eastAsia" w:hAnsi="宋体"/>
          <w:color w:val="auto"/>
        </w:rPr>
        <w:t>中规定</w:t>
      </w:r>
      <w:r>
        <w:rPr>
          <w:rFonts w:hint="eastAsia" w:ascii="宋体" w:hAnsi="宋体"/>
          <w:color w:val="auto"/>
          <w:szCs w:val="21"/>
        </w:rPr>
        <w:t>对采购项目现场和周围环境的现场考察。</w:t>
      </w:r>
    </w:p>
    <w:p w14:paraId="3ED67E9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7.2勘察现场的费用由供应商自己承担，勘察期间所发生的人身伤害及财产损失由供应商自己负责。</w:t>
      </w:r>
    </w:p>
    <w:p w14:paraId="5218BEB3">
      <w:pPr>
        <w:adjustRightInd w:val="0"/>
        <w:snapToGrid w:val="0"/>
        <w:spacing w:line="360" w:lineRule="auto"/>
        <w:ind w:firstLine="420" w:firstLineChars="200"/>
        <w:jc w:val="left"/>
        <w:rPr>
          <w:rFonts w:hint="eastAsia" w:ascii="宋体" w:hAnsi="宋体"/>
          <w:b/>
          <w:color w:val="auto"/>
          <w:szCs w:val="21"/>
        </w:rPr>
      </w:pPr>
      <w:r>
        <w:rPr>
          <w:rFonts w:hint="eastAsia" w:ascii="宋体" w:hAnsi="宋体"/>
          <w:color w:val="auto"/>
          <w:szCs w:val="21"/>
        </w:rPr>
        <w:t>7.3采购人不对供应商据此而做出的推论、理解和结论负责。一旦成交，供应商不得以任何借口，提出额外补偿，或延长合同期限的要求。</w:t>
      </w:r>
    </w:p>
    <w:p w14:paraId="3E676ABD">
      <w:pPr>
        <w:adjustRightInd w:val="0"/>
        <w:snapToGrid w:val="0"/>
        <w:spacing w:line="360" w:lineRule="auto"/>
        <w:jc w:val="left"/>
        <w:rPr>
          <w:rFonts w:hint="eastAsia" w:ascii="宋体" w:hAnsi="宋体"/>
          <w:b/>
          <w:color w:val="auto"/>
          <w:szCs w:val="21"/>
        </w:rPr>
      </w:pPr>
      <w:r>
        <w:rPr>
          <w:rFonts w:hint="eastAsia" w:ascii="宋体" w:hAnsi="宋体"/>
          <w:b/>
          <w:color w:val="auto"/>
          <w:szCs w:val="21"/>
        </w:rPr>
        <w:t>8.采购进口产品</w:t>
      </w:r>
    </w:p>
    <w:p w14:paraId="56C7E704">
      <w:pPr>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olor w:val="auto"/>
          <w:szCs w:val="21"/>
        </w:rPr>
        <w:t>8.1除</w:t>
      </w:r>
      <w:r>
        <w:rPr>
          <w:rFonts w:hint="eastAsia" w:ascii="宋体" w:hAnsi="宋体"/>
          <w:b/>
          <w:color w:val="auto"/>
          <w:szCs w:val="21"/>
        </w:rPr>
        <w:t>磋商文件前附表</w:t>
      </w:r>
      <w:r>
        <w:rPr>
          <w:rFonts w:hint="eastAsia" w:ascii="宋体" w:hAnsi="宋体"/>
          <w:color w:val="auto"/>
          <w:szCs w:val="21"/>
        </w:rPr>
        <w:t>另有规定外，本项目</w:t>
      </w:r>
      <w:r>
        <w:rPr>
          <w:rFonts w:hint="eastAsia" w:ascii="宋体" w:hAnsi="宋体" w:cs="宋体"/>
          <w:color w:val="auto"/>
          <w:kern w:val="0"/>
          <w:szCs w:val="21"/>
        </w:rPr>
        <w:t>拒绝进口产品参加</w:t>
      </w:r>
      <w:r>
        <w:rPr>
          <w:rFonts w:hint="eastAsia" w:ascii="宋体" w:hAnsi="宋体"/>
          <w:color w:val="auto"/>
          <w:szCs w:val="21"/>
        </w:rPr>
        <w:t>竞争性磋商采购活动</w:t>
      </w:r>
      <w:r>
        <w:rPr>
          <w:rFonts w:hint="eastAsia" w:ascii="宋体" w:hAnsi="宋体" w:cs="宋体"/>
          <w:color w:val="auto"/>
          <w:kern w:val="0"/>
          <w:szCs w:val="21"/>
        </w:rPr>
        <w:t>。</w:t>
      </w:r>
    </w:p>
    <w:p w14:paraId="6C7C4A2F">
      <w:pPr>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8.2</w:t>
      </w:r>
      <w:r>
        <w:rPr>
          <w:rFonts w:hint="eastAsia" w:ascii="宋体" w:hAnsi="宋体"/>
          <w:color w:val="auto"/>
          <w:szCs w:val="21"/>
        </w:rPr>
        <w:t>本章第7.1</w:t>
      </w:r>
      <w:r>
        <w:rPr>
          <w:rFonts w:hint="eastAsia" w:ascii="宋体" w:hAnsi="宋体" w:cs="宋体"/>
          <w:color w:val="auto"/>
          <w:kern w:val="0"/>
          <w:szCs w:val="21"/>
          <w:lang w:val="zh-CN"/>
        </w:rPr>
        <w:t>款</w:t>
      </w:r>
      <w:r>
        <w:rPr>
          <w:rFonts w:hint="eastAsia" w:ascii="宋体" w:hAnsi="宋体"/>
          <w:color w:val="auto"/>
          <w:szCs w:val="21"/>
        </w:rPr>
        <w:t>规定</w:t>
      </w:r>
      <w:r>
        <w:rPr>
          <w:rFonts w:ascii="宋体" w:hAnsi="宋体" w:cs="宋体"/>
          <w:color w:val="auto"/>
          <w:kern w:val="0"/>
          <w:szCs w:val="21"/>
        </w:rPr>
        <w:t>同意购买进口产品的</w:t>
      </w:r>
      <w:r>
        <w:rPr>
          <w:rFonts w:hint="eastAsia" w:ascii="宋体" w:hAnsi="宋体" w:cs="宋体"/>
          <w:color w:val="auto"/>
          <w:kern w:val="0"/>
          <w:szCs w:val="21"/>
        </w:rPr>
        <w:t>，</w:t>
      </w:r>
      <w:r>
        <w:rPr>
          <w:rFonts w:hint="eastAsia" w:ascii="宋体" w:hAnsi="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w:t>
      </w:r>
      <w:r>
        <w:rPr>
          <w:rFonts w:ascii="宋体" w:hAnsi="宋体" w:cs="宋体"/>
          <w:color w:val="auto"/>
          <w:kern w:val="0"/>
          <w:szCs w:val="21"/>
        </w:rPr>
        <w:t>限制满足</w:t>
      </w:r>
      <w:r>
        <w:rPr>
          <w:rFonts w:hint="eastAsia" w:ascii="宋体" w:hAnsi="宋体"/>
          <w:color w:val="auto"/>
          <w:szCs w:val="21"/>
        </w:rPr>
        <w:t>磋商文件要求</w:t>
      </w:r>
      <w:r>
        <w:rPr>
          <w:rFonts w:ascii="宋体" w:hAnsi="宋体" w:cs="宋体"/>
          <w:color w:val="auto"/>
          <w:kern w:val="0"/>
          <w:szCs w:val="21"/>
        </w:rPr>
        <w:t>的国内产品参与</w:t>
      </w:r>
      <w:r>
        <w:rPr>
          <w:rFonts w:hint="eastAsia" w:ascii="宋体" w:hAnsi="宋体"/>
          <w:color w:val="auto"/>
          <w:szCs w:val="21"/>
        </w:rPr>
        <w:t>竞争性磋商</w:t>
      </w:r>
      <w:r>
        <w:rPr>
          <w:rFonts w:ascii="宋体" w:hAnsi="宋体" w:cs="宋体"/>
          <w:color w:val="auto"/>
          <w:kern w:val="0"/>
          <w:szCs w:val="21"/>
        </w:rPr>
        <w:t>。</w:t>
      </w:r>
    </w:p>
    <w:p w14:paraId="3B132702">
      <w:pPr>
        <w:adjustRightInd w:val="0"/>
        <w:snapToGrid w:val="0"/>
        <w:spacing w:line="360" w:lineRule="auto"/>
        <w:jc w:val="left"/>
        <w:rPr>
          <w:rFonts w:hint="eastAsia" w:ascii="宋体" w:hAnsi="宋体"/>
          <w:b/>
          <w:color w:val="auto"/>
          <w:szCs w:val="21"/>
        </w:rPr>
      </w:pPr>
      <w:r>
        <w:rPr>
          <w:rFonts w:hint="eastAsia" w:ascii="宋体" w:hAnsi="宋体"/>
          <w:b/>
          <w:bCs/>
          <w:color w:val="auto"/>
          <w:szCs w:val="21"/>
        </w:rPr>
        <w:t>9.</w:t>
      </w:r>
      <w:r>
        <w:rPr>
          <w:rFonts w:hint="eastAsia" w:ascii="宋体" w:hAnsi="宋体"/>
          <w:b/>
          <w:color w:val="auto"/>
          <w:szCs w:val="21"/>
        </w:rPr>
        <w:t xml:space="preserve"> 政府采购政策支持</w:t>
      </w:r>
    </w:p>
    <w:p w14:paraId="7ECA3386">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rPr>
        <w:t>磋商文件前附表。</w:t>
      </w:r>
    </w:p>
    <w:p w14:paraId="063B7C9D">
      <w:pPr>
        <w:pStyle w:val="11"/>
        <w:adjustRightInd w:val="0"/>
        <w:snapToGrid w:val="0"/>
        <w:spacing w:line="360" w:lineRule="auto"/>
        <w:ind w:firstLine="420" w:firstLineChars="200"/>
        <w:rPr>
          <w:rFonts w:hint="eastAsia"/>
          <w:color w:val="auto"/>
        </w:rPr>
      </w:pPr>
      <w:r>
        <w:rPr>
          <w:rFonts w:hint="eastAsia" w:hAnsi="宋体" w:cs="宋体"/>
          <w:color w:val="auto"/>
          <w:kern w:val="0"/>
        </w:rPr>
        <w:t>9.2对列入财政部、国家发展改革委发布的《节能产品政府采购清单》的“非强制采购节能产品”，财政部、环境保护部发布的《环境标志产品政府采购清单》的“环境标志产品”，实行优先采购，按照省级以上财政部门有关政策规定，评审时进行价格扣除或加分。实行政府采购优先采购的优惠率见</w:t>
      </w:r>
      <w:r>
        <w:rPr>
          <w:rFonts w:hint="eastAsia" w:hAnsi="宋体" w:cs="宋体"/>
          <w:b/>
          <w:color w:val="auto"/>
          <w:kern w:val="0"/>
        </w:rPr>
        <w:t>磋商文件前附表。</w:t>
      </w:r>
    </w:p>
    <w:p w14:paraId="1308C16F">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70F30364">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9.4同一项目中部分产品属于优先采购政策的，评审时只对该部分产品的报价实行价格扣除及加分。</w:t>
      </w:r>
    </w:p>
    <w:p w14:paraId="063DC775">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9.5符合本章第9.1</w:t>
      </w:r>
      <w:r>
        <w:rPr>
          <w:rFonts w:hint="eastAsia" w:ascii="宋体" w:hAnsi="宋体" w:cs="宋体"/>
          <w:color w:val="auto"/>
          <w:kern w:val="0"/>
          <w:szCs w:val="21"/>
          <w:lang w:val="zh-CN"/>
        </w:rPr>
        <w:t>款、</w:t>
      </w:r>
      <w:r>
        <w:rPr>
          <w:rFonts w:hint="eastAsia" w:ascii="宋体" w:hAnsi="宋体"/>
          <w:color w:val="auto"/>
          <w:szCs w:val="21"/>
        </w:rPr>
        <w:t>第9.2</w:t>
      </w:r>
      <w:r>
        <w:rPr>
          <w:rFonts w:hint="eastAsia" w:ascii="宋体" w:hAnsi="宋体" w:cs="宋体"/>
          <w:color w:val="auto"/>
          <w:kern w:val="0"/>
          <w:szCs w:val="21"/>
          <w:lang w:val="zh-CN"/>
        </w:rPr>
        <w:t>款</w:t>
      </w:r>
      <w:r>
        <w:rPr>
          <w:rFonts w:hint="eastAsia" w:ascii="宋体" w:hAnsi="宋体"/>
          <w:color w:val="auto"/>
          <w:szCs w:val="21"/>
        </w:rPr>
        <w:t>规定的，应提供相关证明资料。</w:t>
      </w:r>
    </w:p>
    <w:p w14:paraId="602BCDF1">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9.6供应商有融资、担保需求的，具体办理流程可向</w:t>
      </w:r>
      <w:r>
        <w:rPr>
          <w:rFonts w:hint="eastAsia" w:ascii="宋体" w:hAnsi="宋体"/>
          <w:b/>
          <w:color w:val="auto"/>
          <w:szCs w:val="21"/>
        </w:rPr>
        <w:t>磋商须知前附表</w:t>
      </w:r>
      <w:r>
        <w:rPr>
          <w:rFonts w:hint="eastAsia" w:ascii="宋体" w:hAnsi="宋体"/>
          <w:color w:val="auto"/>
          <w:szCs w:val="21"/>
        </w:rPr>
        <w:t>所列金融机构和担保机构询问。</w:t>
      </w:r>
    </w:p>
    <w:p w14:paraId="7E5BF287">
      <w:pPr>
        <w:adjustRightInd w:val="0"/>
        <w:snapToGrid w:val="0"/>
        <w:spacing w:line="360" w:lineRule="auto"/>
        <w:ind w:left="902" w:hanging="902" w:hangingChars="376"/>
        <w:rPr>
          <w:rFonts w:hint="eastAsia" w:ascii="黑体" w:hAnsi="宋体" w:eastAsia="黑体"/>
          <w:color w:val="auto"/>
          <w:sz w:val="24"/>
        </w:rPr>
      </w:pPr>
      <w:r>
        <w:rPr>
          <w:rFonts w:hint="eastAsia" w:ascii="黑体" w:hAnsi="宋体" w:eastAsia="黑体"/>
          <w:color w:val="auto"/>
          <w:sz w:val="24"/>
        </w:rPr>
        <w:t>二、磋商文件</w:t>
      </w:r>
    </w:p>
    <w:p w14:paraId="376760E3">
      <w:pPr>
        <w:adjustRightInd w:val="0"/>
        <w:snapToGrid w:val="0"/>
        <w:spacing w:line="360" w:lineRule="auto"/>
        <w:rPr>
          <w:rFonts w:hint="eastAsia" w:ascii="宋体" w:hAnsi="宋体"/>
          <w:b/>
          <w:bCs/>
          <w:color w:val="auto"/>
          <w:szCs w:val="21"/>
        </w:rPr>
      </w:pPr>
      <w:r>
        <w:rPr>
          <w:rFonts w:hint="eastAsia" w:ascii="宋体" w:hAnsi="宋体"/>
          <w:b/>
          <w:bCs/>
          <w:color w:val="auto"/>
          <w:szCs w:val="21"/>
        </w:rPr>
        <w:t>10．磋商文件的组成</w:t>
      </w:r>
    </w:p>
    <w:p w14:paraId="484F6AB6">
      <w:pPr>
        <w:pStyle w:val="11"/>
        <w:adjustRightInd w:val="0"/>
        <w:snapToGrid w:val="0"/>
        <w:spacing w:line="360" w:lineRule="auto"/>
        <w:ind w:firstLine="420" w:firstLineChars="200"/>
        <w:rPr>
          <w:rFonts w:hint="eastAsia" w:hAnsi="宋体"/>
          <w:color w:val="auto"/>
        </w:rPr>
      </w:pPr>
      <w:r>
        <w:rPr>
          <w:rFonts w:hint="eastAsia" w:hAnsi="宋体"/>
          <w:color w:val="auto"/>
        </w:rPr>
        <w:t>10.1 磋商文件由下列文件组成：</w:t>
      </w:r>
    </w:p>
    <w:p w14:paraId="14149858">
      <w:pPr>
        <w:pStyle w:val="11"/>
        <w:adjustRightInd w:val="0"/>
        <w:snapToGrid w:val="0"/>
        <w:spacing w:line="360" w:lineRule="auto"/>
        <w:ind w:firstLine="420" w:firstLineChars="200"/>
        <w:rPr>
          <w:rFonts w:hint="eastAsia" w:hAnsi="宋体"/>
          <w:color w:val="auto"/>
        </w:rPr>
      </w:pPr>
      <w:r>
        <w:rPr>
          <w:rFonts w:hint="eastAsia" w:hAnsi="宋体"/>
          <w:color w:val="auto"/>
        </w:rPr>
        <w:t>第一章 磋商邀请</w:t>
      </w:r>
    </w:p>
    <w:p w14:paraId="7B00D1FD">
      <w:pPr>
        <w:pStyle w:val="11"/>
        <w:adjustRightInd w:val="0"/>
        <w:snapToGrid w:val="0"/>
        <w:spacing w:line="360" w:lineRule="auto"/>
        <w:ind w:firstLine="420" w:firstLineChars="200"/>
        <w:rPr>
          <w:rFonts w:hint="eastAsia" w:hAnsi="宋体"/>
          <w:color w:val="auto"/>
        </w:rPr>
      </w:pPr>
      <w:r>
        <w:rPr>
          <w:rFonts w:hint="eastAsia" w:hAnsi="宋体"/>
          <w:color w:val="auto"/>
        </w:rPr>
        <w:t>第二章 磋商须知</w:t>
      </w:r>
    </w:p>
    <w:p w14:paraId="1780EC4F">
      <w:pPr>
        <w:pStyle w:val="11"/>
        <w:adjustRightInd w:val="0"/>
        <w:snapToGrid w:val="0"/>
        <w:spacing w:line="360" w:lineRule="auto"/>
        <w:ind w:firstLine="420" w:firstLineChars="200"/>
        <w:rPr>
          <w:rFonts w:hint="eastAsia" w:hAnsi="宋体"/>
          <w:color w:val="auto"/>
        </w:rPr>
      </w:pPr>
      <w:r>
        <w:rPr>
          <w:rFonts w:hint="eastAsia" w:hAnsi="宋体"/>
          <w:color w:val="auto"/>
        </w:rPr>
        <w:t>第三章 政府采购合同格式条款</w:t>
      </w:r>
    </w:p>
    <w:p w14:paraId="1E8C9971">
      <w:pPr>
        <w:pStyle w:val="11"/>
        <w:adjustRightInd w:val="0"/>
        <w:snapToGrid w:val="0"/>
        <w:spacing w:line="360" w:lineRule="auto"/>
        <w:ind w:firstLine="420" w:firstLineChars="200"/>
        <w:rPr>
          <w:rFonts w:hint="eastAsia" w:hAnsi="宋体"/>
          <w:color w:val="auto"/>
        </w:rPr>
      </w:pPr>
      <w:r>
        <w:rPr>
          <w:rFonts w:hint="eastAsia" w:hAnsi="宋体"/>
          <w:color w:val="auto"/>
        </w:rPr>
        <w:t>第四章 采购需求</w:t>
      </w:r>
    </w:p>
    <w:p w14:paraId="21A8E9C9">
      <w:pPr>
        <w:pStyle w:val="11"/>
        <w:adjustRightInd w:val="0"/>
        <w:snapToGrid w:val="0"/>
        <w:spacing w:line="360" w:lineRule="auto"/>
        <w:ind w:firstLine="420" w:firstLineChars="200"/>
        <w:rPr>
          <w:rFonts w:hint="eastAsia" w:hAnsi="宋体"/>
          <w:color w:val="auto"/>
        </w:rPr>
      </w:pPr>
      <w:r>
        <w:rPr>
          <w:rFonts w:hint="eastAsia" w:hAnsi="宋体"/>
          <w:color w:val="auto"/>
        </w:rPr>
        <w:t>第五章 响应文件组成</w:t>
      </w:r>
    </w:p>
    <w:p w14:paraId="2010C3E2">
      <w:pPr>
        <w:pStyle w:val="11"/>
        <w:adjustRightInd w:val="0"/>
        <w:snapToGrid w:val="0"/>
        <w:spacing w:line="360" w:lineRule="auto"/>
        <w:ind w:firstLine="420" w:firstLineChars="200"/>
        <w:rPr>
          <w:rFonts w:hint="eastAsia" w:hAnsi="宋体" w:cs="宋体"/>
          <w:color w:val="auto"/>
          <w:kern w:val="0"/>
        </w:rPr>
      </w:pPr>
      <w:r>
        <w:rPr>
          <w:rFonts w:hint="eastAsia"/>
          <w:color w:val="auto"/>
        </w:rPr>
        <w:t>10.2</w:t>
      </w:r>
      <w:r>
        <w:rPr>
          <w:rFonts w:hint="eastAsia" w:hAnsi="宋体" w:cs="宋体"/>
          <w:color w:val="auto"/>
          <w:kern w:val="0"/>
        </w:rPr>
        <w:t>磋商小组根据与供应商磋商情况可能实质性变动的内容，包括采购需求中的技术、服务要求以及合同条款，</w:t>
      </w:r>
      <w:r>
        <w:rPr>
          <w:rFonts w:hint="eastAsia"/>
          <w:color w:val="auto"/>
        </w:rPr>
        <w:t>在</w:t>
      </w:r>
      <w:r>
        <w:rPr>
          <w:rFonts w:hint="eastAsia"/>
          <w:b/>
          <w:color w:val="auto"/>
        </w:rPr>
        <w:t>磋商须知前附表</w:t>
      </w:r>
      <w:r>
        <w:rPr>
          <w:rFonts w:hint="eastAsia"/>
          <w:color w:val="auto"/>
        </w:rPr>
        <w:t>中明确。</w:t>
      </w:r>
    </w:p>
    <w:p w14:paraId="363A12D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rPr>
        <w:t>10.3</w:t>
      </w:r>
      <w:r>
        <w:rPr>
          <w:rFonts w:hint="eastAsia" w:ascii="宋体" w:hAnsi="宋体"/>
          <w:color w:val="auto"/>
          <w:szCs w:val="21"/>
        </w:rPr>
        <w:t>供应商应仔细阅读</w:t>
      </w:r>
      <w:r>
        <w:rPr>
          <w:rFonts w:hint="eastAsia" w:ascii="宋体" w:hAnsi="宋体"/>
          <w:bCs/>
          <w:color w:val="auto"/>
          <w:szCs w:val="21"/>
        </w:rPr>
        <w:t>磋商</w:t>
      </w:r>
      <w:r>
        <w:rPr>
          <w:rFonts w:hint="eastAsia" w:ascii="宋体" w:hAnsi="宋体"/>
          <w:color w:val="auto"/>
          <w:szCs w:val="21"/>
        </w:rPr>
        <w:t>文件的全部内容，按照</w:t>
      </w:r>
      <w:r>
        <w:rPr>
          <w:rFonts w:hint="eastAsia" w:ascii="宋体" w:hAnsi="宋体"/>
          <w:bCs/>
          <w:color w:val="auto"/>
          <w:szCs w:val="21"/>
        </w:rPr>
        <w:t>磋商</w:t>
      </w:r>
      <w:r>
        <w:rPr>
          <w:rFonts w:hint="eastAsia" w:ascii="宋体" w:hAnsi="宋体"/>
          <w:color w:val="auto"/>
          <w:szCs w:val="21"/>
        </w:rPr>
        <w:t>文件要求编制</w:t>
      </w:r>
      <w:r>
        <w:rPr>
          <w:rFonts w:hint="eastAsia"/>
          <w:color w:val="auto"/>
          <w:szCs w:val="21"/>
        </w:rPr>
        <w:t>响应</w:t>
      </w:r>
      <w:r>
        <w:rPr>
          <w:rFonts w:hint="eastAsia" w:ascii="宋体" w:hAnsi="宋体"/>
          <w:color w:val="auto"/>
          <w:szCs w:val="21"/>
        </w:rPr>
        <w:t>文件。任何对</w:t>
      </w:r>
      <w:r>
        <w:rPr>
          <w:rFonts w:hint="eastAsia" w:ascii="宋体" w:hAnsi="宋体"/>
          <w:bCs/>
          <w:color w:val="auto"/>
          <w:szCs w:val="21"/>
        </w:rPr>
        <w:t>磋商</w:t>
      </w:r>
      <w:r>
        <w:rPr>
          <w:rFonts w:hint="eastAsia" w:ascii="宋体" w:hAnsi="宋体"/>
          <w:color w:val="auto"/>
          <w:szCs w:val="21"/>
        </w:rPr>
        <w:t>文件的忽略或误解不能作为</w:t>
      </w:r>
      <w:r>
        <w:rPr>
          <w:rFonts w:hint="eastAsia"/>
          <w:color w:val="auto"/>
          <w:szCs w:val="21"/>
        </w:rPr>
        <w:t>响应</w:t>
      </w:r>
      <w:r>
        <w:rPr>
          <w:rFonts w:hint="eastAsia" w:ascii="宋体" w:hAnsi="宋体"/>
          <w:color w:val="auto"/>
          <w:szCs w:val="21"/>
        </w:rPr>
        <w:t>文件存在缺陷或瑕疵的理由，其风险由供应商承担。</w:t>
      </w:r>
    </w:p>
    <w:p w14:paraId="0446C87A">
      <w:pPr>
        <w:adjustRightInd w:val="0"/>
        <w:snapToGrid w:val="0"/>
        <w:spacing w:line="360" w:lineRule="auto"/>
        <w:rPr>
          <w:rFonts w:hint="eastAsia" w:ascii="宋体" w:hAnsi="宋体"/>
          <w:b/>
          <w:color w:val="auto"/>
          <w:szCs w:val="21"/>
        </w:rPr>
      </w:pPr>
      <w:r>
        <w:rPr>
          <w:rFonts w:hint="eastAsia" w:ascii="宋体" w:hAnsi="宋体"/>
          <w:b/>
          <w:color w:val="auto"/>
          <w:szCs w:val="21"/>
        </w:rPr>
        <w:t>11.</w:t>
      </w:r>
      <w:r>
        <w:rPr>
          <w:rFonts w:hint="eastAsia"/>
          <w:b/>
          <w:color w:val="auto"/>
        </w:rPr>
        <w:t xml:space="preserve"> </w:t>
      </w:r>
      <w:r>
        <w:rPr>
          <w:rFonts w:hint="eastAsia" w:ascii="宋体" w:hAnsi="宋体"/>
          <w:b/>
          <w:color w:val="auto"/>
          <w:szCs w:val="21"/>
        </w:rPr>
        <w:t>磋商文件的提供期限</w:t>
      </w:r>
    </w:p>
    <w:p w14:paraId="61D51831">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11.1磋商文件的提供期限自开始发出之日起不得少于五个工作日。具体提供期限见</w:t>
      </w:r>
      <w:r>
        <w:rPr>
          <w:rFonts w:hint="eastAsia" w:ascii="宋体" w:hAnsi="宋体"/>
          <w:b/>
          <w:color w:val="auto"/>
          <w:szCs w:val="21"/>
        </w:rPr>
        <w:t>磋商文件前附表</w:t>
      </w:r>
      <w:r>
        <w:rPr>
          <w:rFonts w:hint="eastAsia" w:ascii="宋体" w:hAnsi="宋体"/>
          <w:color w:val="auto"/>
          <w:szCs w:val="21"/>
        </w:rPr>
        <w:t>。</w:t>
      </w:r>
    </w:p>
    <w:p w14:paraId="3C6998E1">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11.2供应商应持</w:t>
      </w:r>
      <w:r>
        <w:rPr>
          <w:rFonts w:hint="eastAsia" w:ascii="宋体" w:hAnsi="宋体"/>
          <w:b/>
          <w:color w:val="auto"/>
          <w:szCs w:val="21"/>
        </w:rPr>
        <w:t>磋商文件前附表</w:t>
      </w:r>
      <w:r>
        <w:rPr>
          <w:rFonts w:hint="eastAsia" w:ascii="宋体" w:hAnsi="宋体"/>
          <w:color w:val="auto"/>
          <w:szCs w:val="21"/>
        </w:rPr>
        <w:t>规定的资料领取或购买磋商文件。</w:t>
      </w:r>
    </w:p>
    <w:p w14:paraId="26C82B35">
      <w:pPr>
        <w:pStyle w:val="11"/>
        <w:adjustRightInd w:val="0"/>
        <w:snapToGrid w:val="0"/>
        <w:spacing w:line="360" w:lineRule="auto"/>
        <w:rPr>
          <w:rFonts w:hint="eastAsia" w:hAnsi="宋体"/>
          <w:color w:val="auto"/>
        </w:rPr>
      </w:pPr>
      <w:r>
        <w:rPr>
          <w:rFonts w:hint="eastAsia" w:hAnsi="宋体"/>
          <w:b/>
          <w:color w:val="auto"/>
        </w:rPr>
        <w:t>12.</w:t>
      </w:r>
      <w:r>
        <w:rPr>
          <w:rFonts w:hint="eastAsia" w:hAnsi="宋体" w:cs="宋体"/>
          <w:b/>
          <w:color w:val="auto"/>
          <w:kern w:val="0"/>
        </w:rPr>
        <w:t>提交首次响应文件</w:t>
      </w:r>
      <w:r>
        <w:rPr>
          <w:rFonts w:hint="eastAsia" w:hAnsi="宋体"/>
          <w:b/>
          <w:color w:val="auto"/>
        </w:rPr>
        <w:t>的</w:t>
      </w:r>
      <w:r>
        <w:rPr>
          <w:rFonts w:hint="eastAsia" w:hAnsi="宋体" w:cs="宋体"/>
          <w:b/>
          <w:color w:val="auto"/>
          <w:kern w:val="0"/>
        </w:rPr>
        <w:t>截止</w:t>
      </w:r>
      <w:r>
        <w:rPr>
          <w:rFonts w:hint="eastAsia" w:hAnsi="宋体"/>
          <w:b/>
          <w:color w:val="auto"/>
        </w:rPr>
        <w:t>时间</w:t>
      </w:r>
    </w:p>
    <w:p w14:paraId="477B43A8">
      <w:pPr>
        <w:pStyle w:val="11"/>
        <w:adjustRightInd w:val="0"/>
        <w:snapToGrid w:val="0"/>
        <w:spacing w:line="360" w:lineRule="auto"/>
        <w:ind w:firstLine="420" w:firstLineChars="200"/>
        <w:rPr>
          <w:rFonts w:hint="eastAsia" w:hAnsi="宋体"/>
          <w:color w:val="auto"/>
        </w:rPr>
      </w:pPr>
      <w:r>
        <w:rPr>
          <w:rFonts w:hint="eastAsia" w:hAnsi="宋体"/>
          <w:color w:val="auto"/>
        </w:rPr>
        <w:t>12.1</w:t>
      </w:r>
      <w:r>
        <w:rPr>
          <w:rFonts w:hint="eastAsia" w:hAnsi="宋体" w:cs="宋体"/>
          <w:color w:val="auto"/>
          <w:kern w:val="0"/>
        </w:rPr>
        <w:t>供应商提交首次响应文件截止</w:t>
      </w:r>
      <w:r>
        <w:rPr>
          <w:rFonts w:hint="eastAsia" w:hAnsi="宋体"/>
          <w:color w:val="auto"/>
        </w:rPr>
        <w:t>时间见</w:t>
      </w:r>
      <w:r>
        <w:rPr>
          <w:rFonts w:hint="eastAsia" w:hAnsi="宋体"/>
          <w:b/>
          <w:color w:val="auto"/>
        </w:rPr>
        <w:t>磋商须知前附表</w:t>
      </w:r>
      <w:r>
        <w:rPr>
          <w:rFonts w:hint="eastAsia" w:hAnsi="宋体"/>
          <w:color w:val="auto"/>
        </w:rPr>
        <w:t>。从磋商文件发出之日起至供应商提交首次响应文件截止之日止不得少于十日。</w:t>
      </w:r>
    </w:p>
    <w:p w14:paraId="2D6A4FF8">
      <w:pPr>
        <w:adjustRightInd w:val="0"/>
        <w:snapToGrid w:val="0"/>
        <w:spacing w:line="360" w:lineRule="auto"/>
        <w:rPr>
          <w:rFonts w:hint="eastAsia" w:ascii="宋体" w:hAnsi="宋体"/>
          <w:b/>
          <w:bCs/>
          <w:color w:val="auto"/>
          <w:szCs w:val="21"/>
        </w:rPr>
      </w:pPr>
      <w:r>
        <w:rPr>
          <w:rFonts w:hint="eastAsia" w:ascii="宋体" w:hAnsi="宋体"/>
          <w:b/>
          <w:bCs/>
          <w:color w:val="auto"/>
          <w:szCs w:val="21"/>
        </w:rPr>
        <w:t>13.磋商文件的澄清</w:t>
      </w:r>
      <w:r>
        <w:rPr>
          <w:rFonts w:hint="eastAsia" w:ascii="宋体" w:hAnsi="宋体"/>
          <w:b/>
          <w:color w:val="auto"/>
          <w:kern w:val="0"/>
          <w:szCs w:val="21"/>
          <w:lang w:val="zh-CN"/>
        </w:rPr>
        <w:t>或者</w:t>
      </w:r>
      <w:r>
        <w:rPr>
          <w:rFonts w:hint="eastAsia" w:ascii="宋体" w:hAnsi="宋体"/>
          <w:b/>
          <w:bCs/>
          <w:color w:val="auto"/>
          <w:szCs w:val="21"/>
        </w:rPr>
        <w:t>修改</w:t>
      </w:r>
    </w:p>
    <w:p w14:paraId="42E60838">
      <w:pPr>
        <w:adjustRightInd w:val="0"/>
        <w:snapToGrid w:val="0"/>
        <w:spacing w:line="360" w:lineRule="auto"/>
        <w:ind w:right="-105" w:rightChars="-50" w:firstLine="420" w:firstLineChars="200"/>
        <w:rPr>
          <w:rFonts w:hint="eastAsia" w:ascii="宋体" w:hAnsi="宋体" w:cs="宋体"/>
          <w:color w:val="auto"/>
          <w:kern w:val="0"/>
          <w:szCs w:val="21"/>
        </w:rPr>
      </w:pPr>
      <w:r>
        <w:rPr>
          <w:rFonts w:hint="eastAsia" w:ascii="宋体" w:hAnsi="宋体"/>
          <w:color w:val="auto"/>
          <w:szCs w:val="21"/>
        </w:rPr>
        <w:t>13.1在</w:t>
      </w:r>
      <w:r>
        <w:rPr>
          <w:rFonts w:hint="eastAsia" w:ascii="宋体" w:hAnsi="宋体" w:cs="宋体"/>
          <w:color w:val="auto"/>
          <w:kern w:val="0"/>
          <w:szCs w:val="21"/>
        </w:rPr>
        <w:t xml:space="preserve">提交首次响应文件截止之日前，采购人、采购代理机构可以对已发出的磋商文件进行必要的澄清或者修改。 </w:t>
      </w:r>
    </w:p>
    <w:p w14:paraId="79BE185F">
      <w:pPr>
        <w:adjustRightInd w:val="0"/>
        <w:snapToGrid w:val="0"/>
        <w:spacing w:line="360" w:lineRule="auto"/>
        <w:ind w:right="-105" w:rightChars="-50" w:firstLine="420" w:firstLineChars="200"/>
        <w:rPr>
          <w:rFonts w:hint="eastAsia" w:ascii="宋体" w:hAnsi="宋体" w:cs="宋体"/>
          <w:color w:val="auto"/>
          <w:kern w:val="0"/>
          <w:szCs w:val="21"/>
        </w:rPr>
      </w:pPr>
      <w:r>
        <w:rPr>
          <w:rFonts w:hint="eastAsia" w:ascii="宋体" w:hAnsi="宋体"/>
          <w:color w:val="auto"/>
          <w:szCs w:val="21"/>
        </w:rPr>
        <w:t>13.2</w:t>
      </w:r>
      <w:r>
        <w:rPr>
          <w:rFonts w:hint="eastAsia" w:ascii="宋体" w:hAnsi="宋体" w:cs="宋体"/>
          <w:color w:val="auto"/>
          <w:kern w:val="0"/>
          <w:szCs w:val="21"/>
        </w:rPr>
        <w:t>澄清或者修改的内容可能影响响应文件编制的，采购人、采购代理机构应当在提交首次响应文件截止之日5日前，以书面形式通知所有接收磋商文件的供应商，不足5日的，顺延供应商提交首次响应文件截止时间。</w:t>
      </w:r>
    </w:p>
    <w:p w14:paraId="2D67FE8A">
      <w:pPr>
        <w:pStyle w:val="11"/>
        <w:adjustRightInd w:val="0"/>
        <w:snapToGrid w:val="0"/>
        <w:spacing w:line="360" w:lineRule="auto"/>
        <w:ind w:firstLine="420" w:firstLineChars="200"/>
        <w:rPr>
          <w:rFonts w:hint="eastAsia"/>
          <w:color w:val="auto"/>
        </w:rPr>
      </w:pPr>
      <w:r>
        <w:rPr>
          <w:rFonts w:hint="eastAsia"/>
          <w:color w:val="auto"/>
        </w:rPr>
        <w:t>13.2</w:t>
      </w:r>
      <w:r>
        <w:rPr>
          <w:rFonts w:hint="eastAsia" w:hAnsi="宋体" w:cs="宋体"/>
          <w:color w:val="auto"/>
          <w:kern w:val="0"/>
        </w:rPr>
        <w:t>提交首次响应文件截止时间前对磋商文件澄清或者修改内容，为磋商文件的组成部分。</w:t>
      </w:r>
    </w:p>
    <w:p w14:paraId="2CFBD9EE">
      <w:pPr>
        <w:adjustRightInd w:val="0"/>
        <w:snapToGrid w:val="0"/>
        <w:spacing w:line="360" w:lineRule="auto"/>
        <w:ind w:left="902" w:hanging="902" w:hangingChars="376"/>
        <w:rPr>
          <w:rFonts w:hint="eastAsia" w:ascii="黑体" w:hAnsi="宋体" w:eastAsia="黑体"/>
          <w:color w:val="auto"/>
          <w:sz w:val="24"/>
        </w:rPr>
      </w:pPr>
      <w:r>
        <w:rPr>
          <w:rFonts w:hint="eastAsia" w:ascii="黑体" w:hAnsi="宋体" w:eastAsia="黑体"/>
          <w:color w:val="auto"/>
          <w:sz w:val="24"/>
        </w:rPr>
        <w:t>三、响应文件</w:t>
      </w:r>
    </w:p>
    <w:p w14:paraId="76FDE8D6">
      <w:pPr>
        <w:adjustRightInd w:val="0"/>
        <w:snapToGrid w:val="0"/>
        <w:spacing w:line="360" w:lineRule="auto"/>
        <w:rPr>
          <w:rFonts w:hint="eastAsia" w:ascii="宋体" w:hAnsi="宋体"/>
          <w:b/>
          <w:bCs/>
          <w:color w:val="auto"/>
          <w:szCs w:val="21"/>
        </w:rPr>
      </w:pPr>
      <w:r>
        <w:rPr>
          <w:rFonts w:hint="eastAsia" w:ascii="宋体" w:hAnsi="宋体"/>
          <w:b/>
          <w:bCs/>
          <w:color w:val="auto"/>
          <w:szCs w:val="21"/>
        </w:rPr>
        <w:t>14.一般要求</w:t>
      </w:r>
    </w:p>
    <w:p w14:paraId="276FF02D">
      <w:pPr>
        <w:adjustRightInd w:val="0"/>
        <w:snapToGrid w:val="0"/>
        <w:spacing w:line="360" w:lineRule="auto"/>
        <w:ind w:firstLine="420" w:firstLineChars="200"/>
        <w:rPr>
          <w:rFonts w:hint="eastAsia" w:ascii="宋体" w:hAnsi="宋体"/>
          <w:bCs/>
          <w:color w:val="auto"/>
          <w:szCs w:val="21"/>
        </w:rPr>
      </w:pPr>
      <w:r>
        <w:rPr>
          <w:rFonts w:hint="eastAsia" w:ascii="宋体" w:hAnsi="宋体"/>
          <w:bCs/>
          <w:color w:val="auto"/>
          <w:szCs w:val="21"/>
        </w:rPr>
        <w:t>14.1 供应商应仔细阅读磋商文件的所有内容，按磋商文件的要求编制响应文件，并保证所提供的全部资料的真实性，以使其响应文件对磋商文件做出实质性的响应。</w:t>
      </w:r>
    </w:p>
    <w:p w14:paraId="7294252D">
      <w:pPr>
        <w:adjustRightInd w:val="0"/>
        <w:snapToGrid w:val="0"/>
        <w:spacing w:line="360" w:lineRule="auto"/>
        <w:ind w:firstLine="420" w:firstLineChars="200"/>
        <w:rPr>
          <w:rFonts w:hint="eastAsia" w:ascii="宋体" w:hAnsi="宋体"/>
          <w:bCs/>
          <w:color w:val="auto"/>
          <w:szCs w:val="21"/>
        </w:rPr>
      </w:pPr>
      <w:r>
        <w:rPr>
          <w:rFonts w:hint="eastAsia" w:ascii="宋体" w:hAnsi="宋体"/>
          <w:bCs/>
          <w:color w:val="auto"/>
          <w:szCs w:val="21"/>
        </w:rPr>
        <w:t xml:space="preserve">14.2 </w:t>
      </w:r>
      <w:r>
        <w:rPr>
          <w:rFonts w:hint="eastAsia" w:ascii="宋体" w:hAnsi="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2B5B239E">
      <w:pPr>
        <w:pStyle w:val="11"/>
        <w:adjustRightInd w:val="0"/>
        <w:snapToGrid w:val="0"/>
        <w:spacing w:line="360" w:lineRule="auto"/>
        <w:ind w:firstLine="420" w:firstLineChars="200"/>
        <w:rPr>
          <w:rFonts w:hint="eastAsia" w:hAnsi="宋体"/>
          <w:color w:val="auto"/>
        </w:rPr>
      </w:pPr>
      <w:r>
        <w:rPr>
          <w:rFonts w:hint="eastAsia" w:hAnsi="宋体"/>
          <w:bCs/>
          <w:color w:val="auto"/>
        </w:rPr>
        <w:t xml:space="preserve">14.3 </w:t>
      </w:r>
      <w:r>
        <w:rPr>
          <w:rFonts w:hint="eastAsia" w:hAnsi="宋体"/>
          <w:color w:val="auto"/>
        </w:rPr>
        <w:t>计量单位应使用我国法定计量单位，未列明时应默认为我国法定计量单位。</w:t>
      </w:r>
    </w:p>
    <w:p w14:paraId="4FB51867">
      <w:pPr>
        <w:pStyle w:val="11"/>
        <w:adjustRightInd w:val="0"/>
        <w:snapToGrid w:val="0"/>
        <w:spacing w:line="360" w:lineRule="auto"/>
        <w:ind w:firstLine="420" w:firstLineChars="200"/>
        <w:rPr>
          <w:rFonts w:hint="eastAsia" w:hAnsi="宋体"/>
          <w:color w:val="auto"/>
        </w:rPr>
      </w:pPr>
      <w:r>
        <w:rPr>
          <w:rFonts w:hint="eastAsia" w:hAnsi="宋体"/>
          <w:color w:val="auto"/>
        </w:rPr>
        <w:t>14.4 响应文件应采用书面形式，电报、传真、电子邮件形式的响应文件概不接受。</w:t>
      </w:r>
    </w:p>
    <w:p w14:paraId="5153316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14.5 供应商应按磋商文件中提供的响应文件格式填写。</w:t>
      </w:r>
    </w:p>
    <w:p w14:paraId="0D22EC5A">
      <w:pPr>
        <w:adjustRightInd w:val="0"/>
        <w:snapToGrid w:val="0"/>
        <w:spacing w:line="360" w:lineRule="auto"/>
        <w:rPr>
          <w:rFonts w:hint="eastAsia" w:ascii="宋体" w:hAnsi="宋体" w:eastAsia="宋体" w:cs="Times New Roman"/>
          <w:b/>
          <w:bCs/>
          <w:color w:val="auto"/>
          <w:szCs w:val="21"/>
        </w:rPr>
      </w:pPr>
      <w:r>
        <w:rPr>
          <w:rFonts w:hint="eastAsia" w:ascii="宋体" w:hAnsi="宋体" w:eastAsia="宋体" w:cs="Times New Roman"/>
          <w:b/>
          <w:bCs/>
          <w:color w:val="auto"/>
          <w:szCs w:val="21"/>
        </w:rPr>
        <w:t>15.响应文件的组成</w:t>
      </w:r>
    </w:p>
    <w:p w14:paraId="479BBAAC">
      <w:pPr>
        <w:adjustRightInd w:val="0"/>
        <w:snapToGrid w:val="0"/>
        <w:spacing w:line="360" w:lineRule="auto"/>
        <w:ind w:firstLine="420" w:firstLineChars="200"/>
        <w:rPr>
          <w:rFonts w:hint="eastAsia" w:ascii="宋体" w:hAnsi="宋体" w:eastAsia="宋体" w:cs="Times New Roman"/>
          <w:color w:val="auto"/>
        </w:rPr>
      </w:pPr>
      <w:bookmarkStart w:id="18" w:name="_Toc30380"/>
      <w:r>
        <w:rPr>
          <w:rFonts w:hint="eastAsia" w:ascii="宋体" w:hAnsi="宋体" w:eastAsia="宋体" w:cs="Times New Roman"/>
          <w:color w:val="auto"/>
        </w:rPr>
        <w:t>15.1 响应文件包括下列内容：</w:t>
      </w:r>
      <w:bookmarkEnd w:id="18"/>
      <w:r>
        <w:rPr>
          <w:rFonts w:hint="eastAsia" w:ascii="宋体" w:hAnsi="宋体" w:eastAsia="宋体" w:cs="Times New Roman"/>
          <w:color w:val="auto"/>
        </w:rPr>
        <w:t xml:space="preserve"> </w:t>
      </w:r>
    </w:p>
    <w:p w14:paraId="1D1F56AB">
      <w:pPr>
        <w:pStyle w:val="11"/>
        <w:adjustRightInd w:val="0"/>
        <w:snapToGrid w:val="0"/>
        <w:spacing w:line="360" w:lineRule="auto"/>
        <w:ind w:firstLine="420" w:firstLineChars="200"/>
        <w:rPr>
          <w:rFonts w:hint="eastAsia" w:hAnsi="宋体"/>
          <w:color w:val="auto"/>
        </w:rPr>
      </w:pPr>
      <w:r>
        <w:rPr>
          <w:rFonts w:hint="eastAsia" w:hAnsi="宋体"/>
          <w:color w:val="auto"/>
        </w:rPr>
        <w:t>（1）磋商响应声明</w:t>
      </w:r>
    </w:p>
    <w:p w14:paraId="5A4B36D1">
      <w:pPr>
        <w:pStyle w:val="11"/>
        <w:adjustRightInd w:val="0"/>
        <w:snapToGrid w:val="0"/>
        <w:spacing w:line="360" w:lineRule="auto"/>
        <w:ind w:firstLine="420" w:firstLineChars="200"/>
        <w:rPr>
          <w:rFonts w:hint="eastAsia" w:hAnsi="宋体"/>
          <w:color w:val="auto"/>
        </w:rPr>
      </w:pPr>
      <w:r>
        <w:rPr>
          <w:rFonts w:hint="eastAsia" w:hAnsi="宋体"/>
          <w:color w:val="auto"/>
        </w:rPr>
        <w:t>（2）保证金</w:t>
      </w:r>
    </w:p>
    <w:p w14:paraId="1D8FE73F">
      <w:pPr>
        <w:pStyle w:val="11"/>
        <w:adjustRightInd w:val="0"/>
        <w:snapToGrid w:val="0"/>
        <w:spacing w:line="360" w:lineRule="auto"/>
        <w:ind w:firstLine="420" w:firstLineChars="200"/>
        <w:rPr>
          <w:rFonts w:hint="eastAsia" w:hAnsi="宋体"/>
          <w:color w:val="auto"/>
        </w:rPr>
      </w:pPr>
      <w:r>
        <w:rPr>
          <w:rFonts w:hint="eastAsia" w:hAnsi="宋体"/>
          <w:color w:val="auto"/>
        </w:rPr>
        <w:t>（3）供应商的资格证明文件</w:t>
      </w:r>
    </w:p>
    <w:p w14:paraId="47AA7984">
      <w:pPr>
        <w:pStyle w:val="11"/>
        <w:adjustRightInd w:val="0"/>
        <w:snapToGrid w:val="0"/>
        <w:spacing w:line="360" w:lineRule="auto"/>
        <w:ind w:firstLine="420" w:firstLineChars="200"/>
        <w:rPr>
          <w:rFonts w:hint="eastAsia" w:hAnsi="宋体"/>
          <w:color w:val="auto"/>
        </w:rPr>
      </w:pPr>
      <w:r>
        <w:rPr>
          <w:rFonts w:hint="eastAsia" w:hAnsi="宋体"/>
          <w:color w:val="auto"/>
        </w:rPr>
        <w:t>（4）施工组织设计</w:t>
      </w:r>
    </w:p>
    <w:p w14:paraId="0EB3A2D2">
      <w:pPr>
        <w:pStyle w:val="11"/>
        <w:adjustRightInd w:val="0"/>
        <w:snapToGrid w:val="0"/>
        <w:spacing w:line="360" w:lineRule="auto"/>
        <w:ind w:firstLine="420" w:firstLineChars="200"/>
        <w:rPr>
          <w:rFonts w:hint="eastAsia" w:hAnsi="宋体"/>
          <w:color w:val="auto"/>
        </w:rPr>
      </w:pPr>
      <w:r>
        <w:rPr>
          <w:rFonts w:hint="eastAsia" w:hAnsi="宋体"/>
          <w:color w:val="auto"/>
        </w:rPr>
        <w:t>（5）技术/商务响应与偏离表</w:t>
      </w:r>
    </w:p>
    <w:p w14:paraId="1EA5732B">
      <w:pPr>
        <w:pStyle w:val="11"/>
        <w:adjustRightInd w:val="0"/>
        <w:snapToGrid w:val="0"/>
        <w:spacing w:line="360" w:lineRule="auto"/>
        <w:ind w:firstLine="420" w:firstLineChars="200"/>
        <w:rPr>
          <w:rFonts w:hint="eastAsia" w:hAnsi="宋体"/>
          <w:color w:val="auto"/>
        </w:rPr>
      </w:pPr>
      <w:r>
        <w:rPr>
          <w:rFonts w:hint="eastAsia" w:hAnsi="宋体"/>
          <w:color w:val="auto"/>
        </w:rPr>
        <w:t>（6）提供享受政府采购政策的证明材料和清单表</w:t>
      </w:r>
    </w:p>
    <w:p w14:paraId="3A9AB664">
      <w:pPr>
        <w:pStyle w:val="11"/>
        <w:adjustRightInd w:val="0"/>
        <w:snapToGrid w:val="0"/>
        <w:spacing w:line="360" w:lineRule="auto"/>
        <w:ind w:firstLine="420" w:firstLineChars="200"/>
        <w:rPr>
          <w:rFonts w:hint="eastAsia" w:hAnsi="宋体"/>
          <w:color w:val="auto"/>
        </w:rPr>
      </w:pPr>
      <w:r>
        <w:rPr>
          <w:rFonts w:hint="eastAsia" w:hAnsi="宋体"/>
          <w:color w:val="auto"/>
        </w:rPr>
        <w:t>（7）报价一览表及报价文件</w:t>
      </w:r>
    </w:p>
    <w:p w14:paraId="4F3A6EFB">
      <w:pPr>
        <w:pStyle w:val="11"/>
        <w:adjustRightInd w:val="0"/>
        <w:snapToGrid w:val="0"/>
        <w:spacing w:line="360" w:lineRule="auto"/>
        <w:ind w:firstLine="420" w:firstLineChars="200"/>
        <w:rPr>
          <w:rFonts w:hint="eastAsia" w:hAnsi="宋体"/>
          <w:color w:val="auto"/>
        </w:rPr>
      </w:pPr>
      <w:r>
        <w:rPr>
          <w:rFonts w:hint="eastAsia" w:hAnsi="宋体"/>
          <w:color w:val="auto"/>
        </w:rPr>
        <w:t>（8）供应商认为需提供的其他资料</w:t>
      </w:r>
    </w:p>
    <w:p w14:paraId="75411AB0">
      <w:pPr>
        <w:pStyle w:val="11"/>
        <w:adjustRightInd w:val="0"/>
        <w:snapToGrid w:val="0"/>
        <w:spacing w:line="360" w:lineRule="auto"/>
        <w:ind w:firstLine="420" w:firstLineChars="200"/>
        <w:rPr>
          <w:rFonts w:hint="eastAsia" w:hAnsi="宋体"/>
          <w:color w:val="auto"/>
        </w:rPr>
      </w:pPr>
      <w:r>
        <w:rPr>
          <w:rFonts w:hint="eastAsia" w:hAnsi="宋体"/>
          <w:color w:val="auto"/>
        </w:rPr>
        <w:t>（9）最后报价</w:t>
      </w:r>
    </w:p>
    <w:p w14:paraId="5CE70E38">
      <w:pPr>
        <w:adjustRightInd w:val="0"/>
        <w:snapToGrid w:val="0"/>
        <w:spacing w:line="360" w:lineRule="auto"/>
        <w:ind w:firstLine="420" w:firstLineChars="200"/>
        <w:rPr>
          <w:rFonts w:hint="eastAsia" w:hAnsi="宋体"/>
          <w:color w:val="auto"/>
        </w:rPr>
      </w:pPr>
      <w:r>
        <w:rPr>
          <w:rFonts w:hint="eastAsia" w:ascii="宋体" w:hAnsi="宋体"/>
          <w:color w:val="auto"/>
        </w:rPr>
        <w:t>15.2在磋商过程中，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磋商小组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14:paraId="4997CB17">
      <w:pPr>
        <w:adjustRightInd w:val="0"/>
        <w:snapToGrid w:val="0"/>
        <w:spacing w:line="360" w:lineRule="auto"/>
        <w:ind w:firstLine="420" w:firstLineChars="200"/>
        <w:rPr>
          <w:rFonts w:hint="eastAsia" w:hAnsi="宋体"/>
          <w:b/>
          <w:color w:val="auto"/>
        </w:rPr>
      </w:pPr>
      <w:r>
        <w:rPr>
          <w:rFonts w:hint="eastAsia" w:ascii="宋体" w:hAnsi="宋体"/>
          <w:color w:val="auto"/>
        </w:rPr>
        <w:t>15.3</w:t>
      </w:r>
      <w:r>
        <w:rPr>
          <w:rFonts w:hint="eastAsia" w:ascii="宋体" w:hAnsi="宋体" w:cs="宋体"/>
          <w:color w:val="auto"/>
          <w:kern w:val="0"/>
          <w:szCs w:val="21"/>
        </w:rPr>
        <w:t>磋商文件规定可能发生实质性变动的，供应商应当在</w:t>
      </w:r>
      <w:r>
        <w:rPr>
          <w:rFonts w:hint="eastAsia" w:hAnsi="宋体"/>
          <w:color w:val="auto"/>
        </w:rPr>
        <w:t>《技术/商务响应与偏离表》中对应内容注明。</w:t>
      </w:r>
    </w:p>
    <w:p w14:paraId="524C985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rPr>
        <w:t>15.4</w:t>
      </w:r>
      <w:r>
        <w:rPr>
          <w:rFonts w:hint="eastAsia" w:ascii="宋体" w:hAnsi="宋体"/>
          <w:color w:val="auto"/>
          <w:szCs w:val="21"/>
        </w:rPr>
        <w:t>根据《政府采购法》第四十二条的规定，供应商无论成交与否，其响应文件不予退还。</w:t>
      </w:r>
    </w:p>
    <w:p w14:paraId="4372C553">
      <w:pPr>
        <w:adjustRightInd w:val="0"/>
        <w:snapToGrid w:val="0"/>
        <w:spacing w:line="360" w:lineRule="auto"/>
        <w:rPr>
          <w:rFonts w:hint="eastAsia" w:ascii="宋体" w:hAnsi="宋体"/>
          <w:b/>
          <w:bCs/>
          <w:color w:val="auto"/>
          <w:szCs w:val="21"/>
        </w:rPr>
      </w:pPr>
      <w:r>
        <w:rPr>
          <w:rFonts w:hint="eastAsia" w:ascii="宋体" w:hAnsi="宋体"/>
          <w:b/>
          <w:bCs/>
          <w:color w:val="auto"/>
          <w:szCs w:val="21"/>
        </w:rPr>
        <w:t>16.报价</w:t>
      </w:r>
    </w:p>
    <w:p w14:paraId="6B689DF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16.1供应商应当根据磋商文件要求和范围，以</w:t>
      </w:r>
      <w:r>
        <w:rPr>
          <w:rFonts w:hint="eastAsia" w:ascii="宋体" w:hAnsi="宋体"/>
          <w:bCs/>
          <w:color w:val="auto"/>
          <w:szCs w:val="21"/>
        </w:rPr>
        <w:t>人民币</w:t>
      </w:r>
      <w:r>
        <w:rPr>
          <w:rFonts w:hint="eastAsia" w:ascii="宋体" w:hAnsi="宋体"/>
          <w:color w:val="auto"/>
          <w:szCs w:val="21"/>
        </w:rPr>
        <w:t>报价，以元为单位，保留小数点后两位。</w:t>
      </w:r>
    </w:p>
    <w:p w14:paraId="37076189">
      <w:pPr>
        <w:pStyle w:val="31"/>
        <w:adjustRightInd w:val="0"/>
        <w:snapToGrid w:val="0"/>
        <w:spacing w:line="360" w:lineRule="auto"/>
        <w:ind w:firstLine="420" w:firstLineChars="200"/>
        <w:rPr>
          <w:rFonts w:hint="eastAsia" w:ascii="宋体" w:hAnsi="宋体"/>
          <w:color w:val="auto"/>
        </w:rPr>
      </w:pPr>
      <w:r>
        <w:rPr>
          <w:rFonts w:hint="eastAsia" w:ascii="宋体" w:hAnsi="宋体"/>
          <w:color w:val="auto"/>
        </w:rPr>
        <w:t>16.2供应商应按第五章 响应文件组成格式填写。</w:t>
      </w:r>
    </w:p>
    <w:p w14:paraId="50D95527">
      <w:pPr>
        <w:pStyle w:val="11"/>
        <w:adjustRightInd w:val="0"/>
        <w:snapToGrid w:val="0"/>
        <w:spacing w:line="360" w:lineRule="auto"/>
        <w:ind w:firstLine="420" w:firstLineChars="200"/>
        <w:rPr>
          <w:rFonts w:hint="eastAsia" w:hAnsi="宋体"/>
          <w:color w:val="auto"/>
        </w:rPr>
      </w:pPr>
      <w:r>
        <w:rPr>
          <w:rFonts w:hint="eastAsia" w:hAnsi="宋体"/>
          <w:color w:val="auto"/>
        </w:rPr>
        <w:t>16.3响应文件中标明的价格在合同执行过程中是固定不变的，不得以任何理由予以变更。以可变动价格提交的报价将被认为是非实质响应而被拒绝。</w:t>
      </w:r>
    </w:p>
    <w:p w14:paraId="0D6F3528">
      <w:pPr>
        <w:pStyle w:val="11"/>
        <w:adjustRightInd w:val="0"/>
        <w:snapToGrid w:val="0"/>
        <w:spacing w:line="360" w:lineRule="auto"/>
        <w:ind w:firstLine="420" w:firstLineChars="200"/>
        <w:rPr>
          <w:rFonts w:hint="eastAsia" w:hAnsi="宋体"/>
          <w:color w:val="auto"/>
        </w:rPr>
      </w:pPr>
      <w:r>
        <w:rPr>
          <w:rFonts w:hint="eastAsia" w:hAnsi="宋体"/>
          <w:color w:val="auto"/>
        </w:rPr>
        <w:t>16.4</w:t>
      </w:r>
      <w:r>
        <w:rPr>
          <w:rFonts w:hint="eastAsia" w:hAnsi="宋体" w:cs="宋体"/>
          <w:color w:val="auto"/>
          <w:kern w:val="0"/>
          <w:lang w:val="zh-CN"/>
        </w:rPr>
        <w:t>供应商</w:t>
      </w:r>
      <w:r>
        <w:rPr>
          <w:rFonts w:hint="eastAsia" w:hAnsi="宋体"/>
          <w:color w:val="auto"/>
        </w:rPr>
        <w:t>的报价不得超过采购项目预算，采购项目预算或其计算方法见</w:t>
      </w:r>
      <w:r>
        <w:rPr>
          <w:rFonts w:hint="eastAsia" w:hAnsi="宋体"/>
          <w:b/>
          <w:color w:val="auto"/>
        </w:rPr>
        <w:t>磋商须知前附表</w:t>
      </w:r>
      <w:r>
        <w:rPr>
          <w:rFonts w:hint="eastAsia" w:hAnsi="宋体"/>
          <w:color w:val="auto"/>
        </w:rPr>
        <w:t>。</w:t>
      </w:r>
    </w:p>
    <w:p w14:paraId="55A40D42">
      <w:pPr>
        <w:pStyle w:val="11"/>
        <w:adjustRightInd w:val="0"/>
        <w:snapToGrid w:val="0"/>
        <w:spacing w:line="360" w:lineRule="auto"/>
        <w:rPr>
          <w:rFonts w:hint="eastAsia"/>
          <w:b/>
          <w:color w:val="auto"/>
        </w:rPr>
      </w:pPr>
      <w:r>
        <w:rPr>
          <w:rFonts w:hint="eastAsia"/>
          <w:b/>
          <w:color w:val="auto"/>
        </w:rPr>
        <w:t>17.供应商符合磋商文件规定的证明文件</w:t>
      </w:r>
    </w:p>
    <w:p w14:paraId="66B79C56">
      <w:pPr>
        <w:adjustRightInd w:val="0"/>
        <w:snapToGrid w:val="0"/>
        <w:spacing w:line="360" w:lineRule="auto"/>
        <w:ind w:firstLine="420" w:firstLineChars="200"/>
        <w:jc w:val="left"/>
        <w:rPr>
          <w:rFonts w:hint="eastAsia" w:ascii="宋体" w:hAnsi="宋体"/>
          <w:color w:val="auto"/>
        </w:rPr>
      </w:pPr>
      <w:r>
        <w:rPr>
          <w:rFonts w:hint="eastAsia" w:ascii="宋体" w:hAnsi="宋体"/>
          <w:color w:val="auto"/>
        </w:rPr>
        <w:t>17.1供应商应提交满足本章第3.1款规定的资格条件要求的证明文件,该证明文件作为响应文件的一部分。</w:t>
      </w:r>
    </w:p>
    <w:p w14:paraId="12E19633">
      <w:pPr>
        <w:adjustRightInd w:val="0"/>
        <w:snapToGrid w:val="0"/>
        <w:spacing w:line="360" w:lineRule="auto"/>
        <w:ind w:firstLine="420" w:firstLineChars="200"/>
        <w:jc w:val="left"/>
        <w:rPr>
          <w:rFonts w:hint="eastAsia" w:ascii="宋体" w:hAnsi="宋体"/>
          <w:color w:val="auto"/>
        </w:rPr>
      </w:pPr>
      <w:r>
        <w:rPr>
          <w:rFonts w:hint="eastAsia" w:ascii="宋体" w:hAnsi="宋体"/>
          <w:color w:val="auto"/>
        </w:rPr>
        <w:t>17.2如果供应商为联合体，则应提交联合体各方资格证明文件、联合体协议。否则，在评审时将其视为无效响应。</w:t>
      </w:r>
    </w:p>
    <w:p w14:paraId="1ACDDDC2">
      <w:pPr>
        <w:adjustRightInd w:val="0"/>
        <w:snapToGrid w:val="0"/>
        <w:spacing w:line="360" w:lineRule="auto"/>
        <w:ind w:firstLine="420" w:firstLineChars="200"/>
        <w:jc w:val="left"/>
        <w:rPr>
          <w:rFonts w:hint="eastAsia" w:ascii="宋体" w:hAnsi="宋体"/>
          <w:color w:val="auto"/>
        </w:rPr>
      </w:pPr>
      <w:r>
        <w:rPr>
          <w:rFonts w:hint="eastAsia" w:ascii="宋体" w:hAnsi="宋体"/>
          <w:color w:val="auto"/>
          <w:szCs w:val="21"/>
        </w:rPr>
        <w:t>17.3 除</w:t>
      </w:r>
      <w:r>
        <w:rPr>
          <w:rFonts w:hint="eastAsia" w:ascii="宋体" w:hAnsi="宋体"/>
          <w:b/>
          <w:color w:val="auto"/>
          <w:szCs w:val="21"/>
        </w:rPr>
        <w:t>磋商须知前附表</w:t>
      </w:r>
      <w:r>
        <w:rPr>
          <w:rFonts w:hint="eastAsia" w:ascii="宋体" w:hAnsi="宋体"/>
          <w:color w:val="auto"/>
          <w:szCs w:val="21"/>
        </w:rPr>
        <w:t>另有规定外，供应商应提供证明工程建设与磋商文件要求一致的文件，可以是文字资料、图纸和数据，并须提供：（1）.工程量清单；（2）.工程质量保证说明。</w:t>
      </w:r>
    </w:p>
    <w:p w14:paraId="34F6E61E">
      <w:pPr>
        <w:adjustRightInd w:val="0"/>
        <w:snapToGrid w:val="0"/>
        <w:spacing w:before="156" w:beforeLines="50" w:line="360" w:lineRule="auto"/>
        <w:jc w:val="left"/>
        <w:rPr>
          <w:rFonts w:hint="eastAsia" w:ascii="宋体" w:hAnsi="宋体"/>
          <w:b/>
          <w:color w:val="auto"/>
          <w:szCs w:val="21"/>
        </w:rPr>
      </w:pPr>
      <w:r>
        <w:rPr>
          <w:rFonts w:hint="eastAsia" w:ascii="宋体" w:hAnsi="宋体"/>
          <w:b/>
          <w:color w:val="auto"/>
          <w:szCs w:val="21"/>
        </w:rPr>
        <w:t>18．样品提供</w:t>
      </w:r>
    </w:p>
    <w:p w14:paraId="0D9C101E">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 xml:space="preserve">18.1 </w:t>
      </w:r>
      <w:r>
        <w:rPr>
          <w:rFonts w:hint="eastAsia" w:ascii="宋体" w:hAnsi="宋体"/>
          <w:b/>
          <w:color w:val="auto"/>
        </w:rPr>
        <w:t>磋商须知前附表</w:t>
      </w:r>
      <w:r>
        <w:rPr>
          <w:rFonts w:hint="eastAsia" w:ascii="宋体" w:hAnsi="宋体"/>
          <w:color w:val="auto"/>
          <w:szCs w:val="21"/>
        </w:rPr>
        <w:t>规定</w:t>
      </w:r>
      <w:r>
        <w:rPr>
          <w:rFonts w:hint="eastAsia" w:ascii="宋体" w:hAnsi="宋体"/>
          <w:bCs/>
          <w:color w:val="auto"/>
        </w:rPr>
        <w:t>供应商</w:t>
      </w:r>
      <w:r>
        <w:rPr>
          <w:rFonts w:hint="eastAsia" w:ascii="宋体" w:hAnsi="宋体"/>
          <w:color w:val="auto"/>
          <w:szCs w:val="21"/>
        </w:rPr>
        <w:t>在</w:t>
      </w:r>
      <w:r>
        <w:rPr>
          <w:rFonts w:hint="eastAsia" w:ascii="宋体" w:hAnsi="宋体"/>
          <w:color w:val="auto"/>
        </w:rPr>
        <w:t>磋商</w:t>
      </w:r>
      <w:r>
        <w:rPr>
          <w:rFonts w:hint="eastAsia" w:ascii="宋体" w:hAnsi="宋体"/>
          <w:color w:val="auto"/>
          <w:szCs w:val="21"/>
        </w:rPr>
        <w:t>时提供样品的，</w:t>
      </w:r>
      <w:r>
        <w:rPr>
          <w:rFonts w:hint="eastAsia" w:ascii="宋体" w:hAnsi="宋体"/>
          <w:bCs/>
          <w:color w:val="auto"/>
        </w:rPr>
        <w:t>供应商</w:t>
      </w:r>
      <w:r>
        <w:rPr>
          <w:rFonts w:ascii="宋体" w:hAnsi="宋体"/>
          <w:color w:val="auto"/>
          <w:szCs w:val="21"/>
        </w:rPr>
        <w:t>有以下情形之一的</w:t>
      </w:r>
      <w:r>
        <w:rPr>
          <w:rFonts w:hint="eastAsia" w:ascii="宋体" w:hAnsi="宋体"/>
          <w:color w:val="auto"/>
          <w:szCs w:val="21"/>
        </w:rPr>
        <w:t>，在评审时将其视为无效响应。</w:t>
      </w:r>
    </w:p>
    <w:p w14:paraId="58066A1E">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（1）未在</w:t>
      </w:r>
      <w:r>
        <w:rPr>
          <w:rFonts w:hint="eastAsia" w:ascii="宋体" w:hAnsi="宋体"/>
          <w:b/>
          <w:color w:val="auto"/>
        </w:rPr>
        <w:t>磋商须知前附表</w:t>
      </w:r>
      <w:r>
        <w:rPr>
          <w:rFonts w:hint="eastAsia" w:ascii="宋体" w:hAnsi="宋体"/>
          <w:color w:val="auto"/>
          <w:szCs w:val="21"/>
        </w:rPr>
        <w:t>规定的提交时间、地点提交</w:t>
      </w:r>
      <w:r>
        <w:rPr>
          <w:rFonts w:ascii="宋体" w:hAnsi="宋体"/>
          <w:color w:val="auto"/>
          <w:szCs w:val="21"/>
        </w:rPr>
        <w:t>的</w:t>
      </w:r>
      <w:r>
        <w:rPr>
          <w:rFonts w:hint="eastAsia" w:ascii="宋体" w:hAnsi="宋体"/>
          <w:color w:val="auto"/>
          <w:szCs w:val="21"/>
        </w:rPr>
        <w:t>；</w:t>
      </w:r>
    </w:p>
    <w:p w14:paraId="5A05F9C9">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w:t>
      </w:r>
      <w:r>
        <w:rPr>
          <w:rFonts w:hint="eastAsia" w:ascii="宋体" w:hAnsi="宋体"/>
          <w:bCs/>
          <w:color w:val="auto"/>
        </w:rPr>
        <w:t>供应商</w:t>
      </w:r>
      <w:r>
        <w:rPr>
          <w:rFonts w:hint="eastAsia" w:ascii="宋体" w:hAnsi="宋体"/>
          <w:color w:val="auto"/>
          <w:szCs w:val="21"/>
        </w:rPr>
        <w:t>提供的样品与响应文件中提供样品的型号、规格不一致</w:t>
      </w:r>
      <w:r>
        <w:rPr>
          <w:rFonts w:ascii="宋体" w:hAnsi="宋体"/>
          <w:color w:val="auto"/>
          <w:szCs w:val="21"/>
        </w:rPr>
        <w:t>的</w:t>
      </w:r>
      <w:r>
        <w:rPr>
          <w:rFonts w:hint="eastAsia" w:ascii="宋体" w:hAnsi="宋体"/>
          <w:color w:val="auto"/>
          <w:szCs w:val="21"/>
        </w:rPr>
        <w:t>。</w:t>
      </w:r>
    </w:p>
    <w:p w14:paraId="2518E593">
      <w:pPr>
        <w:adjustRightInd w:val="0"/>
        <w:snapToGrid w:val="0"/>
        <w:spacing w:line="360" w:lineRule="auto"/>
        <w:rPr>
          <w:rFonts w:hint="eastAsia" w:ascii="宋体" w:hAnsi="宋体"/>
          <w:b/>
          <w:bCs/>
          <w:color w:val="auto"/>
          <w:szCs w:val="21"/>
        </w:rPr>
      </w:pPr>
      <w:r>
        <w:rPr>
          <w:rFonts w:hint="eastAsia" w:ascii="宋体" w:hAnsi="宋体"/>
          <w:b/>
          <w:bCs/>
          <w:color w:val="auto"/>
          <w:szCs w:val="21"/>
        </w:rPr>
        <w:t>19.</w:t>
      </w:r>
      <w:r>
        <w:rPr>
          <w:rFonts w:hint="eastAsia"/>
          <w:color w:val="auto"/>
        </w:rPr>
        <w:t xml:space="preserve"> </w:t>
      </w:r>
      <w:r>
        <w:rPr>
          <w:rFonts w:hint="eastAsia" w:ascii="宋体" w:hAnsi="宋体"/>
          <w:b/>
          <w:bCs/>
          <w:color w:val="auto"/>
          <w:szCs w:val="21"/>
        </w:rPr>
        <w:t>磋商保证金</w:t>
      </w:r>
    </w:p>
    <w:p w14:paraId="6C3E1AB0">
      <w:pPr>
        <w:pStyle w:val="11"/>
        <w:adjustRightInd w:val="0"/>
        <w:snapToGrid w:val="0"/>
        <w:spacing w:line="360" w:lineRule="auto"/>
        <w:ind w:firstLine="420" w:firstLineChars="200"/>
        <w:rPr>
          <w:rFonts w:hint="eastAsia" w:hAnsi="宋体"/>
          <w:bCs/>
          <w:color w:val="auto"/>
        </w:rPr>
      </w:pPr>
      <w:r>
        <w:rPr>
          <w:rFonts w:hint="eastAsia" w:hAnsi="宋体"/>
          <w:color w:val="auto"/>
        </w:rPr>
        <w:t>19.1</w:t>
      </w:r>
      <w:r>
        <w:rPr>
          <w:rFonts w:hint="eastAsia" w:hAnsi="宋体"/>
          <w:b/>
          <w:color w:val="auto"/>
        </w:rPr>
        <w:t>磋商须知前附表</w:t>
      </w:r>
      <w:r>
        <w:rPr>
          <w:rFonts w:hint="eastAsia" w:hAnsi="宋体"/>
          <w:color w:val="auto"/>
        </w:rPr>
        <w:t>规定交纳磋商</w:t>
      </w:r>
      <w:r>
        <w:rPr>
          <w:rFonts w:hint="eastAsia" w:hAnsi="宋体"/>
          <w:bCs/>
          <w:color w:val="auto"/>
        </w:rPr>
        <w:t>保证金的</w:t>
      </w:r>
      <w:r>
        <w:rPr>
          <w:rFonts w:hint="eastAsia" w:hAnsi="宋体"/>
          <w:color w:val="auto"/>
        </w:rPr>
        <w:t>，应按</w:t>
      </w:r>
      <w:r>
        <w:rPr>
          <w:rFonts w:hint="eastAsia" w:hAnsi="宋体"/>
          <w:b/>
          <w:color w:val="auto"/>
        </w:rPr>
        <w:t>磋商须知前附表</w:t>
      </w:r>
      <w:r>
        <w:rPr>
          <w:rFonts w:hint="eastAsia" w:hAnsi="宋体"/>
          <w:color w:val="auto"/>
        </w:rPr>
        <w:t>规定的磋商</w:t>
      </w:r>
      <w:r>
        <w:rPr>
          <w:rFonts w:hint="eastAsia" w:hAnsi="宋体"/>
          <w:bCs/>
          <w:color w:val="auto"/>
        </w:rPr>
        <w:t>保证金形式交纳，不得以现金方式交纳</w:t>
      </w:r>
      <w:r>
        <w:rPr>
          <w:rFonts w:hint="eastAsia" w:hAnsi="宋体"/>
          <w:color w:val="auto"/>
        </w:rPr>
        <w:t>，在</w:t>
      </w:r>
      <w:r>
        <w:rPr>
          <w:rFonts w:hint="eastAsia" w:hAnsi="宋体" w:cs="宋体"/>
          <w:color w:val="auto"/>
          <w:kern w:val="0"/>
        </w:rPr>
        <w:t>提交首次响应文件截止时间</w:t>
      </w:r>
      <w:r>
        <w:rPr>
          <w:rFonts w:hint="eastAsia" w:hAnsi="宋体"/>
          <w:color w:val="auto"/>
        </w:rPr>
        <w:t>前，</w:t>
      </w:r>
      <w:r>
        <w:rPr>
          <w:rFonts w:hint="eastAsia" w:hAnsi="宋体"/>
          <w:bCs/>
          <w:color w:val="auto"/>
        </w:rPr>
        <w:t>向采购代理机构交纳不超过</w:t>
      </w:r>
      <w:r>
        <w:rPr>
          <w:rFonts w:hint="eastAsia" w:hAnsi="宋体" w:cs="宋体"/>
          <w:color w:val="auto"/>
          <w:kern w:val="0"/>
          <w:lang w:val="zh-CN"/>
        </w:rPr>
        <w:t>采购项目预算2﹪</w:t>
      </w:r>
      <w:r>
        <w:rPr>
          <w:rFonts w:hint="eastAsia" w:hAnsi="宋体"/>
          <w:bCs/>
          <w:color w:val="auto"/>
        </w:rPr>
        <w:t>的磋商保证金(数额采用四舍五入，计算至元)</w:t>
      </w:r>
      <w:r>
        <w:rPr>
          <w:rFonts w:hint="eastAsia" w:hAnsi="宋体"/>
          <w:color w:val="auto"/>
        </w:rPr>
        <w:t>。磋商</w:t>
      </w:r>
      <w:r>
        <w:rPr>
          <w:rFonts w:hint="eastAsia" w:hAnsi="宋体"/>
          <w:bCs/>
          <w:color w:val="auto"/>
        </w:rPr>
        <w:t>保证金有效期应当与</w:t>
      </w:r>
      <w:r>
        <w:rPr>
          <w:rFonts w:hint="eastAsia" w:hAnsi="宋体"/>
          <w:color w:val="auto"/>
        </w:rPr>
        <w:t>本章第20.1</w:t>
      </w:r>
      <w:r>
        <w:rPr>
          <w:rFonts w:hint="eastAsia" w:hAnsi="宋体" w:cs="宋体"/>
          <w:color w:val="auto"/>
          <w:kern w:val="0"/>
          <w:lang w:val="zh-CN"/>
        </w:rPr>
        <w:t>款</w:t>
      </w:r>
      <w:r>
        <w:rPr>
          <w:rFonts w:hint="eastAsia" w:hAnsi="宋体"/>
          <w:color w:val="auto"/>
        </w:rPr>
        <w:t>规定的</w:t>
      </w:r>
      <w:r>
        <w:rPr>
          <w:rFonts w:hint="eastAsia" w:hAnsi="宋体"/>
          <w:bCs/>
          <w:color w:val="auto"/>
        </w:rPr>
        <w:t>响应文件有效期一致。</w:t>
      </w:r>
    </w:p>
    <w:p w14:paraId="75890723">
      <w:pPr>
        <w:adjustRightInd w:val="0"/>
        <w:snapToGrid w:val="0"/>
        <w:spacing w:line="360" w:lineRule="auto"/>
        <w:ind w:firstLine="420" w:firstLineChars="200"/>
        <w:rPr>
          <w:rFonts w:hint="eastAsia" w:ascii="宋体" w:hAnsi="宋体"/>
          <w:b/>
          <w:color w:val="auto"/>
          <w:szCs w:val="21"/>
        </w:rPr>
      </w:pPr>
      <w:r>
        <w:rPr>
          <w:rFonts w:hint="eastAsia" w:ascii="宋体" w:hAnsi="宋体"/>
          <w:color w:val="auto"/>
          <w:szCs w:val="21"/>
        </w:rPr>
        <w:t>19.2</w:t>
      </w:r>
      <w:r>
        <w:rPr>
          <w:rFonts w:hint="eastAsia" w:ascii="宋体" w:hAnsi="宋体" w:cs="宋体"/>
          <w:color w:val="auto"/>
          <w:kern w:val="0"/>
          <w:szCs w:val="21"/>
          <w:lang w:val="zh-CN"/>
        </w:rPr>
        <w:t>供应商为联合体的，可以由联合体中的一方或者共同交纳磋商保证金，其交纳的磋商保证金，对联合体各方均具有约束力。</w:t>
      </w:r>
    </w:p>
    <w:p w14:paraId="43A41221">
      <w:pPr>
        <w:pStyle w:val="11"/>
        <w:adjustRightInd w:val="0"/>
        <w:snapToGrid w:val="0"/>
        <w:spacing w:line="360" w:lineRule="auto"/>
        <w:ind w:firstLine="420" w:firstLineChars="200"/>
        <w:rPr>
          <w:rFonts w:hint="eastAsia" w:hAnsi="宋体"/>
          <w:color w:val="auto"/>
        </w:rPr>
      </w:pPr>
      <w:r>
        <w:rPr>
          <w:rFonts w:hint="eastAsia" w:hAnsi="宋体"/>
          <w:color w:val="auto"/>
        </w:rPr>
        <w:t>19.3供应商未按照磋商文件要求提交磋商保证金的，响应无效。</w:t>
      </w:r>
    </w:p>
    <w:p w14:paraId="4B26A9F9">
      <w:pPr>
        <w:pStyle w:val="11"/>
        <w:tabs>
          <w:tab w:val="left" w:pos="6300"/>
        </w:tabs>
        <w:adjustRightInd w:val="0"/>
        <w:snapToGrid w:val="0"/>
        <w:spacing w:line="360" w:lineRule="auto"/>
        <w:ind w:firstLine="420" w:firstLineChars="200"/>
        <w:rPr>
          <w:rFonts w:hint="eastAsia" w:hAnsi="宋体"/>
          <w:color w:val="auto"/>
        </w:rPr>
      </w:pPr>
      <w:r>
        <w:rPr>
          <w:rFonts w:hint="eastAsia" w:hAnsi="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14:paraId="6A9A762F">
      <w:pPr>
        <w:pStyle w:val="11"/>
        <w:adjustRightInd w:val="0"/>
        <w:snapToGrid w:val="0"/>
        <w:spacing w:line="360" w:lineRule="auto"/>
        <w:ind w:firstLine="420" w:firstLineChars="200"/>
        <w:rPr>
          <w:rFonts w:hint="eastAsia"/>
          <w:color w:val="auto"/>
          <w:kern w:val="0"/>
        </w:rPr>
      </w:pPr>
      <w:r>
        <w:rPr>
          <w:rFonts w:hint="eastAsia"/>
          <w:color w:val="auto"/>
        </w:rPr>
        <w:t xml:space="preserve">19.5 </w:t>
      </w:r>
      <w:r>
        <w:rPr>
          <w:rFonts w:hint="eastAsia"/>
          <w:color w:val="auto"/>
          <w:kern w:val="0"/>
        </w:rPr>
        <w:t>有下列情形之一的，磋商保证金不予退还，并上缴本级财政国库：</w:t>
      </w:r>
    </w:p>
    <w:p w14:paraId="1FB30354">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（1）供应商在提交首次响应文件截止时间后撤回响应文件的；</w:t>
      </w:r>
    </w:p>
    <w:p w14:paraId="7BAC8240">
      <w:pPr>
        <w:widowControl/>
        <w:adjustRightInd w:val="0"/>
        <w:snapToGrid w:val="0"/>
        <w:spacing w:line="360" w:lineRule="auto"/>
        <w:ind w:firstLine="420" w:firstLineChars="200"/>
        <w:jc w:val="left"/>
        <w:rPr>
          <w:rFonts w:hint="eastAsia"/>
          <w:color w:val="auto"/>
          <w:kern w:val="0"/>
        </w:rPr>
      </w:pPr>
      <w:r>
        <w:rPr>
          <w:rFonts w:hint="eastAsia"/>
          <w:color w:val="auto"/>
          <w:kern w:val="0"/>
        </w:rPr>
        <w:t>（2）供应商在响应文件中提供虚假资料的；</w:t>
      </w:r>
    </w:p>
    <w:p w14:paraId="6312EFF6">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color w:val="auto"/>
          <w:kern w:val="0"/>
        </w:rPr>
        <w:t>（3）</w:t>
      </w:r>
      <w:r>
        <w:rPr>
          <w:rFonts w:hint="eastAsia"/>
          <w:color w:val="auto"/>
        </w:rPr>
        <w:t>确定成交结果后，无正当理由放弃成交资格的；</w:t>
      </w:r>
    </w:p>
    <w:p w14:paraId="6E4BD7D9">
      <w:pPr>
        <w:widowControl/>
        <w:adjustRightInd w:val="0"/>
        <w:snapToGrid w:val="0"/>
        <w:spacing w:line="360" w:lineRule="auto"/>
        <w:ind w:firstLine="525" w:firstLineChars="250"/>
        <w:jc w:val="left"/>
        <w:rPr>
          <w:rFonts w:hint="eastAsia" w:ascii="宋体" w:hAnsi="宋体" w:cs="宋体"/>
          <w:color w:val="auto"/>
          <w:kern w:val="0"/>
          <w:szCs w:val="21"/>
        </w:rPr>
      </w:pPr>
      <w:r>
        <w:rPr>
          <w:rFonts w:hint="eastAsia" w:ascii="宋体" w:hAnsi="宋体" w:cs="宋体"/>
          <w:color w:val="auto"/>
          <w:kern w:val="0"/>
          <w:szCs w:val="21"/>
        </w:rPr>
        <w:t>(4) 除因不可抗力或磋商文件认可的情形以外，成交供应商不与采购人签订合同的；</w:t>
      </w:r>
    </w:p>
    <w:p w14:paraId="7E045F4F">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（5）供应商与采购人、其他供应商或者采购代理机构恶意串通的；</w:t>
      </w:r>
    </w:p>
    <w:p w14:paraId="150345FF">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（6）磋商文件规定的其他情形。</w:t>
      </w:r>
    </w:p>
    <w:p w14:paraId="2CED3583">
      <w:pPr>
        <w:adjustRightInd w:val="0"/>
        <w:snapToGrid w:val="0"/>
        <w:spacing w:line="360" w:lineRule="auto"/>
        <w:rPr>
          <w:rFonts w:hint="eastAsia" w:ascii="宋体" w:hAnsi="宋体"/>
          <w:b/>
          <w:bCs/>
          <w:color w:val="auto"/>
          <w:szCs w:val="21"/>
        </w:rPr>
      </w:pPr>
      <w:r>
        <w:rPr>
          <w:rFonts w:hint="eastAsia" w:ascii="宋体" w:hAnsi="宋体"/>
          <w:b/>
          <w:bCs/>
          <w:color w:val="auto"/>
          <w:szCs w:val="21"/>
        </w:rPr>
        <w:t>20.</w:t>
      </w:r>
      <w:r>
        <w:rPr>
          <w:rFonts w:hint="eastAsia" w:ascii="宋体" w:hAnsi="宋体"/>
          <w:color w:val="auto"/>
          <w:szCs w:val="21"/>
        </w:rPr>
        <w:t xml:space="preserve"> </w:t>
      </w:r>
      <w:r>
        <w:rPr>
          <w:rFonts w:hint="eastAsia" w:hAnsi="宋体"/>
          <w:b/>
          <w:color w:val="auto"/>
        </w:rPr>
        <w:t>响应文件</w:t>
      </w:r>
      <w:r>
        <w:rPr>
          <w:rFonts w:hint="eastAsia" w:ascii="宋体" w:hAnsi="宋体"/>
          <w:b/>
          <w:color w:val="auto"/>
          <w:szCs w:val="21"/>
        </w:rPr>
        <w:t>有效期</w:t>
      </w:r>
    </w:p>
    <w:p w14:paraId="0958FC2D">
      <w:pPr>
        <w:adjustRightInd w:val="0"/>
        <w:snapToGrid w:val="0"/>
        <w:spacing w:line="360" w:lineRule="auto"/>
        <w:ind w:firstLine="420" w:firstLineChars="200"/>
        <w:jc w:val="left"/>
        <w:rPr>
          <w:rFonts w:hint="eastAsia" w:hAnsi="宋体"/>
          <w:color w:val="auto"/>
        </w:rPr>
      </w:pPr>
      <w:r>
        <w:rPr>
          <w:rFonts w:hint="eastAsia" w:ascii="宋体" w:hAnsi="宋体"/>
          <w:color w:val="auto"/>
        </w:rPr>
        <w:t>20.1响应文件</w:t>
      </w:r>
      <w:r>
        <w:rPr>
          <w:rFonts w:hint="eastAsia" w:ascii="宋体" w:hAnsi="宋体"/>
          <w:color w:val="auto"/>
          <w:szCs w:val="21"/>
        </w:rPr>
        <w:t>有效期见</w:t>
      </w:r>
      <w:r>
        <w:rPr>
          <w:rFonts w:hint="eastAsia" w:ascii="宋体" w:hAnsi="宋体"/>
          <w:b/>
          <w:color w:val="auto"/>
        </w:rPr>
        <w:t>磋商须知前附表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响应文件有效期不足的将被视为无效响应。</w:t>
      </w:r>
    </w:p>
    <w:p w14:paraId="31E688A8">
      <w:pPr>
        <w:adjustRightInd w:val="0"/>
        <w:snapToGrid w:val="0"/>
        <w:spacing w:line="360" w:lineRule="auto"/>
        <w:rPr>
          <w:rFonts w:hint="eastAsia" w:ascii="宋体" w:hAnsi="宋体"/>
          <w:b/>
          <w:bCs/>
          <w:color w:val="auto"/>
          <w:szCs w:val="21"/>
        </w:rPr>
      </w:pPr>
      <w:r>
        <w:rPr>
          <w:rFonts w:hint="eastAsia" w:ascii="宋体" w:hAnsi="宋体"/>
          <w:b/>
          <w:bCs/>
          <w:color w:val="auto"/>
          <w:szCs w:val="21"/>
        </w:rPr>
        <w:t>21.响应文件的签署及规定</w:t>
      </w:r>
    </w:p>
    <w:p w14:paraId="674561BB">
      <w:pPr>
        <w:pStyle w:val="11"/>
        <w:adjustRightInd w:val="0"/>
        <w:snapToGrid w:val="0"/>
        <w:spacing w:line="360" w:lineRule="auto"/>
        <w:ind w:firstLine="420" w:firstLineChars="200"/>
        <w:rPr>
          <w:rFonts w:hint="eastAsia" w:hAnsi="宋体"/>
          <w:color w:val="auto"/>
        </w:rPr>
      </w:pPr>
      <w:r>
        <w:rPr>
          <w:rFonts w:hint="eastAsia" w:hAnsi="宋体"/>
          <w:color w:val="auto"/>
        </w:rPr>
        <w:t>21.1响应文件的正本和副本应装订成册，正本一份，副本份数见</w:t>
      </w:r>
      <w:r>
        <w:rPr>
          <w:rFonts w:hint="eastAsia" w:hAnsi="宋体"/>
          <w:b/>
          <w:color w:val="auto"/>
        </w:rPr>
        <w:t>磋商须知前附表</w:t>
      </w:r>
      <w:r>
        <w:rPr>
          <w:rFonts w:hint="eastAsia" w:hAnsi="宋体"/>
          <w:color w:val="auto"/>
        </w:rPr>
        <w:t>。正本和副本的封面上应标记“正本”或“副本”的字样，当正本和副本有差异时，以正本为准。</w:t>
      </w:r>
    </w:p>
    <w:p w14:paraId="38F52885">
      <w:pPr>
        <w:pStyle w:val="11"/>
        <w:adjustRightInd w:val="0"/>
        <w:snapToGrid w:val="0"/>
        <w:spacing w:line="360" w:lineRule="auto"/>
        <w:ind w:firstLine="420" w:firstLineChars="200"/>
        <w:rPr>
          <w:rFonts w:hint="eastAsia" w:hAnsi="宋体"/>
          <w:color w:val="auto"/>
        </w:rPr>
      </w:pPr>
      <w:r>
        <w:rPr>
          <w:rFonts w:hint="eastAsia" w:hAnsi="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14:paraId="181671CD">
      <w:pPr>
        <w:pStyle w:val="11"/>
        <w:adjustRightInd w:val="0"/>
        <w:snapToGrid w:val="0"/>
        <w:spacing w:line="360" w:lineRule="auto"/>
        <w:ind w:firstLine="420" w:firstLineChars="200"/>
        <w:rPr>
          <w:rFonts w:hint="eastAsia" w:hAnsi="宋体"/>
          <w:color w:val="auto"/>
        </w:rPr>
      </w:pPr>
      <w:r>
        <w:rPr>
          <w:rFonts w:hint="eastAsia" w:hAnsi="宋体"/>
          <w:color w:val="auto"/>
        </w:rPr>
        <w:t>21.3 在磋商过程中，供应商按磋商文件规定和磋商小组要求</w:t>
      </w:r>
      <w:r>
        <w:rPr>
          <w:rFonts w:hint="eastAsia" w:hAnsi="宋体" w:cs="宋体"/>
          <w:color w:val="auto"/>
          <w:kern w:val="0"/>
        </w:rPr>
        <w:t>提交的</w:t>
      </w:r>
      <w:r>
        <w:rPr>
          <w:rFonts w:hint="eastAsia" w:hAnsi="宋体"/>
          <w:color w:val="auto"/>
        </w:rPr>
        <w:t>最后报价，可打印或用不退色墨水书写，但需经法定代表人或其委托代理人签字，</w:t>
      </w:r>
      <w:r>
        <w:rPr>
          <w:rFonts w:hint="eastAsia" w:hAnsi="宋体" w:cs="宋体"/>
          <w:color w:val="auto"/>
          <w:kern w:val="0"/>
        </w:rPr>
        <w:t>或者加盖供应商单位章</w:t>
      </w:r>
      <w:r>
        <w:rPr>
          <w:rFonts w:hint="eastAsia" w:hAnsi="宋体"/>
          <w:color w:val="auto"/>
        </w:rPr>
        <w:t>。否则，将导致响应文件无效。</w:t>
      </w:r>
    </w:p>
    <w:p w14:paraId="40992ABE">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四、响应文件的递交</w:t>
      </w:r>
    </w:p>
    <w:p w14:paraId="38F923DB">
      <w:pPr>
        <w:adjustRightInd w:val="0"/>
        <w:snapToGrid w:val="0"/>
        <w:spacing w:line="360" w:lineRule="auto"/>
        <w:rPr>
          <w:rFonts w:hint="eastAsia" w:ascii="宋体" w:hAnsi="宋体"/>
          <w:b/>
          <w:bCs/>
          <w:color w:val="auto"/>
          <w:szCs w:val="21"/>
        </w:rPr>
      </w:pPr>
      <w:r>
        <w:rPr>
          <w:rFonts w:hint="eastAsia" w:ascii="宋体" w:hAnsi="宋体"/>
          <w:b/>
          <w:bCs/>
          <w:color w:val="auto"/>
          <w:szCs w:val="21"/>
        </w:rPr>
        <w:t>22.</w:t>
      </w:r>
      <w:r>
        <w:rPr>
          <w:rFonts w:hint="eastAsia" w:ascii="宋体" w:hAnsi="宋体"/>
          <w:b/>
          <w:color w:val="auto"/>
          <w:szCs w:val="21"/>
        </w:rPr>
        <w:t>响应文件</w:t>
      </w:r>
      <w:r>
        <w:rPr>
          <w:rFonts w:hint="eastAsia" w:ascii="宋体" w:hAnsi="宋体"/>
          <w:b/>
          <w:bCs/>
          <w:color w:val="auto"/>
          <w:szCs w:val="21"/>
        </w:rPr>
        <w:t>的密封和标记</w:t>
      </w:r>
    </w:p>
    <w:p w14:paraId="569A6502">
      <w:pPr>
        <w:pStyle w:val="11"/>
        <w:adjustRightInd w:val="0"/>
        <w:snapToGrid w:val="0"/>
        <w:spacing w:line="360" w:lineRule="auto"/>
        <w:ind w:firstLine="420" w:firstLineChars="200"/>
        <w:rPr>
          <w:rFonts w:hint="eastAsia" w:hAnsi="宋体"/>
          <w:color w:val="auto"/>
        </w:rPr>
      </w:pPr>
      <w:r>
        <w:rPr>
          <w:rFonts w:hint="eastAsia" w:hAnsi="宋体"/>
          <w:color w:val="auto"/>
        </w:rPr>
        <w:t>22.1响应文件应密封包装，加贴封条，并在封套的封口处盖供应商单位章或者由法定代表人或其委托代理人签字。</w:t>
      </w:r>
    </w:p>
    <w:p w14:paraId="1CD22ED3">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22.2响应文件封套上应写明的内容见</w:t>
      </w:r>
      <w:r>
        <w:rPr>
          <w:rFonts w:hint="eastAsia" w:ascii="宋体" w:hAnsi="宋体"/>
          <w:b/>
          <w:color w:val="auto"/>
          <w:szCs w:val="21"/>
        </w:rPr>
        <w:t>磋商须知前附表。</w:t>
      </w:r>
    </w:p>
    <w:p w14:paraId="4150FA6B">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22.3响应文件如果未按上述规定密封和加写标记，采购人或采购代理机构将拒绝接收。</w:t>
      </w:r>
    </w:p>
    <w:p w14:paraId="1E82125A">
      <w:pPr>
        <w:adjustRightInd w:val="0"/>
        <w:snapToGrid w:val="0"/>
        <w:spacing w:line="360" w:lineRule="auto"/>
        <w:rPr>
          <w:rFonts w:hint="eastAsia" w:ascii="宋体" w:hAnsi="宋体"/>
          <w:b/>
          <w:bCs/>
          <w:color w:val="auto"/>
          <w:szCs w:val="21"/>
        </w:rPr>
      </w:pPr>
      <w:r>
        <w:rPr>
          <w:rFonts w:hint="eastAsia" w:ascii="宋体" w:hAnsi="宋体"/>
          <w:b/>
          <w:bCs/>
          <w:color w:val="auto"/>
          <w:szCs w:val="21"/>
        </w:rPr>
        <w:t>23.响应文件的</w:t>
      </w:r>
      <w:r>
        <w:rPr>
          <w:rFonts w:hint="eastAsia" w:ascii="宋体" w:hAnsi="宋体" w:cs="宋体"/>
          <w:b/>
          <w:color w:val="auto"/>
          <w:kern w:val="0"/>
          <w:szCs w:val="21"/>
          <w:lang w:val="zh-CN"/>
        </w:rPr>
        <w:t>补充、修改或者撤回</w:t>
      </w:r>
    </w:p>
    <w:p w14:paraId="301618CA">
      <w:pPr>
        <w:pStyle w:val="11"/>
        <w:adjustRightInd w:val="0"/>
        <w:snapToGrid w:val="0"/>
        <w:spacing w:line="360" w:lineRule="auto"/>
        <w:ind w:firstLine="420" w:firstLineChars="200"/>
        <w:rPr>
          <w:rFonts w:hint="eastAsia" w:hAnsi="宋体"/>
          <w:color w:val="auto"/>
        </w:rPr>
      </w:pPr>
      <w:r>
        <w:rPr>
          <w:rFonts w:hint="eastAsia" w:hAnsi="宋体"/>
          <w:color w:val="auto"/>
        </w:rPr>
        <w:t>23.1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该通知应有供应商法定代表人或其委托代理人签字。</w:t>
      </w:r>
    </w:p>
    <w:p w14:paraId="160EA70A">
      <w:pPr>
        <w:pStyle w:val="11"/>
        <w:adjustRightInd w:val="0"/>
        <w:snapToGrid w:val="0"/>
        <w:spacing w:line="360" w:lineRule="auto"/>
        <w:ind w:firstLine="420" w:firstLineChars="200"/>
        <w:rPr>
          <w:rFonts w:hint="eastAsia" w:hAnsi="宋体"/>
          <w:color w:val="auto"/>
        </w:rPr>
      </w:pPr>
      <w:r>
        <w:rPr>
          <w:rFonts w:hint="eastAsia" w:hAnsi="宋体"/>
          <w:color w:val="auto"/>
        </w:rPr>
        <w:t>23.2</w:t>
      </w:r>
      <w:r>
        <w:rPr>
          <w:rFonts w:hint="eastAsia" w:hAnsi="宋体" w:cs="宋体"/>
          <w:color w:val="auto"/>
          <w:kern w:val="0"/>
          <w:lang w:val="zh-CN"/>
        </w:rPr>
        <w:t>补充、修改的内容与响应文件不一致时，以补充、修改的内容为准。</w:t>
      </w:r>
    </w:p>
    <w:p w14:paraId="11E802E8">
      <w:pPr>
        <w:adjustRightInd w:val="0"/>
        <w:snapToGrid w:val="0"/>
        <w:spacing w:line="360" w:lineRule="auto"/>
        <w:rPr>
          <w:rFonts w:hint="eastAsia" w:ascii="宋体" w:hAnsi="宋体"/>
          <w:b/>
          <w:bCs/>
          <w:color w:val="auto"/>
          <w:szCs w:val="21"/>
        </w:rPr>
      </w:pPr>
      <w:r>
        <w:rPr>
          <w:rFonts w:hint="eastAsia" w:ascii="宋体" w:hAnsi="宋体"/>
          <w:b/>
          <w:bCs/>
          <w:color w:val="auto"/>
          <w:szCs w:val="21"/>
        </w:rPr>
        <w:t>24.响应文件的递交与接收</w:t>
      </w:r>
    </w:p>
    <w:p w14:paraId="53DAB828">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24.1 供应商应在</w:t>
      </w:r>
      <w:r>
        <w:rPr>
          <w:rFonts w:hint="eastAsia" w:ascii="宋体" w:hAnsi="宋体" w:cs="宋体"/>
          <w:color w:val="auto"/>
          <w:kern w:val="0"/>
          <w:szCs w:val="21"/>
        </w:rPr>
        <w:t>提交首次响应文件截止时间</w:t>
      </w:r>
      <w:r>
        <w:rPr>
          <w:rFonts w:hint="eastAsia" w:ascii="宋体" w:hAnsi="宋体"/>
          <w:color w:val="auto"/>
          <w:szCs w:val="21"/>
        </w:rPr>
        <w:t>前，将响应文件送</w:t>
      </w:r>
      <w:r>
        <w:rPr>
          <w:rFonts w:hint="eastAsia" w:ascii="宋体" w:hAnsi="宋体" w:cs="Arial"/>
          <w:color w:val="auto"/>
          <w:szCs w:val="21"/>
        </w:rPr>
        <w:t>达</w:t>
      </w:r>
      <w:r>
        <w:rPr>
          <w:rFonts w:hint="eastAsia" w:ascii="宋体" w:hAnsi="宋体"/>
          <w:b/>
          <w:color w:val="auto"/>
          <w:szCs w:val="21"/>
        </w:rPr>
        <w:t>磋商须知前附表</w:t>
      </w:r>
      <w:r>
        <w:rPr>
          <w:rFonts w:hint="eastAsia" w:ascii="宋体" w:hAnsi="宋体"/>
          <w:color w:val="auto"/>
          <w:szCs w:val="21"/>
        </w:rPr>
        <w:t>中指定的地点。</w:t>
      </w:r>
      <w:r>
        <w:rPr>
          <w:rFonts w:hint="eastAsia" w:hAnsi="宋体" w:cs="宋体"/>
          <w:color w:val="auto"/>
          <w:kern w:val="0"/>
        </w:rPr>
        <w:t>在截止时间后送达的响应文件，采购人、采购代理机构或者磋商小组应当拒收。</w:t>
      </w:r>
    </w:p>
    <w:p w14:paraId="38CACEEB">
      <w:pPr>
        <w:pStyle w:val="11"/>
        <w:adjustRightInd w:val="0"/>
        <w:snapToGrid w:val="0"/>
        <w:spacing w:line="360" w:lineRule="auto"/>
        <w:ind w:firstLine="420" w:firstLineChars="200"/>
        <w:rPr>
          <w:rFonts w:hint="eastAsia" w:hAnsi="宋体"/>
          <w:color w:val="auto"/>
        </w:rPr>
      </w:pPr>
      <w:r>
        <w:rPr>
          <w:rFonts w:hint="eastAsia" w:hAnsi="宋体"/>
          <w:color w:val="auto"/>
        </w:rPr>
        <w:t>24.2</w:t>
      </w:r>
      <w:r>
        <w:rPr>
          <w:rFonts w:hint="eastAsia" w:hAnsi="宋体" w:cs="宋体"/>
          <w:color w:val="auto"/>
          <w:kern w:val="0"/>
        </w:rPr>
        <w:t>在提交首次响应文件截止时间后，</w:t>
      </w:r>
      <w:r>
        <w:rPr>
          <w:rFonts w:hint="eastAsia" w:hAnsi="宋体"/>
          <w:color w:val="auto"/>
        </w:rPr>
        <w:t>由</w:t>
      </w:r>
      <w:r>
        <w:rPr>
          <w:rFonts w:hint="eastAsia" w:hAnsi="宋体"/>
          <w:bCs/>
          <w:color w:val="auto"/>
        </w:rPr>
        <w:t>供应商代表</w:t>
      </w:r>
      <w:r>
        <w:rPr>
          <w:rFonts w:hint="eastAsia" w:hAnsi="宋体"/>
          <w:color w:val="auto"/>
        </w:rPr>
        <w:t>当场查验</w:t>
      </w:r>
      <w:r>
        <w:rPr>
          <w:rFonts w:hint="eastAsia" w:hAnsi="宋体"/>
          <w:bCs/>
          <w:color w:val="auto"/>
        </w:rPr>
        <w:t>响应文件</w:t>
      </w:r>
      <w:r>
        <w:rPr>
          <w:rFonts w:hint="eastAsia" w:hAnsi="宋体"/>
          <w:color w:val="auto"/>
        </w:rPr>
        <w:t>的密封状况，采购人或</w:t>
      </w:r>
      <w:r>
        <w:rPr>
          <w:rFonts w:hint="eastAsia" w:hAnsi="宋体"/>
          <w:bCs/>
          <w:color w:val="auto"/>
        </w:rPr>
        <w:t>采购代理机构</w:t>
      </w:r>
      <w:r>
        <w:rPr>
          <w:rFonts w:hint="eastAsia" w:hAnsi="宋体"/>
          <w:color w:val="auto"/>
        </w:rPr>
        <w:t>不当场拆封</w:t>
      </w:r>
      <w:r>
        <w:rPr>
          <w:rFonts w:hint="eastAsia" w:hAnsi="宋体"/>
          <w:bCs/>
          <w:color w:val="auto"/>
        </w:rPr>
        <w:t>响应文件</w:t>
      </w:r>
      <w:r>
        <w:rPr>
          <w:rFonts w:hint="eastAsia" w:hAnsi="宋体"/>
          <w:color w:val="auto"/>
        </w:rPr>
        <w:t>。</w:t>
      </w:r>
    </w:p>
    <w:p w14:paraId="67905F5C">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五、响应文件的磋商与评审</w:t>
      </w:r>
    </w:p>
    <w:p w14:paraId="5450ECA5">
      <w:pPr>
        <w:tabs>
          <w:tab w:val="left" w:pos="0"/>
        </w:tabs>
        <w:adjustRightInd w:val="0"/>
        <w:snapToGrid w:val="0"/>
        <w:spacing w:line="360" w:lineRule="auto"/>
        <w:rPr>
          <w:rFonts w:hint="eastAsia" w:ascii="宋体" w:hAnsi="宋体"/>
          <w:b/>
          <w:bCs/>
          <w:color w:val="auto"/>
          <w:szCs w:val="21"/>
        </w:rPr>
      </w:pPr>
      <w:r>
        <w:rPr>
          <w:rFonts w:hint="eastAsia" w:ascii="宋体" w:hAnsi="宋体"/>
          <w:b/>
          <w:bCs/>
          <w:color w:val="auto"/>
          <w:szCs w:val="21"/>
        </w:rPr>
        <w:t>25.磋商程序</w:t>
      </w:r>
    </w:p>
    <w:p w14:paraId="7FA7699A">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25.1磋商程序：响应文件审查、磋商（包括澄清）、响应文件评审、</w:t>
      </w:r>
      <w:r>
        <w:rPr>
          <w:rFonts w:hint="eastAsia" w:ascii="宋体" w:hAnsi="宋体"/>
          <w:bCs/>
          <w:color w:val="auto"/>
          <w:szCs w:val="21"/>
        </w:rPr>
        <w:t>提出成交供应商。其中，</w:t>
      </w:r>
      <w:r>
        <w:rPr>
          <w:rFonts w:hint="eastAsia" w:ascii="宋体" w:hAnsi="宋体" w:cs="宋体"/>
          <w:color w:val="auto"/>
          <w:kern w:val="0"/>
          <w:szCs w:val="21"/>
        </w:rPr>
        <w:t>磋商按</w:t>
      </w:r>
      <w:r>
        <w:rPr>
          <w:rFonts w:hint="eastAsia" w:ascii="宋体" w:hAnsi="宋体"/>
          <w:color w:val="auto"/>
          <w:szCs w:val="21"/>
        </w:rPr>
        <w:t>本章</w:t>
      </w:r>
      <w:r>
        <w:rPr>
          <w:rFonts w:hint="eastAsia" w:hAnsi="宋体"/>
          <w:color w:val="auto"/>
        </w:rPr>
        <w:t>第</w:t>
      </w:r>
      <w:r>
        <w:rPr>
          <w:rFonts w:hint="eastAsia" w:ascii="宋体" w:hAnsi="宋体"/>
          <w:color w:val="auto"/>
        </w:rPr>
        <w:t>30.1</w:t>
      </w:r>
      <w:r>
        <w:rPr>
          <w:rFonts w:hint="eastAsia" w:ascii="宋体" w:hAnsi="宋体" w:cs="宋体"/>
          <w:color w:val="auto"/>
          <w:kern w:val="0"/>
          <w:szCs w:val="21"/>
          <w:lang w:val="zh-CN"/>
        </w:rPr>
        <w:t>款或者</w:t>
      </w:r>
      <w:r>
        <w:rPr>
          <w:rFonts w:hint="eastAsia" w:ascii="宋体" w:hAnsi="宋体"/>
          <w:color w:val="auto"/>
        </w:rPr>
        <w:t>第30.2</w:t>
      </w:r>
      <w:r>
        <w:rPr>
          <w:rFonts w:hint="eastAsia" w:ascii="宋体" w:hAnsi="宋体" w:cs="宋体"/>
          <w:color w:val="auto"/>
          <w:kern w:val="0"/>
          <w:szCs w:val="21"/>
          <w:lang w:val="zh-CN"/>
        </w:rPr>
        <w:t>款</w:t>
      </w:r>
      <w:r>
        <w:rPr>
          <w:rFonts w:hint="eastAsia" w:hAnsi="宋体"/>
          <w:color w:val="auto"/>
        </w:rPr>
        <w:t>情形</w:t>
      </w:r>
      <w:r>
        <w:rPr>
          <w:rFonts w:hint="eastAsia" w:ascii="宋体" w:hAnsi="宋体"/>
          <w:bCs/>
          <w:color w:val="auto"/>
          <w:szCs w:val="21"/>
        </w:rPr>
        <w:t>进行。</w:t>
      </w:r>
    </w:p>
    <w:p w14:paraId="083E0C10">
      <w:pPr>
        <w:widowControl/>
        <w:adjustRightInd w:val="0"/>
        <w:snapToGrid w:val="0"/>
        <w:spacing w:line="360" w:lineRule="auto"/>
        <w:rPr>
          <w:rFonts w:hint="eastAsia" w:ascii="宋体" w:hAnsi="宋体"/>
          <w:b/>
          <w:color w:val="auto"/>
          <w:szCs w:val="21"/>
        </w:rPr>
      </w:pPr>
      <w:r>
        <w:rPr>
          <w:rFonts w:hint="eastAsia" w:ascii="宋体" w:hAnsi="宋体" w:cs="宋体"/>
          <w:b/>
          <w:color w:val="auto"/>
          <w:kern w:val="0"/>
          <w:szCs w:val="21"/>
        </w:rPr>
        <w:t>26.</w:t>
      </w:r>
      <w:r>
        <w:rPr>
          <w:rFonts w:hint="eastAsia"/>
          <w:color w:val="auto"/>
        </w:rPr>
        <w:t xml:space="preserve"> </w:t>
      </w:r>
      <w:r>
        <w:rPr>
          <w:rFonts w:hint="eastAsia" w:ascii="宋体" w:hAnsi="宋体" w:cs="宋体"/>
          <w:b/>
          <w:color w:val="auto"/>
          <w:kern w:val="0"/>
          <w:szCs w:val="21"/>
        </w:rPr>
        <w:t>响应文件审查</w:t>
      </w:r>
      <w:r>
        <w:rPr>
          <w:rFonts w:hint="eastAsia" w:ascii="宋体" w:hAnsi="宋体"/>
          <w:b/>
          <w:color w:val="auto"/>
          <w:szCs w:val="21"/>
        </w:rPr>
        <w:t xml:space="preserve"> </w:t>
      </w:r>
    </w:p>
    <w:p w14:paraId="4959564C">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26.1 资格性审查：根据本章第3.1项规定的供应商资格条件要求，对</w:t>
      </w:r>
      <w:r>
        <w:rPr>
          <w:rFonts w:hint="eastAsia" w:ascii="宋体" w:hAnsi="宋体"/>
          <w:color w:val="auto"/>
        </w:rPr>
        <w:t>响应</w:t>
      </w:r>
      <w:r>
        <w:rPr>
          <w:rFonts w:hint="eastAsia" w:ascii="宋体" w:hAnsi="宋体"/>
          <w:color w:val="auto"/>
          <w:szCs w:val="21"/>
        </w:rPr>
        <w:t>文件的资格证明等进行审查，以确定供应商是否具备磋商资格条件。</w:t>
      </w:r>
    </w:p>
    <w:p w14:paraId="5A3AD1E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26.2符合性审查: 对响应文件(包括首次提交的响应文件、重新提交的响应文件)的有效性、完整性和响应程度进行审查，以确定是否对磋商文件的实质性要求作出响应。</w:t>
      </w:r>
    </w:p>
    <w:p w14:paraId="3F7A346D">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26.3响应文件审查结束后，磋商小组所有成员集中与单一供应商分别进行磋商，并给予所有参加磋商的供应商平等的磋商机会。供应商应派其法定代表人或委托代理人参加磋商。</w:t>
      </w:r>
    </w:p>
    <w:p w14:paraId="2AE17423">
      <w:pPr>
        <w:pStyle w:val="11"/>
        <w:adjustRightInd w:val="0"/>
        <w:snapToGrid w:val="0"/>
        <w:spacing w:line="360" w:lineRule="auto"/>
        <w:rPr>
          <w:rFonts w:hint="eastAsia" w:hAnsi="宋体" w:cs="宋体"/>
          <w:b/>
          <w:color w:val="auto"/>
          <w:kern w:val="0"/>
        </w:rPr>
      </w:pPr>
      <w:r>
        <w:rPr>
          <w:rFonts w:hint="eastAsia" w:hAnsi="宋体" w:cs="宋体"/>
          <w:b/>
          <w:color w:val="auto"/>
          <w:kern w:val="0"/>
        </w:rPr>
        <w:t>27.实质性响应</w:t>
      </w:r>
    </w:p>
    <w:p w14:paraId="68AAF45A">
      <w:pPr>
        <w:pStyle w:val="11"/>
        <w:adjustRightInd w:val="0"/>
        <w:snapToGrid w:val="0"/>
        <w:spacing w:line="360" w:lineRule="auto"/>
        <w:ind w:firstLine="420" w:firstLineChars="200"/>
        <w:rPr>
          <w:rFonts w:hint="eastAsia" w:hAnsi="宋体" w:cs="Arial"/>
          <w:color w:val="auto"/>
          <w:kern w:val="0"/>
          <w:u w:val="single"/>
        </w:rPr>
      </w:pPr>
      <w:r>
        <w:rPr>
          <w:rFonts w:hint="eastAsia" w:hAnsi="宋体" w:cs="宋体"/>
          <w:color w:val="auto"/>
          <w:kern w:val="0"/>
        </w:rPr>
        <w:t>27.1</w:t>
      </w:r>
      <w:r>
        <w:rPr>
          <w:rFonts w:hint="eastAsia" w:hAnsi="宋体"/>
          <w:color w:val="auto"/>
        </w:rPr>
        <w:t>实质性响应是指响应文件(包括首次响应文件、重新提交的响应文件)与磋商文件要求的所有条款、条件和规格相符，没有偏离。偏离</w:t>
      </w:r>
      <w:r>
        <w:rPr>
          <w:rFonts w:hint="eastAsia"/>
          <w:color w:val="auto"/>
        </w:rPr>
        <w:t>指不满足、或不响应</w:t>
      </w:r>
      <w:r>
        <w:rPr>
          <w:rFonts w:hint="eastAsia" w:hAnsi="宋体"/>
          <w:color w:val="auto"/>
        </w:rPr>
        <w:t>磋商文件</w:t>
      </w:r>
      <w:r>
        <w:rPr>
          <w:rFonts w:hint="eastAsia"/>
          <w:color w:val="auto"/>
        </w:rPr>
        <w:t>的要求。</w:t>
      </w:r>
    </w:p>
    <w:p w14:paraId="156CF8FB">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olor w:val="auto"/>
          <w:szCs w:val="21"/>
        </w:rPr>
      </w:pPr>
      <w:r>
        <w:rPr>
          <w:rFonts w:hint="eastAsia" w:ascii="宋体" w:hAnsi="宋体"/>
          <w:color w:val="auto"/>
          <w:szCs w:val="21"/>
        </w:rPr>
        <w:t>27.2</w:t>
      </w:r>
      <w:r>
        <w:rPr>
          <w:rFonts w:hint="eastAsia" w:ascii="宋体" w:hAnsi="宋体"/>
          <w:color w:val="auto"/>
        </w:rPr>
        <w:t>响应文件是否实质性响应磋商文件要求由磋商小组依据磋商文件规定认定。</w:t>
      </w:r>
      <w:r>
        <w:rPr>
          <w:rFonts w:hint="eastAsia" w:ascii="宋体" w:hAnsi="宋体" w:cs="宋体"/>
          <w:color w:val="auto"/>
          <w:kern w:val="0"/>
          <w:szCs w:val="21"/>
        </w:rPr>
        <w:t>磋商小组</w:t>
      </w:r>
      <w:r>
        <w:rPr>
          <w:rFonts w:hint="eastAsia" w:ascii="宋体" w:hAnsi="宋体"/>
          <w:color w:val="auto"/>
          <w:szCs w:val="21"/>
        </w:rPr>
        <w:t>决定</w:t>
      </w:r>
      <w:r>
        <w:rPr>
          <w:rFonts w:hint="eastAsia" w:ascii="宋体" w:hAnsi="宋体"/>
          <w:color w:val="auto"/>
        </w:rPr>
        <w:t>响应文件</w:t>
      </w:r>
      <w:r>
        <w:rPr>
          <w:rFonts w:hint="eastAsia" w:ascii="宋体" w:hAnsi="宋体"/>
          <w:color w:val="auto"/>
          <w:szCs w:val="21"/>
        </w:rPr>
        <w:t>的响应性只根据</w:t>
      </w:r>
      <w:r>
        <w:rPr>
          <w:rFonts w:hint="eastAsia" w:ascii="宋体" w:hAnsi="宋体"/>
          <w:color w:val="auto"/>
        </w:rPr>
        <w:t>响应文件</w:t>
      </w:r>
      <w:r>
        <w:rPr>
          <w:rFonts w:hint="eastAsia" w:ascii="宋体" w:hAnsi="宋体"/>
          <w:color w:val="auto"/>
          <w:szCs w:val="21"/>
        </w:rPr>
        <w:t>本身的真实无误的内容，而不依据外部的证据。</w:t>
      </w:r>
    </w:p>
    <w:p w14:paraId="0DED0BF1">
      <w:pPr>
        <w:pStyle w:val="11"/>
        <w:adjustRightInd w:val="0"/>
        <w:snapToGrid w:val="0"/>
        <w:spacing w:line="360" w:lineRule="auto"/>
        <w:rPr>
          <w:rFonts w:hint="eastAsia" w:cs="宋体"/>
          <w:b/>
          <w:color w:val="auto"/>
          <w:kern w:val="0"/>
        </w:rPr>
      </w:pPr>
      <w:r>
        <w:rPr>
          <w:rFonts w:hint="eastAsia" w:cs="宋体"/>
          <w:b/>
          <w:color w:val="auto"/>
          <w:kern w:val="0"/>
        </w:rPr>
        <w:t xml:space="preserve">28.无效响应 </w:t>
      </w:r>
    </w:p>
    <w:p w14:paraId="5FAADDA3">
      <w:pPr>
        <w:pStyle w:val="11"/>
        <w:adjustRightInd w:val="0"/>
        <w:snapToGrid w:val="0"/>
        <w:spacing w:line="360" w:lineRule="auto"/>
        <w:ind w:firstLine="411" w:firstLineChars="196"/>
        <w:rPr>
          <w:rFonts w:hint="eastAsia" w:hAnsi="宋体" w:cs="宋体"/>
          <w:b/>
          <w:color w:val="auto"/>
          <w:kern w:val="0"/>
        </w:rPr>
      </w:pPr>
      <w:r>
        <w:rPr>
          <w:rFonts w:hint="eastAsia" w:cs="宋体"/>
          <w:color w:val="auto"/>
          <w:kern w:val="0"/>
        </w:rPr>
        <w:t>28.1</w:t>
      </w:r>
      <w:r>
        <w:rPr>
          <w:rFonts w:hint="eastAsia"/>
          <w:color w:val="auto"/>
        </w:rPr>
        <w:t>磋商小组在对资格性和符合性进行审查时，有下列情况之一的，属无效响应，</w:t>
      </w:r>
      <w:r>
        <w:rPr>
          <w:rFonts w:hint="eastAsia" w:cs="宋体"/>
          <w:color w:val="auto"/>
          <w:kern w:val="0"/>
        </w:rPr>
        <w:t>磋商小组应当告知有关供应商</w:t>
      </w:r>
      <w:r>
        <w:rPr>
          <w:rFonts w:hint="eastAsia"/>
          <w:color w:val="auto"/>
        </w:rPr>
        <w:t>：</w:t>
      </w:r>
    </w:p>
    <w:p w14:paraId="4D20ABC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（1）供应商不具备本章第3.1款规定的供应商资格条件要求，或存在本章第3.3款情形的；</w:t>
      </w:r>
    </w:p>
    <w:p w14:paraId="2D30137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（2）联合体不符合本章第3.2款规定的；</w:t>
      </w:r>
    </w:p>
    <w:p w14:paraId="5F31C3F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（3）应交未交磋商保证金或金额不足、磋商保证金缴纳形式不符合磋商文件要求的；</w:t>
      </w:r>
    </w:p>
    <w:p w14:paraId="259B131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（4）响应文件未按照磋商文件要求签署、盖章的；</w:t>
      </w:r>
    </w:p>
    <w:p w14:paraId="2B85E03C">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（4）响应文件不满足本章第27.1款规定的实质性要求的；</w:t>
      </w:r>
    </w:p>
    <w:p w14:paraId="21F8A30A">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（5）报价超过采购项目预算的；</w:t>
      </w:r>
    </w:p>
    <w:p w14:paraId="5FD721FC">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（6）响应文件有效期不足的；</w:t>
      </w:r>
    </w:p>
    <w:p w14:paraId="7C95C15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（7）响应文件不符合法律、规章、规范性文件和磋商文件规定及要求的。</w:t>
      </w:r>
    </w:p>
    <w:p w14:paraId="3F9D0787">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29.澄清</w:t>
      </w:r>
    </w:p>
    <w:p w14:paraId="1FFDC13D">
      <w:pPr>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045CEB99">
      <w:pPr>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29.2 最后报价计算错误修正的原则：最后报价</w:t>
      </w:r>
      <w:r>
        <w:rPr>
          <w:rFonts w:hint="eastAsia" w:ascii="宋体" w:hAnsi="宋体" w:cs="Arial"/>
          <w:color w:val="auto"/>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19ACE546">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30.磋商</w:t>
      </w:r>
    </w:p>
    <w:p w14:paraId="4071F388">
      <w:pPr>
        <w:widowControl/>
        <w:adjustRightInd w:val="0"/>
        <w:snapToGrid w:val="0"/>
        <w:spacing w:line="360" w:lineRule="auto"/>
        <w:ind w:firstLine="420"/>
        <w:jc w:val="left"/>
        <w:rPr>
          <w:rFonts w:hint="eastAsia" w:ascii="宋体" w:hAnsi="宋体" w:cs="宋体"/>
          <w:color w:val="auto"/>
          <w:kern w:val="0"/>
          <w:szCs w:val="21"/>
          <w:lang w:val="zh-CN"/>
        </w:rPr>
      </w:pPr>
      <w:r>
        <w:rPr>
          <w:rFonts w:hint="eastAsia" w:ascii="宋体" w:hAnsi="宋体" w:cs="宋体"/>
          <w:color w:val="auto"/>
          <w:kern w:val="0"/>
          <w:szCs w:val="21"/>
        </w:rPr>
        <w:t>30.1</w:t>
      </w:r>
      <w:r>
        <w:rPr>
          <w:rFonts w:hint="eastAsia" w:ascii="宋体" w:hAnsi="宋体"/>
          <w:color w:val="auto"/>
        </w:rPr>
        <w:t>本章第10.2项</w:t>
      </w:r>
      <w:r>
        <w:rPr>
          <w:rFonts w:hint="eastAsia" w:ascii="宋体" w:hAnsi="宋体" w:cs="宋体"/>
          <w:color w:val="auto"/>
          <w:kern w:val="0"/>
          <w:szCs w:val="21"/>
        </w:rPr>
        <w:t>未明确磋商文件实质性变动内容的，或者磋商文件明确了可能发生实质性变动内容，但在磋商过程中，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磋商文件无需发生实质性变动的，磋商小组应当直接与响应文件审查合格的供应商就价格组织多轮磋商。</w:t>
      </w:r>
    </w:p>
    <w:p w14:paraId="4E12EFF7">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（1）磋商结束后，磋商小组应当要求所有继续参加磋商的供应商在磋商小组规定时间内提交最后报价。</w:t>
      </w:r>
    </w:p>
    <w:p w14:paraId="75A926E4">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（2）磋商文件明确可能发生实质性变动，但在磋商过程中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磋商文件无需发生实质性变动的，磋商小组不另行通知。</w:t>
      </w:r>
    </w:p>
    <w:p w14:paraId="54571239">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30.2</w:t>
      </w:r>
      <w:r>
        <w:rPr>
          <w:rFonts w:hint="eastAsia" w:ascii="宋体" w:hAnsi="宋体"/>
          <w:color w:val="auto"/>
        </w:rPr>
        <w:t>本章第10.2</w:t>
      </w:r>
      <w:r>
        <w:rPr>
          <w:rFonts w:hint="eastAsia" w:ascii="宋体" w:hAnsi="宋体" w:cs="宋体"/>
          <w:color w:val="auto"/>
          <w:kern w:val="0"/>
          <w:szCs w:val="21"/>
          <w:lang w:val="zh-CN"/>
        </w:rPr>
        <w:t>款</w:t>
      </w:r>
      <w:r>
        <w:rPr>
          <w:rFonts w:hint="eastAsia" w:ascii="宋体" w:hAnsi="宋体" w:cs="宋体"/>
          <w:color w:val="auto"/>
          <w:kern w:val="0"/>
          <w:szCs w:val="21"/>
        </w:rPr>
        <w:t>明确磋商文件实质性变动内容的，</w:t>
      </w:r>
      <w:r>
        <w:rPr>
          <w:rFonts w:hint="eastAsia" w:ascii="宋体" w:hAnsi="宋体"/>
          <w:bCs/>
          <w:color w:val="auto"/>
          <w:szCs w:val="21"/>
        </w:rPr>
        <w:t>磋商小组</w:t>
      </w:r>
      <w:r>
        <w:rPr>
          <w:rFonts w:hint="eastAsia" w:ascii="宋体" w:hAnsi="宋体" w:cs="宋体"/>
          <w:color w:val="auto"/>
          <w:kern w:val="0"/>
          <w:szCs w:val="21"/>
        </w:rPr>
        <w:t>可以组织多轮磋商。</w:t>
      </w:r>
      <w:r>
        <w:rPr>
          <w:rFonts w:hint="eastAsia" w:ascii="宋体" w:hAnsi="宋体"/>
          <w:bCs/>
          <w:color w:val="auto"/>
          <w:szCs w:val="21"/>
        </w:rPr>
        <w:t>在每一轮磋商中，磋商小组</w:t>
      </w:r>
      <w:r>
        <w:rPr>
          <w:rFonts w:hint="eastAsia" w:ascii="宋体" w:hAnsi="宋体" w:cs="宋体"/>
          <w:color w:val="auto"/>
          <w:kern w:val="0"/>
          <w:szCs w:val="21"/>
        </w:rPr>
        <w:t>可以</w:t>
      </w:r>
      <w:r>
        <w:rPr>
          <w:rFonts w:hint="eastAsia" w:ascii="宋体" w:hAnsi="宋体" w:cs="Arial"/>
          <w:color w:val="auto"/>
          <w:kern w:val="0"/>
          <w:szCs w:val="21"/>
        </w:rPr>
        <w:t>根据</w:t>
      </w:r>
      <w:r>
        <w:rPr>
          <w:rFonts w:hint="eastAsia" w:ascii="宋体" w:hAnsi="宋体" w:cs="宋体"/>
          <w:color w:val="auto"/>
          <w:kern w:val="0"/>
          <w:szCs w:val="21"/>
        </w:rPr>
        <w:t>磋商文件规定和磋商情况，</w:t>
      </w:r>
      <w:r>
        <w:rPr>
          <w:rFonts w:hint="eastAsia" w:ascii="宋体" w:hAnsi="宋体"/>
          <w:bCs/>
          <w:color w:val="auto"/>
          <w:szCs w:val="21"/>
        </w:rPr>
        <w:t>对磋商文件的</w:t>
      </w:r>
      <w:r>
        <w:rPr>
          <w:rFonts w:hint="eastAsia" w:ascii="宋体" w:hAnsi="宋体" w:cs="宋体"/>
          <w:color w:val="auto"/>
          <w:kern w:val="0"/>
          <w:szCs w:val="21"/>
        </w:rPr>
        <w:t>采购需求中的技术、服务要求以及合同草案条款</w:t>
      </w:r>
      <w:r>
        <w:rPr>
          <w:rFonts w:hint="eastAsia" w:ascii="宋体" w:hAnsi="宋体"/>
          <w:bCs/>
          <w:color w:val="auto"/>
          <w:szCs w:val="21"/>
        </w:rPr>
        <w:t>作实质性变动(磋商文件的实质性变动内容为磋商文件的组成部分)，并以书面形式要求</w:t>
      </w:r>
      <w:r>
        <w:rPr>
          <w:rFonts w:hint="eastAsia" w:ascii="宋体" w:hAnsi="宋体" w:cs="宋体"/>
          <w:color w:val="auto"/>
          <w:kern w:val="0"/>
          <w:szCs w:val="21"/>
        </w:rPr>
        <w:t>响应文件审查合格</w:t>
      </w:r>
      <w:r>
        <w:rPr>
          <w:rFonts w:hint="eastAsia" w:ascii="宋体" w:hAnsi="宋体"/>
          <w:bCs/>
          <w:color w:val="auto"/>
          <w:szCs w:val="21"/>
        </w:rPr>
        <w:t>的供应商，在规定的</w:t>
      </w:r>
      <w:r>
        <w:rPr>
          <w:rFonts w:hint="eastAsia" w:ascii="宋体" w:hAnsi="宋体" w:cs="宋体"/>
          <w:color w:val="auto"/>
          <w:kern w:val="0"/>
          <w:szCs w:val="21"/>
        </w:rPr>
        <w:t>截止时间前</w:t>
      </w:r>
      <w:r>
        <w:rPr>
          <w:rFonts w:hint="eastAsia" w:ascii="宋体" w:hAnsi="宋体"/>
          <w:bCs/>
          <w:color w:val="auto"/>
          <w:szCs w:val="21"/>
        </w:rPr>
        <w:t>重</w:t>
      </w:r>
      <w:r>
        <w:rPr>
          <w:rFonts w:hint="eastAsia" w:ascii="宋体" w:hAnsi="宋体" w:cs="宋体"/>
          <w:color w:val="auto"/>
          <w:kern w:val="0"/>
          <w:szCs w:val="21"/>
        </w:rPr>
        <w:t>新提交响应文件</w:t>
      </w:r>
      <w:r>
        <w:rPr>
          <w:rFonts w:hint="eastAsia" w:ascii="宋体" w:hAnsi="宋体"/>
          <w:bCs/>
          <w:color w:val="auto"/>
          <w:szCs w:val="21"/>
        </w:rPr>
        <w:t>。</w:t>
      </w:r>
      <w:r>
        <w:rPr>
          <w:rFonts w:hint="eastAsia" w:ascii="宋体" w:hAnsi="宋体" w:cs="宋体"/>
          <w:color w:val="auto"/>
          <w:kern w:val="0"/>
          <w:szCs w:val="21"/>
        </w:rPr>
        <w:t>磋商小组应当</w:t>
      </w:r>
      <w:r>
        <w:rPr>
          <w:rFonts w:hint="eastAsia" w:ascii="宋体" w:hAnsi="宋体"/>
          <w:color w:val="auto"/>
          <w:szCs w:val="21"/>
        </w:rPr>
        <w:t>根据本章第26.2</w:t>
      </w:r>
      <w:r>
        <w:rPr>
          <w:rFonts w:hint="eastAsia" w:ascii="宋体" w:hAnsi="宋体" w:cs="宋体"/>
          <w:color w:val="auto"/>
          <w:kern w:val="0"/>
          <w:szCs w:val="21"/>
          <w:lang w:val="zh-CN"/>
        </w:rPr>
        <w:t>款</w:t>
      </w:r>
      <w:r>
        <w:rPr>
          <w:rFonts w:hint="eastAsia" w:ascii="宋体" w:hAnsi="宋体"/>
          <w:color w:val="auto"/>
          <w:szCs w:val="21"/>
        </w:rPr>
        <w:t>规定</w:t>
      </w:r>
      <w:r>
        <w:rPr>
          <w:rFonts w:hint="eastAsia" w:ascii="宋体" w:hAnsi="宋体" w:cs="宋体"/>
          <w:color w:val="auto"/>
          <w:kern w:val="0"/>
          <w:szCs w:val="21"/>
        </w:rPr>
        <w:t>对供应商重新提交的响应文件进行审查。供应商重新提交的响应文件审查不合格的，不得进入下一轮磋商，也不得要求提交最后报价。</w:t>
      </w:r>
    </w:p>
    <w:p w14:paraId="6EF3623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（1）磋商文件能够详细列明采购需求的技术、服务要求的，磋商结束后，磋商小组应当要求所有继续参加磋商的供应商在规定时间内提交最后报价。</w:t>
      </w:r>
    </w:p>
    <w:p w14:paraId="2F72AD5A">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79172D60">
      <w:pPr>
        <w:widowControl/>
        <w:adjustRightInd w:val="0"/>
        <w:snapToGrid w:val="0"/>
        <w:spacing w:line="360" w:lineRule="auto"/>
        <w:ind w:firstLine="420"/>
        <w:jc w:val="left"/>
        <w:rPr>
          <w:rFonts w:hint="eastAsia" w:ascii="宋体" w:hAnsi="宋体"/>
          <w:bCs/>
          <w:color w:val="auto"/>
          <w:szCs w:val="21"/>
        </w:rPr>
      </w:pPr>
      <w:r>
        <w:rPr>
          <w:rFonts w:hint="eastAsia" w:ascii="宋体" w:hAnsi="宋体"/>
          <w:bCs/>
          <w:color w:val="auto"/>
          <w:szCs w:val="21"/>
        </w:rPr>
        <w:t>30.3</w:t>
      </w:r>
      <w:r>
        <w:rPr>
          <w:rFonts w:hint="eastAsia" w:ascii="宋体" w:hAnsi="宋体"/>
          <w:color w:val="auto"/>
        </w:rPr>
        <w:t xml:space="preserve"> </w:t>
      </w:r>
      <w:r>
        <w:rPr>
          <w:rFonts w:hint="eastAsia" w:ascii="宋体" w:hAnsi="宋体"/>
          <w:bCs/>
          <w:color w:val="auto"/>
        </w:rPr>
        <w:t>重</w:t>
      </w:r>
      <w:r>
        <w:rPr>
          <w:rFonts w:hint="eastAsia" w:ascii="宋体" w:hAnsi="宋体" w:cs="宋体"/>
          <w:color w:val="auto"/>
          <w:kern w:val="0"/>
        </w:rPr>
        <w:t>新提交的响应文件</w:t>
      </w:r>
      <w:r>
        <w:rPr>
          <w:rFonts w:hint="eastAsia" w:ascii="宋体" w:hAnsi="宋体"/>
          <w:color w:val="auto"/>
        </w:rPr>
        <w:t>或者最后报价应按</w:t>
      </w:r>
      <w:r>
        <w:rPr>
          <w:rFonts w:hint="eastAsia" w:ascii="宋体" w:hAnsi="宋体" w:cs="宋体"/>
          <w:color w:val="auto"/>
          <w:kern w:val="0"/>
          <w:szCs w:val="21"/>
        </w:rPr>
        <w:t>本章第</w:t>
      </w:r>
      <w:r>
        <w:rPr>
          <w:rFonts w:hint="eastAsia" w:ascii="宋体" w:hAnsi="宋体"/>
          <w:color w:val="auto"/>
        </w:rPr>
        <w:t>21.3</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由其法定代表人或其委托代理人签字或者加盖</w:t>
      </w:r>
      <w:r>
        <w:rPr>
          <w:rFonts w:hint="eastAsia" w:ascii="宋体" w:hAnsi="宋体" w:cs="宋体"/>
          <w:color w:val="auto"/>
          <w:kern w:val="0"/>
        </w:rPr>
        <w:t>供应商单位</w:t>
      </w:r>
      <w:r>
        <w:rPr>
          <w:rFonts w:hint="eastAsia" w:ascii="宋体" w:hAnsi="宋体" w:cs="宋体"/>
          <w:color w:val="auto"/>
          <w:kern w:val="0"/>
          <w:szCs w:val="21"/>
        </w:rPr>
        <w:t>章，在规定时间内密封递交给磋商小组</w:t>
      </w:r>
      <w:r>
        <w:rPr>
          <w:rFonts w:hint="eastAsia" w:ascii="宋体" w:hAnsi="宋体"/>
          <w:bCs/>
          <w:color w:val="auto"/>
          <w:szCs w:val="21"/>
        </w:rPr>
        <w:t>。</w:t>
      </w:r>
    </w:p>
    <w:p w14:paraId="61B1BCF0">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30.4</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报价及</w:t>
      </w:r>
      <w:r>
        <w:rPr>
          <w:rFonts w:hint="eastAsia" w:ascii="宋体" w:hAnsi="宋体" w:cs="宋体"/>
          <w:color w:val="auto"/>
          <w:kern w:val="0"/>
          <w:szCs w:val="21"/>
        </w:rPr>
        <w:t>政府采购政策规定的价格扣除情况，磋商小组应召集所有参加最后报价的供应商当场开封</w:t>
      </w:r>
      <w:r>
        <w:rPr>
          <w:rFonts w:hint="eastAsia" w:ascii="宋体" w:hAnsi="宋体"/>
          <w:bCs/>
          <w:color w:val="auto"/>
          <w:szCs w:val="21"/>
        </w:rPr>
        <w:t>公布，并由供应商代表签字确认。</w:t>
      </w:r>
    </w:p>
    <w:p w14:paraId="7A182D4D">
      <w:pPr>
        <w:widowControl/>
        <w:adjustRightInd w:val="0"/>
        <w:snapToGrid w:val="0"/>
        <w:spacing w:line="360" w:lineRule="auto"/>
        <w:ind w:firstLine="420"/>
        <w:jc w:val="left"/>
        <w:rPr>
          <w:rFonts w:hint="eastAsia" w:ascii="宋体" w:hAnsi="宋体" w:eastAsia="宋体" w:cs="宋体"/>
          <w:b/>
          <w:bCs/>
          <w:color w:val="auto"/>
          <w:kern w:val="0"/>
          <w:highlight w:val="none"/>
        </w:rPr>
      </w:pPr>
      <w:r>
        <w:rPr>
          <w:rFonts w:hint="eastAsia" w:ascii="宋体" w:cs="宋体"/>
          <w:color w:val="auto"/>
          <w:szCs w:val="21"/>
          <w:highlight w:val="none"/>
        </w:rPr>
        <w:t>30.4</w:t>
      </w:r>
      <w:r>
        <w:rPr>
          <w:rFonts w:hint="eastAsia" w:ascii="宋体" w:cs="宋体"/>
          <w:color w:val="auto"/>
          <w:szCs w:val="21"/>
          <w:highlight w:val="none"/>
          <w:lang w:val="zh-CN"/>
        </w:rPr>
        <w:t>供应商的</w:t>
      </w:r>
      <w:r>
        <w:rPr>
          <w:rFonts w:hint="eastAsia" w:ascii="宋体" w:cs="宋体"/>
          <w:bCs/>
          <w:color w:val="auto"/>
          <w:szCs w:val="21"/>
          <w:highlight w:val="none"/>
        </w:rPr>
        <w:t>最</w:t>
      </w:r>
      <w:r>
        <w:rPr>
          <w:rFonts w:hint="eastAsia" w:ascii="宋体" w:cs="宋体"/>
          <w:color w:val="auto"/>
          <w:szCs w:val="21"/>
          <w:highlight w:val="none"/>
          <w:lang w:val="zh-CN"/>
        </w:rPr>
        <w:t>后</w:t>
      </w:r>
      <w:r>
        <w:rPr>
          <w:rFonts w:hint="eastAsia" w:ascii="宋体" w:cs="宋体"/>
          <w:bCs/>
          <w:color w:val="auto"/>
          <w:szCs w:val="21"/>
          <w:highlight w:val="none"/>
        </w:rPr>
        <w:t>报价</w:t>
      </w:r>
      <w:r>
        <w:rPr>
          <w:rFonts w:hint="eastAsia" w:ascii="宋体" w:cs="宋体"/>
          <w:color w:val="auto"/>
          <w:szCs w:val="21"/>
          <w:highlight w:val="none"/>
        </w:rPr>
        <w:t>，磋商小组应召集所有参加最后报价的供应商当场开封</w:t>
      </w:r>
      <w:r>
        <w:rPr>
          <w:rFonts w:hint="eastAsia" w:ascii="宋体" w:cs="宋体"/>
          <w:bCs/>
          <w:color w:val="auto"/>
          <w:szCs w:val="21"/>
          <w:highlight w:val="none"/>
        </w:rPr>
        <w:t>公布，并由供应商代表签字确认。</w:t>
      </w:r>
      <w:r>
        <w:rPr>
          <w:rFonts w:hint="eastAsia" w:ascii="宋体" w:hAnsi="宋体" w:eastAsia="宋体" w:cs="宋体"/>
          <w:b/>
          <w:bCs/>
          <w:color w:val="auto"/>
          <w:kern w:val="0"/>
          <w:highlight w:val="none"/>
        </w:rPr>
        <w:t>供应商的最后报价不得高于首次响应文件中的报价。磋商小组认为供应商最后报价明显不合理或低于成本，有可能影响项目实施和不能诚信履约的，可要求其在规定期限内提供书面文件及相关证明材料解释说明，否则，按无效响应处理。</w:t>
      </w:r>
    </w:p>
    <w:p w14:paraId="346747AA">
      <w:pPr>
        <w:widowControl/>
        <w:adjustRightInd w:val="0"/>
        <w:snapToGrid w:val="0"/>
        <w:spacing w:line="460" w:lineRule="exact"/>
        <w:ind w:firstLine="42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30</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4.1</w:t>
      </w:r>
      <w:r>
        <w:rPr>
          <w:rFonts w:hint="eastAsia" w:ascii="宋体" w:hAnsi="宋体" w:eastAsia="宋体" w:cs="宋体"/>
          <w:color w:val="auto"/>
          <w:kern w:val="0"/>
          <w:highlight w:val="none"/>
        </w:rPr>
        <w:t>异常报价</w:t>
      </w:r>
      <w:r>
        <w:rPr>
          <w:rFonts w:hint="eastAsia" w:ascii="宋体" w:hAnsi="宋体" w:eastAsia="宋体" w:cs="宋体"/>
          <w:color w:val="auto"/>
          <w:kern w:val="0"/>
          <w:highlight w:val="none"/>
          <w:lang w:val="en-US" w:eastAsia="zh-CN"/>
        </w:rPr>
        <w:t>：</w:t>
      </w:r>
      <w:r>
        <w:rPr>
          <w:rFonts w:hint="eastAsia" w:ascii="宋体" w:hAnsi="宋体" w:eastAsia="宋体" w:cs="宋体"/>
          <w:color w:val="auto"/>
          <w:kern w:val="0"/>
          <w:highlight w:val="none"/>
        </w:rPr>
        <w:t>采购评审中出现下列情形之一的，</w:t>
      </w:r>
      <w:r>
        <w:rPr>
          <w:rFonts w:hint="eastAsia" w:ascii="宋体" w:hAnsi="宋体" w:eastAsia="宋体" w:cs="宋体"/>
          <w:color w:val="auto"/>
          <w:kern w:val="0"/>
          <w:highlight w:val="none"/>
          <w:lang w:eastAsia="zh-CN"/>
        </w:rPr>
        <w:t>磋商小组</w:t>
      </w:r>
      <w:r>
        <w:rPr>
          <w:rFonts w:hint="eastAsia" w:ascii="宋体" w:hAnsi="宋体" w:eastAsia="宋体" w:cs="宋体"/>
          <w:color w:val="auto"/>
          <w:kern w:val="0"/>
          <w:highlight w:val="none"/>
        </w:rPr>
        <w:t>应当启动异常低价投标（响应）审查程序：</w:t>
      </w:r>
    </w:p>
    <w:p w14:paraId="633501F3">
      <w:pPr>
        <w:numPr>
          <w:ilvl w:val="0"/>
          <w:numId w:val="0"/>
        </w:numPr>
        <w:adjustRightInd w:val="0"/>
        <w:snapToGrid w:val="0"/>
        <w:spacing w:line="360" w:lineRule="auto"/>
        <w:ind w:firstLine="420" w:firstLineChars="200"/>
        <w:jc w:val="left"/>
        <w:rPr>
          <w:rFonts w:hint="eastAsia" w:ascii="宋体" w:hAnsi="宋体"/>
          <w:b w:val="0"/>
          <w:bCs w:val="0"/>
          <w:color w:val="auto"/>
          <w:sz w:val="21"/>
          <w:szCs w:val="21"/>
          <w:highlight w:val="none"/>
        </w:rPr>
      </w:pP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lang w:val="en-US" w:eastAsia="zh-CN"/>
        </w:rPr>
        <w:t>1）</w:t>
      </w:r>
      <w:r>
        <w:rPr>
          <w:rFonts w:hint="eastAsia" w:ascii="宋体" w:hAnsi="宋体"/>
          <w:b w:val="0"/>
          <w:bCs w:val="0"/>
          <w:color w:val="auto"/>
          <w:sz w:val="21"/>
          <w:szCs w:val="21"/>
          <w:highlight w:val="none"/>
        </w:rPr>
        <w:t>投标（响应）报价低于全部通过符合性审查</w:t>
      </w:r>
      <w:r>
        <w:rPr>
          <w:rFonts w:hint="eastAsia" w:ascii="宋体" w:hAnsi="宋体"/>
          <w:color w:val="auto"/>
          <w:szCs w:val="21"/>
          <w:highlight w:val="none"/>
          <w:lang w:eastAsia="zh-CN"/>
        </w:rPr>
        <w:t>供应商</w:t>
      </w:r>
      <w:r>
        <w:rPr>
          <w:rFonts w:hint="eastAsia" w:ascii="宋体" w:hAnsi="宋体"/>
          <w:b w:val="0"/>
          <w:bCs w:val="0"/>
          <w:color w:val="auto"/>
          <w:sz w:val="21"/>
          <w:szCs w:val="21"/>
          <w:highlight w:val="none"/>
        </w:rPr>
        <w:t>投标（响应）报价平均值50%的，即投标（响应）报价＜全部通过符合性审查</w:t>
      </w:r>
      <w:r>
        <w:rPr>
          <w:rFonts w:hint="eastAsia" w:ascii="宋体" w:hAnsi="宋体"/>
          <w:color w:val="auto"/>
          <w:szCs w:val="21"/>
          <w:highlight w:val="none"/>
          <w:lang w:eastAsia="zh-CN"/>
        </w:rPr>
        <w:t>供应商</w:t>
      </w:r>
      <w:r>
        <w:rPr>
          <w:rFonts w:hint="eastAsia" w:ascii="宋体" w:hAnsi="宋体"/>
          <w:b w:val="0"/>
          <w:bCs w:val="0"/>
          <w:color w:val="auto"/>
          <w:sz w:val="21"/>
          <w:szCs w:val="21"/>
          <w:highlight w:val="none"/>
        </w:rPr>
        <w:t>投标（响应）报价平均值×50%；</w:t>
      </w:r>
    </w:p>
    <w:p w14:paraId="603D6EF1">
      <w:pPr>
        <w:numPr>
          <w:ilvl w:val="0"/>
          <w:numId w:val="0"/>
        </w:numPr>
        <w:adjustRightInd w:val="0"/>
        <w:snapToGrid w:val="0"/>
        <w:spacing w:line="360" w:lineRule="auto"/>
        <w:ind w:firstLine="420" w:firstLineChars="200"/>
        <w:jc w:val="left"/>
        <w:rPr>
          <w:rFonts w:hint="eastAsia" w:ascii="宋体" w:hAnsi="宋体"/>
          <w:b w:val="0"/>
          <w:bCs w:val="0"/>
          <w:color w:val="auto"/>
          <w:sz w:val="21"/>
          <w:szCs w:val="21"/>
          <w:highlight w:val="none"/>
        </w:rPr>
      </w:pP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lang w:val="en-US" w:eastAsia="zh-CN"/>
        </w:rPr>
        <w:t>2）</w:t>
      </w:r>
      <w:r>
        <w:rPr>
          <w:rFonts w:hint="eastAsia" w:ascii="宋体" w:hAnsi="宋体"/>
          <w:b w:val="0"/>
          <w:bCs w:val="0"/>
          <w:color w:val="auto"/>
          <w:sz w:val="21"/>
          <w:szCs w:val="21"/>
          <w:highlight w:val="none"/>
        </w:rPr>
        <w:t>投标（响应）报价低于通过符合性审查的次低报价</w:t>
      </w:r>
      <w:r>
        <w:rPr>
          <w:rFonts w:hint="eastAsia" w:ascii="宋体" w:hAnsi="宋体"/>
          <w:b w:val="0"/>
          <w:bCs w:val="0"/>
          <w:color w:val="auto"/>
          <w:sz w:val="21"/>
          <w:szCs w:val="21"/>
          <w:highlight w:val="none"/>
          <w:lang w:eastAsia="zh-CN"/>
        </w:rPr>
        <w:t>供应商</w:t>
      </w:r>
      <w:r>
        <w:rPr>
          <w:rFonts w:hint="eastAsia" w:ascii="宋体" w:hAnsi="宋体"/>
          <w:b w:val="0"/>
          <w:bCs w:val="0"/>
          <w:color w:val="auto"/>
          <w:sz w:val="21"/>
          <w:szCs w:val="21"/>
          <w:highlight w:val="none"/>
        </w:rPr>
        <w:t>投标（响应）报价50%的，即投标（响应）报价＜通过符合性审查的次低报价</w:t>
      </w:r>
      <w:r>
        <w:rPr>
          <w:rFonts w:hint="eastAsia" w:ascii="宋体" w:hAnsi="宋体"/>
          <w:b w:val="0"/>
          <w:bCs w:val="0"/>
          <w:color w:val="auto"/>
          <w:sz w:val="21"/>
          <w:szCs w:val="21"/>
          <w:highlight w:val="none"/>
          <w:lang w:eastAsia="zh-CN"/>
        </w:rPr>
        <w:t>供应商</w:t>
      </w:r>
      <w:r>
        <w:rPr>
          <w:rFonts w:hint="eastAsia" w:ascii="宋体" w:hAnsi="宋体"/>
          <w:b w:val="0"/>
          <w:bCs w:val="0"/>
          <w:color w:val="auto"/>
          <w:sz w:val="21"/>
          <w:szCs w:val="21"/>
          <w:highlight w:val="none"/>
        </w:rPr>
        <w:t>投标（响应）报价×50%；</w:t>
      </w:r>
    </w:p>
    <w:p w14:paraId="1BFE7379">
      <w:pPr>
        <w:numPr>
          <w:ilvl w:val="0"/>
          <w:numId w:val="0"/>
        </w:numPr>
        <w:adjustRightInd w:val="0"/>
        <w:snapToGrid w:val="0"/>
        <w:spacing w:line="360" w:lineRule="auto"/>
        <w:ind w:firstLine="420" w:firstLineChars="200"/>
        <w:jc w:val="left"/>
        <w:rPr>
          <w:rFonts w:hint="eastAsia" w:ascii="宋体" w:hAnsi="宋体"/>
          <w:b w:val="0"/>
          <w:bCs w:val="0"/>
          <w:color w:val="auto"/>
          <w:sz w:val="21"/>
          <w:szCs w:val="21"/>
          <w:highlight w:val="none"/>
        </w:rPr>
      </w:pP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lang w:val="en-US" w:eastAsia="zh-CN"/>
        </w:rPr>
        <w:t>3）</w:t>
      </w:r>
      <w:r>
        <w:rPr>
          <w:rFonts w:hint="eastAsia" w:ascii="宋体" w:hAnsi="宋体"/>
          <w:b w:val="0"/>
          <w:bCs w:val="0"/>
          <w:color w:val="auto"/>
          <w:sz w:val="21"/>
          <w:szCs w:val="21"/>
          <w:highlight w:val="none"/>
        </w:rPr>
        <w:t>投标（响应）报价低于采购项目最高限价</w:t>
      </w:r>
      <w:r>
        <w:rPr>
          <w:rFonts w:hint="eastAsia" w:ascii="宋体" w:hAnsi="宋体"/>
          <w:b w:val="0"/>
          <w:bCs w:val="0"/>
          <w:color w:val="auto"/>
          <w:sz w:val="21"/>
          <w:szCs w:val="21"/>
          <w:highlight w:val="none"/>
          <w:lang w:val="en-US" w:eastAsia="zh-CN"/>
        </w:rPr>
        <w:t>65</w:t>
      </w:r>
      <w:r>
        <w:rPr>
          <w:rFonts w:hint="eastAsia" w:ascii="宋体" w:hAnsi="宋体"/>
          <w:b w:val="0"/>
          <w:bCs w:val="0"/>
          <w:color w:val="auto"/>
          <w:sz w:val="21"/>
          <w:szCs w:val="21"/>
          <w:highlight w:val="none"/>
        </w:rPr>
        <w:t>%的，即投标（响应）报价＜采购项目最高限价×</w:t>
      </w:r>
      <w:r>
        <w:rPr>
          <w:rFonts w:hint="eastAsia" w:ascii="宋体" w:hAnsi="宋体"/>
          <w:b w:val="0"/>
          <w:bCs w:val="0"/>
          <w:color w:val="auto"/>
          <w:sz w:val="21"/>
          <w:szCs w:val="21"/>
          <w:highlight w:val="none"/>
          <w:lang w:val="en-US" w:eastAsia="zh-CN"/>
        </w:rPr>
        <w:t>65</w:t>
      </w:r>
      <w:r>
        <w:rPr>
          <w:rFonts w:hint="eastAsia" w:ascii="宋体" w:hAnsi="宋体"/>
          <w:b w:val="0"/>
          <w:bCs w:val="0"/>
          <w:color w:val="auto"/>
          <w:sz w:val="21"/>
          <w:szCs w:val="21"/>
          <w:highlight w:val="none"/>
        </w:rPr>
        <w:t>%；</w:t>
      </w:r>
    </w:p>
    <w:p w14:paraId="29C4E3D3">
      <w:pPr>
        <w:numPr>
          <w:ilvl w:val="0"/>
          <w:numId w:val="0"/>
        </w:numPr>
        <w:adjustRightInd w:val="0"/>
        <w:snapToGrid w:val="0"/>
        <w:spacing w:line="360" w:lineRule="auto"/>
        <w:ind w:firstLine="420" w:firstLineChars="200"/>
        <w:jc w:val="left"/>
        <w:rPr>
          <w:rFonts w:hint="eastAsia" w:ascii="宋体" w:hAnsi="宋体"/>
          <w:b w:val="0"/>
          <w:bCs w:val="0"/>
          <w:color w:val="auto"/>
          <w:sz w:val="21"/>
          <w:szCs w:val="21"/>
          <w:highlight w:val="none"/>
        </w:rPr>
      </w:pP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lang w:val="en-US" w:eastAsia="zh-CN"/>
        </w:rPr>
        <w:t>4）</w:t>
      </w:r>
      <w:r>
        <w:rPr>
          <w:rFonts w:hint="eastAsia" w:ascii="宋体" w:hAnsi="宋体"/>
          <w:b w:val="0"/>
          <w:bCs w:val="0"/>
          <w:color w:val="auto"/>
          <w:sz w:val="21"/>
          <w:szCs w:val="21"/>
          <w:highlight w:val="none"/>
          <w:lang w:eastAsia="zh-CN"/>
        </w:rPr>
        <w:t>磋商小组</w:t>
      </w:r>
      <w:r>
        <w:rPr>
          <w:rFonts w:hint="eastAsia" w:ascii="宋体" w:hAnsi="宋体"/>
          <w:b w:val="0"/>
          <w:bCs w:val="0"/>
          <w:color w:val="auto"/>
          <w:sz w:val="21"/>
          <w:szCs w:val="21"/>
          <w:highlight w:val="none"/>
        </w:rPr>
        <w:t>基于专业判断，认为</w:t>
      </w:r>
      <w:r>
        <w:rPr>
          <w:rFonts w:hint="eastAsia" w:ascii="宋体" w:hAnsi="宋体"/>
          <w:b w:val="0"/>
          <w:bCs w:val="0"/>
          <w:color w:val="auto"/>
          <w:sz w:val="21"/>
          <w:szCs w:val="21"/>
          <w:highlight w:val="none"/>
          <w:lang w:eastAsia="zh-CN"/>
        </w:rPr>
        <w:t>供应商</w:t>
      </w:r>
      <w:r>
        <w:rPr>
          <w:rFonts w:hint="eastAsia" w:ascii="宋体" w:hAnsi="宋体"/>
          <w:b w:val="0"/>
          <w:bCs w:val="0"/>
          <w:color w:val="auto"/>
          <w:sz w:val="21"/>
          <w:szCs w:val="21"/>
          <w:highlight w:val="none"/>
        </w:rPr>
        <w:t>报价过低，有可能影响产品质量或者不能诚信履约的其他情形。</w:t>
      </w:r>
    </w:p>
    <w:p w14:paraId="169712FF">
      <w:pPr>
        <w:numPr>
          <w:ilvl w:val="0"/>
          <w:numId w:val="0"/>
        </w:numPr>
        <w:adjustRightInd w:val="0"/>
        <w:snapToGrid w:val="0"/>
        <w:spacing w:line="360" w:lineRule="auto"/>
        <w:ind w:firstLine="420" w:firstLineChars="200"/>
        <w:jc w:val="left"/>
        <w:rPr>
          <w:rFonts w:hint="eastAsia" w:ascii="宋体" w:hAnsi="宋体"/>
          <w:b w:val="0"/>
          <w:bCs w:val="0"/>
          <w:color w:val="auto"/>
          <w:sz w:val="21"/>
          <w:szCs w:val="21"/>
          <w:highlight w:val="none"/>
          <w:lang w:val="en-US" w:eastAsia="zh-CN"/>
        </w:rPr>
      </w:pPr>
      <w:r>
        <w:rPr>
          <w:rFonts w:hint="eastAsia" w:ascii="宋体" w:hAnsi="宋体"/>
          <w:b w:val="0"/>
          <w:bCs w:val="0"/>
          <w:color w:val="auto"/>
          <w:sz w:val="21"/>
          <w:szCs w:val="21"/>
          <w:highlight w:val="none"/>
          <w:lang w:val="en-US" w:eastAsia="zh-CN"/>
        </w:rPr>
        <w:t>30.4.2</w:t>
      </w:r>
      <w:r>
        <w:rPr>
          <w:rFonts w:hint="eastAsia" w:ascii="宋体" w:hAnsi="宋体"/>
          <w:b w:val="0"/>
          <w:bCs w:val="0"/>
          <w:color w:val="auto"/>
          <w:sz w:val="21"/>
          <w:szCs w:val="21"/>
          <w:highlight w:val="none"/>
          <w:lang w:eastAsia="zh-CN"/>
        </w:rPr>
        <w:t>磋商小组</w:t>
      </w:r>
      <w:r>
        <w:rPr>
          <w:rFonts w:hint="eastAsia" w:ascii="宋体" w:hAnsi="宋体"/>
          <w:b w:val="0"/>
          <w:bCs w:val="0"/>
          <w:color w:val="auto"/>
          <w:sz w:val="21"/>
          <w:szCs w:val="21"/>
          <w:highlight w:val="none"/>
        </w:rPr>
        <w:t>启动异常低价投标（响应）审查后，属于前述第</w:t>
      </w:r>
      <w:r>
        <w:rPr>
          <w:rFonts w:hint="eastAsia" w:ascii="宋体" w:hAnsi="宋体"/>
          <w:b w:val="0"/>
          <w:bCs w:val="0"/>
          <w:color w:val="auto"/>
          <w:sz w:val="21"/>
          <w:szCs w:val="21"/>
          <w:highlight w:val="none"/>
          <w:lang w:val="en-US" w:eastAsia="zh-CN"/>
        </w:rPr>
        <w:t>30.4.1（1）</w:t>
      </w:r>
      <w:r>
        <w:rPr>
          <w:rFonts w:hint="eastAsia" w:ascii="宋体" w:hAnsi="宋体"/>
          <w:b w:val="0"/>
          <w:bCs w:val="0"/>
          <w:color w:val="auto"/>
          <w:sz w:val="21"/>
          <w:szCs w:val="21"/>
          <w:highlight w:val="none"/>
        </w:rPr>
        <w:t>项至</w:t>
      </w:r>
      <w:r>
        <w:rPr>
          <w:rFonts w:hint="eastAsia" w:ascii="宋体" w:hAnsi="宋体"/>
          <w:b w:val="0"/>
          <w:bCs w:val="0"/>
          <w:color w:val="auto"/>
          <w:sz w:val="21"/>
          <w:szCs w:val="21"/>
          <w:highlight w:val="none"/>
          <w:lang w:eastAsia="zh-CN"/>
        </w:rPr>
        <w:t>（</w:t>
      </w:r>
      <w:r>
        <w:rPr>
          <w:rFonts w:hint="eastAsia" w:ascii="宋体" w:hAnsi="宋体"/>
          <w:b w:val="0"/>
          <w:bCs w:val="0"/>
          <w:color w:val="auto"/>
          <w:sz w:val="21"/>
          <w:szCs w:val="21"/>
          <w:highlight w:val="none"/>
          <w:lang w:val="en-US" w:eastAsia="zh-CN"/>
        </w:rPr>
        <w:t>4)</w:t>
      </w:r>
      <w:r>
        <w:rPr>
          <w:rFonts w:hint="eastAsia" w:ascii="宋体" w:hAnsi="宋体"/>
          <w:b w:val="0"/>
          <w:bCs w:val="0"/>
          <w:color w:val="auto"/>
          <w:sz w:val="21"/>
          <w:szCs w:val="21"/>
          <w:highlight w:val="none"/>
        </w:rPr>
        <w:t>项情形的，应当要求相关</w:t>
      </w:r>
      <w:r>
        <w:rPr>
          <w:rFonts w:hint="eastAsia" w:ascii="宋体" w:hAnsi="宋体"/>
          <w:b w:val="0"/>
          <w:bCs w:val="0"/>
          <w:color w:val="auto"/>
          <w:sz w:val="21"/>
          <w:szCs w:val="21"/>
          <w:highlight w:val="none"/>
          <w:lang w:val="en-US" w:eastAsia="zh-CN"/>
        </w:rPr>
        <w:t>供应商</w:t>
      </w:r>
      <w:r>
        <w:rPr>
          <w:rFonts w:hint="eastAsia" w:ascii="宋体" w:hAnsi="宋体"/>
          <w:b w:val="0"/>
          <w:bCs w:val="0"/>
          <w:color w:val="auto"/>
          <w:sz w:val="21"/>
          <w:szCs w:val="21"/>
          <w:highlight w:val="none"/>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b w:val="0"/>
          <w:bCs w:val="0"/>
          <w:color w:val="auto"/>
          <w:sz w:val="21"/>
          <w:szCs w:val="21"/>
          <w:highlight w:val="none"/>
          <w:lang w:eastAsia="zh-CN"/>
        </w:rPr>
        <w:t>供应商</w:t>
      </w:r>
      <w:r>
        <w:rPr>
          <w:rFonts w:hint="eastAsia" w:ascii="宋体" w:hAnsi="宋体"/>
          <w:b w:val="0"/>
          <w:bCs w:val="0"/>
          <w:color w:val="auto"/>
          <w:sz w:val="21"/>
          <w:szCs w:val="21"/>
          <w:highlight w:val="none"/>
        </w:rPr>
        <w:t>的合理时间一般不少于30分钟。其中，属于第</w:t>
      </w:r>
      <w:r>
        <w:rPr>
          <w:rFonts w:hint="eastAsia" w:ascii="宋体" w:hAnsi="宋体"/>
          <w:b w:val="0"/>
          <w:bCs w:val="0"/>
          <w:color w:val="auto"/>
          <w:sz w:val="21"/>
          <w:szCs w:val="21"/>
          <w:highlight w:val="none"/>
          <w:lang w:val="en-US" w:eastAsia="zh-CN"/>
        </w:rPr>
        <w:t>30.4.1（3）</w:t>
      </w:r>
      <w:r>
        <w:rPr>
          <w:rFonts w:hint="eastAsia" w:ascii="宋体" w:hAnsi="宋体"/>
          <w:b w:val="0"/>
          <w:bCs w:val="0"/>
          <w:color w:val="auto"/>
          <w:sz w:val="21"/>
          <w:szCs w:val="21"/>
          <w:highlight w:val="none"/>
        </w:rPr>
        <w:t>项情形，供应商已随投标（响应）文件一并提交相关书面说明及必要的证明材料的，在评审现场可不再重复提交。</w:t>
      </w:r>
      <w:r>
        <w:rPr>
          <w:rFonts w:hint="eastAsia" w:ascii="宋体" w:hAnsi="宋体"/>
          <w:b w:val="0"/>
          <w:bCs w:val="0"/>
          <w:color w:val="auto"/>
          <w:sz w:val="21"/>
          <w:szCs w:val="21"/>
          <w:highlight w:val="none"/>
          <w:lang w:val="en-US" w:eastAsia="zh-CN"/>
        </w:rPr>
        <w:t xml:space="preserve">  </w:t>
      </w:r>
    </w:p>
    <w:p w14:paraId="426F7097">
      <w:pPr>
        <w:numPr>
          <w:ilvl w:val="0"/>
          <w:numId w:val="0"/>
        </w:numPr>
        <w:adjustRightInd w:val="0"/>
        <w:snapToGrid w:val="0"/>
        <w:spacing w:line="360" w:lineRule="auto"/>
        <w:ind w:firstLine="420" w:firstLineChars="200"/>
        <w:jc w:val="left"/>
        <w:rPr>
          <w:rFonts w:hint="eastAsia" w:ascii="宋体" w:hAnsi="宋体"/>
          <w:b w:val="0"/>
          <w:bCs w:val="0"/>
          <w:color w:val="auto"/>
          <w:sz w:val="21"/>
          <w:szCs w:val="21"/>
          <w:highlight w:val="none"/>
        </w:rPr>
      </w:pPr>
      <w:r>
        <w:rPr>
          <w:rFonts w:hint="eastAsia" w:ascii="宋体" w:hAnsi="宋体"/>
          <w:b w:val="0"/>
          <w:bCs w:val="0"/>
          <w:color w:val="auto"/>
          <w:sz w:val="21"/>
          <w:szCs w:val="21"/>
          <w:highlight w:val="none"/>
          <w:lang w:val="en-US" w:eastAsia="zh-CN"/>
        </w:rPr>
        <w:t>30.4.3</w:t>
      </w:r>
      <w:r>
        <w:rPr>
          <w:rFonts w:hint="eastAsia" w:ascii="宋体" w:hAnsi="宋体"/>
          <w:b w:val="0"/>
          <w:bCs w:val="0"/>
          <w:color w:val="auto"/>
          <w:sz w:val="21"/>
          <w:szCs w:val="21"/>
          <w:highlight w:val="none"/>
          <w:lang w:eastAsia="zh-CN"/>
        </w:rPr>
        <w:t>磋商小组</w:t>
      </w:r>
      <w:r>
        <w:rPr>
          <w:rFonts w:hint="eastAsia" w:ascii="宋体" w:hAnsi="宋体"/>
          <w:b w:val="0"/>
          <w:bCs w:val="0"/>
          <w:color w:val="auto"/>
          <w:sz w:val="21"/>
          <w:szCs w:val="21"/>
          <w:highlight w:val="none"/>
        </w:rPr>
        <w:t>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b w:val="0"/>
          <w:bCs w:val="0"/>
          <w:color w:val="auto"/>
          <w:sz w:val="21"/>
          <w:szCs w:val="21"/>
          <w:highlight w:val="none"/>
          <w:lang w:eastAsia="zh-CN"/>
        </w:rPr>
        <w:t>供应商</w:t>
      </w:r>
      <w:r>
        <w:rPr>
          <w:rFonts w:hint="eastAsia" w:ascii="宋体" w:hAnsi="宋体"/>
          <w:b w:val="0"/>
          <w:bCs w:val="0"/>
          <w:color w:val="auto"/>
          <w:sz w:val="21"/>
          <w:szCs w:val="21"/>
          <w:highlight w:val="none"/>
        </w:rPr>
        <w:t>不能提供书面说明、证明材料，或者提供的书面说明、证明材料不能证明其报价合理性的，评审委员会应当将其作为无效投标（响应）处理。</w:t>
      </w:r>
    </w:p>
    <w:p w14:paraId="632DBD1B">
      <w:pPr>
        <w:numPr>
          <w:ilvl w:val="0"/>
          <w:numId w:val="0"/>
        </w:numPr>
        <w:adjustRightInd w:val="0"/>
        <w:snapToGrid w:val="0"/>
        <w:spacing w:line="360" w:lineRule="auto"/>
        <w:ind w:firstLine="420" w:firstLineChars="200"/>
        <w:jc w:val="left"/>
        <w:rPr>
          <w:rFonts w:hint="eastAsia" w:ascii="宋体" w:hAnsi="宋体"/>
          <w:b w:val="0"/>
          <w:bCs w:val="0"/>
          <w:color w:val="auto"/>
          <w:sz w:val="21"/>
          <w:szCs w:val="21"/>
          <w:highlight w:val="none"/>
        </w:rPr>
      </w:pPr>
      <w:r>
        <w:rPr>
          <w:rFonts w:hint="eastAsia" w:ascii="宋体" w:hAnsi="宋体"/>
          <w:b w:val="0"/>
          <w:bCs w:val="0"/>
          <w:color w:val="auto"/>
          <w:sz w:val="21"/>
          <w:szCs w:val="21"/>
          <w:highlight w:val="none"/>
          <w:lang w:val="en-US" w:eastAsia="zh-CN"/>
        </w:rPr>
        <w:t>30.4.4</w:t>
      </w:r>
      <w:r>
        <w:rPr>
          <w:rFonts w:hint="eastAsia" w:ascii="宋体" w:hAnsi="宋体"/>
          <w:b w:val="0"/>
          <w:bCs w:val="0"/>
          <w:color w:val="auto"/>
          <w:sz w:val="21"/>
          <w:szCs w:val="21"/>
          <w:highlight w:val="none"/>
        </w:rPr>
        <w:t>采购人、采购代理机构应当为</w:t>
      </w:r>
      <w:r>
        <w:rPr>
          <w:rFonts w:hint="eastAsia" w:ascii="宋体" w:hAnsi="宋体"/>
          <w:b w:val="0"/>
          <w:bCs w:val="0"/>
          <w:color w:val="auto"/>
          <w:sz w:val="21"/>
          <w:szCs w:val="21"/>
          <w:highlight w:val="none"/>
          <w:lang w:eastAsia="zh-CN"/>
        </w:rPr>
        <w:t>磋商小组</w:t>
      </w:r>
      <w:r>
        <w:rPr>
          <w:rFonts w:hint="eastAsia" w:ascii="宋体" w:hAnsi="宋体"/>
          <w:b w:val="0"/>
          <w:bCs w:val="0"/>
          <w:color w:val="auto"/>
          <w:sz w:val="21"/>
          <w:szCs w:val="21"/>
          <w:highlight w:val="none"/>
        </w:rPr>
        <w:t>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1755663">
      <w:pPr>
        <w:pStyle w:val="9"/>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left"/>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30.4.5异常低价投标（响应）审查的启动原因、审查意见和审查结果应当在评审报告中记录，并随供应商提供的相关书面说明及证明材料，以及磋商小组有关互联网浏览、查询历史一并归档。</w:t>
      </w:r>
    </w:p>
    <w:p w14:paraId="24364B4D">
      <w:pPr>
        <w:pStyle w:val="9"/>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left"/>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30.4.6对报价触发异常低价投标（响应）审查程序后仍中标（成交）的</w:t>
      </w:r>
      <w:r>
        <w:rPr>
          <w:rFonts w:hint="eastAsia" w:ascii="宋体" w:hAnsi="宋体" w:cs="宋体"/>
          <w:color w:val="auto"/>
          <w:kern w:val="0"/>
          <w:sz w:val="21"/>
          <w:szCs w:val="21"/>
          <w:lang w:val="en-US" w:eastAsia="zh-CN" w:bidi="ar-SA"/>
        </w:rPr>
        <w:t>供应商</w:t>
      </w:r>
      <w:r>
        <w:rPr>
          <w:rFonts w:hint="eastAsia" w:ascii="宋体" w:hAnsi="宋体" w:eastAsia="宋体" w:cs="宋体"/>
          <w:color w:val="auto"/>
          <w:kern w:val="0"/>
          <w:sz w:val="21"/>
          <w:szCs w:val="21"/>
          <w:lang w:val="en-US" w:eastAsia="zh-CN" w:bidi="ar-SA"/>
        </w:rPr>
        <w:t>，采购人将重点关注其履约承诺、实际履约情况等。如供应商中标（成交）后无正当理由拒不签订采购合同的，依法予以处理；如</w:t>
      </w:r>
      <w:r>
        <w:rPr>
          <w:rFonts w:hint="eastAsia" w:ascii="宋体" w:hAnsi="宋体" w:cs="宋体"/>
          <w:color w:val="auto"/>
          <w:kern w:val="0"/>
          <w:sz w:val="21"/>
          <w:szCs w:val="21"/>
          <w:lang w:val="en-US" w:eastAsia="zh-CN" w:bidi="ar-SA"/>
        </w:rPr>
        <w:t>供应商</w:t>
      </w:r>
      <w:r>
        <w:rPr>
          <w:rFonts w:hint="eastAsia" w:ascii="宋体" w:hAnsi="宋体" w:eastAsia="宋体" w:cs="宋体"/>
          <w:color w:val="auto"/>
          <w:kern w:val="0"/>
          <w:sz w:val="21"/>
          <w:szCs w:val="21"/>
          <w:lang w:val="en-US" w:eastAsia="zh-CN" w:bidi="ar-SA"/>
        </w:rPr>
        <w:t>不履行合同或者未按合同约定履行合同导致验收不合格的，采购人将依法追究其违约责任。</w:t>
      </w:r>
    </w:p>
    <w:p w14:paraId="1A010541">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30.5提交首次响应文件的供应商，在提交最后报价之前，可以根据磋商情况退出磋商，</w:t>
      </w:r>
      <w:r>
        <w:rPr>
          <w:rFonts w:hint="eastAsia" w:ascii="宋体" w:hAnsi="宋体" w:cs="宋体"/>
          <w:color w:val="auto"/>
          <w:kern w:val="0"/>
        </w:rPr>
        <w:t>并书面通知采购代理机构或者磋商小组。</w:t>
      </w:r>
      <w:r>
        <w:rPr>
          <w:rFonts w:hint="eastAsia" w:ascii="宋体" w:hAnsi="宋体"/>
          <w:color w:val="auto"/>
        </w:rPr>
        <w:t>该通知由供应商法定代表人或其委托代理人签字。</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19.4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退还退出磋商的供应商的磋商保证金。</w:t>
      </w:r>
    </w:p>
    <w:p w14:paraId="4A8C16D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bCs/>
          <w:color w:val="auto"/>
          <w:szCs w:val="21"/>
        </w:rPr>
        <w:t>30.6</w:t>
      </w:r>
      <w:r>
        <w:rPr>
          <w:rFonts w:hint="eastAsia" w:ascii="宋体" w:hAnsi="宋体" w:cs="宋体"/>
          <w:color w:val="auto"/>
          <w:kern w:val="0"/>
          <w:szCs w:val="21"/>
        </w:rPr>
        <w:t>提交首次响应文件的供应商，未按磋商文件规定及磋商小组要求提交最后报价(或者</w:t>
      </w:r>
      <w:r>
        <w:rPr>
          <w:rFonts w:hint="eastAsia" w:ascii="宋体" w:hAnsi="宋体"/>
          <w:bCs/>
          <w:color w:val="auto"/>
          <w:szCs w:val="21"/>
        </w:rPr>
        <w:t>重</w:t>
      </w:r>
      <w:r>
        <w:rPr>
          <w:rFonts w:hint="eastAsia" w:ascii="宋体" w:hAnsi="宋体" w:cs="宋体"/>
          <w:color w:val="auto"/>
          <w:kern w:val="0"/>
          <w:szCs w:val="21"/>
        </w:rPr>
        <w:t>新提交的响应文件和最后报价)，且又</w:t>
      </w:r>
      <w:r>
        <w:rPr>
          <w:rFonts w:hint="eastAsia" w:ascii="宋体" w:hAnsi="宋体" w:cs="宋体"/>
          <w:color w:val="auto"/>
          <w:kern w:val="0"/>
        </w:rPr>
        <w:t>未按</w:t>
      </w:r>
      <w:r>
        <w:rPr>
          <w:rFonts w:hint="eastAsia" w:ascii="宋体" w:hAnsi="宋体" w:cs="宋体"/>
          <w:color w:val="auto"/>
          <w:kern w:val="0"/>
          <w:szCs w:val="21"/>
        </w:rPr>
        <w:t>本章第</w:t>
      </w:r>
      <w:r>
        <w:rPr>
          <w:rFonts w:hint="eastAsia" w:ascii="宋体" w:hAnsi="宋体"/>
          <w:color w:val="auto"/>
        </w:rPr>
        <w:t>30.5</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退出磋商的，供应商的磋商保证金不予退还。</w:t>
      </w:r>
    </w:p>
    <w:p w14:paraId="5B07BF2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30.7磋商文件在磋商过程中未发生实质性变动的，参加磋商供应商的次轮报价不得高于上轮报价，否则视为无效响应。</w:t>
      </w:r>
    </w:p>
    <w:p w14:paraId="6FE99380">
      <w:pPr>
        <w:numPr>
          <w:ilvl w:val="0"/>
          <w:numId w:val="4"/>
        </w:numPr>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响应文件评审</w:t>
      </w:r>
    </w:p>
    <w:p w14:paraId="1BAAE876">
      <w:pPr>
        <w:adjustRightInd w:val="0"/>
        <w:snapToGrid w:val="0"/>
        <w:spacing w:line="360" w:lineRule="auto"/>
        <w:ind w:firstLine="420" w:firstLineChars="200"/>
        <w:jc w:val="left"/>
        <w:rPr>
          <w:rFonts w:hint="eastAsia" w:ascii="宋体" w:hAnsi="宋体"/>
          <w:bCs/>
          <w:color w:val="auto"/>
          <w:szCs w:val="21"/>
        </w:rPr>
      </w:pPr>
      <w:r>
        <w:rPr>
          <w:rFonts w:hint="eastAsia" w:ascii="宋体" w:hAnsi="宋体"/>
          <w:bCs/>
          <w:color w:val="auto"/>
          <w:szCs w:val="21"/>
        </w:rPr>
        <w:t>31.1经磋商确定最终采购需求和提交最后报价的供应商后，由磋商小组采用综合评分法对提交最后报价的供应商的响应文件和最后报价进行综合评价。</w:t>
      </w:r>
    </w:p>
    <w:p w14:paraId="0C9AB4C9">
      <w:pPr>
        <w:widowControl/>
        <w:adjustRightInd w:val="0"/>
        <w:snapToGrid w:val="0"/>
        <w:spacing w:line="360" w:lineRule="auto"/>
        <w:ind w:firstLine="420" w:firstLineChars="200"/>
        <w:jc w:val="left"/>
        <w:rPr>
          <w:rFonts w:hint="eastAsia" w:ascii="宋体" w:hAnsi="宋体"/>
          <w:bCs/>
          <w:color w:val="auto"/>
          <w:szCs w:val="21"/>
        </w:rPr>
      </w:pPr>
      <w:r>
        <w:rPr>
          <w:rFonts w:hint="eastAsia" w:ascii="宋体" w:hAnsi="宋体"/>
          <w:bCs/>
          <w:color w:val="auto"/>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szCs w:val="21"/>
        </w:rPr>
        <w:t>磋商须知前附表。</w:t>
      </w:r>
    </w:p>
    <w:p w14:paraId="30909B1A">
      <w:pPr>
        <w:widowControl/>
        <w:adjustRightInd w:val="0"/>
        <w:snapToGrid w:val="0"/>
        <w:spacing w:line="360" w:lineRule="auto"/>
        <w:ind w:firstLine="420" w:firstLineChars="200"/>
        <w:jc w:val="left"/>
        <w:rPr>
          <w:rFonts w:hint="eastAsia" w:ascii="宋体" w:hAnsi="宋体"/>
          <w:bCs/>
          <w:color w:val="auto"/>
          <w:szCs w:val="21"/>
        </w:rPr>
      </w:pPr>
      <w:r>
        <w:rPr>
          <w:rFonts w:hint="eastAsia" w:ascii="宋体" w:hAnsi="宋体" w:cs="宋体"/>
          <w:color w:val="auto"/>
          <w:kern w:val="0"/>
          <w:szCs w:val="21"/>
        </w:rPr>
        <w:t>31.3</w:t>
      </w:r>
      <w:r>
        <w:rPr>
          <w:rFonts w:hint="eastAsia" w:ascii="宋体" w:hAnsi="宋体"/>
          <w:color w:val="auto"/>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color w:val="auto"/>
          <w:szCs w:val="21"/>
        </w:rPr>
        <w:t>磋商须知前附表</w:t>
      </w:r>
      <w:r>
        <w:rPr>
          <w:rFonts w:hint="eastAsia" w:ascii="宋体" w:hAnsi="宋体"/>
          <w:color w:val="auto"/>
          <w:szCs w:val="21"/>
        </w:rPr>
        <w:t>。</w:t>
      </w:r>
    </w:p>
    <w:p w14:paraId="4DD863FE">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1D23494E">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磋商报价得分=（磋商基准价/最后磋商报价）×价格权值×100</w:t>
      </w:r>
    </w:p>
    <w:p w14:paraId="497451B4">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项目评审过程中，不得去掉最后报价中的最高报价和最低报价。</w:t>
      </w:r>
    </w:p>
    <w:p w14:paraId="794E85E8">
      <w:pPr>
        <w:widowControl/>
        <w:adjustRightInd w:val="0"/>
        <w:snapToGrid w:val="0"/>
        <w:spacing w:line="360" w:lineRule="auto"/>
        <w:ind w:firstLine="420" w:firstLineChars="200"/>
        <w:jc w:val="left"/>
        <w:rPr>
          <w:rFonts w:hint="eastAsia" w:ascii="宋体" w:hAnsi="宋体"/>
          <w:color w:val="auto"/>
          <w:szCs w:val="21"/>
        </w:rPr>
      </w:pPr>
      <w:r>
        <w:rPr>
          <w:rFonts w:hint="eastAsia" w:ascii="宋体" w:hAnsi="宋体"/>
          <w:bCs/>
          <w:color w:val="auto"/>
          <w:szCs w:val="21"/>
        </w:rPr>
        <w:t>31.5</w:t>
      </w:r>
      <w:r>
        <w:rPr>
          <w:rFonts w:hint="eastAsia" w:ascii="宋体" w:hAnsi="宋体"/>
          <w:color w:val="auto"/>
          <w:szCs w:val="21"/>
        </w:rPr>
        <w:t>涉及政府采购政策优惠对供应商分值进行调整的，</w:t>
      </w:r>
      <w:r>
        <w:rPr>
          <w:rFonts w:hint="eastAsia" w:ascii="宋体" w:hAnsi="宋体"/>
          <w:bCs/>
          <w:color w:val="auto"/>
          <w:szCs w:val="21"/>
        </w:rPr>
        <w:t>按</w:t>
      </w:r>
      <w:r>
        <w:rPr>
          <w:rFonts w:hint="eastAsia" w:ascii="宋体" w:hAnsi="宋体"/>
          <w:b/>
          <w:color w:val="auto"/>
          <w:szCs w:val="21"/>
        </w:rPr>
        <w:t>磋商须知前附表</w:t>
      </w:r>
      <w:r>
        <w:rPr>
          <w:rFonts w:hint="eastAsia" w:ascii="宋体" w:hAnsi="宋体"/>
          <w:bCs/>
          <w:color w:val="auto"/>
          <w:szCs w:val="21"/>
        </w:rPr>
        <w:t>规定</w:t>
      </w:r>
      <w:r>
        <w:rPr>
          <w:rFonts w:hint="eastAsia" w:ascii="宋体" w:hAnsi="宋体"/>
          <w:color w:val="auto"/>
          <w:szCs w:val="21"/>
        </w:rPr>
        <w:t>调整供应商的技术、商务、价格</w:t>
      </w:r>
      <w:r>
        <w:rPr>
          <w:rFonts w:hint="eastAsia" w:ascii="宋体" w:hAnsi="宋体" w:cs="宋体"/>
          <w:color w:val="auto"/>
          <w:kern w:val="0"/>
          <w:szCs w:val="21"/>
        </w:rPr>
        <w:t>得分或总得分</w:t>
      </w:r>
      <w:r>
        <w:rPr>
          <w:rFonts w:hint="eastAsia" w:ascii="宋体" w:hAnsi="宋体"/>
          <w:color w:val="auto"/>
          <w:szCs w:val="21"/>
        </w:rPr>
        <w:t>。</w:t>
      </w:r>
    </w:p>
    <w:p w14:paraId="61ADE02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31.6涉及多处或部分获得政府采购政策优惠的，其多处或部分享受政府采购优惠政策的计算方法见</w:t>
      </w:r>
      <w:r>
        <w:rPr>
          <w:rFonts w:hint="eastAsia" w:ascii="宋体" w:hAnsi="宋体"/>
          <w:b/>
          <w:color w:val="auto"/>
          <w:szCs w:val="21"/>
        </w:rPr>
        <w:t>磋商须知前附表</w:t>
      </w:r>
      <w:r>
        <w:rPr>
          <w:rFonts w:hint="eastAsia" w:ascii="宋体" w:hAnsi="宋体"/>
          <w:color w:val="auto"/>
          <w:szCs w:val="21"/>
        </w:rPr>
        <w:t>相关规定。</w:t>
      </w:r>
    </w:p>
    <w:p w14:paraId="48AE8E87">
      <w:pPr>
        <w:widowControl/>
        <w:adjustRightInd w:val="0"/>
        <w:snapToGrid w:val="0"/>
        <w:spacing w:line="360" w:lineRule="auto"/>
        <w:ind w:firstLine="420" w:firstLineChars="200"/>
        <w:jc w:val="left"/>
        <w:rPr>
          <w:rFonts w:hint="eastAsia" w:ascii="宋体" w:hAnsi="宋体"/>
          <w:color w:val="auto"/>
          <w:szCs w:val="21"/>
        </w:rPr>
      </w:pPr>
      <w:r>
        <w:rPr>
          <w:rFonts w:hint="eastAsia" w:ascii="宋体" w:hAnsi="宋体" w:cs="宋体"/>
          <w:color w:val="auto"/>
          <w:kern w:val="0"/>
          <w:szCs w:val="21"/>
        </w:rPr>
        <w:t>31.7</w:t>
      </w:r>
      <w:r>
        <w:rPr>
          <w:rFonts w:hint="eastAsia" w:ascii="宋体" w:hAnsi="宋体"/>
          <w:color w:val="auto"/>
          <w:szCs w:val="21"/>
        </w:rPr>
        <w:t>评审时，磋商小组各成员应当独立对每个供应商的</w:t>
      </w:r>
      <w:r>
        <w:rPr>
          <w:rFonts w:hint="eastAsia" w:ascii="宋体" w:hAnsi="宋体"/>
          <w:bCs/>
          <w:color w:val="auto"/>
          <w:szCs w:val="21"/>
        </w:rPr>
        <w:t>响应文件</w:t>
      </w:r>
      <w:r>
        <w:rPr>
          <w:rFonts w:hint="eastAsia" w:ascii="宋体" w:hAnsi="宋体"/>
          <w:color w:val="auto"/>
          <w:szCs w:val="21"/>
        </w:rPr>
        <w:t>进行评价、评分，并按照政府采购优惠政策对最后报价进行价格扣除和技术、商务、价格加分后，汇总各供应商的总得分。</w:t>
      </w:r>
    </w:p>
    <w:p w14:paraId="45E7C539">
      <w:pPr>
        <w:widowControl/>
        <w:adjustRightInd w:val="0"/>
        <w:snapToGrid w:val="0"/>
        <w:spacing w:line="360" w:lineRule="auto"/>
        <w:jc w:val="left"/>
        <w:rPr>
          <w:rFonts w:hint="eastAsia" w:ascii="宋体" w:hAnsi="宋体"/>
          <w:b/>
          <w:bCs/>
          <w:color w:val="auto"/>
          <w:szCs w:val="21"/>
        </w:rPr>
      </w:pPr>
      <w:r>
        <w:rPr>
          <w:rFonts w:hint="eastAsia" w:ascii="宋体" w:hAnsi="宋体"/>
          <w:b/>
          <w:bCs/>
          <w:color w:val="auto"/>
          <w:szCs w:val="21"/>
        </w:rPr>
        <w:t>32</w:t>
      </w:r>
      <w:r>
        <w:rPr>
          <w:rFonts w:hint="eastAsia" w:ascii="宋体" w:hAnsi="宋体" w:cs="宋体"/>
          <w:b/>
          <w:color w:val="auto"/>
          <w:kern w:val="0"/>
          <w:szCs w:val="21"/>
        </w:rPr>
        <w:t>.</w:t>
      </w:r>
      <w:r>
        <w:rPr>
          <w:rFonts w:hint="eastAsia" w:ascii="宋体" w:hAnsi="宋体"/>
          <w:b/>
          <w:bCs/>
          <w:color w:val="auto"/>
          <w:szCs w:val="21"/>
        </w:rPr>
        <w:t>提出成交供应商</w:t>
      </w:r>
    </w:p>
    <w:p w14:paraId="2B349997">
      <w:pPr>
        <w:widowControl/>
        <w:spacing w:line="360" w:lineRule="auto"/>
        <w:jc w:val="center"/>
        <w:rPr>
          <w:rFonts w:hint="eastAsia" w:ascii="宋体" w:hAnsi="宋体"/>
          <w:bCs/>
          <w:color w:val="auto"/>
          <w:szCs w:val="21"/>
        </w:rPr>
      </w:pPr>
      <w:r>
        <w:rPr>
          <w:rFonts w:hint="eastAsia" w:ascii="宋体" w:hAnsi="宋体" w:cs="宋体"/>
          <w:color w:val="auto"/>
          <w:kern w:val="0"/>
          <w:szCs w:val="21"/>
        </w:rPr>
        <w:t xml:space="preserve">    32.1</w:t>
      </w:r>
      <w:r>
        <w:rPr>
          <w:rFonts w:hint="eastAsia" w:ascii="宋体" w:hAnsi="宋体"/>
          <w:bCs/>
          <w:color w:val="auto"/>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w:t>
      </w:r>
      <w:r>
        <w:rPr>
          <w:rFonts w:hint="eastAsia" w:ascii="宋体" w:hAnsi="宋体"/>
          <w:bCs/>
          <w:color w:val="auto"/>
          <w:szCs w:val="21"/>
          <w:lang w:eastAsia="zh-CN"/>
        </w:rPr>
        <w:t>采购人</w:t>
      </w:r>
      <w:r>
        <w:rPr>
          <w:rFonts w:hint="eastAsia" w:ascii="宋体" w:hAnsi="宋体"/>
          <w:bCs/>
          <w:color w:val="auto"/>
          <w:szCs w:val="21"/>
        </w:rPr>
        <w:t>式管理暂行办法》(财</w:t>
      </w:r>
    </w:p>
    <w:p w14:paraId="74823FD3">
      <w:pPr>
        <w:widowControl/>
        <w:spacing w:line="360" w:lineRule="auto"/>
        <w:rPr>
          <w:rFonts w:hint="eastAsia" w:ascii="宋体" w:hAnsi="宋体" w:cs="宋体"/>
          <w:color w:val="auto"/>
          <w:kern w:val="0"/>
          <w:szCs w:val="21"/>
        </w:rPr>
      </w:pPr>
      <w:r>
        <w:rPr>
          <w:rFonts w:hint="eastAsia" w:ascii="宋体" w:hAnsi="宋体"/>
          <w:bCs/>
          <w:color w:val="auto"/>
          <w:szCs w:val="21"/>
        </w:rPr>
        <w:t>库〔2014〕214号)</w:t>
      </w:r>
      <w:r>
        <w:rPr>
          <w:rFonts w:hint="eastAsia" w:ascii="宋体" w:hAnsi="宋体" w:cs="宋体"/>
          <w:color w:val="auto"/>
          <w:kern w:val="0"/>
          <w:szCs w:val="21"/>
        </w:rPr>
        <w:t>和《财政部关于政府采购竞争性磋商</w:t>
      </w:r>
      <w:r>
        <w:rPr>
          <w:rFonts w:hint="eastAsia" w:ascii="宋体" w:hAnsi="宋体" w:cs="宋体"/>
          <w:color w:val="auto"/>
          <w:kern w:val="0"/>
          <w:szCs w:val="21"/>
          <w:lang w:eastAsia="zh-CN"/>
        </w:rPr>
        <w:t>采购人</w:t>
      </w:r>
      <w:r>
        <w:rPr>
          <w:rFonts w:hint="eastAsia" w:ascii="宋体" w:hAnsi="宋体" w:cs="宋体"/>
          <w:color w:val="auto"/>
          <w:kern w:val="0"/>
          <w:szCs w:val="21"/>
        </w:rPr>
        <w:t>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color w:val="auto"/>
          <w:szCs w:val="21"/>
        </w:rPr>
        <w:t>可以推荐2家成交候选供应商。</w:t>
      </w:r>
    </w:p>
    <w:p w14:paraId="02933467">
      <w:pPr>
        <w:tabs>
          <w:tab w:val="left" w:pos="0"/>
        </w:tabs>
        <w:adjustRightInd w:val="0"/>
        <w:snapToGrid w:val="0"/>
        <w:spacing w:line="360" w:lineRule="auto"/>
        <w:rPr>
          <w:rFonts w:hint="eastAsia" w:ascii="宋体" w:hAnsi="宋体"/>
          <w:b/>
          <w:bCs/>
          <w:color w:val="auto"/>
          <w:szCs w:val="21"/>
        </w:rPr>
      </w:pPr>
      <w:r>
        <w:rPr>
          <w:rFonts w:hint="eastAsia" w:ascii="宋体" w:hAnsi="宋体"/>
          <w:b/>
          <w:bCs/>
          <w:color w:val="auto"/>
          <w:szCs w:val="21"/>
        </w:rPr>
        <w:t>33.确定成交供应商</w:t>
      </w:r>
    </w:p>
    <w:p w14:paraId="275935EC">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33.1采购代理机构应当在评审结束后2个工作日内将评审报告送采购人确认。</w:t>
      </w:r>
    </w:p>
    <w:p w14:paraId="0E62FD6C">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78B863DA">
      <w:pPr>
        <w:pStyle w:val="11"/>
        <w:numPr>
          <w:ilvl w:val="0"/>
          <w:numId w:val="5"/>
        </w:numPr>
        <w:adjustRightInd w:val="0"/>
        <w:snapToGrid w:val="0"/>
        <w:spacing w:line="360" w:lineRule="auto"/>
        <w:ind w:left="632" w:hanging="632" w:hangingChars="300"/>
        <w:rPr>
          <w:rFonts w:hint="eastAsia" w:hAnsi="宋体"/>
          <w:b/>
          <w:color w:val="auto"/>
        </w:rPr>
      </w:pPr>
      <w:r>
        <w:rPr>
          <w:rFonts w:hint="eastAsia" w:hAnsi="宋体"/>
          <w:b/>
          <w:color w:val="auto"/>
        </w:rPr>
        <w:t>磋商终止</w:t>
      </w:r>
    </w:p>
    <w:p w14:paraId="60CE7D8D">
      <w:pPr>
        <w:pStyle w:val="11"/>
        <w:adjustRightInd w:val="0"/>
        <w:snapToGrid w:val="0"/>
        <w:spacing w:line="360" w:lineRule="auto"/>
        <w:ind w:left="-630" w:leftChars="-300" w:firstLine="1050" w:firstLineChars="500"/>
        <w:rPr>
          <w:rFonts w:hint="eastAsia" w:hAnsi="宋体"/>
          <w:color w:val="auto"/>
        </w:rPr>
      </w:pPr>
      <w:r>
        <w:rPr>
          <w:rFonts w:hint="eastAsia" w:hAnsi="宋体"/>
          <w:bCs/>
          <w:color w:val="auto"/>
        </w:rPr>
        <w:t>34.1</w:t>
      </w:r>
      <w:r>
        <w:rPr>
          <w:rFonts w:hint="eastAsia" w:hAnsi="宋体" w:cs="宋体"/>
          <w:color w:val="auto"/>
          <w:kern w:val="0"/>
        </w:rPr>
        <w:t>出现下列情形之一的，采购人或者采购代理机构应当终止竞争性磋商采购活动，</w:t>
      </w:r>
      <w:r>
        <w:rPr>
          <w:rFonts w:hint="eastAsia" w:hAnsi="宋体"/>
          <w:color w:val="auto"/>
        </w:rPr>
        <w:t xml:space="preserve">在本章    </w:t>
      </w:r>
    </w:p>
    <w:p w14:paraId="0955309E">
      <w:pPr>
        <w:pStyle w:val="11"/>
        <w:adjustRightInd w:val="0"/>
        <w:snapToGrid w:val="0"/>
        <w:spacing w:line="360" w:lineRule="auto"/>
        <w:rPr>
          <w:rFonts w:hint="eastAsia" w:hAnsi="宋体" w:cs="宋体"/>
          <w:color w:val="auto"/>
          <w:kern w:val="0"/>
        </w:rPr>
      </w:pPr>
      <w:r>
        <w:rPr>
          <w:rFonts w:hint="eastAsia" w:hAnsi="宋体"/>
          <w:color w:val="auto"/>
        </w:rPr>
        <w:t>第37.1款指定的媒体上</w:t>
      </w:r>
      <w:r>
        <w:rPr>
          <w:rFonts w:hint="eastAsia" w:hAnsi="宋体" w:cs="宋体"/>
          <w:color w:val="auto"/>
          <w:kern w:val="0"/>
        </w:rPr>
        <w:t xml:space="preserve">发布项目终止公告并说明原因，重新开展采购活动： </w:t>
      </w:r>
    </w:p>
    <w:p w14:paraId="6A96D3AF">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（1）因情况变化，不再符合规定的竞争性磋商</w:t>
      </w:r>
      <w:r>
        <w:rPr>
          <w:rFonts w:hint="eastAsia" w:ascii="宋体" w:hAnsi="宋体" w:cs="宋体"/>
          <w:color w:val="auto"/>
          <w:kern w:val="0"/>
          <w:szCs w:val="21"/>
          <w:lang w:eastAsia="zh-CN"/>
        </w:rPr>
        <w:t>采购人</w:t>
      </w:r>
      <w:r>
        <w:rPr>
          <w:rFonts w:hint="eastAsia" w:ascii="宋体" w:hAnsi="宋体" w:cs="宋体"/>
          <w:color w:val="auto"/>
          <w:kern w:val="0"/>
          <w:szCs w:val="21"/>
        </w:rPr>
        <w:t>式适用情形的；</w:t>
      </w:r>
    </w:p>
    <w:p w14:paraId="2DD3078A">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（2）出现影响采购公正的违法、违规行为的；</w:t>
      </w:r>
    </w:p>
    <w:p w14:paraId="39100C14">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（3）</w:t>
      </w:r>
      <w:r>
        <w:rPr>
          <w:rFonts w:hint="eastAsia" w:ascii="宋体" w:hAnsi="宋体"/>
          <w:bCs/>
          <w:color w:val="auto"/>
          <w:szCs w:val="21"/>
        </w:rPr>
        <w:t>除《政府采购竞争性磋商</w:t>
      </w:r>
      <w:r>
        <w:rPr>
          <w:rFonts w:hint="eastAsia" w:ascii="宋体" w:hAnsi="宋体"/>
          <w:bCs/>
          <w:color w:val="auto"/>
          <w:szCs w:val="21"/>
          <w:lang w:eastAsia="zh-CN"/>
        </w:rPr>
        <w:t>采购人</w:t>
      </w:r>
      <w:r>
        <w:rPr>
          <w:rFonts w:hint="eastAsia" w:ascii="宋体" w:hAnsi="宋体"/>
          <w:bCs/>
          <w:color w:val="auto"/>
          <w:szCs w:val="21"/>
        </w:rPr>
        <w:t>式管理暂行办法》(财库〔2014〕214号)</w:t>
      </w:r>
      <w:r>
        <w:rPr>
          <w:rFonts w:hint="eastAsia" w:ascii="宋体" w:hAnsi="宋体" w:cs="宋体"/>
          <w:color w:val="auto"/>
          <w:kern w:val="0"/>
          <w:szCs w:val="21"/>
        </w:rPr>
        <w:t xml:space="preserve"> 和《财政部关于政府采购竞争性磋商</w:t>
      </w:r>
      <w:r>
        <w:rPr>
          <w:rFonts w:hint="eastAsia" w:ascii="宋体" w:hAnsi="宋体" w:cs="宋体"/>
          <w:color w:val="auto"/>
          <w:kern w:val="0"/>
          <w:szCs w:val="21"/>
          <w:lang w:eastAsia="zh-CN"/>
        </w:rPr>
        <w:t>采购人</w:t>
      </w:r>
      <w:r>
        <w:rPr>
          <w:rFonts w:hint="eastAsia" w:ascii="宋体" w:hAnsi="宋体" w:cs="宋体"/>
          <w:color w:val="auto"/>
          <w:kern w:val="0"/>
          <w:szCs w:val="21"/>
        </w:rPr>
        <w:t>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rPr>
        <w:t>情形外，在采购过程中符合要求的供应商或者报价未超过采购预算的供应商不足3家的；</w:t>
      </w:r>
    </w:p>
    <w:p w14:paraId="5BE89B5F">
      <w:pPr>
        <w:widowControl/>
        <w:adjustRightInd w:val="0"/>
        <w:snapToGrid w:val="0"/>
        <w:spacing w:line="360" w:lineRule="auto"/>
        <w:ind w:firstLine="420"/>
        <w:jc w:val="left"/>
        <w:rPr>
          <w:rFonts w:hint="eastAsia" w:ascii="宋体" w:hAnsi="宋体"/>
          <w:bCs/>
          <w:color w:val="auto"/>
          <w:szCs w:val="21"/>
        </w:rPr>
      </w:pPr>
      <w:r>
        <w:rPr>
          <w:rFonts w:hint="eastAsia" w:ascii="宋体" w:hAnsi="宋体" w:cs="宋体"/>
          <w:color w:val="auto"/>
          <w:kern w:val="0"/>
          <w:szCs w:val="21"/>
        </w:rPr>
        <w:t>（4）因重大变故，采购任务取消的。</w:t>
      </w:r>
    </w:p>
    <w:p w14:paraId="32941F42">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35．重新评审</w:t>
      </w:r>
    </w:p>
    <w:p w14:paraId="176F84CE">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1F56E5B9">
      <w:pPr>
        <w:adjustRightInd w:val="0"/>
        <w:snapToGrid w:val="0"/>
        <w:spacing w:line="360" w:lineRule="auto"/>
        <w:rPr>
          <w:rFonts w:hint="eastAsia" w:ascii="宋体" w:hAnsi="宋体"/>
          <w:b/>
          <w:bCs/>
          <w:color w:val="auto"/>
          <w:szCs w:val="21"/>
        </w:rPr>
      </w:pPr>
      <w:r>
        <w:rPr>
          <w:rFonts w:hint="eastAsia" w:ascii="宋体" w:hAnsi="宋体"/>
          <w:b/>
          <w:bCs/>
          <w:color w:val="auto"/>
          <w:szCs w:val="21"/>
        </w:rPr>
        <w:t>36.保密及串通行为</w:t>
      </w:r>
    </w:p>
    <w:p w14:paraId="2F2C4A54">
      <w:pPr>
        <w:adjustRightInd w:val="0"/>
        <w:snapToGrid w:val="0"/>
        <w:spacing w:line="360" w:lineRule="auto"/>
        <w:ind w:firstLine="420" w:firstLineChars="200"/>
        <w:rPr>
          <w:rFonts w:hint="eastAsia" w:ascii="宋体" w:hAnsi="宋体"/>
          <w:color w:val="auto"/>
        </w:rPr>
      </w:pPr>
      <w:r>
        <w:rPr>
          <w:rFonts w:hint="eastAsia" w:ascii="宋体" w:hAnsi="宋体"/>
          <w:color w:val="auto"/>
        </w:rPr>
        <w:t>36.1磋商小组成员以及与评审工作有关的人员不得泄露评审情况以及评审过程中获悉的国家秘密、商业秘密。</w:t>
      </w:r>
    </w:p>
    <w:p w14:paraId="0350C39C">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36.2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或者磋商小组成员行贿或者提供其他不正当利益；不得提供虚假资料谋取成交；不得以任何方式干扰、影响采购工作。</w:t>
      </w:r>
    </w:p>
    <w:p w14:paraId="602099AB">
      <w:pPr>
        <w:pStyle w:val="17"/>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s="Arial"/>
          <w:color w:val="auto"/>
          <w:sz w:val="21"/>
          <w:szCs w:val="21"/>
        </w:rPr>
        <w:t>36.3</w:t>
      </w:r>
      <w:r>
        <w:rPr>
          <w:rFonts w:hint="eastAsia"/>
          <w:color w:val="auto"/>
          <w:sz w:val="21"/>
          <w:szCs w:val="21"/>
          <w:lang w:val="zh-CN"/>
        </w:rPr>
        <w:t>有下列情形之一的，属于恶意串通，对供应商依照政府采购法第七十七条第一款的规定追究法律责任：</w:t>
      </w:r>
    </w:p>
    <w:p w14:paraId="7C6C5193">
      <w:pPr>
        <w:pStyle w:val="17"/>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（一）供应商直接或者间接从采购人或者采购代理机构处获得其他供应商的相关情况并修改其投标文件或者响应文件；</w:t>
      </w:r>
    </w:p>
    <w:p w14:paraId="3C0D383E">
      <w:pPr>
        <w:pStyle w:val="17"/>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（二）供应商按照采购人或者采购代理机构的授意撤换、修改投标文件或者响应文件；</w:t>
      </w:r>
    </w:p>
    <w:p w14:paraId="5EB9F371">
      <w:pPr>
        <w:pStyle w:val="17"/>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（三）供应商之间协商报价、技术方案等投标文件或者响应文件的实质性内容；</w:t>
      </w:r>
    </w:p>
    <w:p w14:paraId="5B8958D7">
      <w:pPr>
        <w:pStyle w:val="17"/>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（四）属于同一集团、协会、商会等组织成员的供应商按照该组织要求协同参加政府采购活动；</w:t>
      </w:r>
    </w:p>
    <w:p w14:paraId="58CAD5FE">
      <w:pPr>
        <w:pStyle w:val="17"/>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（五）供应商之间事先约定由某一特定供应商中标、成交；</w:t>
      </w:r>
    </w:p>
    <w:p w14:paraId="4F54489A">
      <w:pPr>
        <w:pStyle w:val="17"/>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（六）供应商之间商定部分供应商放弃参加政府采购活动或者放弃中标、成交；</w:t>
      </w:r>
    </w:p>
    <w:p w14:paraId="187F9306">
      <w:pPr>
        <w:pStyle w:val="17"/>
        <w:adjustRightInd w:val="0"/>
        <w:snapToGrid w:val="0"/>
        <w:spacing w:before="0" w:beforeAutospacing="0" w:after="0" w:afterAutospacing="0" w:line="360" w:lineRule="auto"/>
        <w:ind w:firstLine="420" w:firstLineChars="200"/>
        <w:rPr>
          <w:color w:val="auto"/>
          <w:sz w:val="21"/>
          <w:szCs w:val="21"/>
          <w:lang w:val="zh-CN"/>
        </w:rPr>
      </w:pPr>
      <w:r>
        <w:rPr>
          <w:rFonts w:hint="eastAsia"/>
          <w:color w:val="auto"/>
          <w:sz w:val="21"/>
          <w:szCs w:val="21"/>
          <w:lang w:val="zh-CN"/>
        </w:rPr>
        <w:t>（七）供应商与采购人或者采购代理机构之间、供应商相互之间，为谋求特定供应商中标、成交或者排斥其他供应商的其他串通行为。</w:t>
      </w:r>
    </w:p>
    <w:p w14:paraId="0E2A4634">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六、成交结果信息公布与授予合同</w:t>
      </w:r>
    </w:p>
    <w:p w14:paraId="759D0F88">
      <w:pPr>
        <w:adjustRightInd w:val="0"/>
        <w:snapToGrid w:val="0"/>
        <w:spacing w:line="360" w:lineRule="auto"/>
        <w:rPr>
          <w:rFonts w:hint="eastAsia" w:ascii="宋体" w:hAnsi="宋体"/>
          <w:b/>
          <w:bCs/>
          <w:color w:val="auto"/>
          <w:szCs w:val="21"/>
        </w:rPr>
      </w:pPr>
      <w:r>
        <w:rPr>
          <w:rFonts w:hint="eastAsia" w:ascii="宋体" w:hAnsi="宋体"/>
          <w:b/>
          <w:bCs/>
          <w:color w:val="auto"/>
          <w:szCs w:val="21"/>
        </w:rPr>
        <w:t>37.成交信息的公布</w:t>
      </w:r>
    </w:p>
    <w:p w14:paraId="7DCA6762">
      <w:pPr>
        <w:pStyle w:val="11"/>
        <w:adjustRightInd w:val="0"/>
        <w:snapToGrid w:val="0"/>
        <w:spacing w:line="360" w:lineRule="auto"/>
        <w:ind w:firstLine="420" w:firstLineChars="200"/>
        <w:rPr>
          <w:rFonts w:hint="eastAsia" w:hAnsi="宋体"/>
          <w:color w:val="auto"/>
        </w:rPr>
      </w:pPr>
      <w:r>
        <w:rPr>
          <w:rFonts w:hint="eastAsia" w:hAnsi="宋体"/>
          <w:color w:val="auto"/>
        </w:rPr>
        <w:t>37.1成交供应商确定后2个工作日内，成交结果信息将在</w:t>
      </w:r>
      <w:r>
        <w:rPr>
          <w:rFonts w:hint="eastAsia" w:hAnsi="宋体"/>
          <w:b/>
          <w:color w:val="auto"/>
        </w:rPr>
        <w:t>磋商须知前附表</w:t>
      </w:r>
      <w:r>
        <w:rPr>
          <w:rFonts w:hint="eastAsia" w:hAnsi="宋体"/>
          <w:color w:val="auto"/>
        </w:rPr>
        <w:t>指定的媒体上公布。</w:t>
      </w:r>
    </w:p>
    <w:p w14:paraId="5D8E0279">
      <w:pPr>
        <w:adjustRightInd w:val="0"/>
        <w:snapToGrid w:val="0"/>
        <w:spacing w:line="360" w:lineRule="auto"/>
        <w:rPr>
          <w:rFonts w:hint="eastAsia" w:ascii="宋体" w:hAnsi="宋体"/>
          <w:b/>
          <w:bCs/>
          <w:color w:val="auto"/>
          <w:szCs w:val="21"/>
        </w:rPr>
      </w:pPr>
      <w:r>
        <w:rPr>
          <w:rFonts w:hint="eastAsia" w:ascii="宋体" w:hAnsi="宋体"/>
          <w:b/>
          <w:bCs/>
          <w:color w:val="auto"/>
          <w:szCs w:val="21"/>
        </w:rPr>
        <w:t>38.询问及质疑</w:t>
      </w:r>
    </w:p>
    <w:p w14:paraId="776AB18F">
      <w:pPr>
        <w:adjustRightInd w:val="0"/>
        <w:snapToGrid w:val="0"/>
        <w:spacing w:line="360" w:lineRule="auto"/>
        <w:ind w:firstLine="420" w:firstLineChars="200"/>
        <w:jc w:val="left"/>
        <w:rPr>
          <w:rFonts w:hint="eastAsia" w:hAnsi="宋体"/>
          <w:color w:val="auto"/>
        </w:rPr>
      </w:pPr>
      <w:r>
        <w:rPr>
          <w:rFonts w:hint="eastAsia" w:ascii="宋体" w:hAnsi="宋体"/>
          <w:color w:val="auto"/>
          <w:szCs w:val="21"/>
        </w:rPr>
        <w:t>38.1供应商对政府采购活动事项有疑问的，可以向采购人或采购代理机构提出询问。</w:t>
      </w:r>
    </w:p>
    <w:p w14:paraId="21685F6E">
      <w:pPr>
        <w:adjustRightInd w:val="0"/>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38.2供应商若认为磋商文件、采购过程和成交结果使自己的权益受到损害，可以按法律、行政法规及湖南省财政厅规范性文件规定向采购人或采购代理机构提出质疑。</w:t>
      </w:r>
    </w:p>
    <w:p w14:paraId="48EFAFD4">
      <w:pPr>
        <w:adjustRightInd w:val="0"/>
        <w:snapToGrid w:val="0"/>
        <w:spacing w:line="360" w:lineRule="auto"/>
        <w:rPr>
          <w:rFonts w:hint="eastAsia" w:ascii="宋体" w:hAnsi="宋体"/>
          <w:b/>
          <w:bCs/>
          <w:color w:val="auto"/>
          <w:szCs w:val="21"/>
        </w:rPr>
      </w:pPr>
      <w:r>
        <w:rPr>
          <w:rFonts w:hint="eastAsia" w:ascii="宋体" w:hAnsi="宋体"/>
          <w:b/>
          <w:bCs/>
          <w:color w:val="auto"/>
          <w:szCs w:val="21"/>
        </w:rPr>
        <w:t>39.成交通知</w:t>
      </w:r>
    </w:p>
    <w:p w14:paraId="0F5B751B">
      <w:pPr>
        <w:pStyle w:val="11"/>
        <w:adjustRightInd w:val="0"/>
        <w:snapToGrid w:val="0"/>
        <w:spacing w:line="360" w:lineRule="auto"/>
        <w:ind w:firstLine="420" w:firstLineChars="200"/>
        <w:rPr>
          <w:rFonts w:hint="eastAsia" w:hAnsi="宋体"/>
          <w:color w:val="auto"/>
        </w:rPr>
      </w:pPr>
      <w:r>
        <w:rPr>
          <w:rFonts w:hint="eastAsia" w:hAnsi="宋体"/>
          <w:color w:val="auto"/>
        </w:rPr>
        <w:t>39.1成交供应商确定后，采购人或采购代理机构将以书面形式向成交供应商发出成交通知书。成交通知书对采购人和成交供应商具有同等法律效力。</w:t>
      </w:r>
    </w:p>
    <w:p w14:paraId="3515E22F">
      <w:pPr>
        <w:pStyle w:val="11"/>
        <w:adjustRightInd w:val="0"/>
        <w:snapToGrid w:val="0"/>
        <w:spacing w:line="360" w:lineRule="auto"/>
        <w:ind w:firstLine="420" w:firstLineChars="200"/>
        <w:rPr>
          <w:rFonts w:hint="eastAsia" w:hAnsi="宋体"/>
          <w:color w:val="auto"/>
        </w:rPr>
      </w:pPr>
      <w:r>
        <w:rPr>
          <w:rFonts w:hint="eastAsia" w:hAnsi="宋体"/>
          <w:color w:val="auto"/>
        </w:rPr>
        <w:t>39.2 成交通知书是合同文件的组成部分。</w:t>
      </w:r>
    </w:p>
    <w:p w14:paraId="2A079593">
      <w:pPr>
        <w:tabs>
          <w:tab w:val="left" w:pos="7560"/>
          <w:tab w:val="left" w:pos="7740"/>
          <w:tab w:val="left" w:pos="7920"/>
        </w:tabs>
        <w:autoSpaceDN w:val="0"/>
        <w:adjustRightInd w:val="0"/>
        <w:snapToGrid w:val="0"/>
        <w:spacing w:line="360" w:lineRule="auto"/>
        <w:ind w:firstLine="420" w:firstLineChars="200"/>
        <w:rPr>
          <w:rFonts w:hint="eastAsia" w:ascii="宋体" w:hAnsi="宋体"/>
          <w:color w:val="auto"/>
          <w:szCs w:val="21"/>
        </w:rPr>
      </w:pPr>
      <w:r>
        <w:rPr>
          <w:rFonts w:hint="eastAsia" w:ascii="宋体" w:hAnsi="宋体" w:cs="宋体"/>
          <w:color w:val="auto"/>
          <w:kern w:val="0"/>
          <w:szCs w:val="21"/>
        </w:rPr>
        <w:t xml:space="preserve">39.3 </w:t>
      </w:r>
      <w:r>
        <w:rPr>
          <w:rFonts w:hint="eastAsia" w:ascii="宋体" w:hAnsi="宋体"/>
          <w:color w:val="auto"/>
          <w:szCs w:val="21"/>
        </w:rPr>
        <w:t>成交供应商在收到采购代理机构的成交通知书后10日内，应按照</w:t>
      </w:r>
      <w:r>
        <w:rPr>
          <w:rFonts w:hint="eastAsia" w:ascii="宋体" w:hAnsi="宋体"/>
          <w:b/>
          <w:color w:val="auto"/>
          <w:szCs w:val="21"/>
        </w:rPr>
        <w:t>磋商须知前附表</w:t>
      </w:r>
      <w:r>
        <w:rPr>
          <w:rFonts w:hint="eastAsia" w:ascii="宋体" w:hAnsi="宋体"/>
          <w:color w:val="auto"/>
          <w:szCs w:val="21"/>
        </w:rPr>
        <w:t>的规定，向采购人提交履约担保。联合体成交的，履约担保由联合体各方或联合体中牵头人的名义提交。</w:t>
      </w:r>
    </w:p>
    <w:p w14:paraId="0038046E">
      <w:pPr>
        <w:pStyle w:val="11"/>
        <w:adjustRightInd w:val="0"/>
        <w:snapToGrid w:val="0"/>
        <w:spacing w:line="360" w:lineRule="auto"/>
        <w:ind w:firstLine="420" w:firstLineChars="200"/>
        <w:rPr>
          <w:rFonts w:hint="eastAsia" w:hAnsi="宋体"/>
          <w:color w:val="auto"/>
        </w:rPr>
      </w:pPr>
      <w:r>
        <w:rPr>
          <w:rFonts w:hint="eastAsia" w:hAnsi="宋体"/>
          <w:color w:val="auto"/>
        </w:rPr>
        <w:t>39.4 成交供应商</w:t>
      </w:r>
      <w:r>
        <w:rPr>
          <w:rFonts w:hint="eastAsia" w:hAnsi="宋体"/>
          <w:color w:val="auto"/>
          <w:spacing w:val="4"/>
        </w:rPr>
        <w:t>没有按照本章第39.3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14:paraId="3E1F69ED">
      <w:pPr>
        <w:adjustRightInd w:val="0"/>
        <w:snapToGrid w:val="0"/>
        <w:spacing w:line="360" w:lineRule="auto"/>
        <w:rPr>
          <w:rFonts w:hint="eastAsia" w:ascii="宋体" w:hAnsi="宋体"/>
          <w:b/>
          <w:bCs/>
          <w:color w:val="auto"/>
          <w:szCs w:val="21"/>
        </w:rPr>
      </w:pPr>
      <w:r>
        <w:rPr>
          <w:rFonts w:hint="eastAsia" w:ascii="宋体" w:hAnsi="宋体"/>
          <w:b/>
          <w:bCs/>
          <w:color w:val="auto"/>
          <w:szCs w:val="21"/>
        </w:rPr>
        <w:t>40.签订合同</w:t>
      </w:r>
    </w:p>
    <w:p w14:paraId="3F71116F">
      <w:pPr>
        <w:pStyle w:val="11"/>
        <w:adjustRightInd w:val="0"/>
        <w:snapToGrid w:val="0"/>
        <w:spacing w:line="360" w:lineRule="auto"/>
        <w:ind w:firstLine="420" w:firstLineChars="200"/>
        <w:rPr>
          <w:rFonts w:hint="eastAsia" w:hAnsi="宋体"/>
          <w:color w:val="auto"/>
        </w:rPr>
      </w:pPr>
      <w:r>
        <w:rPr>
          <w:rFonts w:hint="eastAsia" w:hAnsi="宋体"/>
          <w:color w:val="auto"/>
        </w:rPr>
        <w:t>40.1成交供应商应当在成交通知书发出之日起30日内与采购人签订政府采购合同。</w:t>
      </w:r>
    </w:p>
    <w:p w14:paraId="76A831B5">
      <w:pPr>
        <w:pStyle w:val="11"/>
        <w:adjustRightInd w:val="0"/>
        <w:snapToGrid w:val="0"/>
        <w:spacing w:line="360" w:lineRule="auto"/>
        <w:ind w:firstLine="420" w:firstLineChars="200"/>
        <w:rPr>
          <w:rFonts w:hint="eastAsia" w:hAnsi="宋体"/>
          <w:color w:val="auto"/>
        </w:rPr>
      </w:pPr>
      <w:r>
        <w:rPr>
          <w:rFonts w:hint="eastAsia" w:hAnsi="宋体"/>
          <w:color w:val="auto"/>
        </w:rPr>
        <w:t>40.2磋商文件、成交供应商的响应文件等均为签订政府采购合同的依据。</w:t>
      </w:r>
    </w:p>
    <w:p w14:paraId="3E02263B">
      <w:pPr>
        <w:pStyle w:val="11"/>
        <w:adjustRightInd w:val="0"/>
        <w:snapToGrid w:val="0"/>
        <w:spacing w:line="360" w:lineRule="auto"/>
        <w:ind w:firstLine="420" w:firstLineChars="200"/>
        <w:rPr>
          <w:rFonts w:hAnsi="宋体"/>
          <w:color w:val="auto"/>
        </w:rPr>
      </w:pPr>
      <w:r>
        <w:rPr>
          <w:rFonts w:hint="eastAsia" w:hAnsi="宋体"/>
          <w:color w:val="auto"/>
        </w:rPr>
        <w:t>40.3 成交供应商应当按照合同约定履行义务。成交供应商不得向他人转让成交项目，也不得将成交项目分包后分别向他人转让。</w:t>
      </w:r>
    </w:p>
    <w:p w14:paraId="79CEE7DF">
      <w:pPr>
        <w:pStyle w:val="11"/>
        <w:adjustRightInd w:val="0"/>
        <w:snapToGrid w:val="0"/>
        <w:spacing w:line="360" w:lineRule="auto"/>
        <w:ind w:firstLine="420" w:firstLineChars="200"/>
        <w:rPr>
          <w:rFonts w:hint="eastAsia" w:hAnsi="宋体"/>
          <w:color w:val="auto"/>
        </w:rPr>
      </w:pPr>
      <w:r>
        <w:rPr>
          <w:rFonts w:hint="eastAsia" w:hAnsi="宋体"/>
          <w:color w:val="auto"/>
        </w:rPr>
        <w:t>40.4 成交供应商有下列情形之一的，责令限期改正，情节严重的，列入不良行为记录名单，在1至3年内禁止参加政府采购活动，并予以通报：</w:t>
      </w:r>
    </w:p>
    <w:p w14:paraId="23D80058">
      <w:pPr>
        <w:pStyle w:val="11"/>
        <w:adjustRightInd w:val="0"/>
        <w:snapToGrid w:val="0"/>
        <w:spacing w:line="360" w:lineRule="auto"/>
        <w:ind w:firstLine="420" w:firstLineChars="200"/>
        <w:rPr>
          <w:rFonts w:hint="eastAsia" w:hAnsi="宋体"/>
          <w:color w:val="auto"/>
        </w:rPr>
      </w:pPr>
      <w:r>
        <w:rPr>
          <w:rFonts w:hint="eastAsia" w:hAnsi="宋体"/>
          <w:color w:val="auto"/>
        </w:rPr>
        <w:t>（一）成交后无正当理由不与采购人签订合同的；</w:t>
      </w:r>
    </w:p>
    <w:p w14:paraId="78178954">
      <w:pPr>
        <w:pStyle w:val="11"/>
        <w:adjustRightInd w:val="0"/>
        <w:snapToGrid w:val="0"/>
        <w:spacing w:line="360" w:lineRule="auto"/>
        <w:ind w:firstLine="420" w:firstLineChars="200"/>
        <w:rPr>
          <w:rFonts w:hint="eastAsia" w:hAnsi="宋体"/>
          <w:color w:val="auto"/>
        </w:rPr>
      </w:pPr>
      <w:r>
        <w:rPr>
          <w:rFonts w:hint="eastAsia" w:hAnsi="宋体"/>
          <w:color w:val="auto"/>
        </w:rPr>
        <w:t>（二）未按照采购文件确定的事项签订政府采购合同，或者与采购人另行订立背离合同实质性内容的协议的；</w:t>
      </w:r>
    </w:p>
    <w:p w14:paraId="2854706D">
      <w:pPr>
        <w:pStyle w:val="11"/>
        <w:adjustRightInd w:val="0"/>
        <w:snapToGrid w:val="0"/>
        <w:spacing w:line="360" w:lineRule="auto"/>
        <w:ind w:firstLine="420" w:firstLineChars="200"/>
        <w:rPr>
          <w:rFonts w:hint="eastAsia" w:hAnsi="宋体"/>
          <w:color w:val="auto"/>
        </w:rPr>
      </w:pPr>
      <w:r>
        <w:rPr>
          <w:rFonts w:hint="eastAsia" w:hAnsi="宋体"/>
          <w:color w:val="auto"/>
        </w:rPr>
        <w:t>（三）拒绝履行合同义务的；</w:t>
      </w:r>
    </w:p>
    <w:p w14:paraId="1A2EFCAD">
      <w:pPr>
        <w:pStyle w:val="11"/>
        <w:adjustRightInd w:val="0"/>
        <w:snapToGrid w:val="0"/>
        <w:spacing w:line="360" w:lineRule="auto"/>
        <w:ind w:firstLine="420" w:firstLineChars="200"/>
        <w:rPr>
          <w:rFonts w:hint="eastAsia"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14:paraId="5B26CABE">
      <w:pPr>
        <w:adjustRightInd w:val="0"/>
        <w:snapToGrid w:val="0"/>
        <w:spacing w:line="360" w:lineRule="auto"/>
        <w:rPr>
          <w:rFonts w:hint="eastAsia" w:ascii="黑体" w:hAnsi="宋体" w:eastAsia="黑体"/>
          <w:color w:val="auto"/>
          <w:sz w:val="24"/>
        </w:rPr>
      </w:pPr>
      <w:r>
        <w:rPr>
          <w:rFonts w:hint="eastAsia" w:ascii="黑体" w:hAnsi="宋体" w:eastAsia="黑体"/>
          <w:color w:val="auto"/>
          <w:sz w:val="24"/>
        </w:rPr>
        <w:t>七、其他规定</w:t>
      </w:r>
    </w:p>
    <w:p w14:paraId="04FF747B">
      <w:pPr>
        <w:adjustRightInd w:val="0"/>
        <w:snapToGrid w:val="0"/>
        <w:spacing w:line="360" w:lineRule="auto"/>
        <w:jc w:val="left"/>
        <w:rPr>
          <w:rFonts w:hint="eastAsia" w:ascii="宋体" w:hAnsi="宋体"/>
          <w:b/>
          <w:color w:val="auto"/>
          <w:szCs w:val="21"/>
        </w:rPr>
      </w:pPr>
      <w:r>
        <w:rPr>
          <w:rFonts w:hint="eastAsia" w:ascii="宋体" w:hAnsi="宋体"/>
          <w:b/>
          <w:color w:val="auto"/>
          <w:szCs w:val="21"/>
        </w:rPr>
        <w:t>41.1采购代理服务费</w:t>
      </w:r>
    </w:p>
    <w:p w14:paraId="638B6207">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41.1采购代理机构应按</w:t>
      </w:r>
      <w:r>
        <w:rPr>
          <w:rFonts w:hint="eastAsia" w:ascii="宋体" w:hAnsi="宋体"/>
          <w:b/>
          <w:color w:val="auto"/>
          <w:szCs w:val="21"/>
        </w:rPr>
        <w:t>磋商须知前附表</w:t>
      </w:r>
      <w:r>
        <w:rPr>
          <w:rFonts w:hint="eastAsia" w:ascii="宋体" w:hAnsi="宋体"/>
          <w:color w:val="auto"/>
          <w:szCs w:val="21"/>
        </w:rPr>
        <w:t>规定收取采购代理服务费。</w:t>
      </w:r>
    </w:p>
    <w:p w14:paraId="6CD8DD48">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41.2集中采购机构不得收取采购代理服务费。</w:t>
      </w:r>
    </w:p>
    <w:p w14:paraId="0FA5C11E">
      <w:pPr>
        <w:tabs>
          <w:tab w:val="left" w:pos="420"/>
          <w:tab w:val="left" w:pos="7560"/>
          <w:tab w:val="left" w:pos="7740"/>
          <w:tab w:val="left" w:pos="7920"/>
        </w:tabs>
        <w:adjustRightInd w:val="0"/>
        <w:snapToGrid w:val="0"/>
        <w:spacing w:line="360" w:lineRule="auto"/>
        <w:rPr>
          <w:rFonts w:hint="eastAsia" w:hAnsi="宋体"/>
          <w:b/>
          <w:color w:val="auto"/>
        </w:rPr>
      </w:pPr>
      <w:r>
        <w:rPr>
          <w:rFonts w:hint="eastAsia" w:ascii="宋体" w:hAnsi="宋体"/>
          <w:b/>
          <w:color w:val="auto"/>
          <w:szCs w:val="21"/>
        </w:rPr>
        <w:t>42.</w:t>
      </w:r>
      <w:r>
        <w:rPr>
          <w:rFonts w:hint="eastAsia" w:hAnsi="宋体"/>
          <w:b/>
          <w:color w:val="auto"/>
        </w:rPr>
        <w:t xml:space="preserve"> 其他规定</w:t>
      </w:r>
    </w:p>
    <w:p w14:paraId="0D3CC45C">
      <w:pPr>
        <w:tabs>
          <w:tab w:val="left" w:pos="420"/>
          <w:tab w:val="left" w:pos="7560"/>
          <w:tab w:val="left" w:pos="7740"/>
          <w:tab w:val="left" w:pos="7920"/>
        </w:tabs>
        <w:adjustRightInd w:val="0"/>
        <w:snapToGrid w:val="0"/>
        <w:spacing w:line="360" w:lineRule="auto"/>
        <w:ind w:firstLine="420" w:firstLineChars="200"/>
        <w:rPr>
          <w:rFonts w:hint="eastAsia" w:ascii="宋体" w:hAnsi="宋体"/>
          <w:color w:val="auto"/>
          <w:szCs w:val="21"/>
        </w:rPr>
      </w:pPr>
      <w:r>
        <w:rPr>
          <w:rFonts w:hint="eastAsia" w:ascii="宋体" w:hAnsi="宋体"/>
          <w:color w:val="auto"/>
        </w:rPr>
        <w:t>42.1</w:t>
      </w:r>
      <w:r>
        <w:rPr>
          <w:rFonts w:hint="eastAsia" w:ascii="宋体" w:hAnsi="宋体"/>
          <w:color w:val="auto"/>
          <w:szCs w:val="21"/>
        </w:rPr>
        <w:t>磋商文件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磋商须知前附表</w:t>
      </w:r>
      <w:r>
        <w:rPr>
          <w:rFonts w:hint="eastAsia" w:ascii="宋体" w:hAnsi="宋体"/>
          <w:color w:val="auto"/>
          <w:szCs w:val="21"/>
        </w:rPr>
        <w:t>。</w:t>
      </w:r>
    </w:p>
    <w:p w14:paraId="7FA42ED0">
      <w:pPr>
        <w:tabs>
          <w:tab w:val="left" w:pos="420"/>
          <w:tab w:val="left" w:pos="7560"/>
          <w:tab w:val="left" w:pos="7740"/>
          <w:tab w:val="left" w:pos="7920"/>
        </w:tabs>
        <w:adjustRightInd w:val="0"/>
        <w:snapToGrid w:val="0"/>
        <w:spacing w:line="360" w:lineRule="auto"/>
        <w:ind w:firstLine="643" w:firstLineChars="200"/>
        <w:jc w:val="both"/>
        <w:rPr>
          <w:rFonts w:hint="eastAsia" w:ascii="黑体" w:eastAsia="黑体"/>
          <w:b/>
          <w:color w:val="auto"/>
          <w:sz w:val="32"/>
          <w:szCs w:val="32"/>
        </w:rPr>
      </w:pPr>
    </w:p>
    <w:p w14:paraId="0493AE4E">
      <w:pPr>
        <w:tabs>
          <w:tab w:val="left" w:pos="420"/>
          <w:tab w:val="left" w:pos="7560"/>
          <w:tab w:val="left" w:pos="7740"/>
          <w:tab w:val="left" w:pos="7920"/>
        </w:tabs>
        <w:adjustRightInd w:val="0"/>
        <w:snapToGrid w:val="0"/>
        <w:spacing w:line="360" w:lineRule="auto"/>
        <w:ind w:firstLine="643" w:firstLineChars="200"/>
        <w:jc w:val="both"/>
        <w:rPr>
          <w:rFonts w:hint="eastAsia" w:ascii="黑体" w:eastAsia="黑体"/>
          <w:b/>
          <w:color w:val="auto"/>
          <w:sz w:val="32"/>
          <w:szCs w:val="32"/>
        </w:rPr>
      </w:pPr>
    </w:p>
    <w:p w14:paraId="1F19E42B">
      <w:pPr>
        <w:tabs>
          <w:tab w:val="left" w:pos="420"/>
          <w:tab w:val="left" w:pos="7560"/>
          <w:tab w:val="left" w:pos="7740"/>
          <w:tab w:val="left" w:pos="7920"/>
        </w:tabs>
        <w:adjustRightInd w:val="0"/>
        <w:snapToGrid w:val="0"/>
        <w:spacing w:line="360" w:lineRule="auto"/>
        <w:ind w:firstLine="643" w:firstLineChars="200"/>
        <w:jc w:val="both"/>
        <w:rPr>
          <w:rFonts w:hint="eastAsia" w:ascii="黑体" w:eastAsia="黑体"/>
          <w:b/>
          <w:color w:val="auto"/>
          <w:sz w:val="32"/>
          <w:szCs w:val="32"/>
        </w:rPr>
      </w:pPr>
    </w:p>
    <w:p w14:paraId="314A9E14">
      <w:pPr>
        <w:tabs>
          <w:tab w:val="left" w:pos="420"/>
          <w:tab w:val="left" w:pos="7560"/>
          <w:tab w:val="left" w:pos="7740"/>
          <w:tab w:val="left" w:pos="7920"/>
        </w:tabs>
        <w:adjustRightInd w:val="0"/>
        <w:snapToGrid w:val="0"/>
        <w:spacing w:line="360" w:lineRule="auto"/>
        <w:ind w:firstLine="643" w:firstLineChars="200"/>
        <w:jc w:val="both"/>
        <w:rPr>
          <w:rFonts w:hint="eastAsia" w:ascii="黑体" w:eastAsia="黑体"/>
          <w:b/>
          <w:color w:val="auto"/>
          <w:sz w:val="32"/>
          <w:szCs w:val="32"/>
        </w:rPr>
      </w:pPr>
    </w:p>
    <w:p w14:paraId="184F62D3">
      <w:pPr>
        <w:pStyle w:val="2"/>
        <w:bidi w:val="0"/>
        <w:rPr>
          <w:rFonts w:hint="eastAsia" w:ascii="黑体" w:hAnsi="黑体" w:eastAsia="黑体" w:cs="黑体"/>
          <w:sz w:val="32"/>
          <w:szCs w:val="32"/>
        </w:rPr>
      </w:pPr>
      <w:r>
        <w:rPr>
          <w:rFonts w:hint="eastAsia" w:ascii="黑体" w:hAnsi="黑体" w:eastAsia="黑体" w:cs="黑体"/>
          <w:sz w:val="32"/>
          <w:szCs w:val="32"/>
        </w:rPr>
        <w:t>第三章  政府采购合同格式条款</w:t>
      </w:r>
      <w:bookmarkEnd w:id="17"/>
    </w:p>
    <w:p w14:paraId="3509F39F">
      <w:pPr>
        <w:spacing w:before="156" w:beforeLines="50" w:line="360" w:lineRule="auto"/>
        <w:ind w:right="23" w:rightChars="11"/>
        <w:jc w:val="center"/>
        <w:rPr>
          <w:rFonts w:hint="eastAsia" w:ascii="黑体" w:hAnsi="宋体" w:eastAsia="黑体"/>
          <w:b/>
          <w:color w:val="auto"/>
          <w:sz w:val="32"/>
          <w:szCs w:val="32"/>
        </w:rPr>
      </w:pPr>
      <w:r>
        <w:rPr>
          <w:rFonts w:hint="eastAsia" w:ascii="黑体" w:hAnsi="宋体" w:eastAsia="黑体"/>
          <w:b/>
          <w:color w:val="auto"/>
          <w:sz w:val="32"/>
          <w:szCs w:val="32"/>
        </w:rPr>
        <w:t>政府采购合同协议书</w:t>
      </w:r>
    </w:p>
    <w:p w14:paraId="2BE805D4">
      <w:pPr>
        <w:pStyle w:val="32"/>
        <w:spacing w:line="360" w:lineRule="auto"/>
        <w:jc w:val="center"/>
        <w:rPr>
          <w:rFonts w:eastAsia="黑体"/>
          <w:color w:val="auto"/>
          <w:sz w:val="21"/>
          <w:szCs w:val="21"/>
        </w:rPr>
      </w:pPr>
      <w:r>
        <w:rPr>
          <w:rFonts w:hint="eastAsia" w:ascii="黑体" w:hAnsi="宋体" w:eastAsia="黑体"/>
          <w:b/>
          <w:color w:val="auto"/>
        </w:rPr>
        <w:t>（模板文件，具体以实际签订为准）</w:t>
      </w:r>
    </w:p>
    <w:p w14:paraId="3F2E6647">
      <w:pPr>
        <w:spacing w:before="156" w:beforeLines="50" w:line="360" w:lineRule="auto"/>
        <w:ind w:right="23" w:rightChars="11"/>
        <w:jc w:val="center"/>
        <w:rPr>
          <w:rFonts w:hint="eastAsia" w:ascii="宋体" w:hAnsi="宋体"/>
          <w:color w:val="auto"/>
          <w:szCs w:val="21"/>
        </w:rPr>
      </w:pPr>
    </w:p>
    <w:p w14:paraId="0795B548">
      <w:pPr>
        <w:adjustRightInd w:val="0"/>
        <w:snapToGrid w:val="0"/>
        <w:spacing w:before="120" w:beforeLines="50" w:line="360" w:lineRule="auto"/>
        <w:ind w:firstLine="5460" w:firstLineChars="2600"/>
        <w:rPr>
          <w:rFonts w:hint="eastAsia" w:ascii="宋体" w:hAnsi="宋体" w:eastAsia="宋体" w:cs="宋体"/>
          <w:b/>
          <w:color w:val="auto"/>
          <w:szCs w:val="21"/>
          <w:highlight w:val="none"/>
        </w:rPr>
      </w:pPr>
      <w:bookmarkStart w:id="19" w:name="_Toc24620"/>
      <w:r>
        <w:rPr>
          <w:rFonts w:hint="eastAsia" w:ascii="宋体" w:hAnsi="宋体" w:eastAsia="宋体" w:cs="宋体"/>
          <w:color w:val="auto"/>
          <w:szCs w:val="21"/>
          <w:highlight w:val="none"/>
        </w:rPr>
        <w:t>采购合同编号：</w:t>
      </w:r>
      <w:r>
        <w:rPr>
          <w:rFonts w:hint="eastAsia" w:ascii="宋体" w:hAnsi="宋体" w:eastAsia="宋体" w:cs="宋体"/>
          <w:color w:val="auto"/>
          <w:szCs w:val="21"/>
          <w:highlight w:val="none"/>
          <w:u w:val="single"/>
        </w:rPr>
        <w:t xml:space="preserve">                 </w:t>
      </w:r>
    </w:p>
    <w:p w14:paraId="6859E9C4">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采购人（全称）：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（甲方）</w:t>
      </w:r>
    </w:p>
    <w:p w14:paraId="090B792B">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供应商（全称）：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（乙方）</w:t>
      </w:r>
    </w:p>
    <w:p w14:paraId="2EB81384">
      <w:pPr>
        <w:pStyle w:val="10"/>
        <w:adjustRightInd w:val="0"/>
        <w:snapToGrid w:val="0"/>
        <w:spacing w:before="120" w:beforeLines="50" w:after="0" w:line="360" w:lineRule="auto"/>
        <w:ind w:left="0" w:leftChars="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为了保护甲、乙双方合法权益，根据《中华人民共和国民法典》、《中华人民共和国政府采购法》及其他有关法律、法规、规章，双方签订本合同协议书。</w:t>
      </w:r>
    </w:p>
    <w:p w14:paraId="5E98B0A3">
      <w:pPr>
        <w:pStyle w:val="4"/>
        <w:adjustRightInd w:val="0"/>
        <w:snapToGrid w:val="0"/>
        <w:spacing w:before="50" w:after="0" w:line="360" w:lineRule="auto"/>
        <w:rPr>
          <w:rFonts w:hint="eastAsia" w:ascii="宋体" w:hAnsi="宋体" w:eastAsia="宋体" w:cs="宋体"/>
          <w:color w:val="auto"/>
          <w:sz w:val="24"/>
          <w:szCs w:val="24"/>
          <w:highlight w:val="none"/>
        </w:rPr>
      </w:pPr>
      <w:bookmarkStart w:id="20" w:name="_Toc54008075"/>
      <w:bookmarkStart w:id="21" w:name="_Toc34637779"/>
      <w:bookmarkStart w:id="22" w:name="_Toc108537863"/>
      <w:bookmarkStart w:id="23" w:name="_Toc54008009"/>
      <w:bookmarkStart w:id="24" w:name="_Toc128586021"/>
      <w:bookmarkStart w:id="25" w:name="_Toc54008866"/>
      <w:bookmarkStart w:id="26" w:name="_Toc54009398"/>
      <w:r>
        <w:rPr>
          <w:rFonts w:hint="eastAsia" w:ascii="宋体" w:hAnsi="宋体" w:eastAsia="宋体" w:cs="宋体"/>
          <w:color w:val="auto"/>
          <w:sz w:val="24"/>
          <w:szCs w:val="24"/>
          <w:highlight w:val="none"/>
        </w:rPr>
        <w:t>1.项目信息</w:t>
      </w:r>
      <w:bookmarkEnd w:id="20"/>
      <w:bookmarkEnd w:id="21"/>
      <w:bookmarkEnd w:id="22"/>
      <w:bookmarkEnd w:id="23"/>
      <w:bookmarkEnd w:id="24"/>
      <w:bookmarkEnd w:id="25"/>
      <w:bookmarkEnd w:id="26"/>
    </w:p>
    <w:p w14:paraId="46198990">
      <w:pPr>
        <w:pStyle w:val="10"/>
        <w:adjustRightInd w:val="0"/>
        <w:snapToGrid w:val="0"/>
        <w:spacing w:before="120" w:beforeLines="50" w:after="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（1）采购项目名称：</w:t>
      </w:r>
      <w:r>
        <w:rPr>
          <w:rFonts w:hint="eastAsia" w:ascii="宋体" w:hAnsi="宋体" w:eastAsia="宋体" w:cs="宋体"/>
          <w:color w:val="auto"/>
          <w:szCs w:val="21"/>
          <w:highlight w:val="none"/>
          <w:u w:val="single"/>
        </w:rPr>
        <w:t xml:space="preserve">                                          </w:t>
      </w:r>
    </w:p>
    <w:p w14:paraId="6603D2B6">
      <w:pPr>
        <w:pStyle w:val="10"/>
        <w:adjustRightInd w:val="0"/>
        <w:snapToGrid w:val="0"/>
        <w:spacing w:before="120" w:beforeLines="50" w:after="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（2）采购计划编号：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323D8EEA">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（3）项目内容：</w:t>
      </w:r>
      <w:r>
        <w:rPr>
          <w:rFonts w:hint="eastAsia" w:ascii="宋体" w:hAnsi="宋体" w:eastAsia="宋体" w:cs="宋体"/>
          <w:color w:val="auto"/>
          <w:szCs w:val="21"/>
          <w:highlight w:val="none"/>
          <w:u w:val="single"/>
        </w:rPr>
        <w:t xml:space="preserve">                             </w:t>
      </w:r>
    </w:p>
    <w:p w14:paraId="0263C6E2">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（4）项目负责人：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75C33C67">
      <w:pPr>
        <w:pStyle w:val="4"/>
        <w:adjustRightInd w:val="0"/>
        <w:snapToGrid w:val="0"/>
        <w:spacing w:before="50" w:after="0" w:line="360" w:lineRule="auto"/>
        <w:rPr>
          <w:rFonts w:hint="eastAsia" w:ascii="宋体" w:hAnsi="宋体" w:eastAsia="宋体" w:cs="宋体"/>
          <w:color w:val="auto"/>
          <w:sz w:val="24"/>
          <w:szCs w:val="24"/>
          <w:highlight w:val="none"/>
        </w:rPr>
      </w:pPr>
      <w:bookmarkStart w:id="27" w:name="_Toc54009399"/>
      <w:bookmarkStart w:id="28" w:name="_Toc54008010"/>
      <w:bookmarkStart w:id="29" w:name="_Toc54008867"/>
      <w:bookmarkStart w:id="30" w:name="_Toc34637780"/>
      <w:bookmarkStart w:id="31" w:name="_Toc108537864"/>
      <w:bookmarkStart w:id="32" w:name="_Toc54008076"/>
      <w:bookmarkStart w:id="33" w:name="_Toc128586022"/>
      <w:r>
        <w:rPr>
          <w:rFonts w:hint="eastAsia" w:ascii="宋体" w:hAnsi="宋体" w:eastAsia="宋体" w:cs="宋体"/>
          <w:color w:val="auto"/>
          <w:sz w:val="24"/>
          <w:szCs w:val="24"/>
          <w:highlight w:val="none"/>
        </w:rPr>
        <w:t>2.合同金额</w:t>
      </w:r>
      <w:bookmarkEnd w:id="27"/>
      <w:bookmarkEnd w:id="28"/>
      <w:bookmarkEnd w:id="29"/>
      <w:bookmarkEnd w:id="30"/>
      <w:bookmarkEnd w:id="31"/>
      <w:bookmarkEnd w:id="32"/>
      <w:bookmarkEnd w:id="33"/>
    </w:p>
    <w:p w14:paraId="0AD43628">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（1）合同金额小写：</w:t>
      </w:r>
      <w:r>
        <w:rPr>
          <w:rFonts w:hint="eastAsia" w:ascii="宋体" w:hAnsi="宋体" w:eastAsia="宋体" w:cs="宋体"/>
          <w:color w:val="auto"/>
          <w:szCs w:val="21"/>
          <w:highlight w:val="none"/>
          <w:u w:val="single"/>
        </w:rPr>
        <w:t xml:space="preserve">                      </w:t>
      </w:r>
    </w:p>
    <w:p w14:paraId="08B7178D">
      <w:pPr>
        <w:adjustRightInd w:val="0"/>
        <w:snapToGrid w:val="0"/>
        <w:spacing w:before="120" w:beforeLines="50" w:line="360" w:lineRule="auto"/>
        <w:ind w:firstLine="1260" w:firstLineChars="6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p>
    <w:p w14:paraId="2DE36B57">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（2）具体标的见附件。</w:t>
      </w:r>
    </w:p>
    <w:p w14:paraId="6FD9A168">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（3）合同价格形式：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24D185E7">
      <w:pPr>
        <w:pStyle w:val="4"/>
        <w:adjustRightInd w:val="0"/>
        <w:snapToGrid w:val="0"/>
        <w:spacing w:before="50" w:after="0" w:line="360" w:lineRule="auto"/>
        <w:rPr>
          <w:rFonts w:hint="eastAsia" w:ascii="宋体" w:hAnsi="宋体" w:eastAsia="宋体" w:cs="宋体"/>
          <w:color w:val="auto"/>
          <w:sz w:val="24"/>
          <w:szCs w:val="24"/>
          <w:highlight w:val="none"/>
          <w:u w:val="single"/>
        </w:rPr>
      </w:pPr>
      <w:bookmarkStart w:id="34" w:name="_Toc34637781"/>
      <w:bookmarkStart w:id="35" w:name="_Toc54009400"/>
      <w:bookmarkStart w:id="36" w:name="_Toc128586023"/>
      <w:bookmarkStart w:id="37" w:name="_Toc108537865"/>
      <w:bookmarkStart w:id="38" w:name="_Toc54008868"/>
      <w:bookmarkStart w:id="39" w:name="_Toc54008011"/>
      <w:bookmarkStart w:id="40" w:name="_Toc54008077"/>
      <w:r>
        <w:rPr>
          <w:rFonts w:hint="eastAsia" w:ascii="宋体" w:hAnsi="宋体" w:eastAsia="宋体" w:cs="宋体"/>
          <w:color w:val="auto"/>
          <w:sz w:val="24"/>
          <w:szCs w:val="24"/>
          <w:highlight w:val="none"/>
        </w:rPr>
        <w:t>3.履行合同的时间、地点及方式</w:t>
      </w:r>
      <w:bookmarkEnd w:id="34"/>
      <w:bookmarkEnd w:id="35"/>
      <w:bookmarkEnd w:id="36"/>
      <w:bookmarkEnd w:id="37"/>
      <w:bookmarkEnd w:id="38"/>
      <w:bookmarkEnd w:id="39"/>
      <w:bookmarkEnd w:id="40"/>
    </w:p>
    <w:p w14:paraId="785DA153">
      <w:pPr>
        <w:adjustRightInd w:val="0"/>
        <w:snapToGrid w:val="0"/>
        <w:spacing w:before="120" w:beforeLines="50"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起始日期：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日，完成日期：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日。总日历天数：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天。</w:t>
      </w:r>
    </w:p>
    <w:p w14:paraId="4B5D0300">
      <w:pPr>
        <w:adjustRightInd w:val="0"/>
        <w:snapToGrid w:val="0"/>
        <w:spacing w:before="120" w:beforeLines="50" w:line="360" w:lineRule="auto"/>
        <w:ind w:firstLine="630" w:firstLineChars="3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地点</w:t>
      </w: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u w:val="single"/>
        </w:rPr>
        <w:t xml:space="preserve">                             </w:t>
      </w:r>
    </w:p>
    <w:p w14:paraId="2FD55FED">
      <w:pPr>
        <w:adjustRightInd w:val="0"/>
        <w:snapToGrid w:val="0"/>
        <w:spacing w:before="120" w:beforeLines="50"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w:t>
      </w:r>
      <w:r>
        <w:rPr>
          <w:rFonts w:hint="eastAsia" w:ascii="宋体" w:hAnsi="宋体" w:eastAsia="宋体" w:cs="宋体"/>
          <w:color w:val="auto"/>
          <w:szCs w:val="21"/>
          <w:highlight w:val="none"/>
          <w:u w:val="single"/>
        </w:rPr>
        <w:t xml:space="preserve">                             </w:t>
      </w:r>
    </w:p>
    <w:p w14:paraId="591AE111">
      <w:pPr>
        <w:pStyle w:val="4"/>
        <w:adjustRightInd w:val="0"/>
        <w:snapToGrid w:val="0"/>
        <w:spacing w:before="50" w:after="0" w:line="360" w:lineRule="auto"/>
        <w:rPr>
          <w:rFonts w:hint="eastAsia" w:ascii="宋体" w:hAnsi="宋体" w:eastAsia="宋体" w:cs="宋体"/>
          <w:color w:val="auto"/>
          <w:sz w:val="24"/>
          <w:szCs w:val="24"/>
          <w:highlight w:val="none"/>
        </w:rPr>
      </w:pPr>
      <w:bookmarkStart w:id="41" w:name="_Toc54008869"/>
      <w:bookmarkStart w:id="42" w:name="_Toc54008012"/>
      <w:bookmarkStart w:id="43" w:name="_Toc34637782"/>
      <w:bookmarkStart w:id="44" w:name="_Toc54009401"/>
      <w:bookmarkStart w:id="45" w:name="_Toc128586024"/>
      <w:bookmarkStart w:id="46" w:name="_Toc108537866"/>
      <w:bookmarkStart w:id="47" w:name="_Toc54008078"/>
      <w:r>
        <w:rPr>
          <w:rFonts w:hint="eastAsia" w:ascii="宋体" w:hAnsi="宋体" w:eastAsia="宋体" w:cs="宋体"/>
          <w:color w:val="auto"/>
          <w:sz w:val="24"/>
          <w:szCs w:val="24"/>
          <w:highlight w:val="none"/>
        </w:rPr>
        <w:t>4.付款</w:t>
      </w:r>
      <w:bookmarkEnd w:id="41"/>
      <w:bookmarkEnd w:id="42"/>
      <w:bookmarkEnd w:id="43"/>
      <w:bookmarkEnd w:id="44"/>
      <w:bookmarkEnd w:id="45"/>
      <w:bookmarkEnd w:id="46"/>
      <w:bookmarkEnd w:id="47"/>
    </w:p>
    <w:p w14:paraId="026999B9">
      <w:pPr>
        <w:adjustRightInd w:val="0"/>
        <w:snapToGrid w:val="0"/>
        <w:spacing w:before="120" w:beforeLines="50" w:line="360" w:lineRule="auto"/>
        <w:ind w:firstLine="630" w:firstLineChars="3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2A949AE1">
      <w:pPr>
        <w:adjustRightInd w:val="0"/>
        <w:snapToGrid w:val="0"/>
        <w:spacing w:before="120" w:beforeLines="50"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2、预付款根据采购文件的约定，在合同签订前提交不超过合同金额</w:t>
      </w:r>
      <w:r>
        <w:rPr>
          <w:rFonts w:hint="eastAsia" w:ascii="宋体" w:hAnsi="宋体" w:eastAsia="宋体" w:cs="宋体"/>
          <w:bCs/>
          <w:color w:val="auto"/>
          <w:szCs w:val="21"/>
          <w:highlight w:val="none"/>
          <w:lang w:val="en-US" w:eastAsia="zh-CN"/>
        </w:rPr>
        <w:t xml:space="preserve"> </w:t>
      </w:r>
      <w:r>
        <w:rPr>
          <w:rFonts w:hint="eastAsia" w:ascii="宋体" w:hAnsi="宋体" w:eastAsia="宋体" w:cs="宋体"/>
          <w:bCs/>
          <w:color w:val="auto"/>
          <w:szCs w:val="21"/>
          <w:highlight w:val="none"/>
        </w:rPr>
        <w:t>%的履约担保。</w:t>
      </w:r>
    </w:p>
    <w:p w14:paraId="0BF6AC98">
      <w:pPr>
        <w:pStyle w:val="4"/>
        <w:adjustRightInd w:val="0"/>
        <w:snapToGrid w:val="0"/>
        <w:spacing w:before="50" w:after="0" w:line="360" w:lineRule="auto"/>
        <w:rPr>
          <w:rFonts w:hint="eastAsia" w:ascii="宋体" w:hAnsi="宋体" w:eastAsia="宋体" w:cs="宋体"/>
          <w:color w:val="auto"/>
          <w:sz w:val="24"/>
          <w:szCs w:val="24"/>
          <w:highlight w:val="none"/>
        </w:rPr>
      </w:pPr>
      <w:bookmarkStart w:id="48" w:name="_Toc108537867"/>
      <w:bookmarkStart w:id="49" w:name="_Toc54008013"/>
      <w:bookmarkStart w:id="50" w:name="_Toc54008079"/>
      <w:bookmarkStart w:id="51" w:name="_Toc54008870"/>
      <w:bookmarkStart w:id="52" w:name="_Toc34637783"/>
      <w:bookmarkStart w:id="53" w:name="_Toc54009402"/>
      <w:bookmarkStart w:id="54" w:name="_Toc128586025"/>
      <w:r>
        <w:rPr>
          <w:rFonts w:hint="eastAsia" w:ascii="宋体" w:hAnsi="宋体" w:eastAsia="宋体" w:cs="宋体"/>
          <w:color w:val="auto"/>
          <w:sz w:val="24"/>
          <w:szCs w:val="24"/>
          <w:highlight w:val="none"/>
        </w:rPr>
        <w:t>5.解决合同纠纷方式</w:t>
      </w:r>
      <w:bookmarkEnd w:id="48"/>
      <w:bookmarkEnd w:id="49"/>
      <w:bookmarkEnd w:id="50"/>
      <w:bookmarkEnd w:id="51"/>
      <w:bookmarkEnd w:id="52"/>
      <w:bookmarkEnd w:id="53"/>
      <w:bookmarkEnd w:id="54"/>
    </w:p>
    <w:p w14:paraId="22FD64E2">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首先通过双方协商解决，协商解决不成，则通过以下途径之一解决纠纷：</w:t>
      </w:r>
    </w:p>
    <w:p w14:paraId="03044D2B">
      <w:pPr>
        <w:adjustRightInd w:val="0"/>
        <w:snapToGrid w:val="0"/>
        <w:spacing w:before="120" w:beforeLines="50" w:line="360" w:lineRule="auto"/>
        <w:ind w:firstLine="840" w:firstLineChars="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提请仲裁       □ 向人民法院提起诉讼</w:t>
      </w:r>
    </w:p>
    <w:p w14:paraId="146D5729">
      <w:pPr>
        <w:pStyle w:val="4"/>
        <w:adjustRightInd w:val="0"/>
        <w:snapToGrid w:val="0"/>
        <w:spacing w:before="50" w:after="0" w:line="360" w:lineRule="auto"/>
        <w:rPr>
          <w:rFonts w:hint="eastAsia" w:ascii="宋体" w:hAnsi="宋体" w:eastAsia="宋体" w:cs="宋体"/>
          <w:color w:val="auto"/>
          <w:sz w:val="24"/>
          <w:szCs w:val="24"/>
          <w:highlight w:val="none"/>
        </w:rPr>
      </w:pPr>
      <w:bookmarkStart w:id="55" w:name="_Toc108537868"/>
      <w:bookmarkStart w:id="56" w:name="_Toc54008080"/>
      <w:bookmarkStart w:id="57" w:name="_Toc128586026"/>
      <w:bookmarkStart w:id="58" w:name="_Toc54008014"/>
      <w:bookmarkStart w:id="59" w:name="_Toc54008871"/>
      <w:bookmarkStart w:id="60" w:name="_Toc34637784"/>
      <w:bookmarkStart w:id="61" w:name="_Toc54009403"/>
      <w:r>
        <w:rPr>
          <w:rFonts w:hint="eastAsia" w:ascii="宋体" w:hAnsi="宋体" w:eastAsia="宋体" w:cs="宋体"/>
          <w:color w:val="auto"/>
          <w:sz w:val="24"/>
          <w:szCs w:val="24"/>
          <w:highlight w:val="none"/>
        </w:rPr>
        <w:t>6.组成合同的文件</w:t>
      </w:r>
      <w:bookmarkEnd w:id="55"/>
      <w:bookmarkEnd w:id="56"/>
      <w:bookmarkEnd w:id="57"/>
      <w:bookmarkEnd w:id="58"/>
      <w:bookmarkEnd w:id="59"/>
      <w:bookmarkEnd w:id="60"/>
      <w:bookmarkEnd w:id="61"/>
    </w:p>
    <w:p w14:paraId="29A00648">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本协议书与下列文件一起构成合同文件，如下述文件之间有任何抵触、矛盾或歧义，应按以下顺序解释：</w:t>
      </w:r>
    </w:p>
    <w:p w14:paraId="08DEDEF2">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（1）在采购或合同履行过程中乙方作出的承诺以及双方协商达成的变更或补充协议</w:t>
      </w:r>
    </w:p>
    <w:p w14:paraId="6B11EEC3">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（2）本合同协议书</w:t>
      </w:r>
    </w:p>
    <w:p w14:paraId="42D84B59">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（3）成交通知书</w:t>
      </w:r>
    </w:p>
    <w:p w14:paraId="46FF8EFB">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w:t>
      </w:r>
    </w:p>
    <w:p w14:paraId="408349C1">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（5）政府采购合同</w:t>
      </w:r>
    </w:p>
    <w:p w14:paraId="592D7DD0">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（6）磋商文件</w:t>
      </w:r>
    </w:p>
    <w:p w14:paraId="41991964">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（7）标准、规范及有关技术文件，图纸。</w:t>
      </w:r>
    </w:p>
    <w:p w14:paraId="1633A36E">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（8）其他合同文件。</w:t>
      </w:r>
    </w:p>
    <w:p w14:paraId="11ECF438">
      <w:pPr>
        <w:pStyle w:val="4"/>
        <w:adjustRightInd w:val="0"/>
        <w:snapToGrid w:val="0"/>
        <w:spacing w:before="50" w:after="0" w:line="360" w:lineRule="auto"/>
        <w:rPr>
          <w:rFonts w:hint="eastAsia" w:ascii="宋体" w:hAnsi="宋体" w:eastAsia="宋体" w:cs="宋体"/>
          <w:color w:val="auto"/>
          <w:sz w:val="24"/>
          <w:szCs w:val="24"/>
          <w:highlight w:val="none"/>
        </w:rPr>
      </w:pPr>
      <w:bookmarkStart w:id="62" w:name="_Toc128586027"/>
      <w:bookmarkStart w:id="63" w:name="_Toc54008081"/>
      <w:bookmarkStart w:id="64" w:name="_Toc54009404"/>
      <w:bookmarkStart w:id="65" w:name="_Toc34637785"/>
      <w:bookmarkStart w:id="66" w:name="_Toc54008015"/>
      <w:bookmarkStart w:id="67" w:name="_Toc108537869"/>
      <w:bookmarkStart w:id="68" w:name="_Toc54008872"/>
      <w:r>
        <w:rPr>
          <w:rFonts w:hint="eastAsia" w:ascii="宋体" w:hAnsi="宋体" w:eastAsia="宋体" w:cs="宋体"/>
          <w:color w:val="auto"/>
          <w:sz w:val="24"/>
          <w:szCs w:val="24"/>
          <w:highlight w:val="none"/>
        </w:rPr>
        <w:t>7.合同生效</w:t>
      </w:r>
      <w:bookmarkEnd w:id="62"/>
      <w:bookmarkEnd w:id="63"/>
      <w:bookmarkEnd w:id="64"/>
      <w:bookmarkEnd w:id="65"/>
      <w:bookmarkEnd w:id="66"/>
      <w:bookmarkEnd w:id="67"/>
      <w:bookmarkEnd w:id="68"/>
    </w:p>
    <w:p w14:paraId="744529E3">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本合同自</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生效。</w:t>
      </w:r>
    </w:p>
    <w:p w14:paraId="286563CB">
      <w:pPr>
        <w:pStyle w:val="4"/>
        <w:adjustRightInd w:val="0"/>
        <w:snapToGrid w:val="0"/>
        <w:spacing w:before="50" w:after="0" w:line="360" w:lineRule="auto"/>
        <w:rPr>
          <w:rFonts w:hint="eastAsia" w:ascii="宋体" w:hAnsi="宋体" w:eastAsia="宋体" w:cs="宋体"/>
          <w:color w:val="auto"/>
          <w:sz w:val="24"/>
          <w:szCs w:val="24"/>
          <w:highlight w:val="none"/>
        </w:rPr>
      </w:pPr>
      <w:bookmarkStart w:id="69" w:name="_Toc108537870"/>
      <w:bookmarkStart w:id="70" w:name="_Toc54008016"/>
      <w:bookmarkStart w:id="71" w:name="_Toc34637786"/>
      <w:bookmarkStart w:id="72" w:name="_Toc54009405"/>
      <w:bookmarkStart w:id="73" w:name="_Toc54008873"/>
      <w:bookmarkStart w:id="74" w:name="_Toc54008082"/>
      <w:bookmarkStart w:id="75" w:name="_Toc128586028"/>
      <w:r>
        <w:rPr>
          <w:rFonts w:hint="eastAsia" w:ascii="宋体" w:hAnsi="宋体" w:eastAsia="宋体" w:cs="宋体"/>
          <w:color w:val="auto"/>
          <w:sz w:val="24"/>
          <w:szCs w:val="24"/>
          <w:highlight w:val="none"/>
        </w:rPr>
        <w:t>8.合同份数</w:t>
      </w:r>
      <w:bookmarkEnd w:id="69"/>
      <w:bookmarkEnd w:id="70"/>
      <w:bookmarkEnd w:id="71"/>
      <w:bookmarkEnd w:id="72"/>
      <w:bookmarkEnd w:id="73"/>
      <w:bookmarkEnd w:id="74"/>
      <w:bookmarkEnd w:id="75"/>
    </w:p>
    <w:p w14:paraId="34D09BF5">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份，采购人执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份，供应商执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份，均具有同等法律效力。</w:t>
      </w:r>
    </w:p>
    <w:p w14:paraId="257623F5">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合同订立时间：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850C64B">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合同订立地点：</w:t>
      </w:r>
      <w:r>
        <w:rPr>
          <w:rFonts w:hint="eastAsia" w:ascii="宋体" w:hAnsi="宋体" w:eastAsia="宋体" w:cs="宋体"/>
          <w:color w:val="auto"/>
          <w:szCs w:val="21"/>
          <w:highlight w:val="none"/>
          <w:u w:val="single"/>
        </w:rPr>
        <w:t xml:space="preserve">                           </w:t>
      </w:r>
    </w:p>
    <w:p w14:paraId="60A20151">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54CBEA6D">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      方：（公章）                     乙      方：（公章）</w:t>
      </w:r>
    </w:p>
    <w:p w14:paraId="369CB61A">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法定代表人：</w:t>
      </w:r>
      <w:r>
        <w:rPr>
          <w:rFonts w:hint="eastAsia" w:ascii="宋体" w:hAnsi="宋体" w:eastAsia="宋体" w:cs="宋体"/>
          <w:color w:val="auto"/>
          <w:szCs w:val="21"/>
          <w:highlight w:val="none"/>
          <w:u w:val="single"/>
        </w:rPr>
        <w:t xml:space="preserve">                   </w:t>
      </w:r>
    </w:p>
    <w:p w14:paraId="6D12A896">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委托代理人：</w:t>
      </w:r>
      <w:r>
        <w:rPr>
          <w:rFonts w:hint="eastAsia" w:ascii="宋体" w:hAnsi="宋体" w:eastAsia="宋体" w:cs="宋体"/>
          <w:color w:val="auto"/>
          <w:szCs w:val="21"/>
          <w:highlight w:val="none"/>
          <w:u w:val="single"/>
        </w:rPr>
        <w:t xml:space="preserve">                   </w:t>
      </w:r>
    </w:p>
    <w:p w14:paraId="64EF63F3">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      话：</w:t>
      </w:r>
      <w:r>
        <w:rPr>
          <w:rFonts w:hint="eastAsia" w:ascii="宋体" w:hAnsi="宋体" w:eastAsia="宋体" w:cs="宋体"/>
          <w:color w:val="auto"/>
          <w:szCs w:val="21"/>
          <w:highlight w:val="none"/>
          <w:u w:val="single"/>
        </w:rPr>
        <w:t xml:space="preserve">                   </w:t>
      </w:r>
    </w:p>
    <w:p w14:paraId="6E71F241">
      <w:pPr>
        <w:adjustRightInd w:val="0"/>
        <w:snapToGrid w:val="0"/>
        <w:spacing w:before="120"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传      真：</w:t>
      </w:r>
      <w:r>
        <w:rPr>
          <w:rFonts w:hint="eastAsia" w:ascii="宋体" w:hAnsi="宋体" w:eastAsia="宋体" w:cs="宋体"/>
          <w:color w:val="auto"/>
          <w:szCs w:val="21"/>
          <w:highlight w:val="none"/>
          <w:u w:val="single"/>
        </w:rPr>
        <w:t xml:space="preserve">                   </w:t>
      </w:r>
    </w:p>
    <w:p w14:paraId="1ED3108E">
      <w:pPr>
        <w:adjustRightInd w:val="0"/>
        <w:snapToGrid w:val="0"/>
        <w:spacing w:before="120"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开 户 银 行：</w:t>
      </w:r>
      <w:r>
        <w:rPr>
          <w:rFonts w:hint="eastAsia" w:ascii="宋体" w:hAnsi="宋体" w:eastAsia="宋体" w:cs="宋体"/>
          <w:color w:val="auto"/>
          <w:szCs w:val="21"/>
          <w:highlight w:val="none"/>
          <w:u w:val="single"/>
        </w:rPr>
        <w:t xml:space="preserve">                   </w:t>
      </w:r>
    </w:p>
    <w:p w14:paraId="03090A77">
      <w:pPr>
        <w:pStyle w:val="9"/>
        <w:bidi w:val="0"/>
        <w:jc w:val="center"/>
        <w:rPr>
          <w:rFonts w:hint="eastAsia"/>
          <w:b/>
          <w:bCs/>
        </w:rPr>
      </w:pPr>
      <w:r>
        <w:rPr>
          <w:rFonts w:hint="eastAsia" w:ascii="宋体" w:hAnsi="宋体" w:eastAsia="宋体" w:cs="宋体"/>
          <w:color w:val="auto"/>
          <w:szCs w:val="21"/>
          <w:highlight w:val="none"/>
        </w:rPr>
        <w:t xml:space="preserve">         账       号：</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b/>
          <w:bCs/>
        </w:rPr>
        <w:br w:type="textWrapping"/>
      </w:r>
      <w:r>
        <w:rPr>
          <w:rFonts w:hint="eastAsia"/>
          <w:b/>
          <w:bCs/>
        </w:rPr>
        <w:t>本合同为格式合同，最终以甲乙双方签订的文本为准。</w:t>
      </w:r>
    </w:p>
    <w:p w14:paraId="4804E466">
      <w:pPr>
        <w:spacing w:line="360" w:lineRule="auto"/>
        <w:jc w:val="center"/>
        <w:outlineLvl w:val="0"/>
        <w:rPr>
          <w:rFonts w:hint="eastAsia" w:ascii="黑体" w:hAnsi="宋体" w:eastAsia="黑体"/>
          <w:b/>
          <w:bCs/>
          <w:color w:val="auto"/>
          <w:sz w:val="32"/>
          <w:szCs w:val="32"/>
        </w:rPr>
        <w:sectPr>
          <w:pgSz w:w="11906" w:h="16838"/>
          <w:pgMar w:top="1474" w:right="1474" w:bottom="1284" w:left="1588" w:header="851" w:footer="737" w:gutter="0"/>
          <w:pgNumType w:fmt="decimal"/>
          <w:cols w:space="720" w:num="1"/>
          <w:docGrid w:type="lines" w:linePitch="312" w:charSpace="0"/>
        </w:sectPr>
      </w:pPr>
    </w:p>
    <w:p w14:paraId="11503AAB">
      <w:pPr>
        <w:pStyle w:val="2"/>
        <w:bidi w:val="0"/>
        <w:rPr>
          <w:rFonts w:hint="eastAsia" w:ascii="黑体" w:hAnsi="黑体" w:eastAsia="黑体" w:cs="黑体"/>
          <w:sz w:val="32"/>
          <w:szCs w:val="32"/>
        </w:rPr>
      </w:pPr>
      <w:r>
        <w:rPr>
          <w:rFonts w:hint="eastAsia" w:ascii="黑体" w:hAnsi="黑体" w:eastAsia="黑体" w:cs="黑体"/>
          <w:sz w:val="32"/>
          <w:szCs w:val="32"/>
        </w:rPr>
        <w:t>第四章 采购需求</w:t>
      </w:r>
      <w:bookmarkEnd w:id="19"/>
    </w:p>
    <w:p w14:paraId="1A94C000">
      <w:pPr>
        <w:pStyle w:val="3"/>
        <w:bidi w:val="0"/>
        <w:jc w:val="center"/>
        <w:rPr>
          <w:rFonts w:hint="eastAsia"/>
          <w:sz w:val="28"/>
          <w:szCs w:val="28"/>
          <w:lang w:val="en-US" w:eastAsia="zh-CN"/>
        </w:rPr>
      </w:pPr>
      <w:bookmarkStart w:id="76" w:name="_Toc22577"/>
      <w:bookmarkStart w:id="77" w:name="_Toc7650"/>
      <w:r>
        <w:rPr>
          <w:rFonts w:hint="eastAsia"/>
          <w:sz w:val="28"/>
          <w:szCs w:val="28"/>
          <w:lang w:val="en-US" w:eastAsia="zh-CN"/>
        </w:rPr>
        <w:t xml:space="preserve">第一节 </w:t>
      </w:r>
      <w:bookmarkEnd w:id="76"/>
      <w:r>
        <w:rPr>
          <w:rFonts w:hint="eastAsia"/>
          <w:sz w:val="28"/>
          <w:szCs w:val="28"/>
          <w:lang w:val="en-US" w:eastAsia="zh-CN"/>
        </w:rPr>
        <w:t>采购清单</w:t>
      </w:r>
    </w:p>
    <w:tbl>
      <w:tblPr>
        <w:tblStyle w:val="20"/>
        <w:tblW w:w="4996" w:type="pct"/>
        <w:tblInd w:w="0" w:type="dxa"/>
        <w:tblLayout w:type="autofit"/>
        <w:tblCellMar>
          <w:top w:w="0" w:type="dxa"/>
          <w:left w:w="108" w:type="dxa"/>
          <w:bottom w:w="0" w:type="dxa"/>
          <w:right w:w="108" w:type="dxa"/>
        </w:tblCellMar>
      </w:tblPr>
      <w:tblGrid>
        <w:gridCol w:w="625"/>
        <w:gridCol w:w="565"/>
        <w:gridCol w:w="4744"/>
        <w:gridCol w:w="1397"/>
        <w:gridCol w:w="1950"/>
      </w:tblGrid>
      <w:tr w14:paraId="1EAFE8DE">
        <w:tblPrEx>
          <w:tblCellMar>
            <w:top w:w="0" w:type="dxa"/>
            <w:left w:w="108" w:type="dxa"/>
            <w:bottom w:w="0" w:type="dxa"/>
            <w:right w:w="108" w:type="dxa"/>
          </w:tblCellMar>
        </w:tblPrEx>
        <w:trPr>
          <w:trHeight w:val="500" w:hRule="atLeast"/>
        </w:trPr>
        <w:tc>
          <w:tcPr>
            <w:tcW w:w="337" w:type="pct"/>
            <w:tcBorders>
              <w:top w:val="single" w:color="auto" w:sz="4" w:space="0"/>
              <w:left w:val="single" w:color="auto" w:sz="4" w:space="0"/>
              <w:bottom w:val="single" w:color="auto" w:sz="4" w:space="0"/>
              <w:right w:val="single" w:color="auto" w:sz="4" w:space="0"/>
            </w:tcBorders>
            <w:vAlign w:val="center"/>
          </w:tcPr>
          <w:p w14:paraId="39EBD7B3">
            <w:pPr>
              <w:widowControl/>
              <w:spacing w:line="240" w:lineRule="exact"/>
              <w:jc w:val="left"/>
              <w:rPr>
                <w:rFonts w:ascii="宋体" w:hAnsi="宋体" w:cs="宋体"/>
                <w:color w:val="auto"/>
                <w:kern w:val="0"/>
                <w:szCs w:val="21"/>
              </w:rPr>
            </w:pPr>
            <w:bookmarkStart w:id="78" w:name="_Toc4805"/>
            <w:r>
              <w:rPr>
                <w:rFonts w:hint="eastAsia" w:ascii="宋体" w:hAnsi="宋体" w:cs="宋体"/>
                <w:color w:val="auto"/>
                <w:kern w:val="0"/>
                <w:szCs w:val="21"/>
              </w:rPr>
              <w:t>包号</w:t>
            </w:r>
          </w:p>
        </w:tc>
        <w:tc>
          <w:tcPr>
            <w:tcW w:w="304" w:type="pct"/>
            <w:tcBorders>
              <w:top w:val="single" w:color="auto" w:sz="4" w:space="0"/>
              <w:left w:val="nil"/>
              <w:bottom w:val="single" w:color="auto" w:sz="4" w:space="0"/>
              <w:right w:val="single" w:color="auto" w:sz="4" w:space="0"/>
            </w:tcBorders>
            <w:vAlign w:val="center"/>
          </w:tcPr>
          <w:p w14:paraId="27BEBDE7">
            <w:pPr>
              <w:widowControl/>
              <w:spacing w:line="24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品目号</w:t>
            </w:r>
          </w:p>
        </w:tc>
        <w:tc>
          <w:tcPr>
            <w:tcW w:w="2554" w:type="pct"/>
            <w:tcBorders>
              <w:top w:val="single" w:color="auto" w:sz="4" w:space="0"/>
              <w:left w:val="nil"/>
              <w:bottom w:val="single" w:color="auto" w:sz="4" w:space="0"/>
              <w:right w:val="single" w:color="auto" w:sz="4" w:space="0"/>
            </w:tcBorders>
            <w:vAlign w:val="center"/>
          </w:tcPr>
          <w:p w14:paraId="5B881285">
            <w:pPr>
              <w:widowControl/>
              <w:spacing w:line="24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仪器设备名称</w:t>
            </w:r>
          </w:p>
        </w:tc>
        <w:tc>
          <w:tcPr>
            <w:tcW w:w="752" w:type="pct"/>
            <w:tcBorders>
              <w:top w:val="single" w:color="auto" w:sz="4" w:space="0"/>
              <w:left w:val="nil"/>
              <w:bottom w:val="single" w:color="auto" w:sz="4" w:space="0"/>
              <w:right w:val="single" w:color="auto" w:sz="4" w:space="0"/>
            </w:tcBorders>
            <w:vAlign w:val="center"/>
          </w:tcPr>
          <w:p w14:paraId="0E3B5CB9">
            <w:pPr>
              <w:widowControl/>
              <w:spacing w:line="24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数量（台/套）</w:t>
            </w:r>
          </w:p>
        </w:tc>
        <w:tc>
          <w:tcPr>
            <w:tcW w:w="1050" w:type="pct"/>
            <w:tcBorders>
              <w:top w:val="single" w:color="auto" w:sz="4" w:space="0"/>
              <w:left w:val="nil"/>
              <w:bottom w:val="single" w:color="auto" w:sz="4" w:space="0"/>
              <w:right w:val="single" w:color="auto" w:sz="4" w:space="0"/>
            </w:tcBorders>
            <w:vAlign w:val="center"/>
          </w:tcPr>
          <w:p w14:paraId="1660E7F9">
            <w:pPr>
              <w:widowControl/>
              <w:spacing w:line="24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是否核心产品</w:t>
            </w:r>
          </w:p>
        </w:tc>
      </w:tr>
      <w:tr w14:paraId="41C380D1">
        <w:tblPrEx>
          <w:tblCellMar>
            <w:top w:w="0" w:type="dxa"/>
            <w:left w:w="108" w:type="dxa"/>
            <w:bottom w:w="0" w:type="dxa"/>
            <w:right w:w="108" w:type="dxa"/>
          </w:tblCellMar>
        </w:tblPrEx>
        <w:trPr>
          <w:trHeight w:val="500" w:hRule="atLeast"/>
        </w:trPr>
        <w:tc>
          <w:tcPr>
            <w:tcW w:w="337" w:type="pct"/>
            <w:vMerge w:val="restart"/>
            <w:tcBorders>
              <w:top w:val="nil"/>
              <w:left w:val="single" w:color="auto" w:sz="4" w:space="0"/>
              <w:right w:val="single" w:color="auto" w:sz="4" w:space="0"/>
            </w:tcBorders>
            <w:noWrap/>
            <w:vAlign w:val="center"/>
          </w:tcPr>
          <w:p w14:paraId="5D8542F8">
            <w:pPr>
              <w:widowControl/>
              <w:spacing w:line="240" w:lineRule="exact"/>
              <w:jc w:val="center"/>
              <w:rPr>
                <w:rFonts w:ascii="宋体" w:hAnsi="宋体" w:cs="宋体"/>
                <w:color w:val="auto"/>
                <w:kern w:val="0"/>
                <w:szCs w:val="21"/>
              </w:rPr>
            </w:pPr>
            <w:r>
              <w:rPr>
                <w:rFonts w:hint="eastAsia" w:ascii="宋体" w:hAnsi="宋体" w:cs="宋体"/>
                <w:color w:val="auto"/>
                <w:kern w:val="0"/>
                <w:szCs w:val="21"/>
              </w:rPr>
              <w:t>包1　</w:t>
            </w:r>
          </w:p>
        </w:tc>
        <w:tc>
          <w:tcPr>
            <w:tcW w:w="304" w:type="pct"/>
            <w:tcBorders>
              <w:top w:val="nil"/>
              <w:left w:val="nil"/>
              <w:bottom w:val="single" w:color="auto" w:sz="4" w:space="0"/>
              <w:right w:val="single" w:color="auto" w:sz="4" w:space="0"/>
            </w:tcBorders>
            <w:vAlign w:val="center"/>
          </w:tcPr>
          <w:p w14:paraId="5C671862">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2554" w:type="pct"/>
            <w:tcBorders>
              <w:top w:val="nil"/>
              <w:left w:val="nil"/>
              <w:bottom w:val="single" w:color="auto" w:sz="4" w:space="0"/>
              <w:right w:val="single" w:color="auto" w:sz="4" w:space="0"/>
            </w:tcBorders>
            <w:vAlign w:val="center"/>
          </w:tcPr>
          <w:p w14:paraId="7A1F3DD7">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000000"/>
                <w:kern w:val="0"/>
                <w:sz w:val="21"/>
                <w:szCs w:val="21"/>
                <w:highlight w:val="none"/>
                <w:u w:val="none"/>
                <w:lang w:val="en-US" w:eastAsia="zh-CN" w:bidi="ar"/>
              </w:rPr>
              <w:t>4K超高清视频编解码终端</w:t>
            </w:r>
          </w:p>
        </w:tc>
        <w:tc>
          <w:tcPr>
            <w:tcW w:w="752" w:type="pct"/>
            <w:tcBorders>
              <w:top w:val="nil"/>
              <w:left w:val="nil"/>
              <w:bottom w:val="single" w:color="auto" w:sz="4" w:space="0"/>
              <w:right w:val="single" w:color="auto" w:sz="4" w:space="0"/>
            </w:tcBorders>
            <w:vAlign w:val="center"/>
          </w:tcPr>
          <w:p w14:paraId="1B9463EF">
            <w:pPr>
              <w:keepNext w:val="0"/>
              <w:keepLines w:val="0"/>
              <w:widowControl/>
              <w:suppressLineNumbers w:val="0"/>
              <w:jc w:val="center"/>
              <w:textAlignment w:val="center"/>
              <w:rPr>
                <w:rFonts w:ascii="宋体" w:hAnsi="宋体" w:cs="宋体"/>
                <w:color w:val="auto"/>
                <w:kern w:val="0"/>
                <w:szCs w:val="21"/>
                <w:highlight w:val="none"/>
              </w:rPr>
            </w:pPr>
            <w:r>
              <w:rPr>
                <w:rFonts w:hint="eastAsia" w:ascii="宋体" w:hAnsi="宋体" w:eastAsia="宋体" w:cs="宋体"/>
                <w:i w:val="0"/>
                <w:iCs w:val="0"/>
                <w:color w:val="000000"/>
                <w:kern w:val="0"/>
                <w:sz w:val="21"/>
                <w:szCs w:val="21"/>
                <w:highlight w:val="none"/>
                <w:u w:val="none"/>
                <w:lang w:val="en-US" w:eastAsia="zh-CN" w:bidi="ar"/>
              </w:rPr>
              <w:t>2台</w:t>
            </w:r>
          </w:p>
        </w:tc>
        <w:tc>
          <w:tcPr>
            <w:tcW w:w="1050" w:type="pct"/>
            <w:tcBorders>
              <w:top w:val="nil"/>
              <w:left w:val="nil"/>
              <w:bottom w:val="single" w:color="auto" w:sz="4" w:space="0"/>
              <w:right w:val="single" w:color="auto" w:sz="4" w:space="0"/>
            </w:tcBorders>
            <w:noWrap/>
            <w:vAlign w:val="center"/>
          </w:tcPr>
          <w:p w14:paraId="26CA80FF">
            <w:pPr>
              <w:widowControl/>
              <w:spacing w:line="240" w:lineRule="exac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eastAsia="zh-CN"/>
              </w:rPr>
              <w:t>是</w:t>
            </w:r>
          </w:p>
        </w:tc>
      </w:tr>
      <w:tr w14:paraId="3706E4C6">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noWrap/>
            <w:vAlign w:val="center"/>
          </w:tcPr>
          <w:p w14:paraId="0431A506">
            <w:pPr>
              <w:widowControl/>
              <w:spacing w:line="240" w:lineRule="exact"/>
              <w:jc w:val="center"/>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7F949B83">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2</w:t>
            </w:r>
          </w:p>
        </w:tc>
        <w:tc>
          <w:tcPr>
            <w:tcW w:w="2554" w:type="pct"/>
            <w:tcBorders>
              <w:top w:val="nil"/>
              <w:left w:val="nil"/>
              <w:bottom w:val="single" w:color="auto" w:sz="4" w:space="0"/>
              <w:right w:val="single" w:color="auto" w:sz="4" w:space="0"/>
            </w:tcBorders>
            <w:vAlign w:val="center"/>
          </w:tcPr>
          <w:p w14:paraId="031EE39C">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智能E1网关</w:t>
            </w:r>
          </w:p>
        </w:tc>
        <w:tc>
          <w:tcPr>
            <w:tcW w:w="752" w:type="pct"/>
            <w:tcBorders>
              <w:top w:val="nil"/>
              <w:left w:val="nil"/>
              <w:bottom w:val="single" w:color="auto" w:sz="4" w:space="0"/>
              <w:right w:val="single" w:color="auto" w:sz="4" w:space="0"/>
            </w:tcBorders>
            <w:vAlign w:val="center"/>
          </w:tcPr>
          <w:p w14:paraId="530E8441">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1台</w:t>
            </w:r>
          </w:p>
        </w:tc>
        <w:tc>
          <w:tcPr>
            <w:tcW w:w="1050" w:type="pct"/>
            <w:tcBorders>
              <w:top w:val="nil"/>
              <w:left w:val="nil"/>
              <w:bottom w:val="single" w:color="auto" w:sz="4" w:space="0"/>
              <w:right w:val="single" w:color="auto" w:sz="4" w:space="0"/>
            </w:tcBorders>
            <w:noWrap/>
            <w:vAlign w:val="center"/>
          </w:tcPr>
          <w:p w14:paraId="6EF48E60">
            <w:pPr>
              <w:widowControl/>
              <w:spacing w:line="240" w:lineRule="exact"/>
              <w:jc w:val="left"/>
              <w:rPr>
                <w:rFonts w:ascii="宋体" w:hAnsi="宋体" w:cs="宋体"/>
                <w:color w:val="auto"/>
                <w:kern w:val="0"/>
                <w:szCs w:val="21"/>
              </w:rPr>
            </w:pPr>
          </w:p>
        </w:tc>
      </w:tr>
      <w:tr w14:paraId="424E3157">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1E8348FD">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2D93C935">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3</w:t>
            </w:r>
          </w:p>
        </w:tc>
        <w:tc>
          <w:tcPr>
            <w:tcW w:w="2554" w:type="pct"/>
            <w:tcBorders>
              <w:top w:val="nil"/>
              <w:left w:val="nil"/>
              <w:bottom w:val="single" w:color="auto" w:sz="4" w:space="0"/>
              <w:right w:val="single" w:color="auto" w:sz="4" w:space="0"/>
            </w:tcBorders>
            <w:vAlign w:val="center"/>
          </w:tcPr>
          <w:p w14:paraId="199AD20B">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4K超高清音视频融合统一指挥调度平台机箱</w:t>
            </w:r>
          </w:p>
        </w:tc>
        <w:tc>
          <w:tcPr>
            <w:tcW w:w="752" w:type="pct"/>
            <w:tcBorders>
              <w:top w:val="nil"/>
              <w:left w:val="nil"/>
              <w:bottom w:val="single" w:color="auto" w:sz="4" w:space="0"/>
              <w:right w:val="single" w:color="auto" w:sz="4" w:space="0"/>
            </w:tcBorders>
            <w:vAlign w:val="center"/>
          </w:tcPr>
          <w:p w14:paraId="6378B707">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1台</w:t>
            </w:r>
          </w:p>
        </w:tc>
        <w:tc>
          <w:tcPr>
            <w:tcW w:w="1050" w:type="pct"/>
            <w:tcBorders>
              <w:top w:val="nil"/>
              <w:left w:val="nil"/>
              <w:bottom w:val="single" w:color="auto" w:sz="4" w:space="0"/>
              <w:right w:val="single" w:color="auto" w:sz="4" w:space="0"/>
            </w:tcBorders>
            <w:noWrap/>
            <w:vAlign w:val="center"/>
          </w:tcPr>
          <w:p w14:paraId="291268E0">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199EF4C2">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4CC7B9E3">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253306CB">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w:t>
            </w:r>
          </w:p>
        </w:tc>
        <w:tc>
          <w:tcPr>
            <w:tcW w:w="2554" w:type="pct"/>
            <w:tcBorders>
              <w:top w:val="nil"/>
              <w:left w:val="nil"/>
              <w:bottom w:val="single" w:color="auto" w:sz="4" w:space="0"/>
              <w:right w:val="single" w:color="auto" w:sz="4" w:space="0"/>
            </w:tcBorders>
            <w:vAlign w:val="center"/>
          </w:tcPr>
          <w:p w14:paraId="31985E9B">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32路音视频交换处理板及嵌入式软件</w:t>
            </w:r>
          </w:p>
        </w:tc>
        <w:tc>
          <w:tcPr>
            <w:tcW w:w="752" w:type="pct"/>
            <w:tcBorders>
              <w:top w:val="nil"/>
              <w:left w:val="nil"/>
              <w:bottom w:val="single" w:color="auto" w:sz="4" w:space="0"/>
              <w:right w:val="single" w:color="auto" w:sz="4" w:space="0"/>
            </w:tcBorders>
            <w:vAlign w:val="center"/>
          </w:tcPr>
          <w:p w14:paraId="3D723760">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1块</w:t>
            </w:r>
          </w:p>
        </w:tc>
        <w:tc>
          <w:tcPr>
            <w:tcW w:w="1050" w:type="pct"/>
            <w:tcBorders>
              <w:top w:val="nil"/>
              <w:left w:val="nil"/>
              <w:bottom w:val="single" w:color="auto" w:sz="4" w:space="0"/>
              <w:right w:val="single" w:color="auto" w:sz="4" w:space="0"/>
            </w:tcBorders>
            <w:noWrap/>
            <w:vAlign w:val="center"/>
          </w:tcPr>
          <w:p w14:paraId="61C33A43">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7E2B2C3C">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022076D8">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327BF112">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5</w:t>
            </w:r>
          </w:p>
        </w:tc>
        <w:tc>
          <w:tcPr>
            <w:tcW w:w="2554" w:type="pct"/>
            <w:tcBorders>
              <w:top w:val="nil"/>
              <w:left w:val="nil"/>
              <w:bottom w:val="single" w:color="auto" w:sz="4" w:space="0"/>
              <w:right w:val="single" w:color="auto" w:sz="4" w:space="0"/>
            </w:tcBorders>
            <w:vAlign w:val="center"/>
          </w:tcPr>
          <w:p w14:paraId="57DC06A6">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32路数字混音处理板及嵌入式软件</w:t>
            </w:r>
          </w:p>
        </w:tc>
        <w:tc>
          <w:tcPr>
            <w:tcW w:w="752" w:type="pct"/>
            <w:tcBorders>
              <w:top w:val="nil"/>
              <w:left w:val="nil"/>
              <w:bottom w:val="single" w:color="auto" w:sz="4" w:space="0"/>
              <w:right w:val="single" w:color="auto" w:sz="4" w:space="0"/>
            </w:tcBorders>
            <w:vAlign w:val="center"/>
          </w:tcPr>
          <w:p w14:paraId="2EF7E73F">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1块</w:t>
            </w:r>
          </w:p>
        </w:tc>
        <w:tc>
          <w:tcPr>
            <w:tcW w:w="1050" w:type="pct"/>
            <w:tcBorders>
              <w:top w:val="nil"/>
              <w:left w:val="nil"/>
              <w:bottom w:val="single" w:color="auto" w:sz="4" w:space="0"/>
              <w:right w:val="single" w:color="auto" w:sz="4" w:space="0"/>
            </w:tcBorders>
            <w:noWrap/>
            <w:vAlign w:val="center"/>
          </w:tcPr>
          <w:p w14:paraId="776F26A9">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7E5C508B">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594CE9F7">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76B87F6B">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6</w:t>
            </w:r>
          </w:p>
        </w:tc>
        <w:tc>
          <w:tcPr>
            <w:tcW w:w="2554" w:type="pct"/>
            <w:tcBorders>
              <w:top w:val="nil"/>
              <w:left w:val="nil"/>
              <w:bottom w:val="single" w:color="auto" w:sz="4" w:space="0"/>
              <w:right w:val="single" w:color="auto" w:sz="4" w:space="0"/>
            </w:tcBorders>
            <w:vAlign w:val="center"/>
          </w:tcPr>
          <w:p w14:paraId="1EFD3225">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4路高清视频光纤输入模块</w:t>
            </w:r>
          </w:p>
        </w:tc>
        <w:tc>
          <w:tcPr>
            <w:tcW w:w="752" w:type="pct"/>
            <w:tcBorders>
              <w:top w:val="nil"/>
              <w:left w:val="nil"/>
              <w:bottom w:val="single" w:color="auto" w:sz="4" w:space="0"/>
              <w:right w:val="single" w:color="auto" w:sz="4" w:space="0"/>
            </w:tcBorders>
            <w:vAlign w:val="center"/>
          </w:tcPr>
          <w:p w14:paraId="72797C19">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1块</w:t>
            </w:r>
          </w:p>
        </w:tc>
        <w:tc>
          <w:tcPr>
            <w:tcW w:w="1050" w:type="pct"/>
            <w:tcBorders>
              <w:top w:val="nil"/>
              <w:left w:val="nil"/>
              <w:bottom w:val="single" w:color="auto" w:sz="4" w:space="0"/>
              <w:right w:val="single" w:color="auto" w:sz="4" w:space="0"/>
            </w:tcBorders>
            <w:noWrap/>
            <w:vAlign w:val="center"/>
          </w:tcPr>
          <w:p w14:paraId="399AAFF0">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2BF00383">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368AD3D7">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06EDB5F3">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7</w:t>
            </w:r>
          </w:p>
        </w:tc>
        <w:tc>
          <w:tcPr>
            <w:tcW w:w="2554" w:type="pct"/>
            <w:tcBorders>
              <w:top w:val="nil"/>
              <w:left w:val="nil"/>
              <w:bottom w:val="single" w:color="auto" w:sz="4" w:space="0"/>
              <w:right w:val="single" w:color="auto" w:sz="4" w:space="0"/>
            </w:tcBorders>
            <w:vAlign w:val="center"/>
          </w:tcPr>
          <w:p w14:paraId="6869F2C2">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4路高清视频光纤输出模块</w:t>
            </w:r>
          </w:p>
        </w:tc>
        <w:tc>
          <w:tcPr>
            <w:tcW w:w="752" w:type="pct"/>
            <w:tcBorders>
              <w:top w:val="nil"/>
              <w:left w:val="nil"/>
              <w:bottom w:val="single" w:color="auto" w:sz="4" w:space="0"/>
              <w:right w:val="single" w:color="auto" w:sz="4" w:space="0"/>
            </w:tcBorders>
            <w:vAlign w:val="center"/>
          </w:tcPr>
          <w:p w14:paraId="4392E141">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1块</w:t>
            </w:r>
          </w:p>
        </w:tc>
        <w:tc>
          <w:tcPr>
            <w:tcW w:w="1050" w:type="pct"/>
            <w:tcBorders>
              <w:top w:val="nil"/>
              <w:left w:val="nil"/>
              <w:bottom w:val="single" w:color="auto" w:sz="4" w:space="0"/>
              <w:right w:val="single" w:color="auto" w:sz="4" w:space="0"/>
            </w:tcBorders>
            <w:noWrap/>
            <w:vAlign w:val="center"/>
          </w:tcPr>
          <w:p w14:paraId="74D86037">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50C236C1">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31C370DD">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31CD9192">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8</w:t>
            </w:r>
          </w:p>
        </w:tc>
        <w:tc>
          <w:tcPr>
            <w:tcW w:w="2554" w:type="pct"/>
            <w:tcBorders>
              <w:top w:val="nil"/>
              <w:left w:val="nil"/>
              <w:bottom w:val="single" w:color="auto" w:sz="4" w:space="0"/>
              <w:right w:val="single" w:color="auto" w:sz="4" w:space="0"/>
            </w:tcBorders>
            <w:vAlign w:val="center"/>
          </w:tcPr>
          <w:p w14:paraId="36566C3A">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4路4K超高清视频HDMI输入模</w:t>
            </w:r>
          </w:p>
        </w:tc>
        <w:tc>
          <w:tcPr>
            <w:tcW w:w="752" w:type="pct"/>
            <w:tcBorders>
              <w:top w:val="nil"/>
              <w:left w:val="nil"/>
              <w:bottom w:val="single" w:color="auto" w:sz="4" w:space="0"/>
              <w:right w:val="single" w:color="auto" w:sz="4" w:space="0"/>
            </w:tcBorders>
            <w:vAlign w:val="center"/>
          </w:tcPr>
          <w:p w14:paraId="2C82ACE9">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1块</w:t>
            </w:r>
          </w:p>
        </w:tc>
        <w:tc>
          <w:tcPr>
            <w:tcW w:w="1050" w:type="pct"/>
            <w:tcBorders>
              <w:top w:val="nil"/>
              <w:left w:val="nil"/>
              <w:bottom w:val="single" w:color="auto" w:sz="4" w:space="0"/>
              <w:right w:val="single" w:color="auto" w:sz="4" w:space="0"/>
            </w:tcBorders>
            <w:noWrap/>
            <w:vAlign w:val="center"/>
          </w:tcPr>
          <w:p w14:paraId="2C303732">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1C33F931">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45BB6FCA">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42BC84E1">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9</w:t>
            </w:r>
          </w:p>
        </w:tc>
        <w:tc>
          <w:tcPr>
            <w:tcW w:w="2554" w:type="pct"/>
            <w:tcBorders>
              <w:top w:val="nil"/>
              <w:left w:val="nil"/>
              <w:bottom w:val="single" w:color="auto" w:sz="4" w:space="0"/>
              <w:right w:val="single" w:color="auto" w:sz="4" w:space="0"/>
            </w:tcBorders>
            <w:vAlign w:val="center"/>
          </w:tcPr>
          <w:p w14:paraId="5542862D">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4路4K超高清视频HDMI输出模</w:t>
            </w:r>
          </w:p>
        </w:tc>
        <w:tc>
          <w:tcPr>
            <w:tcW w:w="752" w:type="pct"/>
            <w:tcBorders>
              <w:top w:val="nil"/>
              <w:left w:val="nil"/>
              <w:bottom w:val="single" w:color="auto" w:sz="4" w:space="0"/>
              <w:right w:val="single" w:color="auto" w:sz="4" w:space="0"/>
            </w:tcBorders>
            <w:vAlign w:val="center"/>
          </w:tcPr>
          <w:p w14:paraId="74224F66">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1块</w:t>
            </w:r>
          </w:p>
        </w:tc>
        <w:tc>
          <w:tcPr>
            <w:tcW w:w="1050" w:type="pct"/>
            <w:tcBorders>
              <w:top w:val="nil"/>
              <w:left w:val="nil"/>
              <w:bottom w:val="single" w:color="auto" w:sz="4" w:space="0"/>
              <w:right w:val="single" w:color="auto" w:sz="4" w:space="0"/>
            </w:tcBorders>
            <w:noWrap/>
            <w:vAlign w:val="center"/>
          </w:tcPr>
          <w:p w14:paraId="634D0133">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493891E6">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10EB835A">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361AD02A">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10</w:t>
            </w:r>
          </w:p>
        </w:tc>
        <w:tc>
          <w:tcPr>
            <w:tcW w:w="2554" w:type="pct"/>
            <w:tcBorders>
              <w:top w:val="nil"/>
              <w:left w:val="nil"/>
              <w:bottom w:val="single" w:color="auto" w:sz="4" w:space="0"/>
              <w:right w:val="single" w:color="auto" w:sz="4" w:space="0"/>
            </w:tcBorders>
            <w:vAlign w:val="center"/>
          </w:tcPr>
          <w:p w14:paraId="3DB0A523">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4路高清视频SDI输入模块</w:t>
            </w:r>
          </w:p>
        </w:tc>
        <w:tc>
          <w:tcPr>
            <w:tcW w:w="752" w:type="pct"/>
            <w:tcBorders>
              <w:top w:val="nil"/>
              <w:left w:val="nil"/>
              <w:bottom w:val="single" w:color="auto" w:sz="4" w:space="0"/>
              <w:right w:val="single" w:color="auto" w:sz="4" w:space="0"/>
            </w:tcBorders>
            <w:vAlign w:val="center"/>
          </w:tcPr>
          <w:p w14:paraId="3CBC0D4D">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1块</w:t>
            </w:r>
          </w:p>
        </w:tc>
        <w:tc>
          <w:tcPr>
            <w:tcW w:w="1050" w:type="pct"/>
            <w:tcBorders>
              <w:top w:val="nil"/>
              <w:left w:val="nil"/>
              <w:bottom w:val="single" w:color="auto" w:sz="4" w:space="0"/>
              <w:right w:val="single" w:color="auto" w:sz="4" w:space="0"/>
            </w:tcBorders>
            <w:noWrap/>
            <w:vAlign w:val="center"/>
          </w:tcPr>
          <w:p w14:paraId="155717CB">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0EDF78A0">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1A420584">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71DA4E13">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11</w:t>
            </w:r>
          </w:p>
        </w:tc>
        <w:tc>
          <w:tcPr>
            <w:tcW w:w="2554" w:type="pct"/>
            <w:tcBorders>
              <w:top w:val="nil"/>
              <w:left w:val="nil"/>
              <w:bottom w:val="single" w:color="auto" w:sz="4" w:space="0"/>
              <w:right w:val="single" w:color="auto" w:sz="4" w:space="0"/>
            </w:tcBorders>
            <w:vAlign w:val="center"/>
          </w:tcPr>
          <w:p w14:paraId="5EF226C9">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4路高清视频SDI输出模块</w:t>
            </w:r>
          </w:p>
        </w:tc>
        <w:tc>
          <w:tcPr>
            <w:tcW w:w="752" w:type="pct"/>
            <w:tcBorders>
              <w:top w:val="nil"/>
              <w:left w:val="nil"/>
              <w:bottom w:val="single" w:color="auto" w:sz="4" w:space="0"/>
              <w:right w:val="single" w:color="auto" w:sz="4" w:space="0"/>
            </w:tcBorders>
            <w:vAlign w:val="center"/>
          </w:tcPr>
          <w:p w14:paraId="0AC6DED7">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1块</w:t>
            </w:r>
          </w:p>
        </w:tc>
        <w:tc>
          <w:tcPr>
            <w:tcW w:w="1050" w:type="pct"/>
            <w:tcBorders>
              <w:top w:val="nil"/>
              <w:left w:val="nil"/>
              <w:bottom w:val="single" w:color="auto" w:sz="4" w:space="0"/>
              <w:right w:val="single" w:color="auto" w:sz="4" w:space="0"/>
            </w:tcBorders>
            <w:noWrap/>
            <w:vAlign w:val="center"/>
          </w:tcPr>
          <w:p w14:paraId="0A5F8E37">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2772B417">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2E233EC9">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192C6263">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12</w:t>
            </w:r>
          </w:p>
        </w:tc>
        <w:tc>
          <w:tcPr>
            <w:tcW w:w="2554" w:type="pct"/>
            <w:tcBorders>
              <w:top w:val="nil"/>
              <w:left w:val="nil"/>
              <w:bottom w:val="single" w:color="auto" w:sz="4" w:space="0"/>
              <w:right w:val="single" w:color="auto" w:sz="4" w:space="0"/>
            </w:tcBorders>
            <w:vAlign w:val="center"/>
          </w:tcPr>
          <w:p w14:paraId="56C740BD">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4K超高清多格式音视频光端机-发送</w:t>
            </w:r>
          </w:p>
        </w:tc>
        <w:tc>
          <w:tcPr>
            <w:tcW w:w="752" w:type="pct"/>
            <w:tcBorders>
              <w:top w:val="nil"/>
              <w:left w:val="nil"/>
              <w:bottom w:val="single" w:color="auto" w:sz="4" w:space="0"/>
              <w:right w:val="single" w:color="auto" w:sz="4" w:space="0"/>
            </w:tcBorders>
            <w:vAlign w:val="center"/>
          </w:tcPr>
          <w:p w14:paraId="350B6528">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1台</w:t>
            </w:r>
          </w:p>
        </w:tc>
        <w:tc>
          <w:tcPr>
            <w:tcW w:w="1050" w:type="pct"/>
            <w:tcBorders>
              <w:top w:val="nil"/>
              <w:left w:val="nil"/>
              <w:bottom w:val="single" w:color="auto" w:sz="4" w:space="0"/>
              <w:right w:val="single" w:color="auto" w:sz="4" w:space="0"/>
            </w:tcBorders>
            <w:noWrap/>
            <w:vAlign w:val="center"/>
          </w:tcPr>
          <w:p w14:paraId="113488D9">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560258F0">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7673A63A">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4DBCF109">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13</w:t>
            </w:r>
          </w:p>
        </w:tc>
        <w:tc>
          <w:tcPr>
            <w:tcW w:w="2554" w:type="pct"/>
            <w:tcBorders>
              <w:top w:val="nil"/>
              <w:left w:val="nil"/>
              <w:bottom w:val="single" w:color="auto" w:sz="4" w:space="0"/>
              <w:right w:val="single" w:color="auto" w:sz="4" w:space="0"/>
            </w:tcBorders>
            <w:vAlign w:val="center"/>
          </w:tcPr>
          <w:p w14:paraId="6477CABF">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4K超高清多格式音视频光端机-接收</w:t>
            </w:r>
          </w:p>
        </w:tc>
        <w:tc>
          <w:tcPr>
            <w:tcW w:w="752" w:type="pct"/>
            <w:tcBorders>
              <w:top w:val="nil"/>
              <w:left w:val="nil"/>
              <w:bottom w:val="single" w:color="auto" w:sz="4" w:space="0"/>
              <w:right w:val="single" w:color="auto" w:sz="4" w:space="0"/>
            </w:tcBorders>
            <w:vAlign w:val="center"/>
          </w:tcPr>
          <w:p w14:paraId="62A9F17A">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3台</w:t>
            </w:r>
          </w:p>
        </w:tc>
        <w:tc>
          <w:tcPr>
            <w:tcW w:w="1050" w:type="pct"/>
            <w:tcBorders>
              <w:top w:val="nil"/>
              <w:left w:val="nil"/>
              <w:bottom w:val="single" w:color="auto" w:sz="4" w:space="0"/>
              <w:right w:val="single" w:color="auto" w:sz="4" w:space="0"/>
            </w:tcBorders>
            <w:noWrap/>
            <w:vAlign w:val="center"/>
          </w:tcPr>
          <w:p w14:paraId="2CA1CB55">
            <w:pPr>
              <w:widowControl/>
              <w:spacing w:line="240" w:lineRule="exact"/>
              <w:jc w:val="center"/>
              <w:rPr>
                <w:rFonts w:ascii="宋体" w:hAnsi="宋体" w:cs="宋体"/>
                <w:color w:val="auto"/>
                <w:kern w:val="0"/>
                <w:szCs w:val="21"/>
              </w:rPr>
            </w:pPr>
          </w:p>
        </w:tc>
      </w:tr>
      <w:tr w14:paraId="4CC72DDB">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331ADFF5">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290E7BA5">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14</w:t>
            </w:r>
          </w:p>
        </w:tc>
        <w:tc>
          <w:tcPr>
            <w:tcW w:w="2554" w:type="pct"/>
            <w:tcBorders>
              <w:top w:val="nil"/>
              <w:left w:val="nil"/>
              <w:bottom w:val="single" w:color="auto" w:sz="4" w:space="0"/>
              <w:right w:val="single" w:color="auto" w:sz="4" w:space="0"/>
            </w:tcBorders>
            <w:vAlign w:val="center"/>
          </w:tcPr>
          <w:p w14:paraId="2BAA20EA">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4K超高清视频光端机-双向</w:t>
            </w:r>
          </w:p>
        </w:tc>
        <w:tc>
          <w:tcPr>
            <w:tcW w:w="752" w:type="pct"/>
            <w:tcBorders>
              <w:top w:val="nil"/>
              <w:left w:val="nil"/>
              <w:bottom w:val="single" w:color="auto" w:sz="4" w:space="0"/>
              <w:right w:val="single" w:color="auto" w:sz="4" w:space="0"/>
            </w:tcBorders>
            <w:vAlign w:val="center"/>
          </w:tcPr>
          <w:p w14:paraId="38BD7EC9">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1台</w:t>
            </w:r>
          </w:p>
        </w:tc>
        <w:tc>
          <w:tcPr>
            <w:tcW w:w="1050" w:type="pct"/>
            <w:tcBorders>
              <w:top w:val="nil"/>
              <w:left w:val="nil"/>
              <w:bottom w:val="single" w:color="auto" w:sz="4" w:space="0"/>
              <w:right w:val="single" w:color="auto" w:sz="4" w:space="0"/>
            </w:tcBorders>
            <w:noWrap/>
            <w:vAlign w:val="center"/>
          </w:tcPr>
          <w:p w14:paraId="58B5AD53">
            <w:pPr>
              <w:widowControl/>
              <w:spacing w:line="240" w:lineRule="exact"/>
              <w:jc w:val="center"/>
              <w:rPr>
                <w:rFonts w:ascii="宋体" w:hAnsi="宋体" w:cs="宋体"/>
                <w:color w:val="auto"/>
                <w:kern w:val="0"/>
                <w:szCs w:val="21"/>
              </w:rPr>
            </w:pPr>
          </w:p>
        </w:tc>
      </w:tr>
      <w:tr w14:paraId="446AA972">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10370932">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2A688674">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15</w:t>
            </w:r>
          </w:p>
        </w:tc>
        <w:tc>
          <w:tcPr>
            <w:tcW w:w="2554" w:type="pct"/>
            <w:tcBorders>
              <w:top w:val="nil"/>
              <w:left w:val="nil"/>
              <w:bottom w:val="single" w:color="auto" w:sz="4" w:space="0"/>
              <w:right w:val="single" w:color="auto" w:sz="4" w:space="0"/>
            </w:tcBorders>
            <w:vAlign w:val="center"/>
          </w:tcPr>
          <w:p w14:paraId="06FAC7F7">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12G-SDI广播级超高清摄像机</w:t>
            </w:r>
          </w:p>
        </w:tc>
        <w:tc>
          <w:tcPr>
            <w:tcW w:w="752" w:type="pct"/>
            <w:tcBorders>
              <w:top w:val="nil"/>
              <w:left w:val="nil"/>
              <w:bottom w:val="single" w:color="auto" w:sz="4" w:space="0"/>
              <w:right w:val="single" w:color="auto" w:sz="4" w:space="0"/>
            </w:tcBorders>
            <w:vAlign w:val="center"/>
          </w:tcPr>
          <w:p w14:paraId="5DD60E91">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4台</w:t>
            </w:r>
          </w:p>
        </w:tc>
        <w:tc>
          <w:tcPr>
            <w:tcW w:w="1050" w:type="pct"/>
            <w:tcBorders>
              <w:top w:val="nil"/>
              <w:left w:val="nil"/>
              <w:bottom w:val="single" w:color="auto" w:sz="4" w:space="0"/>
              <w:right w:val="single" w:color="auto" w:sz="4" w:space="0"/>
            </w:tcBorders>
            <w:noWrap/>
            <w:vAlign w:val="center"/>
          </w:tcPr>
          <w:p w14:paraId="77F9C795">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65DEEC1A">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4AF3603E">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75BFFE97">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16</w:t>
            </w:r>
          </w:p>
        </w:tc>
        <w:tc>
          <w:tcPr>
            <w:tcW w:w="2554" w:type="pct"/>
            <w:tcBorders>
              <w:top w:val="nil"/>
              <w:left w:val="nil"/>
              <w:bottom w:val="single" w:color="auto" w:sz="4" w:space="0"/>
              <w:right w:val="single" w:color="auto" w:sz="4" w:space="0"/>
            </w:tcBorders>
            <w:vAlign w:val="center"/>
          </w:tcPr>
          <w:p w14:paraId="6196DF6A">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广播级室内电动云台</w:t>
            </w:r>
          </w:p>
        </w:tc>
        <w:tc>
          <w:tcPr>
            <w:tcW w:w="752" w:type="pct"/>
            <w:tcBorders>
              <w:top w:val="nil"/>
              <w:left w:val="nil"/>
              <w:bottom w:val="single" w:color="auto" w:sz="4" w:space="0"/>
              <w:right w:val="single" w:color="auto" w:sz="4" w:space="0"/>
            </w:tcBorders>
            <w:vAlign w:val="center"/>
          </w:tcPr>
          <w:p w14:paraId="7405C962">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4个</w:t>
            </w:r>
          </w:p>
        </w:tc>
        <w:tc>
          <w:tcPr>
            <w:tcW w:w="1050" w:type="pct"/>
            <w:tcBorders>
              <w:top w:val="nil"/>
              <w:left w:val="nil"/>
              <w:bottom w:val="single" w:color="auto" w:sz="4" w:space="0"/>
              <w:right w:val="single" w:color="auto" w:sz="4" w:space="0"/>
            </w:tcBorders>
            <w:noWrap/>
            <w:vAlign w:val="center"/>
          </w:tcPr>
          <w:p w14:paraId="1D0BB9AD">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4CAC7C75">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34147B83">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10D310CE">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17</w:t>
            </w:r>
          </w:p>
        </w:tc>
        <w:tc>
          <w:tcPr>
            <w:tcW w:w="2554" w:type="pct"/>
            <w:tcBorders>
              <w:top w:val="nil"/>
              <w:left w:val="nil"/>
              <w:bottom w:val="single" w:color="auto" w:sz="4" w:space="0"/>
              <w:right w:val="single" w:color="auto" w:sz="4" w:space="0"/>
            </w:tcBorders>
            <w:vAlign w:val="center"/>
          </w:tcPr>
          <w:p w14:paraId="0C387BDE">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专业摄像机三脚架</w:t>
            </w:r>
          </w:p>
        </w:tc>
        <w:tc>
          <w:tcPr>
            <w:tcW w:w="752" w:type="pct"/>
            <w:tcBorders>
              <w:top w:val="nil"/>
              <w:left w:val="nil"/>
              <w:bottom w:val="single" w:color="auto" w:sz="4" w:space="0"/>
              <w:right w:val="single" w:color="auto" w:sz="4" w:space="0"/>
            </w:tcBorders>
            <w:vAlign w:val="center"/>
          </w:tcPr>
          <w:p w14:paraId="6DF49CA2">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4套</w:t>
            </w:r>
          </w:p>
        </w:tc>
        <w:tc>
          <w:tcPr>
            <w:tcW w:w="1050" w:type="pct"/>
            <w:tcBorders>
              <w:top w:val="nil"/>
              <w:left w:val="nil"/>
              <w:bottom w:val="single" w:color="auto" w:sz="4" w:space="0"/>
              <w:right w:val="single" w:color="auto" w:sz="4" w:space="0"/>
            </w:tcBorders>
            <w:noWrap/>
            <w:vAlign w:val="center"/>
          </w:tcPr>
          <w:p w14:paraId="5C29DA67">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1F699409">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102F6295">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04E5ABF3">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18</w:t>
            </w:r>
          </w:p>
        </w:tc>
        <w:tc>
          <w:tcPr>
            <w:tcW w:w="2554" w:type="pct"/>
            <w:tcBorders>
              <w:top w:val="nil"/>
              <w:left w:val="nil"/>
              <w:bottom w:val="single" w:color="auto" w:sz="4" w:space="0"/>
              <w:right w:val="single" w:color="auto" w:sz="4" w:space="0"/>
            </w:tcBorders>
            <w:vAlign w:val="center"/>
          </w:tcPr>
          <w:p w14:paraId="7A023721">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专业有线话筒</w:t>
            </w:r>
          </w:p>
        </w:tc>
        <w:tc>
          <w:tcPr>
            <w:tcW w:w="752" w:type="pct"/>
            <w:tcBorders>
              <w:top w:val="nil"/>
              <w:left w:val="nil"/>
              <w:bottom w:val="single" w:color="auto" w:sz="4" w:space="0"/>
              <w:right w:val="single" w:color="auto" w:sz="4" w:space="0"/>
            </w:tcBorders>
            <w:vAlign w:val="center"/>
          </w:tcPr>
          <w:p w14:paraId="4209F37C">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2支</w:t>
            </w:r>
          </w:p>
        </w:tc>
        <w:tc>
          <w:tcPr>
            <w:tcW w:w="1050" w:type="pct"/>
            <w:tcBorders>
              <w:top w:val="nil"/>
              <w:left w:val="nil"/>
              <w:bottom w:val="single" w:color="auto" w:sz="4" w:space="0"/>
              <w:right w:val="single" w:color="auto" w:sz="4" w:space="0"/>
            </w:tcBorders>
            <w:noWrap/>
            <w:vAlign w:val="center"/>
          </w:tcPr>
          <w:p w14:paraId="12CEB7B0">
            <w:pPr>
              <w:widowControl/>
              <w:spacing w:line="240" w:lineRule="exact"/>
              <w:jc w:val="center"/>
              <w:rPr>
                <w:rFonts w:ascii="宋体" w:hAnsi="宋体" w:cs="宋体"/>
                <w:color w:val="auto"/>
                <w:kern w:val="0"/>
                <w:szCs w:val="21"/>
              </w:rPr>
            </w:pPr>
          </w:p>
        </w:tc>
      </w:tr>
      <w:tr w14:paraId="04FE5C2F">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3060E07B">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0F90A5E7">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19</w:t>
            </w:r>
          </w:p>
        </w:tc>
        <w:tc>
          <w:tcPr>
            <w:tcW w:w="2554" w:type="pct"/>
            <w:tcBorders>
              <w:top w:val="nil"/>
              <w:left w:val="nil"/>
              <w:bottom w:val="single" w:color="auto" w:sz="4" w:space="0"/>
              <w:right w:val="single" w:color="auto" w:sz="4" w:space="0"/>
            </w:tcBorders>
            <w:vAlign w:val="center"/>
          </w:tcPr>
          <w:p w14:paraId="3B3952E1">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多用途音视频编导播切换与存储流媒体系统</w:t>
            </w:r>
          </w:p>
        </w:tc>
        <w:tc>
          <w:tcPr>
            <w:tcW w:w="752" w:type="pct"/>
            <w:tcBorders>
              <w:top w:val="nil"/>
              <w:left w:val="nil"/>
              <w:bottom w:val="single" w:color="auto" w:sz="4" w:space="0"/>
              <w:right w:val="single" w:color="auto" w:sz="4" w:space="0"/>
            </w:tcBorders>
            <w:vAlign w:val="center"/>
          </w:tcPr>
          <w:p w14:paraId="212D51EA">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1套</w:t>
            </w:r>
          </w:p>
        </w:tc>
        <w:tc>
          <w:tcPr>
            <w:tcW w:w="1050" w:type="pct"/>
            <w:tcBorders>
              <w:top w:val="nil"/>
              <w:left w:val="nil"/>
              <w:bottom w:val="single" w:color="auto" w:sz="4" w:space="0"/>
              <w:right w:val="single" w:color="auto" w:sz="4" w:space="0"/>
            </w:tcBorders>
            <w:noWrap/>
            <w:vAlign w:val="center"/>
          </w:tcPr>
          <w:p w14:paraId="62AC3F1E">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0C7A7096">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2D233B56">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3BA817ED">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20</w:t>
            </w:r>
          </w:p>
        </w:tc>
        <w:tc>
          <w:tcPr>
            <w:tcW w:w="2554" w:type="pct"/>
            <w:tcBorders>
              <w:top w:val="nil"/>
              <w:left w:val="nil"/>
              <w:bottom w:val="single" w:color="auto" w:sz="4" w:space="0"/>
              <w:right w:val="single" w:color="auto" w:sz="4" w:space="0"/>
            </w:tcBorders>
            <w:vAlign w:val="center"/>
          </w:tcPr>
          <w:p w14:paraId="3AAAB617">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云台及摄像机专用设备箱</w:t>
            </w:r>
          </w:p>
        </w:tc>
        <w:tc>
          <w:tcPr>
            <w:tcW w:w="752" w:type="pct"/>
            <w:tcBorders>
              <w:top w:val="nil"/>
              <w:left w:val="nil"/>
              <w:bottom w:val="single" w:color="auto" w:sz="4" w:space="0"/>
              <w:right w:val="single" w:color="auto" w:sz="4" w:space="0"/>
            </w:tcBorders>
            <w:vAlign w:val="center"/>
          </w:tcPr>
          <w:p w14:paraId="421865C6">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2套</w:t>
            </w:r>
          </w:p>
        </w:tc>
        <w:tc>
          <w:tcPr>
            <w:tcW w:w="1050" w:type="pct"/>
            <w:tcBorders>
              <w:top w:val="nil"/>
              <w:left w:val="nil"/>
              <w:bottom w:val="single" w:color="auto" w:sz="4" w:space="0"/>
              <w:right w:val="single" w:color="auto" w:sz="4" w:space="0"/>
            </w:tcBorders>
            <w:noWrap/>
            <w:vAlign w:val="center"/>
          </w:tcPr>
          <w:p w14:paraId="3D053977">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633F31B0">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503DE29D">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712B7CBF">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21</w:t>
            </w:r>
          </w:p>
        </w:tc>
        <w:tc>
          <w:tcPr>
            <w:tcW w:w="2554" w:type="pct"/>
            <w:tcBorders>
              <w:top w:val="nil"/>
              <w:left w:val="nil"/>
              <w:bottom w:val="single" w:color="auto" w:sz="4" w:space="0"/>
              <w:right w:val="single" w:color="auto" w:sz="4" w:space="0"/>
            </w:tcBorders>
            <w:vAlign w:val="center"/>
          </w:tcPr>
          <w:p w14:paraId="2C5D91D1">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45米定制线缆</w:t>
            </w:r>
          </w:p>
        </w:tc>
        <w:tc>
          <w:tcPr>
            <w:tcW w:w="752" w:type="pct"/>
            <w:tcBorders>
              <w:top w:val="nil"/>
              <w:left w:val="nil"/>
              <w:bottom w:val="single" w:color="auto" w:sz="4" w:space="0"/>
              <w:right w:val="single" w:color="auto" w:sz="4" w:space="0"/>
            </w:tcBorders>
            <w:vAlign w:val="center"/>
          </w:tcPr>
          <w:p w14:paraId="1CAFBE18">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auto"/>
                <w:kern w:val="0"/>
                <w:sz w:val="21"/>
                <w:szCs w:val="21"/>
                <w:u w:val="none"/>
                <w:lang w:val="en-US" w:eastAsia="zh-CN" w:bidi="ar"/>
              </w:rPr>
              <w:t>2条</w:t>
            </w:r>
          </w:p>
        </w:tc>
        <w:tc>
          <w:tcPr>
            <w:tcW w:w="1050" w:type="pct"/>
            <w:tcBorders>
              <w:top w:val="nil"/>
              <w:left w:val="nil"/>
              <w:bottom w:val="single" w:color="auto" w:sz="4" w:space="0"/>
              <w:right w:val="single" w:color="auto" w:sz="4" w:space="0"/>
            </w:tcBorders>
            <w:noWrap/>
            <w:vAlign w:val="center"/>
          </w:tcPr>
          <w:p w14:paraId="1D1C56EB">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6B0B9B63">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0A620F3F">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6EEFA359">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000000"/>
                <w:kern w:val="0"/>
                <w:sz w:val="21"/>
                <w:szCs w:val="21"/>
                <w:u w:val="none"/>
                <w:lang w:val="en-US" w:eastAsia="zh-CN" w:bidi="ar"/>
              </w:rPr>
              <w:t>22</w:t>
            </w:r>
          </w:p>
        </w:tc>
        <w:tc>
          <w:tcPr>
            <w:tcW w:w="2554" w:type="pct"/>
            <w:tcBorders>
              <w:top w:val="nil"/>
              <w:left w:val="nil"/>
              <w:bottom w:val="single" w:color="auto" w:sz="4" w:space="0"/>
              <w:right w:val="single" w:color="auto" w:sz="4" w:space="0"/>
            </w:tcBorders>
            <w:vAlign w:val="center"/>
          </w:tcPr>
          <w:p w14:paraId="7A5A87C3">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25米定制线缆</w:t>
            </w:r>
          </w:p>
        </w:tc>
        <w:tc>
          <w:tcPr>
            <w:tcW w:w="752" w:type="pct"/>
            <w:tcBorders>
              <w:top w:val="nil"/>
              <w:left w:val="nil"/>
              <w:bottom w:val="single" w:color="auto" w:sz="4" w:space="0"/>
              <w:right w:val="single" w:color="auto" w:sz="4" w:space="0"/>
            </w:tcBorders>
            <w:vAlign w:val="center"/>
          </w:tcPr>
          <w:p w14:paraId="7E173C8C">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auto"/>
                <w:kern w:val="0"/>
                <w:sz w:val="21"/>
                <w:szCs w:val="21"/>
                <w:u w:val="none"/>
                <w:lang w:val="en-US" w:eastAsia="zh-CN" w:bidi="ar"/>
              </w:rPr>
              <w:t>2条</w:t>
            </w:r>
          </w:p>
        </w:tc>
        <w:tc>
          <w:tcPr>
            <w:tcW w:w="1050" w:type="pct"/>
            <w:tcBorders>
              <w:top w:val="nil"/>
              <w:left w:val="nil"/>
              <w:bottom w:val="single" w:color="auto" w:sz="4" w:space="0"/>
              <w:right w:val="single" w:color="auto" w:sz="4" w:space="0"/>
            </w:tcBorders>
            <w:noWrap/>
            <w:vAlign w:val="center"/>
          </w:tcPr>
          <w:p w14:paraId="5C7AB8AD">
            <w:pPr>
              <w:widowControl/>
              <w:spacing w:line="240" w:lineRule="exact"/>
              <w:jc w:val="left"/>
              <w:rPr>
                <w:rFonts w:ascii="宋体" w:hAnsi="宋体" w:cs="宋体"/>
                <w:color w:val="auto"/>
                <w:kern w:val="0"/>
                <w:szCs w:val="21"/>
              </w:rPr>
            </w:pPr>
            <w:r>
              <w:rPr>
                <w:rFonts w:hint="eastAsia" w:ascii="宋体" w:hAnsi="宋体" w:cs="宋体"/>
                <w:color w:val="auto"/>
                <w:kern w:val="0"/>
                <w:szCs w:val="21"/>
              </w:rPr>
              <w:t>　</w:t>
            </w:r>
          </w:p>
        </w:tc>
      </w:tr>
      <w:tr w14:paraId="28080F3F">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37551D4D">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5751E205">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000000"/>
                <w:kern w:val="0"/>
                <w:sz w:val="21"/>
                <w:szCs w:val="21"/>
                <w:u w:val="none"/>
                <w:lang w:val="en-US" w:eastAsia="zh-CN" w:bidi="ar"/>
              </w:rPr>
              <w:t>23</w:t>
            </w:r>
          </w:p>
        </w:tc>
        <w:tc>
          <w:tcPr>
            <w:tcW w:w="2554" w:type="pct"/>
            <w:tcBorders>
              <w:top w:val="nil"/>
              <w:left w:val="nil"/>
              <w:bottom w:val="single" w:color="auto" w:sz="4" w:space="0"/>
              <w:right w:val="single" w:color="auto" w:sz="4" w:space="0"/>
            </w:tcBorders>
            <w:vAlign w:val="center"/>
          </w:tcPr>
          <w:p w14:paraId="7B58CBDB">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000000"/>
                <w:kern w:val="0"/>
                <w:sz w:val="21"/>
                <w:szCs w:val="21"/>
                <w:u w:val="none"/>
                <w:lang w:val="en-US" w:eastAsia="zh-CN" w:bidi="ar"/>
              </w:rPr>
              <w:t>HD/SD多格式视频转换器</w:t>
            </w:r>
          </w:p>
        </w:tc>
        <w:tc>
          <w:tcPr>
            <w:tcW w:w="752" w:type="pct"/>
            <w:tcBorders>
              <w:top w:val="nil"/>
              <w:left w:val="nil"/>
              <w:bottom w:val="single" w:color="auto" w:sz="4" w:space="0"/>
              <w:right w:val="single" w:color="auto" w:sz="4" w:space="0"/>
            </w:tcBorders>
            <w:vAlign w:val="center"/>
          </w:tcPr>
          <w:p w14:paraId="18917BEF">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2台</w:t>
            </w:r>
          </w:p>
        </w:tc>
        <w:tc>
          <w:tcPr>
            <w:tcW w:w="1050" w:type="pct"/>
            <w:tcBorders>
              <w:top w:val="nil"/>
              <w:left w:val="nil"/>
              <w:bottom w:val="single" w:color="auto" w:sz="4" w:space="0"/>
              <w:right w:val="single" w:color="auto" w:sz="4" w:space="0"/>
            </w:tcBorders>
            <w:noWrap/>
            <w:vAlign w:val="center"/>
          </w:tcPr>
          <w:p w14:paraId="204C3E8B">
            <w:pPr>
              <w:widowControl/>
              <w:spacing w:line="240" w:lineRule="exact"/>
              <w:jc w:val="left"/>
              <w:rPr>
                <w:rFonts w:ascii="宋体" w:hAnsi="宋体" w:cs="宋体"/>
                <w:color w:val="auto"/>
                <w:kern w:val="0"/>
                <w:szCs w:val="21"/>
              </w:rPr>
            </w:pPr>
          </w:p>
        </w:tc>
      </w:tr>
      <w:tr w14:paraId="7AB4782F">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583DB8EE">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52EC6285">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000000"/>
                <w:kern w:val="0"/>
                <w:sz w:val="21"/>
                <w:szCs w:val="21"/>
                <w:u w:val="none"/>
                <w:lang w:val="en-US" w:eastAsia="zh-CN" w:bidi="ar"/>
              </w:rPr>
              <w:t>24</w:t>
            </w:r>
          </w:p>
        </w:tc>
        <w:tc>
          <w:tcPr>
            <w:tcW w:w="2554" w:type="pct"/>
            <w:tcBorders>
              <w:top w:val="nil"/>
              <w:left w:val="nil"/>
              <w:bottom w:val="single" w:color="auto" w:sz="4" w:space="0"/>
              <w:right w:val="single" w:color="auto" w:sz="4" w:space="0"/>
            </w:tcBorders>
            <w:vAlign w:val="center"/>
          </w:tcPr>
          <w:p w14:paraId="518C5CE9">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000000"/>
                <w:kern w:val="0"/>
                <w:sz w:val="21"/>
                <w:szCs w:val="21"/>
                <w:u w:val="none"/>
                <w:lang w:val="en-US" w:eastAsia="zh-CN" w:bidi="ar"/>
              </w:rPr>
              <w:t>双通道专业数字功放</w:t>
            </w:r>
          </w:p>
        </w:tc>
        <w:tc>
          <w:tcPr>
            <w:tcW w:w="752" w:type="pct"/>
            <w:tcBorders>
              <w:top w:val="nil"/>
              <w:left w:val="nil"/>
              <w:bottom w:val="single" w:color="auto" w:sz="4" w:space="0"/>
              <w:right w:val="single" w:color="auto" w:sz="4" w:space="0"/>
            </w:tcBorders>
            <w:vAlign w:val="center"/>
          </w:tcPr>
          <w:p w14:paraId="10D53342">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1台</w:t>
            </w:r>
          </w:p>
        </w:tc>
        <w:tc>
          <w:tcPr>
            <w:tcW w:w="1050" w:type="pct"/>
            <w:tcBorders>
              <w:top w:val="nil"/>
              <w:left w:val="nil"/>
              <w:bottom w:val="single" w:color="auto" w:sz="4" w:space="0"/>
              <w:right w:val="single" w:color="auto" w:sz="4" w:space="0"/>
            </w:tcBorders>
            <w:noWrap/>
            <w:vAlign w:val="center"/>
          </w:tcPr>
          <w:p w14:paraId="5E1C31EF">
            <w:pPr>
              <w:widowControl/>
              <w:spacing w:line="240" w:lineRule="exact"/>
              <w:jc w:val="left"/>
              <w:rPr>
                <w:rFonts w:ascii="宋体" w:hAnsi="宋体" w:cs="宋体"/>
                <w:color w:val="auto"/>
                <w:kern w:val="0"/>
                <w:szCs w:val="21"/>
              </w:rPr>
            </w:pPr>
          </w:p>
        </w:tc>
      </w:tr>
      <w:tr w14:paraId="537D4080">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7873A585">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07A1E8AA">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000000"/>
                <w:kern w:val="0"/>
                <w:sz w:val="21"/>
                <w:szCs w:val="21"/>
                <w:u w:val="none"/>
                <w:lang w:val="en-US" w:eastAsia="zh-CN" w:bidi="ar"/>
              </w:rPr>
              <w:t>25</w:t>
            </w:r>
          </w:p>
        </w:tc>
        <w:tc>
          <w:tcPr>
            <w:tcW w:w="2554" w:type="pct"/>
            <w:tcBorders>
              <w:top w:val="nil"/>
              <w:left w:val="nil"/>
              <w:bottom w:val="single" w:color="auto" w:sz="4" w:space="0"/>
              <w:right w:val="single" w:color="auto" w:sz="4" w:space="0"/>
            </w:tcBorders>
            <w:vAlign w:val="center"/>
          </w:tcPr>
          <w:p w14:paraId="69677349">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000000"/>
                <w:kern w:val="0"/>
                <w:sz w:val="21"/>
                <w:szCs w:val="21"/>
                <w:u w:val="none"/>
                <w:lang w:val="en-US" w:eastAsia="zh-CN" w:bidi="ar"/>
              </w:rPr>
              <w:t>光纤</w:t>
            </w:r>
          </w:p>
        </w:tc>
        <w:tc>
          <w:tcPr>
            <w:tcW w:w="752" w:type="pct"/>
            <w:tcBorders>
              <w:top w:val="nil"/>
              <w:left w:val="nil"/>
              <w:bottom w:val="single" w:color="auto" w:sz="4" w:space="0"/>
              <w:right w:val="single" w:color="auto" w:sz="4" w:space="0"/>
            </w:tcBorders>
            <w:vAlign w:val="center"/>
          </w:tcPr>
          <w:p w14:paraId="40BE93D5">
            <w:pPr>
              <w:keepNext w:val="0"/>
              <w:keepLines w:val="0"/>
              <w:widowControl/>
              <w:suppressLineNumbers w:val="0"/>
              <w:jc w:val="center"/>
              <w:textAlignment w:val="center"/>
              <w:rPr>
                <w:rFonts w:hint="default" w:ascii="宋体" w:hAnsi="宋体" w:cs="宋体"/>
                <w:color w:val="auto"/>
                <w:kern w:val="0"/>
                <w:szCs w:val="21"/>
                <w:lang w:val="en-US"/>
              </w:rPr>
            </w:pPr>
            <w:r>
              <w:rPr>
                <w:rFonts w:hint="eastAsia" w:ascii="宋体" w:hAnsi="宋体" w:eastAsia="宋体" w:cs="宋体"/>
                <w:i w:val="0"/>
                <w:iCs w:val="0"/>
                <w:color w:val="000000"/>
                <w:kern w:val="0"/>
                <w:sz w:val="21"/>
                <w:szCs w:val="21"/>
                <w:u w:val="none"/>
                <w:lang w:val="en-US" w:eastAsia="zh-CN" w:bidi="ar"/>
              </w:rPr>
              <w:t>300米</w:t>
            </w:r>
          </w:p>
        </w:tc>
        <w:tc>
          <w:tcPr>
            <w:tcW w:w="1050" w:type="pct"/>
            <w:tcBorders>
              <w:top w:val="nil"/>
              <w:left w:val="nil"/>
              <w:bottom w:val="single" w:color="auto" w:sz="4" w:space="0"/>
              <w:right w:val="single" w:color="auto" w:sz="4" w:space="0"/>
            </w:tcBorders>
            <w:noWrap/>
            <w:vAlign w:val="center"/>
          </w:tcPr>
          <w:p w14:paraId="6A3A23D3">
            <w:pPr>
              <w:widowControl/>
              <w:spacing w:line="240" w:lineRule="exact"/>
              <w:jc w:val="left"/>
              <w:rPr>
                <w:rFonts w:ascii="宋体" w:hAnsi="宋体" w:cs="宋体"/>
                <w:color w:val="auto"/>
                <w:kern w:val="0"/>
                <w:szCs w:val="21"/>
              </w:rPr>
            </w:pPr>
          </w:p>
        </w:tc>
      </w:tr>
      <w:tr w14:paraId="2FC5D881">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07204918">
            <w:pPr>
              <w:widowControl/>
              <w:spacing w:line="240" w:lineRule="exact"/>
              <w:jc w:val="left"/>
              <w:rPr>
                <w:rFonts w:ascii="宋体" w:hAnsi="宋体" w:cs="宋体"/>
                <w:color w:val="auto"/>
                <w:kern w:val="0"/>
                <w:szCs w:val="21"/>
              </w:rPr>
            </w:pPr>
          </w:p>
        </w:tc>
        <w:tc>
          <w:tcPr>
            <w:tcW w:w="304" w:type="pct"/>
            <w:tcBorders>
              <w:top w:val="nil"/>
              <w:left w:val="nil"/>
              <w:bottom w:val="single" w:color="auto" w:sz="4" w:space="0"/>
              <w:right w:val="single" w:color="auto" w:sz="4" w:space="0"/>
            </w:tcBorders>
            <w:vAlign w:val="center"/>
          </w:tcPr>
          <w:p w14:paraId="7CA0C1FB">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26</w:t>
            </w:r>
          </w:p>
        </w:tc>
        <w:tc>
          <w:tcPr>
            <w:tcW w:w="2554" w:type="pct"/>
            <w:tcBorders>
              <w:top w:val="nil"/>
              <w:left w:val="nil"/>
              <w:bottom w:val="single" w:color="auto" w:sz="4" w:space="0"/>
              <w:right w:val="single" w:color="auto" w:sz="4" w:space="0"/>
            </w:tcBorders>
            <w:vAlign w:val="center"/>
          </w:tcPr>
          <w:p w14:paraId="3E3EB717">
            <w:pPr>
              <w:keepNext w:val="0"/>
              <w:keepLines w:val="0"/>
              <w:widowControl/>
              <w:suppressLineNumbers w:val="0"/>
              <w:jc w:val="center"/>
              <w:textAlignment w:val="center"/>
              <w:rPr>
                <w:rFonts w:ascii="宋体" w:hAnsi="宋体" w:cs="宋体"/>
                <w:color w:val="auto"/>
                <w:szCs w:val="21"/>
              </w:rPr>
            </w:pPr>
            <w:r>
              <w:rPr>
                <w:rFonts w:hint="eastAsia" w:ascii="宋体" w:hAnsi="宋体" w:eastAsia="宋体" w:cs="宋体"/>
                <w:i w:val="0"/>
                <w:iCs w:val="0"/>
                <w:color w:val="000000"/>
                <w:kern w:val="0"/>
                <w:sz w:val="21"/>
                <w:szCs w:val="21"/>
                <w:u w:val="none"/>
                <w:lang w:val="en-US" w:eastAsia="zh-CN" w:bidi="ar"/>
              </w:rPr>
              <w:t>光纤配线架</w:t>
            </w:r>
          </w:p>
        </w:tc>
        <w:tc>
          <w:tcPr>
            <w:tcW w:w="752" w:type="pct"/>
            <w:tcBorders>
              <w:top w:val="nil"/>
              <w:left w:val="nil"/>
              <w:bottom w:val="single" w:color="auto" w:sz="4" w:space="0"/>
              <w:right w:val="single" w:color="auto" w:sz="4" w:space="0"/>
            </w:tcBorders>
            <w:vAlign w:val="center"/>
          </w:tcPr>
          <w:p w14:paraId="0702BF68">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1台</w:t>
            </w:r>
          </w:p>
        </w:tc>
        <w:tc>
          <w:tcPr>
            <w:tcW w:w="1050" w:type="pct"/>
            <w:tcBorders>
              <w:top w:val="nil"/>
              <w:left w:val="nil"/>
              <w:bottom w:val="single" w:color="auto" w:sz="4" w:space="0"/>
              <w:right w:val="single" w:color="auto" w:sz="4" w:space="0"/>
            </w:tcBorders>
            <w:noWrap/>
            <w:vAlign w:val="center"/>
          </w:tcPr>
          <w:p w14:paraId="0F75A84A">
            <w:pPr>
              <w:widowControl/>
              <w:spacing w:line="240" w:lineRule="exact"/>
              <w:jc w:val="left"/>
              <w:rPr>
                <w:rFonts w:ascii="宋体" w:hAnsi="宋体" w:cs="宋体"/>
                <w:color w:val="auto"/>
                <w:kern w:val="0"/>
                <w:szCs w:val="21"/>
              </w:rPr>
            </w:pPr>
          </w:p>
        </w:tc>
      </w:tr>
      <w:tr w14:paraId="740DB3D3">
        <w:tblPrEx>
          <w:tblCellMar>
            <w:top w:w="0" w:type="dxa"/>
            <w:left w:w="108" w:type="dxa"/>
            <w:bottom w:w="0" w:type="dxa"/>
            <w:right w:w="108" w:type="dxa"/>
          </w:tblCellMar>
        </w:tblPrEx>
        <w:trPr>
          <w:trHeight w:val="500" w:hRule="atLeast"/>
        </w:trPr>
        <w:tc>
          <w:tcPr>
            <w:tcW w:w="337" w:type="pct"/>
            <w:vMerge w:val="continue"/>
            <w:tcBorders>
              <w:left w:val="single" w:color="auto" w:sz="4" w:space="0"/>
              <w:right w:val="single" w:color="auto" w:sz="4" w:space="0"/>
            </w:tcBorders>
            <w:vAlign w:val="center"/>
          </w:tcPr>
          <w:p w14:paraId="540F9A7D">
            <w:pPr>
              <w:widowControl/>
              <w:spacing w:line="240" w:lineRule="exact"/>
              <w:jc w:val="left"/>
              <w:rPr>
                <w:rFonts w:ascii="宋体" w:hAnsi="宋体" w:cs="宋体"/>
                <w:color w:val="auto"/>
                <w:kern w:val="0"/>
                <w:szCs w:val="21"/>
              </w:rPr>
            </w:pPr>
          </w:p>
        </w:tc>
        <w:tc>
          <w:tcPr>
            <w:tcW w:w="304" w:type="pct"/>
            <w:tcBorders>
              <w:top w:val="single" w:color="auto" w:sz="4" w:space="0"/>
              <w:left w:val="single" w:color="auto" w:sz="4" w:space="0"/>
              <w:bottom w:val="single" w:color="auto" w:sz="4" w:space="0"/>
              <w:right w:val="single" w:color="auto" w:sz="4" w:space="0"/>
            </w:tcBorders>
            <w:vAlign w:val="center"/>
          </w:tcPr>
          <w:p w14:paraId="75A68E24">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27</w:t>
            </w:r>
          </w:p>
        </w:tc>
        <w:tc>
          <w:tcPr>
            <w:tcW w:w="2554" w:type="pct"/>
            <w:tcBorders>
              <w:top w:val="single" w:color="auto" w:sz="4" w:space="0"/>
              <w:left w:val="single" w:color="auto" w:sz="4" w:space="0"/>
              <w:bottom w:val="single" w:color="auto" w:sz="4" w:space="0"/>
              <w:right w:val="single" w:color="auto" w:sz="4" w:space="0"/>
            </w:tcBorders>
            <w:vAlign w:val="center"/>
          </w:tcPr>
          <w:p w14:paraId="11A7E807">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其他辅材</w:t>
            </w:r>
          </w:p>
        </w:tc>
        <w:tc>
          <w:tcPr>
            <w:tcW w:w="752" w:type="pct"/>
            <w:tcBorders>
              <w:top w:val="single" w:color="auto" w:sz="4" w:space="0"/>
              <w:left w:val="single" w:color="auto" w:sz="4" w:space="0"/>
              <w:bottom w:val="single" w:color="auto" w:sz="4" w:space="0"/>
              <w:right w:val="single" w:color="auto" w:sz="4" w:space="0"/>
            </w:tcBorders>
            <w:vAlign w:val="center"/>
          </w:tcPr>
          <w:p w14:paraId="717D0C36">
            <w:pPr>
              <w:keepNext w:val="0"/>
              <w:keepLines w:val="0"/>
              <w:widowControl/>
              <w:suppressLineNumbers w:val="0"/>
              <w:jc w:val="center"/>
              <w:textAlignment w:val="center"/>
              <w:rPr>
                <w:rFonts w:ascii="宋体" w:hAnsi="宋体" w:cs="宋体"/>
                <w:color w:val="auto"/>
                <w:kern w:val="0"/>
                <w:szCs w:val="21"/>
              </w:rPr>
            </w:pPr>
            <w:r>
              <w:rPr>
                <w:rFonts w:hint="eastAsia" w:ascii="宋体" w:hAnsi="宋体" w:eastAsia="宋体" w:cs="宋体"/>
                <w:i w:val="0"/>
                <w:iCs w:val="0"/>
                <w:color w:val="000000"/>
                <w:kern w:val="0"/>
                <w:sz w:val="21"/>
                <w:szCs w:val="21"/>
                <w:u w:val="none"/>
                <w:lang w:val="en-US" w:eastAsia="zh-CN" w:bidi="ar"/>
              </w:rPr>
              <w:t>1批</w:t>
            </w:r>
          </w:p>
        </w:tc>
        <w:tc>
          <w:tcPr>
            <w:tcW w:w="1050" w:type="pct"/>
            <w:tcBorders>
              <w:top w:val="single" w:color="auto" w:sz="4" w:space="0"/>
              <w:left w:val="single" w:color="auto" w:sz="4" w:space="0"/>
              <w:bottom w:val="single" w:color="auto" w:sz="4" w:space="0"/>
              <w:right w:val="single" w:color="auto" w:sz="4" w:space="0"/>
            </w:tcBorders>
            <w:noWrap/>
            <w:vAlign w:val="center"/>
          </w:tcPr>
          <w:p w14:paraId="654A723E">
            <w:pPr>
              <w:widowControl/>
              <w:spacing w:line="240" w:lineRule="exact"/>
              <w:jc w:val="left"/>
              <w:rPr>
                <w:rFonts w:ascii="宋体" w:hAnsi="宋体" w:cs="宋体"/>
                <w:color w:val="auto"/>
                <w:kern w:val="0"/>
                <w:szCs w:val="21"/>
              </w:rPr>
            </w:pPr>
          </w:p>
        </w:tc>
      </w:tr>
    </w:tbl>
    <w:p w14:paraId="609BE3F7">
      <w:pPr>
        <w:pStyle w:val="3"/>
        <w:pageBreakBefore w:val="0"/>
        <w:wordWrap/>
        <w:overflowPunct/>
        <w:topLinePunct w:val="0"/>
        <w:bidi w:val="0"/>
        <w:adjustRightInd w:val="0"/>
        <w:snapToGrid w:val="0"/>
        <w:spacing w:line="360" w:lineRule="auto"/>
        <w:ind w:firstLine="422" w:firstLineChars="20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8"/>
          <w:szCs w:val="28"/>
          <w:highlight w:val="none"/>
          <w:lang w:val="en-US" w:eastAsia="zh-CN" w:bidi="ar-SA"/>
        </w:rPr>
        <w:t>第二节 技术要求</w:t>
      </w:r>
      <w:bookmarkEnd w:id="78"/>
    </w:p>
    <w:tbl>
      <w:tblPr>
        <w:tblStyle w:val="20"/>
        <w:tblW w:w="9749" w:type="dxa"/>
        <w:tblInd w:w="-25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1284"/>
        <w:gridCol w:w="4970"/>
        <w:gridCol w:w="686"/>
        <w:gridCol w:w="689"/>
        <w:gridCol w:w="1380"/>
      </w:tblGrid>
      <w:tr w14:paraId="3F477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9348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28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7306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49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768A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参数</w:t>
            </w:r>
          </w:p>
        </w:tc>
        <w:tc>
          <w:tcPr>
            <w:tcW w:w="6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86CB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6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E770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C771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33C60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E02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w:t>
            </w:r>
          </w:p>
        </w:tc>
        <w:tc>
          <w:tcPr>
            <w:tcW w:w="900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5DAB">
            <w:pPr>
              <w:jc w:val="left"/>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信息集控中心--与最高法院（省高院）大要案保障平台连接的高清视频传输系统</w:t>
            </w:r>
          </w:p>
        </w:tc>
      </w:tr>
      <w:tr w14:paraId="7D8C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DB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44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4K超高清视频编解码终端</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55BC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Style w:val="37"/>
                <w:rFonts w:hint="eastAsia" w:ascii="宋体" w:hAnsi="宋体" w:eastAsia="宋体" w:cs="宋体"/>
                <w:sz w:val="21"/>
                <w:szCs w:val="21"/>
                <w:lang w:val="en-US" w:eastAsia="zh-CN" w:bidi="ar"/>
              </w:rPr>
              <w:t>需采用</w:t>
            </w:r>
            <w:r>
              <w:rPr>
                <w:rFonts w:hint="eastAsia" w:ascii="宋体" w:hAnsi="宋体" w:eastAsia="宋体" w:cs="宋体"/>
                <w:i w:val="0"/>
                <w:iCs w:val="0"/>
                <w:color w:val="000000"/>
                <w:kern w:val="0"/>
                <w:sz w:val="21"/>
                <w:szCs w:val="21"/>
                <w:u w:val="none"/>
                <w:lang w:val="en-US" w:eastAsia="zh-CN" w:bidi="ar"/>
              </w:rPr>
              <w:t>广播级4K超高清视音频编解码，国产化核心硬件平台，高质量、高稳定可靠性；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highlight w:val="none"/>
                <w:u w:val="none"/>
                <w:lang w:val="en-US" w:eastAsia="zh-CN" w:bidi="ar"/>
              </w:rPr>
              <w:t>2、需内置E1/T1和IP双网络接口，组网方式需灵活可配</w:t>
            </w:r>
            <w:r>
              <w:rPr>
                <w:rFonts w:hint="eastAsia" w:ascii="宋体" w:hAnsi="宋体" w:eastAsia="宋体" w:cs="宋体"/>
                <w:b/>
                <w:bCs/>
                <w:i w:val="0"/>
                <w:iCs w:val="0"/>
                <w:color w:val="000000"/>
                <w:kern w:val="0"/>
                <w:sz w:val="21"/>
                <w:szCs w:val="21"/>
                <w:highlight w:val="none"/>
                <w:u w:val="none"/>
                <w:lang w:val="en-US" w:eastAsia="zh-CN" w:bidi="ar"/>
              </w:rPr>
              <w:t>；提供此设备国家认可的第三方检测报告并加盖公章；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3、视频支持H、265编码算法，最高需支持≥4KP60（3840x2160P60） UHD超高清视频分辨率；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4、编码速率≥512Kbps-20Mbps；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5、具有双流功能，具备双路4K超高清视频编解码功能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6、具备≥2路HDMI-4K输入输出、≥1路3G-SDI输入输出、≥1路3G-SDI环出、≥1路HDMI-4K环出；输入音频话筒/线路≥4路，电平可设置，话筒幻象供电功能可设置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7、支持MPEG4 AAC-LC高保真音频编码；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8、内置数字音频处理功能，实现自动回声抑制、噪声抑制、自动增益功能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9、支持3G-SDI嵌入音频功能，提供广播级视音频质量；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10、输入音频话筒/线路≥4路，电平可设置，话筒幻象供电功能可设置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11、内置字幕功能，字幕字体大小、颜色、位置可调整；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12、内置画中画功能，画中画格式、位置可设置；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13、内置数字视频处理功能，实现视频降噪、动态调整、图像锐化、增强功能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14、支持自主知识产权网络纠错协议VREC，高丢包率网络环境下保证视音频传输质量；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15、支持码流AES 256bit加解密算法，保障网络传输安全；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16、支持E1与IP网络同时接入，支持双网络双备份运行模式，保证网络安全；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17、支持4×E1电路速率自适应功能，根据网络情况自动升降速，保证网络安全。</w:t>
            </w:r>
            <w:r>
              <w:rPr>
                <w:rFonts w:hint="eastAsia" w:ascii="宋体" w:hAnsi="宋体" w:eastAsia="宋体" w:cs="宋体"/>
                <w:i w:val="0"/>
                <w:iCs w:val="0"/>
                <w:color w:val="000000"/>
                <w:kern w:val="0"/>
                <w:sz w:val="21"/>
                <w:szCs w:val="21"/>
                <w:u w:val="none"/>
                <w:lang w:val="en-US" w:eastAsia="zh-CN" w:bidi="ar"/>
              </w:rPr>
              <w:br w:type="textWrapping"/>
            </w:r>
            <w:r>
              <w:rPr>
                <w:spacing w:val="4"/>
                <w:sz w:val="21"/>
                <w:szCs w:val="21"/>
              </w:rPr>
              <w:t>▲</w:t>
            </w:r>
            <w:r>
              <w:rPr>
                <w:rFonts w:hint="eastAsia" w:ascii="宋体" w:hAnsi="宋体" w:eastAsia="宋体" w:cs="宋体"/>
                <w:i w:val="0"/>
                <w:iCs w:val="0"/>
                <w:color w:val="000000"/>
                <w:kern w:val="0"/>
                <w:sz w:val="21"/>
                <w:szCs w:val="21"/>
                <w:u w:val="none"/>
                <w:lang w:val="en-US" w:eastAsia="zh-CN" w:bidi="ar"/>
              </w:rPr>
              <w:t>18、与最高法院一级4*E1专网系统完全兼容，该接口可通过运营商的4*E1专线电路与最高法院、各中级法院的高清音视频平台直接联通，实现双向音视频的传输。满足视频会议、庭审调度等业务需求；</w:t>
            </w:r>
            <w:r>
              <w:rPr>
                <w:rStyle w:val="38"/>
                <w:rFonts w:hint="eastAsia" w:ascii="宋体" w:hAnsi="宋体" w:eastAsia="宋体" w:cs="宋体"/>
                <w:sz w:val="21"/>
                <w:szCs w:val="21"/>
                <w:lang w:val="en-US" w:eastAsia="zh-CN" w:bidi="ar"/>
              </w:rPr>
              <w:t>提供佐证材料并加盖公章</w:t>
            </w:r>
            <w:r>
              <w:rPr>
                <w:rFonts w:hint="eastAsia" w:ascii="宋体" w:hAnsi="宋体" w:eastAsia="宋体" w:cs="宋体"/>
                <w:b/>
                <w:bCs/>
                <w:i w:val="0"/>
                <w:iCs w:val="0"/>
                <w:color w:val="000000"/>
                <w:kern w:val="0"/>
                <w:sz w:val="21"/>
                <w:szCs w:val="21"/>
                <w:u w:val="none"/>
                <w:lang w:val="en-US" w:eastAsia="zh-CN" w:bidi="ar"/>
              </w:rPr>
              <w:t>；</w:t>
            </w:r>
            <w:r>
              <w:rPr>
                <w:rFonts w:hint="eastAsia" w:ascii="宋体" w:hAnsi="宋体" w:eastAsia="宋体" w:cs="宋体"/>
                <w:b/>
                <w:bCs/>
                <w:i w:val="0"/>
                <w:iCs w:val="0"/>
                <w:color w:val="000000"/>
                <w:kern w:val="0"/>
                <w:sz w:val="21"/>
                <w:szCs w:val="21"/>
                <w:u w:val="none"/>
                <w:lang w:val="en-US" w:eastAsia="zh-CN" w:bidi="ar"/>
              </w:rPr>
              <w:br w:type="textWrapping"/>
            </w:r>
            <w:r>
              <w:rPr>
                <w:spacing w:val="4"/>
                <w:sz w:val="21"/>
                <w:szCs w:val="21"/>
              </w:rPr>
              <w:t>▲</w:t>
            </w:r>
            <w:r>
              <w:rPr>
                <w:rFonts w:hint="eastAsia" w:ascii="宋体" w:hAnsi="宋体" w:eastAsia="宋体" w:cs="宋体"/>
                <w:i w:val="0"/>
                <w:iCs w:val="0"/>
                <w:color w:val="000000"/>
                <w:kern w:val="0"/>
                <w:sz w:val="21"/>
                <w:szCs w:val="21"/>
                <w:u w:val="none"/>
                <w:lang w:val="en-US" w:eastAsia="zh-CN" w:bidi="ar"/>
              </w:rPr>
              <w:t>19、与省高级人民法院的全国视频会议终端完全兼容，该接口可通过运营商的4*E1专线电路与省高级人民法院的全国视频会议终端直接联通，实现双向音视频的传输；实现视频会议、大要案庭审调度等功能;</w:t>
            </w:r>
            <w:r>
              <w:rPr>
                <w:rStyle w:val="38"/>
                <w:rFonts w:hint="eastAsia" w:ascii="宋体" w:hAnsi="宋体" w:eastAsia="宋体" w:cs="宋体"/>
                <w:sz w:val="21"/>
                <w:szCs w:val="21"/>
                <w:lang w:val="en-US" w:eastAsia="zh-CN" w:bidi="ar"/>
              </w:rPr>
              <w:t>提供佐证材料并加盖公章</w:t>
            </w:r>
            <w:r>
              <w:rPr>
                <w:rFonts w:hint="eastAsia" w:ascii="宋体" w:hAnsi="宋体" w:eastAsia="宋体" w:cs="宋体"/>
                <w:b/>
                <w:bCs/>
                <w:i w:val="0"/>
                <w:iCs w:val="0"/>
                <w:color w:val="000000"/>
                <w:kern w:val="0"/>
                <w:sz w:val="21"/>
                <w:szCs w:val="21"/>
                <w:u w:val="none"/>
                <w:lang w:val="en-US" w:eastAsia="zh-CN" w:bidi="ar"/>
              </w:rPr>
              <w:t>；</w:t>
            </w:r>
            <w:r>
              <w:rPr>
                <w:rFonts w:hint="eastAsia" w:ascii="宋体" w:hAnsi="宋体" w:eastAsia="宋体" w:cs="宋体"/>
                <w:b/>
                <w:bCs/>
                <w:i w:val="0"/>
                <w:iCs w:val="0"/>
                <w:color w:val="000000"/>
                <w:kern w:val="0"/>
                <w:sz w:val="21"/>
                <w:szCs w:val="21"/>
                <w:u w:val="none"/>
                <w:lang w:val="en-US" w:eastAsia="zh-CN" w:bidi="ar"/>
              </w:rPr>
              <w:br w:type="textWrapping"/>
            </w:r>
            <w:r>
              <w:rPr>
                <w:spacing w:val="4"/>
                <w:sz w:val="21"/>
                <w:szCs w:val="21"/>
              </w:rPr>
              <w:t>▲</w:t>
            </w:r>
            <w:r>
              <w:rPr>
                <w:rFonts w:hint="eastAsia" w:ascii="宋体" w:hAnsi="宋体" w:eastAsia="宋体" w:cs="宋体"/>
                <w:i w:val="0"/>
                <w:iCs w:val="0"/>
                <w:color w:val="000000"/>
                <w:kern w:val="0"/>
                <w:sz w:val="21"/>
                <w:szCs w:val="21"/>
                <w:u w:val="none"/>
                <w:lang w:val="en-US" w:eastAsia="zh-CN" w:bidi="ar"/>
              </w:rPr>
              <w:t>20、与最高人民法院视频会议调度管理平台的4*E1电路对接的电路接口要求;</w:t>
            </w:r>
            <w:r>
              <w:rPr>
                <w:rStyle w:val="38"/>
                <w:rFonts w:hint="eastAsia" w:ascii="宋体" w:hAnsi="宋体" w:eastAsia="宋体" w:cs="宋体"/>
                <w:sz w:val="21"/>
                <w:szCs w:val="21"/>
                <w:lang w:val="en-US" w:eastAsia="zh-CN" w:bidi="ar"/>
              </w:rPr>
              <w:t>提供佐证材料并加盖公章</w:t>
            </w:r>
            <w:r>
              <w:rPr>
                <w:rFonts w:hint="eastAsia" w:ascii="宋体" w:hAnsi="宋体" w:eastAsia="宋体" w:cs="宋体"/>
                <w:b/>
                <w:bCs/>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21、嵌入式软件：</w:t>
            </w:r>
            <w:r>
              <w:rPr>
                <w:rStyle w:val="37"/>
                <w:rFonts w:hint="eastAsia" w:ascii="宋体" w:hAnsi="宋体" w:eastAsia="宋体" w:cs="宋体"/>
                <w:sz w:val="21"/>
                <w:szCs w:val="21"/>
                <w:lang w:val="en-US" w:eastAsia="zh-CN" w:bidi="ar"/>
              </w:rPr>
              <w:t>需预装嵌入式操作系统及视音频编解码控制软件，</w:t>
            </w:r>
            <w:r>
              <w:rPr>
                <w:rFonts w:hint="eastAsia" w:ascii="宋体" w:hAnsi="宋体" w:eastAsia="宋体" w:cs="宋体"/>
                <w:i w:val="0"/>
                <w:iCs w:val="0"/>
                <w:color w:val="000000"/>
                <w:kern w:val="0"/>
                <w:sz w:val="21"/>
                <w:szCs w:val="21"/>
                <w:u w:val="none"/>
                <w:lang w:val="en-US" w:eastAsia="zh-CN" w:bidi="ar"/>
              </w:rPr>
              <w:t>支持上层指令的编译与执行。</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DAA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103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F0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采用E1网关与最高院对接，完成视频会议、大要案远程传输、观摩等功能（根据使用要求可主备份配置、或与省高院连接，配置为2套）</w:t>
            </w:r>
          </w:p>
        </w:tc>
      </w:tr>
      <w:tr w14:paraId="0C93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5D5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120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智能E1网关</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EEA43F5">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实现专线IP转换为4*E1专线电路传输，通过数据缓存、加速，丢包重传等算法优化，实现IP传输转换成为高质量保障的4*E1电路传输。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1.IP网络转4*E1专线电路模块；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2.IP网口支持100M自适应；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3.4*E1接口：符合G.703接口标准，75欧姆非平衡BNC接口；4.前控制板可显示：E1电路状态指示，信号状态指示；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5.支持远程网管协议，支持集中网管；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6.内置前向纠错、数据冗余、丢包重传等算法，支持丢包50%下仍可保障4E1传输的稳定可靠性；</w:t>
            </w:r>
            <w:r>
              <w:rPr>
                <w:rFonts w:hint="eastAsia" w:ascii="宋体" w:hAnsi="宋体" w:eastAsia="宋体" w:cs="宋体"/>
                <w:i w:val="0"/>
                <w:iCs w:val="0"/>
                <w:color w:val="000000"/>
                <w:kern w:val="0"/>
                <w:sz w:val="21"/>
                <w:szCs w:val="21"/>
                <w:u w:val="none"/>
                <w:lang w:val="en-US" w:eastAsia="zh-CN" w:bidi="ar"/>
              </w:rPr>
              <w:br w:type="textWrapping"/>
            </w:r>
            <w:r>
              <w:rPr>
                <w:spacing w:val="4"/>
                <w:sz w:val="21"/>
                <w:szCs w:val="21"/>
              </w:rPr>
              <w:t>▲</w:t>
            </w:r>
            <w:r>
              <w:rPr>
                <w:rFonts w:hint="eastAsia" w:ascii="宋体" w:hAnsi="宋体" w:eastAsia="宋体" w:cs="宋体"/>
                <w:i w:val="0"/>
                <w:iCs w:val="0"/>
                <w:color w:val="000000"/>
                <w:kern w:val="0"/>
                <w:sz w:val="21"/>
                <w:szCs w:val="21"/>
                <w:u w:val="none"/>
                <w:lang w:val="en-US" w:eastAsia="zh-CN" w:bidi="ar"/>
              </w:rPr>
              <w:t>7.与最高人民法院大要案系统网关设备完全兼容，该接口可通过运营商的IP专线电路与最高人民法院的高清音大要案系统平台网关设备直接联通，实现高清终端编双向音视频的传输；</w:t>
            </w:r>
            <w:r>
              <w:rPr>
                <w:rStyle w:val="38"/>
                <w:rFonts w:hint="eastAsia" w:ascii="宋体" w:hAnsi="宋体" w:eastAsia="宋体" w:cs="宋体"/>
                <w:sz w:val="21"/>
                <w:szCs w:val="21"/>
                <w:lang w:val="en-US" w:eastAsia="zh-CN" w:bidi="ar"/>
              </w:rPr>
              <w:t>提供佐证材料并加盖公章</w:t>
            </w:r>
            <w:r>
              <w:rPr>
                <w:rFonts w:hint="eastAsia" w:ascii="宋体" w:hAnsi="宋体" w:eastAsia="宋体" w:cs="宋体"/>
                <w:b/>
                <w:bCs/>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8.嵌入式软件：</w:t>
            </w:r>
            <w:r>
              <w:rPr>
                <w:rStyle w:val="37"/>
                <w:rFonts w:hint="eastAsia" w:ascii="宋体" w:hAnsi="宋体" w:eastAsia="宋体" w:cs="宋体"/>
                <w:sz w:val="21"/>
                <w:szCs w:val="21"/>
                <w:lang w:val="en-US" w:eastAsia="zh-CN" w:bidi="ar"/>
              </w:rPr>
              <w:t>需预装嵌入式系统软件，需支持上层管理平台指令的解析与执行。</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FCA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518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7F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用于将专线IP转换为4*E1专线电路传输</w:t>
            </w:r>
          </w:p>
        </w:tc>
      </w:tr>
      <w:tr w14:paraId="6AF75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CB5A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二</w:t>
            </w:r>
          </w:p>
        </w:tc>
        <w:tc>
          <w:tcPr>
            <w:tcW w:w="900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CD50">
            <w:pPr>
              <w:jc w:val="left"/>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要案指挥调度观摩--院内高清视频光纤传输系统</w:t>
            </w:r>
          </w:p>
        </w:tc>
      </w:tr>
      <w:tr w14:paraId="0B8A8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BE9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CD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4K超高清音视频融合统一指挥调度平台机箱</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4502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1、插卡式模块化结构设计，配置灵活，便于维护，可以选配SDI、HDMI、光纤、DVI、VGA、高清分量、复合视频、IP等多种视频接口模块，支持模块热插拔；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2、内置格式转换模块，支持任意接口、任意分辨率、帧频、嵌入音频格式的视频输入信号和视频输出信号之间格式变换；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3、内置时基同步模块，支持视频信号无缝切换，切换过程中无画面抖动、闪烁、蓝屏、黑屏等；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4、内置3G-SDI信号时钟恢复器、自适应均衡器和线缆驱动器，保证3G-SDI信号稳定性，支持3G-SDI信号100米线缆稳定传输；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5、支持输入视频分辨率自适应；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6、支持4K超高清、1080P高清和480I标清视频信号之间的格式变换；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7、支持最高分辨率4K超高清视频信号，支持4096×2160、3840×2160，1080P50/60、1080i50/60、720P50/60、PAL/NTSC等视频分辨率，以及1920×1200、1920×1080、1440×900、1366×768、1280×800、1280×720、1024×768等VGA分辨率；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8、≥32路视频（HDSDI\HDMI\DVI\分量\VGA\光纤\CVBS）输入；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9、≥32路视频（3G-SDI\HDMI\DVI\分量\VGA\光纤\CVBS）输出；选配3G-SDI输出32路；选配光纤输出32路；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支持模拟音频信号加嵌和解嵌功能；支持数字音频处理功能，可实现自动回声抑制、自动噪声抑制、自动增益控制等功能；支持数字音频控制功能，可以实现单路静音、闭音，多路全混音、多路分组混音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11、支持RS232及TCP/IP以太网控制，支持第三方中控设备编程控制；视频输入输出信号状态LED指示，直观显示视频信号切换状态；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12、支持自动广播、自动轮询、手动浏览、预设模式等控制方式；支持矩阵键盘控制、触摸屏控制、Web控制和客户端软件等控制方式，操作灵活方便；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13、支持模块化板卡结构，冗余热插拔电源、硬件嵌入结构，支持7×24小时不间断运行；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14、1+1冗余电源供电，电源模块支持热插拔。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w:t>
            </w:r>
            <w:r>
              <w:rPr>
                <w:rStyle w:val="37"/>
                <w:rFonts w:hint="eastAsia" w:ascii="宋体" w:hAnsi="宋体" w:eastAsia="宋体" w:cs="宋体"/>
                <w:sz w:val="21"/>
                <w:szCs w:val="21"/>
                <w:lang w:val="en-US" w:eastAsia="zh-CN" w:bidi="ar"/>
              </w:rPr>
              <w:t>需预装嵌入式操作系统及控制软件，支持上层指令编译与执行；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兼容性要求：</w:t>
            </w:r>
            <w:r>
              <w:rPr>
                <w:rFonts w:hint="eastAsia" w:ascii="宋体" w:hAnsi="宋体" w:eastAsia="宋体" w:cs="宋体"/>
                <w:i w:val="0"/>
                <w:iCs w:val="0"/>
                <w:color w:val="000000"/>
                <w:kern w:val="0"/>
                <w:sz w:val="21"/>
                <w:szCs w:val="21"/>
                <w:u w:val="none"/>
                <w:lang w:val="en-US" w:eastAsia="zh-CN" w:bidi="ar"/>
              </w:rPr>
              <w:br w:type="textWrapping"/>
            </w:r>
            <w:r>
              <w:rPr>
                <w:spacing w:val="4"/>
                <w:sz w:val="21"/>
                <w:szCs w:val="21"/>
              </w:rPr>
              <w:t>▲</w:t>
            </w:r>
            <w:r>
              <w:rPr>
                <w:rFonts w:hint="eastAsia" w:ascii="宋体" w:hAnsi="宋体" w:eastAsia="宋体" w:cs="宋体"/>
                <w:i w:val="0"/>
                <w:iCs w:val="0"/>
                <w:color w:val="000000"/>
                <w:kern w:val="0"/>
                <w:sz w:val="21"/>
                <w:szCs w:val="21"/>
                <w:u w:val="none"/>
                <w:lang w:val="en-US" w:eastAsia="zh-CN" w:bidi="ar"/>
              </w:rPr>
              <w:t>1、满足最高法院全国二路视频传输远程调度要求；</w:t>
            </w:r>
            <w:r>
              <w:rPr>
                <w:rStyle w:val="38"/>
                <w:rFonts w:hint="eastAsia" w:ascii="宋体" w:hAnsi="宋体" w:eastAsia="宋体" w:cs="宋体"/>
                <w:sz w:val="21"/>
                <w:szCs w:val="21"/>
                <w:lang w:val="en-US" w:eastAsia="zh-CN" w:bidi="ar"/>
              </w:rPr>
              <w:t>提供佐证材料并加盖公章；</w:t>
            </w:r>
            <w:r>
              <w:rPr>
                <w:rFonts w:hint="eastAsia" w:ascii="宋体" w:hAnsi="宋体" w:eastAsia="宋体" w:cs="宋体"/>
                <w:b/>
                <w:bCs/>
                <w:i w:val="0"/>
                <w:iCs w:val="0"/>
                <w:color w:val="000000"/>
                <w:kern w:val="0"/>
                <w:sz w:val="21"/>
                <w:szCs w:val="21"/>
                <w:u w:val="none"/>
                <w:lang w:val="en-US" w:eastAsia="zh-CN" w:bidi="ar"/>
              </w:rPr>
              <w:br w:type="textWrapping"/>
            </w:r>
            <w:r>
              <w:rPr>
                <w:spacing w:val="4"/>
                <w:sz w:val="21"/>
                <w:szCs w:val="21"/>
              </w:rPr>
              <w:t>▲</w:t>
            </w:r>
            <w:r>
              <w:rPr>
                <w:rFonts w:hint="eastAsia" w:ascii="宋体" w:hAnsi="宋体" w:eastAsia="宋体" w:cs="宋体"/>
                <w:i w:val="0"/>
                <w:iCs w:val="0"/>
                <w:color w:val="000000"/>
                <w:kern w:val="0"/>
                <w:sz w:val="21"/>
                <w:szCs w:val="21"/>
                <w:u w:val="none"/>
                <w:lang w:val="en-US" w:eastAsia="zh-CN" w:bidi="ar"/>
              </w:rPr>
              <w:t>2、满足湖南高院全省高清音视频远程统一调度管理要求；</w:t>
            </w:r>
            <w:r>
              <w:rPr>
                <w:rStyle w:val="38"/>
                <w:rFonts w:hint="eastAsia" w:ascii="宋体" w:hAnsi="宋体" w:eastAsia="宋体" w:cs="宋体"/>
                <w:sz w:val="21"/>
                <w:szCs w:val="21"/>
                <w:lang w:val="en-US" w:eastAsia="zh-CN" w:bidi="ar"/>
              </w:rPr>
              <w:t>提供佐证材料并加盖公章；</w:t>
            </w:r>
            <w:r>
              <w:rPr>
                <w:rFonts w:hint="eastAsia" w:ascii="宋体" w:hAnsi="宋体" w:eastAsia="宋体" w:cs="宋体"/>
                <w:b/>
                <w:bCs/>
                <w:i w:val="0"/>
                <w:iCs w:val="0"/>
                <w:color w:val="000000"/>
                <w:kern w:val="0"/>
                <w:sz w:val="21"/>
                <w:szCs w:val="21"/>
                <w:u w:val="none"/>
                <w:lang w:val="en-US" w:eastAsia="zh-CN" w:bidi="ar"/>
              </w:rPr>
              <w:br w:type="textWrapping"/>
            </w:r>
            <w:r>
              <w:rPr>
                <w:spacing w:val="4"/>
                <w:sz w:val="21"/>
                <w:szCs w:val="21"/>
              </w:rPr>
              <w:t>▲</w:t>
            </w:r>
            <w:r>
              <w:rPr>
                <w:rFonts w:hint="eastAsia" w:ascii="宋体" w:hAnsi="宋体" w:eastAsia="宋体" w:cs="宋体"/>
                <w:i w:val="0"/>
                <w:iCs w:val="0"/>
                <w:color w:val="000000"/>
                <w:kern w:val="0"/>
                <w:sz w:val="21"/>
                <w:szCs w:val="21"/>
                <w:u w:val="none"/>
                <w:lang w:val="en-US" w:eastAsia="zh-CN" w:bidi="ar"/>
              </w:rPr>
              <w:t>3、满足最高法院执行局关于“一键式调度”要求；</w:t>
            </w:r>
            <w:r>
              <w:rPr>
                <w:rStyle w:val="38"/>
                <w:rFonts w:hint="eastAsia" w:ascii="宋体" w:hAnsi="宋体" w:eastAsia="宋体" w:cs="宋体"/>
                <w:sz w:val="21"/>
                <w:szCs w:val="21"/>
                <w:lang w:val="en-US" w:eastAsia="zh-CN" w:bidi="ar"/>
              </w:rPr>
              <w:t>提供佐证材料并加盖公章；</w:t>
            </w:r>
            <w:r>
              <w:rPr>
                <w:rFonts w:hint="eastAsia" w:ascii="宋体" w:hAnsi="宋体" w:eastAsia="宋体" w:cs="宋体"/>
                <w:b/>
                <w:bCs/>
                <w:i w:val="0"/>
                <w:iCs w:val="0"/>
                <w:color w:val="000000"/>
                <w:kern w:val="0"/>
                <w:sz w:val="21"/>
                <w:szCs w:val="21"/>
                <w:u w:val="none"/>
                <w:lang w:val="en-US" w:eastAsia="zh-CN" w:bidi="ar"/>
              </w:rPr>
              <w:br w:type="textWrapping"/>
            </w:r>
            <w:r>
              <w:rPr>
                <w:spacing w:val="4"/>
                <w:sz w:val="21"/>
                <w:szCs w:val="21"/>
              </w:rPr>
              <w:t>▲</w:t>
            </w:r>
            <w:r>
              <w:rPr>
                <w:rFonts w:hint="eastAsia" w:ascii="宋体" w:hAnsi="宋体" w:eastAsia="宋体" w:cs="宋体"/>
                <w:i w:val="0"/>
                <w:iCs w:val="0"/>
                <w:color w:val="000000"/>
                <w:kern w:val="0"/>
                <w:sz w:val="21"/>
                <w:szCs w:val="21"/>
                <w:u w:val="none"/>
                <w:lang w:val="en-US" w:eastAsia="zh-CN" w:bidi="ar"/>
              </w:rPr>
              <w:t>4、满足最高法院关于大要案转播技术要求，满足输出合规信号的要求。</w:t>
            </w:r>
            <w:r>
              <w:rPr>
                <w:rStyle w:val="38"/>
                <w:rFonts w:hint="eastAsia" w:ascii="宋体" w:hAnsi="宋体" w:eastAsia="宋体" w:cs="宋体"/>
                <w:sz w:val="21"/>
                <w:szCs w:val="21"/>
                <w:lang w:val="en-US" w:eastAsia="zh-CN" w:bidi="ar"/>
              </w:rPr>
              <w:t>提供佐证材料并加盖公章；</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BD0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2EB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D63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安装在指挥中心，通过光纤实现法庭信号的接收；通过光纤发送到各观摩室、指挥中心等场所；通过SDI输出给高清编解码器传输到最高法院、省高院。实现大要案调度指挥、远程观摩、三方会谈等。</w:t>
            </w:r>
          </w:p>
        </w:tc>
      </w:tr>
      <w:tr w14:paraId="221AD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5E8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44E0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32路音视频交换处理板及嵌入式软件</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3A7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1、≥32路音频差分信号输入，≥72路音视频差分输出；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2、≥32路视频输入预处理，支持视频降噪、图像增强等预处理；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3、32路输出处理：支持视频输出信号功率增强；图像滤波、图像增益调整等处理；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4、视频分辨率支持支持4096x2160、3840x2160，1080P50/60、1080i50/60、720P50/60、PAL/NTSC等视频分辨率，以及1920x1200、1920x1080、1440x900、1366x768、1280x800、1280x720、1024x768等VGA分辨率；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5、支持≥32视频矩阵切换；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6、支持≥32路音频矩阵切换：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7、支持自动广播、自动浏览、手动广播、自动广播等MCU操作指令调度；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8、支持分组会议、预约会议切换等MCU操作指令调度。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9、嵌入式软件：需预装嵌入式视音频处理系统软件，支持上层指令编译与执行。</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B9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D5C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27C3D">
            <w:pPr>
              <w:jc w:val="center"/>
              <w:rPr>
                <w:rFonts w:hint="eastAsia" w:ascii="宋体" w:hAnsi="宋体" w:eastAsia="宋体" w:cs="宋体"/>
                <w:i w:val="0"/>
                <w:iCs w:val="0"/>
                <w:color w:val="000000"/>
                <w:sz w:val="21"/>
                <w:szCs w:val="21"/>
                <w:u w:val="none"/>
              </w:rPr>
            </w:pPr>
          </w:p>
        </w:tc>
      </w:tr>
      <w:tr w14:paraId="0ED6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EEA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0E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32路数字混音处理板及嵌入式软件</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9CD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1、≥32路音频数字差分信号输入，≥72路音频数字差分输出；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2、≥32路音频输入预处理，支持音频降噪、音频均衡等预处理；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3、≥32路输出处理：支持音频输出信号功率增强；音频增益、音频均衡调整等处理；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4、支持≥32路全数字混音，部分混音；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5、支持≥32路音频矩阵切换；音频频广播、分配、调度切换；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6、支持全混音、选择静音等MCU操作指令调度；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7、支持静音、哑音、全部静音、打开静音等MCU操作指令调度；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8、支持分组会议，支持分组会议模板等MCU操作指令调度；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9、嵌入式软件：需预装嵌入式音频处理系统软件，支持上层指令编译与执行。</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C8F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94A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B553B">
            <w:pPr>
              <w:jc w:val="center"/>
              <w:rPr>
                <w:rFonts w:hint="eastAsia" w:ascii="宋体" w:hAnsi="宋体" w:eastAsia="宋体" w:cs="宋体"/>
                <w:i w:val="0"/>
                <w:iCs w:val="0"/>
                <w:color w:val="000000"/>
                <w:sz w:val="21"/>
                <w:szCs w:val="21"/>
                <w:u w:val="none"/>
              </w:rPr>
            </w:pPr>
          </w:p>
        </w:tc>
      </w:tr>
      <w:tr w14:paraId="5660D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321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1B9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4路高清视频光纤输入模块</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A05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1、≥4路光纤信号输入，≥4路3G-SDI信号环出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2、≥4路双声道模拟音频平衡输入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3、最高1080P60视频分辨率，输入视频格式自适应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4、支持模拟音频加嵌功能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5、光纤模块SPF-LC接口，单模/多模可选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6、配合混音处理板可实现音频混音功能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7、嵌入式软件：需预装嵌入式系统软件，需支持上层指令编译与执行。                                                                                                                                                                                                                                         </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FFD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7C7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AF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用于大要案法庭、观摩室等信号上传接入；</w:t>
            </w:r>
          </w:p>
        </w:tc>
      </w:tr>
      <w:tr w14:paraId="67D76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647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0F7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4路高清视频光纤输出模块</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F69D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1、≥4路光纤信号输出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2、≥4路双声道模拟音频平衡输出，支持数字音频与模拟音频同时输出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3、最高1080P60视频分辨率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4、支持视频格式转换功能，可任意设置视频输出分辨率及帧频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5、内置时基校正模块，视频信号无缝切换，画面切换无抖动、闪烁、蓝屏、黑屏等现象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6、数字音频解嵌输出，输出音频声道可选择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7、光纤模块SPF-LC接口，单模或多模可选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8、配合混音处理板可实现音频混音功能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9、嵌入式软件：需预装嵌入式系统软件，支持上层指令编译与执行。</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A59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15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C7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用于给领导观摩室、指挥中心推送大要案法庭音视频信号。</w:t>
            </w:r>
          </w:p>
        </w:tc>
      </w:tr>
      <w:tr w14:paraId="34BE0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AAD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1010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4路4K超高清视频HDMI输入模块</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2D82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1、≥4路广播级4K分辨率HDMI/DVI接口高清视频输入模块；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2、≥4路HDMI标准输入接口；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3、≥4路双声道模拟音频输入接口；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4、支持最高4K视频分辨率，兼容1080P,输入分辨率格式自适应；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5、内置模拟音频加嵌功能；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6、兼容DVI信号输入；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7、嵌入式软件：需预装嵌入式系统软件，支持上层指令编译与执行。</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368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42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BF69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用于本地音视频信号、PC信号接入</w:t>
            </w:r>
          </w:p>
        </w:tc>
      </w:tr>
      <w:tr w14:paraId="2585C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0EE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87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4路4K超高清视频HDMI输出模块</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283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1、≥4路广播级4K分辨率HDMI/DVI接口高清视频输出模块；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2、≥4路HDMI标准输出接口；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3、≥4路双声道模拟音频输出接口；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4、支持最高4K视频分辨率，兼容1080P；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5、内置模拟音频解嵌功能；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6、兼容DVI信号输出；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7、嵌入式软件：需预装嵌入式系统软件，支持上层指令编译与执行。</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59C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D8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6C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用于将法庭、本地等上传到大屏</w:t>
            </w:r>
          </w:p>
        </w:tc>
      </w:tr>
      <w:tr w14:paraId="08EA1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BC3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32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4路高清视频SDI输入模块</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top"/>
          </w:tcPr>
          <w:p w14:paraId="63DC4C6B">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1、≥4路3G-SDI视频信号输入、≥4路3G-SDI信号环出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2、≥4路双声道模拟音频平衡输入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3、最高1080P60视频分辨率，视频输入格式自适应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4、SDI嵌入音频功能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5、模拟音频加嵌功能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6、内置3G-SDI信号时钟恢复、自适应均衡、线缆驱动功能，支持3G-SDI信号长距离稳定传输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7、配合混音处理板可实现音频混音功能</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72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B8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E1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连接2路终端信号输入；冗余2路。</w:t>
            </w:r>
          </w:p>
        </w:tc>
      </w:tr>
      <w:tr w14:paraId="376C4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B93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41A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4路高清视频SDI输出模块</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top"/>
          </w:tcPr>
          <w:p w14:paraId="0979DD66">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1、≥4路3G-SDI视频信号输出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2、≥4路双声道模拟音频平衡输出，≥4路SDI嵌入音频输出，数字、模拟音频同时输出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3、最高1080P60视频分辨率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4、支持视频格式转换功能，可任意设置视频输出分辨率及帧频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5、内置时基校正模块，视频信号无缝切换，画面切换无抖动、闪烁、蓝屏、黑屏等现象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6、数字音频解嵌输出，输出音频声道可选择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7、内置3G-SDI信号时钟恢复、自适应均衡、线缆驱动处理模块，支持3G-SDI信号长距离稳定传输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8、配合混音处理板可实现音频混音功能</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5E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BA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4C3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连接2路终端信号输出；冗余2路。</w:t>
            </w:r>
          </w:p>
        </w:tc>
      </w:tr>
      <w:tr w14:paraId="60F76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402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4C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4K超高清多格式音视频光端机-发送</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34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1.视频输入接口：3G-SDI、HDMI-4K、YPbPr、VGA、CVBS；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2.光纤输出：SPF-LC，多模或单模光模块可选；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3.视频分辨率：4K25/30、1080P25/30/50/60、1080i50/60、720P25/30/50/60、PAL、NTSC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4.VGA分辨率：1920x1200、1920x1080、1440x900、1366x768、1280x800、1280x720、1024x768；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5.视频输入信号格式自适应；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6.双声道模拟音频平衡输入、SDI嵌入音频输入、HDMI嵌入音频输入；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7.模拟音频加嵌功能；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8.3G-SDI时钟恢复器、自适应均衡器和驱动器，保证3G-SDI信号长距离稳定传输；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9.图像亮度、对比度、饱和度等参数可调节；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10.前面板状态显示：系统状态、视频输入接口、音频输入、输入视频格式等；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11.支持交流220V电源冗余供电，支持电源热插拔；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12.1U高，19吋宽标准机箱，可安装于19寸标准机柜；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13.嵌入式软件：需预装嵌入式系统软件，支持上层指令编译与执行。</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05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2D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C9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安装在法庭，实现法庭现将法庭内的信号光纤传输到机房</w:t>
            </w:r>
          </w:p>
        </w:tc>
      </w:tr>
      <w:tr w14:paraId="32D59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5CD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6B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4K超高清多格式音视频光端机-接收</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CE8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1.光纤输入接口：SPF-LC，多模或单模光模块可选；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2.视频输出接口：3G-SDI、HDMI-4K、YPbPr、VGA、CVBS；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3.视频分辨率：4K25/30、1080P25/30/50/60、1080i50/60、720P25/30/50/60、PAL、NTSC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4.VGA分辨率：1920x1200、1920x1080、1440x900、1366x768、1280x800、1280x720、1024x768；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5.内置视频信号格式转换功能，视频输出格式可任意设置；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6.双声道模拟音频平衡输出、SDI嵌入音频输出、HDMI嵌入音频输出；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7.模拟音频解嵌功能；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8.3G-SDI时钟恢复器、自适应均衡器和驱动器，保证3G-SDI信号长距离稳定传输；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9.图像亮度、对比度、饱和度等参数可调节；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10.前面板状态显示：系统状态、视频输出接口、音频输出、输出视频格式等；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11.支持交流220V电源冗余供电，支持电源热插拔；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12.1U高，19吋宽标准机箱，可安装于19寸标准机柜；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13.嵌入式软件：需预装嵌入式系统软件，支持上层指令编译与执行。</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24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7C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44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安装在机房（或要案观摩室，通过光纤实现法庭信号的接收。</w:t>
            </w:r>
          </w:p>
        </w:tc>
      </w:tr>
      <w:tr w14:paraId="05434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C78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72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4K超高清视频光端机-双向</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D7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1、视频输入、输出接口：3G-SDI、HDMI-4K、YPbPr、VGA、CVBS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2、光纤输入、输出接口：SPF-LC，多模或单模光模块可选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3、视频分辨率：4K25/30、1080P25/30/50/60、1080i50/60、720P25/30/50/60、PAL、NTSC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4、VGA分辨率：1920x1200、1920x1080、1440x900、1366x768、1280x800、1280x720、1024x768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5、视频输入信号格式自适应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6、内置视频信号格式转换功能，视频输出格式可任意设置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7、双声道模拟音频平衡输入输出、SDI嵌入音频输入输出、HDMI嵌入音频输入输出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8、模拟音频加嵌、解嵌功能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9、3G-SDI时钟恢复器、自适应均衡器和驱动器，保证3G-SDI信号长距离稳定传输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10、图像亮度、对比度、饱和度等参数可调节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11、前面板状态显示：系统状态、视频输入输出接口、音频输入输出接口、视频格式状态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12、交流220V电源供电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13、1U高，19吋宽标准机箱，可安装于19寸标准机柜</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31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AC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BC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接收大要案法庭上传的音视频信号，同时将本地信号上传至8路调度平台，实现会场延伸功能。</w:t>
            </w:r>
          </w:p>
        </w:tc>
      </w:tr>
      <w:tr w14:paraId="7DD73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BDB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三</w:t>
            </w:r>
          </w:p>
        </w:tc>
        <w:tc>
          <w:tcPr>
            <w:tcW w:w="900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2ADC">
            <w:pPr>
              <w:jc w:val="left"/>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要案审判法庭--广播级移动视频采集编、导播、存储、流媒体等保障支撑系统</w:t>
            </w:r>
          </w:p>
        </w:tc>
      </w:tr>
      <w:tr w14:paraId="23C6A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71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269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12G-SDI广播级超高清摄像机</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E19E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4K高清多用途摄录一体机；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1.内置内置4K分辨率机芯，1英寸CMOS ，935万像素；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2.支持内置存储卡，远程控制录制功能，在1080P分辨率下,≥12小时；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3.支持光学18倍（4K分辨率）；光学24倍（1080P分辨率下）变焦的范围；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4.F2.8的恒定光圈，低照灵敏度，最低0.5 lux；</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5.、接口：12G-SDI 输出（BNC×1）（高达1,920×1,080 60p 4:2:2 10-bit）、HDMI 输出×1（高达3,840×2,160 60p 4:2:2 10-bit）；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6.录制格式：Quicktime、MP4、MXF；</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7..视频直播：RTMP、MPEG2-TS/UDP、MPEG2-TS/TCP、MPEG2-TS/RTP、RTSP/RTP；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8..一键控制：按下“自动/ 锁定”按钮，可锁定对焦或开启自动对焦；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6G / 3G-SDI视频支持高达2160p30、1080p60、1080i59.94，和高达4K / 30的IP视频分辨率。向下兼容： HQ模式：1920×1080/59.94i格式，29.97P、23.98P，1440×1080/59.94i格式，1280×720/59.94P、29.97P、23.98P SP模式：1440×1080/59.94i格式（25Mbps），1280×720/59.94p（19Mbps） PAL设置： HQ模式：1920×1080/50i格式，25p; 1440×1080/50i格式，1280×720/50p，25p SP模式：1440×1080/50i格式（25Mbps），1280×720/50p（19Mbps）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9.支持RS232, RS422(485)接口；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10.音频输入x1，音频输出x1，3.5mm音频插孔；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11.双声道音频编码，48kHz/16bit， 256kbps (AVCHD)；</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12.支持智能云台远程控制摄像机各项动作;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13.支持内置电池，拍摄时间大于4小时，满足不使用电源情况下独立拍摄;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14.嵌入式软件：需预装嵌入式控制软件，支持远程摄像机控制协议。</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80F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619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49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用于采集高质量广播级视频图像</w:t>
            </w:r>
          </w:p>
        </w:tc>
      </w:tr>
      <w:tr w14:paraId="02B7F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7C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3A9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广播级室内电动云台</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4629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1.广播级室内遥控云台，超静音设计，噪音需少于34DB；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2.支持威泰视信\SONY\JVC\松下广播级手持式摄录一体机远程控制；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3.自动/手动光圈可远程切换，手动光圈状态下可远程设定光圈大小，有效解决拍摄主体太亮或太暗问题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4.内置高精度编码器，无累计误差；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5.智能软启动和停止，确保画面运动平滑稳定；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6.支持水平、俯仰、变焦、聚集、光圈、远程开关机、远程录像开启及关闭、字符显示打开与关闭、摄像机菜单及参数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7.内置稳压电路，对摄像机进行有效保护，避免出现过压、欠压、过流等情况，摄像机电源将无法打开；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8.兼容威泰视信视频系统远程控制；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9.含三脚架安装接口套件;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10.提供一组摄像机供电的直流电源，并可以实现远程开关机内置调试按键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11.嵌入式软件：需预装智能控制系统底层软件，满足要案保障系统的统一调度与管理。</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C85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782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99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用于多少摄像机的远程控制，实现通过控制台远程自动控制摄像机的各类动作。</w:t>
            </w:r>
          </w:p>
        </w:tc>
      </w:tr>
      <w:tr w14:paraId="15D3B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D0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1C6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专业摄像机三脚架</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D495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专业摄像机三脚架铝合金，含液压云台套装，360度拍摄；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超大摇臂三角架云台套装，承载重量：10KG，自重：4.5KG；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最大高度，1.60米。</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502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EB5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8F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摄像机移动安装</w:t>
            </w:r>
          </w:p>
        </w:tc>
      </w:tr>
      <w:tr w14:paraId="06799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A4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946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专业有线话筒</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716394B4">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类型：Ф20mm外偏置纯金镀膜电容传声器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最大输入声压级：137dB（THD≤1%，2500Ω负载）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 向 性：心型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信 噪 比：74dB（1KHz@1Pa）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频    响：20～20000Hz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灵 敏 度：15mV/Pa（-37dB±2dB，@1KHz 2500Ω负载，0dB=1v/Pa）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输出阻抗：150Ω（@1KHz）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供    电：幻象9－52V供电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含支架</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B38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9D1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w:t>
            </w:r>
          </w:p>
        </w:tc>
        <w:tc>
          <w:tcPr>
            <w:tcW w:w="13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BBD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被告席</w:t>
            </w:r>
          </w:p>
        </w:tc>
      </w:tr>
      <w:tr w14:paraId="4C974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30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F51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多用途音视频编导播切换与存储流媒体系统</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7D9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集合广播级音视频编导播、云台控制、摄像机操作、矩阵切换、硬盘存储、音频处理等功能于一体：≥8路导播切换、≥8路矩阵切换、≥8路音频处理、≥17寸液晶监视器、≥8路直流电源集中供电、≥5路摄像机云台控制、≥8路广播级音视频接口、光纤传输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1、支持≥8路12G-SDI视频输入,≥2路组HDMI输入；分辨率自适应，分辨率最大支持4KP50/60；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2、支持≥2声道模拟平衡音频输入和输出，卡侬接口；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3、支持≥2路HDMI多画面监看输出；HDMI Type A接口。支持前置≥2声道模拟音频耳机监听输出（3.5mm插座），分辨率最大支持4KP50/60；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4、支持≥2路SDI输出：≥1路PGM节目输出，≥1路内容可配置的SDI输出，BNC接口；分辨率最大支持4KP50/60；内置≥1路光纤输出，可直接与融合平台光纤板卡对接；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5、控制接口支持：≥1个RS-422（RJ45），≥1个千兆网口（RJ45），≥1个USB接口；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6、图文、键控、特效导播：2组外键，可配置为色键、亮键、线性键；≥6个内部图文键，支持图片或图片串；≥2个DVE键控（开窗效果）；支持多种转场特效；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7、文件播放：支持DDR背景音频文件播放；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8、内置音频延迟器，满足600MS的音频延迟，满足导播音视频唇音同步需要；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9、内置流媒体播放：支持≥1路H.264流媒体发布，内容可同时本地存储到SSD固态硬盘；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11、*多画面输出：需支持设置为≥1大5小多画面合成输出，大画面导播切换输出，且可方便切换到单画面导播输出，合成画面与单独画面切换均平滑，无抖动不黑场；单画面，模式下，可控制摄像机特写摄录；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12、内置高清显示：内置≥17寸工业级高清监视器，具备≥1路SDI输入，≥1路HDMI输入；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13、内置≥5路摄像机动作控制键盘：可遥控专业广播级云台、一体机云台、VISCA协议云台摄像机等。最大实现≥5个云台及摄像机远程开关机。内置发光全进口高可靠按键；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14、内置≥8路导播切换键盘：可切换≥8路视频信号与特技制作全进口电位器，全内置发光高可靠按键；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15、≥8路导播主机支持热插拔双电源供电，确保核心设备的稳定；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16、内置≥8路音频处理器：≥8路平衡式话筒／线路输入，具有48V幻象供电软开关；具有前置放大、信号发生器、扩展器、压缩器、3段参量均衡具有PEQ、High-Shelf、Low- Shelf、LP、HP等类型可选；≥8路平衡式线路输出，参量均衡、延时器、分频器、高低通滤波器、限幅器；自适应反馈消除AFC为每路麦克风提供反馈抑制，抑制系统啸叫；自动增益控制AGC，确保音响系统的输出音量平稳；自适应回声消除AEC，快速消除视频会议中产生的回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17、内置≥2路视频硬盘存储：支持≥2路热插拔固态硬盘存储；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18、内置≥8路集中直流供电：内置集中电源控制器，支持≥4路24V2A，≥4路12V3A直流供电，总功率大于400W，可向云台及摄像机集中供电；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19、兼容安装视频会议终端：可内置视频会议终端，可作为视频会议移动会场使用；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20、兼容安装安装执行会商视频会议终端：可内置执行会商视频会议终端，作为执行现场移动使用；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21、兼容安装安装数字法庭主机：可内置数字法庭主机的空间，可作为移动法庭审判使用；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22、兼容安装高清音视频光端机：内置备份高清音视频光端机，与大要案调度平台直接对接使用；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23、定制导播台专用箱体（15U黑色），设置扩展操作平台×2，内置高密棉，满足航空运输要求；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24、嵌入式软件：需预装编导播控制系统软件，满足要案保障系统的统一调度与管理。</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1C7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605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E2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用于对多点位摄像机进行专业的切换控制；存储、导播，满足重要活动、重要庭审的广播级视频采集、编导、存储、后期编辑等使用要求</w:t>
            </w:r>
          </w:p>
        </w:tc>
      </w:tr>
      <w:tr w14:paraId="0A2DC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2B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EAF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云台及摄像机专用设备箱</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7AC7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1.可存放2套云台、2套广播级摄像机；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2.可收纳存放导播台配套器材及线材。</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C8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AD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AC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定制。用于装载摄像机及云台</w:t>
            </w:r>
          </w:p>
        </w:tc>
      </w:tr>
      <w:tr w14:paraId="51CFC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CF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04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45米定制线缆</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E8B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大要案导播定制加工摄像机组合电缆，保障线缆安全；线缆45米用于前场通讯；高清视频线缆支持3G高清信号100米以上传输距离。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1、1条45米电源线缆：45米双芯电源线缆定制电源接头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2、1条45米-4K高清视频线缆</w:t>
            </w:r>
            <w:r>
              <w:rPr>
                <w:rFonts w:hint="eastAsia" w:ascii="宋体" w:hAnsi="宋体" w:cs="宋体"/>
                <w:i w:val="0"/>
                <w:iCs w:val="0"/>
                <w:color w:val="000000"/>
                <w:kern w:val="0"/>
                <w:sz w:val="21"/>
                <w:szCs w:val="21"/>
                <w:highlight w:val="none"/>
                <w:u w:val="none"/>
                <w:lang w:val="en-US" w:eastAsia="zh-CN" w:bidi="ar"/>
              </w:rPr>
              <w:t>；</w:t>
            </w:r>
            <w:r>
              <w:rPr>
                <w:rFonts w:hint="eastAsia" w:ascii="宋体" w:hAnsi="宋体" w:eastAsia="宋体" w:cs="宋体"/>
                <w:i w:val="0"/>
                <w:iCs w:val="0"/>
                <w:color w:val="000000"/>
                <w:kern w:val="0"/>
                <w:sz w:val="21"/>
                <w:szCs w:val="21"/>
                <w:highlight w:val="red"/>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3、1条45米控制线缆：超六类网线,超六类接头;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4、1个45米蛇皮外护套</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4A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EE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FC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用于摄像机信号控制与传输</w:t>
            </w:r>
          </w:p>
        </w:tc>
      </w:tr>
      <w:tr w14:paraId="2624C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48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43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25米定制线缆</w:t>
            </w:r>
          </w:p>
        </w:tc>
        <w:tc>
          <w:tcPr>
            <w:tcW w:w="4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E6B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大要案导播定制加工摄像机组合电缆，保障线缆安全；线缆25米用于后场通讯；高清视频线缆支持3G高清信号100米以上传输距离。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1、1条25米电源线缆：25米双芯电源线缆，定制电源接头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2、1条25米-4K高清视频线缆</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3、1条25米控制线缆：超六类网线，超六类接头；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4、1个25米蛇皮外护套</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DF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E6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5F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用于摄像机信号控制与传输</w:t>
            </w:r>
          </w:p>
        </w:tc>
      </w:tr>
      <w:tr w14:paraId="40B86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66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23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HD/SD多格式视频转换器</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DF6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36"/>
                <w:sz w:val="21"/>
                <w:szCs w:val="21"/>
                <w:lang w:val="en-US" w:eastAsia="zh-CN" w:bidi="ar"/>
              </w:rPr>
              <w:t>1</w:t>
            </w:r>
            <w:r>
              <w:rPr>
                <w:rStyle w:val="37"/>
                <w:sz w:val="21"/>
                <w:szCs w:val="21"/>
                <w:lang w:val="en-US" w:eastAsia="zh-CN" w:bidi="ar"/>
              </w:rPr>
              <w:t>、</w:t>
            </w:r>
            <w:r>
              <w:rPr>
                <w:rStyle w:val="36"/>
                <w:sz w:val="21"/>
                <w:szCs w:val="21"/>
                <w:lang w:val="en-US" w:eastAsia="zh-CN" w:bidi="ar"/>
              </w:rPr>
              <w:t>VGA/HDMI/SDI</w:t>
            </w:r>
            <w:r>
              <w:rPr>
                <w:rStyle w:val="37"/>
                <w:sz w:val="21"/>
                <w:szCs w:val="21"/>
                <w:lang w:val="en-US" w:eastAsia="zh-CN" w:bidi="ar"/>
              </w:rPr>
              <w:t>转</w:t>
            </w:r>
            <w:r>
              <w:rPr>
                <w:rStyle w:val="36"/>
                <w:sz w:val="21"/>
                <w:szCs w:val="21"/>
                <w:lang w:val="en-US" w:eastAsia="zh-CN" w:bidi="ar"/>
              </w:rPr>
              <w:t>HDMI/SDI</w:t>
            </w:r>
            <w:r>
              <w:rPr>
                <w:rStyle w:val="37"/>
                <w:sz w:val="21"/>
                <w:szCs w:val="21"/>
                <w:lang w:val="en-US" w:eastAsia="zh-CN" w:bidi="ar"/>
              </w:rPr>
              <w:t>（含上下交叉转换）；</w:t>
            </w:r>
            <w:r>
              <w:rPr>
                <w:rStyle w:val="37"/>
                <w:sz w:val="21"/>
                <w:szCs w:val="21"/>
                <w:lang w:val="en-US" w:eastAsia="zh-CN" w:bidi="ar"/>
              </w:rPr>
              <w:br w:type="textWrapping"/>
            </w:r>
            <w:r>
              <w:rPr>
                <w:rStyle w:val="36"/>
                <w:sz w:val="21"/>
                <w:szCs w:val="21"/>
                <w:lang w:val="en-US" w:eastAsia="zh-CN" w:bidi="ar"/>
              </w:rPr>
              <w:t>2</w:t>
            </w:r>
            <w:r>
              <w:rPr>
                <w:rStyle w:val="37"/>
                <w:sz w:val="21"/>
                <w:szCs w:val="21"/>
                <w:lang w:val="en-US" w:eastAsia="zh-CN" w:bidi="ar"/>
              </w:rPr>
              <w:t>、视频输入：</w:t>
            </w:r>
            <w:r>
              <w:rPr>
                <w:rStyle w:val="36"/>
                <w:sz w:val="21"/>
                <w:szCs w:val="21"/>
                <w:lang w:val="en-US" w:eastAsia="zh-CN" w:bidi="ar"/>
              </w:rPr>
              <w:t>1xVGA</w:t>
            </w:r>
            <w:r>
              <w:rPr>
                <w:rStyle w:val="37"/>
                <w:sz w:val="21"/>
                <w:szCs w:val="21"/>
                <w:lang w:val="en-US" w:eastAsia="zh-CN" w:bidi="ar"/>
              </w:rPr>
              <w:t>、</w:t>
            </w:r>
            <w:r>
              <w:rPr>
                <w:rStyle w:val="36"/>
                <w:sz w:val="21"/>
                <w:szCs w:val="21"/>
                <w:lang w:val="en-US" w:eastAsia="zh-CN" w:bidi="ar"/>
              </w:rPr>
              <w:t>1xHDMI</w:t>
            </w:r>
            <w:r>
              <w:rPr>
                <w:rStyle w:val="37"/>
                <w:sz w:val="21"/>
                <w:szCs w:val="21"/>
                <w:lang w:val="en-US" w:eastAsia="zh-CN" w:bidi="ar"/>
              </w:rPr>
              <w:t>、</w:t>
            </w:r>
            <w:r>
              <w:rPr>
                <w:rStyle w:val="36"/>
                <w:sz w:val="21"/>
                <w:szCs w:val="21"/>
                <w:lang w:val="en-US" w:eastAsia="zh-CN" w:bidi="ar"/>
              </w:rPr>
              <w:t>1x3G/HD/SD-SDI</w:t>
            </w:r>
            <w:r>
              <w:rPr>
                <w:rStyle w:val="37"/>
                <w:sz w:val="21"/>
                <w:szCs w:val="21"/>
                <w:lang w:val="en-US" w:eastAsia="zh-CN" w:bidi="ar"/>
              </w:rPr>
              <w:t>；</w:t>
            </w:r>
            <w:r>
              <w:rPr>
                <w:rStyle w:val="37"/>
                <w:sz w:val="21"/>
                <w:szCs w:val="21"/>
                <w:lang w:val="en-US" w:eastAsia="zh-CN" w:bidi="ar"/>
              </w:rPr>
              <w:br w:type="textWrapping"/>
            </w:r>
            <w:r>
              <w:rPr>
                <w:rStyle w:val="36"/>
                <w:sz w:val="21"/>
                <w:szCs w:val="21"/>
                <w:lang w:val="en-US" w:eastAsia="zh-CN" w:bidi="ar"/>
              </w:rPr>
              <w:t>3</w:t>
            </w:r>
            <w:r>
              <w:rPr>
                <w:rStyle w:val="37"/>
                <w:sz w:val="21"/>
                <w:szCs w:val="21"/>
                <w:lang w:val="en-US" w:eastAsia="zh-CN" w:bidi="ar"/>
              </w:rPr>
              <w:t>、视频输出：</w:t>
            </w:r>
            <w:r>
              <w:rPr>
                <w:rStyle w:val="36"/>
                <w:sz w:val="21"/>
                <w:szCs w:val="21"/>
                <w:lang w:val="en-US" w:eastAsia="zh-CN" w:bidi="ar"/>
              </w:rPr>
              <w:t>2x3G/HD/SD-SDI</w:t>
            </w:r>
            <w:r>
              <w:rPr>
                <w:rStyle w:val="37"/>
                <w:sz w:val="21"/>
                <w:szCs w:val="21"/>
                <w:lang w:val="en-US" w:eastAsia="zh-CN" w:bidi="ar"/>
              </w:rPr>
              <w:t>，带嵌入式数字音频；</w:t>
            </w:r>
            <w:r>
              <w:rPr>
                <w:rStyle w:val="36"/>
                <w:sz w:val="21"/>
                <w:szCs w:val="21"/>
                <w:lang w:val="en-US" w:eastAsia="zh-CN" w:bidi="ar"/>
              </w:rPr>
              <w:t>1xHDMI</w:t>
            </w:r>
            <w:r>
              <w:rPr>
                <w:rStyle w:val="37"/>
                <w:sz w:val="21"/>
                <w:szCs w:val="21"/>
                <w:lang w:val="en-US" w:eastAsia="zh-CN" w:bidi="ar"/>
              </w:rPr>
              <w:t>；</w:t>
            </w:r>
            <w:r>
              <w:rPr>
                <w:rStyle w:val="37"/>
                <w:sz w:val="21"/>
                <w:szCs w:val="21"/>
                <w:lang w:val="en-US" w:eastAsia="zh-CN" w:bidi="ar"/>
              </w:rPr>
              <w:br w:type="textWrapping"/>
            </w:r>
            <w:r>
              <w:rPr>
                <w:rStyle w:val="36"/>
                <w:sz w:val="21"/>
                <w:szCs w:val="21"/>
                <w:lang w:val="en-US" w:eastAsia="zh-CN" w:bidi="ar"/>
              </w:rPr>
              <w:t>4</w:t>
            </w:r>
            <w:r>
              <w:rPr>
                <w:rStyle w:val="37"/>
                <w:sz w:val="21"/>
                <w:szCs w:val="21"/>
                <w:lang w:val="en-US" w:eastAsia="zh-CN" w:bidi="ar"/>
              </w:rPr>
              <w:t>、</w:t>
            </w:r>
            <w:r>
              <w:rPr>
                <w:rStyle w:val="36"/>
                <w:sz w:val="21"/>
                <w:szCs w:val="21"/>
                <w:lang w:val="en-US" w:eastAsia="zh-CN" w:bidi="ar"/>
              </w:rPr>
              <w:t>2xRCA (Stereo Pair)</w:t>
            </w:r>
            <w:r>
              <w:rPr>
                <w:rStyle w:val="37"/>
                <w:sz w:val="21"/>
                <w:szCs w:val="21"/>
                <w:lang w:val="en-US" w:eastAsia="zh-CN" w:bidi="ar"/>
              </w:rPr>
              <w:t>，</w:t>
            </w:r>
            <w:r>
              <w:rPr>
                <w:rStyle w:val="36"/>
                <w:sz w:val="21"/>
                <w:szCs w:val="21"/>
                <w:lang w:val="en-US" w:eastAsia="zh-CN" w:bidi="ar"/>
              </w:rPr>
              <w:t>2xSDI/HDMI Audio embedded</w:t>
            </w:r>
            <w:r>
              <w:rPr>
                <w:rStyle w:val="37"/>
                <w:sz w:val="21"/>
                <w:szCs w:val="21"/>
                <w:lang w:val="en-US" w:eastAsia="zh-CN" w:bidi="ar"/>
              </w:rPr>
              <w:t>；</w:t>
            </w:r>
            <w:r>
              <w:rPr>
                <w:rStyle w:val="37"/>
                <w:sz w:val="21"/>
                <w:szCs w:val="21"/>
                <w:lang w:val="en-US" w:eastAsia="zh-CN" w:bidi="ar"/>
              </w:rPr>
              <w:br w:type="textWrapping"/>
            </w:r>
            <w:r>
              <w:rPr>
                <w:rStyle w:val="36"/>
                <w:sz w:val="21"/>
                <w:szCs w:val="21"/>
                <w:lang w:val="en-US" w:eastAsia="zh-CN" w:bidi="ar"/>
              </w:rPr>
              <w:t>5</w:t>
            </w:r>
            <w:r>
              <w:rPr>
                <w:rStyle w:val="37"/>
                <w:sz w:val="21"/>
                <w:szCs w:val="21"/>
                <w:lang w:val="en-US" w:eastAsia="zh-CN" w:bidi="ar"/>
              </w:rPr>
              <w:t>、输出分辨率可设置：</w:t>
            </w:r>
            <w:r>
              <w:rPr>
                <w:rStyle w:val="36"/>
                <w:sz w:val="21"/>
                <w:szCs w:val="21"/>
                <w:lang w:val="en-US" w:eastAsia="zh-CN" w:bidi="ar"/>
              </w:rPr>
              <w:t>525i</w:t>
            </w:r>
            <w:r>
              <w:rPr>
                <w:rStyle w:val="37"/>
                <w:sz w:val="21"/>
                <w:szCs w:val="21"/>
                <w:lang w:val="en-US" w:eastAsia="zh-CN" w:bidi="ar"/>
              </w:rPr>
              <w:t>、</w:t>
            </w:r>
            <w:r>
              <w:rPr>
                <w:rStyle w:val="36"/>
                <w:sz w:val="21"/>
                <w:szCs w:val="21"/>
                <w:lang w:val="en-US" w:eastAsia="zh-CN" w:bidi="ar"/>
              </w:rPr>
              <w:t>625i</w:t>
            </w:r>
            <w:r>
              <w:rPr>
                <w:rStyle w:val="37"/>
                <w:sz w:val="21"/>
                <w:szCs w:val="21"/>
                <w:lang w:val="en-US" w:eastAsia="zh-CN" w:bidi="ar"/>
              </w:rPr>
              <w:t>、</w:t>
            </w:r>
            <w:r>
              <w:rPr>
                <w:rStyle w:val="36"/>
                <w:sz w:val="21"/>
                <w:szCs w:val="21"/>
                <w:lang w:val="en-US" w:eastAsia="zh-CN" w:bidi="ar"/>
              </w:rPr>
              <w:t>720p (50/59.94/60Hz)</w:t>
            </w:r>
            <w:r>
              <w:rPr>
                <w:rStyle w:val="37"/>
                <w:sz w:val="21"/>
                <w:szCs w:val="21"/>
                <w:lang w:val="en-US" w:eastAsia="zh-CN" w:bidi="ar"/>
              </w:rPr>
              <w:t>、</w:t>
            </w:r>
            <w:r>
              <w:rPr>
                <w:rStyle w:val="36"/>
                <w:sz w:val="21"/>
                <w:szCs w:val="21"/>
                <w:lang w:val="en-US" w:eastAsia="zh-CN" w:bidi="ar"/>
              </w:rPr>
              <w:t>1080i (50/59.94/60Hz)</w:t>
            </w:r>
            <w:r>
              <w:rPr>
                <w:rStyle w:val="37"/>
                <w:sz w:val="21"/>
                <w:szCs w:val="21"/>
                <w:lang w:val="en-US" w:eastAsia="zh-CN" w:bidi="ar"/>
              </w:rPr>
              <w:t>、</w:t>
            </w:r>
            <w:r>
              <w:rPr>
                <w:rStyle w:val="36"/>
                <w:sz w:val="21"/>
                <w:szCs w:val="21"/>
                <w:lang w:val="en-US" w:eastAsia="zh-CN" w:bidi="ar"/>
              </w:rPr>
              <w:t>1080p (23.98/24/25/29.97/30/50/59.94/60Hz)</w:t>
            </w:r>
            <w:r>
              <w:rPr>
                <w:rStyle w:val="37"/>
                <w:sz w:val="21"/>
                <w:szCs w:val="21"/>
                <w:lang w:val="en-US" w:eastAsia="zh-CN" w:bidi="ar"/>
              </w:rPr>
              <w:t>；</w:t>
            </w:r>
            <w:r>
              <w:rPr>
                <w:rStyle w:val="37"/>
                <w:sz w:val="21"/>
                <w:szCs w:val="21"/>
                <w:lang w:val="en-US" w:eastAsia="zh-CN" w:bidi="ar"/>
              </w:rPr>
              <w:br w:type="textWrapping"/>
            </w:r>
            <w:r>
              <w:rPr>
                <w:rStyle w:val="36"/>
                <w:sz w:val="21"/>
                <w:szCs w:val="21"/>
                <w:lang w:val="en-US" w:eastAsia="zh-CN" w:bidi="ar"/>
              </w:rPr>
              <w:t>6</w:t>
            </w:r>
            <w:r>
              <w:rPr>
                <w:rStyle w:val="37"/>
                <w:sz w:val="21"/>
                <w:szCs w:val="21"/>
                <w:lang w:val="en-US" w:eastAsia="zh-CN" w:bidi="ar"/>
              </w:rPr>
              <w:t>、内置均衡器，支持重新锁定时间，支持线路均衡输出功能；</w:t>
            </w:r>
            <w:r>
              <w:rPr>
                <w:rStyle w:val="37"/>
                <w:sz w:val="21"/>
                <w:szCs w:val="21"/>
                <w:lang w:val="en-US" w:eastAsia="zh-CN" w:bidi="ar"/>
              </w:rPr>
              <w:br w:type="textWrapping"/>
            </w:r>
            <w:r>
              <w:rPr>
                <w:rStyle w:val="36"/>
                <w:sz w:val="21"/>
                <w:szCs w:val="21"/>
                <w:lang w:val="en-US" w:eastAsia="zh-CN" w:bidi="ar"/>
              </w:rPr>
              <w:t>7</w:t>
            </w:r>
            <w:r>
              <w:rPr>
                <w:rStyle w:val="37"/>
                <w:sz w:val="21"/>
                <w:szCs w:val="21"/>
                <w:lang w:val="en-US" w:eastAsia="zh-CN" w:bidi="ar"/>
              </w:rPr>
              <w:t>、</w:t>
            </w:r>
            <w:r>
              <w:rPr>
                <w:rStyle w:val="36"/>
                <w:sz w:val="21"/>
                <w:szCs w:val="21"/>
                <w:lang w:val="en-US" w:eastAsia="zh-CN" w:bidi="ar"/>
              </w:rPr>
              <w:t>DC 12V</w:t>
            </w:r>
            <w:r>
              <w:rPr>
                <w:rStyle w:val="37"/>
                <w:sz w:val="21"/>
                <w:szCs w:val="21"/>
                <w:lang w:val="en-US" w:eastAsia="zh-CN" w:bidi="ar"/>
              </w:rPr>
              <w:t>，</w:t>
            </w:r>
            <w:r>
              <w:rPr>
                <w:rStyle w:val="36"/>
                <w:sz w:val="21"/>
                <w:szCs w:val="21"/>
                <w:lang w:val="en-US" w:eastAsia="zh-CN" w:bidi="ar"/>
              </w:rPr>
              <w:t>6W</w:t>
            </w:r>
            <w:r>
              <w:rPr>
                <w:rStyle w:val="37"/>
                <w:sz w:val="21"/>
                <w:szCs w:val="21"/>
                <w:lang w:val="en-US" w:eastAsia="zh-CN" w:bidi="ar"/>
              </w:rPr>
              <w:t>。</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BD6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EE2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02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实物展台或PC证据展示的信号接入</w:t>
            </w:r>
          </w:p>
        </w:tc>
      </w:tr>
      <w:tr w14:paraId="06AB0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A0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E9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双通道专业数字功放</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818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1.双声道立体声专业数字功率放大器,全系列统铝合金面板；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 有双声道、单声道和BTL桥接三种输出方式供选择，输出方式开关选择；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3.每声道音量可调；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立体声工作最小负载阻抗为4Ω，BTL工作最小负载阻抗为8Ω；动态功率强劲，可实现低阻抗驱动。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 全系列配置XLR平行输入输出接口，更适合专业设备的应用习惯；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 小信号的时候不会出现交越失真；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 内置先进的电压压限，可以避免输入电压出现异常或过大导致功率输出异常，出现削波失真影响听音体验以及危害音箱的高音单元。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 中高频比模拟功放更清晰，非常适合用于会议等多种不同场合的语言传输和扩声；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8. 效率要高，发热量更少，工作温度范围更宽；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9.各通道均配备LED工作状态指示；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10.输入灵敏度：≤1000mV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11.信噪比：≥95dB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12.频响：20Hz-20kHz（±1dB）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13.通道串扰：≤70dB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14.转换速率：≥15V/uS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15.阻尼系数/8Ω@1Khz：≥230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16.总谐波失真：≤0.3% （1kHz，正常工作条件）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17.额定功率：2X230W@8Ω 2X350W@4Ω 700W@桥接8Ω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18.指示灯：“电源”,“削顶”,“信号”,“保护”,“温度”保护：超温、直流、短路、连续信号限制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19.电源：AC220/50-60Hz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20.机器尺寸（L×W×H  mm）：483×396×88 (2U)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21.净重：6.5KG</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7B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1B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664F">
            <w:pPr>
              <w:jc w:val="center"/>
              <w:rPr>
                <w:rFonts w:hint="eastAsia" w:ascii="宋体" w:hAnsi="宋体" w:eastAsia="宋体" w:cs="宋体"/>
                <w:i w:val="0"/>
                <w:iCs w:val="0"/>
                <w:color w:val="000000"/>
                <w:sz w:val="21"/>
                <w:szCs w:val="21"/>
                <w:u w:val="none"/>
              </w:rPr>
            </w:pPr>
          </w:p>
        </w:tc>
      </w:tr>
      <w:tr w14:paraId="0BF50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61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29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光纤</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E8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8芯光纤</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643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7A9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米</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9034">
            <w:pPr>
              <w:jc w:val="center"/>
              <w:rPr>
                <w:rFonts w:hint="eastAsia" w:ascii="宋体" w:hAnsi="宋体" w:eastAsia="宋体" w:cs="宋体"/>
                <w:i w:val="0"/>
                <w:iCs w:val="0"/>
                <w:color w:val="000000"/>
                <w:sz w:val="21"/>
                <w:szCs w:val="21"/>
                <w:u w:val="none"/>
              </w:rPr>
            </w:pPr>
          </w:p>
        </w:tc>
      </w:tr>
      <w:tr w14:paraId="32482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2CB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C5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光纤配线架</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38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16口光纤配线架</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7E1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B04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EEAA">
            <w:pPr>
              <w:jc w:val="center"/>
              <w:rPr>
                <w:rFonts w:hint="eastAsia" w:ascii="宋体" w:hAnsi="宋体" w:eastAsia="宋体" w:cs="宋体"/>
                <w:i w:val="0"/>
                <w:iCs w:val="0"/>
                <w:color w:val="000000"/>
                <w:sz w:val="21"/>
                <w:szCs w:val="21"/>
                <w:u w:val="none"/>
              </w:rPr>
            </w:pPr>
          </w:p>
        </w:tc>
      </w:tr>
      <w:tr w14:paraId="358D6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3B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B0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其他辅材</w:t>
            </w:r>
          </w:p>
        </w:tc>
        <w:tc>
          <w:tcPr>
            <w:tcW w:w="4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F13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所有设备配套线材及辅材</w:t>
            </w:r>
          </w:p>
        </w:tc>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4E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23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FDBD">
            <w:pPr>
              <w:jc w:val="center"/>
              <w:rPr>
                <w:rFonts w:hint="eastAsia" w:ascii="宋体" w:hAnsi="宋体" w:eastAsia="宋体" w:cs="宋体"/>
                <w:i w:val="0"/>
                <w:iCs w:val="0"/>
                <w:color w:val="000000"/>
                <w:sz w:val="21"/>
                <w:szCs w:val="21"/>
                <w:u w:val="none"/>
              </w:rPr>
            </w:pPr>
          </w:p>
        </w:tc>
      </w:tr>
    </w:tbl>
    <w:p w14:paraId="463A0209">
      <w:pPr>
        <w:pStyle w:val="19"/>
        <w:ind w:left="0" w:leftChars="0" w:firstLine="0" w:firstLineChars="0"/>
        <w:rPr>
          <w:rFonts w:hint="eastAsia" w:ascii="宋体" w:hAnsi="宋体" w:eastAsia="宋体" w:cs="宋体"/>
          <w:color w:val="auto"/>
          <w:kern w:val="2"/>
          <w:sz w:val="21"/>
          <w:szCs w:val="21"/>
          <w:highlight w:val="none"/>
          <w:lang w:val="en-US" w:eastAsia="zh-CN" w:bidi="ar-SA"/>
        </w:rPr>
      </w:pPr>
    </w:p>
    <w:p w14:paraId="41ECD4F7">
      <w:pPr>
        <w:pStyle w:val="3"/>
        <w:pageBreakBefore w:val="0"/>
        <w:wordWrap/>
        <w:overflowPunct/>
        <w:topLinePunct w:val="0"/>
        <w:bidi w:val="0"/>
        <w:adjustRightInd w:val="0"/>
        <w:snapToGrid w:val="0"/>
        <w:spacing w:line="360" w:lineRule="auto"/>
        <w:ind w:firstLine="562" w:firstLineChars="200"/>
        <w:jc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第三节 商务要求</w:t>
      </w:r>
    </w:p>
    <w:p w14:paraId="4104D661">
      <w:pPr>
        <w:pStyle w:val="9"/>
        <w:spacing w:line="322" w:lineRule="auto"/>
        <w:ind w:left="143" w:right="55" w:firstLine="483"/>
        <w:rPr>
          <w:rFonts w:hint="eastAsia" w:ascii="宋体" w:hAnsi="宋体" w:eastAsia="宋体" w:cs="宋体"/>
          <w:b/>
          <w:bCs/>
          <w:color w:val="auto"/>
          <w:spacing w:val="-4"/>
          <w:sz w:val="24"/>
          <w:szCs w:val="24"/>
        </w:rPr>
      </w:pPr>
      <w:r>
        <w:rPr>
          <w:rFonts w:hint="eastAsia" w:ascii="宋体" w:hAnsi="宋体" w:eastAsia="宋体" w:cs="宋体"/>
          <w:b/>
          <w:bCs/>
          <w:color w:val="auto"/>
          <w:spacing w:val="-4"/>
          <w:sz w:val="24"/>
          <w:szCs w:val="24"/>
          <w:lang w:eastAsia="zh-CN"/>
        </w:rPr>
        <w:t>一、</w:t>
      </w:r>
      <w:r>
        <w:rPr>
          <w:rFonts w:hint="eastAsia" w:ascii="宋体" w:hAnsi="宋体" w:eastAsia="宋体" w:cs="宋体"/>
          <w:b/>
          <w:bCs/>
          <w:color w:val="auto"/>
          <w:spacing w:val="-4"/>
          <w:sz w:val="24"/>
          <w:szCs w:val="24"/>
        </w:rPr>
        <w:t>产品包装、运输、保险及保管</w:t>
      </w:r>
    </w:p>
    <w:p w14:paraId="71A121C0">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提供安装、调试等服务支持，不再另行收取任何费用。</w:t>
      </w:r>
    </w:p>
    <w:p w14:paraId="4D98ACC6">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负责产品在没有任何损坏和腐蚀的情况下到达项目指定地点的全部运输，包括装卸及现场搬运等。货物的包装要求防湿、防潮、防锈、防震、耐粗暴装卸和搬运。并承担由于其包装或防护措施不妥而起货物锈蚀、损坏和丢失的任何责任和费用。</w:t>
      </w:r>
    </w:p>
    <w:p w14:paraId="752902AA">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3</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负责产品及自己使用的工具在项目实施地点的保管，直至项目验收合格。</w:t>
      </w:r>
    </w:p>
    <w:p w14:paraId="415832B0">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4</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应对提供的货物在运输、存放及交货过程中的毁损或遗失负责，并负责对其派出安装、调试人员在其项目实施期间的安全、保险、食宿、交通等。</w:t>
      </w:r>
    </w:p>
    <w:p w14:paraId="6F9D5863">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5</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货物验收前提供一次全面清洁服务并赠送适量清洁工具，并预存一定数量的零配件；在安装验收后，免费提供专业的产品养护，使用技巧培训和安装说明书、售后服务电话。</w:t>
      </w:r>
    </w:p>
    <w:p w14:paraId="0254AEA0">
      <w:pPr>
        <w:pStyle w:val="9"/>
        <w:spacing w:line="322" w:lineRule="auto"/>
        <w:ind w:left="143" w:right="55" w:firstLine="483"/>
        <w:rPr>
          <w:rFonts w:hint="eastAsia" w:ascii="宋体" w:hAnsi="宋体" w:eastAsia="宋体" w:cs="宋体"/>
          <w:b/>
          <w:bCs/>
          <w:color w:val="auto"/>
          <w:spacing w:val="-4"/>
          <w:sz w:val="24"/>
          <w:szCs w:val="24"/>
        </w:rPr>
      </w:pPr>
      <w:r>
        <w:rPr>
          <w:rFonts w:hint="eastAsia" w:ascii="宋体" w:hAnsi="宋体" w:eastAsia="宋体" w:cs="宋体"/>
          <w:b/>
          <w:bCs/>
          <w:color w:val="auto"/>
          <w:spacing w:val="-4"/>
          <w:sz w:val="24"/>
          <w:szCs w:val="24"/>
          <w:lang w:eastAsia="zh-CN"/>
        </w:rPr>
        <w:t>二</w:t>
      </w:r>
      <w:r>
        <w:rPr>
          <w:rFonts w:hint="eastAsia" w:ascii="宋体" w:hAnsi="宋体" w:eastAsia="宋体" w:cs="宋体"/>
          <w:b/>
          <w:bCs/>
          <w:color w:val="auto"/>
          <w:spacing w:val="-4"/>
          <w:sz w:val="24"/>
          <w:szCs w:val="24"/>
        </w:rPr>
        <w:t>、安装、调试</w:t>
      </w:r>
    </w:p>
    <w:p w14:paraId="05BBEFE5">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在项目开始以前，本项目中需要实地测量尺寸和确定安装位置，或根据实际需要调整款式、颜色和尺寸的，</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须经采购人确定后实施。</w:t>
      </w:r>
    </w:p>
    <w:p w14:paraId="15EEC76A">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设备到达最终用户现场并且安装条件合格，在接到用户通知后，</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应安排有经验的技术人员负责所有货物、系统及配套设施设备的到用户现场安装、调试，按验收指标逐项测试，直到达到设备、系统及配套设施设备平台应具有的功能和技术指标等相关验收要求，并负责相关技术支持和维护。同时</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必须提供产品的全部售后服务条款(如质保期、现场维修等)，不得擅自缩小售后服务范围。</w:t>
      </w:r>
    </w:p>
    <w:p w14:paraId="0464DFDB">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3</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安装调试、改造、对接、运输设备所需辅助材料和专用工具与设施， 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提供。</w:t>
      </w:r>
    </w:p>
    <w:p w14:paraId="2CEC7B30">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4</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涉及到为保障系统与设备运行环境匹配的小型场地改造的，须制定详细方案及图纸，并经采购人确定后实施。</w:t>
      </w:r>
    </w:p>
    <w:p w14:paraId="073E9920">
      <w:pPr>
        <w:pStyle w:val="9"/>
        <w:spacing w:line="322" w:lineRule="auto"/>
        <w:ind w:left="143" w:right="55" w:firstLine="483"/>
        <w:rPr>
          <w:rFonts w:hint="eastAsia" w:ascii="宋体" w:hAnsi="宋体" w:eastAsia="宋体" w:cs="宋体"/>
          <w:b/>
          <w:bCs/>
          <w:color w:val="auto"/>
          <w:spacing w:val="-4"/>
          <w:sz w:val="24"/>
          <w:szCs w:val="24"/>
        </w:rPr>
      </w:pPr>
      <w:r>
        <w:rPr>
          <w:rFonts w:hint="eastAsia" w:ascii="宋体" w:hAnsi="宋体" w:eastAsia="宋体" w:cs="宋体"/>
          <w:b/>
          <w:bCs/>
          <w:color w:val="auto"/>
          <w:spacing w:val="-4"/>
          <w:sz w:val="24"/>
          <w:szCs w:val="24"/>
          <w:lang w:eastAsia="zh-CN"/>
        </w:rPr>
        <w:t>三</w:t>
      </w:r>
      <w:r>
        <w:rPr>
          <w:rFonts w:hint="eastAsia" w:ascii="宋体" w:hAnsi="宋体" w:eastAsia="宋体" w:cs="宋体"/>
          <w:b/>
          <w:bCs/>
          <w:color w:val="auto"/>
          <w:spacing w:val="-4"/>
          <w:sz w:val="24"/>
          <w:szCs w:val="24"/>
        </w:rPr>
        <w:t>、项目实施要求</w:t>
      </w:r>
    </w:p>
    <w:p w14:paraId="078510B2">
      <w:pPr>
        <w:pStyle w:val="9"/>
        <w:spacing w:before="172" w:line="360" w:lineRule="auto"/>
        <w:jc w:val="left"/>
        <w:rPr>
          <w:rFonts w:hint="eastAsia" w:ascii="宋体" w:hAnsi="宋体" w:eastAsia="宋体" w:cs="宋体"/>
          <w:color w:val="auto"/>
          <w:sz w:val="24"/>
          <w:szCs w:val="24"/>
        </w:rPr>
      </w:pPr>
      <w:r>
        <w:rPr>
          <w:rFonts w:hint="eastAsia" w:ascii="宋体" w:hAnsi="宋体" w:eastAsia="宋体" w:cs="宋体"/>
          <w:color w:val="auto"/>
          <w:spacing w:val="6"/>
          <w:sz w:val="24"/>
          <w:szCs w:val="24"/>
          <w:lang w:val="en-US" w:eastAsia="zh-CN"/>
        </w:rPr>
        <w:t xml:space="preserve">     </w:t>
      </w:r>
      <w:r>
        <w:rPr>
          <w:rFonts w:hint="eastAsia" w:ascii="宋体" w:hAnsi="宋体" w:eastAsia="宋体" w:cs="宋体"/>
          <w:color w:val="auto"/>
          <w:spacing w:val="6"/>
          <w:sz w:val="24"/>
          <w:szCs w:val="24"/>
        </w:rPr>
        <w:t>1</w:t>
      </w:r>
      <w:r>
        <w:rPr>
          <w:rFonts w:hint="eastAsia" w:ascii="宋体" w:hAnsi="宋体" w:eastAsia="宋体" w:cs="宋体"/>
          <w:color w:val="auto"/>
          <w:spacing w:val="6"/>
          <w:sz w:val="24"/>
          <w:szCs w:val="24"/>
          <w:lang w:eastAsia="zh-CN"/>
        </w:rPr>
        <w:t>、成交单位</w:t>
      </w:r>
      <w:r>
        <w:rPr>
          <w:rFonts w:hint="eastAsia" w:ascii="宋体" w:hAnsi="宋体" w:eastAsia="宋体" w:cs="宋体"/>
          <w:color w:val="auto"/>
          <w:spacing w:val="6"/>
          <w:sz w:val="24"/>
          <w:szCs w:val="24"/>
        </w:rPr>
        <w:t>须加强项目实施的组织管理，所有项目实施人员须遵守有关规章制度，持证上岗。</w:t>
      </w:r>
    </w:p>
    <w:p w14:paraId="16DE3101">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7"/>
          <w:sz w:val="24"/>
          <w:szCs w:val="24"/>
        </w:rPr>
        <w:t>2</w:t>
      </w:r>
      <w:r>
        <w:rPr>
          <w:rFonts w:hint="eastAsia" w:ascii="宋体" w:hAnsi="宋体" w:eastAsia="宋体" w:cs="宋体"/>
          <w:color w:val="auto"/>
          <w:spacing w:val="7"/>
          <w:sz w:val="24"/>
          <w:szCs w:val="24"/>
          <w:lang w:eastAsia="zh-CN"/>
        </w:rPr>
        <w:t>、供应商</w:t>
      </w:r>
      <w:r>
        <w:rPr>
          <w:rFonts w:hint="eastAsia" w:ascii="宋体" w:hAnsi="宋体" w:eastAsia="宋体" w:cs="宋体"/>
          <w:color w:val="auto"/>
          <w:spacing w:val="7"/>
          <w:sz w:val="24"/>
          <w:szCs w:val="24"/>
        </w:rPr>
        <w:t>须制定针对本项目切实可行的项目实施方案，包括但不限于供货计划及供货流程、</w:t>
      </w:r>
      <w:r>
        <w:rPr>
          <w:rFonts w:hint="eastAsia" w:ascii="宋体" w:hAnsi="宋体" w:eastAsia="宋体" w:cs="宋体"/>
          <w:color w:val="auto"/>
          <w:spacing w:val="10"/>
          <w:sz w:val="24"/>
          <w:szCs w:val="24"/>
        </w:rPr>
        <w:t>项目进度安排、人员设备资源投入、环境匹配改造、质量保障及应急预案等，并承诺</w:t>
      </w:r>
      <w:r>
        <w:rPr>
          <w:rFonts w:hint="eastAsia" w:ascii="宋体" w:hAnsi="宋体" w:eastAsia="宋体" w:cs="宋体"/>
          <w:color w:val="auto"/>
          <w:spacing w:val="-4"/>
          <w:sz w:val="24"/>
          <w:szCs w:val="24"/>
        </w:rPr>
        <w:t>中标后项目实施前报采购人认可后严格按照方案执行。</w:t>
      </w:r>
    </w:p>
    <w:p w14:paraId="650AB543">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3</w:t>
      </w:r>
      <w:r>
        <w:rPr>
          <w:rFonts w:hint="eastAsia" w:ascii="宋体" w:hAnsi="宋体" w:eastAsia="宋体" w:cs="宋体"/>
          <w:color w:val="auto"/>
          <w:spacing w:val="-4"/>
          <w:sz w:val="24"/>
          <w:szCs w:val="24"/>
          <w:lang w:eastAsia="zh-CN"/>
        </w:rPr>
        <w:t>、</w:t>
      </w:r>
      <w:r>
        <w:rPr>
          <w:rFonts w:hint="eastAsia" w:ascii="宋体" w:hAnsi="宋体" w:eastAsia="宋体" w:cs="宋体"/>
          <w:color w:val="auto"/>
          <w:spacing w:val="-4"/>
          <w:sz w:val="24"/>
          <w:szCs w:val="24"/>
        </w:rPr>
        <w:t>要建立安全责任制，确保项目实施过程不出现人身安全事故、火灾事故和设备损坏事故，因</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的原因造成的一切责任、后果及费用由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承担。</w:t>
      </w:r>
    </w:p>
    <w:p w14:paraId="58DB4BCA">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4</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须保护好项目现场内外的环境及卫生，材料及垃圾须集中堆放。负责及时清理垃圾，并将包装物及垃圾堆放至采购人指定地点。</w:t>
      </w:r>
    </w:p>
    <w:p w14:paraId="21B9E6AD">
      <w:pPr>
        <w:pStyle w:val="9"/>
        <w:spacing w:line="322" w:lineRule="auto"/>
        <w:ind w:left="143" w:right="55" w:firstLine="483"/>
        <w:rPr>
          <w:rFonts w:hint="eastAsia" w:ascii="宋体" w:hAnsi="宋体" w:eastAsia="宋体" w:cs="宋体"/>
          <w:b/>
          <w:bCs/>
          <w:color w:val="auto"/>
          <w:spacing w:val="-4"/>
          <w:sz w:val="24"/>
          <w:szCs w:val="24"/>
        </w:rPr>
      </w:pPr>
      <w:r>
        <w:rPr>
          <w:rFonts w:hint="eastAsia" w:ascii="宋体" w:hAnsi="宋体" w:eastAsia="宋体" w:cs="宋体"/>
          <w:b/>
          <w:bCs/>
          <w:color w:val="auto"/>
          <w:spacing w:val="-4"/>
          <w:sz w:val="24"/>
          <w:szCs w:val="24"/>
          <w:lang w:eastAsia="zh-CN"/>
        </w:rPr>
        <w:t>四、</w:t>
      </w:r>
      <w:r>
        <w:rPr>
          <w:rFonts w:hint="eastAsia" w:ascii="宋体" w:hAnsi="宋体" w:eastAsia="宋体" w:cs="宋体"/>
          <w:b/>
          <w:bCs/>
          <w:color w:val="auto"/>
          <w:spacing w:val="-4"/>
          <w:sz w:val="24"/>
          <w:szCs w:val="24"/>
        </w:rPr>
        <w:t>其他要求及说明：</w:t>
      </w:r>
    </w:p>
    <w:p w14:paraId="73D334C4">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color w:val="auto"/>
          <w:spacing w:val="-4"/>
          <w:sz w:val="24"/>
          <w:szCs w:val="24"/>
          <w:lang w:eastAsia="zh-CN"/>
        </w:rPr>
        <w:t>提供的</w:t>
      </w:r>
      <w:r>
        <w:rPr>
          <w:rFonts w:hint="eastAsia" w:ascii="宋体" w:hAnsi="宋体" w:eastAsia="宋体" w:cs="宋体"/>
          <w:color w:val="auto"/>
          <w:spacing w:val="-4"/>
          <w:sz w:val="24"/>
          <w:szCs w:val="24"/>
        </w:rPr>
        <w:t>产品应为制造商最新技术和最可靠产品，</w:t>
      </w:r>
      <w:r>
        <w:rPr>
          <w:rFonts w:hint="eastAsia" w:ascii="宋体" w:hAnsi="宋体" w:eastAsia="宋体" w:cs="宋体"/>
          <w:color w:val="auto"/>
          <w:spacing w:val="-4"/>
          <w:sz w:val="24"/>
          <w:szCs w:val="24"/>
          <w:lang w:eastAsia="zh-CN"/>
        </w:rPr>
        <w:t>供应商</w:t>
      </w:r>
      <w:r>
        <w:rPr>
          <w:rFonts w:hint="eastAsia" w:ascii="宋体" w:hAnsi="宋体" w:eastAsia="宋体" w:cs="宋体"/>
          <w:color w:val="auto"/>
          <w:spacing w:val="-4"/>
          <w:sz w:val="24"/>
          <w:szCs w:val="24"/>
        </w:rPr>
        <w:t>应在投标文件中明确标明产品名称型号及制造商。</w:t>
      </w:r>
    </w:p>
    <w:p w14:paraId="089C2CB5">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w:t>
      </w:r>
      <w:r>
        <w:rPr>
          <w:rFonts w:hint="eastAsia" w:ascii="宋体" w:hAnsi="宋体" w:eastAsia="宋体" w:cs="宋体"/>
          <w:color w:val="auto"/>
          <w:spacing w:val="-4"/>
          <w:sz w:val="24"/>
          <w:szCs w:val="24"/>
          <w:lang w:eastAsia="zh-CN"/>
        </w:rPr>
        <w:t>提供的</w:t>
      </w:r>
      <w:r>
        <w:rPr>
          <w:rFonts w:hint="eastAsia" w:ascii="宋体" w:hAnsi="宋体" w:eastAsia="宋体" w:cs="宋体"/>
          <w:color w:val="auto"/>
          <w:spacing w:val="-4"/>
          <w:sz w:val="24"/>
          <w:szCs w:val="24"/>
        </w:rPr>
        <w:t>产品必须是原厂家生产的，新的未使用和未经修复的，严禁使用即将淘汰的产品和假冒伪劣产品，必须符合国家规定的相应技术标准，并按相应的国家标准及行业规范完成所有产品和系统的安装、调试、安装。必须严格按《产品质量法》实行三包。</w:t>
      </w:r>
    </w:p>
    <w:p w14:paraId="6A6BC5A3">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3、</w:t>
      </w:r>
      <w:r>
        <w:rPr>
          <w:rFonts w:hint="eastAsia" w:ascii="宋体" w:hAnsi="宋体" w:eastAsia="宋体" w:cs="宋体"/>
          <w:color w:val="auto"/>
          <w:spacing w:val="-4"/>
          <w:sz w:val="24"/>
          <w:szCs w:val="24"/>
          <w:lang w:eastAsia="zh-CN"/>
        </w:rPr>
        <w:t>供应商</w:t>
      </w:r>
      <w:r>
        <w:rPr>
          <w:rFonts w:hint="eastAsia" w:ascii="宋体" w:hAnsi="宋体" w:eastAsia="宋体" w:cs="宋体"/>
          <w:color w:val="auto"/>
          <w:spacing w:val="-4"/>
          <w:sz w:val="24"/>
          <w:szCs w:val="24"/>
        </w:rPr>
        <w:t>所投产品应以</w:t>
      </w:r>
      <w:r>
        <w:rPr>
          <w:rFonts w:hint="eastAsia" w:ascii="宋体" w:hAnsi="宋体" w:eastAsia="宋体" w:cs="宋体"/>
          <w:color w:val="auto"/>
          <w:spacing w:val="-4"/>
          <w:sz w:val="24"/>
          <w:szCs w:val="24"/>
          <w:lang w:eastAsia="zh-CN"/>
        </w:rPr>
        <w:t>磋商</w:t>
      </w:r>
      <w:r>
        <w:rPr>
          <w:rFonts w:hint="eastAsia" w:ascii="宋体" w:hAnsi="宋体" w:eastAsia="宋体" w:cs="宋体"/>
          <w:color w:val="auto"/>
          <w:spacing w:val="-4"/>
          <w:sz w:val="24"/>
          <w:szCs w:val="24"/>
        </w:rPr>
        <w:t>文件的技术要求为标准，满足或者高于</w:t>
      </w:r>
      <w:r>
        <w:rPr>
          <w:rFonts w:hint="eastAsia" w:ascii="宋体" w:hAnsi="宋体" w:eastAsia="宋体" w:cs="宋体"/>
          <w:color w:val="auto"/>
          <w:spacing w:val="-4"/>
          <w:sz w:val="24"/>
          <w:szCs w:val="24"/>
          <w:lang w:eastAsia="zh-CN"/>
        </w:rPr>
        <w:t>磋商</w:t>
      </w:r>
      <w:r>
        <w:rPr>
          <w:rFonts w:hint="eastAsia" w:ascii="宋体" w:hAnsi="宋体" w:eastAsia="宋体" w:cs="宋体"/>
          <w:color w:val="auto"/>
          <w:spacing w:val="-4"/>
          <w:sz w:val="24"/>
          <w:szCs w:val="24"/>
        </w:rPr>
        <w:t>文件的技术要求内容。完整具备用户所要求的使用功能、产品标准以及本身应具有的所有使用功能。</w:t>
      </w:r>
      <w:r>
        <w:rPr>
          <w:rFonts w:hint="eastAsia" w:ascii="宋体" w:hAnsi="宋体" w:eastAsia="宋体" w:cs="宋体"/>
          <w:color w:val="auto"/>
          <w:spacing w:val="-4"/>
          <w:sz w:val="24"/>
          <w:szCs w:val="24"/>
          <w:lang w:eastAsia="zh-CN"/>
        </w:rPr>
        <w:t>响应</w:t>
      </w:r>
      <w:r>
        <w:rPr>
          <w:rFonts w:hint="eastAsia" w:ascii="宋体" w:hAnsi="宋体" w:eastAsia="宋体" w:cs="宋体"/>
          <w:color w:val="auto"/>
          <w:spacing w:val="-4"/>
          <w:sz w:val="24"/>
          <w:szCs w:val="24"/>
        </w:rPr>
        <w:t>文件中各种参数必须真实可靠。投标人必须在承诺的交货期内到货。</w:t>
      </w:r>
    </w:p>
    <w:p w14:paraId="4389ECA9">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4、</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须保证在产品和系统安装过程中不影响</w:t>
      </w:r>
      <w:r>
        <w:rPr>
          <w:rFonts w:hint="eastAsia" w:ascii="宋体" w:hAnsi="宋体" w:eastAsia="宋体" w:cs="宋体"/>
          <w:color w:val="auto"/>
          <w:spacing w:val="-4"/>
          <w:sz w:val="24"/>
          <w:szCs w:val="24"/>
          <w:lang w:eastAsia="zh-CN"/>
        </w:rPr>
        <w:t>湘潭市中级人民法院</w:t>
      </w:r>
      <w:r>
        <w:rPr>
          <w:rFonts w:hint="eastAsia" w:ascii="宋体" w:hAnsi="宋体" w:eastAsia="宋体" w:cs="宋体"/>
          <w:color w:val="auto"/>
          <w:spacing w:val="-4"/>
          <w:sz w:val="24"/>
          <w:szCs w:val="24"/>
        </w:rPr>
        <w:t>的日常工作，不能对采购人及用户单位现有业务造成影响，遵守采购人相关规章制度， 由于项目实施期间的不规范行为造成的一切安全问题及损失， 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承担全部责任。</w:t>
      </w:r>
    </w:p>
    <w:p w14:paraId="1D48DF32">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5、各</w:t>
      </w:r>
      <w:r>
        <w:rPr>
          <w:rFonts w:hint="eastAsia" w:ascii="宋体" w:hAnsi="宋体" w:eastAsia="宋体" w:cs="宋体"/>
          <w:color w:val="auto"/>
          <w:spacing w:val="-4"/>
          <w:sz w:val="24"/>
          <w:szCs w:val="24"/>
          <w:lang w:eastAsia="zh-CN"/>
        </w:rPr>
        <w:t>供应商</w:t>
      </w:r>
      <w:r>
        <w:rPr>
          <w:rFonts w:hint="eastAsia" w:ascii="宋体" w:hAnsi="宋体" w:eastAsia="宋体" w:cs="宋体"/>
          <w:color w:val="auto"/>
          <w:spacing w:val="-4"/>
          <w:sz w:val="24"/>
          <w:szCs w:val="24"/>
        </w:rPr>
        <w:t>应严格按原出厂设置配备耗材及相关配件，并详细列明配置清单。</w:t>
      </w:r>
    </w:p>
    <w:p w14:paraId="0FA745CD">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6、质保期内出现任何质量问题（人为破坏或自然灾害等不可抗力除外），由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负责全免费（免全部工时费、材料费、管理费、财务费等等）更换或维修；无论招标人是否另行选择维保供应商，</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应及时优惠提供所需的备品备件。</w:t>
      </w:r>
    </w:p>
    <w:p w14:paraId="1F2D8BA3">
      <w:pPr>
        <w:pStyle w:val="9"/>
        <w:spacing w:line="322" w:lineRule="auto"/>
        <w:ind w:left="143" w:right="55" w:firstLine="483"/>
        <w:rPr>
          <w:rFonts w:hint="eastAsia" w:ascii="宋体" w:hAnsi="宋体" w:eastAsia="宋体" w:cs="宋体"/>
          <w:color w:val="auto"/>
          <w:spacing w:val="-4"/>
          <w:sz w:val="24"/>
          <w:szCs w:val="24"/>
          <w:lang w:val="en-US" w:eastAsia="zh-CN"/>
        </w:rPr>
      </w:pPr>
      <w:r>
        <w:rPr>
          <w:rFonts w:hint="eastAsia" w:ascii="宋体" w:hAnsi="宋体" w:eastAsia="宋体" w:cs="宋体"/>
          <w:color w:val="auto"/>
          <w:spacing w:val="-4"/>
          <w:sz w:val="24"/>
          <w:szCs w:val="24"/>
        </w:rPr>
        <w:t>7、在项目实施期间要注意成品保护，在验收合格之前因</w:t>
      </w:r>
      <w:r>
        <w:rPr>
          <w:rFonts w:hint="eastAsia" w:ascii="宋体" w:hAnsi="宋体" w:eastAsia="宋体" w:cs="宋体"/>
          <w:color w:val="auto"/>
          <w:spacing w:val="-4"/>
          <w:sz w:val="24"/>
          <w:szCs w:val="24"/>
          <w:lang w:eastAsia="zh-CN"/>
        </w:rPr>
        <w:t>供应商</w:t>
      </w:r>
      <w:r>
        <w:rPr>
          <w:rFonts w:hint="eastAsia" w:ascii="宋体" w:hAnsi="宋体" w:eastAsia="宋体" w:cs="宋体"/>
          <w:color w:val="auto"/>
          <w:spacing w:val="-4"/>
          <w:sz w:val="24"/>
          <w:szCs w:val="24"/>
        </w:rPr>
        <w:t>原因造成对项目现场的建筑物、构筑物、环保、原有管线、铺砌、绿化等破坏由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负责修复和赔偿。</w:t>
      </w:r>
      <w:r>
        <w:rPr>
          <w:rFonts w:hint="eastAsia" w:ascii="宋体" w:hAnsi="宋体" w:eastAsia="宋体" w:cs="宋体"/>
          <w:color w:val="auto"/>
          <w:spacing w:val="-4"/>
          <w:sz w:val="24"/>
          <w:szCs w:val="24"/>
        </w:rPr>
        <w:br w:type="textWrapping"/>
      </w:r>
      <w:r>
        <w:rPr>
          <w:rFonts w:hint="eastAsia" w:ascii="宋体" w:hAnsi="宋体" w:cs="宋体"/>
          <w:color w:val="auto"/>
          <w:spacing w:val="-4"/>
          <w:sz w:val="24"/>
          <w:szCs w:val="24"/>
          <w:lang w:val="en-US" w:eastAsia="zh-CN"/>
        </w:rPr>
        <w:t xml:space="preserve">    8、供应商须承诺中标后7个工作日内提供主要产品(4K超高清视频编解码终端、智能E1网关、4K超高清音视频融合统一指挥调度平台机箱)到现场测试，测试结果须全部符合磋商文件</w:t>
      </w:r>
      <w:r>
        <w:rPr>
          <w:spacing w:val="4"/>
          <w:sz w:val="21"/>
          <w:szCs w:val="21"/>
        </w:rPr>
        <w:t>▲</w:t>
      </w:r>
      <w:r>
        <w:rPr>
          <w:rFonts w:hint="eastAsia" w:ascii="宋体" w:hAnsi="宋体" w:cs="宋体"/>
          <w:color w:val="auto"/>
          <w:spacing w:val="-4"/>
          <w:sz w:val="24"/>
          <w:szCs w:val="24"/>
          <w:lang w:val="en-US" w:eastAsia="zh-CN"/>
        </w:rPr>
        <w:t>号条款要求。</w:t>
      </w:r>
    </w:p>
    <w:p w14:paraId="3152AE9A">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cs="宋体"/>
          <w:color w:val="auto"/>
          <w:spacing w:val="-4"/>
          <w:sz w:val="24"/>
          <w:szCs w:val="24"/>
          <w:lang w:val="en-US" w:eastAsia="zh-CN"/>
        </w:rPr>
        <w:t>9</w:t>
      </w:r>
      <w:r>
        <w:rPr>
          <w:rFonts w:hint="eastAsia" w:ascii="宋体" w:hAnsi="宋体" w:eastAsia="宋体" w:cs="宋体"/>
          <w:color w:val="auto"/>
          <w:spacing w:val="-4"/>
          <w:sz w:val="24"/>
          <w:szCs w:val="24"/>
        </w:rPr>
        <w:t>、</w:t>
      </w:r>
      <w:r>
        <w:rPr>
          <w:rFonts w:hint="eastAsia" w:ascii="宋体" w:hAnsi="宋体" w:eastAsia="宋体" w:cs="宋体"/>
          <w:color w:val="auto"/>
          <w:spacing w:val="-4"/>
          <w:sz w:val="24"/>
          <w:szCs w:val="24"/>
          <w:lang w:eastAsia="zh-CN"/>
        </w:rPr>
        <w:t>供应商</w:t>
      </w:r>
      <w:r>
        <w:rPr>
          <w:rFonts w:hint="eastAsia" w:ascii="宋体" w:hAnsi="宋体" w:eastAsia="宋体" w:cs="宋体"/>
          <w:color w:val="auto"/>
          <w:spacing w:val="-4"/>
          <w:sz w:val="24"/>
          <w:szCs w:val="24"/>
        </w:rPr>
        <w:t>应自行对项目现场和周围环境进行踏勘，以获取</w:t>
      </w:r>
      <w:r>
        <w:rPr>
          <w:rFonts w:hint="eastAsia" w:ascii="宋体" w:hAnsi="宋体" w:eastAsia="宋体" w:cs="宋体"/>
          <w:color w:val="auto"/>
          <w:spacing w:val="-4"/>
          <w:sz w:val="24"/>
          <w:szCs w:val="24"/>
          <w:lang w:eastAsia="zh-CN"/>
        </w:rPr>
        <w:t>供应商</w:t>
      </w:r>
      <w:r>
        <w:rPr>
          <w:rFonts w:hint="eastAsia" w:ascii="宋体" w:hAnsi="宋体" w:eastAsia="宋体" w:cs="宋体"/>
          <w:color w:val="auto"/>
          <w:spacing w:val="-4"/>
          <w:sz w:val="24"/>
          <w:szCs w:val="24"/>
        </w:rPr>
        <w:t>编制有关投标文件和签署合同时所需的有关资料。踏勘现场所发生的费用由</w:t>
      </w:r>
      <w:r>
        <w:rPr>
          <w:rFonts w:hint="eastAsia" w:ascii="宋体" w:hAnsi="宋体" w:eastAsia="宋体" w:cs="宋体"/>
          <w:color w:val="auto"/>
          <w:spacing w:val="-4"/>
          <w:sz w:val="24"/>
          <w:szCs w:val="24"/>
          <w:lang w:eastAsia="zh-CN"/>
        </w:rPr>
        <w:t>供应商</w:t>
      </w:r>
      <w:r>
        <w:rPr>
          <w:rFonts w:hint="eastAsia" w:ascii="宋体" w:hAnsi="宋体" w:eastAsia="宋体" w:cs="宋体"/>
          <w:color w:val="auto"/>
          <w:spacing w:val="-4"/>
          <w:sz w:val="24"/>
          <w:szCs w:val="24"/>
        </w:rPr>
        <w:t>自行承担，</w:t>
      </w:r>
      <w:r>
        <w:rPr>
          <w:rFonts w:hint="eastAsia" w:ascii="宋体" w:hAnsi="宋体" w:eastAsia="宋体" w:cs="宋体"/>
          <w:color w:val="auto"/>
          <w:spacing w:val="-4"/>
          <w:sz w:val="24"/>
          <w:szCs w:val="24"/>
          <w:lang w:eastAsia="zh-CN"/>
        </w:rPr>
        <w:t>供应商</w:t>
      </w:r>
      <w:r>
        <w:rPr>
          <w:rFonts w:hint="eastAsia" w:ascii="宋体" w:hAnsi="宋体" w:eastAsia="宋体" w:cs="宋体"/>
          <w:color w:val="auto"/>
          <w:spacing w:val="-4"/>
          <w:sz w:val="24"/>
          <w:szCs w:val="24"/>
        </w:rPr>
        <w:t>并应对由此次踏勘现场而造成的人身伤害、财产损失、损害以及任何其它损失、损害和引起的费用和开支承担责任。</w:t>
      </w:r>
    </w:p>
    <w:p w14:paraId="4C01213D">
      <w:pPr>
        <w:pStyle w:val="9"/>
        <w:spacing w:line="322" w:lineRule="auto"/>
        <w:ind w:left="143" w:right="55" w:firstLine="483"/>
        <w:rPr>
          <w:rFonts w:hint="eastAsia" w:ascii="宋体" w:hAnsi="宋体" w:eastAsia="宋体" w:cs="宋体"/>
          <w:b/>
          <w:bCs/>
          <w:color w:val="auto"/>
          <w:spacing w:val="-4"/>
          <w:sz w:val="24"/>
          <w:szCs w:val="24"/>
        </w:rPr>
      </w:pPr>
      <w:r>
        <w:rPr>
          <w:rFonts w:hint="eastAsia" w:ascii="宋体" w:hAnsi="宋体" w:eastAsia="宋体" w:cs="宋体"/>
          <w:b/>
          <w:bCs/>
          <w:color w:val="auto"/>
          <w:spacing w:val="-4"/>
          <w:sz w:val="24"/>
          <w:szCs w:val="24"/>
          <w:lang w:eastAsia="zh-CN"/>
        </w:rPr>
        <w:t>五</w:t>
      </w:r>
      <w:r>
        <w:rPr>
          <w:rFonts w:hint="eastAsia" w:ascii="宋体" w:hAnsi="宋体" w:eastAsia="宋体" w:cs="宋体"/>
          <w:b/>
          <w:bCs/>
          <w:color w:val="auto"/>
          <w:spacing w:val="-4"/>
          <w:sz w:val="24"/>
          <w:szCs w:val="24"/>
        </w:rPr>
        <w:t>、 验收：</w:t>
      </w:r>
    </w:p>
    <w:p w14:paraId="6264EC16">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1、货物到达采购人现场后，按照在采购人指定的时间在采购人指定现场进行开箱查验，按照安装顺序，在安装前通知采购人进行开箱查验。并向采购人提供以下资料：</w:t>
      </w:r>
    </w:p>
    <w:p w14:paraId="54C1FA68">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1）每个包装箱的外部应附有一套详细的装箱单正本、到货清单；</w:t>
      </w:r>
    </w:p>
    <w:p w14:paraId="30B04FA2">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2）产品操作手册、说明书；</w:t>
      </w:r>
    </w:p>
    <w:p w14:paraId="76EBCA3F">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3）出厂检验合格证书。</w:t>
      </w:r>
    </w:p>
    <w:p w14:paraId="4EBACF44">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采购人按</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提供的产品清单及检验产品合格证、使用说明书和其它的技术资料负责开箱检验、检查设备及随机附件是否完整无损，技术资料与图纸是否与采购人的要求相符，如有损坏、缺件等情况，</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应在 3 日内更换新产品，相应的费用及责任由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自行负担。</w:t>
      </w:r>
    </w:p>
    <w:p w14:paraId="6FAE519F">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同时采购人有权组织相关部门人员抽检到场产品，看是否符合招标文件或投标文件的约定和承诺，</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无条件配合采购人的检查并对检查后的设备及配件进行恢复至正常使用状态，所有费用由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承担。</w:t>
      </w:r>
    </w:p>
    <w:p w14:paraId="0D7E2C83">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2、验收标准：项目整体验收须按国家标准和规范及合同要求、投标文件中相关承诺进行。采购人代表有权自行组织或委托第三方检测机构进行有关的验收试验，验收所产生的费用由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承担。</w:t>
      </w:r>
    </w:p>
    <w:p w14:paraId="3C7E58DC">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3、设备及系统的各项技术性能须达到合同和相关技术文件规定的要求，须符合国家和行业的有关规定和标准。</w:t>
      </w:r>
    </w:p>
    <w:p w14:paraId="5623BD66">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4、项目完成后</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应将项目有关的全部资料包括但不限于：产品的全部有关产品规格书、技术资料、第三方的检测报告，产品数量清单、系统数据专业文档等移交采购人。上述资料文件应编辑正确、组织合理、 内容充实、容易理解，详尽描述所供货物的性能、原理、结构和尺寸，并包括部件的型号、规格、技术参数，保证采购人能够正确进行产品操作和使用。</w:t>
      </w:r>
    </w:p>
    <w:p w14:paraId="3425C4DA">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5、在验收过程中产生纠纷的， 由检测机构资质认定部门认定的检测机构检测,如检测结论为</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不符合招标文件规定的技术参数要求以及规范要求，则由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按合同要求重新提供产品或重新进行安装调试，并承担所有费用，赔偿采购人的损失；否则， 由招标人承担检测费用。</w:t>
      </w:r>
    </w:p>
    <w:p w14:paraId="27FDAE06">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6、</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在完成合同规定的内容后（安装调试完成），可向采购人申请验收；验收依据招标文件、投标文件、采购合同及其它有效的补充文件，最终验收时间以签订的采购合同为准。项目验收不合格，由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返工直至合格，有关返工、再行验收以及给采购人造成的损失等费用由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承担。因</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原因不能按规定交货期验收的，每延误一天，</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按迟交货物金额的 5‰向采购人支付违约金。连续两次项目验收不合格的，采购人可终止合同， 由此带来的一切损失由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承担，并给予采购人相应的赔偿。</w:t>
      </w:r>
    </w:p>
    <w:p w14:paraId="4A09D2F4">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7、招标人与</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双方签署采购货物验收单后，产品才视为验收合格，并开始计算质量保证期。如果由于产品本身原因在三十天内调试而未能获得通过，</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必须更换一套新的同型号且符合相关技术性能的产品，并赔偿由此造成的经济损失。</w:t>
      </w:r>
    </w:p>
    <w:p w14:paraId="75EEAC03">
      <w:pPr>
        <w:pStyle w:val="9"/>
        <w:spacing w:line="322" w:lineRule="auto"/>
        <w:ind w:left="143" w:right="55" w:firstLine="483"/>
        <w:rPr>
          <w:rFonts w:hint="eastAsia" w:ascii="宋体" w:hAnsi="宋体" w:eastAsia="宋体" w:cs="宋体"/>
          <w:b/>
          <w:bCs/>
          <w:color w:val="auto"/>
          <w:spacing w:val="-4"/>
          <w:sz w:val="24"/>
          <w:szCs w:val="24"/>
        </w:rPr>
      </w:pPr>
      <w:r>
        <w:rPr>
          <w:rFonts w:hint="eastAsia" w:ascii="宋体" w:hAnsi="宋体" w:eastAsia="宋体" w:cs="宋体"/>
          <w:b/>
          <w:bCs/>
          <w:color w:val="auto"/>
          <w:spacing w:val="-4"/>
          <w:sz w:val="24"/>
          <w:szCs w:val="24"/>
          <w:lang w:eastAsia="zh-CN"/>
        </w:rPr>
        <w:t>六</w:t>
      </w:r>
      <w:r>
        <w:rPr>
          <w:rFonts w:hint="eastAsia" w:ascii="宋体" w:hAnsi="宋体" w:eastAsia="宋体" w:cs="宋体"/>
          <w:b/>
          <w:bCs/>
          <w:color w:val="auto"/>
          <w:spacing w:val="-4"/>
          <w:sz w:val="24"/>
          <w:szCs w:val="24"/>
        </w:rPr>
        <w:t>、 培训、保修及售后服务要求：</w:t>
      </w:r>
    </w:p>
    <w:p w14:paraId="6049D2F8">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1、培训：</w:t>
      </w:r>
    </w:p>
    <w:p w14:paraId="0B2F52E2">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负责就设备及系统的检验、调试使用和维护、操作，安排原厂工程师在采购人指定的地点组织培训， 培训不少于 2 次，每次时间不少于 3 天，确保采购人技术人员能进行操作、维修、保养等独立操作，一般故障的排除。培训产生的费用全部由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承担，培训方案及时间须经采购人同意后，方可实施。</w:t>
      </w:r>
    </w:p>
    <w:p w14:paraId="318B52F6">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应配合采购人的工作人员参与设备及系统的安装与对接、系统与设备运行环境匹配改造、测试联调、数据对接、诊断及解决问题等各项工作。对操作人员的培训内容至少应包括操作和维护措施及故障应急措施，</w:t>
      </w:r>
    </w:p>
    <w:p w14:paraId="48FA7D4F">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2、保修：</w:t>
      </w:r>
    </w:p>
    <w:p w14:paraId="4CA626A6">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1）本项目各包的整体免费质保期为</w:t>
      </w:r>
      <w:r>
        <w:rPr>
          <w:rFonts w:hint="eastAsia" w:ascii="宋体" w:hAnsi="宋体" w:eastAsia="宋体" w:cs="宋体"/>
          <w:color w:val="auto"/>
          <w:spacing w:val="-4"/>
          <w:sz w:val="24"/>
          <w:szCs w:val="24"/>
          <w:lang w:eastAsia="zh-CN"/>
        </w:rPr>
        <w:t>三</w:t>
      </w:r>
      <w:r>
        <w:rPr>
          <w:rFonts w:hint="eastAsia" w:ascii="宋体" w:hAnsi="宋体" w:eastAsia="宋体" w:cs="宋体"/>
          <w:color w:val="auto"/>
          <w:spacing w:val="-4"/>
          <w:sz w:val="24"/>
          <w:szCs w:val="24"/>
        </w:rPr>
        <w:t>年（第二节技术要求中另有要求的以技术要求为准），若国家和/或生产厂家对本项目所涉及货物的质量保证期的规定高于本项目的要求，应按国家和/或生产厂家的规定执行。 自产品安装验收合格之日起开始计算。包括但不限于所投设备原厂质保或在原厂质保到期后由经原厂培训的专业技术人员提供的功能完善、性能提升、软件升级、可能涉及的故障检测、免费维修及专用配件供应等。质保期内提供所有所投设备及系统的上门保修和免费升级维护服务，免费提供所有备品备件的更换和安装，并进行终身维护，如遇专用配件停产须提供替代方案。在</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承诺的质保期满后，</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应及时优惠提供所需的备品备件、软件终身免费升级等服务。未说明部分，按中华人民共和国售后服务相关规定执行。</w:t>
      </w:r>
    </w:p>
    <w:p w14:paraId="1D259E2D">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2）在安装、调试过程中，如由于</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操作不规范导致安装、调试不成功和（或）造成合同货物损坏的情况，</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应承担所有连带责任。</w:t>
      </w:r>
    </w:p>
    <w:p w14:paraId="4731DF17">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3）保修期结束前，需由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和采购人进行一次全面检查，任何缺陷由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负责修理，在修复之后，</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将缺陷原因、修理内容、完成修理及恢复正常的时间和日期等报告给采购人，报告一式两份。</w:t>
      </w:r>
    </w:p>
    <w:p w14:paraId="5F485EC7">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4）质保期满后解决故障的响应时间和质保期内一样，仍应立即响应，2 小时内远程解决问题，必要时在 24 小时内赶到采购人现场。设备出现故障需更换配件，维修时只收取零配件成本费用，免收其他费用。</w:t>
      </w:r>
    </w:p>
    <w:p w14:paraId="7668E7EF">
      <w:pPr>
        <w:pStyle w:val="9"/>
        <w:spacing w:line="360" w:lineRule="auto"/>
        <w:ind w:left="433"/>
        <w:rPr>
          <w:rFonts w:hint="eastAsia" w:ascii="宋体" w:hAnsi="宋体" w:eastAsia="宋体" w:cs="宋体"/>
          <w:color w:val="auto"/>
          <w:sz w:val="24"/>
          <w:szCs w:val="24"/>
        </w:rPr>
      </w:pPr>
      <w:r>
        <w:rPr>
          <w:rFonts w:hint="eastAsia" w:ascii="宋体" w:hAnsi="宋体" w:eastAsia="宋体" w:cs="宋体"/>
          <w:color w:val="auto"/>
          <w:spacing w:val="5"/>
          <w:sz w:val="24"/>
          <w:szCs w:val="24"/>
        </w:rPr>
        <w:t>3、售后服务：</w:t>
      </w:r>
    </w:p>
    <w:p w14:paraId="3196AE64">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1）现场维护服务：设置 7*24 小时报修电话，如发生异常，</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在接到采购人通知后立即响应，2 小时内远程解决问题，必要时在 24 小时内赶到采购人现场，向采购人提供现场维修服务，免费排除故障，确保不影响采购人的正常使用（第二节技术要求中另有要求的以技术要求为准）。若 48 小时不能排除故障，须提供备用产品，满足采购人工作需求。（特殊时期提供技术人员值守服务）货物的质量保修期自然顺延。如果</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收到采购人通知后，未在规定的响应时间内赶到现场弥补缺陷，采购人可采取必要的补救措施，但风险和费用全部由</w:t>
      </w:r>
      <w:r>
        <w:rPr>
          <w:rFonts w:hint="eastAsia" w:ascii="宋体" w:hAnsi="宋体" w:eastAsia="宋体" w:cs="宋体"/>
          <w:color w:val="auto"/>
          <w:spacing w:val="-4"/>
          <w:sz w:val="24"/>
          <w:szCs w:val="24"/>
          <w:lang w:eastAsia="zh-CN"/>
        </w:rPr>
        <w:t>成交单位</w:t>
      </w:r>
      <w:r>
        <w:rPr>
          <w:rFonts w:hint="eastAsia" w:ascii="宋体" w:hAnsi="宋体" w:eastAsia="宋体" w:cs="宋体"/>
          <w:color w:val="auto"/>
          <w:spacing w:val="-4"/>
          <w:sz w:val="24"/>
          <w:szCs w:val="24"/>
        </w:rPr>
        <w:t>承担，并从合同款项中抵扣。</w:t>
      </w:r>
    </w:p>
    <w:p w14:paraId="7CAD01D3">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2）技术咨询服务：提供电话、邮件、网络等方式咨询服务（12 个月每天 24 小时），要求即时回复。</w:t>
      </w:r>
    </w:p>
    <w:p w14:paraId="142BF125">
      <w:pPr>
        <w:pStyle w:val="9"/>
        <w:spacing w:line="322" w:lineRule="auto"/>
        <w:ind w:left="143" w:right="55" w:firstLine="483"/>
        <w:rPr>
          <w:rFonts w:hint="eastAsia" w:ascii="宋体" w:hAnsi="宋体" w:eastAsia="宋体" w:cs="宋体"/>
          <w:color w:val="auto"/>
          <w:spacing w:val="9"/>
          <w:sz w:val="24"/>
          <w:szCs w:val="24"/>
          <w:highlight w:val="none"/>
        </w:rPr>
      </w:pPr>
      <w:r>
        <w:rPr>
          <w:rFonts w:hint="eastAsia" w:ascii="宋体" w:hAnsi="宋体" w:eastAsia="宋体" w:cs="宋体"/>
          <w:color w:val="auto"/>
          <w:spacing w:val="-4"/>
          <w:sz w:val="24"/>
          <w:szCs w:val="24"/>
          <w:highlight w:val="none"/>
        </w:rPr>
        <w:t>3）质保期内</w:t>
      </w:r>
      <w:r>
        <w:rPr>
          <w:rFonts w:hint="eastAsia" w:ascii="宋体" w:hAnsi="宋体" w:eastAsia="宋体" w:cs="宋体"/>
          <w:color w:val="auto"/>
          <w:spacing w:val="-4"/>
          <w:sz w:val="24"/>
          <w:szCs w:val="24"/>
          <w:highlight w:val="none"/>
          <w:lang w:eastAsia="zh-CN"/>
        </w:rPr>
        <w:t>成交单位</w:t>
      </w:r>
      <w:r>
        <w:rPr>
          <w:rFonts w:hint="eastAsia" w:ascii="宋体" w:hAnsi="宋体" w:eastAsia="宋体" w:cs="宋体"/>
          <w:color w:val="auto"/>
          <w:spacing w:val="-4"/>
          <w:sz w:val="24"/>
          <w:szCs w:val="24"/>
          <w:highlight w:val="none"/>
        </w:rPr>
        <w:t>提供每年不少于 1 场大型活动的现场技术支持。</w:t>
      </w:r>
    </w:p>
    <w:p w14:paraId="74CEC4B9">
      <w:pPr>
        <w:pStyle w:val="9"/>
        <w:spacing w:line="322" w:lineRule="auto"/>
        <w:ind w:left="143" w:right="55" w:firstLine="483"/>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lang w:eastAsia="zh-CN"/>
        </w:rPr>
        <w:t>七、</w:t>
      </w:r>
      <w:r>
        <w:rPr>
          <w:rFonts w:hint="eastAsia" w:ascii="宋体" w:hAnsi="宋体" w:eastAsia="宋体" w:cs="宋体"/>
          <w:b/>
          <w:bCs/>
          <w:color w:val="auto"/>
          <w:spacing w:val="-4"/>
          <w:sz w:val="24"/>
          <w:szCs w:val="24"/>
          <w:highlight w:val="none"/>
        </w:rPr>
        <w:t>履行合同的时间、地点及方式：</w:t>
      </w:r>
    </w:p>
    <w:p w14:paraId="3B5DD475">
      <w:pPr>
        <w:pStyle w:val="9"/>
        <w:spacing w:line="322" w:lineRule="auto"/>
        <w:ind w:left="143" w:right="55" w:firstLine="483"/>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1、★交货时间： 自合同签订之日起30个</w:t>
      </w:r>
      <w:r>
        <w:rPr>
          <w:rFonts w:hint="eastAsia" w:ascii="宋体" w:hAnsi="宋体" w:eastAsia="宋体" w:cs="宋体"/>
          <w:color w:val="auto"/>
          <w:spacing w:val="-4"/>
          <w:sz w:val="24"/>
          <w:szCs w:val="24"/>
          <w:highlight w:val="none"/>
          <w:lang w:eastAsia="zh-CN"/>
        </w:rPr>
        <w:t>日历日</w:t>
      </w:r>
      <w:r>
        <w:rPr>
          <w:rFonts w:hint="eastAsia" w:ascii="宋体" w:hAnsi="宋体" w:eastAsia="宋体" w:cs="宋体"/>
          <w:color w:val="auto"/>
          <w:spacing w:val="-4"/>
          <w:sz w:val="24"/>
          <w:szCs w:val="24"/>
          <w:highlight w:val="none"/>
        </w:rPr>
        <w:t>内交货，并完成所有设备仪器、系统及配套设施的安装、对接及调试</w:t>
      </w:r>
      <w:r>
        <w:rPr>
          <w:rFonts w:hint="eastAsia" w:ascii="宋体" w:hAnsi="宋体" w:eastAsia="宋体" w:cs="宋体"/>
          <w:b w:val="0"/>
          <w:bCs/>
          <w:color w:val="auto"/>
          <w:sz w:val="24"/>
          <w:szCs w:val="24"/>
          <w:highlight w:val="none"/>
          <w:lang w:val="en-US" w:eastAsia="zh-CN"/>
        </w:rPr>
        <w:t>并开始试运行</w:t>
      </w:r>
      <w:r>
        <w:rPr>
          <w:rFonts w:hint="eastAsia" w:ascii="宋体" w:hAnsi="宋体" w:eastAsia="宋体" w:cs="宋体"/>
          <w:color w:val="auto"/>
          <w:spacing w:val="-4"/>
          <w:sz w:val="24"/>
          <w:szCs w:val="24"/>
          <w:highlight w:val="none"/>
        </w:rPr>
        <w:t>。</w:t>
      </w:r>
    </w:p>
    <w:p w14:paraId="19AC7209">
      <w:pPr>
        <w:pStyle w:val="9"/>
        <w:spacing w:line="322" w:lineRule="auto"/>
        <w:ind w:left="143" w:right="55" w:firstLine="483"/>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2、供货地点：</w:t>
      </w:r>
      <w:r>
        <w:rPr>
          <w:rFonts w:hint="eastAsia" w:ascii="宋体" w:hAnsi="宋体" w:eastAsia="宋体" w:cs="宋体"/>
          <w:color w:val="auto"/>
          <w:spacing w:val="-4"/>
          <w:sz w:val="24"/>
          <w:szCs w:val="24"/>
          <w:highlight w:val="none"/>
          <w:lang w:eastAsia="zh-CN"/>
        </w:rPr>
        <w:t>湘潭市中级人民法院</w:t>
      </w:r>
      <w:r>
        <w:rPr>
          <w:rFonts w:hint="eastAsia" w:ascii="宋体" w:hAnsi="宋体" w:eastAsia="宋体" w:cs="宋体"/>
          <w:color w:val="auto"/>
          <w:spacing w:val="-4"/>
          <w:sz w:val="24"/>
          <w:szCs w:val="24"/>
          <w:highlight w:val="none"/>
        </w:rPr>
        <w:t>指定地点。</w:t>
      </w:r>
    </w:p>
    <w:p w14:paraId="079F7B78">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3、供货方式：免费货到采购人指定位置，包括货物、运输、安装、调试运行、直至验收合格（交钥匙项目）。</w:t>
      </w:r>
    </w:p>
    <w:p w14:paraId="0C5066EA">
      <w:pPr>
        <w:pStyle w:val="9"/>
        <w:spacing w:line="322" w:lineRule="auto"/>
        <w:ind w:left="143" w:right="55" w:firstLine="483"/>
        <w:rPr>
          <w:rFonts w:hint="eastAsia" w:ascii="宋体" w:hAnsi="宋体" w:eastAsia="宋体" w:cs="宋体"/>
          <w:b/>
          <w:bCs/>
          <w:color w:val="auto"/>
          <w:spacing w:val="-4"/>
          <w:sz w:val="24"/>
          <w:szCs w:val="24"/>
        </w:rPr>
      </w:pPr>
      <w:r>
        <w:rPr>
          <w:rFonts w:hint="eastAsia" w:ascii="宋体" w:hAnsi="宋体" w:eastAsia="宋体" w:cs="宋体"/>
          <w:b/>
          <w:bCs/>
          <w:color w:val="auto"/>
          <w:spacing w:val="-4"/>
          <w:sz w:val="24"/>
          <w:szCs w:val="24"/>
          <w:lang w:eastAsia="zh-CN"/>
        </w:rPr>
        <w:t>八、</w:t>
      </w:r>
      <w:r>
        <w:rPr>
          <w:rFonts w:hint="eastAsia" w:ascii="宋体" w:hAnsi="宋体" w:eastAsia="宋体" w:cs="宋体"/>
          <w:b/>
          <w:bCs/>
          <w:color w:val="auto"/>
          <w:spacing w:val="-4"/>
          <w:sz w:val="24"/>
          <w:szCs w:val="24"/>
        </w:rPr>
        <w:t xml:space="preserve"> 付款方式：</w:t>
      </w:r>
    </w:p>
    <w:p w14:paraId="0388DAF4">
      <w:pPr>
        <w:pStyle w:val="9"/>
        <w:spacing w:line="322" w:lineRule="auto"/>
        <w:ind w:left="143" w:right="55" w:firstLine="483"/>
        <w:rPr>
          <w:rFonts w:hint="eastAsia" w:ascii="宋体" w:hAnsi="宋体" w:eastAsia="宋体" w:cs="宋体"/>
          <w:color w:val="auto"/>
          <w:spacing w:val="-4"/>
          <w:sz w:val="24"/>
          <w:szCs w:val="24"/>
          <w:lang w:eastAsia="zh-CN"/>
        </w:rPr>
      </w:pPr>
      <w:r>
        <w:rPr>
          <w:rFonts w:hint="eastAsia" w:ascii="宋体" w:hAnsi="宋体" w:eastAsia="宋体" w:cs="宋体"/>
          <w:color w:val="auto"/>
          <w:spacing w:val="-4"/>
          <w:sz w:val="24"/>
          <w:szCs w:val="24"/>
        </w:rPr>
        <w:t>付款人：</w:t>
      </w:r>
      <w:r>
        <w:rPr>
          <w:rFonts w:hint="eastAsia" w:ascii="宋体" w:hAnsi="宋体" w:eastAsia="宋体" w:cs="宋体"/>
          <w:color w:val="auto"/>
          <w:spacing w:val="-4"/>
          <w:sz w:val="24"/>
          <w:szCs w:val="24"/>
          <w:lang w:eastAsia="zh-CN"/>
        </w:rPr>
        <w:t>湘潭市中级人民法院</w:t>
      </w:r>
    </w:p>
    <w:p w14:paraId="497881C9">
      <w:pPr>
        <w:pStyle w:val="9"/>
        <w:spacing w:line="322" w:lineRule="auto"/>
        <w:ind w:left="143" w:right="55" w:firstLine="483"/>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★付款方式：合同签订后，主要设备到达</w:t>
      </w:r>
      <w:r>
        <w:rPr>
          <w:rFonts w:hint="eastAsia" w:ascii="宋体" w:hAnsi="宋体" w:cs="宋体"/>
          <w:color w:val="auto"/>
          <w:spacing w:val="-4"/>
          <w:sz w:val="24"/>
          <w:szCs w:val="24"/>
          <w:highlight w:val="none"/>
          <w:lang w:eastAsia="zh-CN"/>
        </w:rPr>
        <w:t>采购人</w:t>
      </w:r>
      <w:r>
        <w:rPr>
          <w:rFonts w:hint="eastAsia" w:ascii="宋体" w:hAnsi="宋体" w:eastAsia="宋体" w:cs="宋体"/>
          <w:color w:val="auto"/>
          <w:spacing w:val="-4"/>
          <w:sz w:val="24"/>
          <w:szCs w:val="24"/>
          <w:highlight w:val="none"/>
        </w:rPr>
        <w:t>指定地点并经</w:t>
      </w:r>
      <w:r>
        <w:rPr>
          <w:rFonts w:hint="eastAsia" w:ascii="宋体" w:hAnsi="宋体" w:cs="宋体"/>
          <w:color w:val="auto"/>
          <w:spacing w:val="-4"/>
          <w:sz w:val="24"/>
          <w:szCs w:val="24"/>
          <w:highlight w:val="none"/>
          <w:lang w:eastAsia="zh-CN"/>
        </w:rPr>
        <w:t>采购人</w:t>
      </w:r>
      <w:r>
        <w:rPr>
          <w:rFonts w:hint="eastAsia" w:ascii="宋体" w:hAnsi="宋体" w:eastAsia="宋体" w:cs="宋体"/>
          <w:color w:val="auto"/>
          <w:spacing w:val="-4"/>
          <w:sz w:val="24"/>
          <w:szCs w:val="24"/>
          <w:highlight w:val="none"/>
        </w:rPr>
        <w:t>签收后</w:t>
      </w:r>
      <w:r>
        <w:rPr>
          <w:rFonts w:hint="eastAsia" w:ascii="宋体" w:hAnsi="宋体" w:eastAsia="宋体" w:cs="宋体"/>
          <w:color w:val="auto"/>
          <w:spacing w:val="-4"/>
          <w:sz w:val="24"/>
          <w:szCs w:val="24"/>
          <w:highlight w:val="none"/>
          <w:lang w:eastAsia="zh-CN"/>
        </w:rPr>
        <w:t>，</w:t>
      </w:r>
      <w:r>
        <w:rPr>
          <w:rFonts w:hint="eastAsia" w:ascii="宋体" w:hAnsi="宋体" w:cs="宋体"/>
          <w:color w:val="auto"/>
          <w:spacing w:val="-4"/>
          <w:sz w:val="24"/>
          <w:szCs w:val="24"/>
          <w:highlight w:val="none"/>
          <w:lang w:eastAsia="zh-CN"/>
        </w:rPr>
        <w:t>采购人</w:t>
      </w:r>
      <w:r>
        <w:rPr>
          <w:rFonts w:hint="eastAsia" w:ascii="宋体" w:hAnsi="宋体" w:eastAsia="宋体" w:cs="宋体"/>
          <w:color w:val="auto"/>
          <w:spacing w:val="-4"/>
          <w:sz w:val="24"/>
          <w:szCs w:val="24"/>
          <w:highlight w:val="none"/>
        </w:rPr>
        <w:t xml:space="preserve">收到发票后 支付至合同金额的 </w:t>
      </w:r>
      <w:r>
        <w:rPr>
          <w:rFonts w:hint="eastAsia" w:ascii="宋体" w:hAnsi="宋体" w:eastAsia="宋体" w:cs="宋体"/>
          <w:color w:val="auto"/>
          <w:spacing w:val="-4"/>
          <w:sz w:val="24"/>
          <w:szCs w:val="24"/>
          <w:highlight w:val="none"/>
          <w:lang w:val="en-US" w:eastAsia="zh-CN"/>
        </w:rPr>
        <w:t>5</w:t>
      </w:r>
      <w:r>
        <w:rPr>
          <w:rFonts w:hint="eastAsia" w:ascii="宋体" w:hAnsi="宋体" w:eastAsia="宋体" w:cs="宋体"/>
          <w:color w:val="auto"/>
          <w:spacing w:val="-4"/>
          <w:sz w:val="24"/>
          <w:szCs w:val="24"/>
          <w:highlight w:val="none"/>
        </w:rPr>
        <w:t>0%</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lang w:val="en-US" w:eastAsia="zh-CN"/>
        </w:rPr>
        <w:t>所有</w:t>
      </w:r>
      <w:r>
        <w:rPr>
          <w:rFonts w:hint="eastAsia" w:ascii="宋体" w:hAnsi="宋体" w:eastAsia="宋体" w:cs="宋体"/>
          <w:color w:val="auto"/>
          <w:spacing w:val="-4"/>
          <w:sz w:val="24"/>
          <w:szCs w:val="24"/>
          <w:highlight w:val="none"/>
        </w:rPr>
        <w:t>设备安装、调试、验收合格后，</w:t>
      </w:r>
      <w:r>
        <w:rPr>
          <w:rFonts w:hint="eastAsia" w:ascii="宋体" w:hAnsi="宋体" w:cs="宋体"/>
          <w:color w:val="auto"/>
          <w:spacing w:val="-4"/>
          <w:sz w:val="24"/>
          <w:szCs w:val="24"/>
          <w:highlight w:val="none"/>
          <w:lang w:eastAsia="zh-CN"/>
        </w:rPr>
        <w:t>采购人</w:t>
      </w:r>
      <w:r>
        <w:rPr>
          <w:rFonts w:hint="eastAsia" w:ascii="宋体" w:hAnsi="宋体" w:eastAsia="宋体" w:cs="宋体"/>
          <w:color w:val="auto"/>
          <w:spacing w:val="-4"/>
          <w:sz w:val="24"/>
          <w:szCs w:val="24"/>
          <w:highlight w:val="none"/>
        </w:rPr>
        <w:t>收到</w:t>
      </w:r>
      <w:r>
        <w:rPr>
          <w:rFonts w:hint="eastAsia" w:ascii="宋体" w:hAnsi="宋体" w:cs="宋体"/>
          <w:color w:val="auto"/>
          <w:spacing w:val="-4"/>
          <w:sz w:val="24"/>
          <w:szCs w:val="24"/>
          <w:highlight w:val="none"/>
          <w:lang w:eastAsia="zh-CN"/>
        </w:rPr>
        <w:t>成交单位</w:t>
      </w:r>
      <w:r>
        <w:rPr>
          <w:rFonts w:hint="eastAsia" w:ascii="宋体" w:hAnsi="宋体" w:eastAsia="宋体" w:cs="宋体"/>
          <w:color w:val="auto"/>
          <w:spacing w:val="-4"/>
          <w:sz w:val="24"/>
          <w:szCs w:val="24"/>
          <w:highlight w:val="none"/>
        </w:rPr>
        <w:t>提供的相应发票后 支付至合同金额的9</w:t>
      </w:r>
      <w:r>
        <w:rPr>
          <w:rFonts w:hint="eastAsia" w:ascii="宋体" w:hAnsi="宋体" w:eastAsia="宋体" w:cs="宋体"/>
          <w:color w:val="auto"/>
          <w:spacing w:val="-4"/>
          <w:sz w:val="24"/>
          <w:szCs w:val="24"/>
          <w:highlight w:val="none"/>
          <w:lang w:val="en-US" w:eastAsia="zh-CN"/>
        </w:rPr>
        <w:t>7</w:t>
      </w:r>
      <w:r>
        <w:rPr>
          <w:rFonts w:hint="eastAsia" w:ascii="宋体" w:hAnsi="宋体" w:eastAsia="宋体" w:cs="宋体"/>
          <w:color w:val="auto"/>
          <w:spacing w:val="-4"/>
          <w:sz w:val="24"/>
          <w:szCs w:val="24"/>
          <w:highlight w:val="none"/>
        </w:rPr>
        <w:t>%。自验收合格之日起，如</w:t>
      </w:r>
      <w:r>
        <w:rPr>
          <w:rFonts w:hint="eastAsia" w:ascii="宋体" w:hAnsi="宋体" w:cs="宋体"/>
          <w:color w:val="auto"/>
          <w:spacing w:val="-4"/>
          <w:sz w:val="24"/>
          <w:szCs w:val="24"/>
          <w:highlight w:val="none"/>
          <w:lang w:eastAsia="zh-CN"/>
        </w:rPr>
        <w:t>成交单位</w:t>
      </w:r>
      <w:r>
        <w:rPr>
          <w:rFonts w:hint="eastAsia" w:ascii="宋体" w:hAnsi="宋体" w:eastAsia="宋体" w:cs="宋体"/>
          <w:color w:val="auto"/>
          <w:spacing w:val="-4"/>
          <w:sz w:val="24"/>
          <w:szCs w:val="24"/>
          <w:highlight w:val="none"/>
        </w:rPr>
        <w:t>无履约瑕疵，</w:t>
      </w:r>
      <w:r>
        <w:rPr>
          <w:rFonts w:hint="eastAsia" w:ascii="宋体" w:hAnsi="宋体" w:eastAsia="宋体" w:cs="宋体"/>
          <w:color w:val="auto"/>
          <w:spacing w:val="-4"/>
          <w:sz w:val="24"/>
          <w:szCs w:val="24"/>
          <w:highlight w:val="none"/>
          <w:lang w:val="en-US" w:eastAsia="zh-CN"/>
        </w:rPr>
        <w:t>质保期</w:t>
      </w:r>
      <w:r>
        <w:rPr>
          <w:rFonts w:hint="eastAsia" w:ascii="宋体" w:hAnsi="宋体" w:eastAsia="宋体" w:cs="宋体"/>
          <w:color w:val="auto"/>
          <w:spacing w:val="-4"/>
          <w:sz w:val="24"/>
          <w:szCs w:val="24"/>
          <w:highlight w:val="none"/>
        </w:rPr>
        <w:t>到期后</w:t>
      </w:r>
      <w:r>
        <w:rPr>
          <w:rFonts w:hint="eastAsia" w:ascii="宋体" w:hAnsi="宋体" w:cs="宋体"/>
          <w:color w:val="auto"/>
          <w:spacing w:val="-4"/>
          <w:sz w:val="24"/>
          <w:szCs w:val="24"/>
          <w:highlight w:val="none"/>
          <w:lang w:eastAsia="zh-CN"/>
        </w:rPr>
        <w:t>采购人</w:t>
      </w:r>
      <w:r>
        <w:rPr>
          <w:rFonts w:hint="eastAsia" w:ascii="宋体" w:hAnsi="宋体" w:eastAsia="宋体" w:cs="宋体"/>
          <w:color w:val="auto"/>
          <w:spacing w:val="-4"/>
          <w:sz w:val="24"/>
          <w:szCs w:val="24"/>
          <w:highlight w:val="none"/>
        </w:rPr>
        <w:t>支付剩余</w:t>
      </w:r>
      <w:r>
        <w:rPr>
          <w:rFonts w:hint="eastAsia" w:ascii="宋体" w:hAnsi="宋体" w:cs="宋体"/>
          <w:color w:val="auto"/>
          <w:spacing w:val="-4"/>
          <w:sz w:val="24"/>
          <w:szCs w:val="24"/>
          <w:highlight w:val="none"/>
          <w:lang w:val="en-US" w:eastAsia="zh-CN"/>
        </w:rPr>
        <w:t>款项</w:t>
      </w:r>
      <w:r>
        <w:rPr>
          <w:rFonts w:hint="eastAsia" w:ascii="宋体" w:hAnsi="宋体" w:eastAsia="宋体" w:cs="宋体"/>
          <w:color w:val="auto"/>
          <w:spacing w:val="-4"/>
          <w:sz w:val="24"/>
          <w:szCs w:val="24"/>
          <w:highlight w:val="none"/>
        </w:rPr>
        <w:t>。</w:t>
      </w:r>
    </w:p>
    <w:p w14:paraId="434019E1">
      <w:pPr>
        <w:pStyle w:val="9"/>
        <w:spacing w:line="322" w:lineRule="auto"/>
        <w:ind w:left="143" w:right="55" w:firstLine="483"/>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lang w:eastAsia="zh-CN"/>
        </w:rPr>
        <w:t>九</w:t>
      </w:r>
      <w:r>
        <w:rPr>
          <w:rFonts w:hint="eastAsia" w:ascii="宋体" w:hAnsi="宋体" w:eastAsia="宋体" w:cs="宋体"/>
          <w:b/>
          <w:bCs/>
          <w:color w:val="auto"/>
          <w:spacing w:val="-4"/>
          <w:sz w:val="24"/>
          <w:szCs w:val="24"/>
          <w:highlight w:val="none"/>
        </w:rPr>
        <w:t>、 技术服务：</w:t>
      </w:r>
    </w:p>
    <w:p w14:paraId="0D2D9EF0">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1、此项目为全包价。</w:t>
      </w:r>
    </w:p>
    <w:p w14:paraId="542DEFCC">
      <w:pPr>
        <w:pStyle w:val="9"/>
        <w:spacing w:line="322" w:lineRule="auto"/>
        <w:ind w:left="143" w:right="55" w:firstLine="483"/>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2、在货物寿命期内，投标供应商应备有一定的易损件供应，采购人要求订购备件或修理服务，投标供应商应能及时优惠提供。</w:t>
      </w:r>
    </w:p>
    <w:p w14:paraId="375A2E21">
      <w:pPr>
        <w:pStyle w:val="19"/>
        <w:keepNext w:val="0"/>
        <w:keepLines w:val="0"/>
        <w:pageBreakBefore w:val="0"/>
        <w:widowControl w:val="0"/>
        <w:kinsoku/>
        <w:wordWrap/>
        <w:overflowPunct/>
        <w:topLinePunct w:val="0"/>
        <w:autoSpaceDE w:val="0"/>
        <w:autoSpaceDN w:val="0"/>
        <w:bidi w:val="0"/>
        <w:adjustRightInd w:val="0"/>
        <w:snapToGrid/>
        <w:spacing w:after="0" w:line="400" w:lineRule="exact"/>
        <w:ind w:left="0" w:leftChars="0" w:firstLine="480" w:firstLineChars="200"/>
        <w:textAlignment w:val="auto"/>
        <w:rPr>
          <w:rFonts w:hint="eastAsia" w:ascii="宋体" w:hAnsi="宋体" w:eastAsia="宋体" w:cs="宋体"/>
          <w:b w:val="0"/>
          <w:bCs w:val="0"/>
          <w:kern w:val="2"/>
          <w:sz w:val="24"/>
          <w:szCs w:val="24"/>
          <w:lang w:val="en-US" w:eastAsia="zh-CN" w:bidi="ar-SA"/>
        </w:rPr>
      </w:pPr>
    </w:p>
    <w:p w14:paraId="15504CF8">
      <w:pPr>
        <w:pStyle w:val="19"/>
        <w:numPr>
          <w:ilvl w:val="0"/>
          <w:numId w:val="0"/>
        </w:numPr>
        <w:ind w:leftChars="0"/>
        <w:jc w:val="both"/>
        <w:rPr>
          <w:rFonts w:hint="eastAsia" w:ascii="宋体" w:hAnsi="宋体" w:eastAsia="宋体" w:cs="宋体"/>
          <w:b/>
          <w:bCs/>
          <w:color w:val="auto"/>
          <w:kern w:val="2"/>
          <w:sz w:val="24"/>
          <w:szCs w:val="24"/>
          <w:highlight w:val="none"/>
          <w:lang w:val="en-US" w:eastAsia="zh-CN" w:bidi="ar-SA"/>
        </w:rPr>
      </w:pPr>
    </w:p>
    <w:p w14:paraId="434248E9">
      <w:pPr>
        <w:adjustRightInd w:val="0"/>
        <w:snapToGrid w:val="0"/>
        <w:spacing w:line="360" w:lineRule="auto"/>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对于上述项目要求，供应商应在响应文件中进行回应，作出承诺及说明。</w:t>
      </w:r>
    </w:p>
    <w:p w14:paraId="3A18E60E">
      <w:pPr>
        <w:rPr>
          <w:color w:val="auto"/>
        </w:rPr>
      </w:pPr>
    </w:p>
    <w:p w14:paraId="0DAD9489">
      <w:pPr>
        <w:adjustRightInd w:val="0"/>
        <w:snapToGrid w:val="0"/>
        <w:spacing w:line="360" w:lineRule="auto"/>
        <w:jc w:val="center"/>
        <w:outlineLvl w:val="0"/>
        <w:rPr>
          <w:rFonts w:hint="eastAsia" w:ascii="黑体" w:eastAsia="黑体"/>
          <w:b/>
          <w:color w:val="auto"/>
          <w:sz w:val="32"/>
          <w:szCs w:val="32"/>
        </w:rPr>
        <w:sectPr>
          <w:pgSz w:w="11906" w:h="16838"/>
          <w:pgMar w:top="1474" w:right="1417" w:bottom="1284" w:left="1417" w:header="851" w:footer="737" w:gutter="0"/>
          <w:pgNumType w:fmt="decimal"/>
          <w:cols w:space="720" w:num="1"/>
          <w:docGrid w:type="lines" w:linePitch="312" w:charSpace="0"/>
        </w:sectPr>
      </w:pPr>
    </w:p>
    <w:p w14:paraId="52981D9E">
      <w:pPr>
        <w:adjustRightInd w:val="0"/>
        <w:snapToGrid w:val="0"/>
        <w:spacing w:line="360" w:lineRule="auto"/>
        <w:jc w:val="center"/>
        <w:outlineLvl w:val="0"/>
        <w:rPr>
          <w:rFonts w:hint="eastAsia" w:ascii="黑体" w:eastAsia="黑体"/>
          <w:b/>
          <w:color w:val="auto"/>
          <w:sz w:val="32"/>
          <w:szCs w:val="32"/>
        </w:rPr>
      </w:pPr>
      <w:r>
        <w:rPr>
          <w:rFonts w:hint="eastAsia" w:ascii="黑体" w:eastAsia="黑体"/>
          <w:b/>
          <w:color w:val="auto"/>
          <w:sz w:val="32"/>
          <w:szCs w:val="32"/>
        </w:rPr>
        <w:t>第五章 响应文件组成</w:t>
      </w:r>
      <w:bookmarkEnd w:id="77"/>
    </w:p>
    <w:p w14:paraId="72BC8773">
      <w:pPr>
        <w:adjustRightInd w:val="0"/>
        <w:snapToGrid w:val="0"/>
        <w:spacing w:line="360" w:lineRule="auto"/>
        <w:rPr>
          <w:rFonts w:hint="eastAsia" w:ascii="宋体"/>
          <w:color w:val="auto"/>
        </w:rPr>
      </w:pPr>
    </w:p>
    <w:p w14:paraId="5EDDC7D3">
      <w:pPr>
        <w:adjustRightInd w:val="0"/>
        <w:snapToGrid w:val="0"/>
        <w:spacing w:line="360" w:lineRule="auto"/>
        <w:rPr>
          <w:rFonts w:hint="eastAsia" w:ascii="宋体"/>
          <w:color w:val="auto"/>
        </w:rPr>
      </w:pPr>
    </w:p>
    <w:p w14:paraId="6B171F85">
      <w:pPr>
        <w:adjustRightInd w:val="0"/>
        <w:snapToGrid w:val="0"/>
        <w:rPr>
          <w:rFonts w:hint="eastAsia" w:ascii="宋体"/>
          <w:color w:val="auto"/>
        </w:rPr>
      </w:pPr>
      <w:r>
        <w:rPr>
          <w:rFonts w:hint="eastAsia" w:ascii="宋体"/>
          <w:color w:val="auto"/>
        </w:rPr>
        <w:t>供应商的响应文件应包含以下部分：</w:t>
      </w:r>
    </w:p>
    <w:p w14:paraId="10FC11F1">
      <w:pPr>
        <w:adjustRightInd w:val="0"/>
        <w:snapToGrid w:val="0"/>
        <w:spacing w:before="156" w:beforeLines="50"/>
        <w:jc w:val="left"/>
        <w:outlineLvl w:val="0"/>
        <w:rPr>
          <w:rFonts w:hint="eastAsia" w:ascii="宋体" w:hAnsi="宋体"/>
          <w:b/>
          <w:color w:val="auto"/>
          <w:szCs w:val="21"/>
        </w:rPr>
      </w:pPr>
      <w:bookmarkStart w:id="79" w:name="_Toc4613"/>
      <w:r>
        <w:rPr>
          <w:rFonts w:hint="eastAsia" w:ascii="宋体" w:hAnsi="宋体"/>
          <w:b/>
          <w:color w:val="auto"/>
          <w:szCs w:val="21"/>
        </w:rPr>
        <w:t>一、磋商响应声明</w:t>
      </w:r>
      <w:bookmarkEnd w:id="79"/>
    </w:p>
    <w:p w14:paraId="0225CDF0">
      <w:pPr>
        <w:adjustRightInd w:val="0"/>
        <w:snapToGrid w:val="0"/>
        <w:spacing w:before="156" w:beforeLines="50"/>
        <w:ind w:firstLine="420" w:firstLineChars="200"/>
        <w:jc w:val="left"/>
        <w:outlineLvl w:val="0"/>
        <w:rPr>
          <w:rFonts w:hint="eastAsia" w:ascii="宋体" w:hAnsi="宋体"/>
          <w:b/>
          <w:color w:val="auto"/>
          <w:szCs w:val="21"/>
        </w:rPr>
      </w:pPr>
      <w:bookmarkStart w:id="80" w:name="_Toc14521"/>
      <w:r>
        <w:rPr>
          <w:rFonts w:hint="eastAsia" w:ascii="宋体" w:hAnsi="宋体"/>
          <w:color w:val="auto"/>
          <w:szCs w:val="21"/>
        </w:rPr>
        <w:t>附件1：法定代表人身份证明(法定代表人参加磋商)</w:t>
      </w:r>
      <w:bookmarkEnd w:id="80"/>
    </w:p>
    <w:p w14:paraId="4318AC1C">
      <w:pPr>
        <w:adjustRightInd w:val="0"/>
        <w:snapToGrid w:val="0"/>
        <w:spacing w:before="156" w:beforeLines="50"/>
        <w:ind w:firstLine="420" w:firstLineChars="200"/>
        <w:jc w:val="left"/>
        <w:outlineLvl w:val="0"/>
        <w:rPr>
          <w:rFonts w:hint="eastAsia" w:ascii="宋体" w:hAnsi="宋体"/>
          <w:b/>
          <w:color w:val="auto"/>
          <w:szCs w:val="21"/>
        </w:rPr>
      </w:pPr>
      <w:bookmarkStart w:id="81" w:name="_Toc23154"/>
      <w:r>
        <w:rPr>
          <w:rFonts w:hint="eastAsia" w:ascii="宋体" w:hAnsi="宋体"/>
          <w:color w:val="auto"/>
          <w:szCs w:val="21"/>
        </w:rPr>
        <w:t>附件2：法定代表人授权书(委托代理人参加磋商)</w:t>
      </w:r>
      <w:bookmarkEnd w:id="81"/>
    </w:p>
    <w:p w14:paraId="2AD219BE">
      <w:pPr>
        <w:adjustRightInd w:val="0"/>
        <w:snapToGrid w:val="0"/>
        <w:spacing w:before="156" w:beforeLines="50"/>
        <w:jc w:val="left"/>
        <w:outlineLvl w:val="0"/>
        <w:rPr>
          <w:rFonts w:hint="eastAsia" w:ascii="宋体" w:hAnsi="宋体"/>
          <w:b/>
          <w:color w:val="auto"/>
          <w:szCs w:val="21"/>
        </w:rPr>
      </w:pPr>
      <w:bookmarkStart w:id="82" w:name="_Toc25929"/>
      <w:r>
        <w:rPr>
          <w:rFonts w:hint="eastAsia" w:ascii="宋体" w:hAnsi="宋体"/>
          <w:b/>
          <w:color w:val="auto"/>
          <w:szCs w:val="21"/>
        </w:rPr>
        <w:t>二、磋商保证金缴纳证明材料</w:t>
      </w:r>
      <w:bookmarkEnd w:id="82"/>
    </w:p>
    <w:p w14:paraId="1E2CE3F2">
      <w:pPr>
        <w:adjustRightInd w:val="0"/>
        <w:snapToGrid w:val="0"/>
        <w:spacing w:before="156" w:beforeLines="50"/>
        <w:ind w:right="23" w:rightChars="11"/>
        <w:jc w:val="left"/>
        <w:outlineLvl w:val="0"/>
        <w:rPr>
          <w:rFonts w:hint="eastAsia" w:ascii="宋体" w:hAnsi="宋体"/>
          <w:b/>
          <w:color w:val="auto"/>
          <w:szCs w:val="21"/>
        </w:rPr>
      </w:pPr>
      <w:bookmarkStart w:id="83" w:name="_Toc24899"/>
      <w:r>
        <w:rPr>
          <w:rFonts w:hint="eastAsia" w:ascii="宋体" w:hAnsi="宋体"/>
          <w:b/>
          <w:color w:val="auto"/>
          <w:szCs w:val="21"/>
        </w:rPr>
        <w:t>三、供应商的资格证明材料</w:t>
      </w:r>
      <w:bookmarkEnd w:id="83"/>
    </w:p>
    <w:p w14:paraId="51F8F46E">
      <w:pPr>
        <w:adjustRightInd w:val="0"/>
        <w:snapToGrid w:val="0"/>
        <w:spacing w:before="156" w:beforeLines="50"/>
        <w:ind w:right="23" w:rightChars="11" w:firstLine="420" w:firstLineChars="200"/>
        <w:jc w:val="left"/>
        <w:outlineLvl w:val="0"/>
        <w:rPr>
          <w:rFonts w:hint="eastAsia" w:ascii="宋体" w:hAnsi="宋体"/>
          <w:b/>
          <w:color w:val="auto"/>
          <w:szCs w:val="21"/>
        </w:rPr>
      </w:pPr>
      <w:bookmarkStart w:id="84" w:name="_Toc28292"/>
      <w:r>
        <w:rPr>
          <w:rFonts w:hint="eastAsia" w:ascii="宋体" w:hAnsi="宋体"/>
          <w:color w:val="auto"/>
          <w:szCs w:val="21"/>
        </w:rPr>
        <w:t>附件</w:t>
      </w:r>
      <w:r>
        <w:rPr>
          <w:rFonts w:hint="eastAsia" w:ascii="宋体" w:hAnsi="宋体"/>
          <w:color w:val="auto"/>
          <w:szCs w:val="21"/>
          <w:lang w:val="en-US" w:eastAsia="zh-CN"/>
        </w:rPr>
        <w:t>3</w:t>
      </w:r>
      <w:r>
        <w:rPr>
          <w:rFonts w:hint="eastAsia" w:ascii="宋体" w:hAnsi="宋体"/>
          <w:color w:val="auto"/>
          <w:szCs w:val="21"/>
        </w:rPr>
        <w:t>：供应商基本情况表</w:t>
      </w:r>
      <w:bookmarkEnd w:id="84"/>
    </w:p>
    <w:p w14:paraId="69F430C9">
      <w:pPr>
        <w:adjustRightInd w:val="0"/>
        <w:snapToGrid w:val="0"/>
        <w:spacing w:before="156" w:beforeLines="50"/>
        <w:ind w:right="23" w:rightChars="11" w:firstLine="420" w:firstLineChars="200"/>
        <w:jc w:val="left"/>
        <w:outlineLvl w:val="0"/>
        <w:rPr>
          <w:rFonts w:hint="eastAsia" w:ascii="宋体" w:hAnsi="宋体"/>
          <w:color w:val="auto"/>
          <w:szCs w:val="21"/>
        </w:rPr>
      </w:pPr>
      <w:bookmarkStart w:id="85" w:name="_Toc4832"/>
      <w:r>
        <w:rPr>
          <w:rFonts w:hint="eastAsia" w:ascii="宋体" w:hAnsi="宋体"/>
          <w:color w:val="auto"/>
          <w:szCs w:val="21"/>
        </w:rPr>
        <w:t>附件</w:t>
      </w:r>
      <w:r>
        <w:rPr>
          <w:rFonts w:hint="eastAsia" w:ascii="宋体" w:hAnsi="宋体"/>
          <w:color w:val="auto"/>
          <w:szCs w:val="21"/>
          <w:lang w:val="en-US" w:eastAsia="zh-CN"/>
        </w:rPr>
        <w:t>4</w:t>
      </w:r>
      <w:r>
        <w:rPr>
          <w:rFonts w:hint="eastAsia" w:ascii="宋体" w:hAnsi="宋体"/>
          <w:color w:val="auto"/>
          <w:szCs w:val="21"/>
        </w:rPr>
        <w:t>：</w:t>
      </w:r>
      <w:bookmarkEnd w:id="85"/>
      <w:r>
        <w:rPr>
          <w:rFonts w:hint="eastAsia" w:ascii="宋体" w:hAnsi="宋体"/>
          <w:color w:val="auto"/>
          <w:szCs w:val="21"/>
        </w:rPr>
        <w:t>磋商文件规定的基本资格条件证明资料</w:t>
      </w:r>
    </w:p>
    <w:p w14:paraId="44237E06">
      <w:pPr>
        <w:adjustRightInd w:val="0"/>
        <w:snapToGrid w:val="0"/>
        <w:spacing w:before="156" w:beforeLines="50"/>
        <w:ind w:right="23" w:rightChars="11"/>
        <w:jc w:val="left"/>
        <w:outlineLvl w:val="0"/>
        <w:rPr>
          <w:rFonts w:hint="eastAsia" w:ascii="宋体" w:hAnsi="宋体" w:eastAsia="宋体" w:cs="Times New Roman"/>
          <w:b/>
          <w:color w:val="auto"/>
          <w:szCs w:val="21"/>
          <w:lang w:eastAsia="zh-CN"/>
        </w:rPr>
      </w:pPr>
      <w:r>
        <w:rPr>
          <w:rFonts w:hint="eastAsia" w:ascii="宋体" w:hAnsi="宋体" w:eastAsia="宋体" w:cs="Times New Roman"/>
          <w:b/>
          <w:color w:val="auto"/>
          <w:szCs w:val="21"/>
        </w:rPr>
        <w:t>四、货物或服务方案说明</w:t>
      </w:r>
    </w:p>
    <w:p w14:paraId="0F9A6DE6">
      <w:pPr>
        <w:adjustRightInd w:val="0"/>
        <w:snapToGrid w:val="0"/>
        <w:spacing w:before="156" w:beforeLines="50"/>
        <w:ind w:right="23" w:rightChars="11" w:firstLine="420" w:firstLineChars="200"/>
        <w:jc w:val="left"/>
        <w:outlineLvl w:val="0"/>
        <w:rPr>
          <w:rFonts w:hint="eastAsia" w:ascii="宋体" w:hAnsi="宋体"/>
          <w:b/>
          <w:color w:val="auto"/>
          <w:szCs w:val="21"/>
        </w:rPr>
      </w:pPr>
      <w:bookmarkStart w:id="86" w:name="_Toc4702"/>
      <w:r>
        <w:rPr>
          <w:rFonts w:hint="eastAsia" w:ascii="宋体" w:hAnsi="宋体"/>
          <w:color w:val="auto"/>
          <w:szCs w:val="21"/>
        </w:rPr>
        <w:t>附件</w:t>
      </w:r>
      <w:r>
        <w:rPr>
          <w:rFonts w:hint="eastAsia" w:ascii="宋体" w:hAnsi="宋体"/>
          <w:color w:val="auto"/>
          <w:szCs w:val="21"/>
          <w:lang w:val="en-US" w:eastAsia="zh-CN"/>
        </w:rPr>
        <w:t>5</w:t>
      </w:r>
      <w:r>
        <w:rPr>
          <w:rFonts w:hint="eastAsia" w:ascii="宋体" w:hAnsi="宋体"/>
          <w:color w:val="auto"/>
          <w:szCs w:val="21"/>
        </w:rPr>
        <w:t>：</w:t>
      </w:r>
      <w:bookmarkEnd w:id="86"/>
      <w:r>
        <w:rPr>
          <w:rFonts w:hint="eastAsia" w:ascii="宋体" w:hAnsi="宋体"/>
          <w:color w:val="auto"/>
          <w:szCs w:val="21"/>
        </w:rPr>
        <w:t>货物或服务方案说明</w:t>
      </w:r>
    </w:p>
    <w:p w14:paraId="6DA0F65E">
      <w:pPr>
        <w:adjustRightInd w:val="0"/>
        <w:snapToGrid w:val="0"/>
        <w:spacing w:before="156" w:beforeLines="50"/>
        <w:ind w:right="23" w:rightChars="11" w:firstLine="420" w:firstLineChars="200"/>
        <w:jc w:val="left"/>
        <w:outlineLvl w:val="0"/>
        <w:rPr>
          <w:rFonts w:hint="eastAsia" w:ascii="宋体" w:hAnsi="宋体"/>
          <w:b/>
          <w:color w:val="auto"/>
          <w:szCs w:val="21"/>
        </w:rPr>
      </w:pPr>
      <w:bookmarkStart w:id="87" w:name="_Toc7009"/>
      <w:r>
        <w:rPr>
          <w:rFonts w:hint="eastAsia" w:ascii="宋体" w:hAnsi="宋体"/>
          <w:color w:val="auto"/>
          <w:szCs w:val="21"/>
        </w:rPr>
        <w:t>附件</w:t>
      </w:r>
      <w:r>
        <w:rPr>
          <w:rFonts w:hint="eastAsia" w:ascii="宋体" w:hAnsi="宋体"/>
          <w:color w:val="auto"/>
          <w:szCs w:val="21"/>
          <w:lang w:val="en-US" w:eastAsia="zh-CN"/>
        </w:rPr>
        <w:t>6</w:t>
      </w:r>
      <w:r>
        <w:rPr>
          <w:rFonts w:hint="eastAsia" w:ascii="宋体" w:hAnsi="宋体"/>
          <w:color w:val="auto"/>
          <w:szCs w:val="21"/>
        </w:rPr>
        <w:t>：</w:t>
      </w:r>
      <w:bookmarkEnd w:id="87"/>
      <w:r>
        <w:rPr>
          <w:rFonts w:hint="eastAsia" w:ascii="宋体" w:hAnsi="宋体"/>
          <w:color w:val="auto"/>
          <w:szCs w:val="21"/>
        </w:rPr>
        <w:t>其他证明资料或说明</w:t>
      </w:r>
    </w:p>
    <w:p w14:paraId="72501380">
      <w:pPr>
        <w:adjustRightInd w:val="0"/>
        <w:snapToGrid w:val="0"/>
        <w:spacing w:before="156" w:beforeLines="50"/>
        <w:rPr>
          <w:rFonts w:hint="eastAsia" w:hAnsi="宋体"/>
          <w:b/>
          <w:color w:val="auto"/>
        </w:rPr>
      </w:pPr>
      <w:r>
        <w:rPr>
          <w:rFonts w:hint="eastAsia" w:hAnsi="宋体"/>
          <w:b/>
          <w:color w:val="auto"/>
        </w:rPr>
        <w:t>五、技术/商务响应与偏离表</w:t>
      </w:r>
    </w:p>
    <w:p w14:paraId="71B1627D">
      <w:pPr>
        <w:adjustRightInd w:val="0"/>
        <w:snapToGrid w:val="0"/>
        <w:spacing w:before="156" w:beforeLines="50"/>
        <w:rPr>
          <w:rFonts w:hint="eastAsia" w:hAnsi="宋体"/>
          <w:b/>
          <w:color w:val="auto"/>
        </w:rPr>
      </w:pPr>
      <w:r>
        <w:rPr>
          <w:rFonts w:hint="eastAsia" w:hAnsi="宋体"/>
          <w:b/>
          <w:color w:val="auto"/>
        </w:rPr>
        <w:t>六、提供享受政府采购政策的证明材料和清单表</w:t>
      </w:r>
    </w:p>
    <w:p w14:paraId="5898D1EF">
      <w:pPr>
        <w:adjustRightInd w:val="0"/>
        <w:snapToGrid w:val="0"/>
        <w:spacing w:before="156" w:beforeLines="50"/>
        <w:ind w:firstLine="420" w:firstLineChars="200"/>
        <w:rPr>
          <w:rFonts w:hint="eastAsia" w:hAnsi="宋体"/>
          <w:color w:val="auto"/>
        </w:rPr>
      </w:pPr>
      <w:r>
        <w:rPr>
          <w:rFonts w:hint="eastAsia" w:hAnsi="宋体"/>
          <w:color w:val="auto"/>
        </w:rPr>
        <w:t>附件11：中小企业声明函</w:t>
      </w:r>
    </w:p>
    <w:p w14:paraId="6F180E17">
      <w:pPr>
        <w:pStyle w:val="11"/>
        <w:adjustRightInd w:val="0"/>
        <w:snapToGrid w:val="0"/>
        <w:spacing w:before="156" w:beforeLines="50"/>
        <w:ind w:right="23" w:rightChars="11"/>
        <w:rPr>
          <w:rFonts w:hint="eastAsia" w:hAnsi="宋体"/>
          <w:b/>
          <w:color w:val="auto"/>
        </w:rPr>
      </w:pPr>
      <w:r>
        <w:rPr>
          <w:rFonts w:hint="eastAsia" w:hAnsi="宋体"/>
          <w:b/>
          <w:color w:val="auto"/>
        </w:rPr>
        <w:t>七、报价一览表及报价文件</w:t>
      </w:r>
    </w:p>
    <w:p w14:paraId="0E05EEDF">
      <w:pPr>
        <w:adjustRightInd w:val="0"/>
        <w:snapToGrid w:val="0"/>
        <w:spacing w:before="156" w:beforeLines="50"/>
        <w:ind w:right="23" w:rightChars="11" w:firstLine="420" w:firstLineChars="200"/>
        <w:jc w:val="left"/>
        <w:outlineLvl w:val="0"/>
        <w:rPr>
          <w:rFonts w:hint="eastAsia" w:ascii="宋体" w:hAnsi="宋体"/>
          <w:color w:val="auto"/>
          <w:szCs w:val="21"/>
        </w:rPr>
      </w:pPr>
      <w:bookmarkStart w:id="88" w:name="_Toc16982"/>
      <w:r>
        <w:rPr>
          <w:rFonts w:hint="eastAsia" w:ascii="宋体" w:hAnsi="宋体"/>
          <w:color w:val="auto"/>
          <w:szCs w:val="21"/>
        </w:rPr>
        <w:t>附件12-1：报价一览表</w:t>
      </w:r>
      <w:bookmarkEnd w:id="88"/>
    </w:p>
    <w:p w14:paraId="7D7D551E">
      <w:pPr>
        <w:pStyle w:val="11"/>
        <w:adjustRightInd w:val="0"/>
        <w:snapToGrid w:val="0"/>
        <w:spacing w:before="156" w:beforeLines="50"/>
        <w:ind w:right="23" w:rightChars="11" w:firstLine="420" w:firstLineChars="200"/>
        <w:rPr>
          <w:rFonts w:hint="eastAsia" w:hAnsi="宋体"/>
          <w:color w:val="auto"/>
        </w:rPr>
      </w:pPr>
      <w:r>
        <w:rPr>
          <w:rFonts w:hint="eastAsia" w:hAnsi="宋体"/>
          <w:color w:val="auto"/>
        </w:rPr>
        <w:t>附件12-2：工程量清单及分项报价表</w:t>
      </w:r>
    </w:p>
    <w:p w14:paraId="4B398428">
      <w:pPr>
        <w:pStyle w:val="11"/>
        <w:adjustRightInd w:val="0"/>
        <w:snapToGrid w:val="0"/>
        <w:spacing w:before="156" w:beforeLines="50"/>
        <w:ind w:right="23" w:rightChars="11"/>
        <w:rPr>
          <w:rFonts w:hint="eastAsia" w:hAnsi="宋体"/>
          <w:b/>
          <w:color w:val="auto"/>
        </w:rPr>
      </w:pPr>
      <w:r>
        <w:rPr>
          <w:rFonts w:hint="eastAsia" w:hAnsi="宋体"/>
          <w:b/>
          <w:color w:val="auto"/>
        </w:rPr>
        <w:t>八、供应商认为需要提供的其它资料</w:t>
      </w:r>
    </w:p>
    <w:p w14:paraId="5AC7ED44">
      <w:pPr>
        <w:pStyle w:val="11"/>
        <w:adjustRightInd w:val="0"/>
        <w:snapToGrid w:val="0"/>
        <w:spacing w:before="156" w:beforeLines="50"/>
        <w:ind w:right="23" w:rightChars="11"/>
        <w:rPr>
          <w:rFonts w:hint="eastAsia" w:hAnsi="宋体"/>
          <w:b/>
          <w:color w:val="auto"/>
        </w:rPr>
      </w:pPr>
      <w:r>
        <w:rPr>
          <w:rFonts w:hint="eastAsia" w:hAnsi="宋体"/>
          <w:b/>
          <w:color w:val="auto"/>
        </w:rPr>
        <w:t>九、最后报价</w:t>
      </w:r>
    </w:p>
    <w:p w14:paraId="3A71D1F3">
      <w:pPr>
        <w:pStyle w:val="11"/>
        <w:adjustRightInd w:val="0"/>
        <w:snapToGrid w:val="0"/>
        <w:spacing w:line="360" w:lineRule="auto"/>
        <w:rPr>
          <w:rFonts w:hint="eastAsia" w:hAnsi="宋体"/>
          <w:b/>
          <w:color w:val="auto"/>
        </w:rPr>
      </w:pPr>
    </w:p>
    <w:p w14:paraId="27DA3B55">
      <w:pPr>
        <w:spacing w:line="360" w:lineRule="auto"/>
        <w:rPr>
          <w:rFonts w:hint="eastAsia" w:ascii="黑体" w:eastAsia="黑体"/>
          <w:color w:val="auto"/>
          <w:sz w:val="32"/>
          <w:szCs w:val="32"/>
        </w:rPr>
      </w:pPr>
    </w:p>
    <w:p w14:paraId="19987488">
      <w:pPr>
        <w:pStyle w:val="32"/>
        <w:spacing w:line="360" w:lineRule="auto"/>
        <w:rPr>
          <w:rFonts w:hint="eastAsia" w:ascii="黑体" w:eastAsia="黑体"/>
          <w:color w:val="auto"/>
          <w:sz w:val="32"/>
          <w:szCs w:val="32"/>
        </w:rPr>
      </w:pPr>
    </w:p>
    <w:p w14:paraId="2177F1E8">
      <w:pPr>
        <w:pStyle w:val="32"/>
        <w:spacing w:line="360" w:lineRule="auto"/>
        <w:ind w:firstLine="0"/>
        <w:rPr>
          <w:rFonts w:hint="eastAsia"/>
          <w:color w:val="auto"/>
        </w:rPr>
      </w:pPr>
    </w:p>
    <w:p w14:paraId="63181840">
      <w:pPr>
        <w:spacing w:line="360" w:lineRule="auto"/>
        <w:jc w:val="center"/>
        <w:rPr>
          <w:rFonts w:hint="eastAsia" w:ascii="黑体" w:eastAsia="黑体"/>
          <w:b/>
          <w:color w:val="auto"/>
          <w:sz w:val="32"/>
          <w:szCs w:val="32"/>
        </w:rPr>
      </w:pPr>
    </w:p>
    <w:p w14:paraId="2918EFAF">
      <w:pPr>
        <w:spacing w:line="360" w:lineRule="auto"/>
        <w:jc w:val="center"/>
        <w:rPr>
          <w:rFonts w:hint="eastAsia" w:ascii="黑体" w:eastAsia="黑体"/>
          <w:b/>
          <w:color w:val="auto"/>
          <w:sz w:val="32"/>
          <w:szCs w:val="32"/>
        </w:rPr>
        <w:sectPr>
          <w:pgSz w:w="11906" w:h="16838"/>
          <w:pgMar w:top="1474" w:right="1474" w:bottom="1284" w:left="1588" w:header="851" w:footer="737" w:gutter="0"/>
          <w:pgNumType w:fmt="decimal"/>
          <w:cols w:space="720" w:num="1"/>
          <w:docGrid w:type="lines" w:linePitch="312" w:charSpace="0"/>
        </w:sectPr>
      </w:pPr>
    </w:p>
    <w:p w14:paraId="18D0C3B2">
      <w:pPr>
        <w:pStyle w:val="3"/>
        <w:bidi w:val="0"/>
        <w:jc w:val="center"/>
        <w:rPr>
          <w:rFonts w:hint="eastAsia"/>
          <w:sz w:val="36"/>
          <w:szCs w:val="36"/>
        </w:rPr>
      </w:pPr>
      <w:r>
        <w:rPr>
          <w:rFonts w:hint="eastAsia"/>
          <w:sz w:val="36"/>
          <w:szCs w:val="36"/>
        </w:rPr>
        <w:t>一、磋商响应声明</w:t>
      </w:r>
    </w:p>
    <w:p w14:paraId="3FF22554">
      <w:pPr>
        <w:adjustRightInd w:val="0"/>
        <w:snapToGrid w:val="0"/>
        <w:spacing w:line="360" w:lineRule="auto"/>
        <w:rPr>
          <w:rFonts w:hint="eastAsia" w:ascii="宋体" w:hAnsi="宋体"/>
          <w:color w:val="auto"/>
          <w:szCs w:val="21"/>
        </w:rPr>
      </w:pPr>
      <w:r>
        <w:rPr>
          <w:rFonts w:hint="eastAsia" w:ascii="宋体" w:hAnsi="宋体"/>
          <w:color w:val="auto"/>
          <w:szCs w:val="21"/>
        </w:rPr>
        <w:t>致</w:t>
      </w:r>
      <w:r>
        <w:rPr>
          <w:rFonts w:hint="eastAsia" w:ascii="宋体" w:hAnsi="宋体"/>
          <w:color w:val="auto"/>
          <w:szCs w:val="21"/>
          <w:u w:val="single"/>
        </w:rPr>
        <w:t xml:space="preserve">            </w:t>
      </w:r>
      <w:r>
        <w:rPr>
          <w:rFonts w:hint="eastAsia" w:ascii="宋体" w:hAnsi="宋体"/>
          <w:color w:val="auto"/>
          <w:szCs w:val="21"/>
        </w:rPr>
        <w:t xml:space="preserve"> (采购人或采购代理机构)：</w:t>
      </w:r>
    </w:p>
    <w:p w14:paraId="5EE7762A">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我方已仔细研究了</w:t>
      </w:r>
      <w:r>
        <w:rPr>
          <w:rFonts w:hint="eastAsia" w:ascii="宋体" w:hAnsi="宋体"/>
          <w:color w:val="auto"/>
          <w:szCs w:val="21"/>
          <w:u w:val="single"/>
        </w:rPr>
        <w:t xml:space="preserve">                 (</w:t>
      </w:r>
      <w:r>
        <w:rPr>
          <w:rFonts w:hint="eastAsia" w:ascii="宋体" w:hAnsi="宋体"/>
          <w:color w:val="auto"/>
          <w:szCs w:val="21"/>
        </w:rPr>
        <w:t>项目名称)的竞争性磋商文件（政府采购编号：</w:t>
      </w:r>
      <w:r>
        <w:rPr>
          <w:rFonts w:hint="eastAsia" w:ascii="宋体" w:hAnsi="宋体"/>
          <w:color w:val="auto"/>
          <w:szCs w:val="21"/>
          <w:u w:val="single"/>
        </w:rPr>
        <w:t xml:space="preserve">            </w:t>
      </w:r>
      <w:r>
        <w:rPr>
          <w:rFonts w:hint="eastAsia" w:ascii="宋体" w:hAnsi="宋体"/>
          <w:color w:val="auto"/>
          <w:szCs w:val="21"/>
        </w:rPr>
        <w:t xml:space="preserve"> ；采购代理编号：</w:t>
      </w:r>
      <w:r>
        <w:rPr>
          <w:rFonts w:hint="eastAsia" w:ascii="宋体" w:hAnsi="宋体"/>
          <w:color w:val="auto"/>
          <w:szCs w:val="21"/>
          <w:u w:val="single"/>
        </w:rPr>
        <w:t xml:space="preserve">           </w:t>
      </w:r>
      <w:r>
        <w:rPr>
          <w:rFonts w:hint="eastAsia" w:ascii="宋体" w:hAnsi="宋体"/>
          <w:color w:val="auto"/>
          <w:szCs w:val="21"/>
        </w:rPr>
        <w:t>）的全部内容，</w:t>
      </w:r>
      <w:r>
        <w:rPr>
          <w:rFonts w:hint="eastAsia" w:hAnsi="宋体"/>
          <w:color w:val="auto"/>
        </w:rPr>
        <w:t>知悉参加竞争性磋商的风险，我方承诺接受磋商文件的全部条款且无任何异议。</w:t>
      </w:r>
    </w:p>
    <w:p w14:paraId="3D1A2211">
      <w:pPr>
        <w:pStyle w:val="11"/>
        <w:adjustRightInd w:val="0"/>
        <w:snapToGrid w:val="0"/>
        <w:spacing w:line="360" w:lineRule="auto"/>
        <w:ind w:firstLine="420" w:firstLineChars="200"/>
        <w:rPr>
          <w:rFonts w:hint="eastAsia" w:hAnsi="宋体"/>
          <w:color w:val="auto"/>
        </w:rPr>
      </w:pPr>
      <w:r>
        <w:rPr>
          <w:rFonts w:hint="eastAsia" w:hAnsi="宋体"/>
          <w:color w:val="auto"/>
        </w:rPr>
        <w:t>一、我方同意在磋商文件中规定的提交首次响应文件截止时间起</w:t>
      </w:r>
      <w:r>
        <w:rPr>
          <w:rFonts w:hint="eastAsia" w:hAnsi="宋体"/>
          <w:color w:val="auto"/>
          <w:u w:val="single"/>
        </w:rPr>
        <w:t xml:space="preserve">    </w:t>
      </w:r>
      <w:r>
        <w:rPr>
          <w:rFonts w:hint="eastAsia" w:hAnsi="宋体"/>
          <w:color w:val="auto"/>
        </w:rPr>
        <w:t>日内(响应文件有效期)遵守本响应文件中的承诺且在此期限期满之前均具有法律约束力。</w:t>
      </w:r>
    </w:p>
    <w:p w14:paraId="35F46E55">
      <w:pPr>
        <w:pStyle w:val="11"/>
        <w:adjustRightInd w:val="0"/>
        <w:snapToGrid w:val="0"/>
        <w:spacing w:line="360" w:lineRule="auto"/>
        <w:ind w:firstLine="420" w:firstLineChars="200"/>
        <w:rPr>
          <w:rFonts w:hint="eastAsia" w:hAnsi="宋体"/>
          <w:color w:val="auto"/>
        </w:rPr>
      </w:pPr>
      <w:r>
        <w:rPr>
          <w:rFonts w:hint="eastAsia" w:hAnsi="宋体"/>
          <w:color w:val="auto"/>
        </w:rPr>
        <w:t>二、我方提交响应文件正本一份和副本一式</w:t>
      </w:r>
      <w:r>
        <w:rPr>
          <w:rFonts w:hint="eastAsia" w:hAnsi="宋体"/>
          <w:color w:val="auto"/>
          <w:u w:val="single"/>
        </w:rPr>
        <w:t xml:space="preserve">     </w:t>
      </w:r>
      <w:r>
        <w:rPr>
          <w:rFonts w:hint="eastAsia" w:hAnsi="宋体"/>
          <w:color w:val="auto"/>
        </w:rPr>
        <w:t>份，并保证响应文件提供的数据和资料全部内容真实、合法、准确和完整，我们对此负责，并愿承担由此引起的法律责任。</w:t>
      </w:r>
    </w:p>
    <w:p w14:paraId="6B207D2B">
      <w:pPr>
        <w:pStyle w:val="11"/>
        <w:adjustRightInd w:val="0"/>
        <w:snapToGrid w:val="0"/>
        <w:spacing w:line="360" w:lineRule="auto"/>
        <w:ind w:firstLine="420" w:firstLineChars="200"/>
        <w:rPr>
          <w:rFonts w:hint="eastAsia" w:hAnsi="宋体"/>
          <w:color w:val="auto"/>
        </w:rPr>
      </w:pPr>
      <w:r>
        <w:rPr>
          <w:rFonts w:hint="eastAsia" w:hAnsi="宋体"/>
          <w:color w:val="auto"/>
        </w:rPr>
        <w:t>三、我方愿意向贵方提供任何与本项采购有关的数据、情况和技术资料。若贵方需要，我方愿意提供我方作出的一切承诺的证明资料。</w:t>
      </w:r>
    </w:p>
    <w:p w14:paraId="15103987">
      <w:pPr>
        <w:pStyle w:val="11"/>
        <w:adjustRightInd w:val="0"/>
        <w:snapToGrid w:val="0"/>
        <w:spacing w:line="360" w:lineRule="auto"/>
        <w:ind w:firstLine="420" w:firstLineChars="200"/>
        <w:rPr>
          <w:rFonts w:hint="eastAsia" w:hAnsi="宋体"/>
          <w:color w:val="auto"/>
        </w:rPr>
      </w:pPr>
      <w:r>
        <w:rPr>
          <w:rFonts w:hint="eastAsia" w:hAnsi="宋体"/>
          <w:color w:val="auto"/>
        </w:rPr>
        <w:t>四、我方愿意按磋商文件规定和磋商小组要求重新提交响应文件和最后报价。</w:t>
      </w:r>
    </w:p>
    <w:p w14:paraId="570BB681">
      <w:pPr>
        <w:pStyle w:val="11"/>
        <w:adjustRightInd w:val="0"/>
        <w:snapToGrid w:val="0"/>
        <w:spacing w:line="360" w:lineRule="auto"/>
        <w:ind w:firstLine="420" w:firstLineChars="200"/>
        <w:rPr>
          <w:rFonts w:hint="eastAsia" w:hAnsi="宋体"/>
          <w:color w:val="auto"/>
        </w:rPr>
      </w:pPr>
      <w:r>
        <w:rPr>
          <w:rFonts w:hint="eastAsia" w:hAnsi="宋体"/>
          <w:color w:val="auto"/>
        </w:rPr>
        <w:t>五、我方承诺遵守《中华人民共和国政府采购法》的有关规定，保证在获得成交资格后，按照磋商文件确定的事项签订政府采购合同，履行双方所签订的合同，并承担合同规定的责任和义务。</w:t>
      </w:r>
    </w:p>
    <w:p w14:paraId="2A05FE6A">
      <w:pPr>
        <w:pStyle w:val="11"/>
        <w:adjustRightInd w:val="0"/>
        <w:snapToGrid w:val="0"/>
        <w:spacing w:line="360" w:lineRule="auto"/>
        <w:ind w:firstLine="420" w:firstLineChars="200"/>
        <w:rPr>
          <w:rFonts w:hint="eastAsia" w:hAnsi="宋体"/>
          <w:color w:val="auto"/>
        </w:rPr>
      </w:pPr>
      <w:r>
        <w:rPr>
          <w:rFonts w:hint="eastAsia" w:hAnsi="宋体"/>
          <w:color w:val="auto"/>
        </w:rPr>
        <w:t xml:space="preserve">六、我方在此声明： </w:t>
      </w:r>
    </w:p>
    <w:p w14:paraId="663263E3">
      <w:pPr>
        <w:pStyle w:val="11"/>
        <w:adjustRightInd w:val="0"/>
        <w:snapToGrid w:val="0"/>
        <w:spacing w:line="360" w:lineRule="auto"/>
        <w:ind w:firstLine="420" w:firstLineChars="200"/>
        <w:rPr>
          <w:rFonts w:hint="eastAsia" w:hAnsi="宋体"/>
          <w:color w:val="auto"/>
        </w:rPr>
      </w:pPr>
      <w:r>
        <w:rPr>
          <w:rFonts w:hint="eastAsia" w:hAnsi="宋体"/>
          <w:color w:val="auto"/>
        </w:rPr>
        <w:t>（一）我方与采购人或采购代理机构不存在隶属关系或者其他利害关系。</w:t>
      </w:r>
    </w:p>
    <w:p w14:paraId="6FFC9118">
      <w:pPr>
        <w:pStyle w:val="11"/>
        <w:adjustRightInd w:val="0"/>
        <w:snapToGrid w:val="0"/>
        <w:spacing w:line="360" w:lineRule="auto"/>
        <w:ind w:firstLine="420" w:firstLineChars="200"/>
        <w:rPr>
          <w:rFonts w:hint="eastAsia" w:hAnsi="宋体"/>
          <w:color w:val="auto"/>
        </w:rPr>
      </w:pPr>
      <w:r>
        <w:rPr>
          <w:rFonts w:hint="eastAsia" w:hAnsi="宋体"/>
          <w:color w:val="auto"/>
        </w:rPr>
        <w:t>（二）我方与参加本项目的其他供应商不存在直接控股、管理关系，或者与其他供应商法定代表人（或者负责人）为同一人。</w:t>
      </w:r>
    </w:p>
    <w:p w14:paraId="49670CBD">
      <w:pPr>
        <w:pStyle w:val="11"/>
        <w:adjustRightInd w:val="0"/>
        <w:snapToGrid w:val="0"/>
        <w:spacing w:line="360" w:lineRule="auto"/>
        <w:ind w:firstLine="420" w:firstLineChars="200"/>
        <w:rPr>
          <w:rFonts w:hint="eastAsia" w:hAnsi="宋体"/>
          <w:color w:val="auto"/>
        </w:rPr>
      </w:pPr>
      <w:r>
        <w:rPr>
          <w:rFonts w:hint="eastAsia" w:hAnsi="宋体"/>
          <w:color w:val="auto"/>
        </w:rPr>
        <w:t>（三）我方未为本项目前期准备提供设计或咨询服务。</w:t>
      </w:r>
    </w:p>
    <w:p w14:paraId="597DB403">
      <w:pPr>
        <w:pStyle w:val="11"/>
        <w:adjustRightInd w:val="0"/>
        <w:snapToGrid w:val="0"/>
        <w:spacing w:line="360" w:lineRule="auto"/>
        <w:ind w:firstLine="420" w:firstLineChars="200"/>
        <w:rPr>
          <w:rFonts w:hint="eastAsia" w:hAnsi="宋体"/>
          <w:color w:val="auto"/>
        </w:rPr>
      </w:pPr>
      <w:r>
        <w:rPr>
          <w:rFonts w:hint="eastAsia" w:hAnsi="宋体"/>
          <w:color w:val="auto"/>
        </w:rPr>
        <w:t>（四）我方承诺（承诺期：成立三年以上的，为提交首次响应文件截止时间前三年内；成立不足三年的，为实际时间）：1、我方依法缴纳了各项税费及各项社会保障资金，没有偷税、漏税及欠缴行为。2、我方在经营活动中没有存在下列重大违法记录：(1)受到刑事处罚；(2)受到三万元以上的罚款、责令停产停业、在一至三年内禁止参加政府采购活动、暂扣或者吊销许可证、暂扣或者吊销执照的行政处罚。</w:t>
      </w:r>
    </w:p>
    <w:p w14:paraId="1E5A7C87">
      <w:pPr>
        <w:adjustRightInd w:val="0"/>
        <w:snapToGrid w:val="0"/>
        <w:spacing w:line="360" w:lineRule="auto"/>
        <w:ind w:right="23" w:rightChars="11"/>
        <w:rPr>
          <w:rFonts w:hint="eastAsia" w:ascii="宋体" w:hAnsi="宋体"/>
          <w:color w:val="auto"/>
          <w:szCs w:val="21"/>
        </w:rPr>
      </w:pPr>
      <w:r>
        <w:rPr>
          <w:rFonts w:hint="eastAsia" w:ascii="宋体" w:hAnsi="宋体"/>
          <w:bCs/>
          <w:color w:val="auto"/>
          <w:szCs w:val="21"/>
        </w:rPr>
        <w:t>附件1：</w:t>
      </w:r>
      <w:r>
        <w:rPr>
          <w:rFonts w:hint="eastAsia" w:ascii="宋体" w:hAnsi="宋体"/>
          <w:color w:val="auto"/>
          <w:szCs w:val="21"/>
        </w:rPr>
        <w:t>法定代表人身份证明(法定代表人参加磋商)</w:t>
      </w:r>
    </w:p>
    <w:p w14:paraId="5573C8CD">
      <w:pPr>
        <w:adjustRightInd w:val="0"/>
        <w:snapToGrid w:val="0"/>
        <w:spacing w:line="360" w:lineRule="auto"/>
        <w:ind w:right="23" w:rightChars="11"/>
        <w:rPr>
          <w:rFonts w:hint="eastAsia" w:ascii="宋体" w:hAnsi="宋体"/>
          <w:color w:val="auto"/>
          <w:szCs w:val="21"/>
        </w:rPr>
      </w:pPr>
      <w:r>
        <w:rPr>
          <w:rFonts w:hint="eastAsia" w:ascii="宋体" w:hAnsi="宋体"/>
          <w:bCs/>
          <w:color w:val="auto"/>
          <w:szCs w:val="21"/>
        </w:rPr>
        <w:t>附件2</w:t>
      </w:r>
      <w:r>
        <w:rPr>
          <w:rFonts w:hint="eastAsia" w:ascii="宋体" w:hAnsi="宋体"/>
          <w:color w:val="auto"/>
          <w:szCs w:val="21"/>
        </w:rPr>
        <w:t>：法定代表人授权书(委托代理人参加磋商)</w:t>
      </w:r>
    </w:p>
    <w:p w14:paraId="53C575DF">
      <w:pPr>
        <w:adjustRightInd w:val="0"/>
        <w:snapToGrid w:val="0"/>
        <w:spacing w:line="360" w:lineRule="auto"/>
        <w:ind w:right="23" w:rightChars="11"/>
        <w:rPr>
          <w:rFonts w:hint="eastAsia" w:ascii="宋体" w:hAnsi="宋体"/>
          <w:color w:val="auto"/>
          <w:szCs w:val="21"/>
        </w:rPr>
      </w:pPr>
      <w:r>
        <w:rPr>
          <w:rFonts w:hint="eastAsia" w:ascii="宋体" w:hAnsi="宋体"/>
          <w:bCs/>
          <w:color w:val="auto"/>
          <w:szCs w:val="21"/>
        </w:rPr>
        <w:t>附件3</w:t>
      </w:r>
      <w:r>
        <w:rPr>
          <w:rFonts w:hint="eastAsia" w:ascii="宋体" w:hAnsi="宋体"/>
          <w:color w:val="auto"/>
          <w:szCs w:val="21"/>
        </w:rPr>
        <w:t>：工程质量保修书</w:t>
      </w:r>
    </w:p>
    <w:p w14:paraId="5360A887">
      <w:pPr>
        <w:adjustRightInd w:val="0"/>
        <w:snapToGrid w:val="0"/>
        <w:spacing w:line="360" w:lineRule="auto"/>
        <w:ind w:right="23" w:rightChars="11"/>
        <w:rPr>
          <w:rFonts w:hint="eastAsia" w:hAnsi="宋体"/>
          <w:color w:val="auto"/>
        </w:rPr>
      </w:pPr>
      <w:r>
        <w:rPr>
          <w:rFonts w:hint="eastAsia" w:ascii="宋体" w:hAnsi="宋体"/>
          <w:color w:val="auto"/>
          <w:szCs w:val="21"/>
        </w:rPr>
        <w:t>附件4：不拖欠民工工资承诺书</w:t>
      </w:r>
    </w:p>
    <w:p w14:paraId="79A56625">
      <w:pPr>
        <w:pStyle w:val="11"/>
        <w:adjustRightInd w:val="0"/>
        <w:snapToGrid w:val="0"/>
        <w:spacing w:line="360" w:lineRule="auto"/>
        <w:rPr>
          <w:rFonts w:hint="eastAsia" w:hAnsi="宋体"/>
          <w:color w:val="auto"/>
        </w:rPr>
      </w:pPr>
    </w:p>
    <w:p w14:paraId="636C4DB2">
      <w:pPr>
        <w:pStyle w:val="11"/>
        <w:adjustRightInd w:val="0"/>
        <w:snapToGrid w:val="0"/>
        <w:spacing w:line="360" w:lineRule="auto"/>
        <w:rPr>
          <w:rFonts w:hint="eastAsia" w:hAnsi="宋体"/>
          <w:color w:val="auto"/>
        </w:rPr>
      </w:pPr>
      <w:r>
        <w:rPr>
          <w:rFonts w:hint="eastAsia" w:hAnsi="宋体"/>
          <w:color w:val="auto"/>
        </w:rPr>
        <w:t>供应商名称(盖单位公章)：</w:t>
      </w:r>
    </w:p>
    <w:p w14:paraId="5D373550">
      <w:pPr>
        <w:adjustRightInd w:val="0"/>
        <w:snapToGrid w:val="0"/>
        <w:spacing w:line="360" w:lineRule="auto"/>
        <w:rPr>
          <w:rFonts w:hint="eastAsia" w:ascii="宋体" w:hAnsi="宋体"/>
          <w:color w:val="auto"/>
          <w:szCs w:val="21"/>
        </w:rPr>
      </w:pPr>
      <w:r>
        <w:rPr>
          <w:rFonts w:hint="eastAsia" w:ascii="宋体" w:hAnsi="宋体"/>
          <w:color w:val="auto"/>
          <w:szCs w:val="21"/>
        </w:rPr>
        <w:t>法定代表人或其委托代理人 (签字)：</w:t>
      </w:r>
      <w:r>
        <w:rPr>
          <w:rFonts w:hint="eastAsia" w:ascii="宋体" w:hAnsi="宋体"/>
          <w:color w:val="auto"/>
          <w:szCs w:val="21"/>
          <w:u w:val="single"/>
        </w:rPr>
        <w:t xml:space="preserve">            </w:t>
      </w:r>
    </w:p>
    <w:p w14:paraId="549F751D">
      <w:pPr>
        <w:adjustRightInd w:val="0"/>
        <w:snapToGrid w:val="0"/>
        <w:spacing w:line="360" w:lineRule="auto"/>
        <w:rPr>
          <w:rFonts w:hint="eastAsia" w:ascii="宋体" w:hAnsi="宋体"/>
          <w:color w:val="auto"/>
          <w:szCs w:val="21"/>
        </w:rPr>
      </w:pPr>
      <w:r>
        <w:rPr>
          <w:rFonts w:hint="eastAsia" w:ascii="宋体" w:hAnsi="宋体"/>
          <w:color w:val="auto"/>
          <w:szCs w:val="21"/>
        </w:rPr>
        <w:t>日     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5FAEA9C">
      <w:pPr>
        <w:adjustRightInd w:val="0"/>
        <w:snapToGrid w:val="0"/>
        <w:spacing w:line="360" w:lineRule="auto"/>
        <w:ind w:right="24"/>
        <w:rPr>
          <w:rFonts w:hint="eastAsia" w:ascii="黑体" w:hAnsi="黑体" w:eastAsia="黑体"/>
          <w:bCs/>
          <w:color w:val="auto"/>
          <w:sz w:val="30"/>
          <w:szCs w:val="30"/>
        </w:rPr>
      </w:pPr>
    </w:p>
    <w:p w14:paraId="2D92A749">
      <w:pPr>
        <w:adjustRightInd w:val="0"/>
        <w:snapToGrid w:val="0"/>
        <w:spacing w:line="360" w:lineRule="auto"/>
        <w:ind w:right="24"/>
        <w:rPr>
          <w:rFonts w:hint="eastAsia" w:ascii="黑体" w:hAnsi="黑体" w:eastAsia="黑体"/>
          <w:bCs/>
          <w:color w:val="auto"/>
          <w:sz w:val="30"/>
          <w:szCs w:val="30"/>
        </w:rPr>
      </w:pPr>
      <w:r>
        <w:rPr>
          <w:rFonts w:hint="eastAsia" w:ascii="黑体" w:hAnsi="黑体" w:eastAsia="黑体"/>
          <w:bCs/>
          <w:color w:val="auto"/>
          <w:sz w:val="30"/>
          <w:szCs w:val="30"/>
        </w:rPr>
        <w:t>附件1</w:t>
      </w:r>
    </w:p>
    <w:p w14:paraId="3ED26924">
      <w:pPr>
        <w:spacing w:line="360" w:lineRule="auto"/>
        <w:jc w:val="center"/>
        <w:rPr>
          <w:rFonts w:hint="eastAsia" w:ascii="黑体" w:hAnsi="黑体" w:eastAsia="黑体"/>
          <w:b/>
          <w:color w:val="auto"/>
          <w:sz w:val="30"/>
          <w:szCs w:val="30"/>
        </w:rPr>
      </w:pPr>
      <w:r>
        <w:rPr>
          <w:rFonts w:hint="eastAsia" w:ascii="黑体" w:hAnsi="黑体" w:eastAsia="黑体"/>
          <w:b/>
          <w:color w:val="auto"/>
          <w:sz w:val="30"/>
          <w:szCs w:val="30"/>
        </w:rPr>
        <w:t>法定代表人身份证明</w:t>
      </w:r>
    </w:p>
    <w:p w14:paraId="0FF2EA8B">
      <w:pPr>
        <w:snapToGrid w:val="0"/>
        <w:spacing w:line="360" w:lineRule="auto"/>
        <w:rPr>
          <w:rFonts w:hint="eastAsia" w:ascii="宋体" w:hAnsi="宋体"/>
          <w:color w:val="auto"/>
          <w:szCs w:val="21"/>
        </w:rPr>
      </w:pPr>
    </w:p>
    <w:p w14:paraId="77E6A1B3">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olor w:val="auto"/>
          <w:szCs w:val="21"/>
        </w:rPr>
        <w:t>供应商</w:t>
      </w:r>
      <w:r>
        <w:rPr>
          <w:rFonts w:hint="eastAsia" w:ascii="宋体" w:hAnsi="宋体" w:cs="宋体"/>
          <w:color w:val="auto"/>
          <w:kern w:val="0"/>
          <w:szCs w:val="21"/>
        </w:rPr>
        <w:t>名称：</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1AD40D4E">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注册号：</w:t>
      </w:r>
      <w:r>
        <w:rPr>
          <w:rFonts w:hint="eastAsia" w:ascii="宋体" w:hAnsi="宋体" w:cs="宋体"/>
          <w:color w:val="auto"/>
          <w:kern w:val="0"/>
          <w:szCs w:val="21"/>
          <w:u w:val="single"/>
        </w:rPr>
        <w:t xml:space="preserve">                  </w:t>
      </w:r>
    </w:p>
    <w:p w14:paraId="2D5C15D2">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p>
    <w:p w14:paraId="3A382B15">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 xml:space="preserve">成立时间：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25DBA635">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14:paraId="4DAAD870">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经营范围：主营：</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；兼营：</w:t>
      </w:r>
      <w:r>
        <w:rPr>
          <w:rFonts w:hint="eastAsia" w:ascii="宋体" w:hAnsi="宋体" w:cs="宋体"/>
          <w:color w:val="auto"/>
          <w:kern w:val="0"/>
          <w:szCs w:val="21"/>
          <w:u w:val="single"/>
        </w:rPr>
        <w:t xml:space="preserve">              </w:t>
      </w:r>
    </w:p>
    <w:p w14:paraId="7516BADD">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系</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olor w:val="auto"/>
          <w:szCs w:val="21"/>
        </w:rPr>
        <w:t>供应商</w:t>
      </w:r>
      <w:r>
        <w:rPr>
          <w:rFonts w:hint="eastAsia" w:ascii="宋体" w:hAnsi="宋体" w:cs="宋体"/>
          <w:color w:val="auto"/>
          <w:kern w:val="0"/>
          <w:szCs w:val="21"/>
        </w:rPr>
        <w:t>名称）的法定代表人。</w:t>
      </w:r>
    </w:p>
    <w:p w14:paraId="7FEBB489">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特此证明。</w:t>
      </w:r>
    </w:p>
    <w:p w14:paraId="57500B86">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olor w:val="auto"/>
          <w:szCs w:val="21"/>
        </w:rPr>
        <w:t>附：法定代表人身份证复印件</w:t>
      </w:r>
    </w:p>
    <w:p w14:paraId="112719D1">
      <w:pPr>
        <w:snapToGrid w:val="0"/>
        <w:spacing w:line="360" w:lineRule="auto"/>
        <w:rPr>
          <w:rFonts w:hint="eastAsia" w:ascii="宋体" w:hAnsi="宋体"/>
          <w:color w:val="auto"/>
          <w:szCs w:val="21"/>
        </w:rPr>
      </w:pPr>
    </w:p>
    <w:p w14:paraId="57070AFD">
      <w:pPr>
        <w:snapToGrid w:val="0"/>
        <w:spacing w:line="360" w:lineRule="auto"/>
        <w:rPr>
          <w:rFonts w:hint="eastAsia" w:ascii="宋体" w:hAnsi="宋体"/>
          <w:color w:val="auto"/>
          <w:szCs w:val="21"/>
        </w:rPr>
      </w:pPr>
    </w:p>
    <w:p w14:paraId="6580B72B">
      <w:pPr>
        <w:snapToGrid w:val="0"/>
        <w:spacing w:line="360" w:lineRule="auto"/>
        <w:rPr>
          <w:rFonts w:hint="eastAsia" w:ascii="宋体" w:hAnsi="宋体"/>
          <w:color w:val="auto"/>
          <w:szCs w:val="21"/>
        </w:rPr>
      </w:pPr>
    </w:p>
    <w:p w14:paraId="4C829B34">
      <w:pPr>
        <w:snapToGrid w:val="0"/>
        <w:spacing w:line="360" w:lineRule="auto"/>
        <w:rPr>
          <w:rFonts w:hint="eastAsia" w:ascii="宋体" w:hAnsi="宋体"/>
          <w:color w:val="auto"/>
          <w:szCs w:val="21"/>
        </w:rPr>
      </w:pPr>
    </w:p>
    <w:p w14:paraId="30256CEC">
      <w:pPr>
        <w:snapToGrid w:val="0"/>
        <w:spacing w:line="360" w:lineRule="auto"/>
        <w:rPr>
          <w:rFonts w:hint="eastAsia" w:ascii="宋体" w:hAnsi="宋体"/>
          <w:color w:val="auto"/>
          <w:szCs w:val="21"/>
        </w:rPr>
      </w:pPr>
    </w:p>
    <w:p w14:paraId="2AD1D219">
      <w:pPr>
        <w:adjustRightInd w:val="0"/>
        <w:snapToGrid w:val="0"/>
        <w:spacing w:line="360" w:lineRule="auto"/>
        <w:rPr>
          <w:rFonts w:hint="eastAsia" w:ascii="宋体" w:hAnsi="宋体"/>
          <w:color w:val="auto"/>
          <w:szCs w:val="21"/>
        </w:rPr>
      </w:pPr>
    </w:p>
    <w:p w14:paraId="33F89725">
      <w:pPr>
        <w:adjustRightInd w:val="0"/>
        <w:snapToGrid w:val="0"/>
        <w:spacing w:line="360" w:lineRule="auto"/>
        <w:ind w:right="420"/>
        <w:rPr>
          <w:rFonts w:hint="eastAsia" w:ascii="宋体" w:hAnsi="宋体"/>
          <w:color w:val="auto"/>
          <w:szCs w:val="21"/>
        </w:rPr>
      </w:pPr>
      <w:r>
        <w:rPr>
          <w:rFonts w:hint="eastAsia" w:ascii="宋体" w:hAnsi="宋体"/>
          <w:color w:val="auto"/>
          <w:szCs w:val="21"/>
        </w:rPr>
        <w:t>供应商名称（</w:t>
      </w:r>
      <w:r>
        <w:rPr>
          <w:rFonts w:hint="eastAsia" w:hAnsi="宋体"/>
          <w:color w:val="auto"/>
        </w:rPr>
        <w:t>盖单位公章</w:t>
      </w:r>
      <w:r>
        <w:rPr>
          <w:rFonts w:hint="eastAsia" w:ascii="宋体" w:hAnsi="宋体"/>
          <w:color w:val="auto"/>
          <w:szCs w:val="21"/>
        </w:rPr>
        <w:t>）：</w:t>
      </w:r>
    </w:p>
    <w:p w14:paraId="630AB66C">
      <w:pPr>
        <w:adjustRightInd w:val="0"/>
        <w:snapToGrid w:val="0"/>
        <w:spacing w:line="360" w:lineRule="auto"/>
        <w:ind w:right="420"/>
        <w:rPr>
          <w:rFonts w:hint="eastAsia" w:ascii="仿宋_GB2312" w:hAnsi="宋体" w:eastAsia="仿宋_GB2312"/>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 xml:space="preserve">日      </w:t>
      </w:r>
    </w:p>
    <w:p w14:paraId="1BB1E366">
      <w:pPr>
        <w:adjustRightInd w:val="0"/>
        <w:snapToGrid w:val="0"/>
        <w:spacing w:before="156" w:beforeLines="50" w:line="360" w:lineRule="auto"/>
        <w:rPr>
          <w:rFonts w:hint="eastAsia" w:ascii="仿宋_GB2312" w:hAnsi="宋体" w:eastAsia="仿宋_GB2312"/>
          <w:color w:val="auto"/>
          <w:szCs w:val="21"/>
        </w:rPr>
      </w:pPr>
    </w:p>
    <w:p w14:paraId="0C4CDE0B">
      <w:pPr>
        <w:adjustRightInd w:val="0"/>
        <w:snapToGrid w:val="0"/>
        <w:spacing w:before="156" w:beforeLines="50" w:line="360" w:lineRule="auto"/>
        <w:rPr>
          <w:rFonts w:hint="eastAsia" w:ascii="仿宋_GB2312" w:hAnsi="宋体" w:eastAsia="仿宋_GB2312"/>
          <w:color w:val="auto"/>
          <w:szCs w:val="21"/>
        </w:rPr>
      </w:pPr>
    </w:p>
    <w:p w14:paraId="4A23C862">
      <w:pPr>
        <w:adjustRightInd w:val="0"/>
        <w:snapToGrid w:val="0"/>
        <w:spacing w:before="156" w:beforeLines="50" w:line="360" w:lineRule="auto"/>
        <w:rPr>
          <w:rFonts w:ascii="宋体"/>
          <w:color w:val="auto"/>
          <w:szCs w:val="21"/>
        </w:rPr>
      </w:pPr>
      <w:r>
        <w:rPr>
          <w:rFonts w:hint="eastAsia" w:ascii="宋体" w:hAnsi="宋体" w:eastAsia="宋体" w:cs="宋体"/>
          <w:b/>
          <w:color w:val="auto"/>
        </w:rPr>
        <w:t>★</w:t>
      </w:r>
      <w:r>
        <w:rPr>
          <w:rFonts w:hint="eastAsia" w:ascii="宋体" w:hAnsi="宋体"/>
          <w:b/>
          <w:color w:val="auto"/>
        </w:rPr>
        <w:t>法定代表人参与投标的，请将此身份证明单独另备一份与法定代表人身份证原件于开标现场身份验证时使用。</w:t>
      </w:r>
    </w:p>
    <w:p w14:paraId="7B10E527">
      <w:pPr>
        <w:adjustRightInd w:val="0"/>
        <w:snapToGrid w:val="0"/>
        <w:spacing w:before="156" w:beforeLines="50" w:line="360" w:lineRule="auto"/>
        <w:rPr>
          <w:rFonts w:hint="eastAsia" w:ascii="黑体" w:hAnsi="黑体" w:eastAsia="黑体"/>
          <w:bCs/>
          <w:color w:val="auto"/>
          <w:sz w:val="30"/>
          <w:szCs w:val="30"/>
        </w:rPr>
      </w:pPr>
    </w:p>
    <w:p w14:paraId="59F9A07C">
      <w:pPr>
        <w:adjustRightInd w:val="0"/>
        <w:snapToGrid w:val="0"/>
        <w:spacing w:before="156" w:beforeLines="50" w:line="360" w:lineRule="auto"/>
        <w:rPr>
          <w:rFonts w:hint="eastAsia" w:ascii="黑体" w:hAnsi="黑体" w:eastAsia="黑体"/>
          <w:bCs/>
          <w:color w:val="auto"/>
          <w:sz w:val="30"/>
          <w:szCs w:val="30"/>
        </w:rPr>
      </w:pPr>
    </w:p>
    <w:p w14:paraId="725DB639">
      <w:pPr>
        <w:adjustRightInd w:val="0"/>
        <w:snapToGrid w:val="0"/>
        <w:spacing w:before="156" w:beforeLines="50" w:line="360" w:lineRule="auto"/>
        <w:rPr>
          <w:rFonts w:hint="eastAsia" w:ascii="黑体" w:hAnsi="黑体" w:eastAsia="黑体"/>
          <w:bCs/>
          <w:color w:val="auto"/>
          <w:sz w:val="30"/>
          <w:szCs w:val="30"/>
        </w:rPr>
      </w:pPr>
    </w:p>
    <w:p w14:paraId="31F6A2E9">
      <w:pPr>
        <w:adjustRightInd w:val="0"/>
        <w:snapToGrid w:val="0"/>
        <w:spacing w:before="156" w:beforeLines="50" w:line="360" w:lineRule="auto"/>
        <w:rPr>
          <w:rFonts w:hint="eastAsia" w:ascii="黑体" w:hAnsi="黑体" w:eastAsia="黑体"/>
          <w:color w:val="auto"/>
          <w:sz w:val="30"/>
          <w:szCs w:val="30"/>
        </w:rPr>
      </w:pPr>
      <w:r>
        <w:rPr>
          <w:rFonts w:hint="eastAsia" w:ascii="黑体" w:hAnsi="黑体" w:eastAsia="黑体"/>
          <w:bCs/>
          <w:color w:val="auto"/>
          <w:sz w:val="30"/>
          <w:szCs w:val="30"/>
        </w:rPr>
        <w:br w:type="page"/>
      </w:r>
      <w:r>
        <w:rPr>
          <w:rFonts w:hint="eastAsia" w:ascii="黑体" w:hAnsi="黑体" w:eastAsia="黑体"/>
          <w:bCs/>
          <w:color w:val="auto"/>
          <w:sz w:val="30"/>
          <w:szCs w:val="30"/>
        </w:rPr>
        <w:t>附件2</w:t>
      </w:r>
    </w:p>
    <w:p w14:paraId="42ECE06D">
      <w:pPr>
        <w:spacing w:line="360" w:lineRule="auto"/>
        <w:jc w:val="center"/>
        <w:rPr>
          <w:rFonts w:hint="eastAsia" w:ascii="黑体" w:hAnsi="黑体" w:eastAsia="黑体"/>
          <w:b/>
          <w:color w:val="auto"/>
          <w:sz w:val="30"/>
          <w:szCs w:val="30"/>
        </w:rPr>
      </w:pPr>
      <w:r>
        <w:rPr>
          <w:rFonts w:hint="eastAsia" w:ascii="黑体" w:hAnsi="黑体" w:eastAsia="黑体"/>
          <w:b/>
          <w:color w:val="auto"/>
          <w:sz w:val="30"/>
          <w:szCs w:val="30"/>
        </w:rPr>
        <w:t>法定代表人授权委托书</w:t>
      </w:r>
    </w:p>
    <w:p w14:paraId="6FEC44A7">
      <w:pPr>
        <w:adjustRightInd w:val="0"/>
        <w:snapToGrid w:val="0"/>
        <w:spacing w:line="360" w:lineRule="auto"/>
        <w:jc w:val="center"/>
        <w:rPr>
          <w:rFonts w:hint="eastAsia" w:ascii="黑体" w:hAnsi="华文中宋" w:eastAsia="黑体"/>
          <w:b/>
          <w:color w:val="auto"/>
          <w:sz w:val="28"/>
          <w:szCs w:val="28"/>
        </w:rPr>
      </w:pPr>
    </w:p>
    <w:p w14:paraId="664C8703">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olor w:val="auto"/>
          <w:szCs w:val="21"/>
        </w:rPr>
        <w:t>政府</w:t>
      </w:r>
      <w:r>
        <w:rPr>
          <w:rFonts w:hint="eastAsia" w:ascii="宋体" w:hAnsi="宋体" w:cs="宋体"/>
          <w:color w:val="auto"/>
          <w:kern w:val="0"/>
          <w:szCs w:val="21"/>
        </w:rPr>
        <w:t>采购编号、采购代理机构编号）响应文件；(2)签署并重新提交响应文件及最后报价；(3)签订合同和处理有关事宜，其法律后果由我方承担；（4）询问、质疑、投诉等相关事项，其法律后果由我方承担。</w:t>
      </w:r>
    </w:p>
    <w:p w14:paraId="4C975AF6">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p>
    <w:p w14:paraId="5552770E">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68FBFAE2">
      <w:pPr>
        <w:spacing w:line="360" w:lineRule="auto"/>
        <w:ind w:firstLine="435"/>
        <w:rPr>
          <w:rFonts w:hint="eastAsia" w:ascii="宋体" w:hAnsi="宋体" w:cs="宋体"/>
          <w:color w:val="auto"/>
          <w:kern w:val="0"/>
          <w:szCs w:val="21"/>
        </w:rPr>
      </w:pPr>
      <w:r>
        <w:rPr>
          <w:rFonts w:hint="eastAsia" w:ascii="宋体" w:hAnsi="宋体" w:cs="宋体"/>
          <w:color w:val="auto"/>
          <w:kern w:val="0"/>
          <w:szCs w:val="21"/>
        </w:rPr>
        <w:t>代理人无转委托权。</w:t>
      </w:r>
    </w:p>
    <w:p w14:paraId="6AEE0D9C">
      <w:pPr>
        <w:spacing w:line="360" w:lineRule="auto"/>
        <w:ind w:firstLine="435"/>
        <w:rPr>
          <w:rFonts w:hint="eastAsia" w:ascii="宋体" w:hAnsi="宋体"/>
          <w:color w:val="auto"/>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p w14:paraId="2ADA962F">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附：委托代理人身份证复印件及法定代表人身份证明(附件1，原件)</w:t>
      </w:r>
    </w:p>
    <w:p w14:paraId="25FE385C">
      <w:pPr>
        <w:adjustRightInd w:val="0"/>
        <w:snapToGrid w:val="0"/>
        <w:spacing w:line="360" w:lineRule="auto"/>
        <w:ind w:right="420"/>
        <w:rPr>
          <w:rFonts w:hint="eastAsia" w:ascii="宋体" w:hAnsi="宋体"/>
          <w:color w:val="auto"/>
          <w:szCs w:val="21"/>
        </w:rPr>
      </w:pPr>
    </w:p>
    <w:p w14:paraId="23B67AA0">
      <w:pPr>
        <w:adjustRightInd w:val="0"/>
        <w:snapToGrid w:val="0"/>
        <w:spacing w:line="360" w:lineRule="auto"/>
        <w:ind w:right="420"/>
        <w:rPr>
          <w:rFonts w:hint="eastAsia" w:ascii="宋体" w:hAnsi="宋体"/>
          <w:color w:val="auto"/>
          <w:szCs w:val="21"/>
        </w:rPr>
      </w:pPr>
    </w:p>
    <w:p w14:paraId="6A793479">
      <w:pPr>
        <w:adjustRightInd w:val="0"/>
        <w:snapToGrid w:val="0"/>
        <w:spacing w:line="360" w:lineRule="auto"/>
        <w:ind w:right="420"/>
        <w:rPr>
          <w:rFonts w:hint="eastAsia" w:ascii="宋体" w:hAnsi="宋体"/>
          <w:color w:val="auto"/>
          <w:szCs w:val="21"/>
        </w:rPr>
      </w:pPr>
    </w:p>
    <w:p w14:paraId="5CBEEEB4">
      <w:pPr>
        <w:adjustRightInd w:val="0"/>
        <w:snapToGrid w:val="0"/>
        <w:spacing w:line="360" w:lineRule="auto"/>
        <w:ind w:right="420"/>
        <w:rPr>
          <w:rFonts w:hint="eastAsia" w:ascii="宋体" w:hAnsi="宋体"/>
          <w:color w:val="auto"/>
          <w:szCs w:val="21"/>
        </w:rPr>
      </w:pPr>
    </w:p>
    <w:p w14:paraId="761CB6F0">
      <w:pPr>
        <w:adjustRightInd w:val="0"/>
        <w:snapToGrid w:val="0"/>
        <w:spacing w:line="360" w:lineRule="auto"/>
        <w:ind w:right="420"/>
        <w:rPr>
          <w:rFonts w:hint="eastAsia" w:ascii="宋体" w:hAnsi="宋体"/>
          <w:color w:val="auto"/>
          <w:szCs w:val="21"/>
        </w:rPr>
      </w:pPr>
    </w:p>
    <w:p w14:paraId="306BAD9D">
      <w:pPr>
        <w:adjustRightInd w:val="0"/>
        <w:snapToGrid w:val="0"/>
        <w:spacing w:line="360" w:lineRule="auto"/>
        <w:ind w:right="420"/>
        <w:rPr>
          <w:rFonts w:hint="eastAsia" w:ascii="宋体" w:hAnsi="宋体"/>
          <w:color w:val="auto"/>
          <w:szCs w:val="21"/>
        </w:rPr>
      </w:pPr>
    </w:p>
    <w:p w14:paraId="2BAD7A34">
      <w:pPr>
        <w:adjustRightInd w:val="0"/>
        <w:snapToGrid w:val="0"/>
        <w:spacing w:line="360" w:lineRule="auto"/>
        <w:ind w:right="420"/>
        <w:rPr>
          <w:rFonts w:hint="eastAsia" w:ascii="宋体" w:hAnsi="宋体"/>
          <w:color w:val="auto"/>
          <w:szCs w:val="21"/>
        </w:rPr>
      </w:pPr>
    </w:p>
    <w:p w14:paraId="53B34E9E">
      <w:pPr>
        <w:adjustRightInd w:val="0"/>
        <w:snapToGrid w:val="0"/>
        <w:spacing w:line="360" w:lineRule="auto"/>
        <w:ind w:right="420"/>
        <w:rPr>
          <w:rFonts w:hint="eastAsia" w:ascii="宋体" w:hAnsi="宋体"/>
          <w:color w:val="auto"/>
          <w:szCs w:val="21"/>
        </w:rPr>
      </w:pPr>
    </w:p>
    <w:p w14:paraId="1477CC74">
      <w:pPr>
        <w:adjustRightInd w:val="0"/>
        <w:snapToGrid w:val="0"/>
        <w:spacing w:line="360" w:lineRule="auto"/>
        <w:ind w:right="420"/>
        <w:rPr>
          <w:rFonts w:hint="eastAsia" w:ascii="宋体" w:hAnsi="宋体"/>
          <w:color w:val="auto"/>
          <w:szCs w:val="21"/>
        </w:rPr>
      </w:pPr>
      <w:r>
        <w:rPr>
          <w:rFonts w:hint="eastAsia" w:ascii="宋体" w:hAnsi="宋体"/>
          <w:color w:val="auto"/>
          <w:szCs w:val="21"/>
        </w:rPr>
        <w:t>法定代表人（签字）：</w:t>
      </w:r>
      <w:r>
        <w:rPr>
          <w:rFonts w:hint="eastAsia" w:ascii="宋体" w:hAnsi="宋体"/>
          <w:color w:val="auto"/>
          <w:szCs w:val="21"/>
          <w:u w:val="single"/>
        </w:rPr>
        <w:t xml:space="preserve">                     </w:t>
      </w:r>
    </w:p>
    <w:p w14:paraId="5D4A9665">
      <w:pPr>
        <w:adjustRightInd w:val="0"/>
        <w:snapToGrid w:val="0"/>
        <w:spacing w:line="360" w:lineRule="auto"/>
        <w:ind w:right="420"/>
        <w:rPr>
          <w:rFonts w:hint="eastAsia" w:ascii="宋体" w:hAnsi="宋体"/>
          <w:color w:val="auto"/>
          <w:szCs w:val="21"/>
        </w:rPr>
      </w:pPr>
      <w:r>
        <w:rPr>
          <w:rFonts w:hint="eastAsia" w:ascii="宋体" w:hAnsi="宋体"/>
          <w:color w:val="auto"/>
          <w:szCs w:val="21"/>
        </w:rPr>
        <w:t>委托代理人（签字）：</w:t>
      </w:r>
      <w:r>
        <w:rPr>
          <w:rFonts w:hint="eastAsia" w:ascii="宋体" w:hAnsi="宋体"/>
          <w:color w:val="auto"/>
          <w:szCs w:val="21"/>
          <w:u w:val="single"/>
        </w:rPr>
        <w:t xml:space="preserve">                     </w:t>
      </w:r>
    </w:p>
    <w:p w14:paraId="11261F02">
      <w:pPr>
        <w:adjustRightInd w:val="0"/>
        <w:snapToGrid w:val="0"/>
        <w:spacing w:line="360" w:lineRule="auto"/>
        <w:ind w:right="24"/>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42401208">
      <w:pPr>
        <w:adjustRightInd w:val="0"/>
        <w:snapToGrid w:val="0"/>
        <w:spacing w:before="156" w:beforeLines="50" w:line="360" w:lineRule="auto"/>
        <w:rPr>
          <w:rFonts w:hint="eastAsia" w:ascii="宋体" w:hAnsi="宋体"/>
          <w:b/>
          <w:color w:val="auto"/>
        </w:rPr>
      </w:pPr>
    </w:p>
    <w:p w14:paraId="264492BF">
      <w:pPr>
        <w:adjustRightInd w:val="0"/>
        <w:snapToGrid w:val="0"/>
        <w:spacing w:before="156" w:beforeLines="50" w:line="360" w:lineRule="auto"/>
        <w:rPr>
          <w:rFonts w:ascii="宋体"/>
          <w:color w:val="auto"/>
          <w:szCs w:val="21"/>
        </w:rPr>
      </w:pPr>
      <w:r>
        <w:rPr>
          <w:rFonts w:hint="eastAsia" w:ascii="宋体" w:hAnsi="宋体" w:eastAsia="宋体" w:cs="宋体"/>
          <w:b/>
          <w:color w:val="auto"/>
        </w:rPr>
        <w:t>★</w:t>
      </w:r>
      <w:r>
        <w:rPr>
          <w:rFonts w:hint="eastAsia" w:ascii="宋体" w:hAnsi="宋体"/>
          <w:b/>
          <w:color w:val="auto"/>
        </w:rPr>
        <w:t>委托代理人参与投标的，请将此授权书单独另备一份连同本人身份证原件及法定代表人身份证明于开标现场身份验证时使用。</w:t>
      </w:r>
    </w:p>
    <w:p w14:paraId="5445C9F2">
      <w:pPr>
        <w:adjustRightInd w:val="0"/>
        <w:snapToGrid w:val="0"/>
        <w:spacing w:line="360" w:lineRule="auto"/>
        <w:ind w:right="23" w:rightChars="11"/>
        <w:rPr>
          <w:rFonts w:hint="eastAsia" w:ascii="宋体" w:hAnsi="宋体"/>
          <w:color w:val="auto"/>
          <w:szCs w:val="21"/>
        </w:rPr>
      </w:pPr>
      <w:r>
        <w:rPr>
          <w:rFonts w:ascii="宋体" w:hAnsi="宋体"/>
          <w:color w:val="auto"/>
          <w:szCs w:val="21"/>
        </w:rPr>
        <w:br w:type="page"/>
      </w:r>
    </w:p>
    <w:p w14:paraId="77782F19">
      <w:pPr>
        <w:spacing w:line="360" w:lineRule="auto"/>
        <w:jc w:val="center"/>
        <w:rPr>
          <w:rFonts w:hint="eastAsia" w:ascii="黑体" w:eastAsia="黑体"/>
          <w:b/>
          <w:color w:val="auto"/>
          <w:sz w:val="32"/>
          <w:szCs w:val="32"/>
        </w:rPr>
      </w:pPr>
      <w:r>
        <w:rPr>
          <w:rFonts w:hint="eastAsia" w:ascii="Arial" w:hAnsi="Arial" w:eastAsia="宋体" w:cs="Times New Roman"/>
          <w:b/>
          <w:bCs/>
          <w:kern w:val="2"/>
          <w:sz w:val="36"/>
          <w:szCs w:val="36"/>
          <w:lang w:val="en-US" w:eastAsia="zh-CN" w:bidi="ar-SA"/>
        </w:rPr>
        <w:t>二、磋商保证金缴纳证明材料</w:t>
      </w:r>
      <w:r>
        <w:rPr>
          <w:rFonts w:hint="eastAsia" w:ascii="黑体" w:eastAsia="黑体"/>
          <w:b/>
          <w:color w:val="auto"/>
          <w:sz w:val="32"/>
          <w:szCs w:val="32"/>
        </w:rPr>
        <w:br w:type="textWrapping"/>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lang w:val="en-US" w:eastAsia="zh-CN"/>
        </w:rPr>
        <w:t>本项目不适用</w:t>
      </w:r>
      <w:r>
        <w:rPr>
          <w:rFonts w:hint="eastAsia" w:ascii="宋体" w:hAnsi="宋体" w:eastAsia="宋体" w:cs="宋体"/>
          <w:b/>
          <w:bCs/>
          <w:color w:val="auto"/>
          <w:sz w:val="36"/>
          <w:szCs w:val="36"/>
          <w:highlight w:val="none"/>
          <w:lang w:eastAsia="zh-CN"/>
        </w:rPr>
        <w:t>）</w:t>
      </w:r>
    </w:p>
    <w:p w14:paraId="1FBF16F6">
      <w:pPr>
        <w:pStyle w:val="11"/>
        <w:adjustRightInd w:val="0"/>
        <w:snapToGrid w:val="0"/>
        <w:spacing w:before="156" w:beforeLines="50" w:line="360" w:lineRule="auto"/>
        <w:rPr>
          <w:rFonts w:hint="eastAsia" w:hAnsi="宋体"/>
          <w:color w:val="auto"/>
        </w:rPr>
      </w:pPr>
    </w:p>
    <w:p w14:paraId="701AD021">
      <w:pPr>
        <w:adjustRightInd w:val="0"/>
        <w:snapToGrid w:val="0"/>
        <w:spacing w:line="360" w:lineRule="auto"/>
        <w:jc w:val="center"/>
        <w:rPr>
          <w:rFonts w:hint="eastAsia" w:ascii="黑体" w:hAnsi="黑体" w:eastAsia="黑体"/>
          <w:b/>
          <w:color w:val="auto"/>
          <w:sz w:val="32"/>
          <w:szCs w:val="32"/>
        </w:rPr>
      </w:pPr>
    </w:p>
    <w:p w14:paraId="29B8EEDB">
      <w:pPr>
        <w:adjustRightInd w:val="0"/>
        <w:snapToGrid w:val="0"/>
        <w:spacing w:line="360" w:lineRule="auto"/>
        <w:jc w:val="center"/>
        <w:rPr>
          <w:rFonts w:hint="eastAsia" w:ascii="黑体" w:hAnsi="黑体" w:eastAsia="黑体"/>
          <w:b/>
          <w:color w:val="auto"/>
          <w:sz w:val="32"/>
          <w:szCs w:val="32"/>
        </w:rPr>
      </w:pPr>
    </w:p>
    <w:p w14:paraId="5CBDE436">
      <w:pPr>
        <w:adjustRightInd w:val="0"/>
        <w:snapToGrid w:val="0"/>
        <w:spacing w:line="360" w:lineRule="auto"/>
        <w:jc w:val="center"/>
        <w:rPr>
          <w:rFonts w:hint="eastAsia" w:ascii="黑体" w:hAnsi="黑体" w:eastAsia="黑体"/>
          <w:b/>
          <w:color w:val="auto"/>
          <w:sz w:val="32"/>
          <w:szCs w:val="32"/>
        </w:rPr>
      </w:pPr>
    </w:p>
    <w:p w14:paraId="6C22D9A4">
      <w:pPr>
        <w:adjustRightInd w:val="0"/>
        <w:snapToGrid w:val="0"/>
        <w:spacing w:line="360" w:lineRule="auto"/>
        <w:jc w:val="center"/>
        <w:rPr>
          <w:rFonts w:hint="eastAsia" w:ascii="黑体" w:hAnsi="黑体" w:eastAsia="黑体"/>
          <w:b/>
          <w:color w:val="auto"/>
          <w:sz w:val="32"/>
          <w:szCs w:val="32"/>
        </w:rPr>
      </w:pPr>
    </w:p>
    <w:p w14:paraId="4B1D668E">
      <w:pPr>
        <w:adjustRightInd w:val="0"/>
        <w:snapToGrid w:val="0"/>
        <w:spacing w:line="360" w:lineRule="auto"/>
        <w:jc w:val="center"/>
        <w:rPr>
          <w:rFonts w:hint="eastAsia" w:ascii="黑体" w:hAnsi="黑体" w:eastAsia="黑体"/>
          <w:b/>
          <w:color w:val="auto"/>
          <w:sz w:val="32"/>
          <w:szCs w:val="32"/>
        </w:rPr>
      </w:pPr>
    </w:p>
    <w:p w14:paraId="5C269ECD">
      <w:pPr>
        <w:adjustRightInd w:val="0"/>
        <w:snapToGrid w:val="0"/>
        <w:spacing w:line="360" w:lineRule="auto"/>
        <w:jc w:val="center"/>
        <w:rPr>
          <w:rFonts w:hint="eastAsia" w:ascii="黑体" w:hAnsi="黑体" w:eastAsia="黑体"/>
          <w:b/>
          <w:color w:val="auto"/>
          <w:sz w:val="32"/>
          <w:szCs w:val="32"/>
        </w:rPr>
      </w:pPr>
    </w:p>
    <w:p w14:paraId="66EA8791">
      <w:pPr>
        <w:adjustRightInd w:val="0"/>
        <w:snapToGrid w:val="0"/>
        <w:spacing w:line="360" w:lineRule="auto"/>
        <w:jc w:val="center"/>
        <w:rPr>
          <w:rFonts w:hint="eastAsia" w:ascii="黑体" w:hAnsi="黑体" w:eastAsia="黑体"/>
          <w:b/>
          <w:color w:val="auto"/>
          <w:sz w:val="32"/>
          <w:szCs w:val="32"/>
        </w:rPr>
      </w:pPr>
    </w:p>
    <w:p w14:paraId="3C9A2438">
      <w:pPr>
        <w:adjustRightInd w:val="0"/>
        <w:snapToGrid w:val="0"/>
        <w:spacing w:line="360" w:lineRule="auto"/>
        <w:jc w:val="center"/>
        <w:rPr>
          <w:rFonts w:hint="eastAsia" w:ascii="黑体" w:hAnsi="黑体" w:eastAsia="黑体"/>
          <w:b/>
          <w:color w:val="auto"/>
          <w:sz w:val="32"/>
          <w:szCs w:val="32"/>
        </w:rPr>
      </w:pPr>
    </w:p>
    <w:p w14:paraId="7D204A40">
      <w:pPr>
        <w:adjustRightInd w:val="0"/>
        <w:snapToGrid w:val="0"/>
        <w:spacing w:line="360" w:lineRule="auto"/>
        <w:jc w:val="center"/>
        <w:rPr>
          <w:rFonts w:hint="eastAsia" w:ascii="黑体" w:hAnsi="黑体" w:eastAsia="黑体"/>
          <w:b/>
          <w:color w:val="auto"/>
          <w:sz w:val="32"/>
          <w:szCs w:val="32"/>
        </w:rPr>
      </w:pPr>
    </w:p>
    <w:p w14:paraId="4B247BF7">
      <w:pPr>
        <w:adjustRightInd w:val="0"/>
        <w:snapToGrid w:val="0"/>
        <w:spacing w:line="360" w:lineRule="auto"/>
        <w:jc w:val="center"/>
        <w:rPr>
          <w:rFonts w:hint="eastAsia" w:ascii="黑体" w:hAnsi="黑体" w:eastAsia="黑体"/>
          <w:b/>
          <w:color w:val="auto"/>
          <w:sz w:val="32"/>
          <w:szCs w:val="32"/>
        </w:rPr>
      </w:pPr>
    </w:p>
    <w:p w14:paraId="67934BEC">
      <w:pPr>
        <w:adjustRightInd w:val="0"/>
        <w:snapToGrid w:val="0"/>
        <w:spacing w:line="360" w:lineRule="auto"/>
        <w:jc w:val="center"/>
        <w:rPr>
          <w:rFonts w:hint="eastAsia" w:ascii="黑体" w:hAnsi="黑体" w:eastAsia="黑体"/>
          <w:b/>
          <w:color w:val="auto"/>
          <w:sz w:val="32"/>
          <w:szCs w:val="32"/>
        </w:rPr>
      </w:pPr>
    </w:p>
    <w:p w14:paraId="6EF322CB">
      <w:pPr>
        <w:adjustRightInd w:val="0"/>
        <w:snapToGrid w:val="0"/>
        <w:spacing w:line="360" w:lineRule="auto"/>
        <w:jc w:val="center"/>
        <w:rPr>
          <w:rFonts w:hint="eastAsia" w:ascii="黑体" w:hAnsi="黑体" w:eastAsia="黑体"/>
          <w:b/>
          <w:color w:val="auto"/>
          <w:sz w:val="32"/>
          <w:szCs w:val="32"/>
        </w:rPr>
      </w:pPr>
    </w:p>
    <w:p w14:paraId="71065668">
      <w:pPr>
        <w:adjustRightInd w:val="0"/>
        <w:snapToGrid w:val="0"/>
        <w:spacing w:line="360" w:lineRule="auto"/>
        <w:jc w:val="center"/>
        <w:rPr>
          <w:rFonts w:hint="eastAsia" w:ascii="黑体" w:hAnsi="黑体" w:eastAsia="黑体"/>
          <w:b/>
          <w:color w:val="auto"/>
          <w:sz w:val="32"/>
          <w:szCs w:val="32"/>
        </w:rPr>
      </w:pPr>
    </w:p>
    <w:p w14:paraId="60F8A8D8">
      <w:pPr>
        <w:adjustRightInd w:val="0"/>
        <w:snapToGrid w:val="0"/>
        <w:spacing w:line="360" w:lineRule="auto"/>
        <w:jc w:val="center"/>
        <w:rPr>
          <w:rFonts w:hint="eastAsia" w:ascii="黑体" w:hAnsi="黑体" w:eastAsia="黑体"/>
          <w:b/>
          <w:color w:val="auto"/>
          <w:sz w:val="32"/>
          <w:szCs w:val="32"/>
        </w:rPr>
      </w:pPr>
    </w:p>
    <w:p w14:paraId="55DA5E57">
      <w:pPr>
        <w:adjustRightInd w:val="0"/>
        <w:snapToGrid w:val="0"/>
        <w:spacing w:line="360" w:lineRule="auto"/>
        <w:jc w:val="center"/>
        <w:rPr>
          <w:rFonts w:hint="eastAsia" w:ascii="黑体" w:hAnsi="黑体" w:eastAsia="黑体"/>
          <w:b/>
          <w:color w:val="auto"/>
          <w:sz w:val="32"/>
          <w:szCs w:val="32"/>
        </w:rPr>
      </w:pPr>
    </w:p>
    <w:p w14:paraId="67F5F748">
      <w:pPr>
        <w:adjustRightInd w:val="0"/>
        <w:snapToGrid w:val="0"/>
        <w:spacing w:line="360" w:lineRule="auto"/>
        <w:jc w:val="center"/>
        <w:rPr>
          <w:rFonts w:hint="eastAsia" w:ascii="黑体" w:hAnsi="黑体" w:eastAsia="黑体"/>
          <w:b/>
          <w:color w:val="auto"/>
          <w:sz w:val="32"/>
          <w:szCs w:val="32"/>
        </w:rPr>
      </w:pPr>
    </w:p>
    <w:p w14:paraId="2B0C2DA1">
      <w:pPr>
        <w:adjustRightInd w:val="0"/>
        <w:snapToGrid w:val="0"/>
        <w:spacing w:line="360" w:lineRule="auto"/>
        <w:jc w:val="center"/>
        <w:rPr>
          <w:rFonts w:hint="eastAsia" w:ascii="黑体" w:hAnsi="黑体" w:eastAsia="黑体"/>
          <w:b/>
          <w:color w:val="auto"/>
          <w:sz w:val="32"/>
          <w:szCs w:val="32"/>
        </w:rPr>
      </w:pPr>
    </w:p>
    <w:p w14:paraId="66C3FC35">
      <w:pPr>
        <w:adjustRightInd w:val="0"/>
        <w:snapToGrid w:val="0"/>
        <w:spacing w:line="360" w:lineRule="auto"/>
        <w:jc w:val="center"/>
        <w:rPr>
          <w:rFonts w:hint="eastAsia" w:ascii="黑体" w:hAnsi="黑体" w:eastAsia="黑体"/>
          <w:b/>
          <w:color w:val="auto"/>
          <w:sz w:val="32"/>
          <w:szCs w:val="32"/>
        </w:rPr>
      </w:pPr>
    </w:p>
    <w:p w14:paraId="12C2C046">
      <w:pPr>
        <w:adjustRightInd w:val="0"/>
        <w:snapToGrid w:val="0"/>
        <w:spacing w:line="360" w:lineRule="auto"/>
        <w:rPr>
          <w:rFonts w:hint="eastAsia" w:ascii="黑体" w:hAnsi="黑体" w:eastAsia="黑体"/>
          <w:b/>
          <w:color w:val="auto"/>
          <w:sz w:val="32"/>
          <w:szCs w:val="32"/>
        </w:rPr>
      </w:pPr>
    </w:p>
    <w:p w14:paraId="4661AB92">
      <w:pPr>
        <w:pStyle w:val="3"/>
        <w:bidi w:val="0"/>
        <w:jc w:val="center"/>
        <w:rPr>
          <w:rFonts w:hint="eastAsia"/>
        </w:rPr>
      </w:pPr>
      <w:r>
        <w:rPr>
          <w:rFonts w:hint="eastAsia" w:ascii="黑体" w:hAnsi="宋体" w:eastAsia="黑体"/>
          <w:b/>
          <w:color w:val="auto"/>
          <w:szCs w:val="32"/>
        </w:rPr>
        <w:br w:type="page"/>
      </w:r>
      <w:r>
        <w:rPr>
          <w:rFonts w:hint="eastAsia" w:ascii="Arial" w:hAnsi="Arial" w:eastAsia="宋体" w:cs="Times New Roman"/>
          <w:b/>
          <w:bCs/>
          <w:kern w:val="2"/>
          <w:sz w:val="36"/>
          <w:szCs w:val="36"/>
          <w:lang w:val="en-US" w:eastAsia="zh-CN" w:bidi="ar-SA"/>
        </w:rPr>
        <w:t>三、供应商的资格证明资料</w:t>
      </w:r>
    </w:p>
    <w:p w14:paraId="1F29C661">
      <w:pPr>
        <w:spacing w:line="360" w:lineRule="auto"/>
        <w:rPr>
          <w:rFonts w:hint="eastAsia" w:ascii="黑体" w:hAnsi="黑体" w:eastAsia="黑体"/>
          <w:color w:val="auto"/>
          <w:sz w:val="30"/>
          <w:szCs w:val="30"/>
        </w:rPr>
      </w:pPr>
      <w:r>
        <w:rPr>
          <w:rFonts w:hint="eastAsia" w:ascii="黑体" w:hAnsi="黑体" w:eastAsia="黑体"/>
          <w:color w:val="auto"/>
          <w:sz w:val="30"/>
          <w:szCs w:val="30"/>
        </w:rPr>
        <w:t>附件</w:t>
      </w:r>
      <w:r>
        <w:rPr>
          <w:rFonts w:hint="eastAsia" w:ascii="黑体" w:hAnsi="黑体" w:eastAsia="黑体"/>
          <w:color w:val="auto"/>
          <w:sz w:val="30"/>
          <w:szCs w:val="30"/>
          <w:lang w:val="en-US" w:eastAsia="zh-CN"/>
        </w:rPr>
        <w:t>3</w:t>
      </w:r>
      <w:r>
        <w:rPr>
          <w:rFonts w:hint="eastAsia" w:ascii="黑体" w:hAnsi="黑体" w:eastAsia="黑体"/>
          <w:color w:val="auto"/>
          <w:sz w:val="30"/>
          <w:szCs w:val="30"/>
        </w:rPr>
        <w:t xml:space="preserve">             供应商基本情况表</w:t>
      </w:r>
    </w:p>
    <w:p w14:paraId="56F34FD6">
      <w:pPr>
        <w:spacing w:line="360" w:lineRule="auto"/>
        <w:rPr>
          <w:rFonts w:hint="eastAsia" w:ascii="黑体" w:hAnsi="黑体" w:eastAsia="黑体"/>
          <w:color w:val="auto"/>
          <w:sz w:val="30"/>
          <w:szCs w:val="30"/>
        </w:rPr>
      </w:pPr>
    </w:p>
    <w:p w14:paraId="1307CDCA">
      <w:pPr>
        <w:adjustRightInd w:val="0"/>
        <w:snapToGrid w:val="0"/>
        <w:spacing w:line="360" w:lineRule="auto"/>
        <w:rPr>
          <w:rFonts w:ascii="宋体" w:hAnsi="宋体"/>
          <w:color w:val="auto"/>
          <w:szCs w:val="21"/>
        </w:rPr>
      </w:pPr>
      <w:r>
        <w:rPr>
          <w:rFonts w:hint="eastAsia" w:ascii="宋体" w:hAnsi="宋体"/>
          <w:color w:val="auto"/>
          <w:szCs w:val="21"/>
        </w:rPr>
        <w:t>盖供应商单位章</w:t>
      </w:r>
    </w:p>
    <w:tbl>
      <w:tblPr>
        <w:tblStyle w:val="20"/>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135"/>
      </w:tblGrid>
      <w:tr w14:paraId="44A22D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02D88E40">
            <w:pPr>
              <w:topLinePunct/>
              <w:spacing w:line="360" w:lineRule="auto"/>
              <w:jc w:val="center"/>
              <w:rPr>
                <w:rFonts w:ascii="宋体" w:hAnsi="宋体"/>
                <w:color w:val="auto"/>
                <w:szCs w:val="21"/>
              </w:rPr>
            </w:pPr>
            <w:r>
              <w:rPr>
                <w:rFonts w:hint="eastAsia" w:ascii="宋体" w:hAnsi="宋体"/>
                <w:color w:val="auto"/>
                <w:szCs w:val="21"/>
              </w:rPr>
              <w:t>供应商</w:t>
            </w:r>
            <w:r>
              <w:rPr>
                <w:rFonts w:ascii="宋体" w:hAnsi="宋体"/>
                <w:color w:val="auto"/>
                <w:szCs w:val="21"/>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42DC24B3">
            <w:pPr>
              <w:topLinePunct/>
              <w:spacing w:line="360" w:lineRule="auto"/>
              <w:jc w:val="center"/>
              <w:rPr>
                <w:rFonts w:ascii="宋体" w:hAnsi="宋体"/>
                <w:color w:val="auto"/>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36E66B4C">
            <w:pPr>
              <w:topLinePunct/>
              <w:spacing w:line="360" w:lineRule="auto"/>
              <w:jc w:val="center"/>
              <w:rPr>
                <w:rFonts w:ascii="宋体" w:hAnsi="宋体"/>
                <w:color w:val="auto"/>
                <w:szCs w:val="21"/>
              </w:rPr>
            </w:pPr>
            <w:r>
              <w:rPr>
                <w:rFonts w:ascii="宋体" w:hAnsi="宋体"/>
                <w:color w:val="auto"/>
                <w:szCs w:val="21"/>
              </w:rPr>
              <w:t>法定代表人</w:t>
            </w:r>
          </w:p>
        </w:tc>
        <w:tc>
          <w:tcPr>
            <w:tcW w:w="2135" w:type="dxa"/>
            <w:tcBorders>
              <w:top w:val="double" w:color="auto" w:sz="4" w:space="0"/>
              <w:left w:val="single" w:color="auto" w:sz="6" w:space="0"/>
              <w:bottom w:val="single" w:color="auto" w:sz="6" w:space="0"/>
              <w:right w:val="double" w:color="auto" w:sz="4" w:space="0"/>
            </w:tcBorders>
            <w:noWrap w:val="0"/>
            <w:vAlign w:val="center"/>
          </w:tcPr>
          <w:p w14:paraId="0C9B3106">
            <w:pPr>
              <w:topLinePunct/>
              <w:spacing w:line="360" w:lineRule="auto"/>
              <w:jc w:val="center"/>
              <w:rPr>
                <w:rFonts w:ascii="宋体" w:hAnsi="宋体"/>
                <w:color w:val="auto"/>
                <w:szCs w:val="21"/>
              </w:rPr>
            </w:pPr>
          </w:p>
        </w:tc>
      </w:tr>
      <w:tr w14:paraId="573AE8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262135D2">
            <w:pPr>
              <w:topLinePunct/>
              <w:spacing w:line="360" w:lineRule="auto"/>
              <w:jc w:val="center"/>
              <w:rPr>
                <w:rFonts w:ascii="宋体" w:hAnsi="宋体"/>
                <w:color w:val="auto"/>
                <w:szCs w:val="21"/>
              </w:rPr>
            </w:pPr>
            <w:r>
              <w:rPr>
                <w:rFonts w:hint="eastAsia" w:ascii="宋体" w:hAnsi="宋体"/>
                <w:color w:val="auto"/>
                <w:szCs w:val="21"/>
              </w:rPr>
              <w:t>委托代理</w:t>
            </w:r>
            <w:r>
              <w:rPr>
                <w:rFonts w:ascii="宋体" w:hAnsi="宋体"/>
                <w:color w:val="auto"/>
                <w:szCs w:val="21"/>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748AAAD">
            <w:pPr>
              <w:topLinePunct/>
              <w:spacing w:line="360" w:lineRule="auto"/>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EB0B6D0">
            <w:pPr>
              <w:topLinePunct/>
              <w:spacing w:line="360" w:lineRule="auto"/>
              <w:jc w:val="center"/>
              <w:rPr>
                <w:rFonts w:ascii="宋体" w:hAnsi="宋体"/>
                <w:color w:val="auto"/>
                <w:szCs w:val="21"/>
              </w:rPr>
            </w:pPr>
            <w:r>
              <w:rPr>
                <w:rFonts w:ascii="宋体" w:hAnsi="宋体"/>
                <w:color w:val="auto"/>
                <w:szCs w:val="21"/>
              </w:rPr>
              <w:t>邮政编码</w:t>
            </w:r>
          </w:p>
        </w:tc>
        <w:tc>
          <w:tcPr>
            <w:tcW w:w="2135" w:type="dxa"/>
            <w:tcBorders>
              <w:top w:val="single" w:color="auto" w:sz="6" w:space="0"/>
              <w:left w:val="single" w:color="auto" w:sz="6" w:space="0"/>
              <w:bottom w:val="single" w:color="auto" w:sz="6" w:space="0"/>
              <w:right w:val="double" w:color="auto" w:sz="4" w:space="0"/>
            </w:tcBorders>
            <w:noWrap w:val="0"/>
            <w:vAlign w:val="center"/>
          </w:tcPr>
          <w:p w14:paraId="70D226A4">
            <w:pPr>
              <w:topLinePunct/>
              <w:spacing w:line="360" w:lineRule="auto"/>
              <w:jc w:val="center"/>
              <w:rPr>
                <w:rFonts w:ascii="宋体" w:hAnsi="宋体"/>
                <w:color w:val="auto"/>
                <w:szCs w:val="21"/>
              </w:rPr>
            </w:pPr>
          </w:p>
        </w:tc>
      </w:tr>
      <w:tr w14:paraId="7D24EC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1CB0E39D">
            <w:pPr>
              <w:topLinePunct/>
              <w:spacing w:line="360" w:lineRule="auto"/>
              <w:jc w:val="center"/>
              <w:rPr>
                <w:rFonts w:hint="eastAsia" w:ascii="宋体" w:hAnsi="宋体"/>
                <w:color w:val="auto"/>
                <w:szCs w:val="21"/>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2A08766">
            <w:pPr>
              <w:topLinePunct/>
              <w:spacing w:line="360" w:lineRule="auto"/>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2D8F37B">
            <w:pPr>
              <w:topLinePunct/>
              <w:spacing w:line="360" w:lineRule="auto"/>
              <w:jc w:val="center"/>
              <w:rPr>
                <w:rFonts w:hint="eastAsia" w:ascii="宋体" w:hAnsi="宋体"/>
                <w:color w:val="auto"/>
                <w:szCs w:val="21"/>
              </w:rPr>
            </w:pPr>
            <w:r>
              <w:rPr>
                <w:rFonts w:hint="eastAsia" w:ascii="宋体" w:hAnsi="宋体"/>
                <w:color w:val="auto"/>
                <w:szCs w:val="21"/>
              </w:rPr>
              <w:t>电子邮箱</w:t>
            </w:r>
          </w:p>
        </w:tc>
        <w:tc>
          <w:tcPr>
            <w:tcW w:w="2135" w:type="dxa"/>
            <w:tcBorders>
              <w:top w:val="single" w:color="auto" w:sz="6" w:space="0"/>
              <w:left w:val="single" w:color="auto" w:sz="6" w:space="0"/>
              <w:bottom w:val="single" w:color="auto" w:sz="6" w:space="0"/>
              <w:right w:val="double" w:color="auto" w:sz="4" w:space="0"/>
            </w:tcBorders>
            <w:noWrap w:val="0"/>
            <w:vAlign w:val="center"/>
          </w:tcPr>
          <w:p w14:paraId="1BFB3389">
            <w:pPr>
              <w:topLinePunct/>
              <w:spacing w:line="360" w:lineRule="auto"/>
              <w:jc w:val="center"/>
              <w:rPr>
                <w:rFonts w:ascii="宋体" w:hAnsi="宋体"/>
                <w:color w:val="auto"/>
                <w:szCs w:val="21"/>
              </w:rPr>
            </w:pPr>
          </w:p>
        </w:tc>
      </w:tr>
      <w:tr w14:paraId="6E80F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40A0CBE">
            <w:pPr>
              <w:topLinePunct/>
              <w:spacing w:line="360" w:lineRule="auto"/>
              <w:jc w:val="center"/>
              <w:rPr>
                <w:rFonts w:hint="eastAsia" w:ascii="宋体" w:hAnsi="宋体"/>
                <w:color w:val="auto"/>
                <w:szCs w:val="21"/>
              </w:rPr>
            </w:pPr>
            <w:r>
              <w:rPr>
                <w:rFonts w:hint="eastAsia" w:ascii="宋体" w:hAnsi="宋体"/>
                <w:color w:val="auto"/>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40C07E3D">
            <w:pPr>
              <w:topLinePunct/>
              <w:spacing w:line="360" w:lineRule="auto"/>
              <w:jc w:val="center"/>
              <w:rPr>
                <w:rFonts w:hint="eastAsia"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443CCCFC">
            <w:pPr>
              <w:topLinePunct/>
              <w:spacing w:line="360" w:lineRule="auto"/>
              <w:jc w:val="center"/>
              <w:rPr>
                <w:rFonts w:hint="eastAsia" w:ascii="宋体" w:hAnsi="宋体"/>
                <w:color w:val="auto"/>
                <w:szCs w:val="21"/>
              </w:rPr>
            </w:pPr>
            <w:r>
              <w:rPr>
                <w:rFonts w:hint="eastAsia" w:ascii="宋体" w:hAnsi="宋体"/>
                <w:color w:val="auto"/>
                <w:szCs w:val="21"/>
              </w:rPr>
              <w:t>员工总人数</w:t>
            </w:r>
          </w:p>
        </w:tc>
        <w:tc>
          <w:tcPr>
            <w:tcW w:w="2135" w:type="dxa"/>
            <w:tcBorders>
              <w:top w:val="single" w:color="auto" w:sz="6" w:space="0"/>
              <w:left w:val="single" w:color="auto" w:sz="6" w:space="0"/>
              <w:bottom w:val="single" w:color="auto" w:sz="6" w:space="0"/>
              <w:right w:val="double" w:color="auto" w:sz="4" w:space="0"/>
            </w:tcBorders>
            <w:noWrap w:val="0"/>
            <w:vAlign w:val="center"/>
          </w:tcPr>
          <w:p w14:paraId="29D30B82">
            <w:pPr>
              <w:topLinePunct/>
              <w:spacing w:line="360" w:lineRule="auto"/>
              <w:jc w:val="center"/>
              <w:rPr>
                <w:rFonts w:hint="eastAsia" w:ascii="宋体" w:hAnsi="宋体"/>
                <w:color w:val="auto"/>
                <w:szCs w:val="21"/>
              </w:rPr>
            </w:pPr>
          </w:p>
        </w:tc>
      </w:tr>
      <w:tr w14:paraId="043339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681FA579">
            <w:pPr>
              <w:topLinePunct/>
              <w:spacing w:line="360" w:lineRule="auto"/>
              <w:jc w:val="center"/>
              <w:rPr>
                <w:rFonts w:ascii="宋体" w:hAnsi="宋体"/>
                <w:color w:val="auto"/>
                <w:szCs w:val="21"/>
              </w:rPr>
            </w:pPr>
            <w:r>
              <w:rPr>
                <w:rFonts w:hint="eastAsia" w:ascii="宋体" w:hAnsi="宋体"/>
                <w:color w:val="auto"/>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FF28796">
            <w:pPr>
              <w:topLinePunct/>
              <w:spacing w:line="360" w:lineRule="auto"/>
              <w:jc w:val="center"/>
              <w:rPr>
                <w:rFonts w:ascii="宋体" w:hAnsi="宋体"/>
                <w:color w:val="auto"/>
                <w:szCs w:val="21"/>
              </w:rPr>
            </w:pPr>
            <w:r>
              <w:rPr>
                <w:rFonts w:hint="eastAsia" w:ascii="宋体" w:hAnsi="宋体"/>
                <w:color w:val="auto"/>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74010985">
            <w:pPr>
              <w:topLinePunct/>
              <w:spacing w:line="360" w:lineRule="auto"/>
              <w:jc w:val="center"/>
              <w:rPr>
                <w:rFonts w:ascii="宋体" w:hAnsi="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1230B290">
            <w:pPr>
              <w:topLinePunct/>
              <w:spacing w:line="360" w:lineRule="auto"/>
              <w:ind w:firstLine="105" w:firstLineChars="50"/>
              <w:jc w:val="center"/>
              <w:rPr>
                <w:rFonts w:ascii="宋体" w:hAnsi="宋体"/>
                <w:color w:val="auto"/>
                <w:szCs w:val="21"/>
              </w:rPr>
            </w:pPr>
            <w:r>
              <w:rPr>
                <w:rFonts w:hint="eastAsia" w:ascii="宋体" w:hAnsi="宋体"/>
                <w:color w:val="auto"/>
                <w:szCs w:val="21"/>
              </w:rPr>
              <w:t>注册地址</w:t>
            </w:r>
          </w:p>
        </w:tc>
        <w:tc>
          <w:tcPr>
            <w:tcW w:w="3464" w:type="dxa"/>
            <w:gridSpan w:val="2"/>
            <w:tcBorders>
              <w:top w:val="single" w:color="auto" w:sz="6" w:space="0"/>
              <w:left w:val="single" w:color="auto" w:sz="6" w:space="0"/>
              <w:bottom w:val="single" w:color="auto" w:sz="6" w:space="0"/>
              <w:right w:val="double" w:color="auto" w:sz="4" w:space="0"/>
            </w:tcBorders>
            <w:noWrap w:val="0"/>
            <w:vAlign w:val="center"/>
          </w:tcPr>
          <w:p w14:paraId="48308B50">
            <w:pPr>
              <w:topLinePunct/>
              <w:spacing w:line="360" w:lineRule="auto"/>
              <w:ind w:firstLine="105" w:firstLineChars="50"/>
              <w:jc w:val="center"/>
              <w:rPr>
                <w:rFonts w:ascii="宋体" w:hAnsi="宋体"/>
                <w:color w:val="auto"/>
                <w:szCs w:val="21"/>
              </w:rPr>
            </w:pPr>
          </w:p>
        </w:tc>
      </w:tr>
      <w:tr w14:paraId="3B7ED0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4BCFDEB">
            <w:pPr>
              <w:topLinePunct/>
              <w:spacing w:line="360" w:lineRule="auto"/>
              <w:jc w:val="center"/>
              <w:rPr>
                <w:rFonts w:ascii="宋体" w:hAnsi="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69E2849">
            <w:pPr>
              <w:topLinePunct/>
              <w:spacing w:line="360" w:lineRule="auto"/>
              <w:jc w:val="center"/>
              <w:rPr>
                <w:rFonts w:ascii="宋体" w:hAnsi="宋体"/>
                <w:color w:val="auto"/>
                <w:szCs w:val="21"/>
              </w:rPr>
            </w:pPr>
            <w:r>
              <w:rPr>
                <w:rFonts w:hint="eastAsia" w:ascii="宋体" w:hAnsi="宋体"/>
                <w:color w:val="auto"/>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67880904">
            <w:pPr>
              <w:topLinePunct/>
              <w:spacing w:line="360" w:lineRule="auto"/>
              <w:jc w:val="center"/>
              <w:rPr>
                <w:rFonts w:ascii="宋体" w:hAnsi="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0D488044">
            <w:pPr>
              <w:topLinePunct/>
              <w:spacing w:line="360" w:lineRule="auto"/>
              <w:ind w:firstLine="105" w:firstLineChars="50"/>
              <w:jc w:val="center"/>
              <w:rPr>
                <w:rFonts w:ascii="宋体" w:hAnsi="宋体"/>
                <w:color w:val="auto"/>
                <w:szCs w:val="21"/>
              </w:rPr>
            </w:pPr>
            <w:r>
              <w:rPr>
                <w:rFonts w:hint="eastAsia" w:ascii="宋体" w:hAnsi="宋体"/>
                <w:color w:val="auto"/>
                <w:szCs w:val="21"/>
              </w:rPr>
              <w:t>发证日期</w:t>
            </w:r>
          </w:p>
        </w:tc>
        <w:tc>
          <w:tcPr>
            <w:tcW w:w="3464" w:type="dxa"/>
            <w:gridSpan w:val="2"/>
            <w:tcBorders>
              <w:top w:val="single" w:color="auto" w:sz="6" w:space="0"/>
              <w:left w:val="single" w:color="auto" w:sz="6" w:space="0"/>
              <w:bottom w:val="single" w:color="auto" w:sz="6" w:space="0"/>
              <w:right w:val="double" w:color="auto" w:sz="4" w:space="0"/>
            </w:tcBorders>
            <w:noWrap w:val="0"/>
            <w:vAlign w:val="center"/>
          </w:tcPr>
          <w:p w14:paraId="2C067F29">
            <w:pPr>
              <w:topLinePunct/>
              <w:spacing w:line="360" w:lineRule="auto"/>
              <w:ind w:firstLine="105" w:firstLineChars="50"/>
              <w:jc w:val="center"/>
              <w:rPr>
                <w:rFonts w:ascii="宋体" w:hAnsi="宋体"/>
                <w:color w:val="auto"/>
                <w:szCs w:val="21"/>
              </w:rPr>
            </w:pPr>
          </w:p>
        </w:tc>
      </w:tr>
      <w:tr w14:paraId="54A4F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79D0024">
            <w:pPr>
              <w:topLinePunct/>
              <w:spacing w:line="360" w:lineRule="auto"/>
              <w:jc w:val="center"/>
              <w:rPr>
                <w:rFonts w:ascii="宋体" w:hAnsi="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F1A9A8E">
            <w:pPr>
              <w:topLinePunct/>
              <w:spacing w:line="360" w:lineRule="auto"/>
              <w:jc w:val="center"/>
              <w:rPr>
                <w:rFonts w:ascii="宋体" w:hAnsi="宋体"/>
                <w:color w:val="auto"/>
                <w:szCs w:val="21"/>
              </w:rPr>
            </w:pPr>
            <w:r>
              <w:rPr>
                <w:rFonts w:hint="eastAsia" w:ascii="宋体" w:hAnsi="宋体"/>
                <w:color w:val="auto"/>
                <w:szCs w:val="21"/>
              </w:rPr>
              <w:t>营业范围（主营）</w:t>
            </w:r>
          </w:p>
        </w:tc>
        <w:tc>
          <w:tcPr>
            <w:tcW w:w="6281" w:type="dxa"/>
            <w:gridSpan w:val="6"/>
            <w:tcBorders>
              <w:top w:val="single" w:color="auto" w:sz="6" w:space="0"/>
              <w:left w:val="single" w:color="auto" w:sz="6" w:space="0"/>
              <w:bottom w:val="single" w:color="auto" w:sz="6" w:space="0"/>
              <w:right w:val="double" w:color="auto" w:sz="4" w:space="0"/>
            </w:tcBorders>
            <w:noWrap w:val="0"/>
            <w:vAlign w:val="center"/>
          </w:tcPr>
          <w:p w14:paraId="355E8DB7">
            <w:pPr>
              <w:topLinePunct/>
              <w:spacing w:line="360" w:lineRule="auto"/>
              <w:ind w:firstLine="105" w:firstLineChars="50"/>
              <w:jc w:val="center"/>
              <w:rPr>
                <w:rFonts w:ascii="宋体" w:hAnsi="宋体"/>
                <w:color w:val="auto"/>
                <w:szCs w:val="21"/>
              </w:rPr>
            </w:pPr>
          </w:p>
        </w:tc>
      </w:tr>
      <w:tr w14:paraId="6736BC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A356711">
            <w:pPr>
              <w:topLinePunct/>
              <w:spacing w:line="360" w:lineRule="auto"/>
              <w:jc w:val="center"/>
              <w:rPr>
                <w:rFonts w:ascii="宋体" w:hAnsi="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0A02AEE">
            <w:pPr>
              <w:topLinePunct/>
              <w:spacing w:line="360" w:lineRule="auto"/>
              <w:jc w:val="center"/>
              <w:rPr>
                <w:rFonts w:ascii="宋体" w:hAnsi="宋体"/>
                <w:color w:val="auto"/>
                <w:szCs w:val="21"/>
              </w:rPr>
            </w:pPr>
            <w:r>
              <w:rPr>
                <w:rFonts w:hint="eastAsia" w:ascii="宋体" w:hAnsi="宋体"/>
                <w:color w:val="auto"/>
                <w:szCs w:val="21"/>
              </w:rPr>
              <w:t>营业范围（兼营）</w:t>
            </w:r>
          </w:p>
        </w:tc>
        <w:tc>
          <w:tcPr>
            <w:tcW w:w="6281" w:type="dxa"/>
            <w:gridSpan w:val="6"/>
            <w:tcBorders>
              <w:top w:val="single" w:color="auto" w:sz="6" w:space="0"/>
              <w:left w:val="single" w:color="auto" w:sz="6" w:space="0"/>
              <w:bottom w:val="single" w:color="auto" w:sz="6" w:space="0"/>
              <w:right w:val="double" w:color="auto" w:sz="4" w:space="0"/>
            </w:tcBorders>
            <w:noWrap w:val="0"/>
            <w:vAlign w:val="center"/>
          </w:tcPr>
          <w:p w14:paraId="7F2FBE5A">
            <w:pPr>
              <w:topLinePunct/>
              <w:spacing w:line="360" w:lineRule="auto"/>
              <w:ind w:firstLine="105" w:firstLineChars="50"/>
              <w:jc w:val="center"/>
              <w:rPr>
                <w:rFonts w:ascii="宋体" w:hAnsi="宋体"/>
                <w:color w:val="auto"/>
                <w:szCs w:val="21"/>
              </w:rPr>
            </w:pPr>
          </w:p>
        </w:tc>
      </w:tr>
      <w:tr w14:paraId="4DD4DC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2457404F">
            <w:pPr>
              <w:topLinePunct/>
              <w:spacing w:line="360" w:lineRule="auto"/>
              <w:jc w:val="center"/>
              <w:rPr>
                <w:rFonts w:ascii="宋体" w:hAnsi="宋体"/>
                <w:color w:val="auto"/>
                <w:szCs w:val="21"/>
              </w:rPr>
            </w:pPr>
            <w:r>
              <w:rPr>
                <w:rFonts w:hint="eastAsia" w:ascii="宋体" w:hAnsi="宋体"/>
                <w:color w:val="auto"/>
                <w:szCs w:val="21"/>
              </w:rPr>
              <w:t>基本账户开户行及账号</w:t>
            </w:r>
          </w:p>
        </w:tc>
        <w:tc>
          <w:tcPr>
            <w:tcW w:w="6281" w:type="dxa"/>
            <w:gridSpan w:val="6"/>
            <w:tcBorders>
              <w:top w:val="single" w:color="auto" w:sz="6" w:space="0"/>
              <w:left w:val="single" w:color="auto" w:sz="6" w:space="0"/>
              <w:bottom w:val="single" w:color="auto" w:sz="6" w:space="0"/>
              <w:right w:val="double" w:color="auto" w:sz="4" w:space="0"/>
            </w:tcBorders>
            <w:noWrap w:val="0"/>
            <w:vAlign w:val="center"/>
          </w:tcPr>
          <w:p w14:paraId="44371518">
            <w:pPr>
              <w:topLinePunct/>
              <w:spacing w:line="360" w:lineRule="auto"/>
              <w:jc w:val="center"/>
              <w:rPr>
                <w:rFonts w:ascii="宋体" w:hAnsi="宋体"/>
                <w:color w:val="auto"/>
                <w:szCs w:val="21"/>
              </w:rPr>
            </w:pPr>
          </w:p>
        </w:tc>
      </w:tr>
      <w:tr w14:paraId="2B7F0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50946882">
            <w:pPr>
              <w:topLinePunct/>
              <w:spacing w:line="360" w:lineRule="auto"/>
              <w:jc w:val="center"/>
              <w:rPr>
                <w:rFonts w:ascii="宋体" w:hAnsi="宋体"/>
                <w:color w:val="auto"/>
                <w:szCs w:val="21"/>
              </w:rPr>
            </w:pPr>
            <w:r>
              <w:rPr>
                <w:rFonts w:hint="eastAsia" w:ascii="宋体" w:hAnsi="宋体"/>
                <w:color w:val="auto"/>
                <w:szCs w:val="21"/>
              </w:rPr>
              <w:t>税务登记机关</w:t>
            </w:r>
          </w:p>
        </w:tc>
        <w:tc>
          <w:tcPr>
            <w:tcW w:w="6281" w:type="dxa"/>
            <w:gridSpan w:val="6"/>
            <w:tcBorders>
              <w:top w:val="single" w:color="auto" w:sz="6" w:space="0"/>
              <w:left w:val="single" w:color="auto" w:sz="6" w:space="0"/>
              <w:bottom w:val="single" w:color="auto" w:sz="6" w:space="0"/>
              <w:right w:val="double" w:color="auto" w:sz="4" w:space="0"/>
            </w:tcBorders>
            <w:noWrap w:val="0"/>
            <w:vAlign w:val="center"/>
          </w:tcPr>
          <w:p w14:paraId="328D8493">
            <w:pPr>
              <w:topLinePunct/>
              <w:spacing w:line="360" w:lineRule="auto"/>
              <w:jc w:val="center"/>
              <w:rPr>
                <w:rFonts w:ascii="宋体" w:hAnsi="宋体"/>
                <w:color w:val="auto"/>
                <w:szCs w:val="21"/>
              </w:rPr>
            </w:pPr>
          </w:p>
        </w:tc>
      </w:tr>
      <w:tr w14:paraId="46D966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460D0ED">
            <w:pPr>
              <w:topLinePunct/>
              <w:spacing w:line="360" w:lineRule="auto"/>
              <w:jc w:val="center"/>
              <w:rPr>
                <w:rFonts w:ascii="宋体" w:hAnsi="宋体"/>
                <w:color w:val="auto"/>
                <w:szCs w:val="21"/>
              </w:rPr>
            </w:pPr>
            <w:r>
              <w:rPr>
                <w:rFonts w:ascii="宋体" w:hAnsi="宋体"/>
                <w:color w:val="auto"/>
                <w:szCs w:val="21"/>
              </w:rPr>
              <w:t>资质</w:t>
            </w:r>
            <w:r>
              <w:rPr>
                <w:rFonts w:hint="eastAsia" w:ascii="宋体" w:hAnsi="宋体"/>
                <w:color w:val="auto"/>
                <w:szCs w:val="21"/>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F190809">
            <w:pPr>
              <w:topLinePunct/>
              <w:spacing w:line="360" w:lineRule="auto"/>
              <w:jc w:val="center"/>
              <w:rPr>
                <w:rFonts w:ascii="宋体" w:hAnsi="宋体"/>
                <w:color w:val="auto"/>
                <w:szCs w:val="21"/>
              </w:rPr>
            </w:pPr>
            <w:r>
              <w:rPr>
                <w:rFonts w:ascii="宋体" w:hAnsi="宋体"/>
                <w:color w:val="auto"/>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4E09BF5">
            <w:pPr>
              <w:topLinePunct/>
              <w:spacing w:line="360" w:lineRule="auto"/>
              <w:jc w:val="center"/>
              <w:rPr>
                <w:rFonts w:ascii="宋体" w:hAnsi="宋体"/>
                <w:color w:val="auto"/>
                <w:szCs w:val="21"/>
              </w:rPr>
            </w:pPr>
            <w:r>
              <w:rPr>
                <w:rFonts w:hint="eastAsia" w:ascii="宋体" w:hAnsi="宋体"/>
                <w:color w:val="auto"/>
                <w:szCs w:val="21"/>
              </w:rPr>
              <w:t>发证机关</w:t>
            </w:r>
          </w:p>
        </w:tc>
        <w:tc>
          <w:tcPr>
            <w:tcW w:w="3464" w:type="dxa"/>
            <w:gridSpan w:val="2"/>
            <w:tcBorders>
              <w:top w:val="single" w:color="auto" w:sz="6" w:space="0"/>
              <w:left w:val="single" w:color="auto" w:sz="6" w:space="0"/>
              <w:bottom w:val="single" w:color="auto" w:sz="6" w:space="0"/>
              <w:right w:val="double" w:color="auto" w:sz="4" w:space="0"/>
            </w:tcBorders>
            <w:noWrap w:val="0"/>
            <w:vAlign w:val="center"/>
          </w:tcPr>
          <w:p w14:paraId="603AD0F8">
            <w:pPr>
              <w:topLinePunct/>
              <w:spacing w:line="360" w:lineRule="auto"/>
              <w:jc w:val="center"/>
              <w:rPr>
                <w:rFonts w:ascii="宋体" w:hAnsi="宋体"/>
                <w:color w:val="auto"/>
                <w:szCs w:val="21"/>
              </w:rPr>
            </w:pPr>
            <w:r>
              <w:rPr>
                <w:rFonts w:hint="eastAsia" w:ascii="宋体" w:hAnsi="宋体"/>
                <w:color w:val="auto"/>
                <w:szCs w:val="21"/>
              </w:rPr>
              <w:t>有效期</w:t>
            </w:r>
          </w:p>
        </w:tc>
      </w:tr>
      <w:tr w14:paraId="2A4578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4597470">
            <w:pPr>
              <w:topLinePunct/>
              <w:spacing w:line="360" w:lineRule="auto"/>
              <w:jc w:val="center"/>
              <w:rPr>
                <w:rFonts w:ascii="宋体" w:hAnsi="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7EF8978">
            <w:pPr>
              <w:topLinePunct/>
              <w:spacing w:line="360" w:lineRule="auto"/>
              <w:jc w:val="cente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071E03B">
            <w:pPr>
              <w:topLinePunct/>
              <w:spacing w:line="360" w:lineRule="auto"/>
              <w:jc w:val="center"/>
              <w:rPr>
                <w:rFonts w:ascii="宋体" w:hAnsi="宋体"/>
                <w:color w:val="auto"/>
                <w:szCs w:val="21"/>
              </w:rPr>
            </w:pPr>
          </w:p>
        </w:tc>
        <w:tc>
          <w:tcPr>
            <w:tcW w:w="3464" w:type="dxa"/>
            <w:gridSpan w:val="2"/>
            <w:tcBorders>
              <w:top w:val="single" w:color="auto" w:sz="6" w:space="0"/>
              <w:left w:val="single" w:color="auto" w:sz="6" w:space="0"/>
              <w:bottom w:val="single" w:color="auto" w:sz="6" w:space="0"/>
              <w:right w:val="double" w:color="auto" w:sz="4" w:space="0"/>
            </w:tcBorders>
            <w:noWrap w:val="0"/>
            <w:vAlign w:val="center"/>
          </w:tcPr>
          <w:p w14:paraId="0918B6F8">
            <w:pPr>
              <w:topLinePunct/>
              <w:spacing w:line="360" w:lineRule="auto"/>
              <w:jc w:val="center"/>
              <w:rPr>
                <w:rFonts w:ascii="宋体" w:hAnsi="宋体"/>
                <w:color w:val="auto"/>
                <w:szCs w:val="21"/>
              </w:rPr>
            </w:pPr>
          </w:p>
        </w:tc>
      </w:tr>
      <w:tr w14:paraId="530EE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1045F3D">
            <w:pPr>
              <w:topLinePunct/>
              <w:spacing w:line="360" w:lineRule="auto"/>
              <w:jc w:val="center"/>
              <w:rPr>
                <w:rFonts w:ascii="宋体" w:hAnsi="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546FADC3">
            <w:pPr>
              <w:topLinePunct/>
              <w:spacing w:line="360" w:lineRule="auto"/>
              <w:jc w:val="cente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06F7951">
            <w:pPr>
              <w:topLinePunct/>
              <w:spacing w:line="360" w:lineRule="auto"/>
              <w:jc w:val="center"/>
              <w:rPr>
                <w:rFonts w:ascii="宋体" w:hAnsi="宋体"/>
                <w:color w:val="auto"/>
                <w:szCs w:val="21"/>
              </w:rPr>
            </w:pPr>
          </w:p>
        </w:tc>
        <w:tc>
          <w:tcPr>
            <w:tcW w:w="3464" w:type="dxa"/>
            <w:gridSpan w:val="2"/>
            <w:tcBorders>
              <w:top w:val="single" w:color="auto" w:sz="6" w:space="0"/>
              <w:left w:val="single" w:color="auto" w:sz="6" w:space="0"/>
              <w:bottom w:val="single" w:color="auto" w:sz="6" w:space="0"/>
              <w:right w:val="double" w:color="auto" w:sz="4" w:space="0"/>
            </w:tcBorders>
            <w:noWrap w:val="0"/>
            <w:vAlign w:val="center"/>
          </w:tcPr>
          <w:p w14:paraId="24310BEB">
            <w:pPr>
              <w:topLinePunct/>
              <w:spacing w:line="360" w:lineRule="auto"/>
              <w:jc w:val="center"/>
              <w:rPr>
                <w:rFonts w:ascii="宋体" w:hAnsi="宋体"/>
                <w:color w:val="auto"/>
                <w:szCs w:val="21"/>
              </w:rPr>
            </w:pPr>
          </w:p>
        </w:tc>
      </w:tr>
      <w:tr w14:paraId="3B5521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10A12FD9">
            <w:pPr>
              <w:topLinePunct/>
              <w:spacing w:line="360" w:lineRule="auto"/>
              <w:jc w:val="center"/>
              <w:rPr>
                <w:rFonts w:ascii="宋体" w:hAnsi="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0926F25">
            <w:pPr>
              <w:topLinePunct/>
              <w:spacing w:line="360" w:lineRule="auto"/>
              <w:jc w:val="cente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B40CE45">
            <w:pPr>
              <w:topLinePunct/>
              <w:spacing w:line="360" w:lineRule="auto"/>
              <w:jc w:val="center"/>
              <w:rPr>
                <w:rFonts w:ascii="宋体" w:hAnsi="宋体"/>
                <w:color w:val="auto"/>
                <w:szCs w:val="21"/>
              </w:rPr>
            </w:pPr>
          </w:p>
        </w:tc>
        <w:tc>
          <w:tcPr>
            <w:tcW w:w="3464" w:type="dxa"/>
            <w:gridSpan w:val="2"/>
            <w:tcBorders>
              <w:top w:val="single" w:color="auto" w:sz="6" w:space="0"/>
              <w:left w:val="single" w:color="auto" w:sz="6" w:space="0"/>
              <w:bottom w:val="single" w:color="auto" w:sz="6" w:space="0"/>
              <w:right w:val="double" w:color="auto" w:sz="4" w:space="0"/>
            </w:tcBorders>
            <w:noWrap w:val="0"/>
            <w:vAlign w:val="center"/>
          </w:tcPr>
          <w:p w14:paraId="557E7ECC">
            <w:pPr>
              <w:topLinePunct/>
              <w:spacing w:line="360" w:lineRule="auto"/>
              <w:jc w:val="center"/>
              <w:rPr>
                <w:rFonts w:ascii="宋体" w:hAnsi="宋体"/>
                <w:color w:val="auto"/>
                <w:szCs w:val="21"/>
              </w:rPr>
            </w:pPr>
          </w:p>
        </w:tc>
      </w:tr>
      <w:tr w14:paraId="1DFEF2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2F8310D">
            <w:pPr>
              <w:topLinePunct/>
              <w:spacing w:line="360" w:lineRule="auto"/>
              <w:jc w:val="center"/>
              <w:rPr>
                <w:rFonts w:ascii="宋体" w:hAnsi="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E26A568">
            <w:pPr>
              <w:topLinePunct/>
              <w:spacing w:line="360" w:lineRule="auto"/>
              <w:jc w:val="cente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CCF43DF">
            <w:pPr>
              <w:topLinePunct/>
              <w:spacing w:line="360" w:lineRule="auto"/>
              <w:jc w:val="center"/>
              <w:rPr>
                <w:rFonts w:ascii="宋体" w:hAnsi="宋体"/>
                <w:color w:val="auto"/>
                <w:szCs w:val="21"/>
              </w:rPr>
            </w:pPr>
          </w:p>
        </w:tc>
        <w:tc>
          <w:tcPr>
            <w:tcW w:w="3464" w:type="dxa"/>
            <w:gridSpan w:val="2"/>
            <w:tcBorders>
              <w:top w:val="single" w:color="auto" w:sz="6" w:space="0"/>
              <w:left w:val="single" w:color="auto" w:sz="6" w:space="0"/>
              <w:bottom w:val="single" w:color="auto" w:sz="6" w:space="0"/>
              <w:right w:val="double" w:color="auto" w:sz="4" w:space="0"/>
            </w:tcBorders>
            <w:noWrap w:val="0"/>
            <w:vAlign w:val="center"/>
          </w:tcPr>
          <w:p w14:paraId="1CA87D9F">
            <w:pPr>
              <w:topLinePunct/>
              <w:spacing w:line="360" w:lineRule="auto"/>
              <w:jc w:val="center"/>
              <w:rPr>
                <w:rFonts w:ascii="宋体" w:hAnsi="宋体"/>
                <w:color w:val="auto"/>
                <w:szCs w:val="21"/>
              </w:rPr>
            </w:pPr>
          </w:p>
        </w:tc>
      </w:tr>
      <w:tr w14:paraId="19F9F9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581F8D7F">
            <w:pPr>
              <w:topLinePunct/>
              <w:spacing w:line="360" w:lineRule="auto"/>
              <w:jc w:val="center"/>
              <w:rPr>
                <w:rFonts w:ascii="宋体" w:hAnsi="宋体"/>
                <w:color w:val="auto"/>
                <w:szCs w:val="21"/>
              </w:rPr>
            </w:pPr>
            <w:r>
              <w:rPr>
                <w:rFonts w:ascii="宋体" w:hAnsi="宋体"/>
                <w:color w:val="auto"/>
                <w:szCs w:val="21"/>
              </w:rPr>
              <w:t>备注</w:t>
            </w:r>
          </w:p>
        </w:tc>
        <w:tc>
          <w:tcPr>
            <w:tcW w:w="7786" w:type="dxa"/>
            <w:gridSpan w:val="8"/>
            <w:tcBorders>
              <w:top w:val="single" w:color="auto" w:sz="6" w:space="0"/>
              <w:left w:val="single" w:color="auto" w:sz="6" w:space="0"/>
              <w:bottom w:val="double" w:color="auto" w:sz="4" w:space="0"/>
              <w:right w:val="double" w:color="auto" w:sz="4" w:space="0"/>
            </w:tcBorders>
            <w:noWrap w:val="0"/>
            <w:vAlign w:val="center"/>
          </w:tcPr>
          <w:p w14:paraId="2881C6A8">
            <w:pPr>
              <w:topLinePunct/>
              <w:spacing w:line="360" w:lineRule="auto"/>
              <w:rPr>
                <w:rFonts w:hint="eastAsia" w:ascii="黑体" w:hAnsi="宋体" w:eastAsia="黑体"/>
                <w:color w:val="auto"/>
                <w:szCs w:val="21"/>
              </w:rPr>
            </w:pPr>
            <w:r>
              <w:rPr>
                <w:rFonts w:hint="eastAsia" w:ascii="黑体" w:hAnsi="宋体" w:eastAsia="黑体"/>
                <w:color w:val="auto"/>
                <w:szCs w:val="21"/>
              </w:rPr>
              <w:t>附《营业执照》（副本）复印件</w:t>
            </w:r>
          </w:p>
        </w:tc>
      </w:tr>
    </w:tbl>
    <w:p w14:paraId="7629E031">
      <w:pPr>
        <w:spacing w:line="360" w:lineRule="auto"/>
        <w:rPr>
          <w:rFonts w:hint="eastAsia" w:ascii="黑体" w:eastAsia="黑体"/>
          <w:color w:val="auto"/>
          <w:sz w:val="30"/>
          <w:szCs w:val="30"/>
        </w:rPr>
      </w:pPr>
      <w:r>
        <w:rPr>
          <w:rFonts w:hint="eastAsia" w:ascii="黑体" w:eastAsia="黑体"/>
          <w:color w:val="auto"/>
          <w:sz w:val="30"/>
          <w:szCs w:val="30"/>
        </w:rPr>
        <w:t>附件</w:t>
      </w:r>
      <w:r>
        <w:rPr>
          <w:rFonts w:hint="eastAsia" w:ascii="黑体" w:eastAsia="黑体"/>
          <w:color w:val="auto"/>
          <w:sz w:val="30"/>
          <w:szCs w:val="30"/>
          <w:lang w:val="en-US" w:eastAsia="zh-CN"/>
        </w:rPr>
        <w:t>4</w:t>
      </w:r>
      <w:r>
        <w:rPr>
          <w:rFonts w:hint="eastAsia" w:ascii="黑体" w:eastAsia="黑体"/>
          <w:color w:val="auto"/>
          <w:sz w:val="30"/>
          <w:szCs w:val="30"/>
        </w:rPr>
        <w:t xml:space="preserve">      磋商文件规定的基本资格条件证明资料</w:t>
      </w:r>
    </w:p>
    <w:p w14:paraId="6B6A654D">
      <w:pPr>
        <w:spacing w:line="360" w:lineRule="auto"/>
        <w:rPr>
          <w:rFonts w:hint="eastAsia" w:ascii="宋体" w:hAnsi="宋体" w:eastAsia="宋体" w:cs="宋体"/>
          <w:color w:val="auto"/>
          <w:szCs w:val="21"/>
          <w:highlight w:val="none"/>
        </w:rPr>
      </w:pPr>
      <w:bookmarkStart w:id="89" w:name="_Toc4432_WPSOffice_Level2"/>
      <w:r>
        <w:rPr>
          <w:rFonts w:hint="eastAsia" w:ascii="宋体" w:hAnsi="宋体" w:eastAsia="宋体" w:cs="宋体"/>
          <w:color w:val="auto"/>
          <w:szCs w:val="21"/>
          <w:highlight w:val="none"/>
        </w:rPr>
        <w:t>备注：</w:t>
      </w:r>
    </w:p>
    <w:p w14:paraId="144D4C0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1DA5FCE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2、法定代表人授权委托书原件及双方身份证复印件；</w:t>
      </w:r>
    </w:p>
    <w:p w14:paraId="21ED744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3、湖南省政府采购供应商资格承诺函；</w:t>
      </w:r>
    </w:p>
    <w:p w14:paraId="1E87697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4、落实政府采购政策需满足的资格要求的证明材料。</w:t>
      </w:r>
    </w:p>
    <w:p w14:paraId="61DA859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5、供应商资格声明。</w:t>
      </w:r>
    </w:p>
    <w:p w14:paraId="732BCF1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6、符合供应商特定资格条件的资格证明材料。</w:t>
      </w:r>
    </w:p>
    <w:p w14:paraId="48A0E1E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7、其它说明：</w:t>
      </w:r>
    </w:p>
    <w:p w14:paraId="3C20779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（1）相关证书如为电子证书的，提供电子证书。</w:t>
      </w:r>
    </w:p>
    <w:p w14:paraId="1A1AE3D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除不具备独立承担民事责任能力的机构、组织、个人外供应商为其他组织、自然人参与本项目磋商的，凡竞争性磋商文件格式中要求为“法定代表人”签署的，由组织负责人、自然人签署，视同有效，满足竞争性磋商文件要求；</w:t>
      </w:r>
    </w:p>
    <w:p w14:paraId="406EEC1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在首次响应文件递交截止时间前在在“信用中国”网站(www.creditchina.gov.cn)“记录失信被执行人或重大税收违法失信主体或政府采购严重违法失信行为”记录名单；中国政府采购网(www.ccgp.gov.cn)“政府采购严重违法失信行为信息记录”的查询结果截图，并加盖公章。（如查询结果显示“没查到您要的信息”，视为没有上述三类不良信用记录；如相关失信记录已失效，供应商需提供相关证明资料）；</w:t>
      </w:r>
    </w:p>
    <w:p w14:paraId="4284BD7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9、提供第二章 磋商须知第3.1款供应商基本资格条件，法律、行政法规规定的其他条件证明资料的复印件。</w:t>
      </w:r>
    </w:p>
    <w:p w14:paraId="4096EFC7">
      <w:pPr>
        <w:pStyle w:val="4"/>
        <w:keepNext w:val="0"/>
        <w:keepLines w:val="0"/>
        <w:adjustRightInd w:val="0"/>
        <w:snapToGrid w:val="0"/>
        <w:spacing w:before="156" w:beforeLines="50" w:after="0" w:line="360" w:lineRule="auto"/>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br w:type="page"/>
      </w:r>
      <w:bookmarkStart w:id="90" w:name="_Toc23255921"/>
      <w:bookmarkStart w:id="91" w:name="_Toc114814029"/>
      <w:r>
        <w:rPr>
          <w:rStyle w:val="39"/>
          <w:rFonts w:hint="eastAsia" w:ascii="宋体" w:hAnsi="宋体" w:eastAsia="宋体" w:cs="宋体"/>
          <w:b/>
          <w:bCs/>
          <w:color w:val="auto"/>
          <w:highlight w:val="none"/>
        </w:rPr>
        <w:t>附件4-1湖南省政府采购供应商资格承诺函(格式)</w:t>
      </w:r>
      <w:bookmarkEnd w:id="90"/>
      <w:bookmarkEnd w:id="91"/>
    </w:p>
    <w:p w14:paraId="5AE50ECA">
      <w:pPr>
        <w:widowControl/>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z w:val="28"/>
          <w:szCs w:val="28"/>
          <w:highlight w:val="none"/>
        </w:rPr>
        <w:t>湖南省政府采购供应商资格承诺函(格式)</w:t>
      </w:r>
    </w:p>
    <w:p w14:paraId="00C0EE31">
      <w:pPr>
        <w:spacing w:line="480" w:lineRule="exact"/>
        <w:rPr>
          <w:rFonts w:hint="eastAsia" w:ascii="宋体" w:hAnsi="宋体" w:eastAsia="宋体" w:cs="宋体"/>
          <w:color w:val="auto"/>
          <w:sz w:val="24"/>
          <w:highlight w:val="none"/>
        </w:rPr>
      </w:pPr>
      <w:bookmarkStart w:id="92" w:name="_Toc23255922"/>
    </w:p>
    <w:p w14:paraId="35AF1A8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本公司独立承担民事责任、具有良好的商业信誉和健全的财务制度、依法缴纳税收和社会保障资金，在前三年的经营活动中无重大违法记录，未列入严重失信行为名单，符合政府采购供应商的基本资格要求。</w:t>
      </w:r>
    </w:p>
    <w:p w14:paraId="0671500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按照《政府采购促进中小企业发展管理办法》（财库[2020]46号），本公司企业规模为：</w:t>
      </w:r>
      <w:r>
        <w:rPr>
          <w:rFonts w:hint="eastAsia" w:ascii="宋体" w:hAnsi="宋体" w:eastAsia="宋体" w:cs="宋体"/>
          <w:b/>
          <w:bCs/>
          <w:color w:val="auto"/>
          <w:sz w:val="24"/>
          <w:highlight w:val="none"/>
        </w:rPr>
        <w:t>大型</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rPr>
        <w:tab/>
      </w:r>
      <w:r>
        <w:rPr>
          <w:rFonts w:hint="eastAsia" w:ascii="宋体" w:hAnsi="宋体" w:eastAsia="宋体" w:cs="宋体"/>
          <w:b/>
          <w:bCs/>
          <w:color w:val="auto"/>
          <w:sz w:val="24"/>
          <w:highlight w:val="none"/>
        </w:rPr>
        <w:t>中型</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rPr>
        <w:tab/>
      </w:r>
      <w:r>
        <w:rPr>
          <w:rFonts w:hint="eastAsia" w:ascii="宋体" w:hAnsi="宋体" w:eastAsia="宋体" w:cs="宋体"/>
          <w:b/>
          <w:bCs/>
          <w:color w:val="auto"/>
          <w:sz w:val="24"/>
          <w:highlight w:val="none"/>
        </w:rPr>
        <w:t>小型</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rPr>
        <w:tab/>
      </w:r>
      <w:r>
        <w:rPr>
          <w:rFonts w:hint="eastAsia" w:ascii="宋体" w:hAnsi="宋体" w:eastAsia="宋体" w:cs="宋体"/>
          <w:b/>
          <w:bCs/>
          <w:color w:val="auto"/>
          <w:sz w:val="24"/>
          <w:highlight w:val="none"/>
        </w:rPr>
        <w:t>微型</w:t>
      </w:r>
      <w:r>
        <w:rPr>
          <w:rFonts w:hint="eastAsia" w:ascii="宋体" w:hAnsi="宋体" w:eastAsia="宋体" w:cs="宋体"/>
          <w:b/>
          <w:bCs/>
          <w:color w:val="auto"/>
          <w:szCs w:val="21"/>
          <w:highlight w:val="none"/>
        </w:rPr>
        <w:t>□</w:t>
      </w:r>
    </w:p>
    <w:p w14:paraId="7904395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0377B1F4">
      <w:pPr>
        <w:spacing w:line="360" w:lineRule="auto"/>
        <w:jc w:val="right"/>
        <w:rPr>
          <w:rFonts w:hint="eastAsia" w:ascii="宋体" w:hAnsi="宋体" w:eastAsia="宋体" w:cs="宋体"/>
          <w:color w:val="auto"/>
          <w:sz w:val="24"/>
          <w:highlight w:val="none"/>
        </w:rPr>
      </w:pPr>
    </w:p>
    <w:p w14:paraId="3AA05338">
      <w:pPr>
        <w:spacing w:line="360" w:lineRule="auto"/>
        <w:jc w:val="right"/>
        <w:rPr>
          <w:rFonts w:hint="eastAsia" w:ascii="宋体" w:hAnsi="宋体" w:eastAsia="宋体" w:cs="宋体"/>
          <w:color w:val="auto"/>
          <w:sz w:val="24"/>
          <w:highlight w:val="none"/>
        </w:rPr>
      </w:pPr>
    </w:p>
    <w:p w14:paraId="0F9D02E2">
      <w:pPr>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公司（单位）名称：（盖章）</w:t>
      </w:r>
    </w:p>
    <w:p w14:paraId="1DC49D14">
      <w:pPr>
        <w:wordWrap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年   月   日     </w:t>
      </w:r>
    </w:p>
    <w:p w14:paraId="39F7AA6C">
      <w:pPr>
        <w:widowControl/>
        <w:jc w:val="left"/>
        <w:rPr>
          <w:rFonts w:hint="eastAsia" w:ascii="宋体" w:hAnsi="宋体" w:eastAsia="宋体" w:cs="宋体"/>
          <w:bCs/>
          <w:color w:val="auto"/>
          <w:szCs w:val="21"/>
          <w:highlight w:val="none"/>
        </w:rPr>
      </w:pPr>
      <w:r>
        <w:rPr>
          <w:rFonts w:hint="eastAsia" w:ascii="宋体" w:hAnsi="宋体" w:eastAsia="宋体" w:cs="宋体"/>
          <w:b/>
          <w:color w:val="auto"/>
          <w:szCs w:val="21"/>
          <w:highlight w:val="none"/>
        </w:rPr>
        <w:br w:type="page"/>
      </w:r>
    </w:p>
    <w:p w14:paraId="60666D30">
      <w:pPr>
        <w:pStyle w:val="4"/>
        <w:keepNext w:val="0"/>
        <w:keepLines w:val="0"/>
        <w:adjustRightInd w:val="0"/>
        <w:snapToGrid w:val="0"/>
        <w:spacing w:before="156" w:beforeLines="50" w:after="0" w:line="360" w:lineRule="auto"/>
        <w:rPr>
          <w:rFonts w:hint="eastAsia" w:ascii="宋体" w:hAnsi="宋体" w:eastAsia="宋体" w:cs="宋体"/>
          <w:color w:val="auto"/>
          <w:sz w:val="21"/>
          <w:szCs w:val="21"/>
          <w:highlight w:val="none"/>
        </w:rPr>
      </w:pPr>
      <w:bookmarkStart w:id="93" w:name="_Toc114814030"/>
      <w:r>
        <w:rPr>
          <w:rStyle w:val="39"/>
          <w:rFonts w:hint="eastAsia" w:ascii="宋体" w:hAnsi="宋体" w:eastAsia="宋体" w:cs="宋体"/>
          <w:b/>
          <w:bCs/>
          <w:color w:val="auto"/>
          <w:highlight w:val="none"/>
        </w:rPr>
        <w:t>附件4-2 符合特定资格条件证明材料复印件或者情况说明</w:t>
      </w:r>
      <w:bookmarkEnd w:id="92"/>
      <w:bookmarkEnd w:id="93"/>
    </w:p>
    <w:p w14:paraId="010E3608">
      <w:pPr>
        <w:adjustRightInd w:val="0"/>
        <w:snapToGrid w:val="0"/>
        <w:spacing w:before="156" w:beforeLines="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符合特定资格条件证明材料复印件或者情况说明</w:t>
      </w:r>
    </w:p>
    <w:p w14:paraId="1E9A899C">
      <w:pPr>
        <w:adjustRightInd w:val="0"/>
        <w:snapToGrid w:val="0"/>
        <w:spacing w:before="156" w:beforeLines="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注：提供第二章 磋商须知第3.1款供应商特定资格条件证明资料的复印件。</w:t>
      </w:r>
    </w:p>
    <w:p w14:paraId="2EF62817">
      <w:pPr>
        <w:pStyle w:val="19"/>
        <w:rPr>
          <w:rFonts w:hint="eastAsia" w:ascii="宋体" w:hAnsi="宋体" w:eastAsia="宋体" w:cs="宋体"/>
          <w:color w:val="auto"/>
          <w:highlight w:val="none"/>
        </w:rPr>
      </w:pPr>
    </w:p>
    <w:p w14:paraId="207F08EF">
      <w:pPr>
        <w:pStyle w:val="4"/>
        <w:keepNext w:val="0"/>
        <w:keepLines w:val="0"/>
        <w:adjustRightInd w:val="0"/>
        <w:snapToGrid w:val="0"/>
        <w:spacing w:before="156" w:beforeLines="50" w:after="0" w:line="360" w:lineRule="auto"/>
        <w:rPr>
          <w:rStyle w:val="39"/>
          <w:rFonts w:hint="eastAsia" w:ascii="宋体" w:hAnsi="宋体" w:eastAsia="宋体" w:cs="宋体"/>
          <w:b/>
          <w:bCs/>
          <w:color w:val="auto"/>
          <w:highlight w:val="none"/>
        </w:rPr>
      </w:pPr>
      <w:bookmarkStart w:id="94" w:name="_Toc62223416"/>
      <w:bookmarkStart w:id="95" w:name="_Toc114814031"/>
      <w:r>
        <w:rPr>
          <w:rStyle w:val="39"/>
          <w:rFonts w:hint="eastAsia" w:ascii="宋体" w:hAnsi="宋体" w:eastAsia="宋体" w:cs="宋体"/>
          <w:b/>
          <w:bCs/>
          <w:color w:val="auto"/>
          <w:highlight w:val="none"/>
        </w:rPr>
        <w:t>附件4-3 符合预留采购份额的证明文件</w:t>
      </w:r>
      <w:bookmarkEnd w:id="94"/>
      <w:bookmarkEnd w:id="95"/>
    </w:p>
    <w:p w14:paraId="4745AFB7">
      <w:pPr>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注：磋商文件规定采购项目或者采购包属于“预留采购份额”的，按</w:t>
      </w:r>
      <w:r>
        <w:rPr>
          <w:rFonts w:hint="eastAsia" w:ascii="宋体" w:hAnsi="宋体" w:eastAsia="宋体" w:cs="宋体"/>
          <w:color w:val="auto"/>
          <w:highlight w:val="none"/>
        </w:rPr>
        <w:t>第二章第3.1款规定提供《中小企业声明函》，或者《中小企业声明函》、联合体协议书（格式），或者《中小企业声明函》、 分包意向协议书。</w:t>
      </w:r>
    </w:p>
    <w:p w14:paraId="593F3A89">
      <w:pPr>
        <w:adjustRightInd w:val="0"/>
        <w:snapToGrid w:val="0"/>
        <w:spacing w:before="156" w:beforeLines="50" w:line="360" w:lineRule="auto"/>
        <w:rPr>
          <w:rFonts w:hint="eastAsia" w:ascii="宋体" w:hAnsi="宋体" w:eastAsia="宋体" w:cs="宋体"/>
          <w:color w:val="auto"/>
          <w:highlight w:val="none"/>
        </w:rPr>
      </w:pPr>
    </w:p>
    <w:p w14:paraId="4B080E99">
      <w:pPr>
        <w:pStyle w:val="4"/>
        <w:rPr>
          <w:rFonts w:hint="eastAsia" w:ascii="宋体" w:hAnsi="宋体" w:eastAsia="宋体" w:cs="宋体"/>
          <w:color w:val="auto"/>
          <w:highlight w:val="none"/>
        </w:rPr>
      </w:pPr>
      <w:bookmarkStart w:id="96" w:name="_Toc114814032"/>
      <w:r>
        <w:rPr>
          <w:rFonts w:hint="eastAsia" w:ascii="宋体" w:hAnsi="宋体" w:eastAsia="宋体" w:cs="宋体"/>
          <w:color w:val="auto"/>
          <w:highlight w:val="none"/>
        </w:rPr>
        <w:t>附件4-4《中小企业声明函》</w:t>
      </w:r>
      <w:bookmarkEnd w:id="96"/>
    </w:p>
    <w:p w14:paraId="67963EE4">
      <w:pPr>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注：</w:t>
      </w:r>
      <w:r>
        <w:rPr>
          <w:rFonts w:hint="eastAsia" w:ascii="宋体" w:hAnsi="宋体" w:eastAsia="宋体" w:cs="宋体"/>
          <w:color w:val="auto"/>
          <w:highlight w:val="none"/>
        </w:rPr>
        <w:t>磋商文件规定采购项目或者采购包属于“预留采购份额”的，供应商应当按本章附件8-1规定格式提供《中小企业声明函》。</w:t>
      </w:r>
      <w:bookmarkStart w:id="97" w:name="_Toc23255923"/>
      <w:r>
        <w:rPr>
          <w:rFonts w:hint="eastAsia" w:ascii="宋体" w:hAnsi="宋体" w:eastAsia="宋体" w:cs="宋体"/>
          <w:color w:val="auto"/>
          <w:highlight w:val="none"/>
        </w:rPr>
        <w:t>视同中小企业的残疾人福利性单位或者监狱企业，按本章附件8-2规定提供《残疾人福利性单位声明函》或者按本章附件8-3规定提供监狱企业证明资料。</w:t>
      </w:r>
    </w:p>
    <w:p w14:paraId="33EC645A">
      <w:pPr>
        <w:pStyle w:val="4"/>
        <w:rPr>
          <w:rFonts w:hint="eastAsia" w:ascii="宋体" w:hAnsi="宋体" w:eastAsia="宋体" w:cs="宋体"/>
          <w:color w:val="auto"/>
          <w:highlight w:val="none"/>
        </w:rPr>
      </w:pPr>
      <w:bookmarkStart w:id="98" w:name="_Toc114814033"/>
      <w:r>
        <w:rPr>
          <w:rFonts w:hint="eastAsia" w:ascii="宋体" w:hAnsi="宋体" w:eastAsia="宋体" w:cs="宋体"/>
          <w:color w:val="auto"/>
          <w:highlight w:val="none"/>
        </w:rPr>
        <w:t>附件4-5 联合体协议书（格式）</w:t>
      </w:r>
      <w:bookmarkEnd w:id="97"/>
      <w:bookmarkEnd w:id="98"/>
    </w:p>
    <w:p w14:paraId="0204A76C">
      <w:pPr>
        <w:adjustRightInd w:val="0"/>
        <w:snapToGrid w:val="0"/>
        <w:spacing w:before="156" w:beforeLines="50"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 w:val="28"/>
          <w:szCs w:val="28"/>
          <w:highlight w:val="none"/>
        </w:rPr>
        <w:t>联合体协议书（格式）</w:t>
      </w:r>
    </w:p>
    <w:p w14:paraId="163C5CDC">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：磋商文件规定采购项目或者采购包属于“预留采购份额”，且要求供应商以联合体形式参加采购活动的，供应商应当提供与第二章第41.1款规定对应的联合体协议书。</w:t>
      </w:r>
    </w:p>
    <w:p w14:paraId="5C2E535F">
      <w:pPr>
        <w:adjustRightInd w:val="0"/>
        <w:snapToGrid w:val="0"/>
        <w:spacing w:before="156" w:beforeLines="50" w:line="360" w:lineRule="auto"/>
        <w:rPr>
          <w:rFonts w:hint="eastAsia" w:ascii="宋体" w:hAnsi="宋体" w:eastAsia="宋体" w:cs="宋体"/>
          <w:color w:val="auto"/>
          <w:szCs w:val="21"/>
          <w:highlight w:val="none"/>
        </w:rPr>
      </w:pPr>
    </w:p>
    <w:p w14:paraId="4069A305">
      <w:pPr>
        <w:pStyle w:val="4"/>
        <w:rPr>
          <w:rFonts w:hint="eastAsia" w:ascii="宋体" w:hAnsi="宋体" w:eastAsia="宋体" w:cs="宋体"/>
          <w:color w:val="auto"/>
          <w:highlight w:val="none"/>
        </w:rPr>
      </w:pPr>
      <w:bookmarkStart w:id="99" w:name="_Toc114814034"/>
      <w:r>
        <w:rPr>
          <w:rFonts w:hint="eastAsia" w:ascii="宋体" w:hAnsi="宋体" w:eastAsia="宋体" w:cs="宋体"/>
          <w:color w:val="auto"/>
          <w:highlight w:val="none"/>
        </w:rPr>
        <w:t>附件4-6分包意向协议书</w:t>
      </w:r>
      <w:bookmarkEnd w:id="99"/>
    </w:p>
    <w:p w14:paraId="546764EB">
      <w:pPr>
        <w:adjustRightInd w:val="0"/>
        <w:snapToGrid w:val="0"/>
        <w:spacing w:before="156" w:beforeLines="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分包意向协议书</w:t>
      </w:r>
    </w:p>
    <w:p w14:paraId="48599852">
      <w:pPr>
        <w:adjustRightInd w:val="0"/>
        <w:snapToGrid w:val="0"/>
        <w:spacing w:before="156" w:beforeLines="50" w:line="360" w:lineRule="auto"/>
        <w:jc w:val="lef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：磋商文件规定采购项目或者采购包属于“预留采购份额”，且要求合同分包的，供应商应当提供与第二章第41.1款规定对应的分包意向协议书。</w:t>
      </w:r>
    </w:p>
    <w:p w14:paraId="3269148D">
      <w:pPr>
        <w:pStyle w:val="19"/>
        <w:rPr>
          <w:rFonts w:hint="eastAsia" w:ascii="宋体" w:hAnsi="宋体" w:eastAsia="宋体" w:cs="宋体"/>
          <w:color w:val="auto"/>
          <w:highlight w:val="none"/>
        </w:rPr>
      </w:pPr>
    </w:p>
    <w:p w14:paraId="2E5942A5">
      <w:pPr>
        <w:spacing w:line="360" w:lineRule="auto"/>
        <w:ind w:firstLine="525" w:firstLineChars="250"/>
        <w:rPr>
          <w:rFonts w:hint="eastAsia" w:ascii="宋体" w:hAnsi="宋体" w:eastAsia="宋体" w:cs="宋体"/>
          <w:color w:val="auto"/>
          <w:szCs w:val="21"/>
          <w:highlight w:val="none"/>
        </w:rPr>
        <w:sectPr>
          <w:pgSz w:w="11906" w:h="16838"/>
          <w:pgMar w:top="1417" w:right="1417" w:bottom="1417" w:left="1417" w:header="851" w:footer="992" w:gutter="0"/>
          <w:pgNumType w:fmt="numberInDash"/>
          <w:cols w:space="720" w:num="1"/>
          <w:docGrid w:type="lines" w:linePitch="312" w:charSpace="0"/>
        </w:sectPr>
      </w:pPr>
    </w:p>
    <w:p w14:paraId="7A90BEE9">
      <w:pPr>
        <w:pStyle w:val="19"/>
        <w:rPr>
          <w:rFonts w:hint="eastAsia" w:ascii="宋体" w:hAnsi="宋体" w:eastAsia="宋体" w:cs="宋体"/>
          <w:color w:val="auto"/>
          <w:highlight w:val="none"/>
        </w:rPr>
      </w:pPr>
    </w:p>
    <w:p w14:paraId="78B9DE37">
      <w:pPr>
        <w:spacing w:line="360" w:lineRule="auto"/>
        <w:ind w:firstLine="700" w:firstLineChars="25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参加政府采购活动前三年内在经营活动中没有重大违法记录的书面</w:t>
      </w:r>
    </w:p>
    <w:p w14:paraId="1DACBDBE">
      <w:pPr>
        <w:adjustRightInd w:val="0"/>
        <w:snapToGrid w:val="0"/>
        <w:spacing w:line="360" w:lineRule="auto"/>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声明</w:t>
      </w:r>
    </w:p>
    <w:p w14:paraId="5A760F46">
      <w:pPr>
        <w:rPr>
          <w:rFonts w:hint="eastAsia" w:ascii="宋体" w:hAnsi="宋体" w:eastAsia="宋体" w:cs="宋体"/>
          <w:color w:val="auto"/>
          <w:highlight w:val="none"/>
        </w:rPr>
      </w:pPr>
    </w:p>
    <w:p w14:paraId="1A1E037C">
      <w:pPr>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 xml:space="preserve">致 </w:t>
      </w:r>
      <w:r>
        <w:rPr>
          <w:rFonts w:hint="eastAsia" w:ascii="宋体" w:hAnsi="宋体" w:eastAsia="宋体" w:cs="宋体"/>
          <w:bCs/>
          <w:color w:val="auto"/>
          <w:kern w:val="0"/>
          <w:szCs w:val="21"/>
          <w:highlight w:val="none"/>
          <w:u w:val="single"/>
        </w:rPr>
        <w:t xml:space="preserve">                     </w:t>
      </w:r>
      <w:r>
        <w:rPr>
          <w:rFonts w:hint="eastAsia" w:ascii="宋体" w:hAnsi="宋体" w:eastAsia="宋体" w:cs="宋体"/>
          <w:bCs/>
          <w:color w:val="auto"/>
          <w:kern w:val="0"/>
          <w:szCs w:val="21"/>
          <w:highlight w:val="none"/>
        </w:rPr>
        <w:t xml:space="preserve"> (采购代理机构)：</w:t>
      </w:r>
    </w:p>
    <w:p w14:paraId="4F9434EA">
      <w:pPr>
        <w:adjustRightInd w:val="0"/>
        <w:snapToGrid w:val="0"/>
        <w:spacing w:before="156" w:beforeLines="50" w:line="360" w:lineRule="auto"/>
        <w:ind w:left="-88" w:leftChars="-42"/>
        <w:rPr>
          <w:rFonts w:hint="eastAsia" w:ascii="宋体" w:hAnsi="宋体" w:eastAsia="宋体" w:cs="宋体"/>
          <w:color w:val="auto"/>
          <w:kern w:val="0"/>
          <w:szCs w:val="21"/>
          <w:highlight w:val="none"/>
        </w:rPr>
      </w:pPr>
    </w:p>
    <w:p w14:paraId="6BACE46B">
      <w:pPr>
        <w:widowControl/>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我单位在</w:t>
      </w:r>
      <w:r>
        <w:rPr>
          <w:rFonts w:hint="eastAsia" w:ascii="宋体" w:hAnsi="宋体" w:eastAsia="宋体" w:cs="宋体"/>
          <w:color w:val="auto"/>
          <w:kern w:val="0"/>
          <w:szCs w:val="21"/>
          <w:highlight w:val="none"/>
        </w:rPr>
        <w:t>参加采购活动前三年内在经营活动中没有政府采购法第二十二条第一款第（五）项所称重大违法记录，包括：</w:t>
      </w:r>
    </w:p>
    <w:p w14:paraId="52963C34">
      <w:pPr>
        <w:widowControl/>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w:t>
      </w:r>
      <w:r>
        <w:rPr>
          <w:rFonts w:hint="eastAsia" w:ascii="宋体" w:hAnsi="宋体" w:eastAsia="宋体" w:cs="宋体"/>
          <w:bCs/>
          <w:color w:val="auto"/>
          <w:kern w:val="0"/>
          <w:szCs w:val="21"/>
          <w:highlight w:val="none"/>
        </w:rPr>
        <w:t>我单位</w:t>
      </w:r>
      <w:r>
        <w:rPr>
          <w:rFonts w:hint="eastAsia" w:ascii="宋体" w:hAnsi="宋体" w:eastAsia="宋体" w:cs="宋体"/>
          <w:color w:val="auto"/>
          <w:kern w:val="0"/>
          <w:szCs w:val="21"/>
          <w:highlight w:val="none"/>
        </w:rPr>
        <w:t>或者其法定代表人、董事、监事、高级管理人员因经营活动中的违法行为受到行</w:t>
      </w:r>
      <w:r>
        <w:rPr>
          <w:rFonts w:hint="eastAsia" w:ascii="宋体" w:hAnsi="宋体" w:eastAsia="宋体" w:cs="宋体"/>
          <w:color w:val="auto"/>
          <w:kern w:val="0"/>
          <w:szCs w:val="21"/>
          <w:highlight w:val="none"/>
          <w:lang w:val="en-US" w:eastAsia="zh-CN"/>
        </w:rPr>
        <w:t>较大数额或以上的罚款</w:t>
      </w:r>
      <w:r>
        <w:rPr>
          <w:rFonts w:hint="eastAsia" w:ascii="宋体" w:hAnsi="宋体" w:eastAsia="宋体" w:cs="宋体"/>
          <w:color w:val="auto"/>
          <w:kern w:val="0"/>
          <w:szCs w:val="21"/>
          <w:highlight w:val="none"/>
        </w:rPr>
        <w:t>；</w:t>
      </w:r>
    </w:p>
    <w:p w14:paraId="5199F3C5">
      <w:pPr>
        <w:widowControl/>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w:t>
      </w:r>
      <w:r>
        <w:rPr>
          <w:rFonts w:hint="eastAsia" w:ascii="宋体" w:hAnsi="宋体" w:eastAsia="宋体" w:cs="宋体"/>
          <w:bCs/>
          <w:color w:val="auto"/>
          <w:kern w:val="0"/>
          <w:szCs w:val="21"/>
          <w:highlight w:val="none"/>
        </w:rPr>
        <w:t>我单位</w:t>
      </w:r>
      <w:r>
        <w:rPr>
          <w:rFonts w:hint="eastAsia" w:ascii="宋体" w:hAnsi="宋体" w:eastAsia="宋体" w:cs="宋体"/>
          <w:color w:val="auto"/>
          <w:kern w:val="0"/>
          <w:szCs w:val="21"/>
          <w:highlight w:val="none"/>
        </w:rPr>
        <w:t>或者其法定代表人、董事、监事、高级管理人员因经营活动中的违法行为受到刑事处罚。</w:t>
      </w:r>
    </w:p>
    <w:p w14:paraId="4B0AFDDF">
      <w:pPr>
        <w:widowControl/>
        <w:adjustRightInd w:val="0"/>
        <w:snapToGrid w:val="0"/>
        <w:spacing w:before="156" w:beforeLines="50" w:line="360" w:lineRule="auto"/>
        <w:ind w:firstLine="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特此声明！</w:t>
      </w:r>
    </w:p>
    <w:p w14:paraId="068F53B7">
      <w:pPr>
        <w:widowControl/>
        <w:adjustRightInd w:val="0"/>
        <w:snapToGrid w:val="0"/>
        <w:spacing w:before="156" w:beforeLines="50" w:line="360" w:lineRule="auto"/>
        <w:ind w:firstLine="420"/>
        <w:rPr>
          <w:rFonts w:hint="eastAsia" w:ascii="宋体" w:hAnsi="宋体" w:eastAsia="宋体" w:cs="宋体"/>
          <w:color w:val="auto"/>
          <w:kern w:val="0"/>
          <w:szCs w:val="21"/>
          <w:highlight w:val="none"/>
        </w:rPr>
      </w:pPr>
    </w:p>
    <w:p w14:paraId="7C6D34FA">
      <w:pPr>
        <w:widowControl/>
        <w:adjustRightInd w:val="0"/>
        <w:snapToGrid w:val="0"/>
        <w:spacing w:before="156" w:beforeLines="50" w:line="360" w:lineRule="auto"/>
        <w:ind w:firstLine="420"/>
        <w:rPr>
          <w:rFonts w:hint="eastAsia" w:ascii="宋体" w:hAnsi="宋体" w:eastAsia="宋体" w:cs="宋体"/>
          <w:color w:val="auto"/>
          <w:kern w:val="0"/>
          <w:szCs w:val="21"/>
          <w:highlight w:val="none"/>
        </w:rPr>
      </w:pPr>
    </w:p>
    <w:p w14:paraId="6F08AAB0">
      <w:pPr>
        <w:adjustRightInd w:val="0"/>
        <w:snapToGrid w:val="0"/>
        <w:spacing w:before="156" w:beforeLines="50"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供应商名称（单位章）：</w:t>
      </w:r>
      <w:r>
        <w:rPr>
          <w:rFonts w:hint="eastAsia" w:ascii="宋体" w:hAnsi="宋体" w:eastAsia="宋体" w:cs="宋体"/>
          <w:color w:val="auto"/>
          <w:kern w:val="0"/>
          <w:szCs w:val="21"/>
          <w:highlight w:val="none"/>
          <w:u w:val="single"/>
        </w:rPr>
        <w:t xml:space="preserve">            </w:t>
      </w:r>
    </w:p>
    <w:p w14:paraId="197A04B0">
      <w:pPr>
        <w:adjustRightInd w:val="0"/>
        <w:snapToGrid w:val="0"/>
        <w:spacing w:before="156" w:beforeLines="50" w:line="360" w:lineRule="auto"/>
        <w:rPr>
          <w:rFonts w:hint="eastAsia" w:ascii="宋体" w:hAnsi="宋体" w:eastAsia="宋体" w:cs="宋体"/>
          <w:color w:val="auto"/>
          <w:kern w:val="0"/>
          <w:szCs w:val="21"/>
          <w:highlight w:val="none"/>
          <w:u w:val="single"/>
        </w:rPr>
      </w:pPr>
      <w:r>
        <w:rPr>
          <w:rFonts w:hint="eastAsia" w:ascii="宋体" w:hAnsi="宋体" w:eastAsia="宋体" w:cs="宋体"/>
          <w:color w:val="auto"/>
          <w:highlight w:val="none"/>
        </w:rPr>
        <w:t>法定代表人或其委托代理人(签字或印章)</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u w:val="single"/>
        </w:rPr>
        <w:t>          </w:t>
      </w:r>
    </w:p>
    <w:p w14:paraId="7D020A37">
      <w:pPr>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E133F7A">
      <w:pPr>
        <w:widowControl/>
        <w:spacing w:line="360" w:lineRule="auto"/>
        <w:jc w:val="center"/>
        <w:rPr>
          <w:rFonts w:hint="eastAsia" w:ascii="黑体" w:eastAsia="黑体"/>
          <w:color w:val="auto"/>
          <w:sz w:val="30"/>
          <w:szCs w:val="30"/>
        </w:rPr>
      </w:pPr>
    </w:p>
    <w:p w14:paraId="497A4A1C">
      <w:pPr>
        <w:widowControl/>
        <w:spacing w:line="360" w:lineRule="auto"/>
        <w:jc w:val="center"/>
        <w:rPr>
          <w:rFonts w:hint="eastAsia" w:ascii="黑体" w:eastAsia="黑体"/>
          <w:color w:val="auto"/>
          <w:sz w:val="30"/>
          <w:szCs w:val="30"/>
        </w:rPr>
      </w:pPr>
    </w:p>
    <w:p w14:paraId="6D277BDB">
      <w:pPr>
        <w:widowControl/>
        <w:spacing w:line="360" w:lineRule="auto"/>
        <w:jc w:val="center"/>
        <w:rPr>
          <w:rFonts w:hint="eastAsia" w:ascii="黑体" w:eastAsia="黑体"/>
          <w:color w:val="auto"/>
          <w:sz w:val="30"/>
          <w:szCs w:val="30"/>
        </w:rPr>
      </w:pPr>
    </w:p>
    <w:p w14:paraId="341A55DD">
      <w:pPr>
        <w:widowControl/>
        <w:spacing w:line="360" w:lineRule="auto"/>
        <w:jc w:val="center"/>
        <w:rPr>
          <w:rFonts w:hint="eastAsia" w:ascii="黑体" w:eastAsia="黑体"/>
          <w:color w:val="auto"/>
          <w:sz w:val="30"/>
          <w:szCs w:val="30"/>
        </w:rPr>
      </w:pPr>
    </w:p>
    <w:p w14:paraId="2439819D">
      <w:pPr>
        <w:widowControl/>
        <w:spacing w:line="360" w:lineRule="auto"/>
        <w:jc w:val="center"/>
        <w:rPr>
          <w:rFonts w:hint="eastAsia" w:ascii="黑体" w:eastAsia="黑体"/>
          <w:color w:val="auto"/>
          <w:sz w:val="30"/>
          <w:szCs w:val="30"/>
        </w:rPr>
      </w:pPr>
    </w:p>
    <w:p w14:paraId="2787B65A">
      <w:pPr>
        <w:widowControl/>
        <w:spacing w:line="360" w:lineRule="auto"/>
        <w:jc w:val="center"/>
        <w:rPr>
          <w:rFonts w:hint="eastAsia" w:ascii="黑体" w:eastAsia="黑体"/>
          <w:color w:val="auto"/>
          <w:sz w:val="30"/>
          <w:szCs w:val="30"/>
        </w:rPr>
      </w:pPr>
    </w:p>
    <w:p w14:paraId="790D7EB7">
      <w:pPr>
        <w:widowControl/>
        <w:spacing w:line="360" w:lineRule="auto"/>
        <w:jc w:val="center"/>
        <w:rPr>
          <w:rFonts w:hint="eastAsia" w:ascii="黑体" w:eastAsia="黑体"/>
          <w:color w:val="auto"/>
          <w:sz w:val="30"/>
          <w:szCs w:val="30"/>
        </w:rPr>
      </w:pPr>
    </w:p>
    <w:bookmarkEnd w:id="89"/>
    <w:p w14:paraId="16A6E0A9">
      <w:pPr>
        <w:pStyle w:val="4"/>
        <w:jc w:val="center"/>
        <w:rPr>
          <w:rFonts w:hint="eastAsia" w:ascii="黑体" w:eastAsia="黑体"/>
          <w:color w:val="auto"/>
          <w:sz w:val="30"/>
          <w:szCs w:val="30"/>
        </w:rPr>
      </w:pPr>
      <w:r>
        <w:rPr>
          <w:rFonts w:hint="eastAsia" w:ascii="黑体" w:eastAsia="黑体"/>
          <w:color w:val="auto"/>
          <w:sz w:val="30"/>
          <w:szCs w:val="30"/>
          <w:lang w:eastAsia="zh-CN"/>
        </w:rPr>
        <w:t>四、</w:t>
      </w:r>
      <w:r>
        <w:rPr>
          <w:rFonts w:hint="eastAsia" w:ascii="宋体" w:hAnsi="宋体" w:eastAsia="宋体" w:cs="宋体"/>
          <w:color w:val="auto"/>
          <w:sz w:val="32"/>
          <w:highlight w:val="none"/>
        </w:rPr>
        <w:t>货物或服务方案说明</w:t>
      </w:r>
    </w:p>
    <w:p w14:paraId="49354763">
      <w:pPr>
        <w:pStyle w:val="4"/>
        <w:rPr>
          <w:rFonts w:hint="eastAsia" w:ascii="宋体" w:hAnsi="宋体" w:eastAsia="宋体" w:cs="宋体"/>
          <w:b/>
          <w:color w:val="auto"/>
          <w:sz w:val="32"/>
          <w:szCs w:val="32"/>
          <w:highlight w:val="none"/>
        </w:rPr>
      </w:pPr>
      <w:r>
        <w:rPr>
          <w:rFonts w:hint="eastAsia" w:ascii="宋体" w:hAnsi="宋体" w:eastAsia="宋体" w:cs="宋体"/>
          <w:color w:val="auto"/>
          <w:highlight w:val="none"/>
        </w:rPr>
        <w:t>附件5</w:t>
      </w:r>
      <w:r>
        <w:rPr>
          <w:rFonts w:hint="eastAsia" w:ascii="宋体" w:hAnsi="宋体" w:eastAsia="宋体" w:cs="宋体"/>
          <w:color w:val="auto"/>
          <w:highlight w:val="none"/>
          <w:lang w:val="en-US" w:eastAsia="zh-CN"/>
        </w:rPr>
        <w:t xml:space="preserve"> </w:t>
      </w:r>
      <w:r>
        <w:rPr>
          <w:rFonts w:hint="eastAsia" w:ascii="宋体" w:hAnsi="宋体" w:eastAsia="宋体" w:cs="宋体"/>
          <w:b/>
          <w:color w:val="auto"/>
          <w:sz w:val="32"/>
          <w:szCs w:val="32"/>
          <w:highlight w:val="none"/>
        </w:rPr>
        <w:t>货物或服务方案说明</w:t>
      </w:r>
    </w:p>
    <w:p w14:paraId="47F57561">
      <w:pPr>
        <w:adjustRightInd w:val="0"/>
        <w:snapToGrid w:val="0"/>
        <w:spacing w:line="360" w:lineRule="auto"/>
        <w:rPr>
          <w:rFonts w:hint="eastAsia" w:ascii="宋体" w:hAnsi="宋体" w:eastAsia="宋体" w:cs="宋体"/>
          <w:color w:val="auto"/>
          <w:szCs w:val="21"/>
          <w:highlight w:val="none"/>
        </w:rPr>
      </w:pPr>
    </w:p>
    <w:p w14:paraId="22C7A57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供应商应根据第四章规定，结合评审标准，编写方案。格式自拟。</w:t>
      </w:r>
    </w:p>
    <w:p w14:paraId="50E7B658">
      <w:pPr>
        <w:spacing w:line="360" w:lineRule="auto"/>
        <w:rPr>
          <w:rFonts w:hint="eastAsia" w:ascii="宋体" w:hAnsi="宋体"/>
          <w:color w:val="auto"/>
          <w:szCs w:val="21"/>
        </w:rPr>
      </w:pPr>
    </w:p>
    <w:p w14:paraId="3278BC44">
      <w:pPr>
        <w:spacing w:line="360" w:lineRule="auto"/>
        <w:rPr>
          <w:rFonts w:hint="eastAsia" w:ascii="宋体" w:hAnsi="宋体"/>
          <w:color w:val="auto"/>
          <w:szCs w:val="21"/>
        </w:rPr>
      </w:pPr>
    </w:p>
    <w:p w14:paraId="48CC4804">
      <w:pPr>
        <w:spacing w:line="360" w:lineRule="auto"/>
        <w:rPr>
          <w:rFonts w:hint="eastAsia" w:ascii="黑体" w:eastAsia="黑体"/>
          <w:color w:val="auto"/>
          <w:sz w:val="30"/>
          <w:szCs w:val="30"/>
        </w:rPr>
      </w:pPr>
    </w:p>
    <w:p w14:paraId="11259019">
      <w:pPr>
        <w:spacing w:line="360" w:lineRule="auto"/>
        <w:rPr>
          <w:rFonts w:hint="eastAsia" w:ascii="黑体" w:eastAsia="黑体"/>
          <w:color w:val="auto"/>
          <w:sz w:val="30"/>
          <w:szCs w:val="30"/>
        </w:rPr>
      </w:pPr>
    </w:p>
    <w:p w14:paraId="0438BC5C">
      <w:pPr>
        <w:spacing w:line="360" w:lineRule="auto"/>
        <w:rPr>
          <w:rFonts w:hint="eastAsia" w:ascii="黑体" w:eastAsia="黑体"/>
          <w:color w:val="auto"/>
          <w:sz w:val="30"/>
          <w:szCs w:val="30"/>
        </w:rPr>
      </w:pPr>
    </w:p>
    <w:p w14:paraId="26448D53">
      <w:pPr>
        <w:spacing w:line="360" w:lineRule="auto"/>
        <w:rPr>
          <w:rFonts w:hint="eastAsia" w:ascii="黑体" w:eastAsia="黑体"/>
          <w:color w:val="auto"/>
          <w:sz w:val="30"/>
          <w:szCs w:val="30"/>
        </w:rPr>
      </w:pPr>
    </w:p>
    <w:p w14:paraId="3EF2020D">
      <w:pPr>
        <w:spacing w:line="360" w:lineRule="auto"/>
        <w:rPr>
          <w:rFonts w:hint="eastAsia" w:ascii="黑体" w:eastAsia="黑体"/>
          <w:color w:val="auto"/>
          <w:sz w:val="30"/>
          <w:szCs w:val="30"/>
        </w:rPr>
      </w:pPr>
    </w:p>
    <w:p w14:paraId="455F2B9A">
      <w:pPr>
        <w:spacing w:line="360" w:lineRule="auto"/>
        <w:rPr>
          <w:rFonts w:hint="eastAsia" w:ascii="黑体" w:eastAsia="黑体"/>
          <w:color w:val="auto"/>
          <w:sz w:val="30"/>
          <w:szCs w:val="30"/>
        </w:rPr>
      </w:pPr>
    </w:p>
    <w:p w14:paraId="2FF56FB4">
      <w:pPr>
        <w:spacing w:line="360" w:lineRule="auto"/>
        <w:rPr>
          <w:rFonts w:hint="eastAsia" w:ascii="黑体" w:eastAsia="黑体"/>
          <w:color w:val="auto"/>
          <w:sz w:val="30"/>
          <w:szCs w:val="30"/>
        </w:rPr>
      </w:pPr>
    </w:p>
    <w:p w14:paraId="2520FADB">
      <w:pPr>
        <w:spacing w:line="360" w:lineRule="auto"/>
        <w:rPr>
          <w:rFonts w:hint="eastAsia" w:ascii="黑体" w:eastAsia="黑体"/>
          <w:color w:val="auto"/>
          <w:sz w:val="30"/>
          <w:szCs w:val="30"/>
        </w:rPr>
      </w:pPr>
    </w:p>
    <w:p w14:paraId="69E7B671">
      <w:pPr>
        <w:spacing w:line="360" w:lineRule="auto"/>
        <w:rPr>
          <w:rFonts w:hint="eastAsia" w:ascii="黑体" w:eastAsia="黑体"/>
          <w:color w:val="auto"/>
          <w:sz w:val="30"/>
          <w:szCs w:val="30"/>
        </w:rPr>
      </w:pPr>
    </w:p>
    <w:p w14:paraId="169F32CD">
      <w:pPr>
        <w:spacing w:line="360" w:lineRule="auto"/>
        <w:rPr>
          <w:rFonts w:hint="eastAsia" w:ascii="黑体" w:eastAsia="黑体"/>
          <w:color w:val="auto"/>
          <w:sz w:val="30"/>
          <w:szCs w:val="30"/>
        </w:rPr>
      </w:pPr>
    </w:p>
    <w:p w14:paraId="59659E4F">
      <w:pPr>
        <w:spacing w:line="360" w:lineRule="auto"/>
        <w:rPr>
          <w:rFonts w:hint="eastAsia" w:ascii="黑体" w:eastAsia="黑体"/>
          <w:color w:val="auto"/>
          <w:sz w:val="30"/>
          <w:szCs w:val="30"/>
        </w:rPr>
      </w:pPr>
    </w:p>
    <w:p w14:paraId="6663CED5">
      <w:pPr>
        <w:spacing w:line="360" w:lineRule="auto"/>
        <w:rPr>
          <w:rFonts w:hint="eastAsia" w:ascii="黑体" w:eastAsia="黑体"/>
          <w:color w:val="auto"/>
          <w:sz w:val="30"/>
          <w:szCs w:val="30"/>
        </w:rPr>
      </w:pPr>
    </w:p>
    <w:p w14:paraId="6A07F89B">
      <w:pPr>
        <w:spacing w:line="360" w:lineRule="auto"/>
        <w:rPr>
          <w:rFonts w:hint="eastAsia" w:ascii="黑体" w:eastAsia="黑体"/>
          <w:color w:val="auto"/>
          <w:sz w:val="30"/>
          <w:szCs w:val="30"/>
        </w:rPr>
      </w:pPr>
    </w:p>
    <w:p w14:paraId="47DEEFC2">
      <w:pPr>
        <w:spacing w:line="360" w:lineRule="auto"/>
        <w:rPr>
          <w:rFonts w:hint="eastAsia" w:ascii="黑体" w:eastAsia="黑体"/>
          <w:color w:val="auto"/>
          <w:sz w:val="30"/>
          <w:szCs w:val="30"/>
        </w:rPr>
      </w:pPr>
    </w:p>
    <w:p w14:paraId="004F66A1">
      <w:pPr>
        <w:spacing w:line="360" w:lineRule="auto"/>
        <w:rPr>
          <w:rFonts w:hint="eastAsia" w:ascii="黑体" w:eastAsia="黑体"/>
          <w:color w:val="auto"/>
          <w:sz w:val="30"/>
          <w:szCs w:val="30"/>
        </w:rPr>
      </w:pPr>
    </w:p>
    <w:p w14:paraId="5C1BF98C">
      <w:pPr>
        <w:adjustRightInd w:val="0"/>
        <w:snapToGrid w:val="0"/>
        <w:spacing w:line="360" w:lineRule="auto"/>
        <w:rPr>
          <w:rFonts w:hint="eastAsia" w:ascii="黑体" w:eastAsia="黑体"/>
          <w:color w:val="auto"/>
          <w:sz w:val="30"/>
          <w:szCs w:val="30"/>
        </w:rPr>
      </w:pPr>
    </w:p>
    <w:p w14:paraId="1A01DC89">
      <w:pPr>
        <w:pStyle w:val="4"/>
        <w:bidi w:val="0"/>
        <w:rPr>
          <w:rFonts w:hint="eastAsia"/>
        </w:rPr>
      </w:pPr>
      <w:r>
        <w:rPr>
          <w:rFonts w:hint="eastAsia"/>
        </w:rPr>
        <w:t>附件</w:t>
      </w:r>
      <w:r>
        <w:rPr>
          <w:rFonts w:hint="eastAsia"/>
          <w:lang w:val="en-US" w:eastAsia="zh-CN"/>
        </w:rPr>
        <w:t xml:space="preserve">6 </w:t>
      </w:r>
      <w:r>
        <w:rPr>
          <w:rFonts w:hint="eastAsia"/>
        </w:rPr>
        <w:t>其他证明资料或说明</w:t>
      </w:r>
    </w:p>
    <w:p w14:paraId="7E863A48">
      <w:pPr>
        <w:adjustRightInd w:val="0"/>
        <w:snapToGrid w:val="0"/>
        <w:spacing w:line="360" w:lineRule="auto"/>
        <w:rPr>
          <w:rFonts w:hint="eastAsia" w:ascii="黑体" w:eastAsia="黑体"/>
          <w:color w:val="auto"/>
          <w:szCs w:val="21"/>
        </w:rPr>
      </w:pPr>
    </w:p>
    <w:p w14:paraId="7AE8D874">
      <w:pPr>
        <w:adjustRightInd w:val="0"/>
        <w:snapToGrid w:val="0"/>
        <w:spacing w:line="360" w:lineRule="auto"/>
        <w:rPr>
          <w:rFonts w:hint="eastAsia" w:ascii="宋体" w:hAnsi="宋体"/>
          <w:color w:val="auto"/>
          <w:szCs w:val="21"/>
        </w:rPr>
      </w:pPr>
      <w:r>
        <w:rPr>
          <w:rFonts w:hint="eastAsia" w:ascii="宋体" w:hAnsi="宋体"/>
          <w:color w:val="auto"/>
          <w:szCs w:val="21"/>
        </w:rPr>
        <w:t>备注：提供磋商文件或评分标准需要提供的相关证明文件复印件。</w:t>
      </w:r>
    </w:p>
    <w:p w14:paraId="766C356E">
      <w:pPr>
        <w:adjustRightInd w:val="0"/>
        <w:snapToGrid w:val="0"/>
        <w:spacing w:line="360" w:lineRule="auto"/>
        <w:jc w:val="center"/>
        <w:rPr>
          <w:rFonts w:hint="eastAsia" w:ascii="黑体" w:eastAsia="黑体"/>
          <w:b/>
          <w:color w:val="auto"/>
          <w:sz w:val="32"/>
          <w:szCs w:val="32"/>
        </w:rPr>
      </w:pPr>
    </w:p>
    <w:p w14:paraId="77A193F9">
      <w:pPr>
        <w:adjustRightInd w:val="0"/>
        <w:snapToGrid w:val="0"/>
        <w:spacing w:line="360" w:lineRule="auto"/>
        <w:jc w:val="center"/>
        <w:rPr>
          <w:rFonts w:hint="eastAsia" w:ascii="黑体" w:eastAsia="黑体"/>
          <w:b/>
          <w:color w:val="auto"/>
          <w:sz w:val="32"/>
          <w:szCs w:val="32"/>
        </w:rPr>
      </w:pPr>
    </w:p>
    <w:p w14:paraId="615A6D3D">
      <w:pPr>
        <w:adjustRightInd w:val="0"/>
        <w:snapToGrid w:val="0"/>
        <w:spacing w:line="360" w:lineRule="auto"/>
        <w:jc w:val="center"/>
        <w:rPr>
          <w:rFonts w:hint="eastAsia" w:ascii="黑体" w:eastAsia="黑体"/>
          <w:b/>
          <w:color w:val="auto"/>
          <w:sz w:val="32"/>
          <w:szCs w:val="32"/>
        </w:rPr>
      </w:pPr>
    </w:p>
    <w:p w14:paraId="26CDC00B">
      <w:pPr>
        <w:adjustRightInd w:val="0"/>
        <w:snapToGrid w:val="0"/>
        <w:spacing w:line="360" w:lineRule="auto"/>
        <w:jc w:val="center"/>
        <w:rPr>
          <w:rFonts w:hint="eastAsia" w:ascii="黑体" w:eastAsia="黑体"/>
          <w:b/>
          <w:color w:val="auto"/>
          <w:sz w:val="32"/>
          <w:szCs w:val="32"/>
        </w:rPr>
      </w:pPr>
    </w:p>
    <w:p w14:paraId="1222E077">
      <w:pPr>
        <w:adjustRightInd w:val="0"/>
        <w:snapToGrid w:val="0"/>
        <w:spacing w:line="360" w:lineRule="auto"/>
        <w:jc w:val="center"/>
        <w:rPr>
          <w:rFonts w:hint="eastAsia" w:ascii="黑体" w:eastAsia="黑体"/>
          <w:b/>
          <w:color w:val="auto"/>
          <w:sz w:val="32"/>
          <w:szCs w:val="32"/>
        </w:rPr>
      </w:pPr>
    </w:p>
    <w:p w14:paraId="32701C11">
      <w:pPr>
        <w:adjustRightInd w:val="0"/>
        <w:snapToGrid w:val="0"/>
        <w:spacing w:line="360" w:lineRule="auto"/>
        <w:jc w:val="center"/>
        <w:rPr>
          <w:rFonts w:hint="eastAsia" w:ascii="黑体" w:eastAsia="黑体"/>
          <w:b/>
          <w:color w:val="auto"/>
          <w:sz w:val="32"/>
          <w:szCs w:val="32"/>
        </w:rPr>
      </w:pPr>
    </w:p>
    <w:p w14:paraId="5C9846E5">
      <w:pPr>
        <w:adjustRightInd w:val="0"/>
        <w:snapToGrid w:val="0"/>
        <w:spacing w:line="360" w:lineRule="auto"/>
        <w:jc w:val="center"/>
        <w:rPr>
          <w:rFonts w:hint="eastAsia" w:ascii="黑体" w:eastAsia="黑体"/>
          <w:b/>
          <w:color w:val="auto"/>
          <w:sz w:val="32"/>
          <w:szCs w:val="32"/>
        </w:rPr>
      </w:pPr>
    </w:p>
    <w:p w14:paraId="6B992B6F">
      <w:pPr>
        <w:adjustRightInd w:val="0"/>
        <w:snapToGrid w:val="0"/>
        <w:spacing w:line="360" w:lineRule="auto"/>
        <w:jc w:val="center"/>
        <w:rPr>
          <w:rFonts w:hint="eastAsia" w:ascii="黑体" w:eastAsia="黑体"/>
          <w:b/>
          <w:color w:val="auto"/>
          <w:sz w:val="32"/>
          <w:szCs w:val="32"/>
        </w:rPr>
      </w:pPr>
    </w:p>
    <w:p w14:paraId="5ADB740A">
      <w:pPr>
        <w:adjustRightInd w:val="0"/>
        <w:snapToGrid w:val="0"/>
        <w:spacing w:line="360" w:lineRule="auto"/>
        <w:jc w:val="center"/>
        <w:rPr>
          <w:rFonts w:hint="eastAsia" w:ascii="黑体" w:eastAsia="黑体"/>
          <w:b/>
          <w:color w:val="auto"/>
          <w:sz w:val="32"/>
          <w:szCs w:val="32"/>
        </w:rPr>
      </w:pPr>
    </w:p>
    <w:p w14:paraId="15F30FC5">
      <w:pPr>
        <w:adjustRightInd w:val="0"/>
        <w:snapToGrid w:val="0"/>
        <w:spacing w:line="360" w:lineRule="auto"/>
        <w:jc w:val="center"/>
        <w:rPr>
          <w:rFonts w:hint="eastAsia" w:ascii="黑体" w:eastAsia="黑体"/>
          <w:b/>
          <w:color w:val="auto"/>
          <w:sz w:val="32"/>
          <w:szCs w:val="32"/>
        </w:rPr>
      </w:pPr>
    </w:p>
    <w:p w14:paraId="22F2D443">
      <w:pPr>
        <w:adjustRightInd w:val="0"/>
        <w:snapToGrid w:val="0"/>
        <w:spacing w:line="360" w:lineRule="auto"/>
        <w:jc w:val="center"/>
        <w:rPr>
          <w:rFonts w:hint="eastAsia" w:ascii="黑体" w:eastAsia="黑体"/>
          <w:b/>
          <w:color w:val="auto"/>
          <w:sz w:val="32"/>
          <w:szCs w:val="32"/>
        </w:rPr>
      </w:pPr>
    </w:p>
    <w:p w14:paraId="40980A2F">
      <w:pPr>
        <w:adjustRightInd w:val="0"/>
        <w:snapToGrid w:val="0"/>
        <w:spacing w:line="360" w:lineRule="auto"/>
        <w:jc w:val="center"/>
        <w:rPr>
          <w:rFonts w:hint="eastAsia" w:ascii="黑体" w:eastAsia="黑体"/>
          <w:b/>
          <w:color w:val="auto"/>
          <w:sz w:val="32"/>
          <w:szCs w:val="32"/>
        </w:rPr>
      </w:pPr>
    </w:p>
    <w:p w14:paraId="42E31DB2">
      <w:pPr>
        <w:adjustRightInd w:val="0"/>
        <w:snapToGrid w:val="0"/>
        <w:spacing w:line="360" w:lineRule="auto"/>
        <w:jc w:val="center"/>
        <w:rPr>
          <w:rFonts w:hint="eastAsia" w:ascii="黑体" w:eastAsia="黑体"/>
          <w:b/>
          <w:color w:val="auto"/>
          <w:sz w:val="32"/>
          <w:szCs w:val="32"/>
        </w:rPr>
      </w:pPr>
    </w:p>
    <w:p w14:paraId="3A174008">
      <w:pPr>
        <w:adjustRightInd w:val="0"/>
        <w:snapToGrid w:val="0"/>
        <w:spacing w:line="360" w:lineRule="auto"/>
        <w:jc w:val="center"/>
        <w:rPr>
          <w:rFonts w:hint="eastAsia" w:ascii="黑体" w:eastAsia="黑体"/>
          <w:b/>
          <w:color w:val="auto"/>
          <w:sz w:val="32"/>
          <w:szCs w:val="32"/>
        </w:rPr>
      </w:pPr>
    </w:p>
    <w:p w14:paraId="05B0B5A7">
      <w:pPr>
        <w:adjustRightInd w:val="0"/>
        <w:snapToGrid w:val="0"/>
        <w:spacing w:line="360" w:lineRule="auto"/>
        <w:jc w:val="center"/>
        <w:rPr>
          <w:rFonts w:hint="eastAsia" w:ascii="黑体" w:eastAsia="黑体"/>
          <w:b/>
          <w:color w:val="auto"/>
          <w:sz w:val="32"/>
          <w:szCs w:val="32"/>
        </w:rPr>
      </w:pPr>
    </w:p>
    <w:p w14:paraId="6AD01846">
      <w:pPr>
        <w:adjustRightInd w:val="0"/>
        <w:snapToGrid w:val="0"/>
        <w:spacing w:line="360" w:lineRule="auto"/>
        <w:jc w:val="center"/>
        <w:rPr>
          <w:rFonts w:hint="eastAsia" w:ascii="黑体" w:eastAsia="黑体"/>
          <w:b/>
          <w:color w:val="auto"/>
          <w:sz w:val="32"/>
          <w:szCs w:val="32"/>
        </w:rPr>
      </w:pPr>
    </w:p>
    <w:p w14:paraId="6815D397">
      <w:pPr>
        <w:adjustRightInd w:val="0"/>
        <w:snapToGrid w:val="0"/>
        <w:spacing w:line="360" w:lineRule="auto"/>
        <w:jc w:val="center"/>
        <w:rPr>
          <w:rFonts w:hint="eastAsia" w:ascii="黑体" w:eastAsia="黑体"/>
          <w:b/>
          <w:color w:val="auto"/>
          <w:sz w:val="32"/>
          <w:szCs w:val="32"/>
        </w:rPr>
      </w:pPr>
    </w:p>
    <w:p w14:paraId="7E6FDF23">
      <w:pPr>
        <w:adjustRightInd w:val="0"/>
        <w:snapToGrid w:val="0"/>
        <w:spacing w:line="360" w:lineRule="auto"/>
        <w:jc w:val="center"/>
        <w:rPr>
          <w:rFonts w:hint="eastAsia" w:ascii="黑体" w:eastAsia="黑体"/>
          <w:b/>
          <w:color w:val="auto"/>
          <w:sz w:val="32"/>
          <w:szCs w:val="32"/>
        </w:rPr>
      </w:pPr>
    </w:p>
    <w:p w14:paraId="0733F5EF">
      <w:pPr>
        <w:adjustRightInd w:val="0"/>
        <w:snapToGrid w:val="0"/>
        <w:spacing w:line="360" w:lineRule="auto"/>
        <w:ind w:right="23" w:rightChars="11"/>
        <w:rPr>
          <w:rFonts w:hint="eastAsia" w:ascii="黑体" w:eastAsia="黑体"/>
          <w:color w:val="auto"/>
          <w:sz w:val="30"/>
          <w:szCs w:val="30"/>
        </w:rPr>
      </w:pPr>
    </w:p>
    <w:p w14:paraId="29B6D48E">
      <w:pPr>
        <w:pStyle w:val="4"/>
        <w:bidi w:val="0"/>
        <w:rPr>
          <w:rFonts w:hint="eastAsia"/>
        </w:rPr>
      </w:pPr>
      <w:r>
        <w:rPr>
          <w:rFonts w:hint="eastAsia"/>
        </w:rPr>
        <w:t>附件</w:t>
      </w:r>
      <w:r>
        <w:rPr>
          <w:rFonts w:hint="eastAsia"/>
          <w:lang w:val="en-US" w:eastAsia="zh-CN"/>
        </w:rPr>
        <w:t>7</w:t>
      </w:r>
      <w:r>
        <w:rPr>
          <w:rFonts w:hint="eastAsia"/>
        </w:rPr>
        <w:t>：主要人员简历表</w:t>
      </w:r>
    </w:p>
    <w:p w14:paraId="2A7814E9">
      <w:pPr>
        <w:spacing w:line="360" w:lineRule="auto"/>
        <w:ind w:right="23" w:rightChars="11"/>
        <w:jc w:val="center"/>
        <w:rPr>
          <w:rFonts w:hint="eastAsia" w:ascii="宋体"/>
          <w:b/>
          <w:bCs/>
          <w:color w:val="auto"/>
          <w:sz w:val="32"/>
          <w:szCs w:val="32"/>
        </w:rPr>
      </w:pPr>
      <w:r>
        <w:rPr>
          <w:rFonts w:hint="eastAsia"/>
          <w:b/>
          <w:bCs/>
          <w:sz w:val="32"/>
          <w:szCs w:val="32"/>
        </w:rPr>
        <w:t>主要人员简历表</w:t>
      </w:r>
    </w:p>
    <w:tbl>
      <w:tblPr>
        <w:tblStyle w:val="20"/>
        <w:tblW w:w="4998"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374"/>
        <w:gridCol w:w="845"/>
        <w:gridCol w:w="2694"/>
        <w:gridCol w:w="431"/>
        <w:gridCol w:w="1532"/>
        <w:gridCol w:w="592"/>
        <w:gridCol w:w="1816"/>
      </w:tblGrid>
      <w:tr w14:paraId="3AC0A0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1195" w:type="pct"/>
            <w:gridSpan w:val="2"/>
            <w:noWrap w:val="0"/>
            <w:vAlign w:val="center"/>
          </w:tcPr>
          <w:p w14:paraId="0B7235CF">
            <w:pPr>
              <w:spacing w:line="360" w:lineRule="auto"/>
              <w:ind w:right="23" w:rightChars="11"/>
              <w:jc w:val="center"/>
              <w:rPr>
                <w:rFonts w:hint="eastAsia" w:ascii="宋体"/>
                <w:color w:val="auto"/>
              </w:rPr>
            </w:pPr>
            <w:r>
              <w:rPr>
                <w:rFonts w:hint="eastAsia" w:ascii="宋体"/>
                <w:color w:val="auto"/>
              </w:rPr>
              <w:t>姓</w:t>
            </w:r>
            <w:r>
              <w:rPr>
                <w:rFonts w:ascii="宋体"/>
                <w:color w:val="auto"/>
              </w:rPr>
              <w:t xml:space="preserve">   </w:t>
            </w:r>
            <w:r>
              <w:rPr>
                <w:rFonts w:hint="eastAsia" w:ascii="宋体"/>
                <w:color w:val="auto"/>
              </w:rPr>
              <w:t>名</w:t>
            </w:r>
          </w:p>
        </w:tc>
        <w:tc>
          <w:tcPr>
            <w:tcW w:w="1451" w:type="pct"/>
            <w:noWrap w:val="0"/>
            <w:vAlign w:val="center"/>
          </w:tcPr>
          <w:p w14:paraId="01C33F04">
            <w:pPr>
              <w:spacing w:line="360" w:lineRule="auto"/>
              <w:ind w:right="23" w:rightChars="11"/>
              <w:jc w:val="center"/>
              <w:rPr>
                <w:rFonts w:hint="eastAsia" w:ascii="宋体"/>
                <w:color w:val="auto"/>
              </w:rPr>
            </w:pPr>
          </w:p>
        </w:tc>
        <w:tc>
          <w:tcPr>
            <w:tcW w:w="1376" w:type="pct"/>
            <w:gridSpan w:val="3"/>
            <w:noWrap w:val="0"/>
            <w:vAlign w:val="center"/>
          </w:tcPr>
          <w:p w14:paraId="107A5195">
            <w:pPr>
              <w:spacing w:line="360" w:lineRule="auto"/>
              <w:ind w:right="23" w:rightChars="11"/>
              <w:jc w:val="center"/>
              <w:rPr>
                <w:rFonts w:hint="eastAsia" w:ascii="宋体"/>
                <w:color w:val="auto"/>
              </w:rPr>
            </w:pPr>
            <w:r>
              <w:rPr>
                <w:rFonts w:hint="eastAsia" w:ascii="宋体"/>
                <w:color w:val="auto"/>
              </w:rPr>
              <w:t>性</w:t>
            </w:r>
            <w:r>
              <w:rPr>
                <w:rFonts w:ascii="宋体"/>
                <w:color w:val="auto"/>
              </w:rPr>
              <w:t xml:space="preserve">  </w:t>
            </w:r>
            <w:r>
              <w:rPr>
                <w:rFonts w:hint="eastAsia" w:ascii="宋体"/>
                <w:color w:val="auto"/>
              </w:rPr>
              <w:t>别</w:t>
            </w:r>
          </w:p>
        </w:tc>
        <w:tc>
          <w:tcPr>
            <w:tcW w:w="977" w:type="pct"/>
            <w:noWrap w:val="0"/>
            <w:vAlign w:val="center"/>
          </w:tcPr>
          <w:p w14:paraId="61E40990">
            <w:pPr>
              <w:spacing w:line="360" w:lineRule="auto"/>
              <w:ind w:right="23" w:rightChars="11"/>
              <w:jc w:val="center"/>
              <w:rPr>
                <w:rFonts w:hint="eastAsia" w:ascii="宋体"/>
                <w:color w:val="auto"/>
              </w:rPr>
            </w:pPr>
          </w:p>
        </w:tc>
      </w:tr>
      <w:tr w14:paraId="1CE18E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1195" w:type="pct"/>
            <w:gridSpan w:val="2"/>
            <w:noWrap w:val="0"/>
            <w:vAlign w:val="center"/>
          </w:tcPr>
          <w:p w14:paraId="2DC6B27E">
            <w:pPr>
              <w:spacing w:line="360" w:lineRule="auto"/>
              <w:ind w:right="23" w:rightChars="11"/>
              <w:jc w:val="center"/>
              <w:rPr>
                <w:rFonts w:hint="eastAsia" w:ascii="宋体"/>
                <w:color w:val="auto"/>
              </w:rPr>
            </w:pPr>
            <w:r>
              <w:rPr>
                <w:rFonts w:hint="eastAsia" w:ascii="宋体"/>
                <w:color w:val="auto"/>
              </w:rPr>
              <w:t>职</w:t>
            </w:r>
            <w:r>
              <w:rPr>
                <w:rFonts w:ascii="宋体"/>
                <w:color w:val="auto"/>
              </w:rPr>
              <w:t xml:space="preserve">   </w:t>
            </w:r>
            <w:r>
              <w:rPr>
                <w:rFonts w:hint="eastAsia" w:ascii="宋体"/>
                <w:color w:val="auto"/>
              </w:rPr>
              <w:t>务</w:t>
            </w:r>
          </w:p>
        </w:tc>
        <w:tc>
          <w:tcPr>
            <w:tcW w:w="1451" w:type="pct"/>
            <w:noWrap w:val="0"/>
            <w:vAlign w:val="center"/>
          </w:tcPr>
          <w:p w14:paraId="0F0C38DA">
            <w:pPr>
              <w:spacing w:line="360" w:lineRule="auto"/>
              <w:ind w:right="23" w:rightChars="11"/>
              <w:jc w:val="center"/>
              <w:rPr>
                <w:rFonts w:hint="eastAsia" w:ascii="宋体"/>
                <w:color w:val="auto"/>
              </w:rPr>
            </w:pPr>
          </w:p>
        </w:tc>
        <w:tc>
          <w:tcPr>
            <w:tcW w:w="1376" w:type="pct"/>
            <w:gridSpan w:val="3"/>
            <w:noWrap w:val="0"/>
            <w:vAlign w:val="center"/>
          </w:tcPr>
          <w:p w14:paraId="3B4573C7">
            <w:pPr>
              <w:spacing w:line="360" w:lineRule="auto"/>
              <w:ind w:right="23" w:rightChars="11"/>
              <w:jc w:val="center"/>
              <w:rPr>
                <w:rFonts w:hint="eastAsia" w:ascii="宋体"/>
                <w:color w:val="auto"/>
              </w:rPr>
            </w:pPr>
            <w:r>
              <w:rPr>
                <w:rFonts w:hint="eastAsia" w:ascii="宋体"/>
                <w:color w:val="auto"/>
              </w:rPr>
              <w:t>职</w:t>
            </w:r>
            <w:r>
              <w:rPr>
                <w:rFonts w:ascii="宋体"/>
                <w:color w:val="auto"/>
              </w:rPr>
              <w:t xml:space="preserve">  </w:t>
            </w:r>
            <w:r>
              <w:rPr>
                <w:rFonts w:hint="eastAsia" w:ascii="宋体"/>
                <w:color w:val="auto"/>
              </w:rPr>
              <w:t>称</w:t>
            </w:r>
          </w:p>
        </w:tc>
        <w:tc>
          <w:tcPr>
            <w:tcW w:w="977" w:type="pct"/>
            <w:noWrap w:val="0"/>
            <w:vAlign w:val="center"/>
          </w:tcPr>
          <w:p w14:paraId="6DEF59BC">
            <w:pPr>
              <w:spacing w:line="360" w:lineRule="auto"/>
              <w:ind w:right="23" w:rightChars="11"/>
              <w:jc w:val="center"/>
              <w:rPr>
                <w:rFonts w:hint="eastAsia" w:ascii="宋体"/>
                <w:color w:val="auto"/>
              </w:rPr>
            </w:pPr>
          </w:p>
        </w:tc>
      </w:tr>
      <w:tr w14:paraId="456D9C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1195" w:type="pct"/>
            <w:gridSpan w:val="2"/>
            <w:noWrap w:val="0"/>
            <w:vAlign w:val="center"/>
          </w:tcPr>
          <w:p w14:paraId="7C1EFE2A">
            <w:pPr>
              <w:spacing w:line="360" w:lineRule="auto"/>
              <w:ind w:right="23" w:rightChars="11"/>
              <w:jc w:val="center"/>
              <w:rPr>
                <w:rFonts w:hint="eastAsia" w:ascii="宋体"/>
                <w:color w:val="auto"/>
              </w:rPr>
            </w:pPr>
            <w:r>
              <w:rPr>
                <w:rFonts w:hint="eastAsia" w:ascii="宋体"/>
                <w:color w:val="auto"/>
              </w:rPr>
              <w:t>毕业学校、专业</w:t>
            </w:r>
          </w:p>
        </w:tc>
        <w:tc>
          <w:tcPr>
            <w:tcW w:w="3804" w:type="pct"/>
            <w:gridSpan w:val="5"/>
            <w:noWrap w:val="0"/>
            <w:vAlign w:val="center"/>
          </w:tcPr>
          <w:p w14:paraId="65D2EC87">
            <w:pPr>
              <w:spacing w:line="360" w:lineRule="auto"/>
              <w:ind w:right="23" w:rightChars="11"/>
              <w:jc w:val="center"/>
              <w:rPr>
                <w:rFonts w:hint="eastAsia" w:ascii="宋体"/>
                <w:color w:val="auto"/>
              </w:rPr>
            </w:pPr>
          </w:p>
        </w:tc>
      </w:tr>
      <w:tr w14:paraId="68B156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1195" w:type="pct"/>
            <w:gridSpan w:val="2"/>
            <w:noWrap w:val="0"/>
            <w:vAlign w:val="center"/>
          </w:tcPr>
          <w:p w14:paraId="24D72DC1">
            <w:pPr>
              <w:spacing w:line="360" w:lineRule="auto"/>
              <w:ind w:right="23" w:rightChars="11"/>
              <w:jc w:val="center"/>
              <w:rPr>
                <w:rFonts w:hint="eastAsia" w:ascii="宋体"/>
                <w:color w:val="auto"/>
              </w:rPr>
            </w:pPr>
            <w:r>
              <w:rPr>
                <w:rFonts w:hint="eastAsia" w:ascii="宋体"/>
                <w:color w:val="auto"/>
              </w:rPr>
              <w:t>身份证号</w:t>
            </w:r>
          </w:p>
        </w:tc>
        <w:tc>
          <w:tcPr>
            <w:tcW w:w="1451" w:type="pct"/>
            <w:noWrap w:val="0"/>
            <w:vAlign w:val="center"/>
          </w:tcPr>
          <w:p w14:paraId="23CBCDFB">
            <w:pPr>
              <w:spacing w:line="360" w:lineRule="auto"/>
              <w:ind w:right="23" w:rightChars="11"/>
              <w:jc w:val="center"/>
              <w:rPr>
                <w:rFonts w:hint="eastAsia" w:ascii="宋体"/>
                <w:color w:val="auto"/>
              </w:rPr>
            </w:pPr>
          </w:p>
        </w:tc>
        <w:tc>
          <w:tcPr>
            <w:tcW w:w="1376" w:type="pct"/>
            <w:gridSpan w:val="3"/>
            <w:noWrap w:val="0"/>
            <w:vAlign w:val="center"/>
          </w:tcPr>
          <w:p w14:paraId="5F953978">
            <w:pPr>
              <w:spacing w:line="360" w:lineRule="auto"/>
              <w:ind w:right="23" w:rightChars="11"/>
              <w:jc w:val="center"/>
              <w:rPr>
                <w:rFonts w:hint="eastAsia" w:ascii="宋体"/>
                <w:color w:val="auto"/>
              </w:rPr>
            </w:pPr>
            <w:r>
              <w:rPr>
                <w:rFonts w:hint="eastAsia" w:ascii="宋体"/>
                <w:color w:val="auto"/>
              </w:rPr>
              <w:t>拟在本合同任职</w:t>
            </w:r>
          </w:p>
        </w:tc>
        <w:tc>
          <w:tcPr>
            <w:tcW w:w="977" w:type="pct"/>
            <w:noWrap w:val="0"/>
            <w:vAlign w:val="center"/>
          </w:tcPr>
          <w:p w14:paraId="2D059876">
            <w:pPr>
              <w:spacing w:line="360" w:lineRule="auto"/>
              <w:ind w:right="23" w:rightChars="11"/>
              <w:jc w:val="center"/>
              <w:rPr>
                <w:rFonts w:hint="eastAsia" w:ascii="宋体"/>
                <w:color w:val="auto"/>
              </w:rPr>
            </w:pPr>
          </w:p>
        </w:tc>
      </w:tr>
      <w:tr w14:paraId="32A727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1195" w:type="pct"/>
            <w:gridSpan w:val="2"/>
            <w:noWrap w:val="0"/>
            <w:vAlign w:val="center"/>
          </w:tcPr>
          <w:p w14:paraId="61C5370E">
            <w:pPr>
              <w:spacing w:line="360" w:lineRule="auto"/>
              <w:ind w:right="23" w:rightChars="11"/>
              <w:jc w:val="center"/>
              <w:rPr>
                <w:rFonts w:hint="eastAsia" w:ascii="宋体"/>
                <w:color w:val="auto"/>
              </w:rPr>
            </w:pPr>
            <w:r>
              <w:rPr>
                <w:rFonts w:hint="eastAsia" w:ascii="宋体"/>
                <w:color w:val="auto"/>
              </w:rPr>
              <w:t>执业资格证</w:t>
            </w:r>
          </w:p>
        </w:tc>
        <w:tc>
          <w:tcPr>
            <w:tcW w:w="1451" w:type="pct"/>
            <w:noWrap w:val="0"/>
            <w:vAlign w:val="center"/>
          </w:tcPr>
          <w:p w14:paraId="69ABF0C2">
            <w:pPr>
              <w:spacing w:line="360" w:lineRule="auto"/>
              <w:ind w:right="23" w:rightChars="11"/>
              <w:jc w:val="center"/>
              <w:rPr>
                <w:rFonts w:hint="eastAsia" w:ascii="宋体"/>
                <w:color w:val="auto"/>
              </w:rPr>
            </w:pPr>
          </w:p>
        </w:tc>
        <w:tc>
          <w:tcPr>
            <w:tcW w:w="1376" w:type="pct"/>
            <w:gridSpan w:val="3"/>
            <w:noWrap w:val="0"/>
            <w:vAlign w:val="center"/>
          </w:tcPr>
          <w:p w14:paraId="051DDCA1">
            <w:pPr>
              <w:spacing w:line="360" w:lineRule="auto"/>
              <w:ind w:right="23" w:rightChars="11"/>
              <w:jc w:val="center"/>
              <w:rPr>
                <w:rFonts w:hint="eastAsia" w:ascii="宋体"/>
                <w:color w:val="auto"/>
              </w:rPr>
            </w:pPr>
            <w:r>
              <w:rPr>
                <w:rFonts w:hint="eastAsia" w:ascii="宋体"/>
                <w:color w:val="auto"/>
              </w:rPr>
              <w:t>执业资格证书号</w:t>
            </w:r>
          </w:p>
        </w:tc>
        <w:tc>
          <w:tcPr>
            <w:tcW w:w="977" w:type="pct"/>
            <w:noWrap w:val="0"/>
            <w:vAlign w:val="center"/>
          </w:tcPr>
          <w:p w14:paraId="790403E8">
            <w:pPr>
              <w:spacing w:line="360" w:lineRule="auto"/>
              <w:ind w:right="23" w:rightChars="11"/>
              <w:jc w:val="center"/>
              <w:rPr>
                <w:rFonts w:hint="eastAsia" w:ascii="宋体"/>
                <w:color w:val="auto"/>
              </w:rPr>
            </w:pPr>
          </w:p>
        </w:tc>
      </w:tr>
      <w:tr w14:paraId="6D994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5000" w:type="pct"/>
            <w:gridSpan w:val="7"/>
            <w:noWrap w:val="0"/>
            <w:vAlign w:val="center"/>
          </w:tcPr>
          <w:p w14:paraId="20E48745">
            <w:pPr>
              <w:spacing w:line="360" w:lineRule="auto"/>
              <w:ind w:right="23" w:rightChars="11"/>
              <w:rPr>
                <w:rFonts w:hint="eastAsia" w:ascii="宋体"/>
                <w:color w:val="auto"/>
              </w:rPr>
            </w:pPr>
            <w:r>
              <w:rPr>
                <w:rFonts w:hint="eastAsia" w:ascii="宋体"/>
                <w:color w:val="auto"/>
              </w:rPr>
              <w:t>近三年承担项目情况</w:t>
            </w:r>
          </w:p>
        </w:tc>
      </w:tr>
      <w:tr w14:paraId="7EB0A0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211C4F60">
            <w:pPr>
              <w:spacing w:line="360" w:lineRule="auto"/>
              <w:ind w:right="23" w:rightChars="11"/>
              <w:jc w:val="center"/>
              <w:rPr>
                <w:rFonts w:hint="eastAsia" w:ascii="宋体"/>
                <w:color w:val="auto"/>
              </w:rPr>
            </w:pPr>
            <w:r>
              <w:rPr>
                <w:rFonts w:hint="eastAsia" w:ascii="宋体"/>
                <w:color w:val="auto"/>
              </w:rPr>
              <w:t>时间</w:t>
            </w:r>
          </w:p>
        </w:tc>
        <w:tc>
          <w:tcPr>
            <w:tcW w:w="2138" w:type="pct"/>
            <w:gridSpan w:val="3"/>
            <w:noWrap w:val="0"/>
            <w:vAlign w:val="center"/>
          </w:tcPr>
          <w:p w14:paraId="33A75E99">
            <w:pPr>
              <w:spacing w:line="360" w:lineRule="auto"/>
              <w:ind w:right="23" w:rightChars="11"/>
              <w:jc w:val="center"/>
              <w:rPr>
                <w:rFonts w:hint="eastAsia" w:ascii="宋体"/>
                <w:color w:val="auto"/>
              </w:rPr>
            </w:pPr>
            <w:r>
              <w:rPr>
                <w:rFonts w:hint="eastAsia" w:ascii="宋体"/>
                <w:color w:val="auto"/>
              </w:rPr>
              <w:t>类似项目名称</w:t>
            </w:r>
          </w:p>
        </w:tc>
        <w:tc>
          <w:tcPr>
            <w:tcW w:w="825" w:type="pct"/>
            <w:noWrap w:val="0"/>
            <w:vAlign w:val="center"/>
          </w:tcPr>
          <w:p w14:paraId="6F8565E9">
            <w:pPr>
              <w:spacing w:line="360" w:lineRule="auto"/>
              <w:ind w:right="23" w:rightChars="11"/>
              <w:jc w:val="center"/>
              <w:rPr>
                <w:rFonts w:hint="eastAsia" w:ascii="宋体"/>
                <w:color w:val="auto"/>
              </w:rPr>
            </w:pPr>
            <w:r>
              <w:rPr>
                <w:rFonts w:hint="eastAsia" w:ascii="宋体"/>
                <w:color w:val="auto"/>
              </w:rPr>
              <w:t>担任职务</w:t>
            </w:r>
          </w:p>
        </w:tc>
        <w:tc>
          <w:tcPr>
            <w:tcW w:w="1295" w:type="pct"/>
            <w:gridSpan w:val="2"/>
            <w:noWrap w:val="0"/>
            <w:vAlign w:val="center"/>
          </w:tcPr>
          <w:p w14:paraId="35B43EAA">
            <w:pPr>
              <w:spacing w:line="360" w:lineRule="auto"/>
              <w:ind w:right="23" w:rightChars="11"/>
              <w:jc w:val="center"/>
              <w:rPr>
                <w:rFonts w:hint="eastAsia" w:ascii="宋体"/>
                <w:color w:val="auto"/>
              </w:rPr>
            </w:pPr>
            <w:r>
              <w:rPr>
                <w:rFonts w:hint="eastAsia" w:ascii="宋体"/>
                <w:color w:val="auto"/>
              </w:rPr>
              <w:t>项目单位名称及电话</w:t>
            </w:r>
          </w:p>
        </w:tc>
      </w:tr>
      <w:tr w14:paraId="2F1B03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78328605">
            <w:pPr>
              <w:spacing w:line="360" w:lineRule="auto"/>
              <w:ind w:right="23" w:rightChars="11"/>
              <w:jc w:val="center"/>
              <w:rPr>
                <w:rFonts w:hint="eastAsia" w:ascii="宋体"/>
                <w:color w:val="auto"/>
              </w:rPr>
            </w:pPr>
          </w:p>
        </w:tc>
        <w:tc>
          <w:tcPr>
            <w:tcW w:w="2138" w:type="pct"/>
            <w:gridSpan w:val="3"/>
            <w:noWrap w:val="0"/>
            <w:vAlign w:val="center"/>
          </w:tcPr>
          <w:p w14:paraId="514E0351">
            <w:pPr>
              <w:spacing w:line="360" w:lineRule="auto"/>
              <w:ind w:right="23" w:rightChars="11"/>
              <w:jc w:val="center"/>
              <w:rPr>
                <w:rFonts w:hint="eastAsia" w:ascii="宋体"/>
                <w:color w:val="auto"/>
              </w:rPr>
            </w:pPr>
          </w:p>
        </w:tc>
        <w:tc>
          <w:tcPr>
            <w:tcW w:w="825" w:type="pct"/>
            <w:noWrap w:val="0"/>
            <w:vAlign w:val="center"/>
          </w:tcPr>
          <w:p w14:paraId="082085CD">
            <w:pPr>
              <w:spacing w:line="360" w:lineRule="auto"/>
              <w:ind w:right="23" w:rightChars="11"/>
              <w:jc w:val="center"/>
              <w:rPr>
                <w:rFonts w:hint="eastAsia" w:ascii="宋体"/>
                <w:color w:val="auto"/>
              </w:rPr>
            </w:pPr>
          </w:p>
        </w:tc>
        <w:tc>
          <w:tcPr>
            <w:tcW w:w="1295" w:type="pct"/>
            <w:gridSpan w:val="2"/>
            <w:noWrap w:val="0"/>
            <w:vAlign w:val="center"/>
          </w:tcPr>
          <w:p w14:paraId="00A93781">
            <w:pPr>
              <w:spacing w:line="360" w:lineRule="auto"/>
              <w:ind w:right="23" w:rightChars="11"/>
              <w:jc w:val="center"/>
              <w:rPr>
                <w:rFonts w:hint="eastAsia" w:ascii="宋体"/>
                <w:color w:val="auto"/>
              </w:rPr>
            </w:pPr>
          </w:p>
        </w:tc>
      </w:tr>
      <w:tr w14:paraId="4C0C04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5D598ACD">
            <w:pPr>
              <w:spacing w:line="360" w:lineRule="auto"/>
              <w:ind w:right="23" w:rightChars="11"/>
              <w:jc w:val="center"/>
              <w:rPr>
                <w:rFonts w:hint="eastAsia" w:ascii="宋体"/>
                <w:color w:val="auto"/>
              </w:rPr>
            </w:pPr>
          </w:p>
        </w:tc>
        <w:tc>
          <w:tcPr>
            <w:tcW w:w="2138" w:type="pct"/>
            <w:gridSpan w:val="3"/>
            <w:noWrap w:val="0"/>
            <w:vAlign w:val="center"/>
          </w:tcPr>
          <w:p w14:paraId="3E1C7531">
            <w:pPr>
              <w:spacing w:line="360" w:lineRule="auto"/>
              <w:ind w:right="23" w:rightChars="11"/>
              <w:jc w:val="center"/>
              <w:rPr>
                <w:rFonts w:hint="eastAsia" w:ascii="宋体"/>
                <w:color w:val="auto"/>
              </w:rPr>
            </w:pPr>
          </w:p>
        </w:tc>
        <w:tc>
          <w:tcPr>
            <w:tcW w:w="825" w:type="pct"/>
            <w:noWrap w:val="0"/>
            <w:vAlign w:val="center"/>
          </w:tcPr>
          <w:p w14:paraId="50AA41AC">
            <w:pPr>
              <w:spacing w:line="360" w:lineRule="auto"/>
              <w:ind w:right="23" w:rightChars="11"/>
              <w:jc w:val="center"/>
              <w:rPr>
                <w:rFonts w:hint="eastAsia" w:ascii="宋体"/>
                <w:color w:val="auto"/>
              </w:rPr>
            </w:pPr>
          </w:p>
        </w:tc>
        <w:tc>
          <w:tcPr>
            <w:tcW w:w="1295" w:type="pct"/>
            <w:gridSpan w:val="2"/>
            <w:noWrap w:val="0"/>
            <w:vAlign w:val="center"/>
          </w:tcPr>
          <w:p w14:paraId="2BEFD022">
            <w:pPr>
              <w:spacing w:line="360" w:lineRule="auto"/>
              <w:ind w:right="23" w:rightChars="11"/>
              <w:jc w:val="center"/>
              <w:rPr>
                <w:rFonts w:hint="eastAsia" w:ascii="宋体"/>
                <w:color w:val="auto"/>
              </w:rPr>
            </w:pPr>
          </w:p>
        </w:tc>
      </w:tr>
      <w:tr w14:paraId="1806D2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6C1F75A2">
            <w:pPr>
              <w:spacing w:line="360" w:lineRule="auto"/>
              <w:ind w:right="23" w:rightChars="11"/>
              <w:jc w:val="center"/>
              <w:rPr>
                <w:rFonts w:hint="eastAsia" w:ascii="宋体"/>
                <w:color w:val="auto"/>
              </w:rPr>
            </w:pPr>
          </w:p>
        </w:tc>
        <w:tc>
          <w:tcPr>
            <w:tcW w:w="2138" w:type="pct"/>
            <w:gridSpan w:val="3"/>
            <w:noWrap w:val="0"/>
            <w:vAlign w:val="center"/>
          </w:tcPr>
          <w:p w14:paraId="1038CFBC">
            <w:pPr>
              <w:spacing w:line="360" w:lineRule="auto"/>
              <w:ind w:right="23" w:rightChars="11"/>
              <w:jc w:val="center"/>
              <w:rPr>
                <w:rFonts w:hint="eastAsia" w:ascii="宋体"/>
                <w:color w:val="auto"/>
              </w:rPr>
            </w:pPr>
          </w:p>
        </w:tc>
        <w:tc>
          <w:tcPr>
            <w:tcW w:w="825" w:type="pct"/>
            <w:noWrap w:val="0"/>
            <w:vAlign w:val="center"/>
          </w:tcPr>
          <w:p w14:paraId="01FF6295">
            <w:pPr>
              <w:spacing w:line="360" w:lineRule="auto"/>
              <w:ind w:right="23" w:rightChars="11"/>
              <w:jc w:val="center"/>
              <w:rPr>
                <w:rFonts w:hint="eastAsia" w:ascii="宋体"/>
                <w:color w:val="auto"/>
              </w:rPr>
            </w:pPr>
          </w:p>
        </w:tc>
        <w:tc>
          <w:tcPr>
            <w:tcW w:w="1295" w:type="pct"/>
            <w:gridSpan w:val="2"/>
            <w:noWrap w:val="0"/>
            <w:vAlign w:val="center"/>
          </w:tcPr>
          <w:p w14:paraId="1EF0D087">
            <w:pPr>
              <w:spacing w:line="360" w:lineRule="auto"/>
              <w:ind w:right="23" w:rightChars="11"/>
              <w:jc w:val="center"/>
              <w:rPr>
                <w:rFonts w:hint="eastAsia" w:ascii="宋体"/>
                <w:color w:val="auto"/>
              </w:rPr>
            </w:pPr>
          </w:p>
        </w:tc>
      </w:tr>
      <w:tr w14:paraId="798AEF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4CCC33B9">
            <w:pPr>
              <w:spacing w:line="360" w:lineRule="auto"/>
              <w:ind w:right="23" w:rightChars="11"/>
              <w:jc w:val="center"/>
              <w:rPr>
                <w:rFonts w:hint="eastAsia" w:ascii="宋体"/>
                <w:color w:val="auto"/>
              </w:rPr>
            </w:pPr>
          </w:p>
        </w:tc>
        <w:tc>
          <w:tcPr>
            <w:tcW w:w="2138" w:type="pct"/>
            <w:gridSpan w:val="3"/>
            <w:noWrap w:val="0"/>
            <w:vAlign w:val="center"/>
          </w:tcPr>
          <w:p w14:paraId="30E1F1BC">
            <w:pPr>
              <w:spacing w:line="360" w:lineRule="auto"/>
              <w:ind w:right="23" w:rightChars="11"/>
              <w:jc w:val="center"/>
              <w:rPr>
                <w:rFonts w:hint="eastAsia" w:ascii="宋体"/>
                <w:color w:val="auto"/>
              </w:rPr>
            </w:pPr>
          </w:p>
        </w:tc>
        <w:tc>
          <w:tcPr>
            <w:tcW w:w="825" w:type="pct"/>
            <w:noWrap w:val="0"/>
            <w:vAlign w:val="center"/>
          </w:tcPr>
          <w:p w14:paraId="3A8C8D1E">
            <w:pPr>
              <w:spacing w:line="360" w:lineRule="auto"/>
              <w:ind w:right="23" w:rightChars="11"/>
              <w:jc w:val="center"/>
              <w:rPr>
                <w:rFonts w:hint="eastAsia" w:ascii="宋体"/>
                <w:color w:val="auto"/>
              </w:rPr>
            </w:pPr>
          </w:p>
        </w:tc>
        <w:tc>
          <w:tcPr>
            <w:tcW w:w="1295" w:type="pct"/>
            <w:gridSpan w:val="2"/>
            <w:noWrap w:val="0"/>
            <w:vAlign w:val="center"/>
          </w:tcPr>
          <w:p w14:paraId="5CA87601">
            <w:pPr>
              <w:spacing w:line="360" w:lineRule="auto"/>
              <w:ind w:right="23" w:rightChars="11"/>
              <w:jc w:val="center"/>
              <w:rPr>
                <w:rFonts w:hint="eastAsia" w:ascii="宋体"/>
                <w:color w:val="auto"/>
              </w:rPr>
            </w:pPr>
          </w:p>
        </w:tc>
      </w:tr>
      <w:tr w14:paraId="0F1AF2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1DC74CD0">
            <w:pPr>
              <w:spacing w:line="360" w:lineRule="auto"/>
              <w:ind w:right="23" w:rightChars="11"/>
              <w:jc w:val="center"/>
              <w:rPr>
                <w:rFonts w:hint="eastAsia" w:ascii="宋体"/>
                <w:color w:val="auto"/>
              </w:rPr>
            </w:pPr>
          </w:p>
        </w:tc>
        <w:tc>
          <w:tcPr>
            <w:tcW w:w="2138" w:type="pct"/>
            <w:gridSpan w:val="3"/>
            <w:noWrap w:val="0"/>
            <w:vAlign w:val="center"/>
          </w:tcPr>
          <w:p w14:paraId="24F896A7">
            <w:pPr>
              <w:spacing w:line="360" w:lineRule="auto"/>
              <w:ind w:right="23" w:rightChars="11"/>
              <w:jc w:val="center"/>
              <w:rPr>
                <w:rFonts w:hint="eastAsia" w:ascii="宋体"/>
                <w:color w:val="auto"/>
              </w:rPr>
            </w:pPr>
          </w:p>
        </w:tc>
        <w:tc>
          <w:tcPr>
            <w:tcW w:w="825" w:type="pct"/>
            <w:noWrap w:val="0"/>
            <w:vAlign w:val="center"/>
          </w:tcPr>
          <w:p w14:paraId="56C2D0EA">
            <w:pPr>
              <w:spacing w:line="360" w:lineRule="auto"/>
              <w:ind w:right="23" w:rightChars="11"/>
              <w:jc w:val="center"/>
              <w:rPr>
                <w:rFonts w:hint="eastAsia" w:ascii="宋体"/>
                <w:color w:val="auto"/>
              </w:rPr>
            </w:pPr>
          </w:p>
        </w:tc>
        <w:tc>
          <w:tcPr>
            <w:tcW w:w="1295" w:type="pct"/>
            <w:gridSpan w:val="2"/>
            <w:noWrap w:val="0"/>
            <w:vAlign w:val="center"/>
          </w:tcPr>
          <w:p w14:paraId="14356D07">
            <w:pPr>
              <w:spacing w:line="360" w:lineRule="auto"/>
              <w:ind w:right="23" w:rightChars="11"/>
              <w:jc w:val="center"/>
              <w:rPr>
                <w:rFonts w:hint="eastAsia" w:ascii="宋体"/>
                <w:color w:val="auto"/>
              </w:rPr>
            </w:pPr>
          </w:p>
        </w:tc>
      </w:tr>
      <w:tr w14:paraId="5706C8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21265B11">
            <w:pPr>
              <w:spacing w:line="360" w:lineRule="auto"/>
              <w:ind w:right="23" w:rightChars="11"/>
              <w:jc w:val="center"/>
              <w:rPr>
                <w:rFonts w:hint="eastAsia" w:ascii="宋体"/>
                <w:color w:val="auto"/>
              </w:rPr>
            </w:pPr>
          </w:p>
        </w:tc>
        <w:tc>
          <w:tcPr>
            <w:tcW w:w="2138" w:type="pct"/>
            <w:gridSpan w:val="3"/>
            <w:noWrap w:val="0"/>
            <w:vAlign w:val="center"/>
          </w:tcPr>
          <w:p w14:paraId="3A9F498E">
            <w:pPr>
              <w:spacing w:line="360" w:lineRule="auto"/>
              <w:ind w:right="23" w:rightChars="11"/>
              <w:jc w:val="center"/>
              <w:rPr>
                <w:rFonts w:hint="eastAsia" w:ascii="宋体"/>
                <w:color w:val="auto"/>
              </w:rPr>
            </w:pPr>
          </w:p>
        </w:tc>
        <w:tc>
          <w:tcPr>
            <w:tcW w:w="825" w:type="pct"/>
            <w:noWrap w:val="0"/>
            <w:vAlign w:val="center"/>
          </w:tcPr>
          <w:p w14:paraId="3DFA3259">
            <w:pPr>
              <w:spacing w:line="360" w:lineRule="auto"/>
              <w:ind w:right="23" w:rightChars="11"/>
              <w:jc w:val="center"/>
              <w:rPr>
                <w:rFonts w:hint="eastAsia" w:ascii="宋体"/>
                <w:color w:val="auto"/>
              </w:rPr>
            </w:pPr>
          </w:p>
        </w:tc>
        <w:tc>
          <w:tcPr>
            <w:tcW w:w="1295" w:type="pct"/>
            <w:gridSpan w:val="2"/>
            <w:noWrap w:val="0"/>
            <w:vAlign w:val="center"/>
          </w:tcPr>
          <w:p w14:paraId="223653F3">
            <w:pPr>
              <w:spacing w:line="360" w:lineRule="auto"/>
              <w:ind w:right="23" w:rightChars="11"/>
              <w:jc w:val="center"/>
              <w:rPr>
                <w:rFonts w:hint="eastAsia" w:ascii="宋体"/>
                <w:color w:val="auto"/>
              </w:rPr>
            </w:pPr>
          </w:p>
        </w:tc>
      </w:tr>
      <w:tr w14:paraId="43DC2E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5B975EEA">
            <w:pPr>
              <w:spacing w:line="360" w:lineRule="auto"/>
              <w:ind w:right="23" w:rightChars="11"/>
              <w:jc w:val="center"/>
              <w:rPr>
                <w:rFonts w:hint="eastAsia" w:ascii="宋体"/>
                <w:color w:val="auto"/>
              </w:rPr>
            </w:pPr>
          </w:p>
        </w:tc>
        <w:tc>
          <w:tcPr>
            <w:tcW w:w="2138" w:type="pct"/>
            <w:gridSpan w:val="3"/>
            <w:noWrap w:val="0"/>
            <w:vAlign w:val="center"/>
          </w:tcPr>
          <w:p w14:paraId="11941906">
            <w:pPr>
              <w:spacing w:line="360" w:lineRule="auto"/>
              <w:ind w:right="23" w:rightChars="11"/>
              <w:jc w:val="center"/>
              <w:rPr>
                <w:rFonts w:hint="eastAsia" w:ascii="宋体"/>
                <w:color w:val="auto"/>
              </w:rPr>
            </w:pPr>
          </w:p>
        </w:tc>
        <w:tc>
          <w:tcPr>
            <w:tcW w:w="825" w:type="pct"/>
            <w:noWrap w:val="0"/>
            <w:vAlign w:val="center"/>
          </w:tcPr>
          <w:p w14:paraId="1893B7F0">
            <w:pPr>
              <w:spacing w:line="360" w:lineRule="auto"/>
              <w:ind w:right="23" w:rightChars="11"/>
              <w:jc w:val="center"/>
              <w:rPr>
                <w:rFonts w:hint="eastAsia" w:ascii="宋体"/>
                <w:color w:val="auto"/>
              </w:rPr>
            </w:pPr>
          </w:p>
        </w:tc>
        <w:tc>
          <w:tcPr>
            <w:tcW w:w="1295" w:type="pct"/>
            <w:gridSpan w:val="2"/>
            <w:noWrap w:val="0"/>
            <w:vAlign w:val="center"/>
          </w:tcPr>
          <w:p w14:paraId="3F1D3317">
            <w:pPr>
              <w:spacing w:line="360" w:lineRule="auto"/>
              <w:ind w:right="23" w:rightChars="11"/>
              <w:jc w:val="center"/>
              <w:rPr>
                <w:rFonts w:hint="eastAsia" w:ascii="宋体"/>
                <w:color w:val="auto"/>
              </w:rPr>
            </w:pPr>
          </w:p>
        </w:tc>
      </w:tr>
      <w:tr w14:paraId="3988B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744E879A">
            <w:pPr>
              <w:spacing w:line="360" w:lineRule="auto"/>
              <w:ind w:right="23" w:rightChars="11"/>
              <w:jc w:val="center"/>
              <w:rPr>
                <w:rFonts w:hint="eastAsia" w:ascii="宋体"/>
                <w:color w:val="auto"/>
              </w:rPr>
            </w:pPr>
          </w:p>
        </w:tc>
        <w:tc>
          <w:tcPr>
            <w:tcW w:w="2138" w:type="pct"/>
            <w:gridSpan w:val="3"/>
            <w:noWrap w:val="0"/>
            <w:vAlign w:val="center"/>
          </w:tcPr>
          <w:p w14:paraId="5F390F95">
            <w:pPr>
              <w:spacing w:line="360" w:lineRule="auto"/>
              <w:ind w:right="23" w:rightChars="11"/>
              <w:jc w:val="center"/>
              <w:rPr>
                <w:rFonts w:hint="eastAsia" w:ascii="宋体"/>
                <w:color w:val="auto"/>
              </w:rPr>
            </w:pPr>
          </w:p>
        </w:tc>
        <w:tc>
          <w:tcPr>
            <w:tcW w:w="825" w:type="pct"/>
            <w:noWrap w:val="0"/>
            <w:vAlign w:val="center"/>
          </w:tcPr>
          <w:p w14:paraId="6B2468F3">
            <w:pPr>
              <w:spacing w:line="360" w:lineRule="auto"/>
              <w:ind w:right="23" w:rightChars="11"/>
              <w:jc w:val="center"/>
              <w:rPr>
                <w:rFonts w:hint="eastAsia" w:ascii="宋体"/>
                <w:color w:val="auto"/>
              </w:rPr>
            </w:pPr>
          </w:p>
        </w:tc>
        <w:tc>
          <w:tcPr>
            <w:tcW w:w="1295" w:type="pct"/>
            <w:gridSpan w:val="2"/>
            <w:noWrap w:val="0"/>
            <w:vAlign w:val="center"/>
          </w:tcPr>
          <w:p w14:paraId="2F13B4A8">
            <w:pPr>
              <w:spacing w:line="360" w:lineRule="auto"/>
              <w:ind w:right="23" w:rightChars="11"/>
              <w:jc w:val="center"/>
              <w:rPr>
                <w:rFonts w:hint="eastAsia" w:ascii="宋体"/>
                <w:color w:val="auto"/>
              </w:rPr>
            </w:pPr>
          </w:p>
        </w:tc>
      </w:tr>
      <w:tr w14:paraId="6D9BC4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740" w:type="pct"/>
            <w:noWrap w:val="0"/>
            <w:vAlign w:val="center"/>
          </w:tcPr>
          <w:p w14:paraId="39976DF5">
            <w:pPr>
              <w:spacing w:line="360" w:lineRule="auto"/>
              <w:ind w:right="23" w:rightChars="11"/>
              <w:jc w:val="center"/>
              <w:rPr>
                <w:rFonts w:hint="eastAsia" w:ascii="宋体"/>
                <w:color w:val="auto"/>
              </w:rPr>
            </w:pPr>
          </w:p>
        </w:tc>
        <w:tc>
          <w:tcPr>
            <w:tcW w:w="2138" w:type="pct"/>
            <w:gridSpan w:val="3"/>
            <w:noWrap w:val="0"/>
            <w:vAlign w:val="center"/>
          </w:tcPr>
          <w:p w14:paraId="3E59FC08">
            <w:pPr>
              <w:spacing w:line="360" w:lineRule="auto"/>
              <w:ind w:right="23" w:rightChars="11"/>
              <w:jc w:val="center"/>
              <w:rPr>
                <w:rFonts w:hint="eastAsia" w:ascii="宋体"/>
                <w:color w:val="auto"/>
              </w:rPr>
            </w:pPr>
          </w:p>
        </w:tc>
        <w:tc>
          <w:tcPr>
            <w:tcW w:w="825" w:type="pct"/>
            <w:noWrap w:val="0"/>
            <w:vAlign w:val="center"/>
          </w:tcPr>
          <w:p w14:paraId="630297C8">
            <w:pPr>
              <w:spacing w:line="360" w:lineRule="auto"/>
              <w:ind w:right="23" w:rightChars="11"/>
              <w:jc w:val="center"/>
              <w:rPr>
                <w:rFonts w:hint="eastAsia" w:ascii="宋体"/>
                <w:color w:val="auto"/>
              </w:rPr>
            </w:pPr>
          </w:p>
        </w:tc>
        <w:tc>
          <w:tcPr>
            <w:tcW w:w="1295" w:type="pct"/>
            <w:gridSpan w:val="2"/>
            <w:noWrap w:val="0"/>
            <w:vAlign w:val="center"/>
          </w:tcPr>
          <w:p w14:paraId="449CE3EF">
            <w:pPr>
              <w:spacing w:line="360" w:lineRule="auto"/>
              <w:ind w:right="23" w:rightChars="11"/>
              <w:jc w:val="center"/>
              <w:rPr>
                <w:rFonts w:hint="eastAsia" w:ascii="宋体"/>
                <w:color w:val="auto"/>
              </w:rPr>
            </w:pPr>
          </w:p>
        </w:tc>
      </w:tr>
    </w:tbl>
    <w:p w14:paraId="10BD99DC">
      <w:pPr>
        <w:spacing w:line="360" w:lineRule="auto"/>
        <w:ind w:right="23" w:rightChars="11"/>
        <w:rPr>
          <w:rFonts w:hint="eastAsia" w:ascii="宋体" w:hAnsi="宋体"/>
          <w:color w:val="auto"/>
          <w:szCs w:val="21"/>
        </w:rPr>
      </w:pPr>
    </w:p>
    <w:p w14:paraId="0A1BD45C">
      <w:pPr>
        <w:bidi w:val="0"/>
        <w:spacing w:line="360" w:lineRule="auto"/>
        <w:rPr>
          <w:rFonts w:hint="eastAsia"/>
        </w:rPr>
      </w:pPr>
      <w:bookmarkStart w:id="100" w:name="_Toc15915"/>
      <w:r>
        <w:rPr>
          <w:rFonts w:hint="eastAsia"/>
        </w:rPr>
        <w:t>供应商名称（盖单位公章）：</w:t>
      </w:r>
      <w:bookmarkEnd w:id="100"/>
      <w:r>
        <w:rPr>
          <w:rFonts w:hint="eastAsia"/>
        </w:rPr>
        <w:t xml:space="preserve">                </w:t>
      </w:r>
    </w:p>
    <w:p w14:paraId="267AFA38">
      <w:pPr>
        <w:bidi w:val="0"/>
        <w:spacing w:line="360" w:lineRule="auto"/>
        <w:rPr>
          <w:rFonts w:hint="eastAsia"/>
        </w:rPr>
      </w:pPr>
      <w:bookmarkStart w:id="101" w:name="_Toc5243"/>
      <w:r>
        <w:rPr>
          <w:rFonts w:hint="eastAsia"/>
        </w:rPr>
        <w:t>法定代表人或其委托代理人(签字)：              _</w:t>
      </w:r>
      <w:bookmarkEnd w:id="101"/>
    </w:p>
    <w:p w14:paraId="66490EDA">
      <w:pPr>
        <w:bidi w:val="0"/>
        <w:spacing w:line="360" w:lineRule="auto"/>
        <w:rPr>
          <w:rFonts w:hint="eastAsia"/>
        </w:rPr>
      </w:pPr>
      <w:r>
        <w:rPr>
          <w:rFonts w:hint="eastAsia"/>
        </w:rPr>
        <w:t>日期：       年      月     日</w:t>
      </w:r>
    </w:p>
    <w:p w14:paraId="78D780B0">
      <w:pPr>
        <w:adjustRightInd w:val="0"/>
        <w:snapToGrid w:val="0"/>
        <w:spacing w:line="360" w:lineRule="auto"/>
        <w:jc w:val="center"/>
        <w:outlineLvl w:val="0"/>
        <w:rPr>
          <w:rFonts w:hint="eastAsia" w:ascii="黑体" w:hAnsi="宋体" w:eastAsia="黑体"/>
          <w:b/>
          <w:color w:val="auto"/>
          <w:sz w:val="30"/>
          <w:szCs w:val="30"/>
        </w:rPr>
      </w:pPr>
      <w:bookmarkStart w:id="102" w:name="_Toc8276"/>
      <w:r>
        <w:rPr>
          <w:rFonts w:hint="eastAsia" w:ascii="黑体" w:eastAsia="黑体"/>
          <w:b/>
          <w:color w:val="auto"/>
          <w:sz w:val="30"/>
          <w:szCs w:val="30"/>
        </w:rPr>
        <w:br w:type="page"/>
      </w:r>
      <w:r>
        <w:rPr>
          <w:rFonts w:hint="eastAsia" w:ascii="黑体" w:eastAsia="黑体"/>
          <w:b/>
          <w:color w:val="auto"/>
          <w:sz w:val="30"/>
          <w:szCs w:val="30"/>
        </w:rPr>
        <w:t>五、</w:t>
      </w:r>
      <w:r>
        <w:rPr>
          <w:rFonts w:hint="eastAsia" w:ascii="黑体" w:hAnsi="宋体" w:eastAsia="黑体"/>
          <w:b/>
          <w:color w:val="auto"/>
          <w:sz w:val="30"/>
          <w:szCs w:val="30"/>
        </w:rPr>
        <w:t>技术/</w:t>
      </w:r>
      <w:r>
        <w:rPr>
          <w:rFonts w:hint="eastAsia" w:ascii="黑体" w:eastAsia="黑体"/>
          <w:b/>
          <w:color w:val="auto"/>
          <w:sz w:val="30"/>
          <w:szCs w:val="30"/>
        </w:rPr>
        <w:t>商务</w:t>
      </w:r>
      <w:r>
        <w:rPr>
          <w:rFonts w:hint="eastAsia" w:ascii="黑体" w:hAnsi="宋体" w:eastAsia="黑体"/>
          <w:b/>
          <w:color w:val="auto"/>
          <w:sz w:val="30"/>
          <w:szCs w:val="30"/>
        </w:rPr>
        <w:t>响应与偏离表</w:t>
      </w:r>
      <w:bookmarkEnd w:id="102"/>
    </w:p>
    <w:p w14:paraId="7BEA896D">
      <w:pPr>
        <w:adjustRightInd w:val="0"/>
        <w:snapToGrid w:val="0"/>
        <w:spacing w:line="360" w:lineRule="auto"/>
        <w:ind w:left="-88" w:leftChars="-42" w:firstLine="315" w:firstLineChars="150"/>
        <w:rPr>
          <w:rFonts w:hint="eastAsia" w:ascii="宋体" w:hAnsi="宋体"/>
          <w:color w:val="auto"/>
          <w:szCs w:val="21"/>
          <w:u w:val="single"/>
        </w:rPr>
      </w:pPr>
    </w:p>
    <w:tbl>
      <w:tblPr>
        <w:tblStyle w:val="20"/>
        <w:tblW w:w="4997"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661"/>
        <w:gridCol w:w="1758"/>
        <w:gridCol w:w="2034"/>
        <w:gridCol w:w="2715"/>
        <w:gridCol w:w="1267"/>
        <w:gridCol w:w="688"/>
      </w:tblGrid>
      <w:tr w14:paraId="56C4AA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362" w:type="pct"/>
            <w:noWrap w:val="0"/>
            <w:vAlign w:val="center"/>
          </w:tcPr>
          <w:p w14:paraId="288704DC">
            <w:pPr>
              <w:adjustRightInd w:val="0"/>
              <w:snapToGrid w:val="0"/>
              <w:spacing w:line="360" w:lineRule="auto"/>
              <w:ind w:left="-88" w:leftChars="-42"/>
              <w:jc w:val="center"/>
              <w:rPr>
                <w:rFonts w:hint="eastAsia" w:ascii="宋体" w:hAnsi="宋体"/>
                <w:bCs/>
                <w:color w:val="auto"/>
                <w:szCs w:val="21"/>
              </w:rPr>
            </w:pPr>
            <w:r>
              <w:rPr>
                <w:rFonts w:hint="eastAsia" w:ascii="宋体" w:hAnsi="宋体"/>
                <w:bCs/>
                <w:color w:val="auto"/>
                <w:szCs w:val="21"/>
              </w:rPr>
              <w:t>序号</w:t>
            </w:r>
          </w:p>
        </w:tc>
        <w:tc>
          <w:tcPr>
            <w:tcW w:w="963" w:type="pct"/>
            <w:noWrap w:val="0"/>
            <w:vAlign w:val="center"/>
          </w:tcPr>
          <w:p w14:paraId="0C4C8995">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磋商文件条目号</w:t>
            </w:r>
          </w:p>
        </w:tc>
        <w:tc>
          <w:tcPr>
            <w:tcW w:w="1114" w:type="pct"/>
            <w:noWrap w:val="0"/>
            <w:vAlign w:val="center"/>
          </w:tcPr>
          <w:p w14:paraId="04D8632F">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采购规格/商务条款</w:t>
            </w:r>
          </w:p>
        </w:tc>
        <w:tc>
          <w:tcPr>
            <w:tcW w:w="1487" w:type="pct"/>
            <w:noWrap w:val="0"/>
            <w:vAlign w:val="center"/>
          </w:tcPr>
          <w:p w14:paraId="3B1BECF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响应文件的规格/商务条款</w:t>
            </w:r>
          </w:p>
        </w:tc>
        <w:tc>
          <w:tcPr>
            <w:tcW w:w="694" w:type="pct"/>
            <w:noWrap w:val="0"/>
            <w:vAlign w:val="center"/>
          </w:tcPr>
          <w:p w14:paraId="49CF570C">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响应与偏离</w:t>
            </w:r>
          </w:p>
        </w:tc>
        <w:tc>
          <w:tcPr>
            <w:tcW w:w="377" w:type="pct"/>
            <w:noWrap w:val="0"/>
            <w:vAlign w:val="center"/>
          </w:tcPr>
          <w:p w14:paraId="18E40BFB">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说明</w:t>
            </w:r>
          </w:p>
        </w:tc>
      </w:tr>
      <w:tr w14:paraId="755F5C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noWrap w:val="0"/>
            <w:vAlign w:val="top"/>
          </w:tcPr>
          <w:p w14:paraId="458AECED">
            <w:pPr>
              <w:adjustRightInd w:val="0"/>
              <w:snapToGrid w:val="0"/>
              <w:spacing w:line="360" w:lineRule="auto"/>
              <w:ind w:left="-88" w:leftChars="-42"/>
              <w:jc w:val="center"/>
              <w:rPr>
                <w:rFonts w:hint="eastAsia" w:ascii="宋体" w:hAnsi="宋体"/>
                <w:color w:val="auto"/>
                <w:szCs w:val="21"/>
              </w:rPr>
            </w:pPr>
          </w:p>
        </w:tc>
        <w:tc>
          <w:tcPr>
            <w:tcW w:w="963" w:type="pct"/>
            <w:noWrap w:val="0"/>
            <w:vAlign w:val="center"/>
          </w:tcPr>
          <w:p w14:paraId="6E056318">
            <w:pPr>
              <w:adjustRightInd w:val="0"/>
              <w:snapToGrid w:val="0"/>
              <w:spacing w:line="360" w:lineRule="auto"/>
              <w:ind w:left="-88" w:leftChars="-42"/>
              <w:jc w:val="center"/>
              <w:rPr>
                <w:rFonts w:hint="eastAsia" w:ascii="宋体" w:hAnsi="宋体"/>
                <w:color w:val="auto"/>
                <w:szCs w:val="21"/>
              </w:rPr>
            </w:pPr>
          </w:p>
        </w:tc>
        <w:tc>
          <w:tcPr>
            <w:tcW w:w="1114" w:type="pct"/>
            <w:noWrap w:val="0"/>
            <w:vAlign w:val="center"/>
          </w:tcPr>
          <w:p w14:paraId="58AF0A9D">
            <w:pPr>
              <w:adjustRightInd w:val="0"/>
              <w:snapToGrid w:val="0"/>
              <w:spacing w:line="360" w:lineRule="auto"/>
              <w:ind w:left="-88" w:leftChars="-42"/>
              <w:jc w:val="center"/>
              <w:rPr>
                <w:rFonts w:hint="eastAsia" w:ascii="宋体" w:hAnsi="宋体"/>
                <w:color w:val="auto"/>
                <w:szCs w:val="21"/>
              </w:rPr>
            </w:pPr>
          </w:p>
        </w:tc>
        <w:tc>
          <w:tcPr>
            <w:tcW w:w="1487" w:type="pct"/>
            <w:noWrap w:val="0"/>
            <w:vAlign w:val="center"/>
          </w:tcPr>
          <w:p w14:paraId="603D3A7C">
            <w:pPr>
              <w:adjustRightInd w:val="0"/>
              <w:snapToGrid w:val="0"/>
              <w:spacing w:line="360" w:lineRule="auto"/>
              <w:ind w:left="-88" w:leftChars="-42"/>
              <w:jc w:val="center"/>
              <w:rPr>
                <w:rFonts w:hint="eastAsia" w:ascii="宋体" w:hAnsi="宋体"/>
                <w:color w:val="auto"/>
                <w:szCs w:val="21"/>
              </w:rPr>
            </w:pPr>
          </w:p>
        </w:tc>
        <w:tc>
          <w:tcPr>
            <w:tcW w:w="694" w:type="pct"/>
            <w:noWrap w:val="0"/>
            <w:vAlign w:val="center"/>
          </w:tcPr>
          <w:p w14:paraId="3CBC7F6D">
            <w:pPr>
              <w:adjustRightInd w:val="0"/>
              <w:snapToGrid w:val="0"/>
              <w:spacing w:line="360" w:lineRule="auto"/>
              <w:ind w:left="-88" w:leftChars="-42"/>
              <w:jc w:val="center"/>
              <w:rPr>
                <w:rFonts w:hint="eastAsia" w:ascii="宋体" w:hAnsi="宋体"/>
                <w:color w:val="auto"/>
                <w:szCs w:val="21"/>
              </w:rPr>
            </w:pPr>
          </w:p>
        </w:tc>
        <w:tc>
          <w:tcPr>
            <w:tcW w:w="377" w:type="pct"/>
            <w:noWrap w:val="0"/>
            <w:vAlign w:val="center"/>
          </w:tcPr>
          <w:p w14:paraId="730EBB05">
            <w:pPr>
              <w:adjustRightInd w:val="0"/>
              <w:snapToGrid w:val="0"/>
              <w:spacing w:line="360" w:lineRule="auto"/>
              <w:ind w:left="-88" w:leftChars="-42"/>
              <w:jc w:val="center"/>
              <w:rPr>
                <w:rFonts w:hint="eastAsia" w:ascii="宋体" w:hAnsi="宋体"/>
                <w:color w:val="auto"/>
                <w:szCs w:val="21"/>
              </w:rPr>
            </w:pPr>
          </w:p>
        </w:tc>
      </w:tr>
      <w:tr w14:paraId="665BF5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noWrap w:val="0"/>
            <w:vAlign w:val="top"/>
          </w:tcPr>
          <w:p w14:paraId="0463A85F">
            <w:pPr>
              <w:adjustRightInd w:val="0"/>
              <w:snapToGrid w:val="0"/>
              <w:spacing w:line="360" w:lineRule="auto"/>
              <w:ind w:left="-88" w:leftChars="-42"/>
              <w:jc w:val="center"/>
              <w:rPr>
                <w:rFonts w:hint="eastAsia" w:ascii="宋体" w:hAnsi="宋体"/>
                <w:color w:val="auto"/>
                <w:szCs w:val="21"/>
              </w:rPr>
            </w:pPr>
          </w:p>
        </w:tc>
        <w:tc>
          <w:tcPr>
            <w:tcW w:w="963" w:type="pct"/>
            <w:noWrap w:val="0"/>
            <w:vAlign w:val="center"/>
          </w:tcPr>
          <w:p w14:paraId="3E760853">
            <w:pPr>
              <w:adjustRightInd w:val="0"/>
              <w:snapToGrid w:val="0"/>
              <w:spacing w:line="360" w:lineRule="auto"/>
              <w:ind w:left="-88" w:leftChars="-42"/>
              <w:jc w:val="center"/>
              <w:rPr>
                <w:rFonts w:hint="eastAsia" w:ascii="宋体" w:hAnsi="宋体"/>
                <w:color w:val="auto"/>
                <w:szCs w:val="21"/>
              </w:rPr>
            </w:pPr>
          </w:p>
        </w:tc>
        <w:tc>
          <w:tcPr>
            <w:tcW w:w="1114" w:type="pct"/>
            <w:noWrap w:val="0"/>
            <w:vAlign w:val="center"/>
          </w:tcPr>
          <w:p w14:paraId="51001A7D">
            <w:pPr>
              <w:adjustRightInd w:val="0"/>
              <w:snapToGrid w:val="0"/>
              <w:spacing w:line="360" w:lineRule="auto"/>
              <w:ind w:left="-88" w:leftChars="-42"/>
              <w:jc w:val="center"/>
              <w:rPr>
                <w:rFonts w:hint="eastAsia" w:ascii="宋体" w:hAnsi="宋体"/>
                <w:color w:val="auto"/>
                <w:szCs w:val="21"/>
              </w:rPr>
            </w:pPr>
          </w:p>
        </w:tc>
        <w:tc>
          <w:tcPr>
            <w:tcW w:w="1487" w:type="pct"/>
            <w:noWrap w:val="0"/>
            <w:vAlign w:val="center"/>
          </w:tcPr>
          <w:p w14:paraId="29A09A06">
            <w:pPr>
              <w:adjustRightInd w:val="0"/>
              <w:snapToGrid w:val="0"/>
              <w:spacing w:line="360" w:lineRule="auto"/>
              <w:ind w:left="-88" w:leftChars="-42"/>
              <w:jc w:val="center"/>
              <w:rPr>
                <w:rFonts w:hint="eastAsia" w:ascii="宋体" w:hAnsi="宋体"/>
                <w:color w:val="auto"/>
                <w:szCs w:val="21"/>
              </w:rPr>
            </w:pPr>
          </w:p>
        </w:tc>
        <w:tc>
          <w:tcPr>
            <w:tcW w:w="694" w:type="pct"/>
            <w:noWrap w:val="0"/>
            <w:vAlign w:val="center"/>
          </w:tcPr>
          <w:p w14:paraId="5B29F500">
            <w:pPr>
              <w:adjustRightInd w:val="0"/>
              <w:snapToGrid w:val="0"/>
              <w:spacing w:line="360" w:lineRule="auto"/>
              <w:ind w:left="-88" w:leftChars="-42"/>
              <w:jc w:val="center"/>
              <w:rPr>
                <w:rFonts w:hint="eastAsia" w:ascii="宋体" w:hAnsi="宋体"/>
                <w:color w:val="auto"/>
                <w:szCs w:val="21"/>
              </w:rPr>
            </w:pPr>
          </w:p>
        </w:tc>
        <w:tc>
          <w:tcPr>
            <w:tcW w:w="377" w:type="pct"/>
            <w:noWrap w:val="0"/>
            <w:vAlign w:val="center"/>
          </w:tcPr>
          <w:p w14:paraId="7A65E7F8">
            <w:pPr>
              <w:adjustRightInd w:val="0"/>
              <w:snapToGrid w:val="0"/>
              <w:spacing w:line="360" w:lineRule="auto"/>
              <w:ind w:left="-88" w:leftChars="-42"/>
              <w:jc w:val="center"/>
              <w:rPr>
                <w:rFonts w:hint="eastAsia" w:ascii="宋体" w:hAnsi="宋体"/>
                <w:color w:val="auto"/>
                <w:szCs w:val="21"/>
              </w:rPr>
            </w:pPr>
          </w:p>
        </w:tc>
      </w:tr>
      <w:tr w14:paraId="37FFF3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noWrap w:val="0"/>
            <w:vAlign w:val="top"/>
          </w:tcPr>
          <w:p w14:paraId="555D5BE8">
            <w:pPr>
              <w:adjustRightInd w:val="0"/>
              <w:snapToGrid w:val="0"/>
              <w:spacing w:line="360" w:lineRule="auto"/>
              <w:ind w:left="-88" w:leftChars="-42"/>
              <w:jc w:val="center"/>
              <w:rPr>
                <w:rFonts w:hint="eastAsia" w:ascii="宋体" w:hAnsi="宋体"/>
                <w:color w:val="auto"/>
                <w:szCs w:val="21"/>
              </w:rPr>
            </w:pPr>
          </w:p>
        </w:tc>
        <w:tc>
          <w:tcPr>
            <w:tcW w:w="963" w:type="pct"/>
            <w:noWrap w:val="0"/>
            <w:vAlign w:val="center"/>
          </w:tcPr>
          <w:p w14:paraId="705BB113">
            <w:pPr>
              <w:adjustRightInd w:val="0"/>
              <w:snapToGrid w:val="0"/>
              <w:spacing w:line="360" w:lineRule="auto"/>
              <w:ind w:left="-88" w:leftChars="-42"/>
              <w:jc w:val="center"/>
              <w:rPr>
                <w:rFonts w:hint="eastAsia" w:ascii="宋体" w:hAnsi="宋体"/>
                <w:color w:val="auto"/>
                <w:szCs w:val="21"/>
              </w:rPr>
            </w:pPr>
          </w:p>
        </w:tc>
        <w:tc>
          <w:tcPr>
            <w:tcW w:w="1114" w:type="pct"/>
            <w:noWrap w:val="0"/>
            <w:vAlign w:val="center"/>
          </w:tcPr>
          <w:p w14:paraId="0F12A7DE">
            <w:pPr>
              <w:adjustRightInd w:val="0"/>
              <w:snapToGrid w:val="0"/>
              <w:spacing w:line="360" w:lineRule="auto"/>
              <w:ind w:left="-88" w:leftChars="-42"/>
              <w:jc w:val="center"/>
              <w:rPr>
                <w:rFonts w:hint="eastAsia" w:ascii="宋体" w:hAnsi="宋体"/>
                <w:color w:val="auto"/>
                <w:szCs w:val="21"/>
              </w:rPr>
            </w:pPr>
          </w:p>
        </w:tc>
        <w:tc>
          <w:tcPr>
            <w:tcW w:w="1487" w:type="pct"/>
            <w:noWrap w:val="0"/>
            <w:vAlign w:val="center"/>
          </w:tcPr>
          <w:p w14:paraId="2869A12A">
            <w:pPr>
              <w:adjustRightInd w:val="0"/>
              <w:snapToGrid w:val="0"/>
              <w:spacing w:line="360" w:lineRule="auto"/>
              <w:ind w:left="-88" w:leftChars="-42"/>
              <w:jc w:val="center"/>
              <w:rPr>
                <w:rFonts w:hint="eastAsia" w:ascii="宋体" w:hAnsi="宋体"/>
                <w:color w:val="auto"/>
                <w:szCs w:val="21"/>
              </w:rPr>
            </w:pPr>
          </w:p>
        </w:tc>
        <w:tc>
          <w:tcPr>
            <w:tcW w:w="694" w:type="pct"/>
            <w:noWrap w:val="0"/>
            <w:vAlign w:val="center"/>
          </w:tcPr>
          <w:p w14:paraId="64DA432F">
            <w:pPr>
              <w:adjustRightInd w:val="0"/>
              <w:snapToGrid w:val="0"/>
              <w:spacing w:line="360" w:lineRule="auto"/>
              <w:ind w:left="-88" w:leftChars="-42"/>
              <w:jc w:val="center"/>
              <w:rPr>
                <w:rFonts w:hint="eastAsia" w:ascii="宋体" w:hAnsi="宋体"/>
                <w:color w:val="auto"/>
                <w:szCs w:val="21"/>
              </w:rPr>
            </w:pPr>
          </w:p>
        </w:tc>
        <w:tc>
          <w:tcPr>
            <w:tcW w:w="377" w:type="pct"/>
            <w:noWrap w:val="0"/>
            <w:vAlign w:val="center"/>
          </w:tcPr>
          <w:p w14:paraId="37D56562">
            <w:pPr>
              <w:adjustRightInd w:val="0"/>
              <w:snapToGrid w:val="0"/>
              <w:spacing w:line="360" w:lineRule="auto"/>
              <w:ind w:left="-88" w:leftChars="-42"/>
              <w:jc w:val="center"/>
              <w:rPr>
                <w:rFonts w:hint="eastAsia" w:ascii="宋体" w:hAnsi="宋体"/>
                <w:color w:val="auto"/>
                <w:szCs w:val="21"/>
              </w:rPr>
            </w:pPr>
          </w:p>
        </w:tc>
      </w:tr>
      <w:tr w14:paraId="2E5911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noWrap w:val="0"/>
            <w:vAlign w:val="top"/>
          </w:tcPr>
          <w:p w14:paraId="04BC341C">
            <w:pPr>
              <w:adjustRightInd w:val="0"/>
              <w:snapToGrid w:val="0"/>
              <w:spacing w:line="360" w:lineRule="auto"/>
              <w:ind w:left="-88" w:leftChars="-42"/>
              <w:jc w:val="center"/>
              <w:rPr>
                <w:rFonts w:hint="eastAsia" w:ascii="宋体" w:hAnsi="宋体"/>
                <w:color w:val="auto"/>
                <w:szCs w:val="21"/>
              </w:rPr>
            </w:pPr>
          </w:p>
        </w:tc>
        <w:tc>
          <w:tcPr>
            <w:tcW w:w="963" w:type="pct"/>
            <w:noWrap w:val="0"/>
            <w:vAlign w:val="center"/>
          </w:tcPr>
          <w:p w14:paraId="1E86D556">
            <w:pPr>
              <w:adjustRightInd w:val="0"/>
              <w:snapToGrid w:val="0"/>
              <w:spacing w:line="360" w:lineRule="auto"/>
              <w:ind w:left="-88" w:leftChars="-42"/>
              <w:jc w:val="center"/>
              <w:rPr>
                <w:rFonts w:hint="eastAsia" w:ascii="宋体" w:hAnsi="宋体"/>
                <w:color w:val="auto"/>
                <w:szCs w:val="21"/>
              </w:rPr>
            </w:pPr>
          </w:p>
        </w:tc>
        <w:tc>
          <w:tcPr>
            <w:tcW w:w="1114" w:type="pct"/>
            <w:noWrap w:val="0"/>
            <w:vAlign w:val="center"/>
          </w:tcPr>
          <w:p w14:paraId="000B3912">
            <w:pPr>
              <w:adjustRightInd w:val="0"/>
              <w:snapToGrid w:val="0"/>
              <w:spacing w:line="360" w:lineRule="auto"/>
              <w:ind w:left="-88" w:leftChars="-42"/>
              <w:jc w:val="center"/>
              <w:rPr>
                <w:rFonts w:hint="eastAsia" w:ascii="宋体" w:hAnsi="宋体"/>
                <w:color w:val="auto"/>
                <w:szCs w:val="21"/>
              </w:rPr>
            </w:pPr>
          </w:p>
        </w:tc>
        <w:tc>
          <w:tcPr>
            <w:tcW w:w="1487" w:type="pct"/>
            <w:noWrap w:val="0"/>
            <w:vAlign w:val="center"/>
          </w:tcPr>
          <w:p w14:paraId="07F3BC10">
            <w:pPr>
              <w:adjustRightInd w:val="0"/>
              <w:snapToGrid w:val="0"/>
              <w:spacing w:line="360" w:lineRule="auto"/>
              <w:ind w:left="-88" w:leftChars="-42"/>
              <w:jc w:val="center"/>
              <w:rPr>
                <w:rFonts w:hint="eastAsia" w:ascii="宋体" w:hAnsi="宋体"/>
                <w:color w:val="auto"/>
                <w:szCs w:val="21"/>
              </w:rPr>
            </w:pPr>
          </w:p>
        </w:tc>
        <w:tc>
          <w:tcPr>
            <w:tcW w:w="694" w:type="pct"/>
            <w:noWrap w:val="0"/>
            <w:vAlign w:val="center"/>
          </w:tcPr>
          <w:p w14:paraId="3F53AE84">
            <w:pPr>
              <w:adjustRightInd w:val="0"/>
              <w:snapToGrid w:val="0"/>
              <w:spacing w:line="360" w:lineRule="auto"/>
              <w:ind w:left="-88" w:leftChars="-42"/>
              <w:jc w:val="center"/>
              <w:rPr>
                <w:rFonts w:hint="eastAsia" w:ascii="宋体" w:hAnsi="宋体"/>
                <w:color w:val="auto"/>
                <w:szCs w:val="21"/>
              </w:rPr>
            </w:pPr>
          </w:p>
        </w:tc>
        <w:tc>
          <w:tcPr>
            <w:tcW w:w="377" w:type="pct"/>
            <w:noWrap w:val="0"/>
            <w:vAlign w:val="center"/>
          </w:tcPr>
          <w:p w14:paraId="6F7CCC75">
            <w:pPr>
              <w:adjustRightInd w:val="0"/>
              <w:snapToGrid w:val="0"/>
              <w:spacing w:line="360" w:lineRule="auto"/>
              <w:ind w:left="-88" w:leftChars="-42"/>
              <w:jc w:val="center"/>
              <w:rPr>
                <w:rFonts w:hint="eastAsia" w:ascii="宋体" w:hAnsi="宋体"/>
                <w:color w:val="auto"/>
                <w:szCs w:val="21"/>
              </w:rPr>
            </w:pPr>
          </w:p>
        </w:tc>
      </w:tr>
      <w:tr w14:paraId="27B7FC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62" w:type="pct"/>
            <w:noWrap w:val="0"/>
            <w:vAlign w:val="top"/>
          </w:tcPr>
          <w:p w14:paraId="1B0C9FF0">
            <w:pPr>
              <w:adjustRightInd w:val="0"/>
              <w:snapToGrid w:val="0"/>
              <w:spacing w:line="360" w:lineRule="auto"/>
              <w:ind w:left="-88" w:leftChars="-42"/>
              <w:jc w:val="center"/>
              <w:rPr>
                <w:rFonts w:hint="eastAsia" w:ascii="宋体" w:hAnsi="宋体"/>
                <w:color w:val="auto"/>
                <w:szCs w:val="21"/>
              </w:rPr>
            </w:pPr>
          </w:p>
        </w:tc>
        <w:tc>
          <w:tcPr>
            <w:tcW w:w="963" w:type="pct"/>
            <w:noWrap w:val="0"/>
            <w:vAlign w:val="center"/>
          </w:tcPr>
          <w:p w14:paraId="71CBD2E1">
            <w:pPr>
              <w:adjustRightInd w:val="0"/>
              <w:snapToGrid w:val="0"/>
              <w:spacing w:line="360" w:lineRule="auto"/>
              <w:ind w:left="-88" w:leftChars="-42"/>
              <w:jc w:val="center"/>
              <w:rPr>
                <w:rFonts w:hint="eastAsia" w:ascii="宋体" w:hAnsi="宋体"/>
                <w:color w:val="auto"/>
                <w:szCs w:val="21"/>
              </w:rPr>
            </w:pPr>
          </w:p>
        </w:tc>
        <w:tc>
          <w:tcPr>
            <w:tcW w:w="1114" w:type="pct"/>
            <w:noWrap w:val="0"/>
            <w:vAlign w:val="center"/>
          </w:tcPr>
          <w:p w14:paraId="53194B10">
            <w:pPr>
              <w:adjustRightInd w:val="0"/>
              <w:snapToGrid w:val="0"/>
              <w:spacing w:line="360" w:lineRule="auto"/>
              <w:ind w:left="-88" w:leftChars="-42"/>
              <w:jc w:val="center"/>
              <w:rPr>
                <w:rFonts w:hint="eastAsia" w:ascii="宋体" w:hAnsi="宋体"/>
                <w:color w:val="auto"/>
                <w:szCs w:val="21"/>
              </w:rPr>
            </w:pPr>
          </w:p>
        </w:tc>
        <w:tc>
          <w:tcPr>
            <w:tcW w:w="1487" w:type="pct"/>
            <w:noWrap w:val="0"/>
            <w:vAlign w:val="center"/>
          </w:tcPr>
          <w:p w14:paraId="27C749A2">
            <w:pPr>
              <w:adjustRightInd w:val="0"/>
              <w:snapToGrid w:val="0"/>
              <w:spacing w:line="360" w:lineRule="auto"/>
              <w:ind w:left="-88" w:leftChars="-42"/>
              <w:jc w:val="center"/>
              <w:rPr>
                <w:rFonts w:hint="eastAsia" w:ascii="宋体" w:hAnsi="宋体"/>
                <w:color w:val="auto"/>
                <w:szCs w:val="21"/>
              </w:rPr>
            </w:pPr>
          </w:p>
        </w:tc>
        <w:tc>
          <w:tcPr>
            <w:tcW w:w="694" w:type="pct"/>
            <w:noWrap w:val="0"/>
            <w:vAlign w:val="center"/>
          </w:tcPr>
          <w:p w14:paraId="1309262C">
            <w:pPr>
              <w:adjustRightInd w:val="0"/>
              <w:snapToGrid w:val="0"/>
              <w:spacing w:line="360" w:lineRule="auto"/>
              <w:ind w:left="-88" w:leftChars="-42"/>
              <w:jc w:val="center"/>
              <w:rPr>
                <w:rFonts w:hint="eastAsia" w:ascii="宋体" w:hAnsi="宋体"/>
                <w:color w:val="auto"/>
                <w:szCs w:val="21"/>
              </w:rPr>
            </w:pPr>
          </w:p>
        </w:tc>
        <w:tc>
          <w:tcPr>
            <w:tcW w:w="377" w:type="pct"/>
            <w:noWrap w:val="0"/>
            <w:vAlign w:val="center"/>
          </w:tcPr>
          <w:p w14:paraId="619005D6">
            <w:pPr>
              <w:adjustRightInd w:val="0"/>
              <w:snapToGrid w:val="0"/>
              <w:spacing w:line="360" w:lineRule="auto"/>
              <w:ind w:left="-88" w:leftChars="-42"/>
              <w:jc w:val="center"/>
              <w:rPr>
                <w:rFonts w:hint="eastAsia" w:ascii="宋体" w:hAnsi="宋体"/>
                <w:color w:val="auto"/>
                <w:szCs w:val="21"/>
              </w:rPr>
            </w:pPr>
          </w:p>
        </w:tc>
      </w:tr>
    </w:tbl>
    <w:p w14:paraId="1AE8C6BD">
      <w:pPr>
        <w:adjustRightInd w:val="0"/>
        <w:snapToGrid w:val="0"/>
        <w:spacing w:line="360" w:lineRule="auto"/>
        <w:ind w:left="-88" w:leftChars="-42"/>
        <w:rPr>
          <w:rFonts w:hint="eastAsia" w:ascii="仿宋_GB2312" w:hAnsi="宋体" w:eastAsia="仿宋_GB2312"/>
          <w:color w:val="auto"/>
          <w:szCs w:val="21"/>
        </w:rPr>
      </w:pPr>
      <w:r>
        <w:rPr>
          <w:rFonts w:hint="eastAsia" w:ascii="仿宋_GB2312" w:hAnsi="宋体" w:eastAsia="仿宋_GB2312"/>
          <w:color w:val="auto"/>
          <w:szCs w:val="21"/>
        </w:rPr>
        <w:t>说明：1、“响应与偏离”应注明“响应”或“偏离”。</w:t>
      </w:r>
    </w:p>
    <w:p w14:paraId="472D63D4">
      <w:pPr>
        <w:adjustRightInd w:val="0"/>
        <w:snapToGrid w:val="0"/>
        <w:spacing w:line="360" w:lineRule="auto"/>
        <w:rPr>
          <w:rFonts w:hint="eastAsia" w:ascii="仿宋_GB2312" w:hAnsi="宋体" w:eastAsia="仿宋_GB2312"/>
          <w:color w:val="auto"/>
          <w:szCs w:val="21"/>
        </w:rPr>
      </w:pPr>
      <w:r>
        <w:rPr>
          <w:rFonts w:hint="eastAsia" w:ascii="仿宋_GB2312" w:hAnsi="宋体" w:eastAsia="仿宋_GB2312"/>
          <w:b/>
          <w:color w:val="auto"/>
          <w:szCs w:val="21"/>
        </w:rPr>
        <w:t xml:space="preserve">     </w:t>
      </w:r>
      <w:r>
        <w:rPr>
          <w:rFonts w:hint="eastAsia" w:ascii="仿宋_GB2312" w:hAnsi="宋体" w:eastAsia="仿宋_GB2312"/>
          <w:color w:val="auto"/>
          <w:szCs w:val="21"/>
        </w:rPr>
        <w:t>2、属磋商文件规定可能变动的内容在“说明”栏中注明。</w:t>
      </w:r>
    </w:p>
    <w:p w14:paraId="557419E1">
      <w:pPr>
        <w:pStyle w:val="12"/>
        <w:adjustRightInd w:val="0"/>
        <w:snapToGrid w:val="0"/>
        <w:spacing w:line="360" w:lineRule="auto"/>
        <w:rPr>
          <w:rFonts w:hint="eastAsia" w:ascii="宋体" w:hAnsi="宋体"/>
          <w:color w:val="auto"/>
          <w:sz w:val="21"/>
          <w:szCs w:val="21"/>
        </w:rPr>
      </w:pPr>
    </w:p>
    <w:p w14:paraId="41677120">
      <w:pPr>
        <w:spacing w:line="360" w:lineRule="auto"/>
        <w:rPr>
          <w:rFonts w:hint="eastAsia"/>
          <w:color w:val="auto"/>
        </w:rPr>
      </w:pPr>
    </w:p>
    <w:p w14:paraId="43C1735D">
      <w:pPr>
        <w:spacing w:line="360" w:lineRule="auto"/>
        <w:rPr>
          <w:rFonts w:hint="eastAsia"/>
          <w:color w:val="auto"/>
        </w:rPr>
      </w:pPr>
    </w:p>
    <w:p w14:paraId="3D3E5DDC">
      <w:pPr>
        <w:spacing w:line="360" w:lineRule="auto"/>
        <w:rPr>
          <w:rFonts w:hint="eastAsia"/>
          <w:color w:val="auto"/>
        </w:rPr>
      </w:pPr>
    </w:p>
    <w:p w14:paraId="4D41729A">
      <w:pPr>
        <w:spacing w:line="360" w:lineRule="auto"/>
        <w:rPr>
          <w:rFonts w:hint="eastAsia"/>
          <w:color w:val="auto"/>
        </w:rPr>
      </w:pPr>
    </w:p>
    <w:p w14:paraId="48C5BC0E">
      <w:pPr>
        <w:spacing w:line="360" w:lineRule="auto"/>
        <w:rPr>
          <w:rFonts w:hint="eastAsia"/>
          <w:color w:val="auto"/>
        </w:rPr>
      </w:pPr>
    </w:p>
    <w:p w14:paraId="271380F4">
      <w:pPr>
        <w:spacing w:line="360" w:lineRule="auto"/>
        <w:rPr>
          <w:rFonts w:hint="eastAsia"/>
          <w:color w:val="auto"/>
        </w:rPr>
      </w:pPr>
    </w:p>
    <w:p w14:paraId="69AA67BE">
      <w:pPr>
        <w:bidi w:val="0"/>
        <w:spacing w:line="360" w:lineRule="auto"/>
        <w:rPr>
          <w:rFonts w:hint="eastAsia"/>
        </w:rPr>
      </w:pPr>
      <w:bookmarkStart w:id="103" w:name="_Toc19423"/>
      <w:r>
        <w:rPr>
          <w:rFonts w:hint="eastAsia"/>
        </w:rPr>
        <w:t>供应商名称（盖单位公章）：</w:t>
      </w:r>
      <w:bookmarkEnd w:id="103"/>
      <w:r>
        <w:rPr>
          <w:rFonts w:hint="eastAsia"/>
        </w:rPr>
        <w:t xml:space="preserve">                   </w:t>
      </w:r>
    </w:p>
    <w:p w14:paraId="53F382A9">
      <w:pPr>
        <w:bidi w:val="0"/>
        <w:spacing w:line="360" w:lineRule="auto"/>
        <w:rPr>
          <w:rFonts w:hint="eastAsia"/>
        </w:rPr>
      </w:pPr>
      <w:bookmarkStart w:id="104" w:name="_Toc10664"/>
      <w:r>
        <w:rPr>
          <w:rFonts w:hint="eastAsia"/>
        </w:rPr>
        <w:t>法定代表人或其委托代理人(签字)：</w:t>
      </w:r>
      <w:bookmarkEnd w:id="104"/>
      <w:r>
        <w:rPr>
          <w:rFonts w:hint="eastAsia"/>
        </w:rPr>
        <w:t xml:space="preserve">                   </w:t>
      </w:r>
    </w:p>
    <w:p w14:paraId="48999160">
      <w:pPr>
        <w:bidi w:val="0"/>
        <w:spacing w:line="360" w:lineRule="auto"/>
        <w:rPr>
          <w:rFonts w:hint="eastAsia"/>
        </w:rPr>
      </w:pPr>
      <w:bookmarkStart w:id="105" w:name="_Toc17922"/>
      <w:r>
        <w:rPr>
          <w:rFonts w:hint="eastAsia"/>
        </w:rPr>
        <w:t>日          期：       年      月     日</w:t>
      </w:r>
      <w:bookmarkEnd w:id="105"/>
    </w:p>
    <w:p w14:paraId="6E921C68">
      <w:pPr>
        <w:adjustRightInd w:val="0"/>
        <w:snapToGrid w:val="0"/>
        <w:spacing w:line="360" w:lineRule="auto"/>
        <w:rPr>
          <w:rFonts w:hint="eastAsia" w:ascii="宋体" w:hAnsi="宋体"/>
          <w:color w:val="auto"/>
          <w:szCs w:val="21"/>
        </w:rPr>
      </w:pPr>
    </w:p>
    <w:p w14:paraId="19FF6BE9">
      <w:pPr>
        <w:tabs>
          <w:tab w:val="left" w:pos="3600"/>
        </w:tabs>
        <w:adjustRightInd w:val="0"/>
        <w:snapToGrid w:val="0"/>
        <w:spacing w:line="360" w:lineRule="auto"/>
        <w:jc w:val="center"/>
        <w:rPr>
          <w:rFonts w:hint="eastAsia" w:ascii="黑体" w:eastAsia="黑体"/>
          <w:b/>
          <w:color w:val="auto"/>
          <w:sz w:val="32"/>
          <w:szCs w:val="32"/>
        </w:rPr>
      </w:pPr>
    </w:p>
    <w:p w14:paraId="6795D04E">
      <w:pPr>
        <w:tabs>
          <w:tab w:val="left" w:pos="3600"/>
        </w:tabs>
        <w:adjustRightInd w:val="0"/>
        <w:snapToGrid w:val="0"/>
        <w:spacing w:line="360" w:lineRule="auto"/>
        <w:jc w:val="center"/>
        <w:rPr>
          <w:rFonts w:hint="eastAsia" w:ascii="黑体" w:eastAsia="黑体"/>
          <w:b/>
          <w:color w:val="auto"/>
          <w:sz w:val="32"/>
          <w:szCs w:val="32"/>
        </w:rPr>
      </w:pPr>
    </w:p>
    <w:p w14:paraId="1B8DE2E3">
      <w:pPr>
        <w:tabs>
          <w:tab w:val="left" w:pos="3600"/>
        </w:tabs>
        <w:adjustRightInd w:val="0"/>
        <w:snapToGrid w:val="0"/>
        <w:spacing w:line="360" w:lineRule="auto"/>
        <w:jc w:val="center"/>
        <w:rPr>
          <w:rFonts w:hint="eastAsia" w:ascii="黑体" w:eastAsia="黑体"/>
          <w:b/>
          <w:color w:val="auto"/>
          <w:sz w:val="32"/>
          <w:szCs w:val="32"/>
        </w:rPr>
      </w:pPr>
    </w:p>
    <w:p w14:paraId="51B3326F">
      <w:pPr>
        <w:tabs>
          <w:tab w:val="left" w:pos="3600"/>
        </w:tabs>
        <w:adjustRightInd w:val="0"/>
        <w:snapToGrid w:val="0"/>
        <w:spacing w:line="360" w:lineRule="auto"/>
        <w:jc w:val="center"/>
        <w:rPr>
          <w:rFonts w:hint="eastAsia" w:ascii="黑体" w:eastAsia="黑体"/>
          <w:b/>
          <w:color w:val="auto"/>
          <w:sz w:val="32"/>
          <w:szCs w:val="32"/>
        </w:rPr>
      </w:pPr>
    </w:p>
    <w:p w14:paraId="67CBE206">
      <w:pPr>
        <w:tabs>
          <w:tab w:val="left" w:pos="3600"/>
        </w:tabs>
        <w:adjustRightInd w:val="0"/>
        <w:snapToGrid w:val="0"/>
        <w:spacing w:line="360" w:lineRule="auto"/>
        <w:jc w:val="center"/>
        <w:rPr>
          <w:rFonts w:hint="eastAsia" w:ascii="黑体" w:eastAsia="黑体"/>
          <w:b/>
          <w:color w:val="auto"/>
          <w:sz w:val="32"/>
          <w:szCs w:val="32"/>
        </w:rPr>
      </w:pPr>
    </w:p>
    <w:p w14:paraId="6BCAA902">
      <w:pPr>
        <w:tabs>
          <w:tab w:val="left" w:pos="3600"/>
        </w:tabs>
        <w:adjustRightInd w:val="0"/>
        <w:snapToGrid w:val="0"/>
        <w:spacing w:line="360" w:lineRule="auto"/>
        <w:rPr>
          <w:rFonts w:hint="eastAsia" w:ascii="黑体" w:eastAsia="黑体"/>
          <w:b/>
          <w:color w:val="auto"/>
          <w:sz w:val="32"/>
          <w:szCs w:val="32"/>
        </w:rPr>
      </w:pPr>
    </w:p>
    <w:p w14:paraId="796B123A">
      <w:pPr>
        <w:tabs>
          <w:tab w:val="left" w:pos="3600"/>
        </w:tabs>
        <w:adjustRightInd w:val="0"/>
        <w:snapToGrid w:val="0"/>
        <w:spacing w:line="360" w:lineRule="auto"/>
        <w:jc w:val="center"/>
        <w:rPr>
          <w:rFonts w:hint="eastAsia" w:ascii="黑体" w:hAnsi="宋体" w:eastAsia="黑体"/>
          <w:b/>
          <w:color w:val="auto"/>
          <w:sz w:val="30"/>
          <w:szCs w:val="30"/>
        </w:rPr>
      </w:pPr>
      <w:r>
        <w:rPr>
          <w:rFonts w:hint="eastAsia" w:ascii="黑体" w:eastAsia="黑体"/>
          <w:b/>
          <w:color w:val="auto"/>
          <w:sz w:val="30"/>
          <w:szCs w:val="30"/>
        </w:rPr>
        <w:br w:type="page"/>
      </w:r>
      <w:r>
        <w:rPr>
          <w:rFonts w:hint="eastAsia" w:ascii="黑体" w:eastAsia="黑体"/>
          <w:b/>
          <w:color w:val="auto"/>
          <w:sz w:val="30"/>
          <w:szCs w:val="30"/>
        </w:rPr>
        <w:t>六、</w:t>
      </w:r>
      <w:r>
        <w:rPr>
          <w:rFonts w:hint="eastAsia" w:ascii="黑体" w:hAnsi="宋体" w:eastAsia="黑体"/>
          <w:b/>
          <w:color w:val="auto"/>
          <w:sz w:val="30"/>
          <w:szCs w:val="30"/>
        </w:rPr>
        <w:t>提供享受政府采购政策的证明材料和清单表</w:t>
      </w:r>
    </w:p>
    <w:p w14:paraId="1103CDF7">
      <w:pPr>
        <w:pStyle w:val="4"/>
        <w:bidi w:val="0"/>
        <w:rPr>
          <w:rFonts w:hint="eastAsia"/>
        </w:rPr>
      </w:pPr>
      <w:r>
        <w:rPr>
          <w:rFonts w:hint="eastAsia"/>
        </w:rPr>
        <w:t>附件</w:t>
      </w:r>
      <w:r>
        <w:rPr>
          <w:rFonts w:hint="eastAsia"/>
          <w:lang w:val="en-US" w:eastAsia="zh-CN"/>
        </w:rPr>
        <w:t>8-1</w:t>
      </w:r>
      <w:r>
        <w:rPr>
          <w:rFonts w:hint="eastAsia"/>
        </w:rPr>
        <w:t>中小企业声明函</w:t>
      </w:r>
    </w:p>
    <w:p w14:paraId="46D8813C">
      <w:pPr>
        <w:tabs>
          <w:tab w:val="left" w:pos="3600"/>
        </w:tabs>
        <w:adjustRightInd w:val="0"/>
        <w:snapToGrid w:val="0"/>
        <w:spacing w:line="360" w:lineRule="auto"/>
        <w:jc w:val="center"/>
        <w:rPr>
          <w:rFonts w:hint="eastAsia" w:ascii="宋体" w:hAnsi="宋体" w:eastAsia="宋体" w:cs="宋体"/>
          <w:b/>
          <w:bCs/>
          <w:color w:val="auto"/>
          <w:spacing w:val="6"/>
          <w:kern w:val="0"/>
          <w:sz w:val="32"/>
          <w:szCs w:val="32"/>
          <w:highlight w:val="none"/>
        </w:rPr>
      </w:pPr>
      <w:r>
        <w:rPr>
          <w:rFonts w:hint="eastAsia"/>
          <w:b/>
          <w:bCs/>
          <w:sz w:val="32"/>
          <w:szCs w:val="32"/>
        </w:rPr>
        <w:t>中小企业声明函</w:t>
      </w:r>
    </w:p>
    <w:p w14:paraId="56DA410F">
      <w:pPr>
        <w:pStyle w:val="40"/>
        <w:adjustRightInd w:val="0"/>
        <w:snapToGrid w:val="0"/>
        <w:spacing w:before="50" w:line="360" w:lineRule="auto"/>
        <w:ind w:left="-88" w:leftChars="-42" w:firstLine="420" w:firstLineChars="200"/>
        <w:rPr>
          <w:rFonts w:ascii="宋体" w:hAnsi="宋体" w:eastAsia="宋体" w:cs="Times New Roman"/>
          <w:szCs w:val="21"/>
        </w:rPr>
      </w:pPr>
      <w:r>
        <w:rPr>
          <w:rFonts w:hint="eastAsia" w:ascii="宋体" w:hAnsi="宋体" w:eastAsia="宋体" w:cs="Times New Roman"/>
          <w:szCs w:val="21"/>
        </w:rPr>
        <w:t>本公司（联合体）郑重声明，根据《政府采购促进中小企业发展管理办法》（财库﹝</w:t>
      </w:r>
      <w:r>
        <w:rPr>
          <w:rFonts w:ascii="宋体" w:hAnsi="宋体" w:eastAsia="宋体" w:cs="Times New Roman"/>
          <w:szCs w:val="21"/>
        </w:rPr>
        <w:t xml:space="preserve">2020﹞46 </w:t>
      </w:r>
      <w:r>
        <w:rPr>
          <w:rFonts w:hint="eastAsia" w:ascii="宋体" w:hAnsi="宋体" w:eastAsia="宋体" w:cs="Times New Roman"/>
          <w:szCs w:val="21"/>
        </w:rPr>
        <w:t>号）的规定，本公司（联合体）参加</w:t>
      </w:r>
      <w:r>
        <w:rPr>
          <w:rFonts w:ascii="宋体" w:hAnsi="宋体" w:eastAsia="宋体" w:cs="Times New Roman"/>
          <w:szCs w:val="21"/>
        </w:rPr>
        <w:t xml:space="preserve"> </w:t>
      </w:r>
      <w:r>
        <w:rPr>
          <w:rFonts w:hint="eastAsia" w:ascii="宋体" w:hAnsi="宋体" w:cs="Times New Roman"/>
          <w:szCs w:val="21"/>
          <w:u w:val="single"/>
          <w:lang w:val="en-US" w:eastAsia="zh-CN"/>
        </w:rPr>
        <w:t xml:space="preserve">           </w:t>
      </w:r>
      <w:r>
        <w:rPr>
          <w:rFonts w:hint="eastAsia" w:ascii="宋体" w:hAnsi="宋体" w:eastAsia="宋体" w:cs="Times New Roman"/>
          <w:szCs w:val="21"/>
        </w:rPr>
        <w:t>（单位名称）</w:t>
      </w:r>
      <w:r>
        <w:rPr>
          <w:rFonts w:ascii="宋体" w:hAnsi="宋体" w:eastAsia="宋体" w:cs="Times New Roman"/>
          <w:szCs w:val="21"/>
        </w:rPr>
        <w:t xml:space="preserve"> </w:t>
      </w:r>
      <w:r>
        <w:rPr>
          <w:rFonts w:hint="eastAsia" w:ascii="宋体" w:hAnsi="宋体" w:eastAsia="宋体" w:cs="Times New Roman"/>
          <w:szCs w:val="21"/>
        </w:rPr>
        <w:t>的</w:t>
      </w:r>
      <w:r>
        <w:rPr>
          <w:rFonts w:ascii="宋体" w:hAnsi="宋体" w:eastAsia="宋体" w:cs="Times New Roman"/>
          <w:szCs w:val="21"/>
        </w:rPr>
        <w:t xml:space="preserve"> </w:t>
      </w:r>
      <w:r>
        <w:rPr>
          <w:rFonts w:hint="eastAsia" w:ascii="宋体" w:hAnsi="宋体" w:cs="Times New Roman"/>
          <w:szCs w:val="21"/>
          <w:u w:val="single"/>
          <w:lang w:val="en-US" w:eastAsia="zh-CN"/>
        </w:rPr>
        <w:t xml:space="preserve">            </w:t>
      </w:r>
      <w:r>
        <w:rPr>
          <w:rFonts w:hint="eastAsia" w:ascii="宋体" w:hAnsi="宋体" w:eastAsia="宋体" w:cs="Times New Roman"/>
          <w:szCs w:val="21"/>
        </w:rPr>
        <w:t>（项目名称）</w:t>
      </w:r>
      <w:r>
        <w:rPr>
          <w:rFonts w:ascii="宋体" w:hAnsi="宋体" w:eastAsia="宋体" w:cs="Times New Roman"/>
          <w:szCs w:val="21"/>
        </w:rPr>
        <w:t xml:space="preserve"> </w:t>
      </w:r>
      <w:r>
        <w:rPr>
          <w:rFonts w:hint="eastAsia" w:ascii="宋体" w:hAnsi="宋体" w:eastAsia="宋体" w:cs="Times New Roman"/>
          <w:szCs w:val="21"/>
        </w:rPr>
        <w:t>采购活动，提供的货物全部由符合政策要求的中小企业制造。相关企业（含联合体中的中小企业、签订分包意向协议的中小企业）的具体情况如下：</w:t>
      </w:r>
    </w:p>
    <w:p w14:paraId="0A1A2EA9">
      <w:pPr>
        <w:pStyle w:val="40"/>
        <w:adjustRightInd w:val="0"/>
        <w:snapToGrid w:val="0"/>
        <w:spacing w:before="50" w:line="360" w:lineRule="auto"/>
        <w:ind w:left="-88" w:leftChars="-42" w:firstLine="420" w:firstLineChars="200"/>
        <w:rPr>
          <w:rFonts w:ascii="宋体" w:hAnsi="宋体" w:eastAsia="宋体" w:cs="Times New Roman"/>
          <w:szCs w:val="21"/>
        </w:rPr>
      </w:pPr>
      <w:r>
        <w:rPr>
          <w:rFonts w:ascii="宋体" w:hAnsi="宋体" w:eastAsia="宋体" w:cs="Times New Roman"/>
          <w:szCs w:val="21"/>
        </w:rPr>
        <w:t xml:space="preserve">1. </w:t>
      </w:r>
      <w:r>
        <w:rPr>
          <w:rFonts w:hint="eastAsia" w:ascii="宋体" w:hAnsi="宋体" w:eastAsia="宋体" w:cs="Times New Roman"/>
          <w:szCs w:val="21"/>
          <w:u w:val="single"/>
        </w:rPr>
        <w:t>（标的名称）</w:t>
      </w:r>
      <w:r>
        <w:rPr>
          <w:rFonts w:ascii="宋体" w:hAnsi="宋体" w:eastAsia="宋体" w:cs="Times New Roman"/>
          <w:szCs w:val="21"/>
          <w:u w:val="single"/>
        </w:rPr>
        <w:t xml:space="preserve"> </w:t>
      </w:r>
      <w:r>
        <w:rPr>
          <w:rFonts w:hint="eastAsia" w:ascii="宋体" w:hAnsi="宋体" w:eastAsia="宋体" w:cs="Times New Roman"/>
          <w:szCs w:val="21"/>
        </w:rPr>
        <w:t>，属于</w:t>
      </w:r>
      <w:r>
        <w:rPr>
          <w:rFonts w:ascii="宋体" w:hAnsi="宋体" w:eastAsia="宋体" w:cs="Times New Roman"/>
          <w:szCs w:val="21"/>
          <w:u w:val="single"/>
        </w:rPr>
        <w:t xml:space="preserve"> </w:t>
      </w:r>
      <w:r>
        <w:rPr>
          <w:rFonts w:hint="eastAsia" w:ascii="宋体" w:hAnsi="宋体" w:eastAsia="宋体" w:cs="Times New Roman"/>
          <w:szCs w:val="21"/>
          <w:u w:val="single"/>
        </w:rPr>
        <w:t>（采购文件中明确的所属行业）</w:t>
      </w:r>
      <w:r>
        <w:rPr>
          <w:rFonts w:hint="eastAsia" w:ascii="宋体" w:hAnsi="宋体" w:eastAsia="宋体" w:cs="Times New Roman"/>
          <w:szCs w:val="21"/>
        </w:rPr>
        <w:t>行业</w:t>
      </w:r>
      <w:r>
        <w:rPr>
          <w:rFonts w:ascii="宋体" w:hAnsi="宋体" w:eastAsia="宋体" w:cs="Times New Roman"/>
          <w:szCs w:val="21"/>
        </w:rPr>
        <w:t xml:space="preserve"> </w:t>
      </w:r>
      <w:r>
        <w:rPr>
          <w:rFonts w:hint="eastAsia" w:ascii="宋体" w:hAnsi="宋体" w:eastAsia="宋体" w:cs="Times New Roman"/>
          <w:szCs w:val="21"/>
        </w:rPr>
        <w:t>；制造商为</w:t>
      </w:r>
      <w:r>
        <w:rPr>
          <w:rFonts w:ascii="宋体" w:hAnsi="宋体" w:eastAsia="宋体" w:cs="Times New Roman"/>
          <w:szCs w:val="21"/>
        </w:rPr>
        <w:t xml:space="preserve"> </w:t>
      </w:r>
      <w:r>
        <w:rPr>
          <w:rFonts w:hint="eastAsia" w:ascii="宋体" w:hAnsi="宋体" w:eastAsia="宋体" w:cs="Times New Roman"/>
          <w:szCs w:val="21"/>
          <w:u w:val="single"/>
        </w:rPr>
        <w:t>（企业名称）</w:t>
      </w:r>
      <w:r>
        <w:rPr>
          <w:rFonts w:ascii="宋体" w:hAnsi="宋体" w:eastAsia="宋体" w:cs="Times New Roman"/>
          <w:szCs w:val="21"/>
        </w:rPr>
        <w:t xml:space="preserve"> </w:t>
      </w:r>
      <w:r>
        <w:rPr>
          <w:rFonts w:hint="eastAsia" w:ascii="宋体" w:hAnsi="宋体" w:eastAsia="宋体" w:cs="Times New Roman"/>
          <w:szCs w:val="21"/>
        </w:rPr>
        <w:t>，从业人员</w:t>
      </w:r>
      <w:r>
        <w:rPr>
          <w:rFonts w:ascii="宋体" w:hAnsi="宋体" w:eastAsia="宋体" w:cs="Times New Roman"/>
          <w:szCs w:val="21"/>
          <w:u w:val="single"/>
        </w:rPr>
        <w:t xml:space="preserve">   </w:t>
      </w:r>
      <w:r>
        <w:rPr>
          <w:rFonts w:hint="eastAsia" w:ascii="宋体" w:hAnsi="宋体" w:eastAsia="宋体" w:cs="Times New Roman"/>
          <w:szCs w:val="21"/>
        </w:rPr>
        <w:t>人，营业收入为</w:t>
      </w:r>
      <w:r>
        <w:rPr>
          <w:rFonts w:ascii="宋体" w:hAnsi="宋体" w:eastAsia="宋体" w:cs="Times New Roman"/>
          <w:szCs w:val="21"/>
          <w:u w:val="single"/>
        </w:rPr>
        <w:t xml:space="preserve">   </w:t>
      </w:r>
      <w:r>
        <w:rPr>
          <w:rFonts w:hint="eastAsia" w:ascii="宋体" w:hAnsi="宋体" w:eastAsia="宋体" w:cs="Times New Roman"/>
          <w:szCs w:val="21"/>
        </w:rPr>
        <w:t>万元，资产总额为</w:t>
      </w:r>
      <w:r>
        <w:rPr>
          <w:rFonts w:ascii="宋体" w:hAnsi="宋体" w:eastAsia="宋体" w:cs="Times New Roman"/>
          <w:szCs w:val="21"/>
          <w:u w:val="single"/>
        </w:rPr>
        <w:t xml:space="preserve">   </w:t>
      </w:r>
      <w:r>
        <w:rPr>
          <w:rFonts w:hint="eastAsia" w:ascii="宋体" w:hAnsi="宋体" w:eastAsia="宋体" w:cs="Times New Roman"/>
          <w:szCs w:val="21"/>
        </w:rPr>
        <w:t>万元，属于</w:t>
      </w:r>
      <w:r>
        <w:rPr>
          <w:rFonts w:ascii="宋体" w:hAnsi="宋体" w:eastAsia="宋体" w:cs="Times New Roman"/>
          <w:szCs w:val="21"/>
          <w:u w:val="single"/>
        </w:rPr>
        <w:t xml:space="preserve"> </w:t>
      </w:r>
      <w:r>
        <w:rPr>
          <w:rFonts w:hint="eastAsia" w:ascii="宋体" w:hAnsi="宋体" w:eastAsia="宋体" w:cs="Times New Roman"/>
          <w:szCs w:val="21"/>
          <w:u w:val="single"/>
        </w:rPr>
        <w:t>（中型企业、小型企业、微型企业）</w:t>
      </w:r>
      <w:r>
        <w:rPr>
          <w:rFonts w:ascii="宋体" w:hAnsi="宋体" w:eastAsia="宋体" w:cs="Times New Roman"/>
          <w:szCs w:val="21"/>
          <w:u w:val="single"/>
        </w:rPr>
        <w:t xml:space="preserve"> </w:t>
      </w:r>
      <w:r>
        <w:rPr>
          <w:rFonts w:hint="eastAsia" w:ascii="宋体" w:hAnsi="宋体" w:eastAsia="宋体" w:cs="Times New Roman"/>
          <w:szCs w:val="21"/>
        </w:rPr>
        <w:t>；</w:t>
      </w:r>
    </w:p>
    <w:p w14:paraId="1009912D">
      <w:pPr>
        <w:pStyle w:val="40"/>
        <w:adjustRightInd w:val="0"/>
        <w:snapToGrid w:val="0"/>
        <w:spacing w:before="50" w:line="360" w:lineRule="auto"/>
        <w:ind w:left="-88" w:leftChars="-42" w:firstLine="420" w:firstLineChars="200"/>
        <w:rPr>
          <w:rFonts w:ascii="宋体" w:hAnsi="宋体" w:eastAsia="宋体" w:cs="Times New Roman"/>
          <w:szCs w:val="21"/>
        </w:rPr>
      </w:pPr>
      <w:r>
        <w:rPr>
          <w:rFonts w:ascii="宋体" w:hAnsi="宋体" w:eastAsia="宋体" w:cs="Times New Roman"/>
          <w:szCs w:val="21"/>
        </w:rPr>
        <w:t xml:space="preserve">2. </w:t>
      </w:r>
      <w:r>
        <w:rPr>
          <w:rFonts w:hint="eastAsia" w:ascii="宋体" w:hAnsi="宋体" w:eastAsia="宋体" w:cs="Times New Roman"/>
          <w:szCs w:val="21"/>
          <w:u w:val="single"/>
        </w:rPr>
        <w:t>（标的名称）</w:t>
      </w:r>
      <w:r>
        <w:rPr>
          <w:rFonts w:ascii="宋体" w:hAnsi="宋体" w:eastAsia="宋体" w:cs="Times New Roman"/>
          <w:szCs w:val="21"/>
          <w:u w:val="single"/>
        </w:rPr>
        <w:t xml:space="preserve"> </w:t>
      </w:r>
      <w:r>
        <w:rPr>
          <w:rFonts w:hint="eastAsia" w:ascii="宋体" w:hAnsi="宋体" w:eastAsia="宋体" w:cs="Times New Roman"/>
          <w:szCs w:val="21"/>
        </w:rPr>
        <w:t>，属于</w:t>
      </w:r>
      <w:r>
        <w:rPr>
          <w:rFonts w:ascii="宋体" w:hAnsi="宋体" w:eastAsia="宋体" w:cs="Times New Roman"/>
          <w:szCs w:val="21"/>
          <w:u w:val="single"/>
        </w:rPr>
        <w:t xml:space="preserve"> </w:t>
      </w:r>
      <w:r>
        <w:rPr>
          <w:rFonts w:hint="eastAsia" w:ascii="宋体" w:hAnsi="宋体" w:eastAsia="宋体" w:cs="Times New Roman"/>
          <w:szCs w:val="21"/>
          <w:u w:val="single"/>
        </w:rPr>
        <w:t>（采购文件中明确的所属行业）</w:t>
      </w:r>
      <w:r>
        <w:rPr>
          <w:rFonts w:hint="eastAsia" w:ascii="宋体" w:hAnsi="宋体" w:eastAsia="宋体" w:cs="Times New Roman"/>
          <w:szCs w:val="21"/>
        </w:rPr>
        <w:t>行业</w:t>
      </w:r>
      <w:r>
        <w:rPr>
          <w:rFonts w:ascii="宋体" w:hAnsi="宋体" w:eastAsia="宋体" w:cs="Times New Roman"/>
          <w:szCs w:val="21"/>
        </w:rPr>
        <w:t xml:space="preserve"> </w:t>
      </w:r>
      <w:r>
        <w:rPr>
          <w:rFonts w:hint="eastAsia" w:ascii="宋体" w:hAnsi="宋体" w:eastAsia="宋体" w:cs="Times New Roman"/>
          <w:szCs w:val="21"/>
        </w:rPr>
        <w:t>；制造商为</w:t>
      </w:r>
      <w:r>
        <w:rPr>
          <w:rFonts w:ascii="宋体" w:hAnsi="宋体" w:eastAsia="宋体" w:cs="Times New Roman"/>
          <w:szCs w:val="21"/>
        </w:rPr>
        <w:t xml:space="preserve"> </w:t>
      </w:r>
      <w:r>
        <w:rPr>
          <w:rFonts w:hint="eastAsia" w:ascii="宋体" w:hAnsi="宋体" w:eastAsia="宋体" w:cs="Times New Roman"/>
          <w:szCs w:val="21"/>
          <w:u w:val="single"/>
        </w:rPr>
        <w:t>（企业名称）</w:t>
      </w:r>
      <w:r>
        <w:rPr>
          <w:rFonts w:ascii="宋体" w:hAnsi="宋体" w:eastAsia="宋体" w:cs="Times New Roman"/>
          <w:szCs w:val="21"/>
        </w:rPr>
        <w:t xml:space="preserve"> </w:t>
      </w:r>
      <w:r>
        <w:rPr>
          <w:rFonts w:hint="eastAsia" w:ascii="宋体" w:hAnsi="宋体" w:eastAsia="宋体" w:cs="Times New Roman"/>
          <w:szCs w:val="21"/>
        </w:rPr>
        <w:t>，从业人员</w:t>
      </w:r>
      <w:r>
        <w:rPr>
          <w:rFonts w:ascii="宋体" w:hAnsi="宋体" w:eastAsia="宋体" w:cs="Times New Roman"/>
          <w:szCs w:val="21"/>
          <w:u w:val="single"/>
        </w:rPr>
        <w:t xml:space="preserve">   </w:t>
      </w:r>
      <w:r>
        <w:rPr>
          <w:rFonts w:hint="eastAsia" w:ascii="宋体" w:hAnsi="宋体" w:eastAsia="宋体" w:cs="Times New Roman"/>
          <w:szCs w:val="21"/>
        </w:rPr>
        <w:t>人，营业收入为</w:t>
      </w:r>
      <w:r>
        <w:rPr>
          <w:rFonts w:ascii="宋体" w:hAnsi="宋体" w:eastAsia="宋体" w:cs="Times New Roman"/>
          <w:szCs w:val="21"/>
          <w:u w:val="single"/>
        </w:rPr>
        <w:t xml:space="preserve">   </w:t>
      </w:r>
      <w:r>
        <w:rPr>
          <w:rFonts w:hint="eastAsia" w:ascii="宋体" w:hAnsi="宋体" w:eastAsia="宋体" w:cs="Times New Roman"/>
          <w:szCs w:val="21"/>
        </w:rPr>
        <w:t>万元，资产总额为</w:t>
      </w:r>
      <w:r>
        <w:rPr>
          <w:rFonts w:ascii="宋体" w:hAnsi="宋体" w:eastAsia="宋体" w:cs="Times New Roman"/>
          <w:szCs w:val="21"/>
          <w:u w:val="single"/>
        </w:rPr>
        <w:t xml:space="preserve">   </w:t>
      </w:r>
      <w:r>
        <w:rPr>
          <w:rFonts w:hint="eastAsia" w:ascii="宋体" w:hAnsi="宋体" w:eastAsia="宋体" w:cs="Times New Roman"/>
          <w:szCs w:val="21"/>
        </w:rPr>
        <w:t>万元，属于</w:t>
      </w:r>
      <w:r>
        <w:rPr>
          <w:rFonts w:ascii="宋体" w:hAnsi="宋体" w:eastAsia="宋体" w:cs="Times New Roman"/>
          <w:szCs w:val="21"/>
          <w:u w:val="single"/>
        </w:rPr>
        <w:t xml:space="preserve"> </w:t>
      </w:r>
      <w:r>
        <w:rPr>
          <w:rFonts w:hint="eastAsia" w:ascii="宋体" w:hAnsi="宋体" w:eastAsia="宋体" w:cs="Times New Roman"/>
          <w:szCs w:val="21"/>
          <w:u w:val="single"/>
        </w:rPr>
        <w:t>（中型企业、小型企业、微型企业）</w:t>
      </w:r>
      <w:r>
        <w:rPr>
          <w:rFonts w:ascii="宋体" w:hAnsi="宋体" w:eastAsia="宋体" w:cs="Times New Roman"/>
          <w:szCs w:val="21"/>
          <w:u w:val="single"/>
        </w:rPr>
        <w:t xml:space="preserve"> </w:t>
      </w:r>
      <w:r>
        <w:rPr>
          <w:rFonts w:hint="eastAsia" w:ascii="宋体" w:hAnsi="宋体" w:eastAsia="宋体" w:cs="Times New Roman"/>
          <w:szCs w:val="21"/>
        </w:rPr>
        <w:t>；</w:t>
      </w:r>
    </w:p>
    <w:p w14:paraId="3D585A74">
      <w:pPr>
        <w:pStyle w:val="40"/>
        <w:adjustRightInd w:val="0"/>
        <w:snapToGrid w:val="0"/>
        <w:spacing w:before="50" w:line="360" w:lineRule="auto"/>
        <w:ind w:left="-88" w:leftChars="-42" w:firstLine="420" w:firstLineChars="200"/>
        <w:rPr>
          <w:rFonts w:ascii="宋体" w:hAnsi="宋体" w:eastAsia="宋体" w:cs="Times New Roman"/>
          <w:szCs w:val="21"/>
        </w:rPr>
      </w:pPr>
      <w:r>
        <w:rPr>
          <w:rFonts w:hint="eastAsia" w:ascii="宋体" w:hAnsi="宋体" w:eastAsia="宋体" w:cs="Times New Roman"/>
          <w:szCs w:val="21"/>
        </w:rPr>
        <w:t>……</w:t>
      </w:r>
    </w:p>
    <w:p w14:paraId="55F50C58">
      <w:pPr>
        <w:pStyle w:val="40"/>
        <w:adjustRightInd w:val="0"/>
        <w:snapToGrid w:val="0"/>
        <w:spacing w:before="50" w:line="360" w:lineRule="auto"/>
        <w:ind w:left="-88" w:leftChars="-42" w:firstLine="420" w:firstLineChars="200"/>
        <w:rPr>
          <w:rFonts w:ascii="宋体" w:hAnsi="宋体" w:eastAsia="宋体" w:cs="Times New Roman"/>
          <w:szCs w:val="21"/>
        </w:rPr>
      </w:pPr>
      <w:r>
        <w:rPr>
          <w:rFonts w:hint="eastAsia" w:ascii="宋体" w:hAnsi="宋体" w:eastAsia="宋体" w:cs="Times New Roman"/>
          <w:szCs w:val="21"/>
        </w:rPr>
        <w:t>以上企业，不属于大企业的分支机构，不存在控股股东为大企业的情形，也不存在与大企业的负责人为同一人的情形。</w:t>
      </w:r>
    </w:p>
    <w:p w14:paraId="693F8C0E">
      <w:pPr>
        <w:pStyle w:val="40"/>
        <w:adjustRightInd w:val="0"/>
        <w:snapToGrid w:val="0"/>
        <w:spacing w:before="50" w:line="360" w:lineRule="auto"/>
        <w:ind w:left="-88" w:leftChars="-42" w:firstLine="420" w:firstLineChars="200"/>
        <w:rPr>
          <w:rFonts w:ascii="宋体" w:hAnsi="宋体" w:eastAsia="宋体" w:cs="Times New Roman"/>
          <w:szCs w:val="21"/>
        </w:rPr>
      </w:pPr>
      <w:r>
        <w:rPr>
          <w:rFonts w:hint="eastAsia" w:ascii="宋体" w:hAnsi="宋体" w:eastAsia="宋体" w:cs="Times New Roman"/>
          <w:szCs w:val="21"/>
        </w:rPr>
        <w:t>本企业对上述声明内容的真实性负责。如有虚假，将依法承担相应责任。</w:t>
      </w:r>
    </w:p>
    <w:p w14:paraId="6FBE823B">
      <w:pPr>
        <w:pStyle w:val="40"/>
        <w:adjustRightInd w:val="0"/>
        <w:snapToGrid w:val="0"/>
        <w:spacing w:before="50" w:line="360" w:lineRule="auto"/>
        <w:ind w:left="-88" w:leftChars="-42" w:firstLine="420" w:firstLineChars="200"/>
        <w:rPr>
          <w:rFonts w:hint="eastAsia" w:ascii="宋体" w:hAnsi="宋体" w:eastAsia="宋体" w:cs="Times New Roman"/>
          <w:szCs w:val="21"/>
        </w:rPr>
      </w:pPr>
    </w:p>
    <w:p w14:paraId="4A99A16E">
      <w:pPr>
        <w:pStyle w:val="40"/>
        <w:adjustRightInd w:val="0"/>
        <w:snapToGrid w:val="0"/>
        <w:spacing w:before="50" w:line="360" w:lineRule="auto"/>
        <w:ind w:left="-88" w:leftChars="-42" w:firstLine="420" w:firstLineChars="200"/>
        <w:rPr>
          <w:rFonts w:ascii="宋体" w:hAnsi="宋体" w:eastAsia="宋体" w:cs="Times New Roman"/>
          <w:szCs w:val="21"/>
        </w:rPr>
      </w:pPr>
      <w:r>
        <w:rPr>
          <w:rFonts w:hint="eastAsia" w:ascii="宋体" w:hAnsi="宋体" w:eastAsia="宋体" w:cs="Times New Roman"/>
          <w:szCs w:val="21"/>
        </w:rPr>
        <w:t>企业名称（单位电子签章）：</w:t>
      </w:r>
    </w:p>
    <w:p w14:paraId="6F864B76">
      <w:pPr>
        <w:pStyle w:val="40"/>
        <w:adjustRightInd w:val="0"/>
        <w:snapToGrid w:val="0"/>
        <w:spacing w:before="50" w:line="360" w:lineRule="auto"/>
        <w:ind w:left="-88" w:leftChars="-42" w:firstLine="420" w:firstLineChars="200"/>
        <w:rPr>
          <w:rFonts w:ascii="宋体" w:hAnsi="宋体" w:eastAsia="宋体" w:cs="Times New Roman"/>
          <w:szCs w:val="21"/>
        </w:rPr>
      </w:pPr>
      <w:r>
        <w:rPr>
          <w:rFonts w:hint="eastAsia" w:ascii="宋体" w:hAnsi="宋体" w:eastAsia="宋体" w:cs="Times New Roman"/>
          <w:szCs w:val="21"/>
        </w:rPr>
        <w:t>日</w:t>
      </w:r>
      <w:r>
        <w:rPr>
          <w:rFonts w:ascii="宋体" w:hAnsi="宋体" w:eastAsia="宋体" w:cs="Times New Roman"/>
          <w:szCs w:val="21"/>
        </w:rPr>
        <w:t xml:space="preserve"> </w:t>
      </w:r>
      <w:r>
        <w:rPr>
          <w:rFonts w:hint="eastAsia" w:ascii="宋体" w:hAnsi="宋体" w:eastAsia="宋体" w:cs="Times New Roman"/>
          <w:szCs w:val="21"/>
        </w:rPr>
        <w:t>期：</w:t>
      </w:r>
    </w:p>
    <w:p w14:paraId="156F2598">
      <w:pPr>
        <w:pStyle w:val="40"/>
        <w:adjustRightInd w:val="0"/>
        <w:snapToGrid w:val="0"/>
        <w:spacing w:before="50" w:line="360" w:lineRule="auto"/>
        <w:ind w:left="-88" w:leftChars="-42" w:firstLine="420" w:firstLineChars="200"/>
        <w:rPr>
          <w:rFonts w:ascii="宋体" w:hAnsi="宋体" w:eastAsia="宋体" w:cs="Times New Roman"/>
          <w:szCs w:val="21"/>
        </w:rPr>
      </w:pPr>
    </w:p>
    <w:p w14:paraId="10908FB3">
      <w:pPr>
        <w:pStyle w:val="40"/>
        <w:adjustRightInd w:val="0"/>
        <w:snapToGrid w:val="0"/>
        <w:spacing w:before="50" w:line="360" w:lineRule="auto"/>
        <w:ind w:left="-88" w:leftChars="-42" w:firstLine="420" w:firstLineChars="200"/>
        <w:rPr>
          <w:rFonts w:ascii="宋体" w:hAnsi="宋体" w:eastAsia="宋体" w:cs="Times New Roman"/>
          <w:szCs w:val="21"/>
        </w:rPr>
      </w:pPr>
    </w:p>
    <w:p w14:paraId="6283EAF0">
      <w:pPr>
        <w:pStyle w:val="40"/>
        <w:adjustRightInd w:val="0"/>
        <w:snapToGrid w:val="0"/>
        <w:spacing w:before="50" w:line="360" w:lineRule="auto"/>
        <w:ind w:left="-88" w:leftChars="-42" w:firstLine="420" w:firstLineChars="200"/>
        <w:rPr>
          <w:rFonts w:ascii="宋体" w:hAnsi="宋体" w:eastAsia="宋体" w:cs="Times New Roman"/>
          <w:szCs w:val="21"/>
        </w:rPr>
      </w:pPr>
    </w:p>
    <w:p w14:paraId="52D8820D">
      <w:pPr>
        <w:pStyle w:val="40"/>
        <w:adjustRightInd w:val="0"/>
        <w:snapToGrid w:val="0"/>
        <w:spacing w:before="50" w:line="360" w:lineRule="auto"/>
        <w:ind w:left="-88" w:leftChars="-42" w:firstLine="420" w:firstLineChars="200"/>
        <w:rPr>
          <w:rFonts w:ascii="宋体" w:hAnsi="宋体" w:eastAsia="宋体" w:cs="Times New Roman"/>
          <w:szCs w:val="21"/>
        </w:rPr>
      </w:pPr>
    </w:p>
    <w:p w14:paraId="79AA5F12">
      <w:pPr>
        <w:pStyle w:val="40"/>
        <w:adjustRightInd w:val="0"/>
        <w:snapToGrid w:val="0"/>
        <w:spacing w:before="50" w:line="360" w:lineRule="auto"/>
        <w:ind w:left="-88" w:leftChars="-42" w:firstLine="420" w:firstLineChars="200"/>
        <w:rPr>
          <w:rFonts w:ascii="宋体" w:hAnsi="宋体" w:eastAsia="宋体" w:cs="Times New Roman"/>
          <w:szCs w:val="21"/>
        </w:rPr>
      </w:pPr>
    </w:p>
    <w:p w14:paraId="3E595972">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注：1.从业人员、营业收入、资产总额填报上一年度数据，无上一年度数据的新成立企业可不填写。</w:t>
      </w:r>
    </w:p>
    <w:p w14:paraId="10B29F56">
      <w:pPr>
        <w:widowControl/>
        <w:adjustRightInd w:val="0"/>
        <w:snapToGrid w:val="0"/>
        <w:spacing w:line="360" w:lineRule="auto"/>
        <w:ind w:firstLine="420" w:firstLineChars="200"/>
        <w:jc w:val="center"/>
        <w:rPr>
          <w:rFonts w:hint="eastAsia" w:ascii="宋体" w:hAnsi="宋体" w:eastAsia="宋体" w:cs="宋体"/>
          <w:color w:val="auto"/>
          <w:szCs w:val="21"/>
          <w:highlight w:val="none"/>
        </w:rPr>
      </w:pPr>
    </w:p>
    <w:p w14:paraId="19477952">
      <w:pPr>
        <w:widowControl/>
        <w:adjustRightInd w:val="0"/>
        <w:snapToGrid w:val="0"/>
        <w:spacing w:line="360" w:lineRule="auto"/>
        <w:ind w:firstLine="420" w:firstLineChars="200"/>
        <w:jc w:val="center"/>
        <w:rPr>
          <w:rFonts w:hint="eastAsia" w:ascii="宋体" w:hAnsi="宋体" w:eastAsia="宋体" w:cs="宋体"/>
          <w:color w:val="auto"/>
          <w:szCs w:val="21"/>
          <w:highlight w:val="none"/>
        </w:rPr>
      </w:pPr>
    </w:p>
    <w:p w14:paraId="71C5FAC0">
      <w:pPr>
        <w:adjustRightInd w:val="0"/>
        <w:snapToGrid w:val="0"/>
        <w:spacing w:line="360" w:lineRule="auto"/>
        <w:rPr>
          <w:rFonts w:hint="eastAsia" w:ascii="宋体" w:hAnsi="宋体" w:eastAsia="宋体" w:cs="宋体"/>
          <w:color w:val="auto"/>
          <w:szCs w:val="21"/>
          <w:highlight w:val="none"/>
        </w:rPr>
      </w:pPr>
    </w:p>
    <w:p w14:paraId="4C854D0D">
      <w:pPr>
        <w:pStyle w:val="4"/>
        <w:rPr>
          <w:rFonts w:hint="eastAsia" w:ascii="宋体" w:hAnsi="宋体" w:eastAsia="宋体" w:cs="宋体"/>
          <w:color w:val="auto"/>
          <w:highlight w:val="none"/>
        </w:rPr>
      </w:pPr>
      <w:r>
        <w:rPr>
          <w:rFonts w:hint="eastAsia" w:ascii="宋体" w:hAnsi="宋体" w:eastAsia="宋体" w:cs="宋体"/>
          <w:color w:val="auto"/>
          <w:highlight w:val="none"/>
        </w:rPr>
        <w:t>附件8-2 残疾人福利性单位声明函</w:t>
      </w:r>
    </w:p>
    <w:p w14:paraId="37DAC5C3">
      <w:pPr>
        <w:adjustRightInd w:val="0"/>
        <w:snapToGrid w:val="0"/>
        <w:spacing w:line="360" w:lineRule="auto"/>
        <w:jc w:val="center"/>
        <w:rPr>
          <w:rFonts w:hint="eastAsia" w:ascii="宋体" w:hAnsi="宋体" w:eastAsia="宋体" w:cs="宋体"/>
          <w:b/>
          <w:bCs/>
          <w:color w:val="auto"/>
          <w:spacing w:val="6"/>
          <w:sz w:val="28"/>
          <w:szCs w:val="28"/>
          <w:highlight w:val="none"/>
        </w:rPr>
      </w:pPr>
      <w:r>
        <w:rPr>
          <w:rFonts w:hint="eastAsia" w:ascii="宋体" w:hAnsi="宋体" w:eastAsia="宋体" w:cs="宋体"/>
          <w:b/>
          <w:bCs/>
          <w:color w:val="auto"/>
          <w:spacing w:val="6"/>
          <w:sz w:val="28"/>
          <w:szCs w:val="28"/>
          <w:highlight w:val="none"/>
        </w:rPr>
        <w:t>残疾人福利性单位声明函</w:t>
      </w:r>
    </w:p>
    <w:p w14:paraId="6A87BFFC">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【不属于残疾人福利性单位的无需填写】</w:t>
      </w:r>
    </w:p>
    <w:p w14:paraId="7ADBA9E9">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0D52CDF0">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0D302107">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3DE6678">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0CA56586">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66B7012E">
      <w:pPr>
        <w:widowControl/>
        <w:adjustRightInd w:val="0"/>
        <w:snapToGrid w:val="0"/>
        <w:spacing w:line="360" w:lineRule="auto"/>
        <w:ind w:firstLine="420" w:firstLineChars="200"/>
        <w:jc w:val="center"/>
        <w:rPr>
          <w:rFonts w:hint="eastAsia" w:ascii="宋体" w:hAnsi="宋体" w:eastAsia="宋体" w:cs="宋体"/>
          <w:color w:val="auto"/>
          <w:kern w:val="0"/>
          <w:szCs w:val="21"/>
          <w:highlight w:val="none"/>
        </w:rPr>
      </w:pPr>
    </w:p>
    <w:p w14:paraId="12FFE4E9">
      <w:pPr>
        <w:widowControl/>
        <w:adjustRightInd w:val="0"/>
        <w:snapToGrid w:val="0"/>
        <w:spacing w:line="360" w:lineRule="auto"/>
        <w:ind w:firstLine="444" w:firstLineChars="200"/>
        <w:jc w:val="center"/>
        <w:rPr>
          <w:rFonts w:hint="eastAsia" w:ascii="宋体" w:hAnsi="宋体" w:eastAsia="宋体" w:cs="宋体"/>
          <w:color w:val="auto"/>
          <w:spacing w:val="6"/>
          <w:kern w:val="0"/>
          <w:szCs w:val="21"/>
          <w:highlight w:val="none"/>
          <w:u w:val="single"/>
        </w:rPr>
      </w:pPr>
      <w:r>
        <w:rPr>
          <w:rFonts w:hint="eastAsia" w:ascii="宋体" w:hAnsi="宋体" w:eastAsia="宋体" w:cs="宋体"/>
          <w:color w:val="auto"/>
          <w:spacing w:val="6"/>
          <w:kern w:val="0"/>
          <w:szCs w:val="21"/>
          <w:highlight w:val="none"/>
        </w:rPr>
        <w:t xml:space="preserve">                          供应商名称（盖单位章）：</w:t>
      </w:r>
      <w:r>
        <w:rPr>
          <w:rFonts w:hint="eastAsia" w:ascii="宋体" w:hAnsi="宋体" w:eastAsia="宋体" w:cs="宋体"/>
          <w:color w:val="auto"/>
          <w:spacing w:val="6"/>
          <w:kern w:val="0"/>
          <w:szCs w:val="21"/>
          <w:highlight w:val="none"/>
          <w:u w:val="single"/>
        </w:rPr>
        <w:t xml:space="preserve">           </w:t>
      </w:r>
    </w:p>
    <w:p w14:paraId="52794014">
      <w:pPr>
        <w:jc w:val="right"/>
        <w:rPr>
          <w:rFonts w:hint="eastAsia" w:ascii="宋体" w:hAnsi="宋体" w:eastAsia="宋体" w:cs="宋体"/>
          <w:color w:val="auto"/>
          <w:szCs w:val="21"/>
          <w:highlight w:val="none"/>
        </w:rPr>
      </w:pPr>
      <w:r>
        <w:rPr>
          <w:rFonts w:hint="eastAsia" w:ascii="宋体" w:hAnsi="宋体" w:eastAsia="宋体" w:cs="宋体"/>
          <w:color w:val="auto"/>
          <w:spacing w:val="6"/>
          <w:kern w:val="0"/>
          <w:szCs w:val="21"/>
          <w:highlight w:val="none"/>
        </w:rPr>
        <w:t xml:space="preserve">                     </w:t>
      </w: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A414899">
      <w:pPr>
        <w:widowControl/>
        <w:adjustRightInd w:val="0"/>
        <w:snapToGrid w:val="0"/>
        <w:spacing w:before="156" w:beforeLines="50" w:line="360" w:lineRule="auto"/>
        <w:jc w:val="left"/>
        <w:rPr>
          <w:rFonts w:hint="eastAsia" w:ascii="宋体" w:hAnsi="宋体" w:eastAsia="宋体" w:cs="宋体"/>
          <w:color w:val="auto"/>
          <w:kern w:val="0"/>
          <w:szCs w:val="21"/>
          <w:highlight w:val="none"/>
        </w:rPr>
      </w:pPr>
    </w:p>
    <w:p w14:paraId="7DDBB486">
      <w:pPr>
        <w:adjustRightInd w:val="0"/>
        <w:snapToGrid w:val="0"/>
        <w:spacing w:before="156" w:beforeLines="50" w:line="360" w:lineRule="auto"/>
        <w:jc w:val="center"/>
        <w:rPr>
          <w:rFonts w:hint="eastAsia" w:ascii="宋体" w:hAnsi="宋体" w:eastAsia="宋体" w:cs="宋体"/>
          <w:color w:val="auto"/>
          <w:szCs w:val="21"/>
          <w:highlight w:val="none"/>
        </w:rPr>
      </w:pPr>
    </w:p>
    <w:p w14:paraId="6CC0D23D">
      <w:pPr>
        <w:pStyle w:val="4"/>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r>
        <w:rPr>
          <w:rFonts w:hint="eastAsia" w:ascii="宋体" w:hAnsi="宋体" w:eastAsia="宋体" w:cs="宋体"/>
          <w:color w:val="auto"/>
          <w:highlight w:val="none"/>
        </w:rPr>
        <w:t>附件8-3 监狱企业证明资料</w:t>
      </w:r>
    </w:p>
    <w:p w14:paraId="086D4011">
      <w:pPr>
        <w:adjustRightInd w:val="0"/>
        <w:snapToGri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监狱企业证明资料</w:t>
      </w:r>
    </w:p>
    <w:p w14:paraId="63AD5932">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【不属于监狱企业的无需提供】</w:t>
      </w:r>
    </w:p>
    <w:p w14:paraId="48BB00F4">
      <w:pPr>
        <w:adjustRightInd w:val="0"/>
        <w:snapToGrid w:val="0"/>
        <w:spacing w:line="360" w:lineRule="auto"/>
        <w:ind w:firstLine="446" w:firstLineChars="200"/>
        <w:rPr>
          <w:rFonts w:hint="eastAsia" w:ascii="宋体" w:hAnsi="宋体" w:eastAsia="宋体" w:cs="宋体"/>
          <w:b/>
          <w:color w:val="auto"/>
          <w:szCs w:val="21"/>
          <w:highlight w:val="none"/>
        </w:rPr>
      </w:pPr>
      <w:r>
        <w:rPr>
          <w:rFonts w:hint="eastAsia" w:ascii="宋体" w:hAnsi="宋体" w:eastAsia="宋体" w:cs="宋体"/>
          <w:b/>
          <w:color w:val="auto"/>
          <w:spacing w:val="6"/>
          <w:kern w:val="0"/>
          <w:szCs w:val="21"/>
          <w:highlight w:val="none"/>
        </w:rPr>
        <w:t>注：</w:t>
      </w:r>
      <w:r>
        <w:rPr>
          <w:rFonts w:hint="eastAsia" w:ascii="宋体" w:hAnsi="宋体" w:eastAsia="宋体" w:cs="宋体"/>
          <w:b/>
          <w:color w:val="auto"/>
          <w:szCs w:val="21"/>
          <w:highlight w:val="none"/>
        </w:rPr>
        <w:t>按</w:t>
      </w:r>
      <w:r>
        <w:rPr>
          <w:rFonts w:hint="eastAsia" w:ascii="宋体" w:hAnsi="宋体" w:eastAsia="宋体" w:cs="宋体"/>
          <w:b/>
          <w:color w:val="auto"/>
          <w:spacing w:val="6"/>
          <w:szCs w:val="21"/>
          <w:highlight w:val="none"/>
        </w:rPr>
        <w:t>《</w:t>
      </w:r>
      <w:r>
        <w:rPr>
          <w:rFonts w:hint="eastAsia" w:ascii="宋体" w:hAnsi="宋体" w:eastAsia="宋体" w:cs="宋体"/>
          <w:b/>
          <w:color w:val="auto"/>
          <w:szCs w:val="21"/>
          <w:highlight w:val="none"/>
        </w:rPr>
        <w:t>财政部 司法部关于政府采购支持监狱企业发展有关问题的通知</w:t>
      </w:r>
      <w:r>
        <w:rPr>
          <w:rFonts w:hint="eastAsia" w:ascii="宋体" w:hAnsi="宋体" w:eastAsia="宋体" w:cs="宋体"/>
          <w:b/>
          <w:color w:val="auto"/>
          <w:spacing w:val="6"/>
          <w:szCs w:val="21"/>
          <w:highlight w:val="none"/>
        </w:rPr>
        <w:t>》</w:t>
      </w:r>
      <w:r>
        <w:rPr>
          <w:rFonts w:hint="eastAsia" w:ascii="宋体" w:hAnsi="宋体" w:eastAsia="宋体" w:cs="宋体"/>
          <w:b/>
          <w:color w:val="auto"/>
          <w:szCs w:val="21"/>
          <w:highlight w:val="none"/>
        </w:rPr>
        <w:t>(财库〔2014〕68号)文件规定提供证明文件（复印件）。</w:t>
      </w:r>
    </w:p>
    <w:p w14:paraId="43C9AF38">
      <w:pPr>
        <w:pStyle w:val="4"/>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附件8-4 小型、微型企业货物清单表</w:t>
      </w:r>
    </w:p>
    <w:p w14:paraId="522B89BD">
      <w:pPr>
        <w:adjustRightInd w:val="0"/>
        <w:snapToGrid w:val="0"/>
        <w:spacing w:line="360" w:lineRule="auto"/>
        <w:jc w:val="center"/>
        <w:rPr>
          <w:rFonts w:hint="eastAsia" w:ascii="宋体" w:hAnsi="宋体" w:eastAsia="宋体" w:cs="宋体"/>
          <w:color w:val="auto"/>
          <w:highlight w:val="none"/>
        </w:rPr>
      </w:pPr>
      <w:r>
        <w:rPr>
          <w:rFonts w:hint="eastAsia" w:ascii="宋体" w:hAnsi="宋体" w:eastAsia="宋体" w:cs="宋体"/>
          <w:b/>
          <w:bCs/>
          <w:color w:val="auto"/>
          <w:sz w:val="28"/>
          <w:szCs w:val="28"/>
          <w:highlight w:val="none"/>
        </w:rPr>
        <w:t>小型、微型企业货物清单表</w:t>
      </w:r>
      <w:r>
        <w:rPr>
          <w:rFonts w:hint="eastAsia" w:ascii="宋体" w:hAnsi="宋体" w:eastAsia="宋体" w:cs="宋体"/>
          <w:color w:val="auto"/>
          <w:highlight w:val="none"/>
        </w:rPr>
        <w:t xml:space="preserve">                                      </w:t>
      </w:r>
    </w:p>
    <w:tbl>
      <w:tblPr>
        <w:tblStyle w:val="2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9"/>
        <w:gridCol w:w="1183"/>
        <w:gridCol w:w="739"/>
        <w:gridCol w:w="887"/>
        <w:gridCol w:w="887"/>
        <w:gridCol w:w="1774"/>
        <w:gridCol w:w="1774"/>
        <w:gridCol w:w="1157"/>
      </w:tblGrid>
      <w:tr w14:paraId="461FC8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6" w:hRule="atLeast"/>
        </w:trPr>
        <w:tc>
          <w:tcPr>
            <w:tcW w:w="9140" w:type="dxa"/>
            <w:gridSpan w:val="8"/>
            <w:noWrap w:val="0"/>
            <w:vAlign w:val="center"/>
          </w:tcPr>
          <w:p w14:paraId="3E6C6C9B">
            <w:pPr>
              <w:widowControl/>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本公司对本表的真实性负责。如有虚假，将依法承担相应责任。</w:t>
            </w:r>
          </w:p>
        </w:tc>
      </w:tr>
      <w:tr w14:paraId="5AB464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739" w:type="dxa"/>
            <w:shd w:val="clear" w:color="auto" w:fill="D7D7D7"/>
            <w:noWrap w:val="0"/>
            <w:vAlign w:val="center"/>
          </w:tcPr>
          <w:p w14:paraId="3C276006">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w:t>
            </w:r>
          </w:p>
        </w:tc>
        <w:tc>
          <w:tcPr>
            <w:tcW w:w="1183" w:type="dxa"/>
            <w:shd w:val="clear" w:color="auto" w:fill="D7D7D7"/>
            <w:noWrap w:val="0"/>
            <w:vAlign w:val="center"/>
          </w:tcPr>
          <w:p w14:paraId="36FE0A98">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w:t>
            </w:r>
          </w:p>
        </w:tc>
        <w:tc>
          <w:tcPr>
            <w:tcW w:w="739" w:type="dxa"/>
            <w:shd w:val="clear" w:color="auto" w:fill="D7D7D7"/>
            <w:noWrap w:val="0"/>
            <w:vAlign w:val="center"/>
          </w:tcPr>
          <w:p w14:paraId="2D06BF86">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p>
        </w:tc>
        <w:tc>
          <w:tcPr>
            <w:tcW w:w="887" w:type="dxa"/>
            <w:shd w:val="clear" w:color="auto" w:fill="D7D7D7"/>
            <w:noWrap w:val="0"/>
            <w:vAlign w:val="center"/>
          </w:tcPr>
          <w:p w14:paraId="31DD6200">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w:t>
            </w:r>
          </w:p>
        </w:tc>
        <w:tc>
          <w:tcPr>
            <w:tcW w:w="887" w:type="dxa"/>
            <w:shd w:val="clear" w:color="auto" w:fill="D7D7D7"/>
            <w:noWrap w:val="0"/>
            <w:vAlign w:val="center"/>
          </w:tcPr>
          <w:p w14:paraId="04BDDC64">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5</w:t>
            </w:r>
          </w:p>
        </w:tc>
        <w:tc>
          <w:tcPr>
            <w:tcW w:w="1774" w:type="dxa"/>
            <w:shd w:val="clear" w:color="auto" w:fill="D7D7D7"/>
            <w:noWrap w:val="0"/>
            <w:vAlign w:val="center"/>
          </w:tcPr>
          <w:p w14:paraId="4A0A3A1C">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w:t>
            </w:r>
          </w:p>
        </w:tc>
        <w:tc>
          <w:tcPr>
            <w:tcW w:w="1774" w:type="dxa"/>
            <w:shd w:val="clear" w:color="auto" w:fill="D7D7D7"/>
            <w:noWrap w:val="0"/>
            <w:vAlign w:val="center"/>
          </w:tcPr>
          <w:p w14:paraId="3C98D869">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w:t>
            </w:r>
          </w:p>
        </w:tc>
        <w:tc>
          <w:tcPr>
            <w:tcW w:w="1157" w:type="dxa"/>
            <w:shd w:val="clear" w:color="auto" w:fill="D7D7D7"/>
            <w:noWrap w:val="0"/>
            <w:vAlign w:val="center"/>
          </w:tcPr>
          <w:p w14:paraId="0622004F">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w:t>
            </w:r>
          </w:p>
        </w:tc>
      </w:tr>
      <w:tr w14:paraId="7F4BD0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3" w:hRule="atLeast"/>
        </w:trPr>
        <w:tc>
          <w:tcPr>
            <w:tcW w:w="739" w:type="dxa"/>
            <w:shd w:val="clear" w:color="auto" w:fill="D7D7D7"/>
            <w:noWrap w:val="0"/>
            <w:vAlign w:val="center"/>
          </w:tcPr>
          <w:p w14:paraId="2309CA1E">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1183" w:type="dxa"/>
            <w:shd w:val="clear" w:color="auto" w:fill="D7D7D7"/>
            <w:noWrap w:val="0"/>
            <w:vAlign w:val="center"/>
          </w:tcPr>
          <w:p w14:paraId="064A5B60">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货物名称</w:t>
            </w:r>
          </w:p>
        </w:tc>
        <w:tc>
          <w:tcPr>
            <w:tcW w:w="739" w:type="dxa"/>
            <w:shd w:val="clear" w:color="auto" w:fill="D7D7D7"/>
            <w:noWrap w:val="0"/>
            <w:vAlign w:val="center"/>
          </w:tcPr>
          <w:p w14:paraId="2AFD3A8D">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数量</w:t>
            </w:r>
          </w:p>
        </w:tc>
        <w:tc>
          <w:tcPr>
            <w:tcW w:w="887" w:type="dxa"/>
            <w:shd w:val="clear" w:color="auto" w:fill="D7D7D7"/>
            <w:noWrap w:val="0"/>
            <w:vAlign w:val="center"/>
          </w:tcPr>
          <w:p w14:paraId="2EBE2172">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单价</w:t>
            </w:r>
          </w:p>
        </w:tc>
        <w:tc>
          <w:tcPr>
            <w:tcW w:w="887" w:type="dxa"/>
            <w:shd w:val="clear" w:color="auto" w:fill="D7D7D7"/>
            <w:noWrap w:val="0"/>
            <w:vAlign w:val="center"/>
          </w:tcPr>
          <w:p w14:paraId="7AB15ED9">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总额</w:t>
            </w:r>
          </w:p>
        </w:tc>
        <w:tc>
          <w:tcPr>
            <w:tcW w:w="1774" w:type="dxa"/>
            <w:shd w:val="clear" w:color="auto" w:fill="D7D7D7"/>
            <w:noWrap w:val="0"/>
            <w:vAlign w:val="center"/>
          </w:tcPr>
          <w:p w14:paraId="51E7C7F9">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货物制造商名称</w:t>
            </w:r>
          </w:p>
        </w:tc>
        <w:tc>
          <w:tcPr>
            <w:tcW w:w="1774" w:type="dxa"/>
            <w:shd w:val="clear" w:color="auto" w:fill="D7D7D7"/>
            <w:noWrap w:val="0"/>
            <w:vAlign w:val="center"/>
          </w:tcPr>
          <w:p w14:paraId="3CA5675A">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货物制造商类型</w:t>
            </w:r>
          </w:p>
        </w:tc>
        <w:tc>
          <w:tcPr>
            <w:tcW w:w="1157" w:type="dxa"/>
            <w:shd w:val="clear" w:color="auto" w:fill="D7D7D7"/>
            <w:noWrap w:val="0"/>
            <w:vAlign w:val="center"/>
          </w:tcPr>
          <w:p w14:paraId="5E428BF7">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商标名称</w:t>
            </w:r>
          </w:p>
        </w:tc>
      </w:tr>
      <w:tr w14:paraId="7DC388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5" w:hRule="atLeast"/>
        </w:trPr>
        <w:tc>
          <w:tcPr>
            <w:tcW w:w="9140" w:type="dxa"/>
            <w:gridSpan w:val="8"/>
            <w:noWrap w:val="0"/>
            <w:vAlign w:val="center"/>
          </w:tcPr>
          <w:p w14:paraId="613F226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小型、微型</w:t>
            </w:r>
          </w:p>
        </w:tc>
      </w:tr>
      <w:tr w14:paraId="306829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5" w:hRule="atLeast"/>
        </w:trPr>
        <w:tc>
          <w:tcPr>
            <w:tcW w:w="739" w:type="dxa"/>
            <w:noWrap w:val="0"/>
            <w:vAlign w:val="center"/>
          </w:tcPr>
          <w:p w14:paraId="2445A223">
            <w:pPr>
              <w:spacing w:line="360" w:lineRule="auto"/>
              <w:jc w:val="center"/>
              <w:rPr>
                <w:rFonts w:hint="eastAsia" w:ascii="宋体" w:hAnsi="宋体" w:eastAsia="宋体" w:cs="宋体"/>
                <w:color w:val="auto"/>
                <w:szCs w:val="21"/>
                <w:highlight w:val="none"/>
              </w:rPr>
            </w:pPr>
          </w:p>
        </w:tc>
        <w:tc>
          <w:tcPr>
            <w:tcW w:w="1183" w:type="dxa"/>
            <w:noWrap w:val="0"/>
            <w:vAlign w:val="center"/>
          </w:tcPr>
          <w:p w14:paraId="63103067">
            <w:pPr>
              <w:spacing w:line="360" w:lineRule="auto"/>
              <w:jc w:val="center"/>
              <w:rPr>
                <w:rFonts w:hint="eastAsia" w:ascii="宋体" w:hAnsi="宋体" w:eastAsia="宋体" w:cs="宋体"/>
                <w:color w:val="auto"/>
                <w:szCs w:val="21"/>
                <w:highlight w:val="none"/>
              </w:rPr>
            </w:pPr>
          </w:p>
        </w:tc>
        <w:tc>
          <w:tcPr>
            <w:tcW w:w="739" w:type="dxa"/>
            <w:noWrap w:val="0"/>
            <w:vAlign w:val="center"/>
          </w:tcPr>
          <w:p w14:paraId="1AECFD0A">
            <w:pPr>
              <w:spacing w:line="360" w:lineRule="auto"/>
              <w:jc w:val="center"/>
              <w:rPr>
                <w:rFonts w:hint="eastAsia" w:ascii="宋体" w:hAnsi="宋体" w:eastAsia="宋体" w:cs="宋体"/>
                <w:color w:val="auto"/>
                <w:szCs w:val="21"/>
                <w:highlight w:val="none"/>
              </w:rPr>
            </w:pPr>
          </w:p>
        </w:tc>
        <w:tc>
          <w:tcPr>
            <w:tcW w:w="887" w:type="dxa"/>
            <w:noWrap w:val="0"/>
            <w:vAlign w:val="center"/>
          </w:tcPr>
          <w:p w14:paraId="4BCCDFBC">
            <w:pPr>
              <w:spacing w:line="360" w:lineRule="auto"/>
              <w:jc w:val="center"/>
              <w:rPr>
                <w:rFonts w:hint="eastAsia" w:ascii="宋体" w:hAnsi="宋体" w:eastAsia="宋体" w:cs="宋体"/>
                <w:color w:val="auto"/>
                <w:szCs w:val="21"/>
                <w:highlight w:val="none"/>
              </w:rPr>
            </w:pPr>
          </w:p>
        </w:tc>
        <w:tc>
          <w:tcPr>
            <w:tcW w:w="887" w:type="dxa"/>
            <w:noWrap w:val="0"/>
            <w:vAlign w:val="center"/>
          </w:tcPr>
          <w:p w14:paraId="10A0E4F7">
            <w:pPr>
              <w:spacing w:line="360" w:lineRule="auto"/>
              <w:jc w:val="center"/>
              <w:rPr>
                <w:rFonts w:hint="eastAsia" w:ascii="宋体" w:hAnsi="宋体" w:eastAsia="宋体" w:cs="宋体"/>
                <w:color w:val="auto"/>
                <w:szCs w:val="21"/>
                <w:highlight w:val="none"/>
              </w:rPr>
            </w:pPr>
          </w:p>
        </w:tc>
        <w:tc>
          <w:tcPr>
            <w:tcW w:w="1774" w:type="dxa"/>
            <w:noWrap w:val="0"/>
            <w:vAlign w:val="center"/>
          </w:tcPr>
          <w:p w14:paraId="7CCA811E">
            <w:pPr>
              <w:spacing w:line="360" w:lineRule="auto"/>
              <w:jc w:val="center"/>
              <w:rPr>
                <w:rFonts w:hint="eastAsia" w:ascii="宋体" w:hAnsi="宋体" w:eastAsia="宋体" w:cs="宋体"/>
                <w:color w:val="auto"/>
                <w:szCs w:val="21"/>
                <w:highlight w:val="none"/>
              </w:rPr>
            </w:pPr>
          </w:p>
        </w:tc>
        <w:tc>
          <w:tcPr>
            <w:tcW w:w="1774" w:type="dxa"/>
            <w:noWrap w:val="0"/>
            <w:vAlign w:val="top"/>
          </w:tcPr>
          <w:p w14:paraId="25E1515E">
            <w:pPr>
              <w:spacing w:line="360" w:lineRule="auto"/>
              <w:jc w:val="center"/>
              <w:rPr>
                <w:rFonts w:hint="eastAsia" w:ascii="宋体" w:hAnsi="宋体" w:eastAsia="宋体" w:cs="宋体"/>
                <w:color w:val="auto"/>
                <w:szCs w:val="21"/>
                <w:highlight w:val="none"/>
              </w:rPr>
            </w:pPr>
          </w:p>
        </w:tc>
        <w:tc>
          <w:tcPr>
            <w:tcW w:w="1157" w:type="dxa"/>
            <w:noWrap w:val="0"/>
            <w:vAlign w:val="center"/>
          </w:tcPr>
          <w:p w14:paraId="793D167A">
            <w:pPr>
              <w:spacing w:line="360" w:lineRule="auto"/>
              <w:jc w:val="center"/>
              <w:rPr>
                <w:rFonts w:hint="eastAsia" w:ascii="宋体" w:hAnsi="宋体" w:eastAsia="宋体" w:cs="宋体"/>
                <w:color w:val="auto"/>
                <w:szCs w:val="21"/>
                <w:highlight w:val="none"/>
              </w:rPr>
            </w:pPr>
          </w:p>
        </w:tc>
      </w:tr>
      <w:tr w14:paraId="359C61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5" w:hRule="atLeast"/>
        </w:trPr>
        <w:tc>
          <w:tcPr>
            <w:tcW w:w="739" w:type="dxa"/>
            <w:noWrap w:val="0"/>
            <w:vAlign w:val="center"/>
          </w:tcPr>
          <w:p w14:paraId="7A9DC21C">
            <w:pPr>
              <w:spacing w:line="360" w:lineRule="auto"/>
              <w:jc w:val="center"/>
              <w:rPr>
                <w:rFonts w:hint="eastAsia" w:ascii="宋体" w:hAnsi="宋体" w:eastAsia="宋体" w:cs="宋体"/>
                <w:color w:val="auto"/>
                <w:szCs w:val="21"/>
                <w:highlight w:val="none"/>
              </w:rPr>
            </w:pPr>
          </w:p>
        </w:tc>
        <w:tc>
          <w:tcPr>
            <w:tcW w:w="1183" w:type="dxa"/>
            <w:noWrap w:val="0"/>
            <w:vAlign w:val="center"/>
          </w:tcPr>
          <w:p w14:paraId="50EBDBB9">
            <w:pPr>
              <w:spacing w:line="360" w:lineRule="auto"/>
              <w:jc w:val="center"/>
              <w:rPr>
                <w:rFonts w:hint="eastAsia" w:ascii="宋体" w:hAnsi="宋体" w:eastAsia="宋体" w:cs="宋体"/>
                <w:color w:val="auto"/>
                <w:szCs w:val="21"/>
                <w:highlight w:val="none"/>
              </w:rPr>
            </w:pPr>
          </w:p>
        </w:tc>
        <w:tc>
          <w:tcPr>
            <w:tcW w:w="739" w:type="dxa"/>
            <w:noWrap w:val="0"/>
            <w:vAlign w:val="center"/>
          </w:tcPr>
          <w:p w14:paraId="29A4652B">
            <w:pPr>
              <w:spacing w:line="360" w:lineRule="auto"/>
              <w:jc w:val="center"/>
              <w:rPr>
                <w:rFonts w:hint="eastAsia" w:ascii="宋体" w:hAnsi="宋体" w:eastAsia="宋体" w:cs="宋体"/>
                <w:color w:val="auto"/>
                <w:szCs w:val="21"/>
                <w:highlight w:val="none"/>
              </w:rPr>
            </w:pPr>
          </w:p>
        </w:tc>
        <w:tc>
          <w:tcPr>
            <w:tcW w:w="887" w:type="dxa"/>
            <w:noWrap w:val="0"/>
            <w:vAlign w:val="center"/>
          </w:tcPr>
          <w:p w14:paraId="56FE1415">
            <w:pPr>
              <w:spacing w:line="360" w:lineRule="auto"/>
              <w:jc w:val="center"/>
              <w:rPr>
                <w:rFonts w:hint="eastAsia" w:ascii="宋体" w:hAnsi="宋体" w:eastAsia="宋体" w:cs="宋体"/>
                <w:color w:val="auto"/>
                <w:szCs w:val="21"/>
                <w:highlight w:val="none"/>
              </w:rPr>
            </w:pPr>
          </w:p>
        </w:tc>
        <w:tc>
          <w:tcPr>
            <w:tcW w:w="887" w:type="dxa"/>
            <w:noWrap w:val="0"/>
            <w:vAlign w:val="center"/>
          </w:tcPr>
          <w:p w14:paraId="7C1460B4">
            <w:pPr>
              <w:spacing w:line="360" w:lineRule="auto"/>
              <w:jc w:val="center"/>
              <w:rPr>
                <w:rFonts w:hint="eastAsia" w:ascii="宋体" w:hAnsi="宋体" w:eastAsia="宋体" w:cs="宋体"/>
                <w:color w:val="auto"/>
                <w:szCs w:val="21"/>
                <w:highlight w:val="none"/>
              </w:rPr>
            </w:pPr>
          </w:p>
        </w:tc>
        <w:tc>
          <w:tcPr>
            <w:tcW w:w="1774" w:type="dxa"/>
            <w:noWrap w:val="0"/>
            <w:vAlign w:val="center"/>
          </w:tcPr>
          <w:p w14:paraId="38BAAB8F">
            <w:pPr>
              <w:spacing w:line="360" w:lineRule="auto"/>
              <w:jc w:val="center"/>
              <w:rPr>
                <w:rFonts w:hint="eastAsia" w:ascii="宋体" w:hAnsi="宋体" w:eastAsia="宋体" w:cs="宋体"/>
                <w:color w:val="auto"/>
                <w:szCs w:val="21"/>
                <w:highlight w:val="none"/>
              </w:rPr>
            </w:pPr>
          </w:p>
        </w:tc>
        <w:tc>
          <w:tcPr>
            <w:tcW w:w="1774" w:type="dxa"/>
            <w:noWrap w:val="0"/>
            <w:vAlign w:val="top"/>
          </w:tcPr>
          <w:p w14:paraId="20C256C7">
            <w:pPr>
              <w:spacing w:line="360" w:lineRule="auto"/>
              <w:jc w:val="center"/>
              <w:rPr>
                <w:rFonts w:hint="eastAsia" w:ascii="宋体" w:hAnsi="宋体" w:eastAsia="宋体" w:cs="宋体"/>
                <w:color w:val="auto"/>
                <w:szCs w:val="21"/>
                <w:highlight w:val="none"/>
              </w:rPr>
            </w:pPr>
          </w:p>
        </w:tc>
        <w:tc>
          <w:tcPr>
            <w:tcW w:w="1157" w:type="dxa"/>
            <w:noWrap w:val="0"/>
            <w:vAlign w:val="center"/>
          </w:tcPr>
          <w:p w14:paraId="251DF092">
            <w:pPr>
              <w:spacing w:line="360" w:lineRule="auto"/>
              <w:jc w:val="center"/>
              <w:rPr>
                <w:rFonts w:hint="eastAsia" w:ascii="宋体" w:hAnsi="宋体" w:eastAsia="宋体" w:cs="宋体"/>
                <w:color w:val="auto"/>
                <w:szCs w:val="21"/>
                <w:highlight w:val="none"/>
              </w:rPr>
            </w:pPr>
          </w:p>
        </w:tc>
      </w:tr>
      <w:tr w14:paraId="53DF0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739" w:type="dxa"/>
            <w:noWrap w:val="0"/>
            <w:vAlign w:val="center"/>
          </w:tcPr>
          <w:p w14:paraId="66B44F1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183" w:type="dxa"/>
            <w:noWrap w:val="0"/>
            <w:vAlign w:val="center"/>
          </w:tcPr>
          <w:p w14:paraId="0FD236E5">
            <w:pPr>
              <w:spacing w:line="360" w:lineRule="auto"/>
              <w:jc w:val="center"/>
              <w:rPr>
                <w:rFonts w:hint="eastAsia" w:ascii="宋体" w:hAnsi="宋体" w:eastAsia="宋体" w:cs="宋体"/>
                <w:color w:val="auto"/>
                <w:szCs w:val="21"/>
                <w:highlight w:val="none"/>
              </w:rPr>
            </w:pPr>
          </w:p>
        </w:tc>
        <w:tc>
          <w:tcPr>
            <w:tcW w:w="739" w:type="dxa"/>
            <w:noWrap w:val="0"/>
            <w:vAlign w:val="center"/>
          </w:tcPr>
          <w:p w14:paraId="4EDF4337">
            <w:pPr>
              <w:spacing w:line="360" w:lineRule="auto"/>
              <w:jc w:val="center"/>
              <w:rPr>
                <w:rFonts w:hint="eastAsia" w:ascii="宋体" w:hAnsi="宋体" w:eastAsia="宋体" w:cs="宋体"/>
                <w:color w:val="auto"/>
                <w:szCs w:val="21"/>
                <w:highlight w:val="none"/>
              </w:rPr>
            </w:pPr>
          </w:p>
        </w:tc>
        <w:tc>
          <w:tcPr>
            <w:tcW w:w="887" w:type="dxa"/>
            <w:noWrap w:val="0"/>
            <w:vAlign w:val="center"/>
          </w:tcPr>
          <w:p w14:paraId="496CAA15">
            <w:pPr>
              <w:spacing w:line="360" w:lineRule="auto"/>
              <w:jc w:val="center"/>
              <w:rPr>
                <w:rFonts w:hint="eastAsia" w:ascii="宋体" w:hAnsi="宋体" w:eastAsia="宋体" w:cs="宋体"/>
                <w:color w:val="auto"/>
                <w:szCs w:val="21"/>
                <w:highlight w:val="none"/>
              </w:rPr>
            </w:pPr>
          </w:p>
        </w:tc>
        <w:tc>
          <w:tcPr>
            <w:tcW w:w="887" w:type="dxa"/>
            <w:noWrap w:val="0"/>
            <w:vAlign w:val="center"/>
          </w:tcPr>
          <w:p w14:paraId="6EC68869">
            <w:pPr>
              <w:spacing w:line="360" w:lineRule="auto"/>
              <w:jc w:val="center"/>
              <w:rPr>
                <w:rFonts w:hint="eastAsia" w:ascii="宋体" w:hAnsi="宋体" w:eastAsia="宋体" w:cs="宋体"/>
                <w:color w:val="auto"/>
                <w:szCs w:val="21"/>
                <w:highlight w:val="none"/>
              </w:rPr>
            </w:pPr>
          </w:p>
        </w:tc>
        <w:tc>
          <w:tcPr>
            <w:tcW w:w="1774" w:type="dxa"/>
            <w:noWrap w:val="0"/>
            <w:vAlign w:val="center"/>
          </w:tcPr>
          <w:p w14:paraId="3B135135">
            <w:pPr>
              <w:spacing w:line="360" w:lineRule="auto"/>
              <w:jc w:val="center"/>
              <w:rPr>
                <w:rFonts w:hint="eastAsia" w:ascii="宋体" w:hAnsi="宋体" w:eastAsia="宋体" w:cs="宋体"/>
                <w:color w:val="auto"/>
                <w:szCs w:val="21"/>
                <w:highlight w:val="none"/>
              </w:rPr>
            </w:pPr>
          </w:p>
        </w:tc>
        <w:tc>
          <w:tcPr>
            <w:tcW w:w="1774" w:type="dxa"/>
            <w:noWrap w:val="0"/>
            <w:vAlign w:val="top"/>
          </w:tcPr>
          <w:p w14:paraId="547D0B31">
            <w:pPr>
              <w:spacing w:line="360" w:lineRule="auto"/>
              <w:jc w:val="center"/>
              <w:rPr>
                <w:rFonts w:hint="eastAsia" w:ascii="宋体" w:hAnsi="宋体" w:eastAsia="宋体" w:cs="宋体"/>
                <w:color w:val="auto"/>
                <w:szCs w:val="21"/>
                <w:highlight w:val="none"/>
              </w:rPr>
            </w:pPr>
          </w:p>
        </w:tc>
        <w:tc>
          <w:tcPr>
            <w:tcW w:w="1157" w:type="dxa"/>
            <w:noWrap w:val="0"/>
            <w:vAlign w:val="center"/>
          </w:tcPr>
          <w:p w14:paraId="236BA626">
            <w:pPr>
              <w:spacing w:line="360" w:lineRule="auto"/>
              <w:jc w:val="center"/>
              <w:rPr>
                <w:rFonts w:hint="eastAsia" w:ascii="宋体" w:hAnsi="宋体" w:eastAsia="宋体" w:cs="宋体"/>
                <w:color w:val="auto"/>
                <w:szCs w:val="21"/>
                <w:highlight w:val="none"/>
              </w:rPr>
            </w:pPr>
          </w:p>
        </w:tc>
      </w:tr>
    </w:tbl>
    <w:p w14:paraId="56237611">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说明：1、本表用于计算小企、微型业应享受的政策功能价格扣除。提供的货物为小型、微型企业制造的，包括视同小型、微型企业，享受评审中价格扣除的监狱企业、残疾人福利性单位制造的货物。货物制造商类型填写小型、微型企业或监狱企业或残疾人福利性单位。</w:t>
      </w:r>
    </w:p>
    <w:p w14:paraId="10EAA424">
      <w:pPr>
        <w:spacing w:line="360" w:lineRule="auto"/>
        <w:ind w:firstLine="632" w:firstLineChars="3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2、栏目7“货物制造商类型”，填写：小型、微型。</w:t>
      </w:r>
    </w:p>
    <w:p w14:paraId="3D2281D5">
      <w:pPr>
        <w:spacing w:line="360" w:lineRule="auto"/>
        <w:ind w:firstLine="632" w:firstLineChars="3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3、栏目4“单价”为综合单价，包含货物所有隐含的内容，如运输费、保险费、管理费和利润等。</w:t>
      </w:r>
    </w:p>
    <w:p w14:paraId="30F890EB">
      <w:pPr>
        <w:spacing w:line="360" w:lineRule="auto"/>
        <w:ind w:firstLine="632" w:firstLineChars="3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未提供《中小企业声明函》及未按上述要求填写，或者提供的内容不真实的，评审时本表所有优惠不予以考虑。对提供的内容不真实的，监督管理部门可能以冒充中小企业参与政府采购活动谋取中选，依法予以处理。</w:t>
      </w:r>
    </w:p>
    <w:p w14:paraId="510BE553">
      <w:pPr>
        <w:spacing w:line="360" w:lineRule="auto"/>
        <w:rPr>
          <w:rFonts w:hint="eastAsia" w:ascii="宋体" w:hAnsi="宋体" w:eastAsia="宋体" w:cs="宋体"/>
          <w:color w:val="auto"/>
          <w:szCs w:val="21"/>
          <w:highlight w:val="none"/>
        </w:rPr>
      </w:pPr>
    </w:p>
    <w:p w14:paraId="597CF58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供应商名称（单位章）：</w:t>
      </w:r>
    </w:p>
    <w:p w14:paraId="63ECCB2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法定代表人（单位负责人）或者其授权的代理人（签字或者印章）：</w:t>
      </w:r>
      <w:r>
        <w:rPr>
          <w:rFonts w:hint="eastAsia" w:ascii="宋体" w:hAnsi="宋体" w:eastAsia="宋体" w:cs="宋体"/>
          <w:color w:val="auto"/>
          <w:szCs w:val="21"/>
          <w:highlight w:val="none"/>
          <w:u w:val="single"/>
        </w:rPr>
        <w:t xml:space="preserve">       </w:t>
      </w:r>
    </w:p>
    <w:p w14:paraId="1ABC878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53651FE">
      <w:pPr>
        <w:adjustRightInd w:val="0"/>
        <w:snapToGrid w:val="0"/>
        <w:spacing w:line="360" w:lineRule="auto"/>
        <w:rPr>
          <w:rFonts w:hint="eastAsia" w:ascii="宋体" w:hAnsi="宋体" w:eastAsia="宋体" w:cs="宋体"/>
          <w:color w:val="auto"/>
          <w:sz w:val="30"/>
          <w:szCs w:val="30"/>
          <w:highlight w:val="none"/>
        </w:rPr>
      </w:pPr>
    </w:p>
    <w:p w14:paraId="68DAF930">
      <w:pPr>
        <w:pStyle w:val="25"/>
        <w:rPr>
          <w:rFonts w:hint="eastAsia" w:ascii="宋体" w:hAnsi="宋体" w:eastAsia="宋体" w:cs="宋体"/>
          <w:color w:val="auto"/>
          <w:highlight w:val="none"/>
        </w:rPr>
        <w:sectPr>
          <w:pgSz w:w="11906" w:h="16838"/>
          <w:pgMar w:top="1417" w:right="1417" w:bottom="1417" w:left="1417" w:header="851" w:footer="992" w:gutter="0"/>
          <w:pgNumType w:fmt="numberInDash"/>
          <w:cols w:space="720" w:num="1"/>
          <w:docGrid w:type="lines" w:linePitch="312" w:charSpace="0"/>
        </w:sectPr>
      </w:pPr>
    </w:p>
    <w:p w14:paraId="37957641">
      <w:pPr>
        <w:pStyle w:val="4"/>
        <w:rPr>
          <w:rFonts w:hint="eastAsia" w:ascii="宋体" w:hAnsi="宋体" w:eastAsia="宋体" w:cs="宋体"/>
          <w:color w:val="auto"/>
          <w:highlight w:val="none"/>
        </w:rPr>
      </w:pPr>
      <w:bookmarkStart w:id="106" w:name="_Toc41472864"/>
      <w:r>
        <w:rPr>
          <w:rFonts w:hint="eastAsia" w:ascii="宋体" w:hAnsi="宋体" w:eastAsia="宋体" w:cs="宋体"/>
          <w:color w:val="auto"/>
          <w:highlight w:val="none"/>
        </w:rPr>
        <w:t>附件</w:t>
      </w:r>
      <w:bookmarkEnd w:id="106"/>
      <w:r>
        <w:rPr>
          <w:rFonts w:hint="eastAsia" w:ascii="宋体" w:hAnsi="宋体" w:eastAsia="宋体" w:cs="宋体"/>
          <w:color w:val="auto"/>
          <w:highlight w:val="none"/>
        </w:rPr>
        <w:t>8-5 强制采购或者优先采购产品的证明材料</w:t>
      </w:r>
    </w:p>
    <w:p w14:paraId="5B5B5C78">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强制采购或者优先采购产品</w:t>
      </w:r>
      <w:r>
        <w:rPr>
          <w:rFonts w:hint="eastAsia" w:ascii="宋体" w:hAnsi="宋体" w:eastAsia="宋体" w:cs="宋体"/>
          <w:b/>
          <w:bCs/>
          <w:color w:val="auto"/>
          <w:sz w:val="28"/>
          <w:szCs w:val="28"/>
          <w:highlight w:val="none"/>
        </w:rPr>
        <w:t>的</w:t>
      </w:r>
      <w:r>
        <w:rPr>
          <w:rFonts w:hint="eastAsia" w:ascii="宋体" w:hAnsi="宋体" w:eastAsia="宋体" w:cs="宋体"/>
          <w:b/>
          <w:color w:val="auto"/>
          <w:sz w:val="28"/>
          <w:szCs w:val="28"/>
          <w:highlight w:val="none"/>
        </w:rPr>
        <w:t>证明材料</w:t>
      </w:r>
    </w:p>
    <w:p w14:paraId="08AC93B4">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(不属于强制采购或者优先采购产品的无需提供)</w:t>
      </w:r>
    </w:p>
    <w:p w14:paraId="4B1BA59D">
      <w:pPr>
        <w:adjustRightInd w:val="0"/>
        <w:snapToGrid w:val="0"/>
        <w:spacing w:line="360" w:lineRule="auto"/>
        <w:ind w:firstLine="420" w:firstLineChars="200"/>
        <w:jc w:val="left"/>
        <w:rPr>
          <w:rFonts w:hint="eastAsia" w:ascii="宋体" w:hAnsi="宋体" w:eastAsia="宋体" w:cs="宋体"/>
          <w:color w:val="auto"/>
          <w:szCs w:val="21"/>
          <w:highlight w:val="none"/>
        </w:rPr>
      </w:pPr>
    </w:p>
    <w:p w14:paraId="45496A9D">
      <w:pPr>
        <w:adjustRightInd w:val="0"/>
        <w:snapToGrid w:val="0"/>
        <w:spacing w:line="36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说明：1、供应商提供的产品属于下列情形，应按本章本节附件8-6“优先采购产品清单”，并加盖供应商单位章。并在本章《报价一览表及报价文件》中提供相应数据。</w:t>
      </w:r>
    </w:p>
    <w:p w14:paraId="74DE2E13">
      <w:pPr>
        <w:adjustRightInd w:val="0"/>
        <w:snapToGrid w:val="0"/>
        <w:spacing w:line="36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(1)符合政府采购强制采购政策的(</w:t>
      </w:r>
      <w:r>
        <w:rPr>
          <w:rFonts w:hint="eastAsia" w:ascii="宋体" w:hAnsi="宋体" w:eastAsia="宋体" w:cs="宋体"/>
          <w:bCs/>
          <w:iCs/>
          <w:color w:val="auto"/>
          <w:szCs w:val="21"/>
          <w:highlight w:val="none"/>
        </w:rPr>
        <w:t>《节能产品政府采购品目清单》</w:t>
      </w:r>
      <w:r>
        <w:rPr>
          <w:rFonts w:hint="eastAsia" w:ascii="宋体" w:hAnsi="宋体" w:eastAsia="宋体" w:cs="宋体"/>
          <w:color w:val="auto"/>
          <w:szCs w:val="21"/>
          <w:highlight w:val="none"/>
        </w:rPr>
        <w:t>中标记★符号节能产品及其他强制采购产品)；</w:t>
      </w:r>
    </w:p>
    <w:p w14:paraId="4CF7447B">
      <w:pPr>
        <w:adjustRightInd w:val="0"/>
        <w:snapToGrid w:val="0"/>
        <w:spacing w:line="36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(2)符合政府采购优先采购政策的(</w:t>
      </w:r>
      <w:r>
        <w:rPr>
          <w:rFonts w:hint="eastAsia" w:ascii="宋体" w:hAnsi="宋体" w:eastAsia="宋体" w:cs="宋体"/>
          <w:bCs/>
          <w:iCs/>
          <w:color w:val="auto"/>
          <w:szCs w:val="21"/>
          <w:highlight w:val="none"/>
        </w:rPr>
        <w:t>《节能产品政府采购品目清单》</w:t>
      </w:r>
      <w:r>
        <w:rPr>
          <w:rFonts w:hint="eastAsia" w:ascii="宋体" w:hAnsi="宋体" w:eastAsia="宋体" w:cs="宋体"/>
          <w:color w:val="auto"/>
          <w:szCs w:val="21"/>
          <w:highlight w:val="none"/>
        </w:rPr>
        <w:t>中非标记★符号节能产品，《环境标志产品政府采购品目清单》中环境标志产品)。</w:t>
      </w:r>
    </w:p>
    <w:p w14:paraId="20B9F83E">
      <w:pPr>
        <w:adjustRightInd w:val="0"/>
        <w:snapToGrid w:val="0"/>
        <w:spacing w:line="36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2、未按上述要求提供的，评审时不予以考虑。</w:t>
      </w:r>
    </w:p>
    <w:p w14:paraId="2A9F8835">
      <w:pPr>
        <w:pStyle w:val="25"/>
        <w:rPr>
          <w:rFonts w:hint="eastAsia" w:ascii="宋体" w:hAnsi="宋体" w:eastAsia="宋体" w:cs="宋体"/>
          <w:color w:val="auto"/>
          <w:highlight w:val="none"/>
        </w:rPr>
      </w:pPr>
    </w:p>
    <w:p w14:paraId="2EEB0D4E">
      <w:pPr>
        <w:pStyle w:val="25"/>
        <w:rPr>
          <w:rFonts w:hint="eastAsia" w:ascii="宋体" w:hAnsi="宋体" w:eastAsia="宋体" w:cs="宋体"/>
          <w:color w:val="auto"/>
          <w:highlight w:val="none"/>
        </w:rPr>
        <w:sectPr>
          <w:pgSz w:w="11906" w:h="16838"/>
          <w:pgMar w:top="1417" w:right="1417" w:bottom="1417" w:left="1417" w:header="851" w:footer="992" w:gutter="0"/>
          <w:pgNumType w:fmt="numberInDash"/>
          <w:cols w:space="720" w:num="1"/>
          <w:docGrid w:type="lines" w:linePitch="312" w:charSpace="0"/>
        </w:sectPr>
      </w:pPr>
    </w:p>
    <w:p w14:paraId="014B3FFA">
      <w:pPr>
        <w:pStyle w:val="4"/>
        <w:rPr>
          <w:rFonts w:hint="eastAsia" w:ascii="宋体" w:hAnsi="宋体" w:eastAsia="宋体" w:cs="宋体"/>
          <w:color w:val="auto"/>
          <w:highlight w:val="none"/>
        </w:rPr>
      </w:pPr>
      <w:bookmarkStart w:id="107" w:name="_Toc41472865"/>
      <w:r>
        <w:rPr>
          <w:rFonts w:hint="eastAsia" w:ascii="宋体" w:hAnsi="宋体" w:eastAsia="宋体" w:cs="宋体"/>
          <w:color w:val="auto"/>
          <w:highlight w:val="none"/>
        </w:rPr>
        <w:t>附</w:t>
      </w:r>
      <w:bookmarkEnd w:id="107"/>
      <w:r>
        <w:rPr>
          <w:rFonts w:hint="eastAsia" w:ascii="宋体" w:hAnsi="宋体" w:eastAsia="宋体" w:cs="宋体"/>
          <w:color w:val="auto"/>
          <w:highlight w:val="none"/>
        </w:rPr>
        <w:t>件8-6 优先采购产品清单</w:t>
      </w:r>
    </w:p>
    <w:p w14:paraId="5A89C3D3">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z w:val="28"/>
          <w:szCs w:val="28"/>
          <w:highlight w:val="none"/>
        </w:rPr>
        <w:t>优先采购产品清单</w:t>
      </w:r>
    </w:p>
    <w:p w14:paraId="1A058E0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采购计划编号： __________________                     项目名称：___________________</w:t>
      </w:r>
    </w:p>
    <w:tbl>
      <w:tblPr>
        <w:tblStyle w:val="2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6AEBB6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2B155AE2">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以下为供应商提供的政府采购优先采购产品，供应商对本表的真实性负责。如有虚假，将依法承担相应责任。</w:t>
            </w:r>
          </w:p>
        </w:tc>
      </w:tr>
      <w:tr w14:paraId="6400F7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79E097A6">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739" w:type="dxa"/>
            <w:noWrap w:val="0"/>
            <w:vAlign w:val="center"/>
          </w:tcPr>
          <w:p w14:paraId="13F4DF03">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1134" w:type="dxa"/>
            <w:tcBorders>
              <w:right w:val="single" w:color="auto" w:sz="4" w:space="0"/>
            </w:tcBorders>
            <w:noWrap w:val="0"/>
            <w:vAlign w:val="center"/>
          </w:tcPr>
          <w:p w14:paraId="1E9CF595">
            <w:pPr>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1418" w:type="dxa"/>
            <w:tcBorders>
              <w:left w:val="single" w:color="auto" w:sz="4" w:space="0"/>
            </w:tcBorders>
            <w:noWrap w:val="0"/>
            <w:vAlign w:val="center"/>
          </w:tcPr>
          <w:p w14:paraId="590DCE5C">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1984" w:type="dxa"/>
            <w:noWrap w:val="0"/>
            <w:vAlign w:val="center"/>
          </w:tcPr>
          <w:p w14:paraId="1D737399">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1843" w:type="dxa"/>
            <w:noWrap w:val="0"/>
            <w:vAlign w:val="center"/>
          </w:tcPr>
          <w:p w14:paraId="2634CBC9">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p>
        </w:tc>
      </w:tr>
      <w:tr w14:paraId="573EE8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0D2247F8">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1739" w:type="dxa"/>
            <w:noWrap w:val="0"/>
            <w:vAlign w:val="center"/>
          </w:tcPr>
          <w:p w14:paraId="789988CE">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货物名称</w:t>
            </w:r>
          </w:p>
        </w:tc>
        <w:tc>
          <w:tcPr>
            <w:tcW w:w="1134" w:type="dxa"/>
            <w:tcBorders>
              <w:right w:val="single" w:color="auto" w:sz="4" w:space="0"/>
            </w:tcBorders>
            <w:noWrap w:val="0"/>
            <w:vAlign w:val="center"/>
          </w:tcPr>
          <w:p w14:paraId="6B80FD66">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规格型号</w:t>
            </w:r>
          </w:p>
        </w:tc>
        <w:tc>
          <w:tcPr>
            <w:tcW w:w="1418" w:type="dxa"/>
            <w:tcBorders>
              <w:left w:val="single" w:color="auto" w:sz="4" w:space="0"/>
            </w:tcBorders>
            <w:noWrap w:val="0"/>
            <w:vAlign w:val="center"/>
          </w:tcPr>
          <w:p w14:paraId="57BE55FF">
            <w:pPr>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价格（元）</w:t>
            </w:r>
          </w:p>
        </w:tc>
        <w:tc>
          <w:tcPr>
            <w:tcW w:w="1984" w:type="dxa"/>
            <w:noWrap w:val="0"/>
            <w:vAlign w:val="center"/>
          </w:tcPr>
          <w:p w14:paraId="04150064">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货物制造商名称</w:t>
            </w:r>
          </w:p>
        </w:tc>
        <w:tc>
          <w:tcPr>
            <w:tcW w:w="1843" w:type="dxa"/>
            <w:noWrap w:val="0"/>
            <w:vAlign w:val="center"/>
          </w:tcPr>
          <w:p w14:paraId="598DC207">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政策功能编码</w:t>
            </w:r>
          </w:p>
        </w:tc>
      </w:tr>
      <w:tr w14:paraId="0526AC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39C176B9">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节能产品</w:t>
            </w:r>
          </w:p>
        </w:tc>
      </w:tr>
      <w:tr w14:paraId="2407C0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E29EAED">
            <w:pPr>
              <w:adjustRightInd w:val="0"/>
              <w:snapToGrid w:val="0"/>
              <w:spacing w:line="360" w:lineRule="auto"/>
              <w:jc w:val="center"/>
              <w:rPr>
                <w:rFonts w:hint="eastAsia" w:ascii="宋体" w:hAnsi="宋体" w:eastAsia="宋体" w:cs="宋体"/>
                <w:b/>
                <w:color w:val="auto"/>
                <w:szCs w:val="21"/>
                <w:highlight w:val="none"/>
              </w:rPr>
            </w:pPr>
          </w:p>
        </w:tc>
        <w:tc>
          <w:tcPr>
            <w:tcW w:w="1739" w:type="dxa"/>
            <w:noWrap w:val="0"/>
            <w:vAlign w:val="center"/>
          </w:tcPr>
          <w:p w14:paraId="07DC8275">
            <w:pPr>
              <w:adjustRightInd w:val="0"/>
              <w:snapToGrid w:val="0"/>
              <w:spacing w:line="360" w:lineRule="auto"/>
              <w:jc w:val="center"/>
              <w:rPr>
                <w:rFonts w:hint="eastAsia" w:ascii="宋体" w:hAnsi="宋体" w:eastAsia="宋体" w:cs="宋体"/>
                <w:b/>
                <w:color w:val="auto"/>
                <w:szCs w:val="21"/>
                <w:highlight w:val="none"/>
              </w:rPr>
            </w:pPr>
          </w:p>
        </w:tc>
        <w:tc>
          <w:tcPr>
            <w:tcW w:w="1134" w:type="dxa"/>
            <w:tcBorders>
              <w:right w:val="single" w:color="auto" w:sz="4" w:space="0"/>
            </w:tcBorders>
            <w:noWrap w:val="0"/>
            <w:vAlign w:val="center"/>
          </w:tcPr>
          <w:p w14:paraId="633D0994">
            <w:pPr>
              <w:adjustRightInd w:val="0"/>
              <w:snapToGrid w:val="0"/>
              <w:spacing w:line="360" w:lineRule="auto"/>
              <w:jc w:val="left"/>
              <w:rPr>
                <w:rFonts w:hint="eastAsia" w:ascii="宋体" w:hAnsi="宋体" w:eastAsia="宋体" w:cs="宋体"/>
                <w:b/>
                <w:color w:val="auto"/>
                <w:szCs w:val="21"/>
                <w:highlight w:val="none"/>
              </w:rPr>
            </w:pPr>
          </w:p>
        </w:tc>
        <w:tc>
          <w:tcPr>
            <w:tcW w:w="1418" w:type="dxa"/>
            <w:tcBorders>
              <w:left w:val="single" w:color="auto" w:sz="4" w:space="0"/>
            </w:tcBorders>
            <w:noWrap w:val="0"/>
            <w:vAlign w:val="center"/>
          </w:tcPr>
          <w:p w14:paraId="61576252">
            <w:pPr>
              <w:adjustRightInd w:val="0"/>
              <w:snapToGrid w:val="0"/>
              <w:spacing w:line="360" w:lineRule="auto"/>
              <w:jc w:val="left"/>
              <w:rPr>
                <w:rFonts w:hint="eastAsia" w:ascii="宋体" w:hAnsi="宋体" w:eastAsia="宋体" w:cs="宋体"/>
                <w:b/>
                <w:color w:val="auto"/>
                <w:szCs w:val="21"/>
                <w:highlight w:val="none"/>
              </w:rPr>
            </w:pPr>
          </w:p>
        </w:tc>
        <w:tc>
          <w:tcPr>
            <w:tcW w:w="1984" w:type="dxa"/>
            <w:noWrap w:val="0"/>
            <w:vAlign w:val="center"/>
          </w:tcPr>
          <w:p w14:paraId="724D6E50">
            <w:pPr>
              <w:adjustRightInd w:val="0"/>
              <w:snapToGrid w:val="0"/>
              <w:spacing w:line="360" w:lineRule="auto"/>
              <w:jc w:val="center"/>
              <w:rPr>
                <w:rFonts w:hint="eastAsia" w:ascii="宋体" w:hAnsi="宋体" w:eastAsia="宋体" w:cs="宋体"/>
                <w:b/>
                <w:color w:val="auto"/>
                <w:szCs w:val="21"/>
                <w:highlight w:val="none"/>
              </w:rPr>
            </w:pPr>
          </w:p>
        </w:tc>
        <w:tc>
          <w:tcPr>
            <w:tcW w:w="1843" w:type="dxa"/>
            <w:noWrap w:val="0"/>
            <w:vAlign w:val="top"/>
          </w:tcPr>
          <w:p w14:paraId="29C2DDCA">
            <w:pPr>
              <w:adjustRightInd w:val="0"/>
              <w:snapToGrid w:val="0"/>
              <w:spacing w:line="360" w:lineRule="auto"/>
              <w:jc w:val="center"/>
              <w:rPr>
                <w:rFonts w:hint="eastAsia" w:ascii="宋体" w:hAnsi="宋体" w:eastAsia="宋体" w:cs="宋体"/>
                <w:b/>
                <w:color w:val="auto"/>
                <w:szCs w:val="21"/>
                <w:highlight w:val="none"/>
              </w:rPr>
            </w:pPr>
          </w:p>
        </w:tc>
      </w:tr>
      <w:tr w14:paraId="1515EE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530567E">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noWrap w:val="0"/>
            <w:vAlign w:val="center"/>
          </w:tcPr>
          <w:p w14:paraId="7FF12063">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c>
          <w:tcPr>
            <w:tcW w:w="1134" w:type="dxa"/>
            <w:tcBorders>
              <w:right w:val="single" w:color="auto" w:sz="4" w:space="0"/>
            </w:tcBorders>
            <w:noWrap w:val="0"/>
            <w:vAlign w:val="center"/>
          </w:tcPr>
          <w:p w14:paraId="0E06EEBF">
            <w:pPr>
              <w:adjustRightInd w:val="0"/>
              <w:snapToGrid w:val="0"/>
              <w:spacing w:line="360" w:lineRule="auto"/>
              <w:jc w:val="left"/>
              <w:rPr>
                <w:rFonts w:hint="eastAsia" w:ascii="宋体" w:hAnsi="宋体" w:eastAsia="宋体" w:cs="宋体"/>
                <w:b/>
                <w:color w:val="auto"/>
                <w:szCs w:val="21"/>
                <w:highlight w:val="none"/>
              </w:rPr>
            </w:pPr>
          </w:p>
        </w:tc>
        <w:tc>
          <w:tcPr>
            <w:tcW w:w="1418" w:type="dxa"/>
            <w:tcBorders>
              <w:left w:val="single" w:color="auto" w:sz="4" w:space="0"/>
            </w:tcBorders>
            <w:noWrap w:val="0"/>
            <w:vAlign w:val="center"/>
          </w:tcPr>
          <w:p w14:paraId="274386B7">
            <w:pPr>
              <w:adjustRightInd w:val="0"/>
              <w:snapToGrid w:val="0"/>
              <w:spacing w:line="360" w:lineRule="auto"/>
              <w:jc w:val="left"/>
              <w:rPr>
                <w:rFonts w:hint="eastAsia" w:ascii="宋体" w:hAnsi="宋体" w:eastAsia="宋体" w:cs="宋体"/>
                <w:b/>
                <w:color w:val="auto"/>
                <w:szCs w:val="21"/>
                <w:highlight w:val="none"/>
              </w:rPr>
            </w:pPr>
          </w:p>
        </w:tc>
        <w:tc>
          <w:tcPr>
            <w:tcW w:w="1984" w:type="dxa"/>
            <w:noWrap w:val="0"/>
            <w:vAlign w:val="center"/>
          </w:tcPr>
          <w:p w14:paraId="4F5A6ABA">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c>
          <w:tcPr>
            <w:tcW w:w="1843" w:type="dxa"/>
            <w:noWrap w:val="0"/>
            <w:vAlign w:val="top"/>
          </w:tcPr>
          <w:p w14:paraId="3AC1E113">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r>
      <w:tr w14:paraId="0A52DC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0630A28D">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环境标志产品</w:t>
            </w:r>
          </w:p>
        </w:tc>
      </w:tr>
      <w:tr w14:paraId="538E3D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2082FA2">
            <w:pPr>
              <w:adjustRightInd w:val="0"/>
              <w:snapToGrid w:val="0"/>
              <w:spacing w:line="360" w:lineRule="auto"/>
              <w:jc w:val="center"/>
              <w:rPr>
                <w:rFonts w:hint="eastAsia" w:ascii="宋体" w:hAnsi="宋体" w:eastAsia="宋体" w:cs="宋体"/>
                <w:b/>
                <w:color w:val="auto"/>
                <w:szCs w:val="21"/>
                <w:highlight w:val="none"/>
              </w:rPr>
            </w:pPr>
          </w:p>
        </w:tc>
        <w:tc>
          <w:tcPr>
            <w:tcW w:w="1739" w:type="dxa"/>
            <w:noWrap w:val="0"/>
            <w:vAlign w:val="center"/>
          </w:tcPr>
          <w:p w14:paraId="0C6149D4">
            <w:pPr>
              <w:adjustRightInd w:val="0"/>
              <w:snapToGrid w:val="0"/>
              <w:spacing w:line="360" w:lineRule="auto"/>
              <w:jc w:val="center"/>
              <w:rPr>
                <w:rFonts w:hint="eastAsia" w:ascii="宋体" w:hAnsi="宋体" w:eastAsia="宋体" w:cs="宋体"/>
                <w:b/>
                <w:color w:val="auto"/>
                <w:szCs w:val="21"/>
                <w:highlight w:val="none"/>
              </w:rPr>
            </w:pPr>
          </w:p>
        </w:tc>
        <w:tc>
          <w:tcPr>
            <w:tcW w:w="1134" w:type="dxa"/>
            <w:tcBorders>
              <w:right w:val="single" w:color="auto" w:sz="4" w:space="0"/>
            </w:tcBorders>
            <w:noWrap w:val="0"/>
            <w:vAlign w:val="center"/>
          </w:tcPr>
          <w:p w14:paraId="4F4F6878">
            <w:pPr>
              <w:adjustRightInd w:val="0"/>
              <w:snapToGrid w:val="0"/>
              <w:spacing w:line="360" w:lineRule="auto"/>
              <w:jc w:val="left"/>
              <w:rPr>
                <w:rFonts w:hint="eastAsia" w:ascii="宋体" w:hAnsi="宋体" w:eastAsia="宋体" w:cs="宋体"/>
                <w:b/>
                <w:color w:val="auto"/>
                <w:szCs w:val="21"/>
                <w:highlight w:val="none"/>
              </w:rPr>
            </w:pPr>
          </w:p>
        </w:tc>
        <w:tc>
          <w:tcPr>
            <w:tcW w:w="1418" w:type="dxa"/>
            <w:tcBorders>
              <w:left w:val="single" w:color="auto" w:sz="4" w:space="0"/>
            </w:tcBorders>
            <w:noWrap w:val="0"/>
            <w:vAlign w:val="center"/>
          </w:tcPr>
          <w:p w14:paraId="31CD3925">
            <w:pPr>
              <w:adjustRightInd w:val="0"/>
              <w:snapToGrid w:val="0"/>
              <w:spacing w:line="360" w:lineRule="auto"/>
              <w:jc w:val="left"/>
              <w:rPr>
                <w:rFonts w:hint="eastAsia" w:ascii="宋体" w:hAnsi="宋体" w:eastAsia="宋体" w:cs="宋体"/>
                <w:b/>
                <w:color w:val="auto"/>
                <w:szCs w:val="21"/>
                <w:highlight w:val="none"/>
              </w:rPr>
            </w:pPr>
          </w:p>
        </w:tc>
        <w:tc>
          <w:tcPr>
            <w:tcW w:w="1984" w:type="dxa"/>
            <w:noWrap w:val="0"/>
            <w:vAlign w:val="center"/>
          </w:tcPr>
          <w:p w14:paraId="1CA0E9C0">
            <w:pPr>
              <w:adjustRightInd w:val="0"/>
              <w:snapToGrid w:val="0"/>
              <w:spacing w:line="360" w:lineRule="auto"/>
              <w:jc w:val="center"/>
              <w:rPr>
                <w:rFonts w:hint="eastAsia" w:ascii="宋体" w:hAnsi="宋体" w:eastAsia="宋体" w:cs="宋体"/>
                <w:b/>
                <w:color w:val="auto"/>
                <w:szCs w:val="21"/>
                <w:highlight w:val="none"/>
              </w:rPr>
            </w:pPr>
          </w:p>
        </w:tc>
        <w:tc>
          <w:tcPr>
            <w:tcW w:w="1843" w:type="dxa"/>
            <w:noWrap w:val="0"/>
            <w:vAlign w:val="top"/>
          </w:tcPr>
          <w:p w14:paraId="0DFB2F1E">
            <w:pPr>
              <w:adjustRightInd w:val="0"/>
              <w:snapToGrid w:val="0"/>
              <w:spacing w:line="360" w:lineRule="auto"/>
              <w:jc w:val="center"/>
              <w:rPr>
                <w:rFonts w:hint="eastAsia" w:ascii="宋体" w:hAnsi="宋体" w:eastAsia="宋体" w:cs="宋体"/>
                <w:b/>
                <w:color w:val="auto"/>
                <w:szCs w:val="21"/>
                <w:highlight w:val="none"/>
              </w:rPr>
            </w:pPr>
          </w:p>
        </w:tc>
      </w:tr>
      <w:tr w14:paraId="786F96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1A8E09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noWrap w:val="0"/>
            <w:vAlign w:val="center"/>
          </w:tcPr>
          <w:p w14:paraId="564EEA88">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c>
          <w:tcPr>
            <w:tcW w:w="1134" w:type="dxa"/>
            <w:tcBorders>
              <w:right w:val="single" w:color="auto" w:sz="4" w:space="0"/>
            </w:tcBorders>
            <w:noWrap w:val="0"/>
            <w:vAlign w:val="center"/>
          </w:tcPr>
          <w:p w14:paraId="328E11CE">
            <w:pPr>
              <w:adjustRightInd w:val="0"/>
              <w:snapToGrid w:val="0"/>
              <w:spacing w:line="360" w:lineRule="auto"/>
              <w:jc w:val="left"/>
              <w:rPr>
                <w:rFonts w:hint="eastAsia" w:ascii="宋体" w:hAnsi="宋体" w:eastAsia="宋体" w:cs="宋体"/>
                <w:b/>
                <w:color w:val="auto"/>
                <w:szCs w:val="21"/>
                <w:highlight w:val="none"/>
              </w:rPr>
            </w:pPr>
          </w:p>
        </w:tc>
        <w:tc>
          <w:tcPr>
            <w:tcW w:w="1418" w:type="dxa"/>
            <w:tcBorders>
              <w:left w:val="single" w:color="auto" w:sz="4" w:space="0"/>
            </w:tcBorders>
            <w:noWrap w:val="0"/>
            <w:vAlign w:val="center"/>
          </w:tcPr>
          <w:p w14:paraId="38425422">
            <w:pPr>
              <w:adjustRightInd w:val="0"/>
              <w:snapToGrid w:val="0"/>
              <w:spacing w:line="360" w:lineRule="auto"/>
              <w:jc w:val="left"/>
              <w:rPr>
                <w:rFonts w:hint="eastAsia" w:ascii="宋体" w:hAnsi="宋体" w:eastAsia="宋体" w:cs="宋体"/>
                <w:b/>
                <w:color w:val="auto"/>
                <w:szCs w:val="21"/>
                <w:highlight w:val="none"/>
              </w:rPr>
            </w:pPr>
          </w:p>
        </w:tc>
        <w:tc>
          <w:tcPr>
            <w:tcW w:w="1984" w:type="dxa"/>
            <w:noWrap w:val="0"/>
            <w:vAlign w:val="center"/>
          </w:tcPr>
          <w:p w14:paraId="6A515AF7">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c>
          <w:tcPr>
            <w:tcW w:w="1843" w:type="dxa"/>
            <w:noWrap w:val="0"/>
            <w:vAlign w:val="top"/>
          </w:tcPr>
          <w:p w14:paraId="4DC0C349">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r>
    </w:tbl>
    <w:p w14:paraId="43F8EEC1">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r>
        <w:rPr>
          <w:rFonts w:hint="eastAsia" w:ascii="宋体" w:hAnsi="宋体" w:eastAsia="宋体" w:cs="宋体"/>
          <w:bCs/>
          <w:color w:val="auto"/>
          <w:szCs w:val="21"/>
          <w:highlight w:val="none"/>
        </w:rPr>
        <w:t>1、</w:t>
      </w:r>
      <w:r>
        <w:rPr>
          <w:rFonts w:hint="eastAsia" w:ascii="宋体" w:hAnsi="宋体" w:eastAsia="宋体" w:cs="宋体"/>
          <w:color w:val="auto"/>
          <w:szCs w:val="21"/>
          <w:highlight w:val="none"/>
        </w:rPr>
        <w:t>本表用于计算政府采购优先采购产品（节能产品或环境标志产品）的政府采购政策加分或者价格扣除。</w:t>
      </w:r>
    </w:p>
    <w:p w14:paraId="07500C3B">
      <w:pPr>
        <w:adjustRightInd w:val="0"/>
        <w:snapToGrid w:val="0"/>
        <w:spacing w:line="360" w:lineRule="auto"/>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2、栏目4“价格”为综合单价，包含货物所有隐含的内容，如运输费、保险费、管理费和利润等。</w:t>
      </w:r>
    </w:p>
    <w:p w14:paraId="3502C12E">
      <w:pPr>
        <w:adjustRightInd w:val="0"/>
        <w:snapToGrid w:val="0"/>
        <w:spacing w:line="360" w:lineRule="auto"/>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3、栏目6“政策功能编码”是指货物的中国环境标志认证证书编号、中国节能标志认证证书号（货物同时属于节能产品、环境标志产品，只须填写一种）。</w:t>
      </w:r>
    </w:p>
    <w:p w14:paraId="127BB7F4">
      <w:pPr>
        <w:adjustRightInd w:val="0"/>
        <w:snapToGrid w:val="0"/>
        <w:spacing w:line="360" w:lineRule="auto"/>
        <w:ind w:firstLine="630" w:firstLineChars="3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4、供应商在最终报价截止时间前修改“报价一览表”中的响应报价的，应修改本表相应内容。否则，评审时涉及本表所有优惠不予以考虑。</w:t>
      </w:r>
    </w:p>
    <w:p w14:paraId="5C7EE83B">
      <w:pPr>
        <w:adjustRightInd w:val="0"/>
        <w:snapToGrid w:val="0"/>
        <w:spacing w:line="360" w:lineRule="auto"/>
        <w:rPr>
          <w:rFonts w:hint="eastAsia" w:ascii="宋体" w:hAnsi="宋体" w:eastAsia="宋体" w:cs="宋体"/>
          <w:color w:val="auto"/>
          <w:szCs w:val="21"/>
          <w:highlight w:val="none"/>
        </w:rPr>
      </w:pPr>
    </w:p>
    <w:p w14:paraId="5C7C700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供应商名称（单位章）：</w:t>
      </w:r>
    </w:p>
    <w:p w14:paraId="21E2981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法定代表人（单位负责人）或者其授权的代理人（签字或者印章）：</w:t>
      </w:r>
      <w:r>
        <w:rPr>
          <w:rFonts w:hint="eastAsia" w:ascii="宋体" w:hAnsi="宋体" w:eastAsia="宋体" w:cs="宋体"/>
          <w:color w:val="auto"/>
          <w:szCs w:val="21"/>
          <w:highlight w:val="none"/>
          <w:u w:val="single"/>
        </w:rPr>
        <w:t xml:space="preserve">       </w:t>
      </w:r>
    </w:p>
    <w:p w14:paraId="6B0CFED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日期：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8818CBA">
      <w:pPr>
        <w:pStyle w:val="33"/>
        <w:rPr>
          <w:rFonts w:hint="eastAsia"/>
          <w:color w:val="auto"/>
        </w:rPr>
      </w:pPr>
    </w:p>
    <w:p w14:paraId="741376CB">
      <w:pPr>
        <w:spacing w:line="360" w:lineRule="auto"/>
        <w:jc w:val="center"/>
        <w:rPr>
          <w:rFonts w:hint="eastAsia" w:ascii="黑体" w:eastAsia="黑体"/>
          <w:b/>
          <w:bCs/>
          <w:color w:val="auto"/>
          <w:sz w:val="32"/>
          <w:szCs w:val="32"/>
        </w:rPr>
      </w:pPr>
    </w:p>
    <w:p w14:paraId="03E5B7F1">
      <w:pPr>
        <w:spacing w:line="360" w:lineRule="auto"/>
        <w:jc w:val="center"/>
        <w:rPr>
          <w:rFonts w:hint="eastAsia" w:ascii="黑体" w:eastAsia="黑体"/>
          <w:b/>
          <w:bCs/>
          <w:color w:val="auto"/>
          <w:sz w:val="32"/>
          <w:szCs w:val="32"/>
        </w:rPr>
      </w:pPr>
    </w:p>
    <w:p w14:paraId="5AF97830">
      <w:pPr>
        <w:spacing w:line="360" w:lineRule="auto"/>
        <w:jc w:val="center"/>
        <w:rPr>
          <w:rFonts w:hint="eastAsia" w:ascii="黑体" w:hAnsi="宋体" w:eastAsia="黑体"/>
          <w:b/>
          <w:color w:val="auto"/>
          <w:sz w:val="32"/>
          <w:szCs w:val="32"/>
        </w:rPr>
      </w:pPr>
      <w:r>
        <w:rPr>
          <w:rFonts w:hint="eastAsia" w:ascii="黑体" w:eastAsia="黑体"/>
          <w:b/>
          <w:bCs/>
          <w:color w:val="auto"/>
          <w:sz w:val="32"/>
          <w:szCs w:val="32"/>
        </w:rPr>
        <w:t>七、</w:t>
      </w:r>
      <w:r>
        <w:rPr>
          <w:rFonts w:hint="eastAsia" w:ascii="黑体" w:hAnsi="宋体" w:eastAsia="黑体"/>
          <w:b/>
          <w:color w:val="auto"/>
          <w:sz w:val="32"/>
          <w:szCs w:val="32"/>
        </w:rPr>
        <w:t>报价一览表及报价文件</w:t>
      </w:r>
    </w:p>
    <w:p w14:paraId="0FADB918">
      <w:pPr>
        <w:adjustRightInd w:val="0"/>
        <w:snapToGrid w:val="0"/>
        <w:spacing w:line="360" w:lineRule="auto"/>
        <w:jc w:val="both"/>
        <w:rPr>
          <w:rFonts w:hint="eastAsia" w:ascii="宋体" w:hAnsi="宋体" w:eastAsia="宋体" w:cs="宋体"/>
          <w:b/>
          <w:color w:val="auto"/>
          <w:sz w:val="28"/>
          <w:szCs w:val="28"/>
          <w:highlight w:val="none"/>
        </w:rPr>
      </w:pPr>
      <w:r>
        <w:rPr>
          <w:rFonts w:hint="eastAsia" w:ascii="黑体" w:hAnsi="宋体" w:eastAsia="黑体"/>
          <w:color w:val="auto"/>
          <w:sz w:val="30"/>
          <w:szCs w:val="30"/>
        </w:rPr>
        <w:t>附件</w:t>
      </w:r>
      <w:r>
        <w:rPr>
          <w:rFonts w:hint="eastAsia" w:ascii="黑体" w:hAnsi="宋体" w:eastAsia="黑体"/>
          <w:color w:val="auto"/>
          <w:sz w:val="30"/>
          <w:szCs w:val="30"/>
          <w:lang w:val="en-US" w:eastAsia="zh-CN"/>
        </w:rPr>
        <w:t>9</w:t>
      </w:r>
      <w:r>
        <w:rPr>
          <w:rFonts w:hint="eastAsia" w:ascii="黑体" w:hAnsi="宋体" w:eastAsia="黑体"/>
          <w:color w:val="auto"/>
          <w:sz w:val="30"/>
          <w:szCs w:val="30"/>
        </w:rPr>
        <w:t xml:space="preserve">：               </w:t>
      </w:r>
      <w:r>
        <w:rPr>
          <w:rFonts w:hint="eastAsia" w:ascii="宋体" w:hAnsi="宋体" w:eastAsia="宋体" w:cs="宋体"/>
          <w:b/>
          <w:color w:val="auto"/>
          <w:sz w:val="28"/>
          <w:szCs w:val="28"/>
          <w:highlight w:val="none"/>
        </w:rPr>
        <w:t>报价一览表</w:t>
      </w:r>
    </w:p>
    <w:p w14:paraId="377F9AC1">
      <w:pPr>
        <w:adjustRightInd w:val="0"/>
        <w:snapToGrid w:val="0"/>
        <w:spacing w:line="360" w:lineRule="auto"/>
        <w:rPr>
          <w:rFonts w:hint="eastAsia" w:ascii="宋体" w:hAnsi="宋体" w:eastAsia="宋体" w:cs="宋体"/>
          <w:color w:val="auto"/>
          <w:sz w:val="24"/>
          <w:highlight w:val="none"/>
        </w:rPr>
      </w:pPr>
    </w:p>
    <w:tbl>
      <w:tblPr>
        <w:tblStyle w:val="20"/>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86"/>
        <w:gridCol w:w="3185"/>
        <w:gridCol w:w="1686"/>
        <w:gridCol w:w="2623"/>
      </w:tblGrid>
      <w:tr w14:paraId="1D78E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686" w:type="dxa"/>
            <w:vMerge w:val="restart"/>
            <w:tcBorders>
              <w:top w:val="double" w:color="auto" w:sz="4" w:space="0"/>
              <w:left w:val="double" w:color="auto" w:sz="4" w:space="0"/>
              <w:bottom w:val="single" w:color="auto" w:sz="6" w:space="0"/>
              <w:right w:val="single" w:color="auto" w:sz="6" w:space="0"/>
            </w:tcBorders>
            <w:noWrap w:val="0"/>
            <w:vAlign w:val="center"/>
          </w:tcPr>
          <w:p w14:paraId="15E40965">
            <w:pPr>
              <w:tabs>
                <w:tab w:val="left" w:pos="403"/>
                <w:tab w:val="center" w:pos="3781"/>
              </w:tabs>
              <w:spacing w:line="360" w:lineRule="auto"/>
              <w:ind w:right="-5206" w:rightChars="-2479"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项目名称</w:t>
            </w:r>
          </w:p>
        </w:tc>
        <w:tc>
          <w:tcPr>
            <w:tcW w:w="3185" w:type="dxa"/>
            <w:vMerge w:val="restart"/>
            <w:tcBorders>
              <w:top w:val="double" w:color="auto" w:sz="4" w:space="0"/>
              <w:left w:val="single" w:color="auto" w:sz="6" w:space="0"/>
              <w:bottom w:val="single" w:color="auto" w:sz="6" w:space="0"/>
              <w:right w:val="single" w:color="auto" w:sz="6" w:space="0"/>
            </w:tcBorders>
            <w:noWrap w:val="0"/>
            <w:vAlign w:val="center"/>
          </w:tcPr>
          <w:p w14:paraId="085025A8">
            <w:pPr>
              <w:spacing w:line="360" w:lineRule="auto"/>
              <w:jc w:val="center"/>
              <w:rPr>
                <w:rFonts w:hint="eastAsia" w:ascii="宋体" w:hAnsi="宋体" w:eastAsia="宋体" w:cs="宋体"/>
                <w:color w:val="auto"/>
                <w:szCs w:val="21"/>
                <w:highlight w:val="none"/>
              </w:rPr>
            </w:pPr>
          </w:p>
        </w:tc>
        <w:tc>
          <w:tcPr>
            <w:tcW w:w="1686" w:type="dxa"/>
            <w:tcBorders>
              <w:top w:val="double" w:color="auto" w:sz="4" w:space="0"/>
              <w:left w:val="single" w:color="auto" w:sz="6" w:space="0"/>
              <w:bottom w:val="single" w:color="auto" w:sz="6" w:space="0"/>
              <w:right w:val="single" w:color="auto" w:sz="6" w:space="0"/>
            </w:tcBorders>
            <w:noWrap w:val="0"/>
            <w:vAlign w:val="center"/>
          </w:tcPr>
          <w:p w14:paraId="63AFA37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采购计划编号</w:t>
            </w:r>
          </w:p>
        </w:tc>
        <w:tc>
          <w:tcPr>
            <w:tcW w:w="2623" w:type="dxa"/>
            <w:tcBorders>
              <w:top w:val="double" w:color="auto" w:sz="4" w:space="0"/>
              <w:left w:val="single" w:color="auto" w:sz="6" w:space="0"/>
              <w:bottom w:val="single" w:color="auto" w:sz="6" w:space="0"/>
              <w:right w:val="double" w:color="auto" w:sz="4" w:space="0"/>
            </w:tcBorders>
            <w:noWrap w:val="0"/>
            <w:vAlign w:val="center"/>
          </w:tcPr>
          <w:p w14:paraId="592D43CD">
            <w:pPr>
              <w:spacing w:line="360" w:lineRule="auto"/>
              <w:jc w:val="center"/>
              <w:rPr>
                <w:rFonts w:hint="eastAsia" w:ascii="宋体" w:hAnsi="宋体" w:eastAsia="宋体" w:cs="宋体"/>
                <w:color w:val="auto"/>
                <w:szCs w:val="21"/>
                <w:highlight w:val="none"/>
              </w:rPr>
            </w:pPr>
          </w:p>
        </w:tc>
      </w:tr>
      <w:tr w14:paraId="38DBEC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686" w:type="dxa"/>
            <w:vMerge w:val="continue"/>
            <w:tcBorders>
              <w:top w:val="single" w:color="auto" w:sz="6" w:space="0"/>
              <w:left w:val="double" w:color="auto" w:sz="4" w:space="0"/>
              <w:bottom w:val="single" w:color="auto" w:sz="6" w:space="0"/>
              <w:right w:val="single" w:color="auto" w:sz="6" w:space="0"/>
            </w:tcBorders>
            <w:noWrap w:val="0"/>
            <w:vAlign w:val="center"/>
          </w:tcPr>
          <w:p w14:paraId="3E4F8114">
            <w:pPr>
              <w:tabs>
                <w:tab w:val="left" w:pos="403"/>
                <w:tab w:val="center" w:pos="3781"/>
              </w:tabs>
              <w:spacing w:line="360" w:lineRule="auto"/>
              <w:ind w:right="-5206" w:rightChars="-2479"/>
              <w:rPr>
                <w:rFonts w:hint="eastAsia" w:ascii="宋体" w:hAnsi="宋体" w:eastAsia="宋体" w:cs="宋体"/>
                <w:color w:val="auto"/>
                <w:szCs w:val="21"/>
                <w:highlight w:val="none"/>
              </w:rPr>
            </w:pPr>
          </w:p>
        </w:tc>
        <w:tc>
          <w:tcPr>
            <w:tcW w:w="3185" w:type="dxa"/>
            <w:vMerge w:val="continue"/>
            <w:tcBorders>
              <w:top w:val="single" w:color="auto" w:sz="6" w:space="0"/>
              <w:left w:val="single" w:color="auto" w:sz="6" w:space="0"/>
              <w:bottom w:val="single" w:color="auto" w:sz="6" w:space="0"/>
              <w:right w:val="single" w:color="auto" w:sz="6" w:space="0"/>
            </w:tcBorders>
            <w:noWrap w:val="0"/>
            <w:vAlign w:val="center"/>
          </w:tcPr>
          <w:p w14:paraId="5544CEEC">
            <w:pPr>
              <w:spacing w:line="360" w:lineRule="auto"/>
              <w:jc w:val="center"/>
              <w:rPr>
                <w:rFonts w:hint="eastAsia" w:ascii="宋体" w:hAnsi="宋体" w:eastAsia="宋体" w:cs="宋体"/>
                <w:color w:val="auto"/>
                <w:szCs w:val="21"/>
                <w:highlight w:val="none"/>
              </w:rPr>
            </w:pPr>
          </w:p>
        </w:tc>
        <w:tc>
          <w:tcPr>
            <w:tcW w:w="1686" w:type="dxa"/>
            <w:tcBorders>
              <w:top w:val="single" w:color="auto" w:sz="6" w:space="0"/>
              <w:left w:val="single" w:color="auto" w:sz="6" w:space="0"/>
              <w:bottom w:val="single" w:color="auto" w:sz="6" w:space="0"/>
              <w:right w:val="single" w:color="auto" w:sz="6" w:space="0"/>
            </w:tcBorders>
            <w:noWrap w:val="0"/>
            <w:vAlign w:val="center"/>
          </w:tcPr>
          <w:p w14:paraId="779D482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采购代理编号</w:t>
            </w:r>
          </w:p>
        </w:tc>
        <w:tc>
          <w:tcPr>
            <w:tcW w:w="2623" w:type="dxa"/>
            <w:tcBorders>
              <w:top w:val="single" w:color="auto" w:sz="6" w:space="0"/>
              <w:left w:val="single" w:color="auto" w:sz="6" w:space="0"/>
              <w:bottom w:val="single" w:color="auto" w:sz="6" w:space="0"/>
              <w:right w:val="double" w:color="auto" w:sz="4" w:space="0"/>
            </w:tcBorders>
            <w:noWrap w:val="0"/>
            <w:vAlign w:val="center"/>
          </w:tcPr>
          <w:p w14:paraId="11193CF8">
            <w:pPr>
              <w:spacing w:line="360" w:lineRule="auto"/>
              <w:jc w:val="center"/>
              <w:rPr>
                <w:rFonts w:hint="eastAsia" w:ascii="宋体" w:hAnsi="宋体" w:eastAsia="宋体" w:cs="宋体"/>
                <w:color w:val="auto"/>
                <w:szCs w:val="21"/>
                <w:highlight w:val="none"/>
              </w:rPr>
            </w:pPr>
          </w:p>
        </w:tc>
      </w:tr>
      <w:tr w14:paraId="015677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686" w:type="dxa"/>
            <w:tcBorders>
              <w:top w:val="single" w:color="auto" w:sz="6" w:space="0"/>
              <w:left w:val="double" w:color="auto" w:sz="4" w:space="0"/>
              <w:right w:val="single" w:color="auto" w:sz="6" w:space="0"/>
            </w:tcBorders>
            <w:noWrap w:val="0"/>
            <w:vAlign w:val="center"/>
          </w:tcPr>
          <w:p w14:paraId="160825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w:t>
            </w:r>
          </w:p>
        </w:tc>
        <w:tc>
          <w:tcPr>
            <w:tcW w:w="7494" w:type="dxa"/>
            <w:gridSpan w:val="3"/>
            <w:tcBorders>
              <w:top w:val="single" w:color="auto" w:sz="6" w:space="0"/>
              <w:left w:val="single" w:color="auto" w:sz="6" w:space="0"/>
              <w:bottom w:val="single" w:color="auto" w:sz="6" w:space="0"/>
              <w:right w:val="double" w:color="auto" w:sz="4" w:space="0"/>
            </w:tcBorders>
            <w:noWrap w:val="0"/>
            <w:vAlign w:val="center"/>
          </w:tcPr>
          <w:p w14:paraId="08D8FCD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元人民币整</w:t>
            </w:r>
          </w:p>
          <w:p w14:paraId="09AC40E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元人民币整</w:t>
            </w:r>
          </w:p>
        </w:tc>
      </w:tr>
      <w:tr w14:paraId="641E7A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686" w:type="dxa"/>
            <w:tcBorders>
              <w:top w:val="single" w:color="auto" w:sz="6" w:space="0"/>
              <w:left w:val="double" w:color="auto" w:sz="4" w:space="0"/>
              <w:bottom w:val="double" w:color="auto" w:sz="4" w:space="0"/>
              <w:right w:val="single" w:color="auto" w:sz="6" w:space="0"/>
            </w:tcBorders>
            <w:noWrap w:val="0"/>
            <w:vAlign w:val="center"/>
          </w:tcPr>
          <w:p w14:paraId="3462C02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  注</w:t>
            </w:r>
          </w:p>
        </w:tc>
        <w:tc>
          <w:tcPr>
            <w:tcW w:w="7494" w:type="dxa"/>
            <w:gridSpan w:val="3"/>
            <w:tcBorders>
              <w:top w:val="single" w:color="auto" w:sz="6" w:space="0"/>
              <w:left w:val="single" w:color="auto" w:sz="6" w:space="0"/>
              <w:bottom w:val="double" w:color="auto" w:sz="4" w:space="0"/>
              <w:right w:val="double" w:color="auto" w:sz="4" w:space="0"/>
            </w:tcBorders>
            <w:noWrap w:val="0"/>
            <w:vAlign w:val="center"/>
          </w:tcPr>
          <w:p w14:paraId="0F77BAD6">
            <w:pPr>
              <w:spacing w:line="360" w:lineRule="auto"/>
              <w:rPr>
                <w:rFonts w:hint="eastAsia" w:ascii="宋体" w:hAnsi="宋体" w:eastAsia="宋体" w:cs="宋体"/>
                <w:color w:val="auto"/>
                <w:szCs w:val="21"/>
                <w:highlight w:val="none"/>
              </w:rPr>
            </w:pPr>
          </w:p>
        </w:tc>
      </w:tr>
    </w:tbl>
    <w:p w14:paraId="573467ED">
      <w:pPr>
        <w:adjustRightInd w:val="0"/>
        <w:snapToGrid w:val="0"/>
        <w:spacing w:before="156" w:beforeLines="50"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备注：</w:t>
      </w:r>
    </w:p>
    <w:p w14:paraId="290DB5E2">
      <w:pPr>
        <w:numPr>
          <w:ilvl w:val="0"/>
          <w:numId w:val="6"/>
        </w:numPr>
        <w:adjustRightInd w:val="0"/>
        <w:snapToGrid w:val="0"/>
        <w:spacing w:before="156" w:beforeLines="50" w:line="360" w:lineRule="auto"/>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本项目报价为含税报价，包括但不</w:t>
      </w:r>
      <w:r>
        <w:rPr>
          <w:rFonts w:hint="eastAsia" w:ascii="宋体" w:hAnsi="宋体" w:eastAsia="宋体" w:cs="宋体"/>
          <w:color w:val="auto"/>
          <w:kern w:val="0"/>
          <w:szCs w:val="21"/>
          <w:highlight w:val="none"/>
        </w:rPr>
        <w:t>限于所有的人工费、交通费、</w:t>
      </w:r>
      <w:r>
        <w:rPr>
          <w:rFonts w:hint="eastAsia" w:ascii="宋体" w:hAnsi="宋体" w:eastAsia="宋体" w:cs="宋体"/>
          <w:color w:val="auto"/>
          <w:kern w:val="0"/>
          <w:szCs w:val="21"/>
          <w:highlight w:val="none"/>
          <w:lang w:val="en-US" w:eastAsia="zh-CN"/>
        </w:rPr>
        <w:t>检测费、资料费、</w:t>
      </w:r>
      <w:r>
        <w:rPr>
          <w:rFonts w:hint="eastAsia" w:ascii="宋体" w:hAnsi="宋体" w:eastAsia="宋体" w:cs="宋体"/>
          <w:color w:val="auto"/>
          <w:kern w:val="0"/>
          <w:szCs w:val="21"/>
          <w:highlight w:val="none"/>
        </w:rPr>
        <w:t>管理费、利润、税金、其它附加费用等一切费用。</w:t>
      </w:r>
    </w:p>
    <w:p w14:paraId="0E610F85">
      <w:pPr>
        <w:numPr>
          <w:ilvl w:val="0"/>
          <w:numId w:val="6"/>
        </w:numPr>
        <w:adjustRightInd w:val="0"/>
        <w:snapToGrid w:val="0"/>
        <w:spacing w:before="156" w:beforeLines="50"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含税响应报价保留两位小数，对于小数点后第三位一律舍去。</w:t>
      </w:r>
    </w:p>
    <w:p w14:paraId="63052056">
      <w:pPr>
        <w:numPr>
          <w:ilvl w:val="0"/>
          <w:numId w:val="6"/>
        </w:numPr>
        <w:adjustRightInd w:val="0"/>
        <w:snapToGrid w:val="0"/>
        <w:spacing w:before="156" w:beforeLines="50"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报价一览表的报价=分项报价表中分项项目单价*数量。</w:t>
      </w:r>
    </w:p>
    <w:p w14:paraId="42D7CFA9">
      <w:pPr>
        <w:adjustRightInd w:val="0"/>
        <w:snapToGrid w:val="0"/>
        <w:spacing w:line="360" w:lineRule="auto"/>
        <w:rPr>
          <w:rFonts w:hint="eastAsia" w:ascii="宋体" w:hAnsi="宋体" w:eastAsia="宋体" w:cs="宋体"/>
          <w:color w:val="auto"/>
          <w:szCs w:val="21"/>
          <w:highlight w:val="none"/>
        </w:rPr>
      </w:pPr>
    </w:p>
    <w:p w14:paraId="4778DC0A">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供应商（盖单位章）：</w:t>
      </w:r>
    </w:p>
    <w:p w14:paraId="72EB92A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或者其授权的代理人（签字或者印章）：</w:t>
      </w:r>
      <w:r>
        <w:rPr>
          <w:rFonts w:hint="eastAsia" w:ascii="宋体" w:hAnsi="宋体" w:eastAsia="宋体" w:cs="宋体"/>
          <w:color w:val="auto"/>
          <w:szCs w:val="21"/>
          <w:highlight w:val="none"/>
          <w:u w:val="single"/>
        </w:rPr>
        <w:t xml:space="preserve">          </w:t>
      </w:r>
    </w:p>
    <w:p w14:paraId="5C8B61A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B31E232">
      <w:pPr>
        <w:adjustRightInd w:val="0"/>
        <w:snapToGrid w:val="0"/>
        <w:spacing w:line="360" w:lineRule="auto"/>
        <w:ind w:right="23" w:rightChars="11"/>
        <w:rPr>
          <w:rFonts w:hint="eastAsia" w:ascii="仿宋_GB2312" w:hAnsi="宋体" w:eastAsia="仿宋_GB2312"/>
          <w:bCs/>
          <w:color w:val="auto"/>
          <w:szCs w:val="21"/>
        </w:rPr>
      </w:pPr>
    </w:p>
    <w:p w14:paraId="3842BB7A">
      <w:pPr>
        <w:adjustRightInd w:val="0"/>
        <w:snapToGrid w:val="0"/>
        <w:spacing w:before="50" w:line="360" w:lineRule="auto"/>
        <w:jc w:val="left"/>
        <w:rPr>
          <w:rFonts w:hint="eastAsia" w:ascii="黑体" w:hAnsi="宋体" w:eastAsia="黑体"/>
          <w:color w:val="auto"/>
          <w:sz w:val="30"/>
          <w:szCs w:val="30"/>
        </w:rPr>
        <w:sectPr>
          <w:pgSz w:w="11906" w:h="16838"/>
          <w:pgMar w:top="1474" w:right="1474" w:bottom="1284" w:left="1588" w:header="851" w:footer="737" w:gutter="0"/>
          <w:pgNumType w:fmt="decimal"/>
          <w:cols w:space="720" w:num="1"/>
          <w:docGrid w:type="lines" w:linePitch="312" w:charSpace="0"/>
        </w:sectPr>
      </w:pPr>
    </w:p>
    <w:p w14:paraId="713BF397">
      <w:pPr>
        <w:adjustRightInd w:val="0"/>
        <w:snapToGrid w:val="0"/>
        <w:spacing w:before="50" w:line="360" w:lineRule="auto"/>
        <w:jc w:val="left"/>
        <w:rPr>
          <w:rFonts w:hint="eastAsia" w:ascii="黑体" w:hAnsi="宋体" w:eastAsia="黑体"/>
          <w:color w:val="auto"/>
          <w:sz w:val="30"/>
          <w:szCs w:val="30"/>
        </w:rPr>
      </w:pPr>
      <w:r>
        <w:rPr>
          <w:rFonts w:hint="eastAsia" w:ascii="黑体" w:hAnsi="宋体" w:eastAsia="黑体"/>
          <w:color w:val="auto"/>
          <w:sz w:val="30"/>
          <w:szCs w:val="30"/>
        </w:rPr>
        <w:t>附件</w:t>
      </w:r>
      <w:r>
        <w:rPr>
          <w:rFonts w:hint="eastAsia" w:ascii="黑体" w:hAnsi="宋体" w:eastAsia="黑体"/>
          <w:color w:val="auto"/>
          <w:sz w:val="30"/>
          <w:szCs w:val="30"/>
          <w:lang w:val="en-US" w:eastAsia="zh-CN"/>
        </w:rPr>
        <w:t>10</w:t>
      </w:r>
      <w:r>
        <w:rPr>
          <w:rFonts w:hint="eastAsia" w:ascii="黑体" w:hAnsi="宋体" w:eastAsia="黑体"/>
          <w:color w:val="auto"/>
          <w:sz w:val="30"/>
          <w:szCs w:val="30"/>
        </w:rPr>
        <w:t>：</w:t>
      </w:r>
    </w:p>
    <w:p w14:paraId="528F179C">
      <w:pPr>
        <w:adjustRightInd w:val="0"/>
        <w:snapToGrid w:val="0"/>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分项价格表</w:t>
      </w:r>
    </w:p>
    <w:p w14:paraId="109482F4">
      <w:pPr>
        <w:spacing w:line="360" w:lineRule="auto"/>
        <w:ind w:firstLine="210" w:firstLineChars="100"/>
        <w:rPr>
          <w:rFonts w:hint="eastAsia" w:ascii="宋体" w:hAnsi="宋体" w:eastAsia="宋体" w:cs="宋体"/>
          <w:b/>
          <w:color w:val="auto"/>
          <w:highlight w:val="none"/>
        </w:rPr>
      </w:pPr>
      <w:r>
        <w:rPr>
          <w:rFonts w:hint="eastAsia" w:ascii="宋体" w:hAnsi="宋体" w:eastAsia="宋体" w:cs="宋体"/>
          <w:b/>
          <w:color w:val="auto"/>
          <w:highlight w:val="none"/>
        </w:rPr>
        <w:t>项目名称：</w:t>
      </w:r>
    </w:p>
    <w:p w14:paraId="52BC0E6E">
      <w:pPr>
        <w:spacing w:line="360" w:lineRule="auto"/>
        <w:ind w:firstLine="210" w:firstLineChars="100"/>
        <w:rPr>
          <w:rFonts w:hint="eastAsia" w:ascii="宋体" w:hAnsi="宋体" w:eastAsia="宋体" w:cs="宋体"/>
          <w:b/>
          <w:color w:val="auto"/>
          <w:highlight w:val="none"/>
        </w:rPr>
      </w:pPr>
      <w:r>
        <w:rPr>
          <w:rFonts w:hint="eastAsia" w:ascii="宋体" w:hAnsi="宋体" w:eastAsia="宋体" w:cs="宋体"/>
          <w:b/>
          <w:color w:val="auto"/>
          <w:highlight w:val="none"/>
        </w:rPr>
        <w:t>包号：                                                                                                       金额单位：元</w:t>
      </w:r>
    </w:p>
    <w:tbl>
      <w:tblPr>
        <w:tblStyle w:val="20"/>
        <w:tblW w:w="14057" w:type="dxa"/>
        <w:tblInd w:w="-15" w:type="dxa"/>
        <w:tblLayout w:type="fixed"/>
        <w:tblCellMar>
          <w:top w:w="0" w:type="dxa"/>
          <w:left w:w="0" w:type="dxa"/>
          <w:bottom w:w="0" w:type="dxa"/>
          <w:right w:w="0" w:type="dxa"/>
        </w:tblCellMar>
      </w:tblPr>
      <w:tblGrid>
        <w:gridCol w:w="935"/>
        <w:gridCol w:w="2432"/>
        <w:gridCol w:w="2760"/>
        <w:gridCol w:w="1280"/>
        <w:gridCol w:w="1615"/>
        <w:gridCol w:w="1307"/>
        <w:gridCol w:w="1874"/>
        <w:gridCol w:w="1854"/>
      </w:tblGrid>
      <w:tr w14:paraId="7FE21C40">
        <w:tblPrEx>
          <w:tblCellMar>
            <w:top w:w="0" w:type="dxa"/>
            <w:left w:w="0" w:type="dxa"/>
            <w:bottom w:w="0" w:type="dxa"/>
            <w:right w:w="0" w:type="dxa"/>
          </w:tblCellMar>
        </w:tblPrEx>
        <w:trPr>
          <w:trHeight w:val="415" w:hRule="exact"/>
        </w:trPr>
        <w:tc>
          <w:tcPr>
            <w:tcW w:w="3367" w:type="dxa"/>
            <w:gridSpan w:val="2"/>
            <w:vMerge w:val="restart"/>
            <w:tcBorders>
              <w:top w:val="double" w:color="auto" w:sz="4" w:space="0"/>
              <w:left w:val="double" w:color="auto" w:sz="4" w:space="0"/>
              <w:right w:val="single" w:color="auto" w:sz="6" w:space="0"/>
            </w:tcBorders>
            <w:noWrap w:val="0"/>
            <w:vAlign w:val="center"/>
          </w:tcPr>
          <w:p w14:paraId="258C844D">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r>
              <w:rPr>
                <w:rFonts w:hint="eastAsia" w:ascii="宋体" w:hAnsi="宋体" w:eastAsia="宋体" w:cs="宋体"/>
                <w:color w:val="auto"/>
                <w:kern w:val="0"/>
                <w:position w:val="-1"/>
                <w:szCs w:val="21"/>
                <w:highlight w:val="none"/>
              </w:rPr>
              <w:t>分项项目名称</w:t>
            </w:r>
          </w:p>
        </w:tc>
        <w:tc>
          <w:tcPr>
            <w:tcW w:w="2760" w:type="dxa"/>
            <w:vMerge w:val="restart"/>
            <w:tcBorders>
              <w:top w:val="double" w:color="auto" w:sz="4" w:space="0"/>
              <w:left w:val="single" w:color="auto" w:sz="6" w:space="0"/>
              <w:bottom w:val="single" w:color="auto" w:sz="6" w:space="0"/>
              <w:right w:val="single" w:color="auto" w:sz="4" w:space="0"/>
            </w:tcBorders>
            <w:noWrap w:val="0"/>
            <w:vAlign w:val="center"/>
          </w:tcPr>
          <w:p w14:paraId="084E0517">
            <w:pPr>
              <w:autoSpaceDE w:val="0"/>
              <w:autoSpaceDN w:val="0"/>
              <w:adjustRightInd w:val="0"/>
              <w:snapToGrid w:val="0"/>
              <w:spacing w:line="360" w:lineRule="auto"/>
              <w:ind w:right="-2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规格型号</w:t>
            </w:r>
          </w:p>
          <w:p w14:paraId="4D17FE56">
            <w:pPr>
              <w:autoSpaceDE w:val="0"/>
              <w:autoSpaceDN w:val="0"/>
              <w:adjustRightInd w:val="0"/>
              <w:snapToGrid w:val="0"/>
              <w:spacing w:line="360" w:lineRule="auto"/>
              <w:ind w:right="-2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（或项目特征描述）</w:t>
            </w:r>
          </w:p>
        </w:tc>
        <w:tc>
          <w:tcPr>
            <w:tcW w:w="1280" w:type="dxa"/>
            <w:vMerge w:val="restart"/>
            <w:tcBorders>
              <w:top w:val="double" w:color="auto" w:sz="4" w:space="0"/>
              <w:left w:val="single" w:color="auto" w:sz="4" w:space="0"/>
              <w:bottom w:val="single" w:color="auto" w:sz="6" w:space="0"/>
              <w:right w:val="single" w:color="auto" w:sz="6" w:space="0"/>
            </w:tcBorders>
            <w:noWrap w:val="0"/>
            <w:vAlign w:val="center"/>
          </w:tcPr>
          <w:p w14:paraId="68D16CF8">
            <w:pPr>
              <w:autoSpaceDE w:val="0"/>
              <w:autoSpaceDN w:val="0"/>
              <w:adjustRightInd w:val="0"/>
              <w:snapToGrid w:val="0"/>
              <w:spacing w:line="360" w:lineRule="auto"/>
              <w:ind w:right="-2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品牌/产地</w:t>
            </w:r>
          </w:p>
        </w:tc>
        <w:tc>
          <w:tcPr>
            <w:tcW w:w="1615" w:type="dxa"/>
            <w:vMerge w:val="restart"/>
            <w:tcBorders>
              <w:top w:val="double" w:color="auto" w:sz="4" w:space="0"/>
              <w:left w:val="single" w:color="auto" w:sz="6" w:space="0"/>
              <w:right w:val="single" w:color="auto" w:sz="4" w:space="0"/>
            </w:tcBorders>
            <w:noWrap w:val="0"/>
            <w:vAlign w:val="center"/>
          </w:tcPr>
          <w:p w14:paraId="58126A3E">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r>
              <w:rPr>
                <w:rFonts w:hint="eastAsia" w:ascii="宋体" w:hAnsi="宋体" w:eastAsia="宋体" w:cs="宋体"/>
                <w:color w:val="auto"/>
                <w:kern w:val="0"/>
                <w:szCs w:val="21"/>
                <w:highlight w:val="none"/>
              </w:rPr>
              <w:t>数量/单位</w:t>
            </w:r>
          </w:p>
        </w:tc>
        <w:tc>
          <w:tcPr>
            <w:tcW w:w="3181" w:type="dxa"/>
            <w:gridSpan w:val="2"/>
            <w:tcBorders>
              <w:top w:val="double" w:color="auto" w:sz="4" w:space="0"/>
              <w:left w:val="single" w:color="auto" w:sz="4" w:space="0"/>
              <w:bottom w:val="single" w:color="auto" w:sz="6" w:space="0"/>
              <w:right w:val="single" w:color="auto" w:sz="6" w:space="0"/>
            </w:tcBorders>
            <w:noWrap w:val="0"/>
            <w:vAlign w:val="center"/>
          </w:tcPr>
          <w:p w14:paraId="216875D8">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r>
              <w:rPr>
                <w:rFonts w:hint="eastAsia" w:ascii="宋体" w:hAnsi="宋体" w:eastAsia="宋体" w:cs="宋体"/>
                <w:color w:val="auto"/>
                <w:kern w:val="0"/>
                <w:position w:val="-1"/>
                <w:szCs w:val="21"/>
                <w:highlight w:val="none"/>
              </w:rPr>
              <w:t>金额（元）</w:t>
            </w:r>
          </w:p>
        </w:tc>
        <w:tc>
          <w:tcPr>
            <w:tcW w:w="1854" w:type="dxa"/>
            <w:vMerge w:val="restart"/>
            <w:tcBorders>
              <w:top w:val="double" w:color="auto" w:sz="4" w:space="0"/>
              <w:left w:val="single" w:color="auto" w:sz="6" w:space="0"/>
              <w:bottom w:val="single" w:color="auto" w:sz="6" w:space="0"/>
              <w:right w:val="double" w:color="auto" w:sz="4" w:space="0"/>
            </w:tcBorders>
            <w:noWrap w:val="0"/>
            <w:vAlign w:val="center"/>
          </w:tcPr>
          <w:p w14:paraId="4DD1A1F4">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r>
              <w:rPr>
                <w:rFonts w:hint="eastAsia" w:ascii="宋体" w:hAnsi="宋体" w:eastAsia="宋体" w:cs="宋体"/>
                <w:color w:val="auto"/>
                <w:kern w:val="0"/>
                <w:position w:val="-1"/>
                <w:szCs w:val="21"/>
                <w:highlight w:val="none"/>
              </w:rPr>
              <w:t>备注</w:t>
            </w:r>
          </w:p>
        </w:tc>
      </w:tr>
      <w:tr w14:paraId="76111527">
        <w:tblPrEx>
          <w:tblCellMar>
            <w:top w:w="0" w:type="dxa"/>
            <w:left w:w="0" w:type="dxa"/>
            <w:bottom w:w="0" w:type="dxa"/>
            <w:right w:w="0" w:type="dxa"/>
          </w:tblCellMar>
        </w:tblPrEx>
        <w:trPr>
          <w:trHeight w:val="415" w:hRule="exact"/>
        </w:trPr>
        <w:tc>
          <w:tcPr>
            <w:tcW w:w="3367" w:type="dxa"/>
            <w:gridSpan w:val="2"/>
            <w:vMerge w:val="continue"/>
            <w:tcBorders>
              <w:left w:val="double" w:color="auto" w:sz="4" w:space="0"/>
              <w:bottom w:val="single" w:color="auto" w:sz="6" w:space="0"/>
              <w:right w:val="single" w:color="auto" w:sz="6" w:space="0"/>
            </w:tcBorders>
            <w:noWrap w:val="0"/>
            <w:vAlign w:val="top"/>
          </w:tcPr>
          <w:p w14:paraId="727768F2">
            <w:pPr>
              <w:autoSpaceDE w:val="0"/>
              <w:autoSpaceDN w:val="0"/>
              <w:adjustRightInd w:val="0"/>
              <w:snapToGrid w:val="0"/>
              <w:spacing w:line="360" w:lineRule="auto"/>
              <w:ind w:left="352" w:right="-20"/>
              <w:jc w:val="left"/>
              <w:rPr>
                <w:rFonts w:hint="eastAsia" w:ascii="宋体" w:hAnsi="宋体" w:eastAsia="宋体" w:cs="宋体"/>
                <w:color w:val="auto"/>
                <w:kern w:val="0"/>
                <w:szCs w:val="21"/>
                <w:highlight w:val="none"/>
              </w:rPr>
            </w:pPr>
          </w:p>
        </w:tc>
        <w:tc>
          <w:tcPr>
            <w:tcW w:w="2760" w:type="dxa"/>
            <w:vMerge w:val="continue"/>
            <w:tcBorders>
              <w:top w:val="single" w:color="auto" w:sz="6" w:space="0"/>
              <w:left w:val="single" w:color="auto" w:sz="6" w:space="0"/>
              <w:bottom w:val="single" w:color="auto" w:sz="6" w:space="0"/>
              <w:right w:val="single" w:color="auto" w:sz="4" w:space="0"/>
            </w:tcBorders>
            <w:noWrap w:val="0"/>
            <w:vAlign w:val="center"/>
          </w:tcPr>
          <w:p w14:paraId="28DAB802">
            <w:pPr>
              <w:autoSpaceDE w:val="0"/>
              <w:autoSpaceDN w:val="0"/>
              <w:adjustRightInd w:val="0"/>
              <w:snapToGrid w:val="0"/>
              <w:spacing w:line="360" w:lineRule="auto"/>
              <w:ind w:right="-20"/>
              <w:jc w:val="center"/>
              <w:rPr>
                <w:rFonts w:hint="eastAsia" w:ascii="宋体" w:hAnsi="宋体" w:eastAsia="宋体" w:cs="宋体"/>
                <w:color w:val="auto"/>
                <w:kern w:val="0"/>
                <w:szCs w:val="21"/>
                <w:highlight w:val="none"/>
              </w:rPr>
            </w:pPr>
          </w:p>
        </w:tc>
        <w:tc>
          <w:tcPr>
            <w:tcW w:w="1280" w:type="dxa"/>
            <w:vMerge w:val="continue"/>
            <w:tcBorders>
              <w:top w:val="single" w:color="auto" w:sz="6" w:space="0"/>
              <w:left w:val="single" w:color="auto" w:sz="4" w:space="0"/>
              <w:bottom w:val="single" w:color="auto" w:sz="6" w:space="0"/>
              <w:right w:val="single" w:color="auto" w:sz="6" w:space="0"/>
            </w:tcBorders>
            <w:noWrap w:val="0"/>
            <w:vAlign w:val="center"/>
          </w:tcPr>
          <w:p w14:paraId="1FC3A963">
            <w:pPr>
              <w:autoSpaceDE w:val="0"/>
              <w:autoSpaceDN w:val="0"/>
              <w:adjustRightInd w:val="0"/>
              <w:snapToGrid w:val="0"/>
              <w:spacing w:line="360" w:lineRule="auto"/>
              <w:ind w:right="-20"/>
              <w:jc w:val="center"/>
              <w:rPr>
                <w:rFonts w:hint="eastAsia" w:ascii="宋体" w:hAnsi="宋体" w:eastAsia="宋体" w:cs="宋体"/>
                <w:color w:val="auto"/>
                <w:kern w:val="0"/>
                <w:szCs w:val="21"/>
                <w:highlight w:val="none"/>
              </w:rPr>
            </w:pPr>
          </w:p>
        </w:tc>
        <w:tc>
          <w:tcPr>
            <w:tcW w:w="1615" w:type="dxa"/>
            <w:vMerge w:val="continue"/>
            <w:tcBorders>
              <w:left w:val="single" w:color="auto" w:sz="6" w:space="0"/>
              <w:bottom w:val="single" w:color="auto" w:sz="6" w:space="0"/>
              <w:right w:val="single" w:color="auto" w:sz="4" w:space="0"/>
            </w:tcBorders>
            <w:noWrap w:val="0"/>
            <w:vAlign w:val="center"/>
          </w:tcPr>
          <w:p w14:paraId="3DD42245">
            <w:pPr>
              <w:autoSpaceDE w:val="0"/>
              <w:autoSpaceDN w:val="0"/>
              <w:adjustRightInd w:val="0"/>
              <w:snapToGrid w:val="0"/>
              <w:spacing w:line="360" w:lineRule="auto"/>
              <w:ind w:right="-20"/>
              <w:jc w:val="center"/>
              <w:rPr>
                <w:rFonts w:hint="eastAsia" w:ascii="宋体" w:hAnsi="宋体" w:eastAsia="宋体" w:cs="宋体"/>
                <w:color w:val="auto"/>
                <w:kern w:val="0"/>
                <w:szCs w:val="21"/>
                <w:highlight w:val="none"/>
              </w:rPr>
            </w:pPr>
          </w:p>
        </w:tc>
        <w:tc>
          <w:tcPr>
            <w:tcW w:w="1307" w:type="dxa"/>
            <w:tcBorders>
              <w:top w:val="single" w:color="auto" w:sz="6" w:space="0"/>
              <w:left w:val="single" w:color="auto" w:sz="4" w:space="0"/>
              <w:bottom w:val="single" w:color="auto" w:sz="6" w:space="0"/>
              <w:right w:val="single" w:color="auto" w:sz="4" w:space="0"/>
            </w:tcBorders>
            <w:noWrap w:val="0"/>
            <w:vAlign w:val="center"/>
          </w:tcPr>
          <w:p w14:paraId="68EE150B">
            <w:pPr>
              <w:autoSpaceDE w:val="0"/>
              <w:autoSpaceDN w:val="0"/>
              <w:adjustRightInd w:val="0"/>
              <w:snapToGrid w:val="0"/>
              <w:spacing w:line="360" w:lineRule="auto"/>
              <w:ind w:right="-20"/>
              <w:jc w:val="center"/>
              <w:rPr>
                <w:rFonts w:hint="eastAsia" w:ascii="宋体" w:hAnsi="宋体" w:eastAsia="宋体" w:cs="宋体"/>
                <w:color w:val="auto"/>
                <w:kern w:val="0"/>
                <w:szCs w:val="21"/>
                <w:highlight w:val="none"/>
              </w:rPr>
            </w:pPr>
            <w:r>
              <w:rPr>
                <w:rFonts w:hint="eastAsia" w:ascii="宋体" w:hAnsi="宋体" w:eastAsia="宋体" w:cs="宋体"/>
                <w:color w:val="auto"/>
                <w:kern w:val="0"/>
                <w:position w:val="-1"/>
                <w:szCs w:val="21"/>
                <w:highlight w:val="none"/>
              </w:rPr>
              <w:t>单价</w:t>
            </w:r>
          </w:p>
        </w:tc>
        <w:tc>
          <w:tcPr>
            <w:tcW w:w="1874" w:type="dxa"/>
            <w:tcBorders>
              <w:top w:val="single" w:color="auto" w:sz="6" w:space="0"/>
              <w:left w:val="single" w:color="auto" w:sz="4" w:space="0"/>
              <w:bottom w:val="single" w:color="auto" w:sz="6" w:space="0"/>
              <w:right w:val="single" w:color="auto" w:sz="6" w:space="0"/>
            </w:tcBorders>
            <w:noWrap w:val="0"/>
            <w:vAlign w:val="center"/>
          </w:tcPr>
          <w:p w14:paraId="0AA6D034">
            <w:pPr>
              <w:autoSpaceDE w:val="0"/>
              <w:autoSpaceDN w:val="0"/>
              <w:adjustRightInd w:val="0"/>
              <w:snapToGrid w:val="0"/>
              <w:spacing w:line="360" w:lineRule="auto"/>
              <w:ind w:left="70" w:right="-2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小计</w:t>
            </w:r>
          </w:p>
        </w:tc>
        <w:tc>
          <w:tcPr>
            <w:tcW w:w="1854" w:type="dxa"/>
            <w:vMerge w:val="continue"/>
            <w:tcBorders>
              <w:top w:val="single" w:color="auto" w:sz="6" w:space="0"/>
              <w:left w:val="single" w:color="auto" w:sz="6" w:space="0"/>
              <w:bottom w:val="single" w:color="auto" w:sz="6" w:space="0"/>
              <w:right w:val="double" w:color="auto" w:sz="4" w:space="0"/>
            </w:tcBorders>
            <w:noWrap w:val="0"/>
            <w:vAlign w:val="top"/>
          </w:tcPr>
          <w:p w14:paraId="58D918FB">
            <w:pPr>
              <w:autoSpaceDE w:val="0"/>
              <w:autoSpaceDN w:val="0"/>
              <w:adjustRightInd w:val="0"/>
              <w:snapToGrid w:val="0"/>
              <w:spacing w:line="360" w:lineRule="auto"/>
              <w:ind w:left="422" w:right="-20"/>
              <w:jc w:val="left"/>
              <w:rPr>
                <w:rFonts w:hint="eastAsia" w:ascii="宋体" w:hAnsi="宋体" w:eastAsia="宋体" w:cs="宋体"/>
                <w:color w:val="auto"/>
                <w:kern w:val="0"/>
                <w:szCs w:val="21"/>
                <w:highlight w:val="none"/>
              </w:rPr>
            </w:pPr>
          </w:p>
        </w:tc>
      </w:tr>
      <w:tr w14:paraId="23FF7619">
        <w:tblPrEx>
          <w:tblCellMar>
            <w:top w:w="0" w:type="dxa"/>
            <w:left w:w="0" w:type="dxa"/>
            <w:bottom w:w="0" w:type="dxa"/>
            <w:right w:w="0" w:type="dxa"/>
          </w:tblCellMar>
        </w:tblPrEx>
        <w:trPr>
          <w:trHeight w:val="782" w:hRule="exact"/>
        </w:trPr>
        <w:tc>
          <w:tcPr>
            <w:tcW w:w="935" w:type="dxa"/>
            <w:tcBorders>
              <w:top w:val="single" w:color="auto" w:sz="6" w:space="0"/>
              <w:left w:val="double" w:color="auto" w:sz="4" w:space="0"/>
              <w:bottom w:val="single" w:color="auto" w:sz="6" w:space="0"/>
              <w:right w:val="single" w:color="auto" w:sz="6" w:space="0"/>
            </w:tcBorders>
            <w:noWrap w:val="0"/>
            <w:vAlign w:val="center"/>
          </w:tcPr>
          <w:p w14:paraId="13FBA8C6">
            <w:pPr>
              <w:autoSpaceDE w:val="0"/>
              <w:autoSpaceDN w:val="0"/>
              <w:adjustRightInd w:val="0"/>
              <w:snapToGrid w:val="0"/>
              <w:spacing w:line="360" w:lineRule="auto"/>
              <w:ind w:right="-20" w:right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432" w:type="dxa"/>
            <w:tcBorders>
              <w:top w:val="single" w:color="auto" w:sz="6" w:space="0"/>
              <w:left w:val="single" w:color="auto" w:sz="6" w:space="0"/>
              <w:bottom w:val="single" w:color="auto" w:sz="6" w:space="0"/>
              <w:right w:val="single" w:color="auto" w:sz="6" w:space="0"/>
            </w:tcBorders>
            <w:noWrap w:val="0"/>
            <w:vAlign w:val="bottom"/>
          </w:tcPr>
          <w:p w14:paraId="70C36C7B">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2760" w:type="dxa"/>
            <w:tcBorders>
              <w:top w:val="single" w:color="auto" w:sz="6" w:space="0"/>
              <w:left w:val="single" w:color="auto" w:sz="6" w:space="0"/>
              <w:bottom w:val="single" w:color="auto" w:sz="6" w:space="0"/>
              <w:right w:val="single" w:color="auto" w:sz="4" w:space="0"/>
            </w:tcBorders>
            <w:noWrap w:val="0"/>
            <w:vAlign w:val="top"/>
          </w:tcPr>
          <w:p w14:paraId="4E95C8FF">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1280" w:type="dxa"/>
            <w:tcBorders>
              <w:top w:val="single" w:color="auto" w:sz="6" w:space="0"/>
              <w:left w:val="single" w:color="auto" w:sz="4" w:space="0"/>
              <w:bottom w:val="single" w:color="auto" w:sz="6" w:space="0"/>
              <w:right w:val="single" w:color="auto" w:sz="6" w:space="0"/>
            </w:tcBorders>
            <w:noWrap w:val="0"/>
            <w:vAlign w:val="center"/>
          </w:tcPr>
          <w:p w14:paraId="34F2638B">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1615" w:type="dxa"/>
            <w:tcBorders>
              <w:top w:val="single" w:color="auto" w:sz="6" w:space="0"/>
              <w:left w:val="single" w:color="auto" w:sz="6" w:space="0"/>
              <w:bottom w:val="single" w:color="auto" w:sz="6" w:space="0"/>
              <w:right w:val="single" w:color="auto" w:sz="4" w:space="0"/>
            </w:tcBorders>
            <w:noWrap w:val="0"/>
            <w:vAlign w:val="center"/>
          </w:tcPr>
          <w:p w14:paraId="30356A22">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1307" w:type="dxa"/>
            <w:tcBorders>
              <w:top w:val="single" w:color="auto" w:sz="6" w:space="0"/>
              <w:left w:val="single" w:color="auto" w:sz="6" w:space="0"/>
              <w:bottom w:val="single" w:color="auto" w:sz="6" w:space="0"/>
              <w:right w:val="single" w:color="auto" w:sz="6" w:space="0"/>
            </w:tcBorders>
            <w:noWrap w:val="0"/>
            <w:vAlign w:val="top"/>
          </w:tcPr>
          <w:p w14:paraId="562DCB52">
            <w:pPr>
              <w:autoSpaceDE w:val="0"/>
              <w:autoSpaceDN w:val="0"/>
              <w:adjustRightInd w:val="0"/>
              <w:snapToGrid w:val="0"/>
              <w:spacing w:line="360" w:lineRule="auto"/>
              <w:jc w:val="center"/>
              <w:rPr>
                <w:rFonts w:hint="eastAsia" w:ascii="宋体" w:hAnsi="宋体" w:eastAsia="宋体" w:cs="宋体"/>
                <w:color w:val="auto"/>
                <w:kern w:val="0"/>
                <w:szCs w:val="21"/>
                <w:highlight w:val="none"/>
              </w:rPr>
            </w:pPr>
          </w:p>
        </w:tc>
        <w:tc>
          <w:tcPr>
            <w:tcW w:w="1874" w:type="dxa"/>
            <w:tcBorders>
              <w:top w:val="single" w:color="auto" w:sz="6" w:space="0"/>
              <w:left w:val="single" w:color="auto" w:sz="6" w:space="0"/>
              <w:bottom w:val="single" w:color="auto" w:sz="6" w:space="0"/>
              <w:right w:val="single" w:color="auto" w:sz="6" w:space="0"/>
            </w:tcBorders>
            <w:noWrap w:val="0"/>
            <w:vAlign w:val="top"/>
          </w:tcPr>
          <w:p w14:paraId="7EAC1BE1">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p>
        </w:tc>
        <w:tc>
          <w:tcPr>
            <w:tcW w:w="1854" w:type="dxa"/>
            <w:tcBorders>
              <w:top w:val="single" w:color="auto" w:sz="6" w:space="0"/>
              <w:left w:val="single" w:color="auto" w:sz="6" w:space="0"/>
              <w:bottom w:val="single" w:color="auto" w:sz="6" w:space="0"/>
              <w:right w:val="double" w:color="auto" w:sz="4" w:space="0"/>
            </w:tcBorders>
            <w:noWrap w:val="0"/>
            <w:vAlign w:val="top"/>
          </w:tcPr>
          <w:p w14:paraId="07113A77">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p>
        </w:tc>
      </w:tr>
      <w:tr w14:paraId="70FF3E39">
        <w:tblPrEx>
          <w:tblCellMar>
            <w:top w:w="0" w:type="dxa"/>
            <w:left w:w="0" w:type="dxa"/>
            <w:bottom w:w="0" w:type="dxa"/>
            <w:right w:w="0" w:type="dxa"/>
          </w:tblCellMar>
        </w:tblPrEx>
        <w:trPr>
          <w:trHeight w:val="782" w:hRule="exact"/>
        </w:trPr>
        <w:tc>
          <w:tcPr>
            <w:tcW w:w="935" w:type="dxa"/>
            <w:tcBorders>
              <w:top w:val="single" w:color="auto" w:sz="6" w:space="0"/>
              <w:left w:val="double" w:color="auto" w:sz="4" w:space="0"/>
              <w:bottom w:val="single" w:color="auto" w:sz="6" w:space="0"/>
              <w:right w:val="single" w:color="auto" w:sz="6" w:space="0"/>
            </w:tcBorders>
            <w:noWrap w:val="0"/>
            <w:vAlign w:val="center"/>
          </w:tcPr>
          <w:p w14:paraId="1C1B8AFA">
            <w:pPr>
              <w:autoSpaceDE w:val="0"/>
              <w:autoSpaceDN w:val="0"/>
              <w:adjustRightInd w:val="0"/>
              <w:snapToGrid w:val="0"/>
              <w:spacing w:line="360" w:lineRule="auto"/>
              <w:ind w:right="-20" w:right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p>
        </w:tc>
        <w:tc>
          <w:tcPr>
            <w:tcW w:w="2432" w:type="dxa"/>
            <w:tcBorders>
              <w:top w:val="single" w:color="auto" w:sz="6" w:space="0"/>
              <w:left w:val="single" w:color="auto" w:sz="6" w:space="0"/>
              <w:bottom w:val="single" w:color="auto" w:sz="6" w:space="0"/>
              <w:right w:val="single" w:color="auto" w:sz="6" w:space="0"/>
            </w:tcBorders>
            <w:noWrap w:val="0"/>
            <w:vAlign w:val="bottom"/>
          </w:tcPr>
          <w:p w14:paraId="1C3565EE">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2760" w:type="dxa"/>
            <w:tcBorders>
              <w:top w:val="single" w:color="auto" w:sz="6" w:space="0"/>
              <w:left w:val="single" w:color="auto" w:sz="6" w:space="0"/>
              <w:bottom w:val="single" w:color="auto" w:sz="6" w:space="0"/>
              <w:right w:val="single" w:color="auto" w:sz="4" w:space="0"/>
            </w:tcBorders>
            <w:noWrap w:val="0"/>
            <w:vAlign w:val="top"/>
          </w:tcPr>
          <w:p w14:paraId="5F1C4A6D">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1280" w:type="dxa"/>
            <w:tcBorders>
              <w:top w:val="single" w:color="auto" w:sz="6" w:space="0"/>
              <w:left w:val="single" w:color="auto" w:sz="4" w:space="0"/>
              <w:bottom w:val="single" w:color="auto" w:sz="6" w:space="0"/>
              <w:right w:val="single" w:color="auto" w:sz="6" w:space="0"/>
            </w:tcBorders>
            <w:noWrap w:val="0"/>
            <w:vAlign w:val="center"/>
          </w:tcPr>
          <w:p w14:paraId="2AAE294A">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1615" w:type="dxa"/>
            <w:tcBorders>
              <w:top w:val="single" w:color="auto" w:sz="6" w:space="0"/>
              <w:left w:val="single" w:color="auto" w:sz="6" w:space="0"/>
              <w:bottom w:val="single" w:color="auto" w:sz="6" w:space="0"/>
              <w:right w:val="single" w:color="auto" w:sz="4" w:space="0"/>
            </w:tcBorders>
            <w:noWrap w:val="0"/>
            <w:vAlign w:val="center"/>
          </w:tcPr>
          <w:p w14:paraId="10909FFE">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1307" w:type="dxa"/>
            <w:tcBorders>
              <w:top w:val="single" w:color="auto" w:sz="6" w:space="0"/>
              <w:left w:val="single" w:color="auto" w:sz="6" w:space="0"/>
              <w:bottom w:val="single" w:color="auto" w:sz="6" w:space="0"/>
              <w:right w:val="single" w:color="auto" w:sz="6" w:space="0"/>
            </w:tcBorders>
            <w:noWrap w:val="0"/>
            <w:vAlign w:val="top"/>
          </w:tcPr>
          <w:p w14:paraId="035E3D31">
            <w:pPr>
              <w:autoSpaceDE w:val="0"/>
              <w:autoSpaceDN w:val="0"/>
              <w:adjustRightInd w:val="0"/>
              <w:snapToGrid w:val="0"/>
              <w:spacing w:line="360" w:lineRule="auto"/>
              <w:jc w:val="center"/>
              <w:rPr>
                <w:rFonts w:hint="eastAsia" w:ascii="宋体" w:hAnsi="宋体" w:eastAsia="宋体" w:cs="宋体"/>
                <w:color w:val="auto"/>
                <w:kern w:val="0"/>
                <w:szCs w:val="21"/>
                <w:highlight w:val="none"/>
              </w:rPr>
            </w:pPr>
          </w:p>
        </w:tc>
        <w:tc>
          <w:tcPr>
            <w:tcW w:w="1874" w:type="dxa"/>
            <w:tcBorders>
              <w:top w:val="single" w:color="auto" w:sz="6" w:space="0"/>
              <w:left w:val="single" w:color="auto" w:sz="6" w:space="0"/>
              <w:bottom w:val="single" w:color="auto" w:sz="6" w:space="0"/>
              <w:right w:val="single" w:color="auto" w:sz="6" w:space="0"/>
            </w:tcBorders>
            <w:noWrap w:val="0"/>
            <w:vAlign w:val="top"/>
          </w:tcPr>
          <w:p w14:paraId="00A77359">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p>
        </w:tc>
        <w:tc>
          <w:tcPr>
            <w:tcW w:w="1854" w:type="dxa"/>
            <w:tcBorders>
              <w:top w:val="single" w:color="auto" w:sz="6" w:space="0"/>
              <w:left w:val="single" w:color="auto" w:sz="6" w:space="0"/>
              <w:bottom w:val="single" w:color="auto" w:sz="6" w:space="0"/>
              <w:right w:val="double" w:color="auto" w:sz="4" w:space="0"/>
            </w:tcBorders>
            <w:noWrap w:val="0"/>
            <w:vAlign w:val="top"/>
          </w:tcPr>
          <w:p w14:paraId="04F78AE2">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p>
        </w:tc>
      </w:tr>
      <w:tr w14:paraId="6EEACAC2">
        <w:tblPrEx>
          <w:tblCellMar>
            <w:top w:w="0" w:type="dxa"/>
            <w:left w:w="0" w:type="dxa"/>
            <w:bottom w:w="0" w:type="dxa"/>
            <w:right w:w="0" w:type="dxa"/>
          </w:tblCellMar>
        </w:tblPrEx>
        <w:trPr>
          <w:trHeight w:val="782" w:hRule="exact"/>
        </w:trPr>
        <w:tc>
          <w:tcPr>
            <w:tcW w:w="935" w:type="dxa"/>
            <w:tcBorders>
              <w:top w:val="single" w:color="auto" w:sz="6" w:space="0"/>
              <w:left w:val="double" w:color="auto" w:sz="4" w:space="0"/>
              <w:bottom w:val="single" w:color="auto" w:sz="6" w:space="0"/>
              <w:right w:val="single" w:color="auto" w:sz="6" w:space="0"/>
            </w:tcBorders>
            <w:noWrap w:val="0"/>
            <w:vAlign w:val="center"/>
          </w:tcPr>
          <w:p w14:paraId="5C3B62B4">
            <w:pPr>
              <w:autoSpaceDE w:val="0"/>
              <w:autoSpaceDN w:val="0"/>
              <w:adjustRightInd w:val="0"/>
              <w:snapToGrid w:val="0"/>
              <w:spacing w:line="360" w:lineRule="auto"/>
              <w:ind w:right="-20" w:right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w:t>
            </w:r>
          </w:p>
        </w:tc>
        <w:tc>
          <w:tcPr>
            <w:tcW w:w="2432" w:type="dxa"/>
            <w:tcBorders>
              <w:top w:val="single" w:color="auto" w:sz="6" w:space="0"/>
              <w:left w:val="single" w:color="auto" w:sz="6" w:space="0"/>
              <w:bottom w:val="single" w:color="auto" w:sz="6" w:space="0"/>
              <w:right w:val="single" w:color="auto" w:sz="6" w:space="0"/>
            </w:tcBorders>
            <w:noWrap w:val="0"/>
            <w:vAlign w:val="bottom"/>
          </w:tcPr>
          <w:p w14:paraId="41F81C83">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2760" w:type="dxa"/>
            <w:tcBorders>
              <w:top w:val="single" w:color="auto" w:sz="6" w:space="0"/>
              <w:left w:val="single" w:color="auto" w:sz="6" w:space="0"/>
              <w:bottom w:val="single" w:color="auto" w:sz="6" w:space="0"/>
              <w:right w:val="single" w:color="auto" w:sz="4" w:space="0"/>
            </w:tcBorders>
            <w:noWrap w:val="0"/>
            <w:vAlign w:val="top"/>
          </w:tcPr>
          <w:p w14:paraId="3F30C8A3">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1280" w:type="dxa"/>
            <w:tcBorders>
              <w:top w:val="single" w:color="auto" w:sz="6" w:space="0"/>
              <w:left w:val="single" w:color="auto" w:sz="4" w:space="0"/>
              <w:bottom w:val="single" w:color="auto" w:sz="6" w:space="0"/>
              <w:right w:val="single" w:color="auto" w:sz="6" w:space="0"/>
            </w:tcBorders>
            <w:noWrap w:val="0"/>
            <w:vAlign w:val="center"/>
          </w:tcPr>
          <w:p w14:paraId="454B8611">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1615" w:type="dxa"/>
            <w:tcBorders>
              <w:top w:val="single" w:color="auto" w:sz="6" w:space="0"/>
              <w:left w:val="single" w:color="auto" w:sz="6" w:space="0"/>
              <w:bottom w:val="single" w:color="auto" w:sz="6" w:space="0"/>
              <w:right w:val="single" w:color="auto" w:sz="4" w:space="0"/>
            </w:tcBorders>
            <w:noWrap w:val="0"/>
            <w:vAlign w:val="center"/>
          </w:tcPr>
          <w:p w14:paraId="3F31BCB5">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highlight w:val="none"/>
              </w:rPr>
            </w:pPr>
          </w:p>
        </w:tc>
        <w:tc>
          <w:tcPr>
            <w:tcW w:w="1307" w:type="dxa"/>
            <w:tcBorders>
              <w:top w:val="single" w:color="auto" w:sz="6" w:space="0"/>
              <w:left w:val="single" w:color="auto" w:sz="6" w:space="0"/>
              <w:bottom w:val="single" w:color="auto" w:sz="6" w:space="0"/>
              <w:right w:val="single" w:color="auto" w:sz="6" w:space="0"/>
            </w:tcBorders>
            <w:noWrap w:val="0"/>
            <w:vAlign w:val="top"/>
          </w:tcPr>
          <w:p w14:paraId="1D30A555">
            <w:pPr>
              <w:autoSpaceDE w:val="0"/>
              <w:autoSpaceDN w:val="0"/>
              <w:adjustRightInd w:val="0"/>
              <w:snapToGrid w:val="0"/>
              <w:spacing w:line="360" w:lineRule="auto"/>
              <w:jc w:val="center"/>
              <w:rPr>
                <w:rFonts w:hint="eastAsia" w:ascii="宋体" w:hAnsi="宋体" w:eastAsia="宋体" w:cs="宋体"/>
                <w:color w:val="auto"/>
                <w:kern w:val="0"/>
                <w:szCs w:val="21"/>
                <w:highlight w:val="none"/>
              </w:rPr>
            </w:pPr>
          </w:p>
        </w:tc>
        <w:tc>
          <w:tcPr>
            <w:tcW w:w="1874" w:type="dxa"/>
            <w:tcBorders>
              <w:top w:val="single" w:color="auto" w:sz="6" w:space="0"/>
              <w:left w:val="single" w:color="auto" w:sz="6" w:space="0"/>
              <w:bottom w:val="single" w:color="auto" w:sz="6" w:space="0"/>
              <w:right w:val="single" w:color="auto" w:sz="6" w:space="0"/>
            </w:tcBorders>
            <w:noWrap w:val="0"/>
            <w:vAlign w:val="top"/>
          </w:tcPr>
          <w:p w14:paraId="165392F4">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p>
        </w:tc>
        <w:tc>
          <w:tcPr>
            <w:tcW w:w="1854" w:type="dxa"/>
            <w:tcBorders>
              <w:top w:val="single" w:color="auto" w:sz="6" w:space="0"/>
              <w:left w:val="single" w:color="auto" w:sz="6" w:space="0"/>
              <w:bottom w:val="single" w:color="auto" w:sz="6" w:space="0"/>
              <w:right w:val="double" w:color="auto" w:sz="4" w:space="0"/>
            </w:tcBorders>
            <w:noWrap w:val="0"/>
            <w:vAlign w:val="top"/>
          </w:tcPr>
          <w:p w14:paraId="6569AF83">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p>
        </w:tc>
      </w:tr>
      <w:tr w14:paraId="0413C4AB">
        <w:tblPrEx>
          <w:tblCellMar>
            <w:top w:w="0" w:type="dxa"/>
            <w:left w:w="0" w:type="dxa"/>
            <w:bottom w:w="0" w:type="dxa"/>
            <w:right w:w="0" w:type="dxa"/>
          </w:tblCellMar>
        </w:tblPrEx>
        <w:trPr>
          <w:trHeight w:val="415" w:hRule="exact"/>
        </w:trPr>
        <w:tc>
          <w:tcPr>
            <w:tcW w:w="10329" w:type="dxa"/>
            <w:gridSpan w:val="6"/>
            <w:tcBorders>
              <w:top w:val="single" w:color="auto" w:sz="6" w:space="0"/>
              <w:left w:val="double" w:color="auto" w:sz="4" w:space="0"/>
              <w:bottom w:val="double" w:color="auto" w:sz="4" w:space="0"/>
              <w:right w:val="single" w:color="auto" w:sz="6" w:space="0"/>
            </w:tcBorders>
            <w:noWrap w:val="0"/>
            <w:vAlign w:val="center"/>
          </w:tcPr>
          <w:p w14:paraId="24C5BEC4">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position w:val="-1"/>
                <w:szCs w:val="21"/>
                <w:highlight w:val="none"/>
              </w:rPr>
              <w:t>总报价（元）：</w:t>
            </w:r>
          </w:p>
        </w:tc>
        <w:tc>
          <w:tcPr>
            <w:tcW w:w="1874" w:type="dxa"/>
            <w:tcBorders>
              <w:top w:val="single" w:color="auto" w:sz="6" w:space="0"/>
              <w:left w:val="single" w:color="auto" w:sz="6" w:space="0"/>
              <w:bottom w:val="double" w:color="auto" w:sz="4" w:space="0"/>
              <w:right w:val="single" w:color="auto" w:sz="6" w:space="0"/>
            </w:tcBorders>
            <w:noWrap w:val="0"/>
            <w:vAlign w:val="top"/>
          </w:tcPr>
          <w:p w14:paraId="569DF509">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p>
        </w:tc>
        <w:tc>
          <w:tcPr>
            <w:tcW w:w="1854" w:type="dxa"/>
            <w:tcBorders>
              <w:top w:val="single" w:color="auto" w:sz="6" w:space="0"/>
              <w:left w:val="single" w:color="auto" w:sz="6" w:space="0"/>
              <w:bottom w:val="double" w:color="auto" w:sz="4" w:space="0"/>
              <w:right w:val="double" w:color="auto" w:sz="4" w:space="0"/>
            </w:tcBorders>
            <w:noWrap w:val="0"/>
            <w:vAlign w:val="top"/>
          </w:tcPr>
          <w:p w14:paraId="30263136">
            <w:pPr>
              <w:autoSpaceDE w:val="0"/>
              <w:autoSpaceDN w:val="0"/>
              <w:adjustRightInd w:val="0"/>
              <w:snapToGrid w:val="0"/>
              <w:spacing w:line="360" w:lineRule="auto"/>
              <w:jc w:val="left"/>
              <w:rPr>
                <w:rFonts w:hint="eastAsia" w:ascii="宋体" w:hAnsi="宋体" w:eastAsia="宋体" w:cs="宋体"/>
                <w:color w:val="auto"/>
                <w:kern w:val="0"/>
                <w:szCs w:val="21"/>
                <w:highlight w:val="none"/>
              </w:rPr>
            </w:pPr>
          </w:p>
        </w:tc>
      </w:tr>
    </w:tbl>
    <w:p w14:paraId="16A241BB">
      <w:pPr>
        <w:adjustRightInd w:val="0"/>
        <w:snapToGrid w:val="0"/>
        <w:spacing w:before="156" w:beforeLines="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报价金额合计：小写：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大写：</w:t>
      </w:r>
      <w:r>
        <w:rPr>
          <w:rFonts w:hint="eastAsia" w:ascii="宋体" w:hAnsi="宋体" w:eastAsia="宋体" w:cs="宋体"/>
          <w:color w:val="auto"/>
          <w:szCs w:val="21"/>
          <w:highlight w:val="none"/>
          <w:u w:val="single"/>
        </w:rPr>
        <w:t xml:space="preserve">                     。</w:t>
      </w:r>
    </w:p>
    <w:p w14:paraId="495EE1F9">
      <w:pPr>
        <w:adjustRightInd w:val="0"/>
        <w:snapToGrid w:val="0"/>
        <w:spacing w:line="360" w:lineRule="auto"/>
        <w:ind w:left="-88" w:leftChars="-4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说明：</w:t>
      </w:r>
    </w:p>
    <w:p w14:paraId="56F9C614">
      <w:pPr>
        <w:adjustRightInd w:val="0"/>
        <w:snapToGrid w:val="0"/>
        <w:spacing w:line="360" w:lineRule="auto"/>
        <w:ind w:left="-88" w:leftChars="-42" w:firstLine="315" w:firstLineChars="15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本表包含磋商文件第四章《采购需求》或其他部分对该项目所有要求的详细报价。“合计”及“报价金额合计”应与附件10-1《报价一览表》“报价”一致；栏目“单价”为综合单价，应包含所有隐含的管理费、税金和利润等其他费用，并在“具体要求说明”中注明分类项取费标准和其他费用的计费率和金额。</w:t>
      </w:r>
    </w:p>
    <w:p w14:paraId="262814E2">
      <w:pPr>
        <w:adjustRightInd w:val="0"/>
        <w:snapToGrid w:val="0"/>
        <w:spacing w:line="360" w:lineRule="auto"/>
        <w:ind w:left="-88" w:leftChars="-42" w:firstLine="315" w:firstLineChars="15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2、“分项项目名称”是指整包分项项目的内容。</w:t>
      </w:r>
    </w:p>
    <w:p w14:paraId="290FAABF">
      <w:pPr>
        <w:adjustRightInd w:val="0"/>
        <w:snapToGrid w:val="0"/>
        <w:spacing w:line="360" w:lineRule="auto"/>
        <w:ind w:left="-88" w:leftChars="-42" w:firstLine="315" w:firstLineChars="15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w:t>
      </w:r>
      <w:r>
        <w:rPr>
          <w:rFonts w:hint="eastAsia" w:ascii="宋体" w:hAnsi="宋体" w:cs="宋体"/>
          <w:b/>
          <w:bCs/>
          <w:color w:val="auto"/>
          <w:szCs w:val="21"/>
          <w:highlight w:val="none"/>
          <w:lang w:val="en-US" w:eastAsia="zh-CN"/>
        </w:rPr>
        <w:t>属于节能产品或环境标志产品</w:t>
      </w:r>
      <w:r>
        <w:rPr>
          <w:rFonts w:hint="eastAsia" w:ascii="宋体" w:hAnsi="宋体" w:eastAsia="宋体" w:cs="宋体"/>
          <w:b/>
          <w:bCs/>
          <w:color w:val="auto"/>
          <w:szCs w:val="21"/>
          <w:highlight w:val="none"/>
        </w:rPr>
        <w:t>的，供应商应</w:t>
      </w:r>
      <w:r>
        <w:rPr>
          <w:rFonts w:hint="eastAsia" w:ascii="宋体" w:hAnsi="宋体" w:cs="宋体"/>
          <w:b/>
          <w:bCs/>
          <w:color w:val="auto"/>
          <w:szCs w:val="21"/>
          <w:highlight w:val="none"/>
          <w:lang w:val="en-US" w:eastAsia="zh-CN"/>
        </w:rPr>
        <w:t>在备注中</w:t>
      </w:r>
      <w:r>
        <w:rPr>
          <w:rFonts w:hint="eastAsia" w:ascii="宋体" w:hAnsi="宋体" w:eastAsia="宋体" w:cs="宋体"/>
          <w:b/>
          <w:bCs/>
          <w:color w:val="auto"/>
          <w:kern w:val="0"/>
          <w:szCs w:val="21"/>
          <w:highlight w:val="none"/>
        </w:rPr>
        <w:t>填写提供的</w:t>
      </w:r>
      <w:r>
        <w:rPr>
          <w:rFonts w:hint="eastAsia" w:ascii="宋体" w:hAnsi="宋体" w:eastAsia="宋体" w:cs="宋体"/>
          <w:b/>
          <w:bCs/>
          <w:color w:val="auto"/>
          <w:szCs w:val="21"/>
          <w:highlight w:val="none"/>
        </w:rPr>
        <w:t>产品的中国环境标志认证证书编号、节能标志认证证书编号。</w:t>
      </w:r>
    </w:p>
    <w:p w14:paraId="42DCA0D4">
      <w:pPr>
        <w:adjustRightInd w:val="0"/>
        <w:snapToGrid w:val="0"/>
        <w:spacing w:line="360" w:lineRule="auto"/>
        <w:ind w:left="-88" w:leftChars="-42" w:firstLine="315" w:firstLineChars="15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4、本表中报价金额合计=分项项目单价*数量。</w:t>
      </w:r>
    </w:p>
    <w:p w14:paraId="74C0C9D7">
      <w:pPr>
        <w:adjustRightInd w:val="0"/>
        <w:snapToGrid w:val="0"/>
        <w:spacing w:line="360" w:lineRule="auto"/>
        <w:ind w:left="-88" w:leftChars="-42" w:firstLine="315" w:firstLineChars="15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5、含税响应报价保留两位小数，对于小数点后第三位一律舍去。</w:t>
      </w:r>
    </w:p>
    <w:p w14:paraId="22E1A6A4">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供应商（盖单位章）：</w:t>
      </w:r>
    </w:p>
    <w:p w14:paraId="4BACEA8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rPr>
        <w:t>法</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代</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单</w:t>
      </w:r>
      <w:r>
        <w:rPr>
          <w:rFonts w:hint="eastAsia" w:ascii="宋体" w:hAnsi="宋体" w:eastAsia="宋体" w:cs="宋体"/>
          <w:color w:val="auto"/>
          <w:kern w:val="0"/>
          <w:szCs w:val="21"/>
          <w:highlight w:val="none"/>
        </w:rPr>
        <w:t>位</w:t>
      </w:r>
      <w:r>
        <w:rPr>
          <w:rFonts w:hint="eastAsia" w:ascii="宋体" w:hAnsi="宋体" w:eastAsia="宋体" w:cs="宋体"/>
          <w:color w:val="auto"/>
          <w:spacing w:val="-2"/>
          <w:kern w:val="0"/>
          <w:szCs w:val="21"/>
          <w:highlight w:val="none"/>
        </w:rPr>
        <w:t>负</w:t>
      </w:r>
      <w:r>
        <w:rPr>
          <w:rFonts w:hint="eastAsia" w:ascii="宋体" w:hAnsi="宋体" w:eastAsia="宋体" w:cs="宋体"/>
          <w:color w:val="auto"/>
          <w:kern w:val="0"/>
          <w:szCs w:val="21"/>
          <w:highlight w:val="none"/>
        </w:rPr>
        <w:t>责人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或者其授权的代理人（签字或者印章）：</w:t>
      </w:r>
      <w:r>
        <w:rPr>
          <w:rFonts w:hint="eastAsia" w:ascii="宋体" w:hAnsi="宋体" w:eastAsia="宋体" w:cs="宋体"/>
          <w:color w:val="auto"/>
          <w:szCs w:val="21"/>
          <w:highlight w:val="none"/>
          <w:u w:val="single"/>
        </w:rPr>
        <w:t xml:space="preserve">       </w:t>
      </w:r>
    </w:p>
    <w:p w14:paraId="31B5094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3C2FDE3">
      <w:pPr>
        <w:adjustRightInd w:val="0"/>
        <w:snapToGrid w:val="0"/>
        <w:spacing w:line="360" w:lineRule="auto"/>
        <w:ind w:left="-88" w:leftChars="-42"/>
        <w:jc w:val="center"/>
        <w:rPr>
          <w:rFonts w:hint="eastAsia" w:ascii="宋体" w:hAnsi="宋体" w:eastAsia="宋体" w:cs="宋体"/>
          <w:b/>
          <w:bCs/>
          <w:color w:val="auto"/>
          <w:sz w:val="32"/>
          <w:szCs w:val="32"/>
          <w:highlight w:val="none"/>
        </w:rPr>
        <w:sectPr>
          <w:headerReference r:id="rId18" w:type="default"/>
          <w:pgSz w:w="16838" w:h="11906" w:orient="landscape"/>
          <w:pgMar w:top="1417" w:right="1417" w:bottom="1417" w:left="1417" w:header="851" w:footer="992" w:gutter="0"/>
          <w:pgNumType w:fmt="numberInDash"/>
          <w:cols w:space="720" w:num="1"/>
          <w:docGrid w:type="linesAndChars" w:linePitch="312" w:charSpace="0"/>
        </w:sectPr>
      </w:pPr>
    </w:p>
    <w:p w14:paraId="210ADF67">
      <w:pPr>
        <w:adjustRightInd w:val="0"/>
        <w:snapToGrid w:val="0"/>
        <w:spacing w:line="360" w:lineRule="auto"/>
        <w:ind w:right="23" w:rightChars="11"/>
        <w:jc w:val="center"/>
        <w:rPr>
          <w:rFonts w:hint="eastAsia" w:ascii="黑体" w:hAnsi="宋体" w:eastAsia="黑体"/>
          <w:b/>
          <w:color w:val="auto"/>
          <w:sz w:val="32"/>
          <w:szCs w:val="32"/>
        </w:rPr>
      </w:pPr>
      <w:r>
        <w:rPr>
          <w:rFonts w:hint="eastAsia" w:ascii="黑体" w:eastAsia="黑体"/>
          <w:b/>
          <w:color w:val="auto"/>
          <w:sz w:val="32"/>
          <w:szCs w:val="32"/>
        </w:rPr>
        <w:t>八</w:t>
      </w:r>
      <w:r>
        <w:rPr>
          <w:rFonts w:hint="eastAsia" w:ascii="黑体" w:eastAsia="黑体"/>
          <w:b/>
          <w:bCs/>
          <w:color w:val="auto"/>
          <w:sz w:val="32"/>
          <w:szCs w:val="32"/>
        </w:rPr>
        <w:t>、供应商认为需要提供的其它资料</w:t>
      </w:r>
    </w:p>
    <w:p w14:paraId="5BE0EF69">
      <w:pPr>
        <w:adjustRightInd w:val="0"/>
        <w:snapToGrid w:val="0"/>
        <w:spacing w:before="156" w:beforeLines="50" w:line="360" w:lineRule="auto"/>
        <w:jc w:val="center"/>
        <w:rPr>
          <w:rFonts w:hint="eastAsia" w:ascii="黑体" w:hAnsi="宋体" w:eastAsia="黑体"/>
          <w:b/>
          <w:color w:val="auto"/>
          <w:sz w:val="32"/>
          <w:szCs w:val="32"/>
        </w:rPr>
      </w:pPr>
    </w:p>
    <w:p w14:paraId="40973AE3">
      <w:pPr>
        <w:adjustRightInd w:val="0"/>
        <w:snapToGrid w:val="0"/>
        <w:spacing w:before="156" w:beforeLines="50" w:line="360" w:lineRule="auto"/>
        <w:jc w:val="center"/>
        <w:rPr>
          <w:rFonts w:hint="eastAsia" w:ascii="黑体" w:hAnsi="宋体" w:eastAsia="黑体"/>
          <w:b/>
          <w:color w:val="auto"/>
          <w:sz w:val="32"/>
          <w:szCs w:val="32"/>
        </w:rPr>
      </w:pPr>
    </w:p>
    <w:p w14:paraId="0EC5896C">
      <w:pPr>
        <w:adjustRightInd w:val="0"/>
        <w:snapToGrid w:val="0"/>
        <w:spacing w:before="156" w:beforeLines="50" w:line="360" w:lineRule="auto"/>
        <w:jc w:val="center"/>
        <w:rPr>
          <w:rFonts w:hint="eastAsia" w:ascii="黑体" w:hAnsi="宋体" w:eastAsia="黑体"/>
          <w:b/>
          <w:color w:val="auto"/>
          <w:sz w:val="32"/>
          <w:szCs w:val="32"/>
        </w:rPr>
      </w:pPr>
    </w:p>
    <w:p w14:paraId="5915C641">
      <w:pPr>
        <w:adjustRightInd w:val="0"/>
        <w:snapToGrid w:val="0"/>
        <w:spacing w:before="156" w:beforeLines="50" w:line="360" w:lineRule="auto"/>
        <w:jc w:val="center"/>
        <w:rPr>
          <w:rFonts w:hint="eastAsia" w:ascii="黑体" w:hAnsi="宋体" w:eastAsia="黑体"/>
          <w:b/>
          <w:color w:val="auto"/>
          <w:sz w:val="32"/>
          <w:szCs w:val="32"/>
        </w:rPr>
      </w:pPr>
    </w:p>
    <w:p w14:paraId="07440390">
      <w:pPr>
        <w:adjustRightInd w:val="0"/>
        <w:snapToGrid w:val="0"/>
        <w:spacing w:before="156" w:beforeLines="50" w:line="360" w:lineRule="auto"/>
        <w:jc w:val="center"/>
        <w:rPr>
          <w:rFonts w:hint="eastAsia" w:ascii="黑体" w:hAnsi="宋体" w:eastAsia="黑体"/>
          <w:b/>
          <w:color w:val="auto"/>
          <w:sz w:val="32"/>
          <w:szCs w:val="32"/>
        </w:rPr>
      </w:pPr>
    </w:p>
    <w:p w14:paraId="4C799D4A">
      <w:pPr>
        <w:adjustRightInd w:val="0"/>
        <w:snapToGrid w:val="0"/>
        <w:spacing w:before="156" w:beforeLines="50" w:line="360" w:lineRule="auto"/>
        <w:jc w:val="center"/>
        <w:rPr>
          <w:rFonts w:hint="eastAsia" w:ascii="黑体" w:hAnsi="宋体" w:eastAsia="黑体"/>
          <w:b/>
          <w:color w:val="auto"/>
          <w:sz w:val="32"/>
          <w:szCs w:val="32"/>
        </w:rPr>
      </w:pPr>
    </w:p>
    <w:p w14:paraId="60CA9590">
      <w:pPr>
        <w:adjustRightInd w:val="0"/>
        <w:snapToGrid w:val="0"/>
        <w:spacing w:before="156" w:beforeLines="50" w:line="360" w:lineRule="auto"/>
        <w:jc w:val="center"/>
        <w:rPr>
          <w:rFonts w:hint="eastAsia" w:ascii="黑体" w:hAnsi="宋体" w:eastAsia="黑体"/>
          <w:b/>
          <w:color w:val="auto"/>
          <w:sz w:val="32"/>
          <w:szCs w:val="32"/>
        </w:rPr>
      </w:pPr>
    </w:p>
    <w:p w14:paraId="5F549F72">
      <w:pPr>
        <w:adjustRightInd w:val="0"/>
        <w:snapToGrid w:val="0"/>
        <w:spacing w:before="156" w:beforeLines="50" w:line="360" w:lineRule="auto"/>
        <w:jc w:val="center"/>
        <w:rPr>
          <w:rFonts w:hint="eastAsia" w:ascii="黑体" w:hAnsi="宋体" w:eastAsia="黑体"/>
          <w:b/>
          <w:color w:val="auto"/>
          <w:sz w:val="32"/>
          <w:szCs w:val="32"/>
        </w:rPr>
      </w:pPr>
    </w:p>
    <w:p w14:paraId="02882CED">
      <w:pPr>
        <w:adjustRightInd w:val="0"/>
        <w:snapToGrid w:val="0"/>
        <w:spacing w:before="156" w:beforeLines="50" w:line="360" w:lineRule="auto"/>
        <w:jc w:val="center"/>
        <w:rPr>
          <w:rFonts w:hint="eastAsia" w:ascii="黑体" w:hAnsi="宋体" w:eastAsia="黑体"/>
          <w:b/>
          <w:color w:val="auto"/>
          <w:sz w:val="32"/>
          <w:szCs w:val="32"/>
        </w:rPr>
      </w:pPr>
    </w:p>
    <w:p w14:paraId="27232B30">
      <w:pPr>
        <w:adjustRightInd w:val="0"/>
        <w:snapToGrid w:val="0"/>
        <w:spacing w:before="156" w:beforeLines="50" w:line="360" w:lineRule="auto"/>
        <w:jc w:val="center"/>
        <w:rPr>
          <w:rFonts w:hint="eastAsia" w:ascii="黑体" w:hAnsi="宋体" w:eastAsia="黑体"/>
          <w:b/>
          <w:color w:val="auto"/>
          <w:sz w:val="32"/>
          <w:szCs w:val="32"/>
        </w:rPr>
      </w:pPr>
    </w:p>
    <w:p w14:paraId="6D892B62">
      <w:pPr>
        <w:adjustRightInd w:val="0"/>
        <w:snapToGrid w:val="0"/>
        <w:spacing w:before="156" w:beforeLines="50" w:line="360" w:lineRule="auto"/>
        <w:jc w:val="center"/>
        <w:rPr>
          <w:rFonts w:hint="eastAsia" w:ascii="黑体" w:hAnsi="宋体" w:eastAsia="黑体"/>
          <w:b/>
          <w:color w:val="auto"/>
          <w:sz w:val="32"/>
          <w:szCs w:val="32"/>
        </w:rPr>
      </w:pPr>
    </w:p>
    <w:p w14:paraId="6996FAE3">
      <w:pPr>
        <w:adjustRightInd w:val="0"/>
        <w:snapToGrid w:val="0"/>
        <w:spacing w:before="156" w:beforeLines="50" w:line="360" w:lineRule="auto"/>
        <w:jc w:val="center"/>
        <w:rPr>
          <w:rFonts w:hint="eastAsia" w:ascii="黑体" w:hAnsi="宋体" w:eastAsia="黑体"/>
          <w:b/>
          <w:color w:val="auto"/>
          <w:sz w:val="32"/>
          <w:szCs w:val="32"/>
        </w:rPr>
      </w:pPr>
    </w:p>
    <w:p w14:paraId="250C8576">
      <w:pPr>
        <w:adjustRightInd w:val="0"/>
        <w:snapToGrid w:val="0"/>
        <w:spacing w:before="156" w:beforeLines="50" w:line="360" w:lineRule="auto"/>
        <w:jc w:val="center"/>
        <w:rPr>
          <w:rFonts w:hint="eastAsia" w:ascii="黑体" w:hAnsi="宋体" w:eastAsia="黑体"/>
          <w:b/>
          <w:color w:val="auto"/>
          <w:sz w:val="32"/>
          <w:szCs w:val="32"/>
        </w:rPr>
      </w:pPr>
    </w:p>
    <w:p w14:paraId="6A5C00F4">
      <w:pPr>
        <w:adjustRightInd w:val="0"/>
        <w:snapToGrid w:val="0"/>
        <w:spacing w:before="156" w:beforeLines="50" w:line="360" w:lineRule="auto"/>
        <w:jc w:val="center"/>
        <w:rPr>
          <w:rFonts w:hint="eastAsia" w:ascii="黑体" w:hAnsi="宋体" w:eastAsia="黑体"/>
          <w:b/>
          <w:color w:val="auto"/>
          <w:sz w:val="32"/>
          <w:szCs w:val="32"/>
        </w:rPr>
      </w:pPr>
    </w:p>
    <w:p w14:paraId="20A5E5B0">
      <w:pPr>
        <w:adjustRightInd w:val="0"/>
        <w:snapToGrid w:val="0"/>
        <w:spacing w:before="156" w:beforeLines="50" w:line="360" w:lineRule="auto"/>
        <w:jc w:val="center"/>
        <w:rPr>
          <w:rFonts w:hint="eastAsia" w:ascii="黑体" w:hAnsi="宋体" w:eastAsia="黑体"/>
          <w:b/>
          <w:color w:val="auto"/>
          <w:sz w:val="32"/>
          <w:szCs w:val="32"/>
        </w:rPr>
      </w:pPr>
    </w:p>
    <w:p w14:paraId="18B9CDB4">
      <w:pPr>
        <w:adjustRightInd w:val="0"/>
        <w:snapToGrid w:val="0"/>
        <w:spacing w:before="156" w:beforeLines="50" w:line="360" w:lineRule="auto"/>
        <w:jc w:val="center"/>
        <w:rPr>
          <w:rFonts w:hint="eastAsia" w:ascii="黑体" w:hAnsi="宋体" w:eastAsia="黑体"/>
          <w:b/>
          <w:color w:val="auto"/>
          <w:sz w:val="32"/>
          <w:szCs w:val="32"/>
        </w:rPr>
      </w:pPr>
    </w:p>
    <w:p w14:paraId="7FCC7375">
      <w:pPr>
        <w:adjustRightInd w:val="0"/>
        <w:snapToGrid w:val="0"/>
        <w:spacing w:before="156" w:beforeLines="50" w:line="360" w:lineRule="auto"/>
        <w:jc w:val="center"/>
        <w:rPr>
          <w:rFonts w:hint="eastAsia" w:ascii="黑体" w:eastAsia="黑体"/>
          <w:b/>
          <w:bCs/>
          <w:color w:val="auto"/>
          <w:sz w:val="32"/>
          <w:szCs w:val="32"/>
        </w:rPr>
      </w:pPr>
    </w:p>
    <w:p w14:paraId="3DAEDC11">
      <w:pPr>
        <w:adjustRightInd w:val="0"/>
        <w:snapToGrid w:val="0"/>
        <w:spacing w:before="156" w:beforeLines="50" w:line="360" w:lineRule="auto"/>
        <w:jc w:val="center"/>
        <w:outlineLvl w:val="0"/>
        <w:rPr>
          <w:rFonts w:hint="eastAsia" w:ascii="黑体" w:eastAsia="黑体"/>
          <w:b/>
          <w:bCs/>
          <w:color w:val="auto"/>
          <w:sz w:val="32"/>
          <w:szCs w:val="32"/>
        </w:rPr>
      </w:pPr>
      <w:bookmarkStart w:id="108" w:name="_Toc31803"/>
      <w:r>
        <w:rPr>
          <w:rFonts w:hint="eastAsia" w:ascii="黑体" w:eastAsia="黑体"/>
          <w:b/>
          <w:bCs/>
          <w:color w:val="auto"/>
          <w:sz w:val="32"/>
          <w:szCs w:val="32"/>
        </w:rPr>
        <w:t>九、最后报价</w:t>
      </w:r>
      <w:bookmarkEnd w:id="108"/>
    </w:p>
    <w:p w14:paraId="37753C9B">
      <w:pPr>
        <w:adjustRightInd w:val="0"/>
        <w:snapToGrid w:val="0"/>
        <w:spacing w:line="360" w:lineRule="auto"/>
        <w:ind w:left="-88" w:leftChars="-42"/>
        <w:rPr>
          <w:rFonts w:hint="eastAsia" w:ascii="宋体" w:hAnsi="宋体"/>
          <w:color w:val="auto"/>
          <w:szCs w:val="21"/>
        </w:rPr>
      </w:pPr>
    </w:p>
    <w:p w14:paraId="5A91006E">
      <w:pPr>
        <w:adjustRightInd w:val="0"/>
        <w:snapToGrid w:val="0"/>
        <w:spacing w:line="360" w:lineRule="auto"/>
        <w:jc w:val="center"/>
        <w:rPr>
          <w:rFonts w:ascii="宋体" w:cs="宋体"/>
          <w:color w:val="auto"/>
          <w:highlight w:val="none"/>
        </w:rPr>
      </w:pPr>
      <w:r>
        <w:rPr>
          <w:rFonts w:hint="eastAsia" w:ascii="宋体" w:hAnsi="宋体" w:cs="宋体"/>
          <w:b/>
          <w:color w:val="auto"/>
          <w:highlight w:val="none"/>
        </w:rPr>
        <w:t>（最后报价表由招标代理机构于最终报价前现场提供统一表格</w:t>
      </w:r>
      <w:r>
        <w:rPr>
          <w:rFonts w:ascii="宋体" w:hAnsi="宋体" w:cs="宋体"/>
          <w:b/>
          <w:color w:val="auto"/>
          <w:highlight w:val="none"/>
        </w:rPr>
        <w:t>)</w:t>
      </w:r>
    </w:p>
    <w:p w14:paraId="705763B4">
      <w:pPr>
        <w:rPr>
          <w:rFonts w:ascii="宋体" w:cs="宋体"/>
          <w:color w:val="auto"/>
          <w:highlight w:val="none"/>
        </w:rPr>
      </w:pPr>
    </w:p>
    <w:p w14:paraId="4E34D1B9">
      <w:pPr>
        <w:widowControl/>
        <w:spacing w:before="100" w:beforeAutospacing="1" w:after="100" w:afterAutospacing="1" w:line="360" w:lineRule="exact"/>
        <w:jc w:val="right"/>
        <w:rPr>
          <w:rFonts w:ascii="宋体" w:cs="宋体"/>
          <w:b/>
          <w:color w:val="auto"/>
          <w:highlight w:val="none"/>
        </w:rPr>
      </w:pPr>
    </w:p>
    <w:p w14:paraId="46FE0BB8">
      <w:pPr>
        <w:pStyle w:val="34"/>
        <w:ind w:firstLine="482"/>
        <w:rPr>
          <w:rFonts w:hAnsi="宋体" w:cs="宋体"/>
          <w:b/>
          <w:color w:val="auto"/>
          <w:highlight w:val="none"/>
        </w:rPr>
      </w:pPr>
    </w:p>
    <w:p w14:paraId="5ADFF795">
      <w:pPr>
        <w:pStyle w:val="34"/>
        <w:ind w:firstLine="482"/>
        <w:rPr>
          <w:rFonts w:hAnsi="宋体" w:cs="宋体"/>
          <w:b/>
          <w:color w:val="auto"/>
          <w:highlight w:val="none"/>
        </w:rPr>
      </w:pPr>
    </w:p>
    <w:p w14:paraId="07F00BAB">
      <w:pPr>
        <w:pStyle w:val="34"/>
        <w:ind w:firstLine="482"/>
        <w:rPr>
          <w:rFonts w:hAnsi="宋体" w:cs="宋体"/>
          <w:b/>
          <w:color w:val="auto"/>
          <w:highlight w:val="none"/>
        </w:rPr>
      </w:pPr>
    </w:p>
    <w:p w14:paraId="443A4777">
      <w:pPr>
        <w:pStyle w:val="34"/>
        <w:ind w:firstLine="482"/>
        <w:rPr>
          <w:rFonts w:hAnsi="宋体" w:cs="宋体"/>
          <w:b/>
          <w:color w:val="auto"/>
          <w:highlight w:val="none"/>
        </w:rPr>
      </w:pPr>
    </w:p>
    <w:p w14:paraId="56C7E893">
      <w:pPr>
        <w:widowControl/>
        <w:spacing w:before="100" w:beforeAutospacing="1" w:after="100" w:afterAutospacing="1" w:line="360" w:lineRule="exact"/>
        <w:jc w:val="right"/>
        <w:rPr>
          <w:rFonts w:ascii="宋体" w:cs="宋体"/>
          <w:b/>
          <w:color w:val="auto"/>
          <w:highlight w:val="none"/>
        </w:rPr>
      </w:pPr>
      <w:r>
        <w:rPr>
          <w:rFonts w:hint="eastAsia" w:ascii="宋体" w:hAnsi="宋体" w:cs="宋体"/>
          <w:b/>
          <w:color w:val="auto"/>
          <w:highlight w:val="none"/>
        </w:rPr>
        <w:t>（全文完）</w:t>
      </w:r>
    </w:p>
    <w:p w14:paraId="06FDD120">
      <w:pPr>
        <w:spacing w:line="360" w:lineRule="auto"/>
        <w:rPr>
          <w:rFonts w:hint="eastAsia"/>
          <w:color w:val="auto"/>
        </w:rPr>
      </w:pPr>
    </w:p>
    <w:p w14:paraId="76E954AC">
      <w:pPr>
        <w:spacing w:line="360" w:lineRule="auto"/>
        <w:rPr>
          <w:color w:val="auto"/>
        </w:rPr>
      </w:pPr>
    </w:p>
    <w:p w14:paraId="100E1F32">
      <w:pPr>
        <w:rPr>
          <w:color w:val="auto"/>
        </w:rPr>
      </w:pPr>
    </w:p>
    <w:p w14:paraId="5DADC6E8">
      <w:pPr>
        <w:rPr>
          <w:color w:val="auto"/>
        </w:rPr>
      </w:pPr>
    </w:p>
    <w:sectPr>
      <w:pgSz w:w="11906" w:h="16838"/>
      <w:pgMar w:top="1474" w:right="1474" w:bottom="1284" w:left="1588" w:header="851" w:footer="73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95DA5">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E8A2D">
    <w:pPr>
      <w:pStyle w:val="14"/>
      <w:framePr w:wrap="around" w:vAnchor="text" w:hAnchor="margin" w:xAlign="right" w:y="1"/>
      <w:rPr>
        <w:rStyle w:val="24"/>
      </w:rPr>
    </w:pPr>
    <w:r>
      <w:fldChar w:fldCharType="begin"/>
    </w:r>
    <w:r>
      <w:rPr>
        <w:rStyle w:val="24"/>
      </w:rPr>
      <w:instrText xml:space="preserve">PAGE  </w:instrText>
    </w:r>
    <w:r>
      <w:fldChar w:fldCharType="end"/>
    </w:r>
  </w:p>
  <w:p w14:paraId="61149C40">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71DED">
    <w:pPr>
      <w:pStyle w:val="11"/>
      <w:adjustRightInd w:val="0"/>
      <w:snapToGrid w:val="0"/>
      <w:spacing w:line="360" w:lineRule="auto"/>
      <w:ind w:firstLine="1050" w:firstLineChars="50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40C77">
    <w:pPr>
      <w:pStyle w:val="11"/>
      <w:adjustRightInd w:val="0"/>
      <w:snapToGrid w:val="0"/>
      <w:spacing w:line="360" w:lineRule="auto"/>
      <w:ind w:firstLine="1050" w:firstLineChars="50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16D5E">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D5377B">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66D5377B">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284EB">
    <w:pPr>
      <w:pStyle w:val="9"/>
      <w:tabs>
        <w:tab w:val="left" w:pos="3971"/>
      </w:tabs>
      <w:spacing w:line="14" w:lineRule="auto"/>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2F7BFB">
                          <w:pPr>
                            <w:pStyle w:val="1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5A2F7BFB">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9C958">
    <w:pPr>
      <w:spacing w:line="176" w:lineRule="auto"/>
      <w:ind w:left="445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53564C">
                          <w:pPr>
                            <w:pStyle w:val="14"/>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6C53564C">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AB241">
    <w:pPr>
      <w:pStyle w:val="11"/>
      <w:adjustRightInd w:val="0"/>
      <w:snapToGrid w:val="0"/>
      <w:spacing w:line="360" w:lineRule="auto"/>
      <w:ind w:firstLine="1050" w:firstLineChars="500"/>
      <w:jc w:val="cente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6883C5">
                          <w:pPr>
                            <w:pStyle w:val="14"/>
                          </w:pPr>
                          <w:r>
                            <w:fldChar w:fldCharType="begin"/>
                          </w:r>
                          <w:r>
                            <w:instrText xml:space="preserve"> PAGE  \* MERGEFORMAT </w:instrText>
                          </w:r>
                          <w:r>
                            <w:fldChar w:fldCharType="separate"/>
                          </w:r>
                          <w:r>
                            <w:t>12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fill on="f" focussize="0,0"/>
              <v:stroke on="f"/>
              <v:imagedata o:title=""/>
              <o:lock v:ext="edit" aspectratio="f"/>
              <v:textbox inset="0mm,0mm,0mm,0mm" style="mso-fit-shape-to-text:t;">
                <w:txbxContent>
                  <w:p w14:paraId="526883C5">
                    <w:pPr>
                      <w:pStyle w:val="1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12F3F">
    <w:pPr>
      <w:pStyle w:val="11"/>
      <w:adjustRightInd w:val="0"/>
      <w:snapToGrid w:val="0"/>
      <w:spacing w:line="360" w:lineRule="auto"/>
      <w:ind w:firstLine="1050" w:firstLineChars="500"/>
      <w:jc w:val="cente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C2A682">
                          <w:pPr>
                            <w:pStyle w:val="14"/>
                          </w:pPr>
                          <w:r>
                            <w:fldChar w:fldCharType="begin"/>
                          </w:r>
                          <w:r>
                            <w:instrText xml:space="preserve"> PAGE  \* MERGEFORMAT </w:instrText>
                          </w:r>
                          <w:r>
                            <w:fldChar w:fldCharType="separate"/>
                          </w:r>
                          <w:r>
                            <w:t>11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46C2A682">
                    <w:pPr>
                      <w:pStyle w:val="14"/>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AE8E7">
    <w:pPr>
      <w:pStyle w:val="11"/>
      <w:adjustRightInd w:val="0"/>
      <w:snapToGrid w:val="0"/>
      <w:spacing w:line="360" w:lineRule="auto"/>
      <w:ind w:firstLine="2940" w:firstLineChars="1400"/>
      <w:jc w:val="both"/>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1BA907">
                          <w:pPr>
                            <w:pStyle w:val="14"/>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7D1BA907">
                    <w:pPr>
                      <w:pStyle w:val="14"/>
                    </w:pPr>
                    <w:r>
                      <w:fldChar w:fldCharType="begin"/>
                    </w:r>
                    <w:r>
                      <w:instrText xml:space="preserve"> PAGE  \* MERGEFORMAT </w:instrText>
                    </w:r>
                    <w:r>
                      <w:fldChar w:fldCharType="separate"/>
                    </w:r>
                    <w:r>
                      <w:t>14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B9811">
    <w:pPr>
      <w:pStyle w:val="15"/>
      <w:pBdr>
        <w:bottom w:val="none" w:color="auto" w:sz="0" w:space="1"/>
      </w:pBdr>
      <w:tabs>
        <w:tab w:val="left" w:pos="1287"/>
      </w:tabs>
      <w:jc w:val="left"/>
      <w:rPr>
        <w:rFonts w:hint="eastAsia" w:ascii="黑体" w:hAnsi="黑体" w:eastAsia="黑体" w:cs="黑体"/>
        <w:b/>
        <w:bCs/>
        <w:sz w:val="24"/>
        <w:szCs w:val="24"/>
      </w:rPr>
    </w:pPr>
    <w:r>
      <w:rPr>
        <w:rFonts w:hint="eastAsia" w:ascii="黑体" w:hAnsi="黑体" w:eastAsia="黑体" w:cs="黑体"/>
        <w:b/>
        <w:bCs/>
        <w:color w:val="366091"/>
        <w:sz w:val="21"/>
        <w:szCs w:val="21"/>
        <w:highlight w:val="none"/>
        <w:lang w:val="en-US" w:eastAsia="zh-CN"/>
      </w:rPr>
      <w:drawing>
        <wp:inline distT="0" distB="0" distL="114300" distR="114300">
          <wp:extent cx="1176020" cy="410210"/>
          <wp:effectExtent l="0" t="0" r="5080" b="8890"/>
          <wp:docPr id="10" name="图片 2" descr="2d31062a54e84e3db49d30640f9bf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2d31062a54e84e3db49d30640f9bf5e"/>
                  <pic:cNvPicPr>
                    <a:picLocks noChangeAspect="1"/>
                  </pic:cNvPicPr>
                </pic:nvPicPr>
                <pic:blipFill>
                  <a:blip r:embed="rId1"/>
                  <a:stretch>
                    <a:fillRect/>
                  </a:stretch>
                </pic:blipFill>
                <pic:spPr>
                  <a:xfrm>
                    <a:off x="0" y="0"/>
                    <a:ext cx="1176020" cy="410210"/>
                  </a:xfrm>
                  <a:prstGeom prst="rect">
                    <a:avLst/>
                  </a:prstGeom>
                  <a:noFill/>
                  <a:ln>
                    <a:noFill/>
                  </a:ln>
                </pic:spPr>
              </pic:pic>
            </a:graphicData>
          </a:graphic>
        </wp:inline>
      </w:drawing>
    </w:r>
    <w:r>
      <w:rPr>
        <w:sz w:val="21"/>
      </w:rPr>
      <mc:AlternateContent>
        <mc:Choice Requires="wps">
          <w:drawing>
            <wp:anchor distT="0" distB="0" distL="114300" distR="114300" simplePos="0" relativeHeight="251661312" behindDoc="0" locked="0" layoutInCell="1" allowOverlap="1">
              <wp:simplePos x="0" y="0"/>
              <wp:positionH relativeFrom="column">
                <wp:posOffset>102235</wp:posOffset>
              </wp:positionH>
              <wp:positionV relativeFrom="paragraph">
                <wp:posOffset>348615</wp:posOffset>
              </wp:positionV>
              <wp:extent cx="5528310" cy="4445"/>
              <wp:effectExtent l="0" t="0" r="0" b="0"/>
              <wp:wrapNone/>
              <wp:docPr id="4" name="直接箭头连接符 4"/>
              <wp:cNvGraphicFramePr/>
              <a:graphic xmlns:a="http://schemas.openxmlformats.org/drawingml/2006/main">
                <a:graphicData uri="http://schemas.microsoft.com/office/word/2010/wordprocessingShape">
                  <wps:wsp>
                    <wps:cNvCnPr/>
                    <wps:spPr>
                      <a:xfrm flipV="1">
                        <a:off x="0" y="0"/>
                        <a:ext cx="5528310" cy="4445"/>
                      </a:xfrm>
                      <a:prstGeom prst="straightConnector1">
                        <a:avLst/>
                      </a:prstGeom>
                      <a:ln w="12700" cap="flat" cmpd="sng">
                        <a:solidFill>
                          <a:srgbClr val="02388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y;margin-left:8.05pt;margin-top:27.45pt;height:0.35pt;width:435.3pt;z-index:251661312;mso-width-relative:page;mso-height-relative:page;" filled="f" stroked="t" coordsize="21600,21600" o:gfxdata="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nr6N32AAAAAgBAAAPAAAAAAAAAAEA&#10;IAAAACIAAABkcnMvZG93bnJldi54bWxQSwECFAAUAAAACACHTuJAjKhCPQ8CAAAEBAAADgAAAAAA&#10;AAABACAAAAAnAQAAZHJzL2Uyb0RvYy54bWxQSwUGAAAAAAYABgBZAQAAqAUAAAAA&#10;">
              <v:fill on="f" focussize="0,0"/>
              <v:stroke weight="1pt" color="#023880" joinstyle="round"/>
              <v:imagedata o:title=""/>
              <o:lock v:ext="edit" aspectratio="f"/>
            </v:shape>
          </w:pict>
        </mc:Fallback>
      </mc:AlternateContent>
    </w:r>
  </w:p>
  <w:p w14:paraId="0DC4F61C">
    <w:pPr>
      <w:pStyle w:val="15"/>
      <w:pBdr>
        <w:bottom w:val="none" w:color="auto" w:sz="0" w:space="0"/>
      </w:pBdr>
      <w:jc w:val="both"/>
      <w:rPr>
        <w:rFonts w:hint="eastAsia" w:ascii="黑体" w:hAnsi="黑体" w:eastAsia="黑体" w:cs="黑体"/>
        <w:color w:val="548DD4"/>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88CF9">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B214D">
    <w:pPr>
      <w:pStyle w:val="15"/>
      <w:pBdr>
        <w:bottom w:val="none" w:color="auto" w:sz="0" w:space="1"/>
      </w:pBdr>
      <w:ind w:left="0" w:leftChars="0" w:firstLine="0" w:firstLineChars="0"/>
      <w:jc w:val="left"/>
    </w:pPr>
    <w:r>
      <w:rPr>
        <w:rFonts w:hint="eastAsia" w:ascii="黑体" w:hAnsi="黑体" w:eastAsia="黑体" w:cs="黑体"/>
        <w:b/>
        <w:bCs/>
        <w:color w:val="366091"/>
        <w:sz w:val="21"/>
        <w:szCs w:val="21"/>
        <w:highlight w:val="none"/>
        <w:lang w:val="en-US" w:eastAsia="zh-CN"/>
      </w:rPr>
      <w:drawing>
        <wp:inline distT="0" distB="0" distL="114300" distR="114300">
          <wp:extent cx="1176020" cy="410210"/>
          <wp:effectExtent l="0" t="0" r="5080" b="8890"/>
          <wp:docPr id="1" name="图片 1" descr="2d31062a54e84e3db49d30640f9bf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d31062a54e84e3db49d30640f9bf5e"/>
                  <pic:cNvPicPr>
                    <a:picLocks noChangeAspect="1"/>
                  </pic:cNvPicPr>
                </pic:nvPicPr>
                <pic:blipFill>
                  <a:blip r:embed="rId1"/>
                  <a:stretch>
                    <a:fillRect/>
                  </a:stretch>
                </pic:blipFill>
                <pic:spPr>
                  <a:xfrm>
                    <a:off x="0" y="0"/>
                    <a:ext cx="1176020" cy="410210"/>
                  </a:xfrm>
                  <a:prstGeom prst="rect">
                    <a:avLst/>
                  </a:prstGeom>
                  <a:noFill/>
                  <a:ln>
                    <a:noFill/>
                  </a:ln>
                </pic:spPr>
              </pic:pic>
            </a:graphicData>
          </a:graphic>
        </wp:inline>
      </w:drawing>
    </w:r>
    <w:r>
      <w:rPr>
        <w:rFonts w:hint="eastAsia"/>
      </w:rPr>
      <w:tab/>
    </w:r>
    <w:r>
      <w:rPr>
        <w:sz w:val="21"/>
      </w:rPr>
      <mc:AlternateContent>
        <mc:Choice Requires="wps">
          <w:drawing>
            <wp:anchor distT="0" distB="0" distL="114300" distR="114300" simplePos="0" relativeHeight="251660288" behindDoc="0" locked="0" layoutInCell="1" allowOverlap="1">
              <wp:simplePos x="0" y="0"/>
              <wp:positionH relativeFrom="column">
                <wp:posOffset>102235</wp:posOffset>
              </wp:positionH>
              <wp:positionV relativeFrom="paragraph">
                <wp:posOffset>348615</wp:posOffset>
              </wp:positionV>
              <wp:extent cx="5528310" cy="4445"/>
              <wp:effectExtent l="0" t="0" r="0" b="0"/>
              <wp:wrapNone/>
              <wp:docPr id="2" name="直接箭头连接符 2"/>
              <wp:cNvGraphicFramePr/>
              <a:graphic xmlns:a="http://schemas.openxmlformats.org/drawingml/2006/main">
                <a:graphicData uri="http://schemas.microsoft.com/office/word/2010/wordprocessingShape">
                  <wps:wsp>
                    <wps:cNvCnPr/>
                    <wps:spPr>
                      <a:xfrm flipV="1">
                        <a:off x="0" y="0"/>
                        <a:ext cx="5528310" cy="4445"/>
                      </a:xfrm>
                      <a:prstGeom prst="straightConnector1">
                        <a:avLst/>
                      </a:prstGeom>
                      <a:ln w="12700" cap="flat" cmpd="sng">
                        <a:solidFill>
                          <a:srgbClr val="02388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y;margin-left:8.05pt;margin-top:27.45pt;height:0.35pt;width:435.3pt;z-index:251660288;mso-width-relative:page;mso-height-relative:page;" filled="f" stroked="t" coordsize="21600,21600" o:gfxdata="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evo3fYAAAACAEAAA8AAAAAAAAAAQAg&#10;AAAAIgAAAGRycy9kb3ducmV2LnhtbFBLAQIUABQAAAAIAIdO4kDUrnR+DgIAAAQEAAAOAAAAAAAA&#10;AAEAIAAAACcBAABkcnMvZTJvRG9jLnhtbFBLBQYAAAAABgAGAFkBAACnBQAAAAA=&#10;">
              <v:fill on="f" focussize="0,0"/>
              <v:stroke weight="1pt" color="#023880" joinstyle="round"/>
              <v:imagedata o:title=""/>
              <o:lock v:ext="edit" aspectratio="f"/>
            </v:shape>
          </w:pict>
        </mc:Fallback>
      </mc:AlternateContent>
    </w:r>
  </w:p>
  <w:p w14:paraId="344BCB50">
    <w:pPr>
      <w:pStyle w:val="15"/>
      <w:pBdr>
        <w:bottom w:val="none" w:color="auto" w:sz="0" w:space="1"/>
      </w:pBdr>
      <w:tabs>
        <w:tab w:val="left" w:pos="1287"/>
      </w:tabs>
      <w:jc w:val="left"/>
      <w:rPr>
        <w:rFonts w:hint="eastAsia"/>
      </w:rPr>
    </w:pPr>
    <w:r>
      <w:rPr>
        <w:rFonts w:hint="eastAsi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3CC9D">
    <w:pPr>
      <w:pStyle w:val="15"/>
      <w:pBdr>
        <w:bottom w:val="none" w:color="auto" w:sz="0" w:space="1"/>
      </w:pBdr>
      <w:jc w:val="left"/>
      <w:rPr>
        <w:rFonts w:hint="eastAsia" w:ascii="黑体" w:hAnsi="黑体" w:eastAsia="黑体" w:cs="黑体"/>
        <w:b/>
        <w:bCs/>
        <w:color w:val="366091"/>
        <w:sz w:val="21"/>
        <w:szCs w:val="21"/>
      </w:rPr>
    </w:pPr>
  </w:p>
  <w:p w14:paraId="60885A8D">
    <w:pPr>
      <w:pStyle w:val="15"/>
      <w:pBdr>
        <w:bottom w:val="thinThickSmallGap" w:color="3366FF" w:sz="12" w:space="1"/>
      </w:pBdr>
      <w:jc w:val="left"/>
    </w:pPr>
    <w:r>
      <w:rPr>
        <w:rFonts w:hint="eastAsia" w:ascii="黑体" w:hAnsi="黑体" w:eastAsia="黑体" w:cs="黑体"/>
        <w:b/>
        <w:bCs/>
        <w:color w:val="366091"/>
        <w:sz w:val="21"/>
        <w:szCs w:val="21"/>
      </w:rPr>
      <w:drawing>
        <wp:inline distT="0" distB="0" distL="114300" distR="114300">
          <wp:extent cx="1176020" cy="410210"/>
          <wp:effectExtent l="0" t="0" r="5080" b="8890"/>
          <wp:docPr id="11" name="图片 5" descr="2d31062a54e84e3db49d30640f9bf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2d31062a54e84e3db49d30640f9bf5e"/>
                  <pic:cNvPicPr>
                    <a:picLocks noChangeAspect="1"/>
                  </pic:cNvPicPr>
                </pic:nvPicPr>
                <pic:blipFill>
                  <a:blip r:embed="rId1"/>
                  <a:stretch>
                    <a:fillRect/>
                  </a:stretch>
                </pic:blipFill>
                <pic:spPr>
                  <a:xfrm>
                    <a:off x="0" y="0"/>
                    <a:ext cx="1176020" cy="410210"/>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9007A">
    <w:pPr>
      <w:pStyle w:val="11"/>
      <w:pBdr>
        <w:bottom w:val="thinThickSmallGap" w:color="3366FF" w:sz="12" w:space="0"/>
      </w:pBdr>
      <w:rPr>
        <w:rFonts w:hint="eastAsia" w:ascii="仿宋_GB2312" w:eastAsia="仿宋_GB2312"/>
        <w:b/>
        <w:sz w:val="18"/>
        <w:szCs w:val="18"/>
      </w:rPr>
    </w:pPr>
    <w:r>
      <w:rPr>
        <w:rFonts w:hint="eastAsia" w:ascii="黑体" w:hAnsi="黑体" w:eastAsia="黑体" w:cs="黑体"/>
        <w:b/>
        <w:bCs/>
        <w:color w:val="366091"/>
        <w:sz w:val="21"/>
        <w:szCs w:val="21"/>
        <w:highlight w:val="none"/>
        <w:lang w:val="en-US" w:eastAsia="zh-CN"/>
      </w:rPr>
      <w:drawing>
        <wp:inline distT="0" distB="0" distL="114300" distR="114300">
          <wp:extent cx="1176020" cy="410210"/>
          <wp:effectExtent l="0" t="0" r="5080" b="8890"/>
          <wp:docPr id="5" name="图片 6" descr="2d31062a54e84e3db49d30640f9bf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2d31062a54e84e3db49d30640f9bf5e"/>
                  <pic:cNvPicPr>
                    <a:picLocks noChangeAspect="1"/>
                  </pic:cNvPicPr>
                </pic:nvPicPr>
                <pic:blipFill>
                  <a:blip r:embed="rId1"/>
                  <a:stretch>
                    <a:fillRect/>
                  </a:stretch>
                </pic:blipFill>
                <pic:spPr>
                  <a:xfrm>
                    <a:off x="0" y="0"/>
                    <a:ext cx="1176020" cy="410210"/>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222D6">
    <w:pPr>
      <w:pStyle w:val="15"/>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75F952"/>
    <w:multiLevelType w:val="singleLevel"/>
    <w:tmpl w:val="AB75F952"/>
    <w:lvl w:ilvl="0" w:tentative="0">
      <w:start w:val="6"/>
      <w:numFmt w:val="chineseCounting"/>
      <w:suff w:val="nothing"/>
      <w:lvlText w:val="%1、"/>
      <w:lvlJc w:val="left"/>
      <w:rPr>
        <w:rFonts w:hint="eastAsia"/>
      </w:rPr>
    </w:lvl>
  </w:abstractNum>
  <w:abstractNum w:abstractNumId="1">
    <w:nsid w:val="ACA44D71"/>
    <w:multiLevelType w:val="singleLevel"/>
    <w:tmpl w:val="ACA44D71"/>
    <w:lvl w:ilvl="0" w:tentative="0">
      <w:start w:val="1"/>
      <w:numFmt w:val="decimal"/>
      <w:suff w:val="nothing"/>
      <w:lvlText w:val="%1、"/>
      <w:lvlJc w:val="left"/>
    </w:lvl>
  </w:abstractNum>
  <w:abstractNum w:abstractNumId="2">
    <w:nsid w:val="F49558A5"/>
    <w:multiLevelType w:val="singleLevel"/>
    <w:tmpl w:val="F49558A5"/>
    <w:lvl w:ilvl="0" w:tentative="0">
      <w:start w:val="31"/>
      <w:numFmt w:val="decimal"/>
      <w:lvlText w:val="%1."/>
      <w:lvlJc w:val="left"/>
      <w:pPr>
        <w:tabs>
          <w:tab w:val="left" w:pos="312"/>
        </w:tabs>
      </w:pPr>
    </w:lvl>
  </w:abstractNum>
  <w:abstractNum w:abstractNumId="3">
    <w:nsid w:val="00000005"/>
    <w:multiLevelType w:val="singleLevel"/>
    <w:tmpl w:val="00000005"/>
    <w:lvl w:ilvl="0" w:tentative="0">
      <w:start w:val="1"/>
      <w:numFmt w:val="decimal"/>
      <w:suff w:val="nothing"/>
      <w:lvlText w:val="（%1）"/>
      <w:lvlJc w:val="left"/>
    </w:lvl>
  </w:abstractNum>
  <w:abstractNum w:abstractNumId="4">
    <w:nsid w:val="613CA710"/>
    <w:multiLevelType w:val="singleLevel"/>
    <w:tmpl w:val="613CA710"/>
    <w:lvl w:ilvl="0" w:tentative="0">
      <w:start w:val="1"/>
      <w:numFmt w:val="decimal"/>
      <w:suff w:val="nothing"/>
      <w:lvlText w:val="%1、"/>
      <w:lvlJc w:val="left"/>
    </w:lvl>
  </w:abstractNum>
  <w:abstractNum w:abstractNumId="5">
    <w:nsid w:val="7B49FB69"/>
    <w:multiLevelType w:val="singleLevel"/>
    <w:tmpl w:val="7B49FB69"/>
    <w:lvl w:ilvl="0" w:tentative="0">
      <w:start w:val="34"/>
      <w:numFmt w:val="decimal"/>
      <w:lvlText w:val="%1."/>
      <w:lvlJc w:val="left"/>
      <w:pPr>
        <w:tabs>
          <w:tab w:val="left" w:pos="312"/>
        </w:tabs>
      </w:pPr>
    </w:lvl>
  </w:abstractNum>
  <w:num w:numId="1">
    <w:abstractNumId w:val="0"/>
  </w:num>
  <w:num w:numId="2">
    <w:abstractNumId w:val="1"/>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103F8B"/>
    <w:rsid w:val="019C21AE"/>
    <w:rsid w:val="02B0496C"/>
    <w:rsid w:val="04A3117E"/>
    <w:rsid w:val="05E9131F"/>
    <w:rsid w:val="06126280"/>
    <w:rsid w:val="07853FB3"/>
    <w:rsid w:val="07E51AAD"/>
    <w:rsid w:val="096059EF"/>
    <w:rsid w:val="09792895"/>
    <w:rsid w:val="0A057AB3"/>
    <w:rsid w:val="0A281F9B"/>
    <w:rsid w:val="0AF158CE"/>
    <w:rsid w:val="0BF16F5F"/>
    <w:rsid w:val="0C5250CD"/>
    <w:rsid w:val="0CAB0D94"/>
    <w:rsid w:val="0CC31B1D"/>
    <w:rsid w:val="137E0C01"/>
    <w:rsid w:val="139B4CC2"/>
    <w:rsid w:val="14AC43F9"/>
    <w:rsid w:val="14C2457D"/>
    <w:rsid w:val="14E8498B"/>
    <w:rsid w:val="14E86F37"/>
    <w:rsid w:val="175B58E8"/>
    <w:rsid w:val="17D2209B"/>
    <w:rsid w:val="17DD58BF"/>
    <w:rsid w:val="19105EBC"/>
    <w:rsid w:val="195A66B6"/>
    <w:rsid w:val="19C9435C"/>
    <w:rsid w:val="1A1467FB"/>
    <w:rsid w:val="1A4D3D47"/>
    <w:rsid w:val="1A8B2FBC"/>
    <w:rsid w:val="1AFE0184"/>
    <w:rsid w:val="1B8E788F"/>
    <w:rsid w:val="1C197465"/>
    <w:rsid w:val="1F0A7BCF"/>
    <w:rsid w:val="1F8E70F6"/>
    <w:rsid w:val="22286F53"/>
    <w:rsid w:val="229E48DB"/>
    <w:rsid w:val="23DD283A"/>
    <w:rsid w:val="26583403"/>
    <w:rsid w:val="28214BB3"/>
    <w:rsid w:val="291D29FD"/>
    <w:rsid w:val="29EA4137"/>
    <w:rsid w:val="2B943E14"/>
    <w:rsid w:val="2D045593"/>
    <w:rsid w:val="2E7930E4"/>
    <w:rsid w:val="2F346782"/>
    <w:rsid w:val="2F6A412E"/>
    <w:rsid w:val="2F8E3C04"/>
    <w:rsid w:val="30C47C02"/>
    <w:rsid w:val="31210186"/>
    <w:rsid w:val="32BC091F"/>
    <w:rsid w:val="34584651"/>
    <w:rsid w:val="39051734"/>
    <w:rsid w:val="39573140"/>
    <w:rsid w:val="396A0CC8"/>
    <w:rsid w:val="39DF3CFF"/>
    <w:rsid w:val="3A6B2EAA"/>
    <w:rsid w:val="3AC60BDB"/>
    <w:rsid w:val="3B3F175B"/>
    <w:rsid w:val="3C05353C"/>
    <w:rsid w:val="3CF70537"/>
    <w:rsid w:val="3EA242D1"/>
    <w:rsid w:val="40640ABA"/>
    <w:rsid w:val="414C7C7C"/>
    <w:rsid w:val="41CA15B3"/>
    <w:rsid w:val="43183A6B"/>
    <w:rsid w:val="43731E76"/>
    <w:rsid w:val="43C012D3"/>
    <w:rsid w:val="45613FC1"/>
    <w:rsid w:val="45AF0A29"/>
    <w:rsid w:val="46C357B2"/>
    <w:rsid w:val="47046A98"/>
    <w:rsid w:val="47F4403F"/>
    <w:rsid w:val="48000D05"/>
    <w:rsid w:val="482D0B58"/>
    <w:rsid w:val="4BBA0128"/>
    <w:rsid w:val="4C43733B"/>
    <w:rsid w:val="4C7C3DFA"/>
    <w:rsid w:val="4CC34DBA"/>
    <w:rsid w:val="4CD74D65"/>
    <w:rsid w:val="4D103F8B"/>
    <w:rsid w:val="4EAB4FF9"/>
    <w:rsid w:val="4F585C8E"/>
    <w:rsid w:val="4F8C5937"/>
    <w:rsid w:val="4FB83AA6"/>
    <w:rsid w:val="520D4018"/>
    <w:rsid w:val="527247C1"/>
    <w:rsid w:val="52782066"/>
    <w:rsid w:val="53D31D87"/>
    <w:rsid w:val="55D36C85"/>
    <w:rsid w:val="561E2C23"/>
    <w:rsid w:val="56634288"/>
    <w:rsid w:val="57AB6334"/>
    <w:rsid w:val="58044C05"/>
    <w:rsid w:val="59CE4C2F"/>
    <w:rsid w:val="5C4302B6"/>
    <w:rsid w:val="5CF02414"/>
    <w:rsid w:val="5D0078CA"/>
    <w:rsid w:val="5EB757F1"/>
    <w:rsid w:val="5F1863C2"/>
    <w:rsid w:val="60004DF6"/>
    <w:rsid w:val="609D5011"/>
    <w:rsid w:val="631E1E32"/>
    <w:rsid w:val="636522D0"/>
    <w:rsid w:val="653C2070"/>
    <w:rsid w:val="654305D6"/>
    <w:rsid w:val="66912F1A"/>
    <w:rsid w:val="669F3353"/>
    <w:rsid w:val="66AB2855"/>
    <w:rsid w:val="678A406D"/>
    <w:rsid w:val="693B0847"/>
    <w:rsid w:val="6AE215AE"/>
    <w:rsid w:val="6BA8544F"/>
    <w:rsid w:val="6D49154F"/>
    <w:rsid w:val="6DAC0AE5"/>
    <w:rsid w:val="6F355C1A"/>
    <w:rsid w:val="733A72D5"/>
    <w:rsid w:val="73E6115F"/>
    <w:rsid w:val="742B052E"/>
    <w:rsid w:val="749F24C3"/>
    <w:rsid w:val="74D01C2F"/>
    <w:rsid w:val="75B229AC"/>
    <w:rsid w:val="76090568"/>
    <w:rsid w:val="76B85934"/>
    <w:rsid w:val="772A140E"/>
    <w:rsid w:val="77895A72"/>
    <w:rsid w:val="78164256"/>
    <w:rsid w:val="78D930EC"/>
    <w:rsid w:val="7A7C3AE0"/>
    <w:rsid w:val="7A9861D4"/>
    <w:rsid w:val="7B821570"/>
    <w:rsid w:val="7C4277CD"/>
    <w:rsid w:val="7ED640F8"/>
    <w:rsid w:val="7EEA2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jc w:val="center"/>
      <w:outlineLvl w:val="0"/>
    </w:pPr>
    <w:rPr>
      <w:b/>
      <w:bCs/>
      <w:sz w:val="24"/>
      <w:szCs w:val="24"/>
    </w:rPr>
  </w:style>
  <w:style w:type="paragraph" w:styleId="3">
    <w:name w:val="heading 2"/>
    <w:basedOn w:val="1"/>
    <w:next w:val="1"/>
    <w:link w:val="41"/>
    <w:qFormat/>
    <w:uiPriority w:val="0"/>
    <w:pPr>
      <w:keepNext/>
      <w:keepLines/>
      <w:spacing w:line="360" w:lineRule="auto"/>
      <w:outlineLvl w:val="1"/>
    </w:pPr>
    <w:rPr>
      <w:rFonts w:ascii="Arial" w:hAnsi="Arial"/>
      <w:b/>
      <w:bCs/>
      <w:sz w:val="24"/>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6"/>
    <w:basedOn w:val="1"/>
    <w:next w:val="1"/>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widowControl/>
      <w:ind w:firstLine="420"/>
      <w:jc w:val="left"/>
    </w:pPr>
    <w:rPr>
      <w:kern w:val="0"/>
      <w:sz w:val="20"/>
      <w:szCs w:val="20"/>
    </w:rPr>
  </w:style>
  <w:style w:type="paragraph" w:styleId="7">
    <w:name w:val="toa heading"/>
    <w:basedOn w:val="1"/>
    <w:next w:val="1"/>
    <w:qFormat/>
    <w:uiPriority w:val="99"/>
    <w:pPr>
      <w:widowControl/>
      <w:spacing w:before="120" w:afterLines="100" w:line="360" w:lineRule="auto"/>
      <w:ind w:firstLine="200" w:firstLineChars="200"/>
      <w:jc w:val="left"/>
    </w:pPr>
    <w:rPr>
      <w:rFonts w:ascii="Arial" w:hAnsi="Arial" w:eastAsia="宋体" w:cs="Arial"/>
      <w:kern w:val="2"/>
      <w:sz w:val="24"/>
      <w:szCs w:val="24"/>
      <w:lang w:val="zh-CN" w:eastAsia="zh-CN" w:bidi="ar-SA"/>
    </w:rPr>
  </w:style>
  <w:style w:type="paragraph" w:styleId="8">
    <w:name w:val="annotation text"/>
    <w:basedOn w:val="1"/>
    <w:semiHidden/>
    <w:qFormat/>
    <w:uiPriority w:val="0"/>
    <w:pPr>
      <w:jc w:val="left"/>
    </w:pPr>
  </w:style>
  <w:style w:type="paragraph" w:styleId="9">
    <w:name w:val="Body Text"/>
    <w:basedOn w:val="1"/>
    <w:link w:val="35"/>
    <w:qFormat/>
    <w:uiPriority w:val="0"/>
    <w:pPr>
      <w:spacing w:after="120"/>
    </w:pPr>
  </w:style>
  <w:style w:type="paragraph" w:styleId="10">
    <w:name w:val="Body Text Indent"/>
    <w:basedOn w:val="1"/>
    <w:qFormat/>
    <w:uiPriority w:val="0"/>
    <w:pPr>
      <w:spacing w:after="120"/>
      <w:ind w:left="420" w:leftChars="200"/>
    </w:pPr>
  </w:style>
  <w:style w:type="paragraph" w:styleId="11">
    <w:name w:val="Plain Text"/>
    <w:basedOn w:val="1"/>
    <w:qFormat/>
    <w:uiPriority w:val="0"/>
    <w:rPr>
      <w:rFonts w:ascii="宋体" w:hAnsi="Courier New" w:cs="Courier New"/>
      <w:szCs w:val="21"/>
    </w:rPr>
  </w:style>
  <w:style w:type="paragraph" w:styleId="12">
    <w:name w:val="Date"/>
    <w:basedOn w:val="1"/>
    <w:next w:val="1"/>
    <w:qFormat/>
    <w:uiPriority w:val="0"/>
    <w:rPr>
      <w:sz w:val="24"/>
      <w:szCs w:val="20"/>
    </w:rPr>
  </w:style>
  <w:style w:type="paragraph" w:styleId="13">
    <w:name w:val="Body Text Indent 2"/>
    <w:basedOn w:val="1"/>
    <w:qFormat/>
    <w:uiPriority w:val="0"/>
    <w:pPr>
      <w:spacing w:after="120" w:line="480" w:lineRule="auto"/>
      <w:ind w:left="420" w:leftChars="200"/>
    </w:p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Body Text 2"/>
    <w:basedOn w:val="1"/>
    <w:next w:val="9"/>
    <w:qFormat/>
    <w:uiPriority w:val="0"/>
    <w:pPr>
      <w:spacing w:after="120" w:line="480" w:lineRule="auto"/>
    </w:p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spacing w:before="240" w:after="60"/>
      <w:jc w:val="center"/>
      <w:outlineLvl w:val="0"/>
    </w:pPr>
    <w:rPr>
      <w:rFonts w:ascii="Cambria" w:hAnsi="Cambria"/>
      <w:b/>
      <w:sz w:val="32"/>
    </w:rPr>
  </w:style>
  <w:style w:type="paragraph" w:styleId="19">
    <w:name w:val="Body Text First Indent 2"/>
    <w:basedOn w:val="10"/>
    <w:next w:val="6"/>
    <w:unhideWhenUsed/>
    <w:qFormat/>
    <w:uiPriority w:val="99"/>
    <w:pPr>
      <w:autoSpaceDE w:val="0"/>
      <w:autoSpaceDN w:val="0"/>
      <w:adjustRightInd w:val="0"/>
      <w:ind w:firstLine="420"/>
      <w:jc w:val="left"/>
    </w:pPr>
    <w:rPr>
      <w:rFonts w:ascii="Calibri" w:hAnsi="Calibri"/>
      <w:kern w:val="0"/>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rPr>
      <w:b/>
      <w:bCs/>
    </w:rPr>
  </w:style>
  <w:style w:type="character" w:styleId="24">
    <w:name w:val="page number"/>
    <w:basedOn w:val="22"/>
    <w:qFormat/>
    <w:uiPriority w:val="0"/>
  </w:style>
  <w:style w:type="paragraph" w:customStyle="1" w:styleId="25">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6">
    <w:name w:val="正文1"/>
    <w:qFormat/>
    <w:uiPriority w:val="0"/>
    <w:pPr>
      <w:widowControl w:val="0"/>
      <w:adjustRightInd w:val="0"/>
      <w:spacing w:line="312" w:lineRule="atLeast"/>
      <w:jc w:val="both"/>
      <w:textAlignment w:val="baseline"/>
    </w:pPr>
    <w:rPr>
      <w:rFonts w:ascii="宋体" w:hAnsi="宋体" w:eastAsia="宋体" w:cs="Times New Roman"/>
      <w:sz w:val="24"/>
      <w:lang w:val="en-US" w:eastAsia="zh-CN" w:bidi="ar-SA"/>
    </w:rPr>
  </w:style>
  <w:style w:type="paragraph" w:customStyle="1" w:styleId="27">
    <w:name w:val="WPSOffice手动目录 1"/>
    <w:qFormat/>
    <w:uiPriority w:val="0"/>
    <w:rPr>
      <w:rFonts w:ascii="Times New Roman" w:hAnsi="Times New Roman" w:eastAsia="宋体" w:cs="Times New Roman"/>
      <w:lang w:val="en-US" w:eastAsia="zh-CN" w:bidi="ar-SA"/>
    </w:rPr>
  </w:style>
  <w:style w:type="paragraph" w:styleId="28">
    <w:name w:val="List Paragraph"/>
    <w:basedOn w:val="1"/>
    <w:qFormat/>
    <w:uiPriority w:val="0"/>
    <w:pPr>
      <w:ind w:firstLine="420" w:firstLineChars="200"/>
    </w:pPr>
    <w:rPr>
      <w:rFonts w:ascii="Calibri" w:hAnsi="Calibri"/>
      <w:szCs w:val="22"/>
    </w:rPr>
  </w:style>
  <w:style w:type="paragraph" w:customStyle="1" w:styleId="29">
    <w:name w:val="Table Paragraph"/>
    <w:basedOn w:val="1"/>
    <w:qFormat/>
    <w:uiPriority w:val="0"/>
    <w:pPr>
      <w:autoSpaceDE w:val="0"/>
      <w:autoSpaceDN w:val="0"/>
      <w:jc w:val="left"/>
    </w:pPr>
    <w:rPr>
      <w:rFonts w:ascii="宋体" w:cs="宋体"/>
      <w:kern w:val="0"/>
      <w:sz w:val="22"/>
      <w:szCs w:val="22"/>
      <w:lang w:val="zh-CN" w:bidi="zh-CN"/>
    </w:rPr>
  </w:style>
  <w:style w:type="paragraph" w:customStyle="1" w:styleId="30">
    <w:name w:val="_Style 3"/>
    <w:basedOn w:val="1"/>
    <w:qFormat/>
    <w:uiPriority w:val="0"/>
    <w:rPr>
      <w:szCs w:val="21"/>
    </w:rPr>
  </w:style>
  <w:style w:type="paragraph" w:customStyle="1" w:styleId="31">
    <w:name w:val="p0"/>
    <w:basedOn w:val="1"/>
    <w:qFormat/>
    <w:uiPriority w:val="0"/>
    <w:pPr>
      <w:widowControl/>
    </w:pPr>
    <w:rPr>
      <w:kern w:val="0"/>
      <w:szCs w:val="21"/>
    </w:rPr>
  </w:style>
  <w:style w:type="paragraph" w:customStyle="1" w:styleId="32">
    <w:name w:val="首行缩进"/>
    <w:basedOn w:val="1"/>
    <w:qFormat/>
    <w:uiPriority w:val="0"/>
    <w:pPr>
      <w:ind w:firstLine="720"/>
      <w:jc w:val="left"/>
    </w:pPr>
    <w:rPr>
      <w:sz w:val="24"/>
      <w:szCs w:val="24"/>
    </w:rPr>
  </w:style>
  <w:style w:type="paragraph" w:customStyle="1" w:styleId="33">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4">
    <w:name w:val="正文缩进1"/>
    <w:basedOn w:val="26"/>
    <w:qFormat/>
    <w:uiPriority w:val="0"/>
    <w:pPr>
      <w:spacing w:after="120" w:line="360" w:lineRule="auto"/>
      <w:ind w:firstLine="425" w:firstLineChars="200"/>
    </w:pPr>
    <w:rPr>
      <w:rFonts w:ascii="宋体"/>
      <w:color w:val="000000"/>
      <w:sz w:val="24"/>
      <w:szCs w:val="20"/>
      <w:lang w:val="zh-CN"/>
    </w:rPr>
  </w:style>
  <w:style w:type="character" w:customStyle="1" w:styleId="35">
    <w:name w:val="正文文本 Char"/>
    <w:link w:val="9"/>
    <w:qFormat/>
    <w:uiPriority w:val="0"/>
  </w:style>
  <w:style w:type="character" w:customStyle="1" w:styleId="36">
    <w:name w:val="font51"/>
    <w:basedOn w:val="22"/>
    <w:qFormat/>
    <w:uiPriority w:val="0"/>
    <w:rPr>
      <w:rFonts w:hint="eastAsia" w:ascii="宋体" w:hAnsi="宋体" w:eastAsia="宋体" w:cs="宋体"/>
      <w:color w:val="000000"/>
      <w:sz w:val="22"/>
      <w:szCs w:val="22"/>
      <w:u w:val="none"/>
    </w:rPr>
  </w:style>
  <w:style w:type="character" w:customStyle="1" w:styleId="37">
    <w:name w:val="font11"/>
    <w:basedOn w:val="22"/>
    <w:qFormat/>
    <w:uiPriority w:val="0"/>
    <w:rPr>
      <w:rFonts w:hint="eastAsia" w:ascii="宋体" w:hAnsi="宋体" w:eastAsia="宋体" w:cs="宋体"/>
      <w:color w:val="000000"/>
      <w:sz w:val="22"/>
      <w:szCs w:val="22"/>
      <w:u w:val="none"/>
    </w:rPr>
  </w:style>
  <w:style w:type="character" w:customStyle="1" w:styleId="38">
    <w:name w:val="font31"/>
    <w:basedOn w:val="22"/>
    <w:qFormat/>
    <w:uiPriority w:val="0"/>
    <w:rPr>
      <w:rFonts w:hint="eastAsia" w:ascii="宋体" w:hAnsi="宋体" w:eastAsia="宋体" w:cs="宋体"/>
      <w:b/>
      <w:bCs/>
      <w:color w:val="000000"/>
      <w:sz w:val="16"/>
      <w:szCs w:val="16"/>
      <w:u w:val="none"/>
    </w:rPr>
  </w:style>
  <w:style w:type="character" w:customStyle="1" w:styleId="39">
    <w:name w:val="标题 3 字符"/>
    <w:link w:val="4"/>
    <w:qFormat/>
    <w:uiPriority w:val="0"/>
    <w:rPr>
      <w:b/>
      <w:bCs/>
      <w:sz w:val="32"/>
      <w:szCs w:val="32"/>
    </w:rPr>
  </w:style>
  <w:style w:type="paragraph" w:customStyle="1" w:styleId="40">
    <w:name w:val="正文_18"/>
    <w:qFormat/>
    <w:uiPriority w:val="0"/>
    <w:pPr>
      <w:widowControl w:val="0"/>
      <w:jc w:val="both"/>
    </w:pPr>
    <w:rPr>
      <w:rFonts w:ascii="Calibri" w:hAnsi="Calibri" w:eastAsia="宋体" w:cs="Times New Roman"/>
      <w:kern w:val="2"/>
      <w:sz w:val="21"/>
      <w:szCs w:val="22"/>
      <w:lang w:val="en-US" w:eastAsia="zh-CN" w:bidi="ar-SA"/>
    </w:rPr>
  </w:style>
  <w:style w:type="character" w:customStyle="1" w:styleId="41">
    <w:name w:val="标题 2 Char"/>
    <w:link w:val="3"/>
    <w:qFormat/>
    <w:uiPriority w:val="0"/>
    <w:rPr>
      <w:rFonts w:ascii="Arial" w:hAnsi="Arial"/>
      <w:b/>
      <w:bCs/>
      <w:sz w:val="24"/>
      <w:szCs w:val="32"/>
    </w:rPr>
  </w:style>
  <w:style w:type="character" w:customStyle="1" w:styleId="42">
    <w:name w:val="标题 1 Char"/>
    <w:link w:val="2"/>
    <w:qFormat/>
    <w:uiPriority w:val="0"/>
    <w:rPr>
      <w:b/>
      <w:bCs/>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control" Target="activeX/activeX2.xml"/><Relationship Id="rId21" Type="http://schemas.openxmlformats.org/officeDocument/2006/relationships/image" Target="media/image2.wmf"/><Relationship Id="rId20" Type="http://schemas.openxmlformats.org/officeDocument/2006/relationships/control" Target="activeX/activeX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40-EC42-11CE-9E0D-00AA006002F3}" r:id="rId1" ax:persistence="persistStorage"/>
</file>

<file path=word/activeX/activeX2.xml><?xml version="1.0" encoding="utf-8"?>
<ax:ocx xmlns:ax="http://schemas.microsoft.com/office/2006/activeX" xmlns:r="http://schemas.openxmlformats.org/officeDocument/2006/relationships" ax:classid="{8BD21D40-EC42-11CE-9E0D-00AA006002F3}"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5026</Words>
  <Characters>5401</Characters>
  <Lines>0</Lines>
  <Paragraphs>0</Paragraphs>
  <TotalTime>1</TotalTime>
  <ScaleCrop>false</ScaleCrop>
  <LinksUpToDate>false</LinksUpToDate>
  <CharactersWithSpaces>5610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2026-07-22T10:29:00Z</dcterms:created>
  <dc:creator>serena</dc:creator>
  <cp:lastModifiedBy>serena</cp:lastModifiedBy>
  <cp:lastPrinted>2026-10-08T08:40:00Z</cp:lastPrinted>
  <dcterms:modified xsi:type="dcterms:W3CDTF">2026-10-10T02:21:02Z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DD65EDA853A24BC5B211C4C03B9377AF_13</vt:lpwstr>
  </property>
  <property fmtid="{D5CDD505-2E9C-101B-9397-08002B2CF9AE}" pid="4" name="KSOTemplateDocerSaveRecord">
    <vt:lpwstr>eyJoZGlkIjoiNDA1MTViMmEzZTBhOTJjYjlhM2U0YTZjMTU4MGMzNjYiLCJ1c2VySWQiOiIyOTEwMTg4ODAifQ==</vt:lpwstr>
  </property>
</Properties>
</file>