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78A89">
      <w:pPr>
        <w:pStyle w:val="12"/>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lang w:val="en-US" w:eastAsia="zh-CN"/>
        </w:rPr>
        <w:t xml:space="preserve"> </w:t>
      </w:r>
      <w:r>
        <w:rPr>
          <w:rFonts w:hint="eastAsia" w:ascii="宋体" w:hAnsi="宋体" w:eastAsia="宋体" w:cs="宋体"/>
          <w:b/>
          <w:color w:val="auto"/>
          <w:sz w:val="84"/>
          <w:szCs w:val="84"/>
          <w:highlight w:val="none"/>
        </w:rPr>
        <w:t xml:space="preserve">                                                                                                                                                                                                                                                                                         </w:t>
      </w:r>
    </w:p>
    <w:p w14:paraId="0AB3B7C4">
      <w:pPr>
        <w:pStyle w:val="12"/>
        <w:spacing w:line="360" w:lineRule="auto"/>
        <w:jc w:val="center"/>
        <w:rPr>
          <w:rFonts w:hint="eastAsia" w:ascii="宋体" w:hAnsi="宋体" w:eastAsia="宋体" w:cs="宋体"/>
          <w:b/>
          <w:bCs/>
          <w:color w:val="auto"/>
          <w:sz w:val="84"/>
          <w:szCs w:val="84"/>
          <w:highlight w:val="none"/>
        </w:rPr>
      </w:pPr>
      <w:r>
        <w:rPr>
          <w:rFonts w:hint="eastAsia" w:ascii="宋体" w:hAnsi="宋体" w:eastAsia="宋体" w:cs="宋体"/>
          <w:b/>
          <w:color w:val="auto"/>
          <w:sz w:val="84"/>
          <w:szCs w:val="84"/>
          <w:highlight w:val="none"/>
        </w:rPr>
        <w:t>政府采购</w:t>
      </w:r>
    </w:p>
    <w:p w14:paraId="262569B7">
      <w:pPr>
        <w:pStyle w:val="12"/>
        <w:adjustRightInd w:val="0"/>
        <w:snapToGrid w:val="0"/>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竞争性磋商文件</w:t>
      </w:r>
    </w:p>
    <w:p w14:paraId="316EEC8D">
      <w:pPr>
        <w:pStyle w:val="12"/>
        <w:adjustRightInd w:val="0"/>
        <w:snapToGrid w:val="0"/>
        <w:spacing w:before="156" w:beforeLines="50" w:line="360" w:lineRule="auto"/>
        <w:ind w:left="846" w:leftChars="403" w:firstLine="157" w:firstLineChars="49"/>
        <w:rPr>
          <w:rFonts w:hint="eastAsia" w:ascii="宋体" w:hAnsi="宋体" w:eastAsia="宋体" w:cs="宋体"/>
          <w:b/>
          <w:color w:val="auto"/>
          <w:sz w:val="32"/>
          <w:szCs w:val="32"/>
          <w:highlight w:val="none"/>
        </w:rPr>
      </w:pPr>
    </w:p>
    <w:p w14:paraId="478FB0A4">
      <w:pPr>
        <w:pStyle w:val="12"/>
        <w:adjustRightInd w:val="0"/>
        <w:snapToGrid w:val="0"/>
        <w:spacing w:before="120" w:beforeLines="50" w:line="360" w:lineRule="auto"/>
        <w:ind w:firstLine="964" w:firstLineChars="300"/>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采购项目名称：</w:t>
      </w:r>
      <w:r>
        <w:rPr>
          <w:rFonts w:hint="eastAsia" w:ascii="宋体" w:hAnsi="宋体" w:eastAsia="宋体" w:cs="宋体"/>
          <w:b/>
          <w:color w:val="auto"/>
          <w:sz w:val="32"/>
          <w:szCs w:val="32"/>
          <w:lang w:eastAsia="zh-CN"/>
        </w:rPr>
        <w:t>湖南国防工业职业技术学院实训工房改造建设项目</w:t>
      </w:r>
    </w:p>
    <w:p w14:paraId="2BF494C2">
      <w:pPr>
        <w:pStyle w:val="12"/>
        <w:adjustRightInd w:val="0"/>
        <w:snapToGrid w:val="0"/>
        <w:spacing w:before="120" w:beforeLines="50" w:line="360" w:lineRule="auto"/>
        <w:ind w:firstLine="948" w:firstLineChars="295"/>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政府采购编号：</w:t>
      </w:r>
      <w:r>
        <w:rPr>
          <w:rFonts w:hint="eastAsia" w:hAnsi="宋体" w:cs="宋体"/>
          <w:b/>
          <w:color w:val="auto"/>
          <w:sz w:val="32"/>
          <w:szCs w:val="32"/>
          <w:lang w:eastAsia="zh-CN"/>
        </w:rPr>
        <w:t>(2026)430000000213-1</w:t>
      </w:r>
    </w:p>
    <w:p w14:paraId="6C8419B6">
      <w:pPr>
        <w:pStyle w:val="12"/>
        <w:adjustRightInd w:val="0"/>
        <w:snapToGrid w:val="0"/>
        <w:spacing w:before="120" w:beforeLines="50" w:line="360" w:lineRule="auto"/>
        <w:ind w:firstLine="948" w:firstLineChars="295"/>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委托代理编号：</w:t>
      </w:r>
      <w:r>
        <w:rPr>
          <w:rFonts w:hint="eastAsia" w:ascii="宋体" w:hAnsi="宋体" w:eastAsia="宋体" w:cs="宋体"/>
          <w:b/>
          <w:color w:val="auto"/>
          <w:sz w:val="32"/>
          <w:szCs w:val="32"/>
          <w:lang w:eastAsia="zh-CN"/>
        </w:rPr>
        <w:t>0623-2681N2606101</w:t>
      </w:r>
    </w:p>
    <w:p w14:paraId="10741A74">
      <w:pPr>
        <w:pStyle w:val="12"/>
        <w:adjustRightInd w:val="0"/>
        <w:snapToGrid w:val="0"/>
        <w:spacing w:before="120" w:beforeLines="50" w:line="360" w:lineRule="auto"/>
        <w:ind w:firstLine="964" w:firstLineChars="300"/>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采   购   人：</w:t>
      </w:r>
      <w:r>
        <w:rPr>
          <w:rFonts w:hint="eastAsia" w:ascii="宋体" w:hAnsi="宋体" w:eastAsia="宋体" w:cs="宋体"/>
          <w:b/>
          <w:color w:val="auto"/>
          <w:sz w:val="32"/>
          <w:szCs w:val="32"/>
          <w:lang w:eastAsia="zh-CN"/>
        </w:rPr>
        <w:t>湖南国防工业职业技术学院</w:t>
      </w:r>
    </w:p>
    <w:p w14:paraId="3DEA020E">
      <w:pPr>
        <w:pStyle w:val="12"/>
        <w:adjustRightInd w:val="0"/>
        <w:snapToGrid w:val="0"/>
        <w:spacing w:before="120" w:beforeLines="50" w:line="360" w:lineRule="auto"/>
        <w:ind w:firstLine="948" w:firstLineChars="295"/>
        <w:rPr>
          <w:rFonts w:hint="eastAsia" w:ascii="宋体" w:hAnsi="宋体" w:eastAsia="宋体" w:cs="宋体"/>
          <w:b/>
          <w:color w:val="auto"/>
          <w:sz w:val="32"/>
          <w:szCs w:val="32"/>
        </w:rPr>
      </w:pPr>
      <w:r>
        <w:rPr>
          <w:rFonts w:hint="eastAsia" w:ascii="宋体" w:hAnsi="宋体" w:eastAsia="宋体" w:cs="宋体"/>
          <w:b/>
          <w:color w:val="auto"/>
          <w:sz w:val="32"/>
          <w:szCs w:val="32"/>
        </w:rPr>
        <w:t>采购代理机构：湖南省招标有限责任公司</w:t>
      </w:r>
    </w:p>
    <w:p w14:paraId="6C1A4686">
      <w:pPr>
        <w:pStyle w:val="12"/>
        <w:adjustRightInd w:val="0"/>
        <w:snapToGrid w:val="0"/>
        <w:spacing w:line="360" w:lineRule="auto"/>
        <w:ind w:left="3834" w:leftChars="200" w:hanging="3414" w:hangingChars="1067"/>
        <w:rPr>
          <w:rFonts w:hint="eastAsia" w:ascii="宋体" w:hAnsi="宋体" w:eastAsia="宋体" w:cs="宋体"/>
          <w:color w:val="auto"/>
          <w:sz w:val="32"/>
          <w:szCs w:val="32"/>
          <w:highlight w:val="none"/>
          <w:u w:val="single"/>
        </w:rPr>
      </w:pPr>
    </w:p>
    <w:p w14:paraId="2B0EAA0C">
      <w:pPr>
        <w:pStyle w:val="33"/>
        <w:ind w:firstLine="0" w:firstLineChars="0"/>
        <w:rPr>
          <w:rFonts w:hint="eastAsia" w:ascii="宋体" w:hAnsi="宋体" w:eastAsia="宋体" w:cs="宋体"/>
          <w:color w:val="auto"/>
          <w:highlight w:val="none"/>
        </w:rPr>
      </w:pPr>
    </w:p>
    <w:p w14:paraId="43018AB6">
      <w:pPr>
        <w:pStyle w:val="12"/>
        <w:adjustRightInd w:val="0"/>
        <w:snapToGrid w:val="0"/>
        <w:spacing w:line="360" w:lineRule="auto"/>
        <w:rPr>
          <w:rFonts w:hint="eastAsia" w:ascii="宋体" w:hAnsi="宋体" w:eastAsia="宋体" w:cs="宋体"/>
          <w:b/>
          <w:color w:val="auto"/>
          <w:sz w:val="32"/>
          <w:highlight w:val="none"/>
        </w:rPr>
      </w:pPr>
    </w:p>
    <w:p w14:paraId="1AD5EBC2">
      <w:pPr>
        <w:pStyle w:val="12"/>
        <w:adjustRightInd w:val="0"/>
        <w:snapToGrid w:val="0"/>
        <w:spacing w:line="360" w:lineRule="auto"/>
        <w:rPr>
          <w:rFonts w:hint="eastAsia" w:ascii="宋体" w:hAnsi="宋体" w:eastAsia="宋体" w:cs="宋体"/>
          <w:b/>
          <w:color w:val="auto"/>
          <w:sz w:val="32"/>
          <w:highlight w:val="none"/>
        </w:rPr>
      </w:pPr>
    </w:p>
    <w:p w14:paraId="7E39CC43">
      <w:pPr>
        <w:pStyle w:val="12"/>
        <w:adjustRightInd w:val="0"/>
        <w:snapToGrid w:val="0"/>
        <w:spacing w:line="360" w:lineRule="auto"/>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u w:val="single"/>
        </w:rPr>
        <w:t>202</w:t>
      </w:r>
      <w:r>
        <w:rPr>
          <w:rFonts w:hint="eastAsia" w:ascii="宋体" w:hAnsi="宋体" w:eastAsia="宋体" w:cs="宋体"/>
          <w:b/>
          <w:color w:val="auto"/>
          <w:sz w:val="32"/>
          <w:highlight w:val="none"/>
          <w:u w:val="single"/>
          <w:lang w:val="en-US" w:eastAsia="zh-CN"/>
        </w:rPr>
        <w:t>6</w:t>
      </w:r>
      <w:r>
        <w:rPr>
          <w:rFonts w:hint="eastAsia" w:ascii="宋体" w:hAnsi="宋体" w:eastAsia="宋体" w:cs="宋体"/>
          <w:b/>
          <w:color w:val="auto"/>
          <w:sz w:val="32"/>
          <w:highlight w:val="none"/>
        </w:rPr>
        <w:t>年</w:t>
      </w:r>
      <w:r>
        <w:rPr>
          <w:rFonts w:hint="eastAsia" w:ascii="宋体" w:hAnsi="宋体" w:eastAsia="宋体" w:cs="宋体"/>
          <w:b/>
          <w:color w:val="auto"/>
          <w:sz w:val="32"/>
          <w:highlight w:val="none"/>
          <w:u w:val="single"/>
          <w:lang w:val="en-US" w:eastAsia="zh-CN"/>
        </w:rPr>
        <w:t>07</w:t>
      </w:r>
      <w:r>
        <w:rPr>
          <w:rFonts w:hint="eastAsia" w:ascii="宋体" w:hAnsi="宋体" w:eastAsia="宋体" w:cs="宋体"/>
          <w:b/>
          <w:color w:val="auto"/>
          <w:sz w:val="32"/>
          <w:highlight w:val="none"/>
        </w:rPr>
        <w:t>月</w:t>
      </w:r>
    </w:p>
    <w:p w14:paraId="377489C8">
      <w:pPr>
        <w:snapToGrid w:val="0"/>
        <w:spacing w:line="360" w:lineRule="auto"/>
        <w:jc w:val="center"/>
        <w:rPr>
          <w:rFonts w:hint="eastAsia" w:ascii="宋体" w:hAnsi="宋体" w:eastAsia="宋体" w:cs="宋体"/>
          <w:color w:val="auto"/>
          <w:spacing w:val="160"/>
          <w:sz w:val="36"/>
          <w:highlight w:val="none"/>
        </w:rPr>
      </w:pPr>
    </w:p>
    <w:p w14:paraId="0D59C805">
      <w:pPr>
        <w:snapToGrid w:val="0"/>
        <w:spacing w:line="360" w:lineRule="auto"/>
        <w:jc w:val="center"/>
        <w:rPr>
          <w:rFonts w:hint="eastAsia" w:ascii="宋体" w:hAnsi="宋体" w:eastAsia="宋体" w:cs="宋体"/>
          <w:color w:val="auto"/>
          <w:spacing w:val="160"/>
          <w:sz w:val="36"/>
          <w:highlight w:val="none"/>
        </w:rPr>
      </w:pPr>
    </w:p>
    <w:p w14:paraId="70D889B8">
      <w:pPr>
        <w:pStyle w:val="8"/>
        <w:rPr>
          <w:rFonts w:hint="eastAsia" w:ascii="宋体" w:hAnsi="宋体" w:eastAsia="宋体" w:cs="宋体"/>
          <w:color w:val="auto"/>
          <w:highlight w:val="none"/>
        </w:rPr>
      </w:pPr>
    </w:p>
    <w:p w14:paraId="13805F62">
      <w:pPr>
        <w:snapToGrid w:val="0"/>
        <w:spacing w:line="360" w:lineRule="auto"/>
        <w:jc w:val="center"/>
        <w:rPr>
          <w:rFonts w:hint="eastAsia" w:ascii="宋体" w:hAnsi="宋体" w:eastAsia="宋体" w:cs="宋体"/>
          <w:color w:val="auto"/>
          <w:spacing w:val="160"/>
          <w:sz w:val="36"/>
          <w:highlight w:val="none"/>
        </w:rPr>
      </w:pPr>
      <w:r>
        <w:rPr>
          <w:rFonts w:hint="eastAsia" w:ascii="宋体" w:hAnsi="宋体" w:eastAsia="宋体" w:cs="宋体"/>
          <w:color w:val="auto"/>
          <w:spacing w:val="160"/>
          <w:sz w:val="36"/>
          <w:highlight w:val="none"/>
        </w:rPr>
        <w:t>目录</w:t>
      </w:r>
    </w:p>
    <w:p w14:paraId="103F156D">
      <w:pPr>
        <w:snapToGrid w:val="0"/>
        <w:spacing w:line="360" w:lineRule="auto"/>
        <w:rPr>
          <w:rFonts w:hint="eastAsia" w:ascii="宋体" w:hAnsi="宋体" w:eastAsia="宋体" w:cs="宋体"/>
          <w:b/>
          <w:color w:val="auto"/>
          <w:sz w:val="24"/>
          <w:highlight w:val="none"/>
        </w:rPr>
      </w:pPr>
    </w:p>
    <w:p w14:paraId="029C1307">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TOC \o "1-3" \h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_Toc26420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第一章  磋商邀请</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_Toc26420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24086BAF">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_Toc17789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第二章 磋商须知</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_Toc17789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7</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5FC7F00D">
      <w:pPr>
        <w:pStyle w:val="20"/>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_Toc5305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磋商须知前附表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_Toc5305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943D57A">
      <w:pPr>
        <w:pStyle w:val="20"/>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_Toc30453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磋商须知正文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_Toc30453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3298C8A">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_Toc1348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一、说明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_Toc1348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554DDDC">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_Toc26660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二、磋商文件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_Toc26660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CAE46F2">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_Toc25355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三、响应文件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_Toc25355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8757B0F">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_Toc24824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四、响应文件的递交</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_Toc24824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820AFE6">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_Toc20410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五、响应文件的磋商与评审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_Toc20410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F9CD350">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_Toc27784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六、成交结果信息公布与授予合同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_Toc27784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79572B8">
      <w:pPr>
        <w:pStyle w:val="11"/>
        <w:tabs>
          <w:tab w:val="right" w:leader="dot" w:pos="8306"/>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_Toc13006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七、其他规定</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_Toc13006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AF79439">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_Toc16922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第三章  合同格式（工程）</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_Toc16922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31</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6B37323D">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_Toc25140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lang w:val="en-US" w:eastAsia="zh-CN"/>
        </w:rPr>
        <w:t>第四章</w:t>
      </w:r>
      <w:r>
        <w:rPr>
          <w:rFonts w:hint="eastAsia" w:ascii="宋体" w:hAnsi="宋体" w:eastAsia="宋体" w:cs="宋体"/>
          <w:b/>
          <w:bCs/>
          <w:color w:val="auto"/>
          <w:sz w:val="24"/>
          <w:szCs w:val="24"/>
          <w:highlight w:val="none"/>
        </w:rPr>
        <w:t xml:space="preserve"> 采购需求</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_Toc25140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31</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1521198E">
      <w:pPr>
        <w:pStyle w:val="17"/>
        <w:tabs>
          <w:tab w:val="right" w:leader="dot" w:pos="8306"/>
        </w:tabs>
        <w:spacing w:line="48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HYPERLINK \l _Toc11003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lang w:val="en-US" w:eastAsia="zh-CN"/>
        </w:rPr>
        <w:t>第五章 响应文件组成</w:t>
      </w:r>
      <w:r>
        <w:rPr>
          <w:rFonts w:hint="eastAsia" w:ascii="宋体" w:hAnsi="宋体" w:eastAsia="宋体" w:cs="宋体"/>
          <w:b/>
          <w:bCs/>
          <w:color w:val="auto"/>
          <w:sz w:val="24"/>
          <w:szCs w:val="24"/>
          <w:highlight w:val="none"/>
        </w:rPr>
        <w:tab/>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PAGEREF _Toc11003 \h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93</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fldChar w:fldCharType="end"/>
      </w:r>
    </w:p>
    <w:p w14:paraId="70B7D02D">
      <w:pPr>
        <w:snapToGrid w:val="0"/>
        <w:spacing w:line="480" w:lineRule="auto"/>
        <w:rPr>
          <w:rFonts w:hint="eastAsia" w:ascii="宋体" w:hAnsi="宋体" w:eastAsia="宋体" w:cs="宋体"/>
          <w:b/>
          <w:color w:val="auto"/>
          <w:sz w:val="24"/>
          <w:highlight w:val="none"/>
        </w:rPr>
      </w:pPr>
      <w:r>
        <w:rPr>
          <w:rFonts w:hint="eastAsia" w:ascii="宋体" w:hAnsi="宋体" w:eastAsia="宋体" w:cs="宋体"/>
          <w:color w:val="auto"/>
          <w:sz w:val="24"/>
          <w:szCs w:val="24"/>
          <w:highlight w:val="none"/>
        </w:rPr>
        <w:fldChar w:fldCharType="end"/>
      </w:r>
    </w:p>
    <w:p w14:paraId="22846885">
      <w:pPr>
        <w:snapToGrid w:val="0"/>
        <w:spacing w:line="360" w:lineRule="auto"/>
        <w:rPr>
          <w:rFonts w:hint="eastAsia" w:ascii="宋体" w:hAnsi="宋体" w:eastAsia="宋体" w:cs="宋体"/>
          <w:b/>
          <w:color w:val="auto"/>
          <w:sz w:val="24"/>
          <w:highlight w:val="none"/>
        </w:rPr>
      </w:pPr>
    </w:p>
    <w:p w14:paraId="2E483E98">
      <w:pPr>
        <w:pStyle w:val="30"/>
        <w:jc w:val="center"/>
        <w:rPr>
          <w:rFonts w:hint="eastAsia" w:ascii="宋体" w:hAnsi="宋体" w:eastAsia="宋体" w:cs="宋体"/>
          <w:color w:val="auto"/>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91BCD52">
      <w:pPr>
        <w:pStyle w:val="2"/>
        <w:bidi w:val="0"/>
        <w:jc w:val="center"/>
        <w:rPr>
          <w:rFonts w:hint="eastAsia" w:ascii="宋体" w:hAnsi="宋体" w:eastAsia="宋体" w:cs="宋体"/>
          <w:color w:val="auto"/>
          <w:highlight w:val="none"/>
        </w:rPr>
      </w:pPr>
      <w:bookmarkStart w:id="0" w:name="_Toc29371"/>
      <w:bookmarkStart w:id="1" w:name="_Toc5990"/>
      <w:bookmarkStart w:id="2" w:name="_Toc28551"/>
      <w:bookmarkStart w:id="3" w:name="_Toc26420"/>
      <w:bookmarkStart w:id="4" w:name="_Toc8337"/>
      <w:bookmarkStart w:id="5" w:name="_Toc15031"/>
      <w:bookmarkStart w:id="6" w:name="_Toc13487"/>
      <w:bookmarkStart w:id="7" w:name="_Toc27644"/>
      <w:bookmarkStart w:id="8" w:name="_Toc5598"/>
      <w:r>
        <w:rPr>
          <w:rFonts w:hint="eastAsia" w:ascii="宋体" w:hAnsi="宋体" w:eastAsia="宋体" w:cs="宋体"/>
          <w:color w:val="auto"/>
          <w:highlight w:val="none"/>
        </w:rPr>
        <w:t>第一章  磋商邀请</w:t>
      </w:r>
      <w:bookmarkEnd w:id="0"/>
      <w:bookmarkEnd w:id="1"/>
      <w:bookmarkEnd w:id="2"/>
      <w:bookmarkEnd w:id="3"/>
      <w:bookmarkEnd w:id="4"/>
      <w:bookmarkEnd w:id="5"/>
      <w:bookmarkEnd w:id="6"/>
      <w:bookmarkEnd w:id="7"/>
      <w:bookmarkEnd w:id="8"/>
    </w:p>
    <w:p w14:paraId="0CF9552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湖南省招标有限责任公司</w:t>
      </w:r>
      <w:r>
        <w:rPr>
          <w:rFonts w:hint="eastAsia" w:ascii="宋体" w:hAnsi="宋体" w:eastAsia="宋体" w:cs="宋体"/>
          <w:color w:val="auto"/>
          <w:szCs w:val="21"/>
          <w:highlight w:val="none"/>
        </w:rPr>
        <w:t>受</w:t>
      </w:r>
      <w:r>
        <w:rPr>
          <w:rFonts w:hint="eastAsia" w:ascii="宋体" w:hAnsi="宋体" w:eastAsia="宋体" w:cs="宋体"/>
          <w:color w:val="auto"/>
          <w:szCs w:val="21"/>
          <w:highlight w:val="none"/>
          <w:u w:val="single"/>
          <w:lang w:eastAsia="zh-CN"/>
        </w:rPr>
        <w:t>湖南国防工业职业技术学院</w:t>
      </w:r>
      <w:r>
        <w:rPr>
          <w:rFonts w:hint="eastAsia" w:ascii="宋体" w:hAnsi="宋体" w:eastAsia="宋体" w:cs="宋体"/>
          <w:color w:val="auto"/>
          <w:szCs w:val="21"/>
          <w:highlight w:val="none"/>
        </w:rPr>
        <w:t>的委托，对</w:t>
      </w:r>
      <w:r>
        <w:rPr>
          <w:rFonts w:hint="eastAsia" w:ascii="宋体" w:hAnsi="宋体" w:eastAsia="宋体" w:cs="宋体"/>
          <w:color w:val="auto"/>
          <w:szCs w:val="21"/>
          <w:highlight w:val="none"/>
          <w:u w:val="single"/>
          <w:lang w:eastAsia="zh-CN"/>
        </w:rPr>
        <w:t>湖南国防工业职业技术学院实训工房改造建设项目</w:t>
      </w:r>
      <w:r>
        <w:rPr>
          <w:rFonts w:hint="eastAsia" w:ascii="宋体" w:hAnsi="宋体" w:eastAsia="宋体" w:cs="宋体"/>
          <w:color w:val="auto"/>
          <w:szCs w:val="21"/>
          <w:highlight w:val="none"/>
        </w:rPr>
        <w:t>进行竞争性磋商采购，现采用发布公告方式，邀请符合资格条件的供应商参与竞争性磋商采购活动。</w:t>
      </w:r>
    </w:p>
    <w:p w14:paraId="09EC23EB">
      <w:pPr>
        <w:adjustRightInd w:val="0"/>
        <w:snapToGrid w:val="0"/>
        <w:spacing w:line="360" w:lineRule="auto"/>
        <w:ind w:firstLine="422" w:firstLineChars="200"/>
        <w:rPr>
          <w:rFonts w:hint="eastAsia" w:ascii="宋体" w:hAnsi="宋体" w:eastAsia="宋体" w:cs="宋体"/>
          <w:b/>
          <w:color w:val="auto"/>
          <w:szCs w:val="21"/>
          <w:highlight w:val="none"/>
        </w:rPr>
      </w:pPr>
      <w:bookmarkStart w:id="9" w:name="_Toc31847"/>
      <w:r>
        <w:rPr>
          <w:rFonts w:hint="eastAsia" w:ascii="宋体" w:hAnsi="宋体" w:eastAsia="宋体" w:cs="宋体"/>
          <w:b/>
          <w:color w:val="auto"/>
          <w:szCs w:val="21"/>
          <w:highlight w:val="none"/>
        </w:rPr>
        <w:t>一、采购项目基本概况</w:t>
      </w:r>
      <w:bookmarkEnd w:id="9"/>
    </w:p>
    <w:p w14:paraId="58B35553">
      <w:pPr>
        <w:snapToGrid w:val="0"/>
        <w:spacing w:line="360" w:lineRule="auto"/>
        <w:ind w:firstLine="42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2"/>
          <w:highlight w:val="none"/>
          <w:lang w:val="en-US" w:eastAsia="zh-CN"/>
        </w:rPr>
        <w:t>1、</w:t>
      </w:r>
      <w:r>
        <w:rPr>
          <w:rFonts w:hint="eastAsia" w:ascii="宋体" w:hAnsi="宋体" w:eastAsia="宋体" w:cs="宋体"/>
          <w:color w:val="auto"/>
          <w:szCs w:val="22"/>
          <w:highlight w:val="none"/>
        </w:rPr>
        <w:t>项目名称：</w:t>
      </w:r>
      <w:r>
        <w:rPr>
          <w:rFonts w:hint="eastAsia" w:ascii="宋体" w:hAnsi="宋体" w:eastAsia="宋体" w:cs="宋体"/>
          <w:color w:val="auto"/>
          <w:szCs w:val="21"/>
          <w:highlight w:val="none"/>
          <w:u w:val="single"/>
          <w:lang w:eastAsia="zh-CN"/>
        </w:rPr>
        <w:t>湖南国防工业职业技术学院实训工房改造建设项目</w:t>
      </w:r>
    </w:p>
    <w:p w14:paraId="3A52AA64">
      <w:pPr>
        <w:snapToGrid w:val="0"/>
        <w:spacing w:line="360" w:lineRule="auto"/>
        <w:ind w:firstLine="420"/>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val="en-US" w:eastAsia="zh-CN"/>
        </w:rPr>
        <w:t>2、</w:t>
      </w:r>
      <w:r>
        <w:rPr>
          <w:rFonts w:hint="eastAsia" w:ascii="宋体" w:hAnsi="宋体" w:eastAsia="宋体" w:cs="宋体"/>
          <w:color w:val="auto"/>
          <w:szCs w:val="22"/>
          <w:highlight w:val="none"/>
        </w:rPr>
        <w:t>政府采购计划编号:</w:t>
      </w:r>
      <w:r>
        <w:rPr>
          <w:rFonts w:hint="eastAsia" w:ascii="宋体" w:hAnsi="宋体" w:cs="宋体"/>
          <w:color w:val="auto"/>
          <w:szCs w:val="22"/>
          <w:highlight w:val="none"/>
          <w:u w:val="single"/>
          <w:lang w:eastAsia="zh-CN"/>
        </w:rPr>
        <w:t xml:space="preserve"> (2026)430000000213-1</w:t>
      </w:r>
    </w:p>
    <w:p w14:paraId="037AC5DE">
      <w:pPr>
        <w:snapToGrid w:val="0"/>
        <w:spacing w:line="360" w:lineRule="auto"/>
        <w:ind w:firstLine="420" w:firstLineChars="200"/>
        <w:rPr>
          <w:rFonts w:hint="eastAsia" w:ascii="宋体" w:hAnsi="宋体" w:eastAsia="宋体" w:cs="宋体"/>
          <w:color w:val="auto"/>
          <w:szCs w:val="22"/>
          <w:highlight w:val="none"/>
          <w:u w:val="single"/>
          <w:lang w:eastAsia="zh-CN"/>
        </w:rPr>
      </w:pPr>
      <w:r>
        <w:rPr>
          <w:rFonts w:hint="eastAsia" w:ascii="宋体" w:hAnsi="宋体" w:eastAsia="宋体" w:cs="宋体"/>
          <w:color w:val="auto"/>
          <w:szCs w:val="22"/>
          <w:highlight w:val="none"/>
          <w:lang w:val="en-US" w:eastAsia="zh-CN"/>
        </w:rPr>
        <w:t>3、</w:t>
      </w:r>
      <w:r>
        <w:rPr>
          <w:rFonts w:hint="eastAsia" w:ascii="宋体" w:hAnsi="宋体" w:eastAsia="宋体" w:cs="宋体"/>
          <w:color w:val="auto"/>
          <w:szCs w:val="22"/>
          <w:highlight w:val="none"/>
        </w:rPr>
        <w:t>委托代理编号：</w:t>
      </w:r>
      <w:r>
        <w:rPr>
          <w:rFonts w:hint="eastAsia" w:ascii="宋体" w:hAnsi="宋体" w:eastAsia="宋体" w:cs="宋体"/>
          <w:color w:val="auto"/>
          <w:szCs w:val="22"/>
          <w:highlight w:val="none"/>
          <w:u w:val="single"/>
          <w:lang w:eastAsia="zh-CN"/>
        </w:rPr>
        <w:t>0623-2681N2606101</w:t>
      </w:r>
    </w:p>
    <w:p w14:paraId="66681488">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4、</w:t>
      </w:r>
      <w:r>
        <w:rPr>
          <w:rFonts w:hint="eastAsia" w:ascii="宋体" w:hAnsi="宋体" w:eastAsia="宋体" w:cs="宋体"/>
          <w:color w:val="auto"/>
          <w:szCs w:val="22"/>
          <w:highlight w:val="none"/>
        </w:rPr>
        <w:t>采购预算：</w:t>
      </w:r>
      <w:bookmarkStart w:id="10" w:name="OLE_LINK4"/>
      <w:bookmarkStart w:id="11" w:name="OLE_LINK3"/>
      <w:r>
        <w:rPr>
          <w:rFonts w:hint="eastAsia" w:ascii="宋体" w:hAnsi="宋体" w:eastAsia="宋体" w:cs="宋体"/>
          <w:color w:val="auto"/>
          <w:szCs w:val="22"/>
          <w:highlight w:val="none"/>
          <w:u w:val="none"/>
        </w:rPr>
        <w:t>10032</w:t>
      </w:r>
      <w:bookmarkEnd w:id="10"/>
      <w:r>
        <w:rPr>
          <w:rFonts w:hint="eastAsia" w:ascii="宋体" w:hAnsi="宋体" w:eastAsia="宋体" w:cs="宋体"/>
          <w:color w:val="auto"/>
          <w:szCs w:val="22"/>
          <w:highlight w:val="none"/>
          <w:u w:val="none"/>
          <w:lang w:val="en-US" w:eastAsia="zh-CN"/>
        </w:rPr>
        <w:t>20</w:t>
      </w:r>
      <w:r>
        <w:rPr>
          <w:rFonts w:hint="eastAsia" w:ascii="宋体" w:hAnsi="宋体" w:eastAsia="宋体" w:cs="宋体"/>
          <w:color w:val="auto"/>
          <w:szCs w:val="22"/>
          <w:highlight w:val="none"/>
          <w:u w:val="none"/>
        </w:rPr>
        <w:t>元</w:t>
      </w:r>
      <w:bookmarkEnd w:id="11"/>
    </w:p>
    <w:p w14:paraId="65F097A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5、本项目</w:t>
      </w:r>
      <w:r>
        <w:rPr>
          <w:rFonts w:hint="eastAsia" w:ascii="宋体" w:hAnsi="宋体" w:eastAsia="宋体" w:cs="宋体"/>
          <w:color w:val="auto"/>
          <w:szCs w:val="21"/>
          <w:highlight w:val="none"/>
        </w:rPr>
        <w:t>对应的中小企业划分标准所属行业：</w:t>
      </w:r>
      <w:r>
        <w:rPr>
          <w:rFonts w:hint="eastAsia" w:ascii="宋体" w:hAnsi="宋体" w:eastAsia="宋体" w:cs="宋体"/>
          <w:color w:val="auto"/>
          <w:spacing w:val="6"/>
          <w:szCs w:val="22"/>
          <w:highlight w:val="none"/>
          <w:u w:val="single"/>
        </w:rPr>
        <w:t>建筑业</w:t>
      </w:r>
    </w:p>
    <w:p w14:paraId="3F01AEB5">
      <w:pPr>
        <w:adjustRightInd w:val="0"/>
        <w:snapToGrid w:val="0"/>
        <w:spacing w:line="360" w:lineRule="auto"/>
        <w:ind w:firstLine="444" w:firstLineChars="200"/>
        <w:rPr>
          <w:rFonts w:hint="eastAsia" w:ascii="宋体" w:hAnsi="宋体" w:eastAsia="宋体" w:cs="宋体"/>
          <w:color w:val="auto"/>
          <w:szCs w:val="21"/>
          <w:lang w:val="en-US" w:eastAsia="zh-CN"/>
        </w:rPr>
      </w:pPr>
      <w:r>
        <w:rPr>
          <w:rFonts w:hint="eastAsia" w:ascii="宋体" w:hAnsi="宋体" w:cs="宋体"/>
          <w:color w:val="auto"/>
          <w:spacing w:val="6"/>
          <w:szCs w:val="22"/>
          <w:highlight w:val="none"/>
          <w:u w:val="none"/>
          <w:lang w:val="en-US" w:eastAsia="zh-CN"/>
        </w:rPr>
        <w:t>6、</w:t>
      </w:r>
      <w:r>
        <w:rPr>
          <w:rFonts w:hint="eastAsia" w:ascii="宋体" w:hAnsi="宋体" w:eastAsia="宋体" w:cs="宋体"/>
          <w:color w:val="auto"/>
          <w:szCs w:val="21"/>
        </w:rPr>
        <w:t xml:space="preserve">评标方法： </w:t>
      </w:r>
      <w:r>
        <w:rPr>
          <w:rFonts w:hint="eastAsia" w:ascii="宋体" w:hAnsi="宋体" w:eastAsia="宋体" w:cs="宋体"/>
          <w:color w:val="auto"/>
          <w:szCs w:val="21"/>
        </w:rPr>
        <w:sym w:font="Wingdings 2" w:char="00A3"/>
      </w:r>
      <w:r>
        <w:rPr>
          <w:rFonts w:hint="eastAsia" w:ascii="宋体" w:hAnsi="宋体" w:eastAsia="宋体" w:cs="宋体"/>
          <w:color w:val="auto"/>
          <w:szCs w:val="21"/>
        </w:rPr>
        <w:t xml:space="preserve">最低价法 </w:t>
      </w:r>
      <w:r>
        <w:rPr>
          <w:rFonts w:hint="eastAsia" w:ascii="宋体" w:hAnsi="宋体" w:eastAsia="宋体" w:cs="宋体"/>
          <w:color w:val="auto"/>
          <w:szCs w:val="21"/>
        </w:rPr>
        <w:sym w:font="Wingdings 2" w:char="0052"/>
      </w:r>
      <w:r>
        <w:rPr>
          <w:rFonts w:hint="eastAsia" w:ascii="宋体" w:hAnsi="宋体" w:eastAsia="宋体" w:cs="宋体"/>
          <w:color w:val="auto"/>
          <w:szCs w:val="21"/>
        </w:rPr>
        <w:t xml:space="preserve">综合评分法 </w:t>
      </w:r>
    </w:p>
    <w:p w14:paraId="51E3CAE9">
      <w:pPr>
        <w:adjustRightInd w:val="0"/>
        <w:snapToGrid w:val="0"/>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cs="宋体"/>
          <w:bCs/>
          <w:color w:val="auto"/>
          <w:szCs w:val="21"/>
          <w:highlight w:val="none"/>
          <w:lang w:val="en-US" w:eastAsia="zh-CN"/>
        </w:rPr>
        <w:t>7</w:t>
      </w:r>
      <w:r>
        <w:rPr>
          <w:rFonts w:hint="eastAsia" w:ascii="宋体" w:hAnsi="宋体" w:eastAsia="宋体" w:cs="宋体"/>
          <w:bCs/>
          <w:color w:val="auto"/>
          <w:szCs w:val="21"/>
          <w:highlight w:val="none"/>
        </w:rPr>
        <w:t>、合同定价方式：</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固定总价 </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固定单价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成本补偿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绩效激励</w:t>
      </w:r>
    </w:p>
    <w:p w14:paraId="53C63EEC">
      <w:pPr>
        <w:adjustRightInd w:val="0"/>
        <w:snapToGrid w:val="0"/>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cs="宋体"/>
          <w:bCs/>
          <w:color w:val="auto"/>
          <w:szCs w:val="21"/>
          <w:highlight w:val="none"/>
          <w:lang w:val="en-US" w:eastAsia="zh-CN"/>
        </w:rPr>
        <w:t>8</w:t>
      </w:r>
      <w:r>
        <w:rPr>
          <w:rFonts w:hint="eastAsia" w:ascii="宋体" w:hAnsi="宋体" w:eastAsia="宋体" w:cs="宋体"/>
          <w:bCs/>
          <w:color w:val="auto"/>
          <w:szCs w:val="21"/>
          <w:highlight w:val="none"/>
        </w:rPr>
        <w:t>、合同履行期限：</w:t>
      </w:r>
      <w:r>
        <w:rPr>
          <w:rFonts w:hint="eastAsia" w:ascii="宋体" w:hAnsi="宋体" w:cs="宋体"/>
          <w:bCs/>
          <w:color w:val="auto"/>
          <w:szCs w:val="21"/>
          <w:highlight w:val="none"/>
          <w:u w:val="single"/>
          <w:lang w:val="en-US" w:eastAsia="zh-CN"/>
        </w:rPr>
        <w:t>30</w:t>
      </w:r>
      <w:r>
        <w:rPr>
          <w:rFonts w:hint="eastAsia" w:ascii="宋体" w:hAnsi="宋体" w:eastAsia="宋体" w:cs="宋体"/>
          <w:bCs/>
          <w:color w:val="auto"/>
          <w:szCs w:val="21"/>
          <w:highlight w:val="none"/>
          <w:u w:val="single"/>
          <w:lang w:val="en-US" w:eastAsia="zh-CN"/>
        </w:rPr>
        <w:t>天</w:t>
      </w:r>
    </w:p>
    <w:p w14:paraId="436D9582">
      <w:pPr>
        <w:pStyle w:val="31"/>
        <w:rPr>
          <w:rFonts w:hint="eastAsia" w:ascii="宋体" w:hAnsi="宋体" w:eastAsia="宋体" w:cs="宋体"/>
          <w:color w:val="auto"/>
          <w:highlight w:val="none"/>
        </w:rPr>
      </w:pPr>
      <w:r>
        <w:rPr>
          <w:rFonts w:hint="eastAsia" w:ascii="宋体" w:hAnsi="宋体" w:cs="宋体"/>
          <w:bCs/>
          <w:color w:val="auto"/>
          <w:highlight w:val="none"/>
          <w:lang w:val="en-US" w:eastAsia="zh-CN"/>
        </w:rPr>
        <w:t>9</w:t>
      </w:r>
      <w:r>
        <w:rPr>
          <w:rFonts w:hint="eastAsia" w:ascii="宋体" w:hAnsi="宋体" w:eastAsia="宋体" w:cs="宋体"/>
          <w:bCs/>
          <w:color w:val="auto"/>
          <w:highlight w:val="none"/>
        </w:rPr>
        <w:t>、</w:t>
      </w:r>
      <w:r>
        <w:rPr>
          <w:rFonts w:hint="eastAsia" w:ascii="宋体" w:hAnsi="宋体" w:eastAsia="宋体" w:cs="宋体"/>
          <w:color w:val="auto"/>
          <w:highlight w:val="none"/>
        </w:rPr>
        <w:t>本项目分阶段要求供应商提供以下保证：</w:t>
      </w:r>
    </w:p>
    <w:p w14:paraId="1202235D">
      <w:pPr>
        <w:pStyle w:val="31"/>
        <w:spacing w:line="360" w:lineRule="auto"/>
        <w:rPr>
          <w:rFonts w:hint="eastAsia" w:ascii="宋体" w:hAnsi="宋体" w:eastAsia="宋体" w:cs="宋体"/>
          <w:iCs/>
          <w:color w:val="auto"/>
          <w:highlight w:val="none"/>
        </w:rPr>
      </w:pPr>
      <w:r>
        <w:rPr>
          <w:rFonts w:hint="eastAsia" w:ascii="宋体" w:hAnsi="宋体" w:eastAsia="宋体" w:cs="宋体"/>
          <w:iCs/>
          <w:color w:val="auto"/>
          <w:highlight w:val="none"/>
        </w:rPr>
        <w:sym w:font="Wingdings" w:char="00A8"/>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保证金：</w:t>
      </w:r>
      <w:r>
        <w:rPr>
          <w:rFonts w:hint="eastAsia" w:ascii="宋体" w:hAnsi="宋体" w:eastAsia="宋体" w:cs="宋体"/>
          <w:color w:val="auto"/>
          <w:highlight w:val="none"/>
          <w:lang w:val="en-US" w:eastAsia="zh-CN"/>
        </w:rPr>
        <w:t>不超过</w:t>
      </w:r>
      <w:r>
        <w:rPr>
          <w:rFonts w:hint="eastAsia" w:ascii="宋体" w:hAnsi="宋体" w:eastAsia="宋体" w:cs="宋体"/>
          <w:iCs/>
          <w:color w:val="auto"/>
          <w:highlight w:val="none"/>
        </w:rPr>
        <w:t>采购项目预算的</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u w:val="single"/>
          <w:lang w:val="en-US" w:eastAsia="zh-CN"/>
        </w:rPr>
        <w:t>/</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rPr>
        <w:t>%</w:t>
      </w:r>
      <w:r>
        <w:rPr>
          <w:rFonts w:hint="eastAsia" w:ascii="宋体" w:hAnsi="宋体" w:eastAsia="宋体" w:cs="宋体"/>
          <w:color w:val="auto"/>
          <w:highlight w:val="none"/>
        </w:rPr>
        <w:t>；</w:t>
      </w:r>
    </w:p>
    <w:p w14:paraId="3DBFC73D">
      <w:pPr>
        <w:pStyle w:val="31"/>
        <w:spacing w:line="360" w:lineRule="auto"/>
        <w:rPr>
          <w:rFonts w:hint="eastAsia" w:ascii="宋体" w:hAnsi="宋体" w:eastAsia="宋体" w:cs="宋体"/>
          <w:iCs/>
          <w:color w:val="auto"/>
          <w:highlight w:val="none"/>
        </w:rPr>
      </w:pPr>
      <w:r>
        <w:rPr>
          <w:rFonts w:hint="eastAsia" w:ascii="宋体" w:hAnsi="宋体" w:eastAsia="宋体" w:cs="宋体"/>
          <w:iCs/>
          <w:color w:val="auto"/>
          <w:highlight w:val="none"/>
        </w:rPr>
        <w:sym w:font="Wingdings" w:char="00FE"/>
      </w:r>
      <w:r>
        <w:rPr>
          <w:rFonts w:hint="eastAsia" w:ascii="宋体" w:hAnsi="宋体" w:eastAsia="宋体" w:cs="宋体"/>
          <w:color w:val="auto"/>
          <w:highlight w:val="none"/>
        </w:rPr>
        <w:t>履约保证金：</w:t>
      </w:r>
      <w:r>
        <w:rPr>
          <w:rFonts w:hint="eastAsia" w:ascii="宋体" w:hAnsi="宋体" w:eastAsia="宋体" w:cs="宋体"/>
          <w:iCs/>
          <w:color w:val="auto"/>
          <w:highlight w:val="none"/>
        </w:rPr>
        <w:t>中标金额的</w:t>
      </w:r>
      <w:r>
        <w:rPr>
          <w:rFonts w:hint="eastAsia" w:ascii="宋体" w:hAnsi="宋体" w:eastAsia="宋体" w:cs="宋体"/>
          <w:iCs/>
          <w:color w:val="auto"/>
          <w:highlight w:val="none"/>
          <w:u w:val="single"/>
        </w:rPr>
        <w:t xml:space="preserve"> </w:t>
      </w:r>
      <w:r>
        <w:rPr>
          <w:rFonts w:hint="eastAsia" w:ascii="宋体" w:hAnsi="宋体" w:cs="宋体"/>
          <w:iCs/>
          <w:color w:val="auto"/>
          <w:highlight w:val="none"/>
          <w:u w:val="single"/>
          <w:lang w:val="en-US" w:eastAsia="zh-CN"/>
        </w:rPr>
        <w:t>3</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rPr>
        <w:t>%</w:t>
      </w:r>
      <w:r>
        <w:rPr>
          <w:rFonts w:hint="eastAsia" w:ascii="宋体" w:hAnsi="宋体" w:eastAsia="宋体" w:cs="宋体"/>
          <w:color w:val="auto"/>
          <w:highlight w:val="none"/>
        </w:rPr>
        <w:t>；</w:t>
      </w:r>
    </w:p>
    <w:p w14:paraId="0F54D656">
      <w:pPr>
        <w:pStyle w:val="31"/>
        <w:spacing w:line="360" w:lineRule="auto"/>
        <w:rPr>
          <w:rFonts w:hint="eastAsia" w:ascii="宋体" w:hAnsi="宋体" w:eastAsia="宋体" w:cs="宋体"/>
          <w:iCs/>
          <w:color w:val="auto"/>
          <w:highlight w:val="none"/>
        </w:rPr>
      </w:pPr>
      <w:r>
        <w:rPr>
          <w:rFonts w:hint="eastAsia" w:ascii="宋体" w:hAnsi="宋体" w:eastAsia="宋体" w:cs="宋体"/>
          <w:iCs/>
          <w:color w:val="auto"/>
          <w:highlight w:val="none"/>
        </w:rPr>
        <w:sym w:font="Wingdings" w:char="00A8"/>
      </w:r>
      <w:r>
        <w:rPr>
          <w:rFonts w:hint="eastAsia" w:ascii="宋体" w:hAnsi="宋体" w:eastAsia="宋体" w:cs="宋体"/>
          <w:iCs/>
          <w:color w:val="auto"/>
          <w:highlight w:val="none"/>
        </w:rPr>
        <w:t>质量保证金：</w:t>
      </w:r>
      <w:r>
        <w:rPr>
          <w:rFonts w:hint="eastAsia" w:ascii="宋体" w:hAnsi="宋体" w:eastAsia="宋体" w:cs="宋体"/>
          <w:iCs/>
          <w:color w:val="auto"/>
          <w:highlight w:val="none"/>
          <w:lang w:val="en-US" w:eastAsia="zh-CN"/>
        </w:rPr>
        <w:t>结算评审</w:t>
      </w:r>
      <w:r>
        <w:rPr>
          <w:rFonts w:hint="eastAsia" w:ascii="宋体" w:hAnsi="宋体" w:eastAsia="宋体" w:cs="宋体"/>
          <w:iCs/>
          <w:color w:val="auto"/>
          <w:highlight w:val="none"/>
        </w:rPr>
        <w:t>金额的</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u w:val="single"/>
          <w:lang w:val="en-US" w:eastAsia="zh-CN"/>
        </w:rPr>
        <w:t xml:space="preserve">/ </w:t>
      </w:r>
      <w:r>
        <w:rPr>
          <w:rFonts w:hint="eastAsia" w:ascii="宋体" w:hAnsi="宋体" w:eastAsia="宋体" w:cs="宋体"/>
          <w:iCs/>
          <w:color w:val="auto"/>
          <w:highlight w:val="none"/>
        </w:rPr>
        <w:t>%。</w:t>
      </w:r>
    </w:p>
    <w:p w14:paraId="5D546002">
      <w:pPr>
        <w:snapToGrid w:val="0"/>
        <w:spacing w:line="360" w:lineRule="auto"/>
        <w:ind w:firstLine="420"/>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lang w:val="en-US" w:eastAsia="zh-CN"/>
        </w:rPr>
        <w:t>二、</w:t>
      </w:r>
      <w:r>
        <w:rPr>
          <w:rFonts w:hint="eastAsia" w:ascii="宋体" w:hAnsi="宋体" w:eastAsia="宋体" w:cs="宋体"/>
          <w:b/>
          <w:bCs/>
          <w:color w:val="auto"/>
          <w:szCs w:val="22"/>
          <w:highlight w:val="none"/>
        </w:rPr>
        <w:t>采购项目内容与数量：</w:t>
      </w:r>
    </w:p>
    <w:tbl>
      <w:tblPr>
        <w:tblStyle w:val="24"/>
        <w:tblW w:w="5106"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8"/>
        <w:gridCol w:w="1394"/>
        <w:gridCol w:w="2013"/>
        <w:gridCol w:w="517"/>
        <w:gridCol w:w="490"/>
        <w:gridCol w:w="1235"/>
        <w:gridCol w:w="1150"/>
        <w:gridCol w:w="1076"/>
      </w:tblGrid>
      <w:tr w14:paraId="34F8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6" w:hRule="atLeast"/>
          <w:tblCellSpacing w:w="0" w:type="dxa"/>
          <w:jc w:val="center"/>
        </w:trPr>
        <w:tc>
          <w:tcPr>
            <w:tcW w:w="369" w:type="pct"/>
            <w:vAlign w:val="center"/>
          </w:tcPr>
          <w:p w14:paraId="11959C7F">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包名</w:t>
            </w:r>
          </w:p>
        </w:tc>
        <w:tc>
          <w:tcPr>
            <w:tcW w:w="819" w:type="pct"/>
            <w:vAlign w:val="center"/>
          </w:tcPr>
          <w:p w14:paraId="44FF0D3A">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品目分类</w:t>
            </w:r>
          </w:p>
        </w:tc>
        <w:tc>
          <w:tcPr>
            <w:tcW w:w="1183" w:type="pct"/>
            <w:vAlign w:val="center"/>
          </w:tcPr>
          <w:p w14:paraId="00A3B456">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品目名称</w:t>
            </w:r>
          </w:p>
        </w:tc>
        <w:tc>
          <w:tcPr>
            <w:tcW w:w="304" w:type="pct"/>
            <w:vAlign w:val="center"/>
          </w:tcPr>
          <w:p w14:paraId="012FE872">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数量</w:t>
            </w:r>
          </w:p>
        </w:tc>
        <w:tc>
          <w:tcPr>
            <w:tcW w:w="288" w:type="pct"/>
            <w:vAlign w:val="center"/>
          </w:tcPr>
          <w:p w14:paraId="59DBE16C">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单位</w:t>
            </w:r>
          </w:p>
        </w:tc>
        <w:tc>
          <w:tcPr>
            <w:tcW w:w="726" w:type="pct"/>
            <w:vAlign w:val="center"/>
          </w:tcPr>
          <w:p w14:paraId="747924F0">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预算金额（元）</w:t>
            </w:r>
          </w:p>
        </w:tc>
        <w:tc>
          <w:tcPr>
            <w:tcW w:w="676" w:type="pct"/>
            <w:vAlign w:val="center"/>
          </w:tcPr>
          <w:p w14:paraId="2BA61439">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最高限价（元）</w:t>
            </w:r>
          </w:p>
        </w:tc>
        <w:tc>
          <w:tcPr>
            <w:tcW w:w="632" w:type="pct"/>
            <w:vAlign w:val="center"/>
          </w:tcPr>
          <w:p w14:paraId="690A5892">
            <w:pPr>
              <w:adjustRightInd w:val="0"/>
              <w:snapToGrid w:val="0"/>
              <w:jc w:val="center"/>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rPr>
              <w:t>代理服务费限价（元）</w:t>
            </w:r>
          </w:p>
        </w:tc>
      </w:tr>
      <w:tr w14:paraId="2D8C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blCellSpacing w:w="0" w:type="dxa"/>
          <w:jc w:val="center"/>
        </w:trPr>
        <w:tc>
          <w:tcPr>
            <w:tcW w:w="369" w:type="pct"/>
            <w:vAlign w:val="center"/>
          </w:tcPr>
          <w:p w14:paraId="5065914D">
            <w:pPr>
              <w:adjustRightInd w:val="0"/>
              <w:snapToGrid w:val="0"/>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819" w:type="pct"/>
            <w:vAlign w:val="center"/>
          </w:tcPr>
          <w:p w14:paraId="724906A6">
            <w:pPr>
              <w:snapToGrid w:val="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B08990000-其他建筑物、构建物修缮</w:t>
            </w:r>
          </w:p>
        </w:tc>
        <w:tc>
          <w:tcPr>
            <w:tcW w:w="1183" w:type="pct"/>
            <w:vAlign w:val="center"/>
          </w:tcPr>
          <w:p w14:paraId="33E8823A">
            <w:pPr>
              <w:snapToGrid w:val="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湖南国防工业职业技术学院实训工房改造建设项目</w:t>
            </w:r>
          </w:p>
        </w:tc>
        <w:tc>
          <w:tcPr>
            <w:tcW w:w="304" w:type="pct"/>
            <w:vAlign w:val="center"/>
          </w:tcPr>
          <w:p w14:paraId="6E457FBA">
            <w:pPr>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88" w:type="pct"/>
            <w:vAlign w:val="center"/>
          </w:tcPr>
          <w:p w14:paraId="6F7A72F3">
            <w:pPr>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726" w:type="pct"/>
            <w:vAlign w:val="center"/>
          </w:tcPr>
          <w:p w14:paraId="18E971E8">
            <w:pPr>
              <w:snapToGrid w:val="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2"/>
                <w:highlight w:val="none"/>
                <w:u w:val="none"/>
                <w:lang w:eastAsia="zh-CN"/>
              </w:rPr>
              <w:t>1003220</w:t>
            </w:r>
          </w:p>
        </w:tc>
        <w:tc>
          <w:tcPr>
            <w:tcW w:w="676" w:type="pct"/>
            <w:vAlign w:val="center"/>
          </w:tcPr>
          <w:p w14:paraId="6A947605">
            <w:pPr>
              <w:snapToGrid w:val="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1003220</w:t>
            </w:r>
          </w:p>
        </w:tc>
        <w:tc>
          <w:tcPr>
            <w:tcW w:w="632" w:type="pct"/>
            <w:vAlign w:val="center"/>
          </w:tcPr>
          <w:p w14:paraId="46D8D4E1">
            <w:pPr>
              <w:snapToGrid w:val="0"/>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shd w:val="clear"/>
                <w:lang w:val="en-US" w:eastAsia="zh-CN"/>
              </w:rPr>
              <w:t>902</w:t>
            </w:r>
            <w:r>
              <w:rPr>
                <w:rFonts w:hint="eastAsia" w:ascii="宋体" w:hAnsi="宋体" w:cs="宋体"/>
                <w:color w:val="auto"/>
                <w:szCs w:val="21"/>
                <w:highlight w:val="none"/>
                <w:shd w:val="clear"/>
                <w:lang w:val="en-US" w:eastAsia="zh-CN"/>
              </w:rPr>
              <w:t>0</w:t>
            </w:r>
          </w:p>
        </w:tc>
      </w:tr>
    </w:tbl>
    <w:p w14:paraId="53DB6F50">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说明：</w:t>
      </w:r>
    </w:p>
    <w:p w14:paraId="7C121CB4">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1.节能产品实行强制采购的，需提供国家认证机构出具的、处于有效期内的节能产品证书。</w:t>
      </w:r>
    </w:p>
    <w:p w14:paraId="2726F18B">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2.同意购买进口产品的，不限制满足采购需求的国内产品参与投标。</w:t>
      </w:r>
    </w:p>
    <w:p w14:paraId="151E4381">
      <w:pPr>
        <w:pStyle w:val="31"/>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三、采购项目需落实的政府采购政策：</w:t>
      </w:r>
    </w:p>
    <w:p w14:paraId="48CFFEF2">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1、优先采购：节能产品、环境标志产品享受加分或价格折扣。</w:t>
      </w:r>
    </w:p>
    <w:p w14:paraId="25F30A7A">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2、支持中小企业：中小企业享受预留采购份额或价格折扣。</w:t>
      </w:r>
    </w:p>
    <w:p w14:paraId="7891F778">
      <w:pPr>
        <w:snapToGrid w:val="0"/>
        <w:spacing w:line="360" w:lineRule="auto"/>
        <w:ind w:firstLine="420"/>
        <w:rPr>
          <w:rFonts w:hint="eastAsia" w:ascii="宋体" w:hAnsi="宋体" w:eastAsia="宋体" w:cs="宋体"/>
          <w:b/>
          <w:bCs/>
          <w:color w:val="auto"/>
          <w:szCs w:val="22"/>
          <w:highlight w:val="none"/>
        </w:rPr>
      </w:pPr>
      <w:r>
        <w:rPr>
          <w:rFonts w:hint="eastAsia" w:ascii="宋体" w:hAnsi="宋体" w:eastAsia="宋体" w:cs="宋体"/>
          <w:b/>
          <w:bCs/>
          <w:color w:val="auto"/>
          <w:szCs w:val="22"/>
          <w:highlight w:val="none"/>
          <w:lang w:val="en-US" w:eastAsia="zh-CN"/>
        </w:rPr>
        <w:t>四</w:t>
      </w:r>
      <w:r>
        <w:rPr>
          <w:rFonts w:hint="eastAsia" w:ascii="宋体" w:hAnsi="宋体" w:eastAsia="宋体" w:cs="宋体"/>
          <w:b/>
          <w:bCs/>
          <w:color w:val="auto"/>
          <w:szCs w:val="22"/>
          <w:highlight w:val="none"/>
        </w:rPr>
        <w:t>、供应商的资格要求</w:t>
      </w:r>
    </w:p>
    <w:p w14:paraId="3CCE59D3">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1.供应商基本资格条件：应当符合《政府采购法》第二十二条第一款的规定，即：</w:t>
      </w:r>
    </w:p>
    <w:p w14:paraId="6C36B441">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（1）具有独立承担民事责任的能力；</w:t>
      </w:r>
    </w:p>
    <w:p w14:paraId="0FCBF755">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（2）具有良好的商业信誉和健全的财务会计制度；</w:t>
      </w:r>
    </w:p>
    <w:p w14:paraId="200B9761">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（3）具有履行合同所必需的设备和专业技术能力；</w:t>
      </w:r>
    </w:p>
    <w:p w14:paraId="6069354A">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（4）有依法缴纳税收和社会保障资金的良好记录；</w:t>
      </w:r>
    </w:p>
    <w:p w14:paraId="5C8679F5">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（5）参加政府采购活动前三年内，在经营活动中没有重大违法记录；</w:t>
      </w:r>
    </w:p>
    <w:p w14:paraId="0B83A0E7">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（6）法律、行政法规规定的其他条件。</w:t>
      </w:r>
    </w:p>
    <w:p w14:paraId="07A1B43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46FE2CB3">
      <w:pPr>
        <w:adjustRightInd w:val="0"/>
        <w:snapToGrid w:val="0"/>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专门面向</w:t>
      </w:r>
      <w:r>
        <w:rPr>
          <w:rFonts w:hint="eastAsia" w:ascii="宋体" w:hAnsi="宋体" w:eastAsia="宋体" w:cs="宋体"/>
          <w:bCs/>
          <w:color w:val="auto"/>
          <w:szCs w:val="21"/>
          <w:highlight w:val="none"/>
        </w:rPr>
        <w:t>：</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中小企业  </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小微企业 </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监狱企业 </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福利性单位。</w:t>
      </w:r>
    </w:p>
    <w:p w14:paraId="2B23E242">
      <w:pPr>
        <w:adjustRightInd w:val="0"/>
        <w:snapToGrid w:val="0"/>
        <w:spacing w:line="360" w:lineRule="auto"/>
        <w:ind w:firstLine="630" w:firstLineChars="300"/>
        <w:rPr>
          <w:rFonts w:hint="eastAsia" w:ascii="宋体" w:hAnsi="宋体" w:eastAsia="宋体" w:cs="宋体"/>
          <w:color w:val="auto"/>
          <w:highlight w:val="none"/>
        </w:rPr>
      </w:pP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强制</w:t>
      </w:r>
      <w:r>
        <w:rPr>
          <w:rFonts w:hint="eastAsia" w:ascii="宋体" w:hAnsi="宋体" w:eastAsia="宋体" w:cs="宋体"/>
          <w:bCs/>
          <w:color w:val="auto"/>
          <w:szCs w:val="21"/>
          <w:highlight w:val="none"/>
        </w:rPr>
        <w:t>分包：大型企业应将采购份额的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%分包给中小企业。</w:t>
      </w:r>
    </w:p>
    <w:p w14:paraId="1F5F25DB">
      <w:pPr>
        <w:pStyle w:val="31"/>
        <w:numPr>
          <w:ilvl w:val="0"/>
          <w:numId w:val="2"/>
        </w:num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rPr>
        <w:t>供应商特定资格条件</w:t>
      </w:r>
      <w:r>
        <w:rPr>
          <w:rFonts w:hint="eastAsia" w:ascii="宋体" w:hAnsi="宋体" w:eastAsia="宋体" w:cs="宋体"/>
          <w:color w:val="auto"/>
          <w:highlight w:val="none"/>
        </w:rPr>
        <w:t>：</w:t>
      </w:r>
      <w:bookmarkStart w:id="12" w:name="OLE_LINK1"/>
    </w:p>
    <w:p w14:paraId="1138EFFB">
      <w:pPr>
        <w:pStyle w:val="31"/>
        <w:numPr>
          <w:ilvl w:val="0"/>
          <w:numId w:val="0"/>
        </w:num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3.1应具有建设行政主管部门颁发的建筑工程施工总承包叁级及以上等级资质，且安全生产许可证处于有效期。</w:t>
      </w:r>
    </w:p>
    <w:p w14:paraId="22FA9933">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3.2应按照国家和湖南省有关法律法规、规范标准和湘建建〔2020〕208号文规定配备施工项目部关键岗位人员。其中施工项目部关键岗位人员数量不得低于湘建建〔2020〕208号文规定的最低配备标准，即：项目负责人1人、施工员1人、安全员1人，其它岗位职责可兼任。</w:t>
      </w:r>
    </w:p>
    <w:p w14:paraId="01288ECC">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要求：</w:t>
      </w:r>
    </w:p>
    <w:p w14:paraId="70346347">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1）施工项目部关键岗位人员不得同时在其他建设工程中任职。</w:t>
      </w:r>
    </w:p>
    <w:p w14:paraId="535DB744">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2）施工项目部关键岗位人员必须是本企业在职人员。（提供由劳动保障部门出具的投标截止时间前</w:t>
      </w:r>
      <w:r>
        <w:rPr>
          <w:rFonts w:hint="eastAsia" w:ascii="宋体" w:hAnsi="宋体" w:eastAsia="宋体" w:cs="宋体"/>
          <w:color w:val="auto"/>
          <w:highlight w:val="none"/>
          <w:lang w:val="en-US" w:eastAsia="zh-CN"/>
        </w:rPr>
        <w:t>近三个月</w:t>
      </w:r>
      <w:r>
        <w:rPr>
          <w:rFonts w:hint="eastAsia" w:ascii="宋体" w:hAnsi="宋体" w:eastAsia="宋体" w:cs="宋体"/>
          <w:color w:val="auto"/>
          <w:highlight w:val="none"/>
        </w:rPr>
        <w:t>的养老保险证明）。</w:t>
      </w:r>
    </w:p>
    <w:p w14:paraId="0482BFDE">
      <w:pPr>
        <w:pStyle w:val="31"/>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3）关键岗位人员应持有相应的岗位资格证书，岗位资格证书注明了单位名称的，应与投标单位一致。项目负责人为建筑工程专业贰级及以上注册建造师执业资格，具备有效的项目负责人安全生产考核合格证书；施工员具有施工岗位资格证书</w:t>
      </w:r>
      <w:r>
        <w:rPr>
          <w:rFonts w:hint="eastAsia" w:ascii="宋体" w:hAnsi="宋体" w:cs="宋体"/>
          <w:color w:val="auto"/>
          <w:highlight w:val="none"/>
          <w:lang w:eastAsia="zh-CN"/>
        </w:rPr>
        <w:t>。</w:t>
      </w:r>
    </w:p>
    <w:bookmarkEnd w:id="12"/>
    <w:p w14:paraId="20C842B6">
      <w:pPr>
        <w:pStyle w:val="31"/>
        <w:spacing w:line="360" w:lineRule="auto"/>
        <w:rPr>
          <w:rFonts w:hint="eastAsia" w:ascii="宋体" w:hAnsi="宋体" w:eastAsia="宋体" w:cs="宋体"/>
          <w:color w:val="auto"/>
          <w:szCs w:val="22"/>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、单位负责人为同一人或者存在直接控</w:t>
      </w:r>
      <w:r>
        <w:rPr>
          <w:rFonts w:hint="eastAsia" w:ascii="宋体" w:hAnsi="宋体" w:eastAsia="宋体" w:cs="宋体"/>
          <w:color w:val="auto"/>
          <w:szCs w:val="22"/>
          <w:highlight w:val="none"/>
        </w:rPr>
        <w:t>股、管理关系的不同供应商，不得参加同一合同项下的政府采购活动。</w:t>
      </w:r>
    </w:p>
    <w:p w14:paraId="4C5E41F0">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5</w:t>
      </w:r>
      <w:r>
        <w:rPr>
          <w:rFonts w:hint="eastAsia" w:ascii="宋体" w:hAnsi="宋体" w:eastAsia="宋体" w:cs="宋体"/>
          <w:color w:val="auto"/>
          <w:szCs w:val="22"/>
          <w:highlight w:val="none"/>
        </w:rPr>
        <w:t>、为本采购项目提供整体设计、规范编制或者项目管理、监理、检测等服务的，不得再参加此项目的其他招标采购活动。</w:t>
      </w:r>
    </w:p>
    <w:p w14:paraId="45EA345B">
      <w:pPr>
        <w:pStyle w:val="31"/>
        <w:spacing w:line="360" w:lineRule="auto"/>
        <w:rPr>
          <w:rFonts w:hint="eastAsia" w:ascii="宋体" w:hAnsi="宋体" w:eastAsia="宋体" w:cs="宋体"/>
          <w:color w:val="auto"/>
          <w:highlight w:val="none"/>
          <w:lang w:val="en-US" w:eastAsia="zh-CN"/>
        </w:rPr>
      </w:pPr>
      <w:bookmarkStart w:id="13" w:name="_Toc4305"/>
      <w:r>
        <w:rPr>
          <w:rFonts w:hint="eastAsia" w:ascii="宋体" w:hAnsi="宋体" w:eastAsia="宋体" w:cs="宋体"/>
          <w:color w:val="auto"/>
          <w:highlight w:val="none"/>
          <w:lang w:val="en-US" w:eastAsia="zh-CN"/>
        </w:rPr>
        <w:t>6、列入失信被执行人、重大税收违法案件当事人名单，列入政府采购严重违法失信行为记录名单的，拒绝其参与政府采购活动。</w:t>
      </w:r>
      <w:bookmarkEnd w:id="13"/>
    </w:p>
    <w:p w14:paraId="0C6E278C">
      <w:pPr>
        <w:pStyle w:val="31"/>
        <w:spacing w:line="360" w:lineRule="auto"/>
        <w:rPr>
          <w:rFonts w:hint="eastAsia" w:ascii="宋体" w:hAnsi="宋体" w:eastAsia="宋体" w:cs="宋体"/>
          <w:color w:val="auto"/>
          <w:highlight w:val="none"/>
          <w:lang w:val="en-US" w:eastAsia="zh-CN"/>
        </w:rPr>
      </w:pPr>
      <w:bookmarkStart w:id="14" w:name="_Toc9352"/>
      <w:r>
        <w:rPr>
          <w:rFonts w:hint="eastAsia" w:ascii="宋体" w:hAnsi="宋体" w:eastAsia="宋体" w:cs="宋体"/>
          <w:color w:val="auto"/>
          <w:highlight w:val="none"/>
          <w:lang w:val="en-US" w:eastAsia="zh-CN"/>
        </w:rPr>
        <w:t>7、本次招标不接受联合体投标。</w:t>
      </w:r>
      <w:bookmarkEnd w:id="14"/>
    </w:p>
    <w:p w14:paraId="14483A57">
      <w:pPr>
        <w:pStyle w:val="31"/>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注：根据湖南省财政厅关于政府采购促</w:t>
      </w:r>
      <w:r>
        <w:rPr>
          <w:rFonts w:hint="eastAsia" w:ascii="宋体" w:hAnsi="宋体" w:eastAsia="宋体" w:cs="宋体"/>
          <w:color w:val="auto"/>
          <w:szCs w:val="21"/>
          <w:highlight w:val="none"/>
        </w:rPr>
        <w:t>进中小企业发展有关措施的通知，符合法定条件的供应商凭《湖南省政府采购供应商资格承诺函》（格式见投标文件格式）参与政府采购活动，也可通过在金融机构办理电子增信取得对应信用星级参与政府采购活动和电子卖场交易，无需提供财务状况、缴纳税收和社会保障资金等资格证明材料。</w:t>
      </w:r>
    </w:p>
    <w:p w14:paraId="5CAE739A">
      <w:pPr>
        <w:adjustRightInd w:val="0"/>
        <w:snapToGrid w:val="0"/>
        <w:spacing w:line="360" w:lineRule="auto"/>
        <w:ind w:firstLine="422" w:firstLineChars="200"/>
        <w:outlineLvl w:val="0"/>
        <w:rPr>
          <w:rFonts w:hint="eastAsia" w:ascii="宋体" w:hAnsi="宋体" w:eastAsia="宋体" w:cs="宋体"/>
          <w:b/>
          <w:color w:val="auto"/>
          <w:szCs w:val="21"/>
          <w:highlight w:val="none"/>
          <w:lang w:val="en-US" w:eastAsia="zh-CN"/>
        </w:rPr>
      </w:pPr>
      <w:bookmarkStart w:id="15" w:name="_Toc29930"/>
      <w:r>
        <w:rPr>
          <w:rFonts w:hint="eastAsia" w:ascii="宋体" w:hAnsi="宋体" w:eastAsia="宋体" w:cs="宋体"/>
          <w:b/>
          <w:color w:val="auto"/>
          <w:szCs w:val="21"/>
          <w:highlight w:val="none"/>
          <w:lang w:val="en-US" w:eastAsia="zh-CN"/>
        </w:rPr>
        <w:t>五</w:t>
      </w:r>
      <w:r>
        <w:rPr>
          <w:rFonts w:hint="eastAsia" w:ascii="宋体" w:hAnsi="宋体" w:eastAsia="宋体" w:cs="宋体"/>
          <w:b/>
          <w:color w:val="auto"/>
          <w:szCs w:val="21"/>
          <w:highlight w:val="none"/>
        </w:rPr>
        <w:t>、获取磋商文件的</w:t>
      </w:r>
      <w:bookmarkEnd w:id="15"/>
      <w:r>
        <w:rPr>
          <w:rFonts w:hint="eastAsia" w:ascii="宋体" w:hAnsi="宋体" w:eastAsia="宋体" w:cs="宋体"/>
          <w:b/>
          <w:color w:val="auto"/>
          <w:szCs w:val="21"/>
          <w:highlight w:val="none"/>
          <w:lang w:val="en-US" w:eastAsia="zh-CN"/>
        </w:rPr>
        <w:t>获取</w:t>
      </w:r>
    </w:p>
    <w:p w14:paraId="276515BE">
      <w:pPr>
        <w:snapToGrid w:val="0"/>
        <w:spacing w:line="360" w:lineRule="auto"/>
        <w:ind w:firstLine="420"/>
        <w:rPr>
          <w:rFonts w:hint="eastAsia" w:ascii="宋体" w:hAnsi="宋体" w:eastAsia="宋体" w:cs="宋体"/>
          <w:color w:val="auto"/>
          <w:szCs w:val="22"/>
        </w:rPr>
      </w:pPr>
      <w:bookmarkStart w:id="16" w:name="_Toc27038"/>
      <w:r>
        <w:rPr>
          <w:rFonts w:hint="eastAsia" w:ascii="宋体" w:hAnsi="宋体" w:eastAsia="宋体" w:cs="宋体"/>
          <w:color w:val="auto"/>
          <w:szCs w:val="22"/>
        </w:rPr>
        <w:t>获取磋商文件的时间：从</w:t>
      </w:r>
      <w:r>
        <w:rPr>
          <w:rFonts w:hint="eastAsia" w:ascii="宋体" w:hAnsi="宋体" w:eastAsia="宋体" w:cs="宋体"/>
          <w:color w:val="auto"/>
          <w:szCs w:val="22"/>
          <w:u w:val="single"/>
        </w:rPr>
        <w:t>202</w:t>
      </w:r>
      <w:r>
        <w:rPr>
          <w:rFonts w:hint="eastAsia" w:ascii="宋体" w:hAnsi="宋体" w:eastAsia="宋体" w:cs="宋体"/>
          <w:color w:val="auto"/>
          <w:szCs w:val="22"/>
          <w:u w:val="single"/>
          <w:lang w:val="en-US" w:eastAsia="zh-CN"/>
        </w:rPr>
        <w:t>6</w:t>
      </w:r>
      <w:r>
        <w:rPr>
          <w:rFonts w:hint="eastAsia" w:ascii="宋体" w:hAnsi="宋体" w:eastAsia="宋体" w:cs="宋体"/>
          <w:color w:val="auto"/>
          <w:szCs w:val="22"/>
        </w:rPr>
        <w:t>年</w:t>
      </w:r>
      <w:r>
        <w:rPr>
          <w:rFonts w:hint="eastAsia" w:ascii="宋体" w:hAnsi="宋体" w:eastAsia="宋体" w:cs="宋体"/>
          <w:color w:val="auto"/>
          <w:szCs w:val="22"/>
          <w:u w:val="single"/>
          <w:lang w:val="en-US" w:eastAsia="zh-CN"/>
        </w:rPr>
        <w:t>07</w:t>
      </w:r>
      <w:r>
        <w:rPr>
          <w:rFonts w:hint="eastAsia" w:ascii="宋体" w:hAnsi="宋体" w:eastAsia="宋体" w:cs="宋体"/>
          <w:color w:val="auto"/>
          <w:szCs w:val="22"/>
        </w:rPr>
        <w:t>月</w:t>
      </w:r>
      <w:r>
        <w:rPr>
          <w:rFonts w:hint="eastAsia" w:ascii="宋体" w:hAnsi="宋体" w:cs="宋体"/>
          <w:color w:val="auto"/>
          <w:szCs w:val="22"/>
          <w:u w:val="single"/>
          <w:lang w:val="en-US" w:eastAsia="zh-CN"/>
        </w:rPr>
        <w:t>10</w:t>
      </w:r>
      <w:r>
        <w:rPr>
          <w:rFonts w:hint="eastAsia" w:ascii="宋体" w:hAnsi="宋体" w:eastAsia="宋体" w:cs="宋体"/>
          <w:color w:val="auto"/>
          <w:szCs w:val="22"/>
        </w:rPr>
        <w:t>日起至</w:t>
      </w:r>
      <w:r>
        <w:rPr>
          <w:rFonts w:hint="eastAsia" w:ascii="宋体" w:hAnsi="宋体" w:eastAsia="宋体" w:cs="宋体"/>
          <w:color w:val="auto"/>
          <w:szCs w:val="22"/>
          <w:u w:val="single"/>
        </w:rPr>
        <w:t>202</w:t>
      </w:r>
      <w:r>
        <w:rPr>
          <w:rFonts w:hint="eastAsia" w:ascii="宋体" w:hAnsi="宋体" w:eastAsia="宋体" w:cs="宋体"/>
          <w:color w:val="auto"/>
          <w:szCs w:val="22"/>
          <w:u w:val="single"/>
          <w:lang w:val="en-US" w:eastAsia="zh-CN"/>
        </w:rPr>
        <w:t>6</w:t>
      </w:r>
      <w:r>
        <w:rPr>
          <w:rFonts w:hint="eastAsia" w:ascii="宋体" w:hAnsi="宋体" w:eastAsia="宋体" w:cs="宋体"/>
          <w:color w:val="auto"/>
          <w:szCs w:val="22"/>
        </w:rPr>
        <w:t>年</w:t>
      </w:r>
      <w:r>
        <w:rPr>
          <w:rFonts w:hint="eastAsia" w:ascii="宋体" w:hAnsi="宋体" w:eastAsia="宋体" w:cs="宋体"/>
          <w:color w:val="auto"/>
          <w:szCs w:val="22"/>
          <w:u w:val="single"/>
          <w:lang w:val="en-US" w:eastAsia="zh-CN"/>
        </w:rPr>
        <w:t>07</w:t>
      </w:r>
      <w:r>
        <w:rPr>
          <w:rFonts w:hint="eastAsia" w:ascii="宋体" w:hAnsi="宋体" w:eastAsia="宋体" w:cs="宋体"/>
          <w:color w:val="auto"/>
          <w:szCs w:val="22"/>
        </w:rPr>
        <w:t>月</w:t>
      </w:r>
      <w:r>
        <w:rPr>
          <w:rFonts w:hint="eastAsia" w:ascii="宋体" w:hAnsi="宋体" w:cs="宋体"/>
          <w:color w:val="auto"/>
          <w:szCs w:val="22"/>
          <w:u w:val="single"/>
          <w:lang w:val="en-US" w:eastAsia="zh-CN"/>
        </w:rPr>
        <w:t>17</w:t>
      </w:r>
      <w:r>
        <w:rPr>
          <w:rFonts w:hint="eastAsia" w:ascii="宋体" w:hAnsi="宋体" w:eastAsia="宋体" w:cs="宋体"/>
          <w:color w:val="auto"/>
          <w:szCs w:val="22"/>
        </w:rPr>
        <w:t>日止，每天上午9:00至12:00，下午14:00至17:00(北京时间)，双休日及节假日除外。</w:t>
      </w:r>
    </w:p>
    <w:p w14:paraId="1ABD804C">
      <w:pPr>
        <w:snapToGrid w:val="0"/>
        <w:spacing w:line="360" w:lineRule="auto"/>
        <w:ind w:firstLine="420"/>
        <w:rPr>
          <w:rFonts w:hint="eastAsia" w:ascii="宋体" w:hAnsi="宋体" w:eastAsia="宋体" w:cs="宋体"/>
          <w:color w:val="auto"/>
          <w:szCs w:val="22"/>
        </w:rPr>
      </w:pPr>
      <w:r>
        <w:rPr>
          <w:rFonts w:hint="eastAsia" w:ascii="宋体" w:hAnsi="宋体" w:eastAsia="宋体" w:cs="宋体"/>
          <w:color w:val="auto"/>
          <w:szCs w:val="22"/>
        </w:rPr>
        <w:t>获取磋商文件的地点：</w:t>
      </w:r>
      <w:r>
        <w:rPr>
          <w:rFonts w:hint="eastAsia" w:ascii="宋体" w:hAnsi="宋体" w:eastAsia="宋体" w:cs="宋体"/>
          <w:color w:val="auto"/>
          <w:szCs w:val="22"/>
          <w:u w:val="single"/>
        </w:rPr>
        <w:t>湖南省招标有限责任公司（长沙市雨花区湘府东路二段199号招标大厦</w:t>
      </w:r>
      <w:r>
        <w:rPr>
          <w:rFonts w:hint="eastAsia" w:ascii="宋体" w:hAnsi="宋体" w:eastAsia="宋体" w:cs="宋体"/>
          <w:color w:val="auto"/>
          <w:szCs w:val="22"/>
          <w:u w:val="single"/>
          <w:lang w:val="en-US" w:eastAsia="zh-CN"/>
        </w:rPr>
        <w:t>1406</w:t>
      </w:r>
      <w:r>
        <w:rPr>
          <w:rFonts w:hint="eastAsia" w:ascii="宋体" w:hAnsi="宋体" w:eastAsia="宋体" w:cs="宋体"/>
          <w:color w:val="auto"/>
          <w:szCs w:val="22"/>
          <w:u w:val="single"/>
        </w:rPr>
        <w:t>室）</w:t>
      </w:r>
      <w:r>
        <w:rPr>
          <w:rFonts w:hint="eastAsia" w:ascii="宋体" w:hAnsi="宋体" w:eastAsia="宋体" w:cs="宋体"/>
          <w:color w:val="auto"/>
          <w:szCs w:val="22"/>
        </w:rPr>
        <w:t>。</w:t>
      </w:r>
    </w:p>
    <w:p w14:paraId="228D8BDE">
      <w:pPr>
        <w:snapToGrid w:val="0"/>
        <w:spacing w:line="360" w:lineRule="auto"/>
        <w:ind w:firstLine="420"/>
        <w:rPr>
          <w:rFonts w:hint="eastAsia" w:ascii="宋体" w:hAnsi="宋体" w:eastAsia="宋体" w:cs="宋体"/>
          <w:color w:val="auto"/>
          <w:szCs w:val="22"/>
        </w:rPr>
      </w:pPr>
      <w:r>
        <w:rPr>
          <w:rFonts w:hint="eastAsia" w:ascii="宋体" w:hAnsi="宋体" w:eastAsia="宋体" w:cs="宋体"/>
          <w:color w:val="auto"/>
          <w:szCs w:val="22"/>
        </w:rPr>
        <w:t>磋商文件售价：</w:t>
      </w:r>
      <w:r>
        <w:rPr>
          <w:rFonts w:hint="eastAsia" w:ascii="宋体" w:hAnsi="宋体" w:eastAsia="宋体" w:cs="宋体"/>
          <w:color w:val="auto"/>
          <w:szCs w:val="22"/>
          <w:u w:val="single"/>
        </w:rPr>
        <w:t>0</w:t>
      </w:r>
      <w:r>
        <w:rPr>
          <w:rFonts w:hint="eastAsia" w:ascii="宋体" w:hAnsi="宋体" w:eastAsia="宋体" w:cs="宋体"/>
          <w:color w:val="auto"/>
          <w:szCs w:val="22"/>
        </w:rPr>
        <w:t>元/份，获取磋商文件的材料要求：法定代表人身份证明（委托代理人购买磋商文件：授权委托书附法定代表人身份证明及授权委托人身份证明复印件)、本人身份证原件。</w:t>
      </w:r>
    </w:p>
    <w:p w14:paraId="4FC7D4D5">
      <w:pPr>
        <w:snapToGrid w:val="0"/>
        <w:spacing w:line="360" w:lineRule="auto"/>
        <w:ind w:firstLine="420"/>
        <w:rPr>
          <w:rFonts w:hint="eastAsia" w:ascii="宋体" w:hAnsi="宋体" w:eastAsia="宋体" w:cs="宋体"/>
          <w:color w:val="auto"/>
          <w:szCs w:val="22"/>
        </w:rPr>
      </w:pPr>
      <w:r>
        <w:rPr>
          <w:rFonts w:hint="eastAsia" w:ascii="宋体" w:hAnsi="宋体" w:eastAsia="宋体" w:cs="宋体"/>
          <w:color w:val="auto"/>
          <w:szCs w:val="22"/>
        </w:rPr>
        <w:t>获取磋商文件的方式：指定地点购买。</w:t>
      </w:r>
    </w:p>
    <w:p w14:paraId="195C3EF8">
      <w:pPr>
        <w:adjustRightInd w:val="0"/>
        <w:snapToGrid w:val="0"/>
        <w:spacing w:line="360" w:lineRule="auto"/>
        <w:ind w:firstLine="422" w:firstLineChars="200"/>
        <w:outlineLvl w:val="0"/>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六</w:t>
      </w:r>
      <w:r>
        <w:rPr>
          <w:rFonts w:hint="eastAsia" w:ascii="宋体" w:hAnsi="宋体" w:eastAsia="宋体" w:cs="宋体"/>
          <w:b/>
          <w:color w:val="auto"/>
          <w:szCs w:val="21"/>
          <w:highlight w:val="none"/>
        </w:rPr>
        <w:t>、响应文件提交的截止时间、开启时间及地点</w:t>
      </w:r>
      <w:bookmarkEnd w:id="16"/>
    </w:p>
    <w:p w14:paraId="1FAF75FF">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首次响应文件的提交截止时间：</w:t>
      </w:r>
      <w:r>
        <w:rPr>
          <w:rFonts w:hint="eastAsia" w:ascii="宋体" w:hAnsi="宋体" w:eastAsia="宋体" w:cs="宋体"/>
          <w:color w:val="auto"/>
          <w:szCs w:val="22"/>
          <w:highlight w:val="none"/>
          <w:u w:val="single"/>
        </w:rPr>
        <w:t>202</w:t>
      </w:r>
      <w:r>
        <w:rPr>
          <w:rFonts w:hint="eastAsia" w:ascii="宋体" w:hAnsi="宋体" w:eastAsia="宋体" w:cs="宋体"/>
          <w:color w:val="auto"/>
          <w:szCs w:val="22"/>
          <w:highlight w:val="none"/>
          <w:u w:val="single"/>
          <w:lang w:val="en-US" w:eastAsia="zh-CN"/>
        </w:rPr>
        <w:t>6</w:t>
      </w:r>
      <w:r>
        <w:rPr>
          <w:rFonts w:hint="eastAsia" w:ascii="宋体" w:hAnsi="宋体" w:eastAsia="宋体" w:cs="宋体"/>
          <w:color w:val="auto"/>
          <w:szCs w:val="22"/>
          <w:highlight w:val="none"/>
        </w:rPr>
        <w:t>年</w:t>
      </w:r>
      <w:r>
        <w:rPr>
          <w:rFonts w:hint="eastAsia" w:ascii="宋体" w:hAnsi="宋体" w:eastAsia="宋体" w:cs="宋体"/>
          <w:color w:val="auto"/>
          <w:szCs w:val="22"/>
          <w:highlight w:val="none"/>
          <w:u w:val="single"/>
          <w:lang w:val="en-US" w:eastAsia="zh-CN"/>
        </w:rPr>
        <w:t>07</w:t>
      </w:r>
      <w:r>
        <w:rPr>
          <w:rFonts w:hint="eastAsia" w:ascii="宋体" w:hAnsi="宋体" w:eastAsia="宋体" w:cs="宋体"/>
          <w:color w:val="auto"/>
          <w:szCs w:val="22"/>
          <w:highlight w:val="none"/>
        </w:rPr>
        <w:t>月</w:t>
      </w:r>
      <w:r>
        <w:rPr>
          <w:rFonts w:hint="eastAsia" w:ascii="宋体" w:hAnsi="宋体" w:cs="宋体"/>
          <w:color w:val="auto"/>
          <w:szCs w:val="22"/>
          <w:highlight w:val="none"/>
          <w:u w:val="single"/>
          <w:lang w:val="en-US" w:eastAsia="zh-CN"/>
        </w:rPr>
        <w:t>24</w:t>
      </w:r>
      <w:r>
        <w:rPr>
          <w:rFonts w:hint="eastAsia" w:ascii="宋体" w:hAnsi="宋体" w:eastAsia="宋体" w:cs="宋体"/>
          <w:color w:val="auto"/>
          <w:szCs w:val="22"/>
          <w:highlight w:val="none"/>
        </w:rPr>
        <w:t>日</w:t>
      </w:r>
      <w:r>
        <w:rPr>
          <w:rFonts w:hint="eastAsia" w:ascii="宋体" w:hAnsi="宋体" w:eastAsia="宋体" w:cs="宋体"/>
          <w:color w:val="auto"/>
          <w:szCs w:val="22"/>
          <w:highlight w:val="none"/>
          <w:u w:val="single"/>
          <w:lang w:val="en-US" w:eastAsia="zh-CN"/>
        </w:rPr>
        <w:t>09</w:t>
      </w:r>
      <w:r>
        <w:rPr>
          <w:rFonts w:hint="eastAsia" w:ascii="宋体" w:hAnsi="宋体" w:eastAsia="宋体" w:cs="宋体"/>
          <w:color w:val="auto"/>
          <w:szCs w:val="22"/>
          <w:highlight w:val="none"/>
        </w:rPr>
        <w:t>时</w:t>
      </w:r>
      <w:r>
        <w:rPr>
          <w:rFonts w:hint="eastAsia" w:ascii="宋体" w:hAnsi="宋体" w:eastAsia="宋体" w:cs="宋体"/>
          <w:color w:val="auto"/>
          <w:szCs w:val="22"/>
          <w:highlight w:val="none"/>
          <w:u w:val="single"/>
          <w:lang w:val="en-US" w:eastAsia="zh-CN"/>
        </w:rPr>
        <w:t>30</w:t>
      </w:r>
      <w:r>
        <w:rPr>
          <w:rFonts w:hint="eastAsia" w:ascii="宋体" w:hAnsi="宋体" w:eastAsia="宋体" w:cs="宋体"/>
          <w:color w:val="auto"/>
          <w:szCs w:val="22"/>
          <w:highlight w:val="none"/>
        </w:rPr>
        <w:t>分（北京时间）</w:t>
      </w:r>
    </w:p>
    <w:p w14:paraId="104486D4">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首次响应文件的开启时间：</w:t>
      </w:r>
      <w:r>
        <w:rPr>
          <w:rFonts w:hint="eastAsia" w:ascii="宋体" w:hAnsi="宋体" w:eastAsia="宋体" w:cs="宋体"/>
          <w:color w:val="auto"/>
          <w:szCs w:val="22"/>
          <w:highlight w:val="none"/>
          <w:u w:val="single"/>
        </w:rPr>
        <w:t>202</w:t>
      </w:r>
      <w:r>
        <w:rPr>
          <w:rFonts w:hint="eastAsia" w:ascii="宋体" w:hAnsi="宋体" w:eastAsia="宋体" w:cs="宋体"/>
          <w:color w:val="auto"/>
          <w:szCs w:val="22"/>
          <w:highlight w:val="none"/>
          <w:u w:val="single"/>
          <w:lang w:val="en-US" w:eastAsia="zh-CN"/>
        </w:rPr>
        <w:t>6</w:t>
      </w:r>
      <w:r>
        <w:rPr>
          <w:rFonts w:hint="eastAsia" w:ascii="宋体" w:hAnsi="宋体" w:eastAsia="宋体" w:cs="宋体"/>
          <w:color w:val="auto"/>
          <w:szCs w:val="22"/>
          <w:highlight w:val="none"/>
        </w:rPr>
        <w:t>年</w:t>
      </w:r>
      <w:r>
        <w:rPr>
          <w:rFonts w:hint="eastAsia" w:ascii="宋体" w:hAnsi="宋体" w:eastAsia="宋体" w:cs="宋体"/>
          <w:color w:val="auto"/>
          <w:szCs w:val="22"/>
          <w:highlight w:val="none"/>
          <w:u w:val="single"/>
          <w:lang w:val="en-US" w:eastAsia="zh-CN"/>
        </w:rPr>
        <w:t>07</w:t>
      </w:r>
      <w:r>
        <w:rPr>
          <w:rFonts w:hint="eastAsia" w:ascii="宋体" w:hAnsi="宋体" w:eastAsia="宋体" w:cs="宋体"/>
          <w:color w:val="auto"/>
          <w:szCs w:val="22"/>
          <w:highlight w:val="none"/>
        </w:rPr>
        <w:t>月</w:t>
      </w:r>
      <w:r>
        <w:rPr>
          <w:rFonts w:hint="eastAsia" w:ascii="宋体" w:hAnsi="宋体" w:cs="宋体"/>
          <w:color w:val="auto"/>
          <w:szCs w:val="22"/>
          <w:highlight w:val="none"/>
          <w:u w:val="single"/>
          <w:lang w:val="en-US" w:eastAsia="zh-CN"/>
        </w:rPr>
        <w:t>24</w:t>
      </w:r>
      <w:r>
        <w:rPr>
          <w:rFonts w:hint="eastAsia" w:ascii="宋体" w:hAnsi="宋体" w:eastAsia="宋体" w:cs="宋体"/>
          <w:color w:val="auto"/>
          <w:szCs w:val="22"/>
          <w:highlight w:val="none"/>
        </w:rPr>
        <w:t>日</w:t>
      </w:r>
      <w:r>
        <w:rPr>
          <w:rFonts w:hint="eastAsia" w:ascii="宋体" w:hAnsi="宋体" w:eastAsia="宋体" w:cs="宋体"/>
          <w:color w:val="auto"/>
          <w:szCs w:val="22"/>
          <w:highlight w:val="none"/>
          <w:u w:val="single"/>
          <w:lang w:val="en-US" w:eastAsia="zh-CN"/>
        </w:rPr>
        <w:t>09</w:t>
      </w:r>
      <w:r>
        <w:rPr>
          <w:rFonts w:hint="eastAsia" w:ascii="宋体" w:hAnsi="宋体" w:eastAsia="宋体" w:cs="宋体"/>
          <w:color w:val="auto"/>
          <w:szCs w:val="22"/>
          <w:highlight w:val="none"/>
        </w:rPr>
        <w:t>时</w:t>
      </w:r>
      <w:r>
        <w:rPr>
          <w:rFonts w:hint="eastAsia" w:ascii="宋体" w:hAnsi="宋体" w:eastAsia="宋体" w:cs="宋体"/>
          <w:color w:val="auto"/>
          <w:szCs w:val="22"/>
          <w:highlight w:val="none"/>
          <w:u w:val="single"/>
          <w:lang w:val="en-US" w:eastAsia="zh-CN"/>
        </w:rPr>
        <w:t>30</w:t>
      </w:r>
      <w:r>
        <w:rPr>
          <w:rFonts w:hint="eastAsia" w:ascii="宋体" w:hAnsi="宋体" w:eastAsia="宋体" w:cs="宋体"/>
          <w:color w:val="auto"/>
          <w:szCs w:val="22"/>
          <w:highlight w:val="none"/>
        </w:rPr>
        <w:t>分（北京时间）</w:t>
      </w:r>
    </w:p>
    <w:p w14:paraId="59191F8D">
      <w:pPr>
        <w:snapToGrid w:val="0"/>
        <w:spacing w:line="360" w:lineRule="auto"/>
        <w:ind w:firstLine="420"/>
        <w:rPr>
          <w:rFonts w:hint="eastAsia" w:ascii="宋体" w:hAnsi="宋体" w:eastAsia="宋体" w:cs="宋体"/>
          <w:color w:val="auto"/>
          <w:szCs w:val="22"/>
          <w:highlight w:val="none"/>
        </w:rPr>
      </w:pPr>
      <w:r>
        <w:rPr>
          <w:rFonts w:hint="eastAsia" w:ascii="宋体" w:hAnsi="宋体" w:eastAsia="宋体" w:cs="宋体"/>
          <w:color w:val="auto"/>
          <w:szCs w:val="22"/>
          <w:highlight w:val="none"/>
        </w:rPr>
        <w:t>首次响应文件的开启地点：</w:t>
      </w:r>
      <w:r>
        <w:rPr>
          <w:rFonts w:hint="eastAsia" w:ascii="宋体" w:hAnsi="宋体" w:eastAsia="宋体" w:cs="宋体"/>
          <w:color w:val="auto"/>
          <w:highlight w:val="none"/>
          <w:u w:val="single"/>
        </w:rPr>
        <w:t>湖南省招标有限责任公司（长沙市雨花区湘府东路二段199号招标大厦十二楼开标</w:t>
      </w:r>
      <w:r>
        <w:rPr>
          <w:rFonts w:hint="eastAsia" w:ascii="宋体" w:hAnsi="宋体" w:cs="宋体"/>
          <w:color w:val="auto"/>
          <w:highlight w:val="none"/>
          <w:u w:val="single"/>
          <w:lang w:val="en-US" w:eastAsia="zh-CN"/>
        </w:rPr>
        <w:t>二</w:t>
      </w:r>
      <w:r>
        <w:rPr>
          <w:rFonts w:hint="eastAsia" w:ascii="宋体" w:hAnsi="宋体" w:eastAsia="宋体" w:cs="宋体"/>
          <w:color w:val="auto"/>
          <w:highlight w:val="none"/>
          <w:u w:val="single"/>
          <w:lang w:val="en-US" w:eastAsia="zh-CN"/>
        </w:rPr>
        <w:t>厅</w:t>
      </w:r>
      <w:r>
        <w:rPr>
          <w:rFonts w:hint="eastAsia" w:ascii="宋体" w:hAnsi="宋体" w:eastAsia="宋体" w:cs="宋体"/>
          <w:color w:val="auto"/>
          <w:highlight w:val="none"/>
          <w:u w:val="single"/>
        </w:rPr>
        <w:t>）。</w:t>
      </w:r>
    </w:p>
    <w:p w14:paraId="0BBD8EE0">
      <w:pPr>
        <w:adjustRightInd w:val="0"/>
        <w:snapToGrid w:val="0"/>
        <w:spacing w:line="360" w:lineRule="auto"/>
        <w:ind w:firstLine="422" w:firstLineChars="200"/>
        <w:outlineLvl w:val="0"/>
        <w:rPr>
          <w:rFonts w:hint="eastAsia" w:ascii="宋体" w:hAnsi="宋体" w:eastAsia="宋体" w:cs="宋体"/>
          <w:b/>
          <w:color w:val="auto"/>
          <w:szCs w:val="21"/>
          <w:highlight w:val="none"/>
        </w:rPr>
      </w:pPr>
      <w:bookmarkStart w:id="17" w:name="_Toc164"/>
      <w:r>
        <w:rPr>
          <w:rFonts w:hint="eastAsia" w:ascii="宋体" w:hAnsi="宋体" w:eastAsia="宋体" w:cs="宋体"/>
          <w:b/>
          <w:color w:val="auto"/>
          <w:szCs w:val="21"/>
          <w:highlight w:val="none"/>
          <w:lang w:val="en-US" w:eastAsia="zh-CN"/>
        </w:rPr>
        <w:t>七</w:t>
      </w:r>
      <w:r>
        <w:rPr>
          <w:rFonts w:hint="eastAsia" w:ascii="宋体" w:hAnsi="宋体" w:eastAsia="宋体" w:cs="宋体"/>
          <w:b/>
          <w:color w:val="auto"/>
          <w:szCs w:val="21"/>
          <w:highlight w:val="none"/>
        </w:rPr>
        <w:t>、公告期限</w:t>
      </w:r>
      <w:bookmarkEnd w:id="17"/>
    </w:p>
    <w:p w14:paraId="2DAA04BD">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18" w:name="_Toc10267"/>
      <w:r>
        <w:rPr>
          <w:rFonts w:hint="eastAsia" w:ascii="宋体" w:hAnsi="宋体" w:eastAsia="宋体" w:cs="宋体"/>
          <w:color w:val="auto"/>
          <w:szCs w:val="21"/>
          <w:highlight w:val="none"/>
        </w:rPr>
        <w:t>1、本招标公告在中国湖南政府采购网（http://www.ccgp-hunan.gov.cn/）发布。公告期限从本招标公告发布之日起5个工作日。</w:t>
      </w:r>
      <w:bookmarkEnd w:id="18"/>
    </w:p>
    <w:p w14:paraId="21982B2D">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19" w:name="_Toc18507"/>
      <w:r>
        <w:rPr>
          <w:rFonts w:hint="eastAsia" w:ascii="宋体" w:hAnsi="宋体" w:eastAsia="宋体" w:cs="宋体"/>
          <w:color w:val="auto"/>
          <w:szCs w:val="21"/>
          <w:highlight w:val="none"/>
        </w:rPr>
        <w:t>2、在其他媒体发布的招标公告，公告内容以本招标公告指定媒体发布的公告为准；公告期限自本招标公告指定媒体最先发布公告之日起算。</w:t>
      </w:r>
      <w:bookmarkEnd w:id="19"/>
    </w:p>
    <w:p w14:paraId="286A025E">
      <w:pPr>
        <w:adjustRightInd w:val="0"/>
        <w:snapToGrid w:val="0"/>
        <w:spacing w:line="360" w:lineRule="auto"/>
        <w:ind w:firstLine="422" w:firstLineChars="200"/>
        <w:outlineLvl w:val="0"/>
        <w:rPr>
          <w:rFonts w:hint="eastAsia" w:ascii="宋体" w:hAnsi="宋体" w:eastAsia="宋体" w:cs="宋体"/>
          <w:b/>
          <w:color w:val="auto"/>
          <w:szCs w:val="21"/>
          <w:highlight w:val="none"/>
        </w:rPr>
      </w:pPr>
      <w:bookmarkStart w:id="20" w:name="_Toc20337"/>
      <w:r>
        <w:rPr>
          <w:rFonts w:hint="eastAsia" w:ascii="宋体" w:hAnsi="宋体" w:eastAsia="宋体" w:cs="宋体"/>
          <w:b/>
          <w:color w:val="auto"/>
          <w:szCs w:val="21"/>
          <w:highlight w:val="none"/>
          <w:lang w:val="en-US" w:eastAsia="zh-CN"/>
        </w:rPr>
        <w:t>八</w:t>
      </w:r>
      <w:r>
        <w:rPr>
          <w:rFonts w:hint="eastAsia" w:ascii="宋体" w:hAnsi="宋体" w:eastAsia="宋体" w:cs="宋体"/>
          <w:b/>
          <w:color w:val="auto"/>
          <w:szCs w:val="21"/>
          <w:highlight w:val="none"/>
        </w:rPr>
        <w:t>、疑问及质疑</w:t>
      </w:r>
      <w:bookmarkEnd w:id="20"/>
    </w:p>
    <w:p w14:paraId="42B0C201">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21" w:name="_Toc16531"/>
      <w:r>
        <w:rPr>
          <w:rFonts w:hint="eastAsia" w:ascii="宋体" w:hAnsi="宋体" w:eastAsia="宋体" w:cs="宋体"/>
          <w:color w:val="auto"/>
          <w:szCs w:val="21"/>
          <w:highlight w:val="none"/>
        </w:rPr>
        <w:t>1、潜在供应商对政府采购活动事项如有疑问的，可以向采购人或采购代理机构提出询问，采购人或采购代理机构将在3个工作日内作出答复。</w:t>
      </w:r>
      <w:bookmarkEnd w:id="21"/>
    </w:p>
    <w:p w14:paraId="0928DA24">
      <w:pPr>
        <w:adjustRightInd w:val="0"/>
        <w:snapToGrid w:val="0"/>
        <w:spacing w:line="360" w:lineRule="auto"/>
        <w:ind w:firstLine="420" w:firstLineChars="200"/>
        <w:outlineLvl w:val="0"/>
        <w:rPr>
          <w:rFonts w:hint="eastAsia" w:ascii="宋体" w:hAnsi="宋体" w:eastAsia="宋体" w:cs="宋体"/>
          <w:b/>
          <w:bCs/>
          <w:color w:val="auto"/>
          <w:szCs w:val="21"/>
          <w:highlight w:val="none"/>
        </w:rPr>
      </w:pPr>
      <w:bookmarkStart w:id="22" w:name="_Toc24670"/>
      <w:r>
        <w:rPr>
          <w:rFonts w:hint="eastAsia" w:ascii="宋体" w:hAnsi="宋体" w:eastAsia="宋体" w:cs="宋体"/>
          <w:color w:val="auto"/>
          <w:szCs w:val="21"/>
          <w:highlight w:val="none"/>
        </w:rPr>
        <w:t>2、潜在供应商认为竞争性磋商文件或招标公告使自己的合法权益受到损害的，可以在收到竞争性磋商文件之日或招标公告期限届满之日起7个工作日内，以书面形式向采购人、采购代理机构提出质疑。</w:t>
      </w:r>
      <w:bookmarkEnd w:id="22"/>
    </w:p>
    <w:p w14:paraId="220AB82E">
      <w:pPr>
        <w:adjustRightInd w:val="0"/>
        <w:snapToGrid w:val="0"/>
        <w:spacing w:line="360" w:lineRule="auto"/>
        <w:ind w:firstLine="422" w:firstLineChars="200"/>
        <w:rPr>
          <w:rFonts w:hint="eastAsia" w:ascii="宋体" w:hAnsi="宋体" w:eastAsia="宋体" w:cs="宋体"/>
          <w:b/>
          <w:bCs/>
          <w:color w:val="auto"/>
          <w:sz w:val="21"/>
          <w:szCs w:val="21"/>
          <w:highlight w:val="none"/>
          <w:lang w:eastAsia="zh-CN"/>
        </w:rPr>
      </w:pPr>
      <w:bookmarkStart w:id="23" w:name="_Toc13958"/>
      <w:r>
        <w:rPr>
          <w:rFonts w:hint="eastAsia" w:ascii="宋体" w:hAnsi="宋体" w:eastAsia="宋体" w:cs="宋体"/>
          <w:b/>
          <w:bCs/>
          <w:color w:val="auto"/>
          <w:sz w:val="21"/>
          <w:szCs w:val="21"/>
          <w:highlight w:val="none"/>
          <w:lang w:eastAsia="zh-CN"/>
        </w:rPr>
        <w:t>九、谈判</w:t>
      </w:r>
      <w:r>
        <w:rPr>
          <w:rFonts w:hint="eastAsia" w:ascii="宋体" w:hAnsi="宋体" w:eastAsia="宋体" w:cs="宋体"/>
          <w:b/>
          <w:bCs/>
          <w:color w:val="auto"/>
          <w:sz w:val="21"/>
          <w:szCs w:val="21"/>
          <w:highlight w:val="none"/>
          <w:lang w:val="en-US" w:eastAsia="zh-CN"/>
        </w:rPr>
        <w:t>说明</w:t>
      </w:r>
      <w:bookmarkEnd w:id="23"/>
    </w:p>
    <w:p w14:paraId="68C9913B">
      <w:pPr>
        <w:adjustRightInd w:val="0"/>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1、磋商邀请选项：</w:t>
      </w:r>
      <w:r>
        <w:rPr>
          <w:rFonts w:hint="eastAsia" w:ascii="宋体" w:hAnsi="宋体" w:eastAsia="宋体" w:cs="宋体"/>
          <w:color w:val="auto"/>
          <w:szCs w:val="21"/>
          <w:highlight w:val="none"/>
          <w:lang w:val="en-US" w:eastAsia="zh-CN"/>
        </w:rPr>
        <w:sym w:font="Wingdings" w:char="00FE"/>
      </w:r>
      <w:r>
        <w:rPr>
          <w:rFonts w:hint="eastAsia" w:ascii="宋体" w:hAnsi="宋体" w:eastAsia="宋体" w:cs="宋体"/>
          <w:color w:val="auto"/>
          <w:szCs w:val="21"/>
          <w:highlight w:val="none"/>
          <w:lang w:val="en-US" w:eastAsia="zh-CN"/>
        </w:rPr>
        <w:t>表示选择，</w:t>
      </w:r>
      <w:r>
        <w:rPr>
          <w:rFonts w:hint="eastAsia" w:ascii="宋体" w:hAnsi="宋体" w:eastAsia="宋体" w:cs="宋体"/>
          <w:color w:val="auto"/>
          <w:szCs w:val="21"/>
          <w:highlight w:val="none"/>
          <w:lang w:val="en-US" w:eastAsia="zh-CN"/>
        </w:rPr>
        <w:sym w:font="Wingdings" w:char="00A8"/>
      </w:r>
      <w:r>
        <w:rPr>
          <w:rFonts w:hint="eastAsia" w:ascii="宋体" w:hAnsi="宋体" w:eastAsia="宋体" w:cs="宋体"/>
          <w:color w:val="auto"/>
          <w:szCs w:val="21"/>
          <w:highlight w:val="none"/>
          <w:lang w:val="en-US" w:eastAsia="zh-CN"/>
        </w:rPr>
        <w:t>表示未选择。</w:t>
      </w:r>
    </w:p>
    <w:p w14:paraId="0F223EF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2、供应商</w:t>
      </w:r>
      <w:r>
        <w:rPr>
          <w:rFonts w:hint="eastAsia" w:ascii="宋体" w:hAnsi="宋体" w:eastAsia="宋体" w:cs="宋体"/>
          <w:color w:val="auto"/>
          <w:szCs w:val="21"/>
          <w:highlight w:val="none"/>
        </w:rPr>
        <w:t>参与政府采购活动，无需向采购人、代理机构、交易平台缴纳任何费用。</w:t>
      </w:r>
    </w:p>
    <w:p w14:paraId="31E2E664">
      <w:pPr>
        <w:adjustRightInd w:val="0"/>
        <w:snapToGrid w:val="0"/>
        <w:spacing w:line="360" w:lineRule="auto"/>
        <w:ind w:firstLine="422" w:firstLineChars="200"/>
        <w:rPr>
          <w:rFonts w:hint="eastAsia" w:ascii="宋体" w:hAnsi="宋体" w:eastAsia="宋体" w:cs="宋体"/>
          <w:b/>
          <w:bCs/>
          <w:color w:val="auto"/>
          <w:sz w:val="21"/>
          <w:szCs w:val="21"/>
          <w:highlight w:val="none"/>
          <w:lang w:eastAsia="zh-CN"/>
        </w:rPr>
      </w:pPr>
      <w:bookmarkStart w:id="24" w:name="_Toc25650"/>
      <w:r>
        <w:rPr>
          <w:rFonts w:hint="eastAsia" w:ascii="宋体" w:hAnsi="宋体" w:eastAsia="宋体" w:cs="宋体"/>
          <w:b/>
          <w:bCs/>
          <w:color w:val="auto"/>
          <w:sz w:val="21"/>
          <w:szCs w:val="21"/>
          <w:highlight w:val="none"/>
          <w:lang w:eastAsia="zh-CN"/>
        </w:rPr>
        <w:t>十、采购项目联系人姓名和电话</w:t>
      </w:r>
      <w:bookmarkEnd w:id="24"/>
    </w:p>
    <w:p w14:paraId="58A1A4D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1、联系人姓名：</w:t>
      </w:r>
      <w:r>
        <w:rPr>
          <w:rFonts w:hint="eastAsia" w:ascii="宋体" w:hAnsi="宋体" w:eastAsia="宋体" w:cs="宋体"/>
          <w:bCs/>
          <w:color w:val="auto"/>
          <w:szCs w:val="21"/>
          <w:highlight w:val="none"/>
          <w:lang w:val="en-US" w:eastAsia="zh-CN"/>
        </w:rPr>
        <w:t>龙老师</w:t>
      </w:r>
      <w:r>
        <w:rPr>
          <w:rFonts w:hint="eastAsia" w:ascii="宋体" w:hAnsi="宋体" w:eastAsia="宋体" w:cs="宋体"/>
          <w:color w:val="auto"/>
          <w:szCs w:val="21"/>
          <w:highlight w:val="none"/>
        </w:rPr>
        <w:t xml:space="preserve">      </w:t>
      </w:r>
    </w:p>
    <w:p w14:paraId="029C33D4">
      <w:pPr>
        <w:tabs>
          <w:tab w:val="left" w:pos="360"/>
        </w:tabs>
        <w:adjustRightInd w:val="0"/>
        <w:snapToGrid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2、电话：</w:t>
      </w:r>
      <w:r>
        <w:rPr>
          <w:rFonts w:hint="eastAsia" w:ascii="宋体" w:hAnsi="宋体" w:eastAsia="宋体" w:cs="宋体"/>
          <w:bCs/>
          <w:color w:val="auto"/>
          <w:szCs w:val="21"/>
          <w:highlight w:val="none"/>
          <w:lang w:eastAsia="zh-CN"/>
        </w:rPr>
        <w:t>13667428337</w:t>
      </w:r>
    </w:p>
    <w:p w14:paraId="463489C1">
      <w:pPr>
        <w:adjustRightInd w:val="0"/>
        <w:snapToGrid w:val="0"/>
        <w:spacing w:line="360" w:lineRule="auto"/>
        <w:ind w:firstLine="422" w:firstLineChars="200"/>
        <w:outlineLvl w:val="0"/>
        <w:rPr>
          <w:rFonts w:hint="eastAsia" w:ascii="宋体" w:hAnsi="宋体" w:eastAsia="宋体" w:cs="宋体"/>
          <w:b/>
          <w:color w:val="auto"/>
          <w:szCs w:val="21"/>
          <w:highlight w:val="none"/>
        </w:rPr>
      </w:pPr>
      <w:bookmarkStart w:id="25" w:name="_Toc21147"/>
      <w:r>
        <w:rPr>
          <w:rFonts w:hint="eastAsia" w:ascii="宋体" w:hAnsi="宋体" w:eastAsia="宋体" w:cs="宋体"/>
          <w:b/>
          <w:color w:val="auto"/>
          <w:szCs w:val="21"/>
          <w:highlight w:val="none"/>
          <w:lang w:val="en-US" w:eastAsia="zh-CN"/>
        </w:rPr>
        <w:t>十一</w:t>
      </w:r>
      <w:r>
        <w:rPr>
          <w:rFonts w:hint="eastAsia" w:ascii="宋体" w:hAnsi="宋体" w:eastAsia="宋体" w:cs="宋体"/>
          <w:b/>
          <w:color w:val="auto"/>
          <w:szCs w:val="21"/>
          <w:highlight w:val="none"/>
        </w:rPr>
        <w:t>、采购项目联系人姓名和电话</w:t>
      </w:r>
      <w:bookmarkEnd w:id="25"/>
    </w:p>
    <w:p w14:paraId="0CA378F2">
      <w:pPr>
        <w:adjustRightInd w:val="0"/>
        <w:snapToGrid w:val="0"/>
        <w:spacing w:line="360" w:lineRule="auto"/>
        <w:ind w:firstLine="413" w:firstLineChars="196"/>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rPr>
        <w:t>采购人：</w:t>
      </w:r>
      <w:r>
        <w:rPr>
          <w:rFonts w:hint="eastAsia" w:ascii="宋体" w:hAnsi="宋体" w:eastAsia="宋体" w:cs="宋体"/>
          <w:b/>
          <w:bCs/>
          <w:color w:val="auto"/>
          <w:szCs w:val="21"/>
          <w:highlight w:val="none"/>
          <w:lang w:eastAsia="zh-CN"/>
        </w:rPr>
        <w:t>湖南国防工业职业技术学院</w:t>
      </w:r>
    </w:p>
    <w:p w14:paraId="4C680DCD">
      <w:pPr>
        <w:adjustRightInd w:val="0"/>
        <w:snapToGrid w:val="0"/>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 xml:space="preserve">联系人： </w:t>
      </w:r>
      <w:r>
        <w:rPr>
          <w:rFonts w:hint="eastAsia" w:ascii="宋体" w:hAnsi="宋体" w:eastAsia="宋体" w:cs="宋体"/>
          <w:bCs/>
          <w:color w:val="auto"/>
          <w:szCs w:val="21"/>
          <w:highlight w:val="none"/>
          <w:lang w:val="en-US" w:eastAsia="zh-CN"/>
        </w:rPr>
        <w:t>龙老师</w:t>
      </w:r>
    </w:p>
    <w:p w14:paraId="77182485">
      <w:pPr>
        <w:adjustRightInd w:val="0"/>
        <w:snapToGrid w:val="0"/>
        <w:spacing w:line="360" w:lineRule="auto"/>
        <w:ind w:firstLine="420" w:firstLineChars="20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电  话：</w:t>
      </w:r>
      <w:r>
        <w:rPr>
          <w:rFonts w:hint="eastAsia" w:ascii="宋体" w:hAnsi="宋体" w:eastAsia="宋体" w:cs="宋体"/>
          <w:bCs/>
          <w:color w:val="auto"/>
          <w:szCs w:val="21"/>
          <w:highlight w:val="none"/>
          <w:lang w:eastAsia="zh-CN"/>
        </w:rPr>
        <w:t>13667428337</w:t>
      </w:r>
    </w:p>
    <w:p w14:paraId="486868A6">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  址：湖南省湘潭市雨湖区楠竹山镇学院路1号</w:t>
      </w:r>
    </w:p>
    <w:p w14:paraId="55376E76">
      <w:pPr>
        <w:adjustRightInd w:val="0"/>
        <w:snapToGrid w:val="0"/>
        <w:spacing w:line="360" w:lineRule="auto"/>
        <w:ind w:firstLine="413" w:firstLineChars="196"/>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采购代理机构：湖南省招标有限责任公司</w:t>
      </w:r>
    </w:p>
    <w:p w14:paraId="33AA0355">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lang w:eastAsia="zh-CN"/>
        </w:rPr>
        <w:t>长沙市雨花区湘府东路二段199号招标大厦</w:t>
      </w:r>
    </w:p>
    <w:p w14:paraId="45A1AA61">
      <w:pPr>
        <w:adjustRightInd w:val="0"/>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 xml:space="preserve">联系人：谢丹、聂莎、王思   </w:t>
      </w:r>
    </w:p>
    <w:p w14:paraId="0E1A4433">
      <w:pPr>
        <w:tabs>
          <w:tab w:val="left" w:pos="36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话：0731-84511088</w:t>
      </w:r>
    </w:p>
    <w:p w14:paraId="493A12B3">
      <w:pPr>
        <w:tabs>
          <w:tab w:val="left" w:pos="360"/>
        </w:tabs>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邮  箱：2740146831@qq.com</w:t>
      </w:r>
    </w:p>
    <w:p w14:paraId="47F57FDB">
      <w:pPr>
        <w:pStyle w:val="12"/>
        <w:adjustRightInd w:val="0"/>
        <w:snapToGrid w:val="0"/>
        <w:spacing w:line="360" w:lineRule="auto"/>
        <w:jc w:val="center"/>
        <w:rPr>
          <w:rFonts w:hint="eastAsia" w:ascii="宋体" w:hAnsi="宋体" w:eastAsia="宋体" w:cs="宋体"/>
          <w:b/>
          <w:color w:val="auto"/>
          <w:sz w:val="32"/>
          <w:highlight w:val="none"/>
        </w:rPr>
      </w:pPr>
    </w:p>
    <w:p w14:paraId="5EEF1B4A">
      <w:pPr>
        <w:spacing w:line="360" w:lineRule="auto"/>
        <w:rPr>
          <w:rFonts w:hint="eastAsia" w:ascii="宋体" w:hAnsi="宋体" w:eastAsia="宋体" w:cs="宋体"/>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BAFBBAA">
      <w:pPr>
        <w:pStyle w:val="2"/>
        <w:bidi w:val="0"/>
        <w:jc w:val="center"/>
        <w:rPr>
          <w:rFonts w:hint="eastAsia" w:ascii="宋体" w:hAnsi="宋体" w:eastAsia="宋体" w:cs="宋体"/>
          <w:color w:val="auto"/>
          <w:highlight w:val="none"/>
        </w:rPr>
      </w:pPr>
      <w:bookmarkStart w:id="26" w:name="_Toc17789"/>
      <w:r>
        <w:rPr>
          <w:rFonts w:hint="eastAsia" w:ascii="宋体" w:hAnsi="宋体" w:eastAsia="宋体" w:cs="宋体"/>
          <w:color w:val="auto"/>
          <w:highlight w:val="none"/>
        </w:rPr>
        <w:t>第二章 磋商须知</w:t>
      </w:r>
      <w:bookmarkEnd w:id="26"/>
    </w:p>
    <w:p w14:paraId="6E1B8CC8">
      <w:pPr>
        <w:pStyle w:val="3"/>
        <w:bidi w:val="0"/>
        <w:rPr>
          <w:rFonts w:hint="eastAsia" w:ascii="宋体" w:hAnsi="宋体" w:eastAsia="宋体" w:cs="宋体"/>
          <w:color w:val="auto"/>
          <w:highlight w:val="none"/>
        </w:rPr>
      </w:pPr>
      <w:bookmarkStart w:id="27" w:name="_Toc5305"/>
      <w:r>
        <w:rPr>
          <w:rFonts w:hint="eastAsia" w:ascii="宋体" w:hAnsi="宋体" w:eastAsia="宋体" w:cs="宋体"/>
          <w:color w:val="auto"/>
          <w:highlight w:val="none"/>
        </w:rPr>
        <w:t>磋商须知前附表</w:t>
      </w:r>
      <w:bookmarkEnd w:id="27"/>
    </w:p>
    <w:p w14:paraId="52B9CD73">
      <w:pPr>
        <w:spacing w:line="360" w:lineRule="auto"/>
        <w:jc w:val="left"/>
        <w:rPr>
          <w:rFonts w:hint="eastAsia" w:ascii="宋体" w:hAnsi="宋体" w:eastAsia="宋体" w:cs="宋体"/>
          <w:b/>
          <w:color w:val="auto"/>
          <w:sz w:val="24"/>
          <w:highlight w:val="none"/>
        </w:rPr>
      </w:pPr>
      <w:r>
        <w:rPr>
          <w:rFonts w:hint="eastAsia" w:ascii="宋体" w:hAnsi="宋体" w:eastAsia="宋体" w:cs="宋体"/>
          <w:color w:val="auto"/>
          <w:szCs w:val="21"/>
          <w:highlight w:val="none"/>
        </w:rPr>
        <w:t>注： 请在方框□内划√选择，在“条款号”内限选一项。（本项目采用的条款用“■”标示）</w:t>
      </w:r>
    </w:p>
    <w:tbl>
      <w:tblPr>
        <w:tblStyle w:val="24"/>
        <w:tblW w:w="1001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854"/>
        <w:gridCol w:w="6315"/>
      </w:tblGrid>
      <w:tr w14:paraId="289CF2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blHeader/>
          <w:jc w:val="center"/>
        </w:trPr>
        <w:tc>
          <w:tcPr>
            <w:tcW w:w="1844" w:type="dxa"/>
            <w:vAlign w:val="center"/>
          </w:tcPr>
          <w:p w14:paraId="59EB363B">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854" w:type="dxa"/>
            <w:vAlign w:val="center"/>
          </w:tcPr>
          <w:p w14:paraId="11BB4E55">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6315" w:type="dxa"/>
            <w:vAlign w:val="center"/>
          </w:tcPr>
          <w:p w14:paraId="05711C1A">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编列内容规定</w:t>
            </w:r>
          </w:p>
        </w:tc>
      </w:tr>
      <w:tr w14:paraId="738D0D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10013" w:type="dxa"/>
            <w:gridSpan w:val="3"/>
            <w:vAlign w:val="center"/>
          </w:tcPr>
          <w:p w14:paraId="13A63D3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一、说明</w:t>
            </w:r>
          </w:p>
        </w:tc>
      </w:tr>
      <w:tr w14:paraId="45FC93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jc w:val="center"/>
        </w:trPr>
        <w:tc>
          <w:tcPr>
            <w:tcW w:w="1844" w:type="dxa"/>
            <w:vAlign w:val="center"/>
          </w:tcPr>
          <w:p w14:paraId="7AC1ABE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第二章第1.1款</w:t>
            </w:r>
          </w:p>
        </w:tc>
        <w:tc>
          <w:tcPr>
            <w:tcW w:w="1854" w:type="dxa"/>
            <w:vAlign w:val="center"/>
          </w:tcPr>
          <w:p w14:paraId="73FA42A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w:t>
            </w:r>
          </w:p>
        </w:tc>
        <w:tc>
          <w:tcPr>
            <w:tcW w:w="6315" w:type="dxa"/>
            <w:vAlign w:val="center"/>
          </w:tcPr>
          <w:p w14:paraId="77203FA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湖南国防工业职业技术学院实训工房改造建设项目</w:t>
            </w:r>
          </w:p>
        </w:tc>
      </w:tr>
      <w:tr w14:paraId="152AA5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326CFCD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第二章第2.1款</w:t>
            </w:r>
          </w:p>
        </w:tc>
        <w:tc>
          <w:tcPr>
            <w:tcW w:w="1854" w:type="dxa"/>
            <w:vAlign w:val="center"/>
          </w:tcPr>
          <w:p w14:paraId="532D9A0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p>
        </w:tc>
        <w:tc>
          <w:tcPr>
            <w:tcW w:w="6315" w:type="dxa"/>
            <w:vAlign w:val="center"/>
          </w:tcPr>
          <w:p w14:paraId="477A32C3">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采购人：</w:t>
            </w:r>
            <w:r>
              <w:rPr>
                <w:rFonts w:hint="eastAsia" w:ascii="宋体" w:hAnsi="宋体" w:eastAsia="宋体" w:cs="宋体"/>
                <w:color w:val="auto"/>
                <w:szCs w:val="21"/>
                <w:highlight w:val="none"/>
                <w:lang w:eastAsia="zh-CN"/>
              </w:rPr>
              <w:t>湖南国防工业职业技术学院</w:t>
            </w:r>
          </w:p>
          <w:p w14:paraId="4310B40B">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地址：湖南省湘潭市雨湖区楠竹山镇学院路1号</w:t>
            </w:r>
          </w:p>
          <w:p w14:paraId="74BC3CC1">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lang w:val="en-US" w:eastAsia="zh-CN"/>
              </w:rPr>
              <w:t>龙</w:t>
            </w:r>
            <w:r>
              <w:rPr>
                <w:rFonts w:hint="eastAsia" w:ascii="宋体" w:hAnsi="宋体" w:eastAsia="宋体" w:cs="宋体"/>
                <w:color w:val="auto"/>
                <w:szCs w:val="21"/>
                <w:highlight w:val="none"/>
                <w:lang w:eastAsia="zh-CN"/>
              </w:rPr>
              <w:t>老师</w:t>
            </w:r>
          </w:p>
          <w:p w14:paraId="0847B1FB">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eastAsia="zh-CN"/>
              </w:rPr>
              <w:t>13667428337</w:t>
            </w:r>
            <w:r>
              <w:rPr>
                <w:rFonts w:hint="eastAsia" w:ascii="宋体" w:hAnsi="宋体" w:eastAsia="宋体" w:cs="宋体"/>
                <w:bCs/>
                <w:color w:val="auto"/>
                <w:szCs w:val="21"/>
                <w:highlight w:val="none"/>
                <w:lang w:eastAsia="zh-CN"/>
              </w:rPr>
              <w:t xml:space="preserve"> </w:t>
            </w:r>
          </w:p>
        </w:tc>
      </w:tr>
      <w:tr w14:paraId="3E6437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1844" w:type="dxa"/>
            <w:vAlign w:val="center"/>
          </w:tcPr>
          <w:p w14:paraId="05C5A4B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第二章第2.2款</w:t>
            </w:r>
          </w:p>
        </w:tc>
        <w:tc>
          <w:tcPr>
            <w:tcW w:w="1854" w:type="dxa"/>
            <w:vAlign w:val="center"/>
          </w:tcPr>
          <w:p w14:paraId="69A6018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w:t>
            </w:r>
          </w:p>
        </w:tc>
        <w:tc>
          <w:tcPr>
            <w:tcW w:w="6315" w:type="dxa"/>
            <w:vAlign w:val="center"/>
          </w:tcPr>
          <w:p w14:paraId="05E2FA9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名称：湖南省招标有限责任公司</w:t>
            </w:r>
          </w:p>
          <w:p w14:paraId="6EF10E8B">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长沙市雨花区湘府东路二段199号招标大厦</w:t>
            </w:r>
          </w:p>
          <w:p w14:paraId="12889FFA">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电话：</w:t>
            </w:r>
            <w:r>
              <w:rPr>
                <w:rFonts w:hint="eastAsia" w:ascii="宋体" w:hAnsi="宋体" w:eastAsia="宋体" w:cs="宋体"/>
                <w:color w:val="auto"/>
                <w:szCs w:val="21"/>
              </w:rPr>
              <w:t>0731-84511088</w:t>
            </w:r>
          </w:p>
          <w:p w14:paraId="1C45679D">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联系人：谢丹、聂莎、王思</w:t>
            </w:r>
          </w:p>
        </w:tc>
      </w:tr>
      <w:tr w14:paraId="764A21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75B76F4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第二章第2.3款</w:t>
            </w:r>
          </w:p>
        </w:tc>
        <w:tc>
          <w:tcPr>
            <w:tcW w:w="1854" w:type="dxa"/>
            <w:vAlign w:val="center"/>
          </w:tcPr>
          <w:p w14:paraId="174B18D9">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供应商的邀请方式</w:t>
            </w:r>
          </w:p>
        </w:tc>
        <w:tc>
          <w:tcPr>
            <w:tcW w:w="6315" w:type="dxa"/>
            <w:vAlign w:val="center"/>
          </w:tcPr>
          <w:p w14:paraId="4D9A2221">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eastAsia="宋体" w:cs="宋体"/>
                <w:color w:val="auto"/>
                <w:szCs w:val="21"/>
                <w:highlight w:val="none"/>
              </w:rPr>
              <w:t xml:space="preserve"> 发布公告</w:t>
            </w:r>
          </w:p>
          <w:p w14:paraId="7BA06189">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从省级以上财政部门建立的供应商库中随机抽取</w:t>
            </w:r>
          </w:p>
          <w:p w14:paraId="71A0758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采购人和评审专家分别书面推荐的方式</w:t>
            </w:r>
          </w:p>
        </w:tc>
      </w:tr>
      <w:tr w14:paraId="27A4CC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1844" w:type="dxa"/>
            <w:vAlign w:val="center"/>
          </w:tcPr>
          <w:p w14:paraId="6292837B">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第二章第3.1款</w:t>
            </w:r>
          </w:p>
        </w:tc>
        <w:tc>
          <w:tcPr>
            <w:tcW w:w="1854" w:type="dxa"/>
            <w:vAlign w:val="center"/>
          </w:tcPr>
          <w:p w14:paraId="74D38EE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供应商</w:t>
            </w:r>
            <w:r>
              <w:rPr>
                <w:rFonts w:hint="eastAsia" w:ascii="宋体" w:hAnsi="宋体" w:eastAsia="宋体" w:cs="宋体"/>
                <w:color w:val="auto"/>
                <w:szCs w:val="21"/>
                <w:highlight w:val="none"/>
              </w:rPr>
              <w:t>资格条件</w:t>
            </w:r>
          </w:p>
        </w:tc>
        <w:tc>
          <w:tcPr>
            <w:tcW w:w="6315" w:type="dxa"/>
            <w:vAlign w:val="center"/>
          </w:tcPr>
          <w:p w14:paraId="4BBEF870">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rPr>
              <w:t>供应商基本资格条件：应当符合《政府采购法》第二十二条第一款的规定，即：</w:t>
            </w:r>
          </w:p>
          <w:p w14:paraId="44110526">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（1）具有独立承担民事责任的能力；</w:t>
            </w:r>
          </w:p>
          <w:p w14:paraId="61B023FA">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（2）具有良好的商业信誉和健全的财务会计制度；</w:t>
            </w:r>
          </w:p>
          <w:p w14:paraId="50BC3F6B">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（3）具有履行合同所必需的设备和专业技术能力；</w:t>
            </w:r>
          </w:p>
          <w:p w14:paraId="3A58967B">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（4）有依法缴纳税收和社会保障资金的良好记录；</w:t>
            </w:r>
          </w:p>
          <w:p w14:paraId="52BD9F36">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（5）参加政府采购活动前三年内，在经营活动中没有重大违法记录；</w:t>
            </w:r>
          </w:p>
          <w:p w14:paraId="374C1F02">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（6）法律、行政法规规定的其他条件。</w:t>
            </w:r>
          </w:p>
          <w:p w14:paraId="7503A06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落实政府采购政策需满足的资格要求：</w:t>
            </w:r>
          </w:p>
          <w:p w14:paraId="6D35AB7B">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专门面向</w:t>
            </w:r>
            <w:r>
              <w:rPr>
                <w:rFonts w:hint="eastAsia" w:ascii="宋体" w:hAnsi="宋体" w:eastAsia="宋体" w:cs="宋体"/>
                <w:bCs/>
                <w:color w:val="auto"/>
                <w:szCs w:val="21"/>
                <w:highlight w:val="none"/>
              </w:rPr>
              <w:t>：</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中小企业  </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小微企业 </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监狱企业 </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福利性单位。</w:t>
            </w:r>
          </w:p>
          <w:p w14:paraId="6BEDE0B8">
            <w:pPr>
              <w:adjustRightInd w:val="0"/>
              <w:snapToGrid w:val="0"/>
              <w:spacing w:line="360" w:lineRule="auto"/>
              <w:rPr>
                <w:rFonts w:hint="eastAsia" w:ascii="宋体" w:hAnsi="宋体" w:eastAsia="宋体" w:cs="宋体"/>
                <w:color w:val="auto"/>
                <w:highlight w:val="none"/>
                <w:lang w:eastAsia="zh-CN"/>
              </w:rPr>
            </w:pP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强制</w:t>
            </w:r>
            <w:r>
              <w:rPr>
                <w:rFonts w:hint="eastAsia" w:ascii="宋体" w:hAnsi="宋体" w:eastAsia="宋体" w:cs="宋体"/>
                <w:bCs/>
                <w:color w:val="auto"/>
                <w:szCs w:val="21"/>
                <w:highlight w:val="none"/>
              </w:rPr>
              <w:t>分包：大型企业应将采购份额的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%分包给中小企业</w:t>
            </w:r>
            <w:r>
              <w:rPr>
                <w:rFonts w:hint="eastAsia" w:ascii="宋体" w:hAnsi="宋体" w:eastAsia="宋体" w:cs="宋体"/>
                <w:bCs/>
                <w:color w:val="auto"/>
                <w:szCs w:val="21"/>
                <w:highlight w:val="none"/>
                <w:lang w:eastAsia="zh-CN"/>
              </w:rPr>
              <w:t>。</w:t>
            </w:r>
          </w:p>
          <w:p w14:paraId="6421A3C5">
            <w:pPr>
              <w:pStyle w:val="31"/>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供应商特定资格条件：</w:t>
            </w:r>
          </w:p>
          <w:p w14:paraId="5F46B7AF">
            <w:pPr>
              <w:pStyle w:val="31"/>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3.1应具有建设行政主管部门颁发的建筑工程施工总承包叁级及以上等级资质，且安全生产许可证处于有效期。</w:t>
            </w:r>
          </w:p>
          <w:p w14:paraId="5F09B91F">
            <w:pPr>
              <w:pStyle w:val="31"/>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3.2应按照国家和湖南省有关法律法规、规范标准和湘建建〔2020〕208号文规定配备施工项目部关键岗位人员。其中施工项目部关键岗位人员数量不得低于湘建建〔2020〕208号文规定的最低配备标准，即：项目负责人1人、施工员1人、安全员1人，其它岗位职责可兼任。</w:t>
            </w:r>
          </w:p>
          <w:p w14:paraId="29C4A207">
            <w:pPr>
              <w:pStyle w:val="31"/>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要求：</w:t>
            </w:r>
          </w:p>
          <w:p w14:paraId="60650079">
            <w:pPr>
              <w:pStyle w:val="31"/>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1）施工项目部关键岗位人员不得同时在其他建设工程中任职。</w:t>
            </w:r>
          </w:p>
          <w:p w14:paraId="12DE6289">
            <w:pPr>
              <w:pStyle w:val="31"/>
              <w:spacing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2）施工项目部关键岗位人员必须是本企业在职人员。（提供由劳动保障部门出具的投标截止时间前近三个月的养老保险证明）。</w:t>
            </w:r>
          </w:p>
          <w:p w14:paraId="182C3A43">
            <w:pPr>
              <w:pStyle w:val="31"/>
              <w:spacing w:line="360" w:lineRule="auto"/>
              <w:ind w:left="0" w:leftChars="0"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3）关键岗位人员应持有相应的岗位资格证书，岗位资格证书注明了单位名称的，应与投标单位一致。项目负责人为建筑工程专业贰级及以上注册建造师执业资格，具备有效的项目负责人安全生产考核合格证书；施工员具有施工岗位资格证书</w:t>
            </w:r>
            <w:r>
              <w:rPr>
                <w:rFonts w:hint="eastAsia" w:ascii="宋体" w:hAnsi="宋体" w:eastAsia="宋体" w:cs="宋体"/>
                <w:color w:val="auto"/>
                <w:highlight w:val="none"/>
                <w:lang w:eastAsia="zh-CN"/>
              </w:rPr>
              <w:t>。</w:t>
            </w:r>
          </w:p>
          <w:p w14:paraId="63BF185E">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4、</w:t>
            </w:r>
            <w:r>
              <w:rPr>
                <w:rFonts w:hint="eastAsia" w:ascii="宋体" w:hAnsi="宋体" w:eastAsia="宋体" w:cs="宋体"/>
                <w:color w:val="auto"/>
                <w:szCs w:val="22"/>
                <w:highlight w:val="none"/>
              </w:rPr>
              <w:t>单位负责人为同一人或者存在直接控股、管理关系的不同供应商，不得参加同一合同项下的政府采购活动。</w:t>
            </w:r>
          </w:p>
          <w:p w14:paraId="3C0DDEC4">
            <w:pPr>
              <w:snapToGrid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5</w:t>
            </w:r>
            <w:r>
              <w:rPr>
                <w:rFonts w:hint="eastAsia" w:ascii="宋体" w:hAnsi="宋体" w:eastAsia="宋体" w:cs="宋体"/>
                <w:color w:val="auto"/>
                <w:szCs w:val="22"/>
                <w:highlight w:val="none"/>
              </w:rPr>
              <w:t>、为本采购项目提供整体设计、规范编制或者项目管理、监理、检测等服务的，不得再参加此项目的其他招标采购活动。</w:t>
            </w:r>
          </w:p>
          <w:p w14:paraId="4C4D4DCF">
            <w:pPr>
              <w:adjustRightInd w:val="0"/>
              <w:snapToGrid w:val="0"/>
              <w:spacing w:line="360" w:lineRule="auto"/>
              <w:outlineLvl w:val="0"/>
              <w:rPr>
                <w:rFonts w:hint="eastAsia" w:ascii="宋体" w:hAnsi="宋体" w:eastAsia="宋体" w:cs="宋体"/>
                <w:color w:val="auto"/>
                <w:szCs w:val="21"/>
                <w:highlight w:val="none"/>
              </w:rPr>
            </w:pPr>
            <w:bookmarkStart w:id="28" w:name="_Toc24907"/>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、列入失信被执行人、重大税收违法案件当事人名单，列入政府采购严重违法失信行为记录名单的，拒绝其参与政府采购活动。</w:t>
            </w:r>
            <w:bookmarkEnd w:id="28"/>
          </w:p>
          <w:p w14:paraId="419F1AEC">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2"/>
                <w:highlight w:val="none"/>
              </w:rPr>
              <w:t>注：</w:t>
            </w:r>
            <w:r>
              <w:rPr>
                <w:rFonts w:hint="eastAsia" w:ascii="宋体" w:hAnsi="宋体" w:eastAsia="宋体" w:cs="宋体"/>
                <w:color w:val="auto"/>
                <w:szCs w:val="21"/>
                <w:highlight w:val="none"/>
              </w:rPr>
              <w:t>符合法定条件的供应商凭《湖南省政府采购供应商资格承诺函》参与政府采购活动，无需提供财务状况、缴纳税收和社会保障资金等资格证明材料。</w:t>
            </w:r>
          </w:p>
        </w:tc>
      </w:tr>
      <w:tr w14:paraId="5A985F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4CAA53C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第二章第6.1款</w:t>
            </w:r>
          </w:p>
        </w:tc>
        <w:tc>
          <w:tcPr>
            <w:tcW w:w="1854" w:type="dxa"/>
            <w:vAlign w:val="center"/>
          </w:tcPr>
          <w:p w14:paraId="3199E88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联合体形式</w:t>
            </w:r>
          </w:p>
        </w:tc>
        <w:tc>
          <w:tcPr>
            <w:tcW w:w="6315" w:type="dxa"/>
            <w:vAlign w:val="center"/>
          </w:tcPr>
          <w:p w14:paraId="2EC3EF9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eastAsia="宋体" w:cs="宋体"/>
                <w:color w:val="auto"/>
                <w:szCs w:val="21"/>
                <w:highlight w:val="none"/>
              </w:rPr>
              <w:t xml:space="preserve"> 不接受</w:t>
            </w:r>
          </w:p>
          <w:p w14:paraId="4F397B8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接受</w:t>
            </w:r>
          </w:p>
        </w:tc>
      </w:tr>
      <w:tr w14:paraId="6E2420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6E8E001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第二章第6.2款</w:t>
            </w:r>
          </w:p>
        </w:tc>
        <w:tc>
          <w:tcPr>
            <w:tcW w:w="1854" w:type="dxa"/>
            <w:vAlign w:val="center"/>
          </w:tcPr>
          <w:p w14:paraId="4A695209">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对联合体各方的要求</w:t>
            </w:r>
          </w:p>
        </w:tc>
        <w:tc>
          <w:tcPr>
            <w:tcW w:w="6315" w:type="dxa"/>
            <w:vAlign w:val="center"/>
          </w:tcPr>
          <w:p w14:paraId="53BFDBF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r>
      <w:tr w14:paraId="735A59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5" w:hRule="atLeast"/>
          <w:jc w:val="center"/>
        </w:trPr>
        <w:tc>
          <w:tcPr>
            <w:tcW w:w="1844" w:type="dxa"/>
            <w:vAlign w:val="center"/>
          </w:tcPr>
          <w:p w14:paraId="3F08EC8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第二章第7.1款</w:t>
            </w:r>
          </w:p>
        </w:tc>
        <w:tc>
          <w:tcPr>
            <w:tcW w:w="1854" w:type="dxa"/>
            <w:vAlign w:val="center"/>
          </w:tcPr>
          <w:p w14:paraId="6C895A2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现场考察</w:t>
            </w:r>
          </w:p>
        </w:tc>
        <w:tc>
          <w:tcPr>
            <w:tcW w:w="6315" w:type="dxa"/>
            <w:vAlign w:val="center"/>
          </w:tcPr>
          <w:p w14:paraId="73534F7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供应商自行现场考察，有关费用自理，考察踏勘期间发生的意外自负。</w:t>
            </w:r>
          </w:p>
        </w:tc>
      </w:tr>
      <w:tr w14:paraId="61DA1A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4" w:type="dxa"/>
            <w:vAlign w:val="center"/>
          </w:tcPr>
          <w:p w14:paraId="412E9EF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第二章第8.1款</w:t>
            </w:r>
          </w:p>
        </w:tc>
        <w:tc>
          <w:tcPr>
            <w:tcW w:w="1854" w:type="dxa"/>
            <w:vAlign w:val="center"/>
          </w:tcPr>
          <w:p w14:paraId="5F43C3D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采购进口产品</w:t>
            </w:r>
          </w:p>
        </w:tc>
        <w:tc>
          <w:tcPr>
            <w:tcW w:w="6315" w:type="dxa"/>
            <w:vAlign w:val="center"/>
          </w:tcPr>
          <w:p w14:paraId="2F19EFA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本项目拒绝采购进口产品</w:t>
            </w:r>
          </w:p>
          <w:p w14:paraId="1C522F20">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本项目已经财政部门审核同意购买进口产品</w:t>
            </w:r>
          </w:p>
        </w:tc>
      </w:tr>
      <w:tr w14:paraId="2D537C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1844" w:type="dxa"/>
            <w:vAlign w:val="center"/>
          </w:tcPr>
          <w:p w14:paraId="5450ED2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第二章第9.1款</w:t>
            </w:r>
          </w:p>
        </w:tc>
        <w:tc>
          <w:tcPr>
            <w:tcW w:w="1854" w:type="dxa"/>
            <w:vAlign w:val="center"/>
          </w:tcPr>
          <w:p w14:paraId="3AE19829">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政府采购强制采购：</w:t>
            </w:r>
          </w:p>
          <w:p w14:paraId="468D8FFD">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1、强制采购的节能产品；</w:t>
            </w:r>
          </w:p>
          <w:p w14:paraId="716A738C">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2、其他。</w:t>
            </w:r>
          </w:p>
        </w:tc>
        <w:tc>
          <w:tcPr>
            <w:tcW w:w="6315" w:type="dxa"/>
            <w:vAlign w:val="center"/>
          </w:tcPr>
          <w:p w14:paraId="6292C558">
            <w:pPr>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否</w:t>
            </w:r>
          </w:p>
          <w:p w14:paraId="23A3C9F1">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 是，采购《节能产品政府采购清单》（第</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期）内标记★符号的节能产品。</w:t>
            </w:r>
          </w:p>
        </w:tc>
      </w:tr>
      <w:tr w14:paraId="6F35AC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844" w:type="dxa"/>
            <w:vAlign w:val="center"/>
          </w:tcPr>
          <w:p w14:paraId="26468805">
            <w:pPr>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第二章第9.2款</w:t>
            </w:r>
          </w:p>
        </w:tc>
        <w:tc>
          <w:tcPr>
            <w:tcW w:w="1854" w:type="dxa"/>
            <w:vAlign w:val="center"/>
          </w:tcPr>
          <w:p w14:paraId="60D60C10">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政府采购优先采购：</w:t>
            </w:r>
          </w:p>
          <w:p w14:paraId="3B0640B9">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1、非强制采购的节能产品；</w:t>
            </w:r>
          </w:p>
          <w:p w14:paraId="5F2794F5">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2、环境标志产品；</w:t>
            </w:r>
          </w:p>
          <w:p w14:paraId="4ABD5EDF">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、支持小微企业发展；</w:t>
            </w:r>
          </w:p>
          <w:p w14:paraId="12A62F71">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、其他。</w:t>
            </w:r>
          </w:p>
        </w:tc>
        <w:tc>
          <w:tcPr>
            <w:tcW w:w="6315" w:type="dxa"/>
            <w:vAlign w:val="center"/>
          </w:tcPr>
          <w:p w14:paraId="7CF1B3CC">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1、采购产品为</w:t>
            </w:r>
            <w:r>
              <w:rPr>
                <w:rFonts w:hint="eastAsia" w:ascii="宋体" w:hAnsi="宋体" w:eastAsia="宋体" w:cs="宋体"/>
                <w:b/>
                <w:color w:val="auto"/>
                <w:szCs w:val="21"/>
                <w:highlight w:val="none"/>
              </w:rPr>
              <w:t>《节能产品政府采购品目清单》</w:t>
            </w:r>
            <w:r>
              <w:rPr>
                <w:rFonts w:hint="eastAsia" w:ascii="宋体" w:hAnsi="宋体" w:eastAsia="宋体" w:cs="宋体"/>
                <w:color w:val="auto"/>
                <w:szCs w:val="21"/>
                <w:highlight w:val="none"/>
              </w:rPr>
              <w:t>(财库〔2019〕19号)内非标记★符号的： (1)采用综合评分法时，对于技术和价格分，应分别给予总分值4%-8%的加分。本项目具体加分比例分别为：技术</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%、价格</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A31A4C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2、采购产品为</w:t>
            </w:r>
            <w:r>
              <w:rPr>
                <w:rFonts w:hint="eastAsia" w:ascii="宋体" w:hAnsi="宋体" w:eastAsia="宋体" w:cs="宋体"/>
                <w:b/>
                <w:color w:val="auto"/>
                <w:szCs w:val="21"/>
                <w:highlight w:val="none"/>
              </w:rPr>
              <w:t>《环境标志产品政府采购品目清单》</w:t>
            </w:r>
            <w:r>
              <w:rPr>
                <w:rFonts w:hint="eastAsia" w:ascii="宋体" w:hAnsi="宋体" w:eastAsia="宋体" w:cs="宋体"/>
                <w:color w:val="auto"/>
                <w:szCs w:val="21"/>
                <w:highlight w:val="none"/>
              </w:rPr>
              <w:t>(财库〔2019〕18号)内的：(1)采用综合评分法时，对于技术和价格分，应分别给予总分值4%-8%的加分。本项目具体加分比例分别为 ：技术</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%、价格</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9FB82E4">
            <w:pPr>
              <w:pStyle w:val="8"/>
              <w:spacing w:after="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、同时为节能、环境标志的，由供应商选择其一享受评审优惠。</w:t>
            </w:r>
          </w:p>
          <w:p w14:paraId="714F5E9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、非专门面向中小企业采购，且符合政府采购促进中小企业发展相关规定的：</w:t>
            </w:r>
          </w:p>
          <w:p w14:paraId="5313D2A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（1）给予小型和微型企业工程项目</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%的扣除，用扣除后的价格参与评审，本项目具体扣除比例为</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rPr>
              <w:t>％。</w:t>
            </w:r>
          </w:p>
          <w:p w14:paraId="6C0E576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（2）给予联合体2%-3%的价格扣除，用扣除后的价格参与评审，本项目具体扣除比例为</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w:t>
            </w:r>
          </w:p>
          <w:p w14:paraId="6071DC0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6"/>
                <w:kern w:val="0"/>
                <w:highlight w:val="none"/>
              </w:rPr>
              <w:t>（3）监狱企业、残疾人福利性单位视同小型、微型企业。</w:t>
            </w:r>
          </w:p>
        </w:tc>
      </w:tr>
      <w:tr w14:paraId="5EF360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Merge w:val="restart"/>
            <w:vAlign w:val="center"/>
          </w:tcPr>
          <w:p w14:paraId="18FEB818">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第二章第9.6款</w:t>
            </w:r>
          </w:p>
        </w:tc>
        <w:tc>
          <w:tcPr>
            <w:tcW w:w="1854" w:type="dxa"/>
            <w:vAlign w:val="center"/>
          </w:tcPr>
          <w:p w14:paraId="17CC3BD1">
            <w:pPr>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政府采购支持小微企业融资</w:t>
            </w:r>
          </w:p>
        </w:tc>
        <w:tc>
          <w:tcPr>
            <w:tcW w:w="6315" w:type="dxa"/>
            <w:vAlign w:val="center"/>
          </w:tcPr>
          <w:p w14:paraId="3E61965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有融资需求的，可向本附表附页1所列银行咨询或登陆中国湖南政府采购网查询。</w:t>
            </w:r>
          </w:p>
        </w:tc>
      </w:tr>
      <w:tr w14:paraId="1BED7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Merge w:val="continue"/>
            <w:vAlign w:val="center"/>
          </w:tcPr>
          <w:p w14:paraId="7ACA8A4F">
            <w:pPr>
              <w:spacing w:line="360" w:lineRule="auto"/>
              <w:rPr>
                <w:rFonts w:hint="eastAsia" w:ascii="宋体" w:hAnsi="宋体" w:eastAsia="宋体" w:cs="宋体"/>
                <w:color w:val="auto"/>
                <w:highlight w:val="none"/>
              </w:rPr>
            </w:pPr>
          </w:p>
        </w:tc>
        <w:tc>
          <w:tcPr>
            <w:tcW w:w="1854" w:type="dxa"/>
            <w:vAlign w:val="center"/>
          </w:tcPr>
          <w:p w14:paraId="61A6EAA6">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政府采购信用担保</w:t>
            </w:r>
          </w:p>
        </w:tc>
        <w:tc>
          <w:tcPr>
            <w:tcW w:w="6315" w:type="dxa"/>
            <w:vAlign w:val="center"/>
          </w:tcPr>
          <w:p w14:paraId="2A8491D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有履约担保或融资担保需求的，可向本附表附页2所列担保机构咨询或登陆中国湖南政府采购网查询，格式见附页3。</w:t>
            </w:r>
          </w:p>
        </w:tc>
      </w:tr>
      <w:tr w14:paraId="698C46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13" w:type="dxa"/>
            <w:gridSpan w:val="3"/>
            <w:vAlign w:val="center"/>
          </w:tcPr>
          <w:p w14:paraId="0C6B5A7F">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二、磋商文件</w:t>
            </w:r>
          </w:p>
        </w:tc>
      </w:tr>
      <w:tr w14:paraId="234D67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0317788B">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第二章第10.2款</w:t>
            </w:r>
          </w:p>
        </w:tc>
        <w:tc>
          <w:tcPr>
            <w:tcW w:w="1854" w:type="dxa"/>
            <w:vAlign w:val="center"/>
          </w:tcPr>
          <w:p w14:paraId="43A7B89A">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磋商文件的可能实质性变动内容</w:t>
            </w:r>
          </w:p>
        </w:tc>
        <w:tc>
          <w:tcPr>
            <w:tcW w:w="6315" w:type="dxa"/>
            <w:vAlign w:val="center"/>
          </w:tcPr>
          <w:p w14:paraId="04D029DD">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技术、服务要求以及合同草案</w:t>
            </w:r>
          </w:p>
        </w:tc>
      </w:tr>
      <w:tr w14:paraId="11A344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5DCFB20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第二章第11.2款</w:t>
            </w:r>
          </w:p>
        </w:tc>
        <w:tc>
          <w:tcPr>
            <w:tcW w:w="1854" w:type="dxa"/>
            <w:vAlign w:val="center"/>
          </w:tcPr>
          <w:p w14:paraId="0B699A64">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领取或购买磋商文件时应提供的资料</w:t>
            </w:r>
          </w:p>
        </w:tc>
        <w:tc>
          <w:tcPr>
            <w:tcW w:w="6315" w:type="dxa"/>
            <w:vAlign w:val="center"/>
          </w:tcPr>
          <w:p w14:paraId="576DD4AC">
            <w:pPr>
              <w:snapToGrid w:val="0"/>
              <w:spacing w:line="360" w:lineRule="auto"/>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rPr>
              <w:t>供应商营业执照副本复印件、法定代表人身份证明（委托代理人购买磋商文件：授权委托书附法定代表人身份证明及授权委托人身份证明复印件)、本人身份证原件及邀请公告供应商的资格要求中的相关资料复印件加盖单位公章。</w:t>
            </w:r>
          </w:p>
        </w:tc>
      </w:tr>
      <w:tr w14:paraId="29140F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55A2496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第二章第12.1款</w:t>
            </w:r>
          </w:p>
        </w:tc>
        <w:tc>
          <w:tcPr>
            <w:tcW w:w="1854" w:type="dxa"/>
            <w:vAlign w:val="center"/>
          </w:tcPr>
          <w:p w14:paraId="40288679">
            <w:pPr>
              <w:adjustRightInd w:val="0"/>
              <w:snapToGrid w:val="0"/>
              <w:spacing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提交首次响应文件的截止时间</w:t>
            </w:r>
          </w:p>
        </w:tc>
        <w:tc>
          <w:tcPr>
            <w:tcW w:w="6315" w:type="dxa"/>
            <w:vAlign w:val="center"/>
          </w:tcPr>
          <w:p w14:paraId="4295D4EC">
            <w:pPr>
              <w:pStyle w:val="34"/>
              <w:spacing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2026年07月</w:t>
            </w:r>
            <w:r>
              <w:rPr>
                <w:rFonts w:hint="eastAsia" w:ascii="宋体" w:hAnsi="宋体" w:cs="宋体"/>
                <w:color w:val="auto"/>
                <w:kern w:val="2"/>
                <w:sz w:val="21"/>
                <w:szCs w:val="21"/>
                <w:highlight w:val="none"/>
                <w:lang w:val="en-US" w:eastAsia="zh-CN" w:bidi="ar-SA"/>
              </w:rPr>
              <w:t>24</w:t>
            </w:r>
            <w:r>
              <w:rPr>
                <w:rFonts w:hint="eastAsia" w:ascii="宋体" w:hAnsi="宋体" w:eastAsia="宋体" w:cs="宋体"/>
                <w:color w:val="auto"/>
                <w:kern w:val="2"/>
                <w:sz w:val="21"/>
                <w:szCs w:val="21"/>
                <w:highlight w:val="none"/>
                <w:lang w:val="en-US" w:eastAsia="zh-CN" w:bidi="ar-SA"/>
              </w:rPr>
              <w:t>日09时30分(北京时间)</w:t>
            </w:r>
          </w:p>
        </w:tc>
      </w:tr>
      <w:tr w14:paraId="272FB0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0013" w:type="dxa"/>
            <w:gridSpan w:val="3"/>
            <w:vAlign w:val="center"/>
          </w:tcPr>
          <w:p w14:paraId="55B0F6C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三、响应文件的编写</w:t>
            </w:r>
          </w:p>
        </w:tc>
      </w:tr>
      <w:tr w14:paraId="57FD9B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1844" w:type="dxa"/>
            <w:vAlign w:val="center"/>
          </w:tcPr>
          <w:p w14:paraId="782AA22A">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第二章第16.4款</w:t>
            </w:r>
          </w:p>
        </w:tc>
        <w:tc>
          <w:tcPr>
            <w:tcW w:w="1854" w:type="dxa"/>
            <w:vAlign w:val="center"/>
          </w:tcPr>
          <w:p w14:paraId="654541F0">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采购项目预算</w:t>
            </w:r>
          </w:p>
        </w:tc>
        <w:tc>
          <w:tcPr>
            <w:tcW w:w="6315" w:type="dxa"/>
            <w:vAlign w:val="center"/>
          </w:tcPr>
          <w:p w14:paraId="078813B2">
            <w:pPr>
              <w:numPr>
                <w:ilvl w:val="0"/>
                <w:numId w:val="0"/>
              </w:numPr>
              <w:adjustRightInd w:val="0"/>
              <w:snapToGrid w:val="0"/>
              <w:spacing w:before="50" w:line="360" w:lineRule="exact"/>
              <w:jc w:val="left"/>
              <w:rPr>
                <w:rFonts w:hint="eastAsia" w:ascii="宋体" w:hAnsi="宋体" w:eastAsia="宋体" w:cs="宋体"/>
                <w:color w:val="auto"/>
                <w:sz w:val="21"/>
                <w:highlight w:val="none"/>
              </w:rPr>
            </w:pPr>
            <w:r>
              <w:rPr>
                <w:rFonts w:hint="eastAsia" w:ascii="宋体" w:hAnsi="宋体" w:eastAsia="宋体" w:cs="宋体"/>
                <w:color w:val="auto"/>
                <w:highlight w:val="none"/>
                <w:lang w:eastAsia="zh-CN"/>
              </w:rPr>
              <w:t>1003220</w:t>
            </w:r>
            <w:r>
              <w:rPr>
                <w:rFonts w:hint="eastAsia" w:ascii="宋体" w:hAnsi="宋体" w:eastAsia="宋体" w:cs="宋体"/>
                <w:color w:val="auto"/>
                <w:highlight w:val="none"/>
              </w:rPr>
              <w:t>元</w:t>
            </w:r>
            <w:r>
              <w:rPr>
                <w:rFonts w:hint="eastAsia" w:ascii="宋体" w:hAnsi="宋体" w:eastAsia="宋体" w:cs="宋体"/>
                <w:color w:val="auto"/>
                <w:highlight w:val="none"/>
                <w:lang w:eastAsia="zh-CN"/>
              </w:rPr>
              <w:t>，</w:t>
            </w:r>
            <w:r>
              <w:rPr>
                <w:rFonts w:hint="eastAsia" w:ascii="宋体" w:hAnsi="宋体" w:eastAsia="宋体" w:cs="宋体"/>
                <w:color w:val="auto"/>
                <w:sz w:val="21"/>
                <w:szCs w:val="21"/>
                <w:highlight w:val="none"/>
              </w:rPr>
              <w:t>详见工程量清单。</w:t>
            </w:r>
          </w:p>
          <w:p w14:paraId="19CD4CA7">
            <w:pPr>
              <w:pStyle w:val="30"/>
              <w:rPr>
                <w:rFonts w:hint="eastAsia" w:ascii="宋体" w:hAnsi="宋体" w:eastAsia="宋体" w:cs="宋体"/>
                <w:color w:val="auto"/>
                <w:sz w:val="18"/>
                <w:szCs w:val="18"/>
                <w:highlight w:val="none"/>
              </w:rPr>
            </w:pPr>
            <w:r>
              <w:rPr>
                <w:rFonts w:hint="eastAsia" w:ascii="宋体" w:hAnsi="宋体" w:eastAsia="宋体" w:cs="宋体"/>
                <w:color w:val="auto"/>
                <w:sz w:val="21"/>
                <w:highlight w:val="none"/>
              </w:rPr>
              <w:t>供应商的响应报价不得超过最高限价，否则其响应无效。</w:t>
            </w:r>
          </w:p>
        </w:tc>
      </w:tr>
      <w:tr w14:paraId="4F7E2D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1844" w:type="dxa"/>
            <w:vAlign w:val="center"/>
          </w:tcPr>
          <w:p w14:paraId="7FF2E61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第二章第16.4</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款</w:t>
            </w:r>
          </w:p>
        </w:tc>
        <w:tc>
          <w:tcPr>
            <w:tcW w:w="1854" w:type="dxa"/>
            <w:vAlign w:val="center"/>
          </w:tcPr>
          <w:p w14:paraId="200A31B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报价的其他要求</w:t>
            </w:r>
          </w:p>
        </w:tc>
        <w:tc>
          <w:tcPr>
            <w:tcW w:w="6315" w:type="dxa"/>
            <w:vAlign w:val="center"/>
          </w:tcPr>
          <w:p w14:paraId="76B38732">
            <w:pPr>
              <w:pStyle w:val="3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根据《关于推动解决政府采购异常低价问题的通知》（财库〔2026〕2 号）规定，评审中出现下列情形之一的，评审委员会应当启动异常低价响应审查程序：</w:t>
            </w:r>
          </w:p>
          <w:p w14:paraId="7BBFF8E4">
            <w:pPr>
              <w:pStyle w:val="3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（1）响应报价低于全部通过符合性审查供应商响应报价平均值</w:t>
            </w:r>
            <w:r>
              <w:rPr>
                <w:rFonts w:hint="eastAsia" w:ascii="宋体" w:hAnsi="宋体" w:cs="宋体"/>
                <w:b/>
                <w:bCs/>
                <w:color w:val="auto"/>
                <w:szCs w:val="21"/>
                <w:highlight w:val="none"/>
                <w:lang w:val="en-US" w:eastAsia="zh-CN"/>
              </w:rPr>
              <w:t>65</w:t>
            </w:r>
            <w:r>
              <w:rPr>
                <w:rFonts w:hint="eastAsia" w:ascii="宋体" w:hAnsi="宋体" w:eastAsia="宋体" w:cs="宋体"/>
                <w:b/>
                <w:bCs/>
                <w:color w:val="auto"/>
                <w:szCs w:val="21"/>
                <w:highlight w:val="none"/>
              </w:rPr>
              <w:t>%</w:t>
            </w:r>
            <w:r>
              <w:rPr>
                <w:rFonts w:hint="eastAsia" w:ascii="宋体" w:hAnsi="宋体" w:eastAsia="宋体" w:cs="宋体"/>
                <w:color w:val="auto"/>
                <w:szCs w:val="21"/>
                <w:highlight w:val="none"/>
              </w:rPr>
              <w:t>的，即响应报价</w:t>
            </w:r>
            <w:r>
              <w:rPr>
                <w:rFonts w:hint="eastAsia" w:ascii="宋体" w:hAnsi="宋体" w:cs="宋体"/>
                <w:b/>
                <w:bCs/>
                <w:color w:val="auto"/>
                <w:szCs w:val="21"/>
                <w:highlight w:val="none"/>
                <w:lang w:val="en-US" w:eastAsia="zh-CN"/>
              </w:rPr>
              <w:t>＜</w:t>
            </w:r>
            <w:r>
              <w:rPr>
                <w:rFonts w:hint="eastAsia" w:ascii="宋体" w:hAnsi="宋体" w:eastAsia="宋体" w:cs="宋体"/>
                <w:color w:val="auto"/>
                <w:szCs w:val="21"/>
                <w:highlight w:val="none"/>
              </w:rPr>
              <w:t>全部通过符合性审查供应商响应报价平均值×</w:t>
            </w:r>
            <w:r>
              <w:rPr>
                <w:rFonts w:hint="eastAsia" w:ascii="宋体" w:hAnsi="宋体" w:cs="宋体"/>
                <w:b/>
                <w:bCs/>
                <w:color w:val="auto"/>
                <w:szCs w:val="21"/>
                <w:highlight w:val="none"/>
                <w:lang w:val="en-US" w:eastAsia="zh-CN"/>
              </w:rPr>
              <w:t>65</w:t>
            </w:r>
            <w:r>
              <w:rPr>
                <w:rFonts w:hint="eastAsia" w:ascii="宋体" w:hAnsi="宋体" w:eastAsia="宋体" w:cs="宋体"/>
                <w:b/>
                <w:bCs/>
                <w:color w:val="auto"/>
                <w:szCs w:val="21"/>
                <w:highlight w:val="none"/>
              </w:rPr>
              <w:t>%</w:t>
            </w:r>
            <w:r>
              <w:rPr>
                <w:rFonts w:hint="eastAsia" w:ascii="宋体" w:hAnsi="宋体" w:eastAsia="宋体" w:cs="宋体"/>
                <w:color w:val="auto"/>
                <w:szCs w:val="21"/>
                <w:highlight w:val="none"/>
              </w:rPr>
              <w:t>；</w:t>
            </w:r>
          </w:p>
          <w:p w14:paraId="23D5BC22">
            <w:pPr>
              <w:pStyle w:val="3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（2）响应报价低于通过符合性审查的次低报价供应商响应报价</w:t>
            </w:r>
            <w:r>
              <w:rPr>
                <w:rFonts w:hint="eastAsia" w:ascii="宋体" w:hAnsi="宋体" w:cs="宋体"/>
                <w:b/>
                <w:bCs/>
                <w:color w:val="auto"/>
                <w:szCs w:val="21"/>
                <w:highlight w:val="none"/>
                <w:lang w:val="en-US" w:eastAsia="zh-CN"/>
              </w:rPr>
              <w:t>65</w:t>
            </w:r>
            <w:r>
              <w:rPr>
                <w:rFonts w:hint="eastAsia" w:ascii="宋体" w:hAnsi="宋体" w:eastAsia="宋体" w:cs="宋体"/>
                <w:b/>
                <w:bCs/>
                <w:color w:val="auto"/>
                <w:szCs w:val="21"/>
                <w:highlight w:val="none"/>
              </w:rPr>
              <w:t>%</w:t>
            </w:r>
            <w:r>
              <w:rPr>
                <w:rFonts w:hint="eastAsia" w:ascii="宋体" w:hAnsi="宋体" w:eastAsia="宋体" w:cs="宋体"/>
                <w:color w:val="auto"/>
                <w:szCs w:val="21"/>
                <w:highlight w:val="none"/>
              </w:rPr>
              <w:t>的，即响应报价</w:t>
            </w:r>
            <w:r>
              <w:rPr>
                <w:rFonts w:hint="eastAsia" w:ascii="宋体" w:hAnsi="宋体" w:cs="宋体"/>
                <w:b/>
                <w:bCs/>
                <w:color w:val="auto"/>
                <w:szCs w:val="21"/>
                <w:highlight w:val="none"/>
                <w:lang w:val="en-US" w:eastAsia="zh-CN"/>
              </w:rPr>
              <w:t>＜</w:t>
            </w:r>
            <w:r>
              <w:rPr>
                <w:rFonts w:hint="eastAsia" w:ascii="宋体" w:hAnsi="宋体" w:eastAsia="宋体" w:cs="宋体"/>
                <w:color w:val="auto"/>
                <w:szCs w:val="21"/>
                <w:highlight w:val="none"/>
              </w:rPr>
              <w:t>通过符合性审查的次低报价供应商响应报价×</w:t>
            </w:r>
            <w:r>
              <w:rPr>
                <w:rFonts w:hint="eastAsia" w:ascii="宋体" w:hAnsi="宋体" w:cs="宋体"/>
                <w:b/>
                <w:bCs/>
                <w:color w:val="auto"/>
                <w:szCs w:val="21"/>
                <w:highlight w:val="none"/>
                <w:lang w:val="en-US" w:eastAsia="zh-CN"/>
              </w:rPr>
              <w:t>65</w:t>
            </w:r>
            <w:r>
              <w:rPr>
                <w:rFonts w:hint="eastAsia" w:ascii="宋体" w:hAnsi="宋体" w:eastAsia="宋体" w:cs="宋体"/>
                <w:b/>
                <w:bCs/>
                <w:color w:val="auto"/>
                <w:szCs w:val="21"/>
                <w:highlight w:val="none"/>
              </w:rPr>
              <w:t>%</w:t>
            </w:r>
            <w:r>
              <w:rPr>
                <w:rFonts w:hint="eastAsia" w:ascii="宋体" w:hAnsi="宋体" w:eastAsia="宋体" w:cs="宋体"/>
                <w:color w:val="auto"/>
                <w:szCs w:val="21"/>
                <w:highlight w:val="none"/>
              </w:rPr>
              <w:t>；</w:t>
            </w:r>
          </w:p>
          <w:p w14:paraId="1949321D">
            <w:pPr>
              <w:pStyle w:val="3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（3）响应报价低于采购项目最高限价</w:t>
            </w:r>
            <w:r>
              <w:rPr>
                <w:rFonts w:hint="eastAsia" w:ascii="宋体" w:hAnsi="宋体" w:cs="宋体"/>
                <w:b/>
                <w:bCs/>
                <w:color w:val="auto"/>
                <w:szCs w:val="21"/>
                <w:highlight w:val="none"/>
                <w:lang w:val="en-US" w:eastAsia="zh-CN"/>
              </w:rPr>
              <w:t>6</w:t>
            </w:r>
            <w:r>
              <w:rPr>
                <w:rFonts w:hint="eastAsia" w:ascii="宋体" w:hAnsi="宋体" w:eastAsia="宋体" w:cs="宋体"/>
                <w:b/>
                <w:bCs/>
                <w:color w:val="auto"/>
                <w:szCs w:val="21"/>
                <w:highlight w:val="none"/>
              </w:rPr>
              <w:t>5%</w:t>
            </w:r>
            <w:r>
              <w:rPr>
                <w:rFonts w:hint="eastAsia" w:ascii="宋体" w:hAnsi="宋体" w:eastAsia="宋体" w:cs="宋体"/>
                <w:color w:val="auto"/>
                <w:szCs w:val="21"/>
                <w:highlight w:val="none"/>
              </w:rPr>
              <w:t>的，即响应报价</w:t>
            </w:r>
            <w:r>
              <w:rPr>
                <w:rFonts w:hint="eastAsia" w:ascii="宋体" w:hAnsi="宋体" w:cs="宋体"/>
                <w:b/>
                <w:bCs/>
                <w:color w:val="auto"/>
                <w:szCs w:val="21"/>
                <w:highlight w:val="none"/>
                <w:lang w:val="en-US" w:eastAsia="zh-CN"/>
              </w:rPr>
              <w:t>＜</w:t>
            </w:r>
            <w:r>
              <w:rPr>
                <w:rFonts w:hint="eastAsia" w:ascii="宋体" w:hAnsi="宋体" w:eastAsia="宋体" w:cs="宋体"/>
                <w:color w:val="auto"/>
                <w:szCs w:val="21"/>
                <w:highlight w:val="none"/>
              </w:rPr>
              <w:t>采购项目最高限价×</w:t>
            </w:r>
            <w:r>
              <w:rPr>
                <w:rFonts w:hint="eastAsia" w:ascii="宋体" w:hAnsi="宋体" w:cs="宋体"/>
                <w:b/>
                <w:bCs/>
                <w:color w:val="auto"/>
                <w:szCs w:val="21"/>
                <w:highlight w:val="none"/>
                <w:lang w:val="en-US" w:eastAsia="zh-CN"/>
              </w:rPr>
              <w:t>6</w:t>
            </w:r>
            <w:r>
              <w:rPr>
                <w:rFonts w:hint="eastAsia" w:ascii="宋体" w:hAnsi="宋体" w:eastAsia="宋体" w:cs="宋体"/>
                <w:b/>
                <w:bCs/>
                <w:color w:val="auto"/>
                <w:szCs w:val="21"/>
                <w:highlight w:val="none"/>
              </w:rPr>
              <w:t>5%</w:t>
            </w:r>
            <w:r>
              <w:rPr>
                <w:rFonts w:hint="eastAsia" w:ascii="宋体" w:hAnsi="宋体" w:eastAsia="宋体" w:cs="宋体"/>
                <w:color w:val="auto"/>
                <w:szCs w:val="21"/>
                <w:highlight w:val="none"/>
              </w:rPr>
              <w:t>；</w:t>
            </w:r>
          </w:p>
          <w:p w14:paraId="5ABBC535">
            <w:pPr>
              <w:pStyle w:val="3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（4）评审委员会基于专业判断，认为供应商报价过低，有可能影响产品质量或者不能诚信履约的其他情形。</w:t>
            </w:r>
          </w:p>
          <w:p w14:paraId="27E84819">
            <w:pPr>
              <w:pStyle w:val="3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0006100">
            <w:pPr>
              <w:pStyle w:val="30"/>
              <w:spacing w:line="240" w:lineRule="auto"/>
              <w:rPr>
                <w:rFonts w:hint="eastAsia" w:ascii="宋体" w:hAnsi="宋体" w:eastAsia="宋体" w:cs="宋体"/>
                <w:color w:val="auto"/>
                <w:sz w:val="21"/>
                <w:highlight w:val="none"/>
              </w:rPr>
            </w:pPr>
            <w:r>
              <w:rPr>
                <w:rFonts w:hint="eastAsia" w:ascii="宋体" w:hAnsi="宋体" w:eastAsia="宋体" w:cs="宋体"/>
                <w:color w:val="auto"/>
                <w:szCs w:val="21"/>
                <w:highlight w:val="none"/>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tc>
      </w:tr>
      <w:tr w14:paraId="7B91C4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1844" w:type="dxa"/>
            <w:vAlign w:val="center"/>
          </w:tcPr>
          <w:p w14:paraId="68CE421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第二章第19.1款</w:t>
            </w:r>
          </w:p>
        </w:tc>
        <w:tc>
          <w:tcPr>
            <w:tcW w:w="1854" w:type="dxa"/>
            <w:vAlign w:val="center"/>
          </w:tcPr>
          <w:p w14:paraId="79731D7B">
            <w:pPr>
              <w:adjustRightInd w:val="0"/>
              <w:snapToGrid w:val="0"/>
              <w:spacing w:line="360" w:lineRule="auto"/>
              <w:ind w:left="-533" w:leftChars="-254" w:firstLine="533" w:firstLineChars="254"/>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315" w:type="dxa"/>
            <w:vAlign w:val="center"/>
          </w:tcPr>
          <w:p w14:paraId="3002062D">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■不要求提供</w:t>
            </w:r>
          </w:p>
          <w:p w14:paraId="5EC2612F">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□要求提供</w:t>
            </w:r>
          </w:p>
          <w:p w14:paraId="100BEF1E">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1、保证金数额：0 元（人民币）</w:t>
            </w:r>
          </w:p>
          <w:p w14:paraId="7CFCC9A1">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2、缴纳方式：银行转账、银行电汇或银行汇票，从各投标单位账户缴入到如下账户，并在转账票据用途栏或备注栏中注明所投项目简称或项目编号。</w:t>
            </w:r>
          </w:p>
          <w:p w14:paraId="5AB6305C">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开户名称：湖南省招标有限责任公司</w:t>
            </w:r>
          </w:p>
          <w:p w14:paraId="6EB6EB4C">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开户银行：/</w:t>
            </w:r>
          </w:p>
          <w:p w14:paraId="5D0F3252">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银行账号：/</w:t>
            </w:r>
          </w:p>
          <w:p w14:paraId="5C498195">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3、缴纳截止时间：同投标截止时间，以银行到账回单为准。</w:t>
            </w:r>
          </w:p>
          <w:p w14:paraId="6E9EFA96">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4、未按时足额缴纳保证金的，其响应文件将被拒绝。</w:t>
            </w:r>
          </w:p>
        </w:tc>
      </w:tr>
      <w:tr w14:paraId="019B7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041DC73D">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第二章第20.1款</w:t>
            </w:r>
          </w:p>
        </w:tc>
        <w:tc>
          <w:tcPr>
            <w:tcW w:w="1854" w:type="dxa"/>
            <w:vAlign w:val="center"/>
          </w:tcPr>
          <w:p w14:paraId="0D3A2E2D">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响应文件有效期</w:t>
            </w:r>
          </w:p>
        </w:tc>
        <w:tc>
          <w:tcPr>
            <w:tcW w:w="6315" w:type="dxa"/>
            <w:vAlign w:val="center"/>
          </w:tcPr>
          <w:p w14:paraId="393307B7">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u w:val="single"/>
              </w:rPr>
              <w:t xml:space="preserve"> 90 </w:t>
            </w:r>
            <w:r>
              <w:rPr>
                <w:rFonts w:hint="eastAsia" w:ascii="宋体" w:hAnsi="宋体" w:eastAsia="宋体" w:cs="宋体"/>
                <w:color w:val="auto"/>
                <w:szCs w:val="21"/>
                <w:highlight w:val="none"/>
              </w:rPr>
              <w:t>日（日历日）</w:t>
            </w:r>
          </w:p>
        </w:tc>
      </w:tr>
      <w:tr w14:paraId="181640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7" w:hRule="atLeast"/>
          <w:jc w:val="center"/>
        </w:trPr>
        <w:tc>
          <w:tcPr>
            <w:tcW w:w="1844" w:type="dxa"/>
            <w:vAlign w:val="center"/>
          </w:tcPr>
          <w:p w14:paraId="1626EBC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第二章第21.1款</w:t>
            </w:r>
          </w:p>
        </w:tc>
        <w:tc>
          <w:tcPr>
            <w:tcW w:w="1854" w:type="dxa"/>
            <w:vAlign w:val="center"/>
          </w:tcPr>
          <w:p w14:paraId="5A2D642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响应</w:t>
            </w:r>
            <w:r>
              <w:rPr>
                <w:rFonts w:hint="eastAsia" w:ascii="宋体" w:hAnsi="宋体" w:eastAsia="宋体" w:cs="宋体"/>
                <w:color w:val="auto"/>
                <w:szCs w:val="21"/>
                <w:highlight w:val="none"/>
              </w:rPr>
              <w:t>文件副本份数</w:t>
            </w:r>
          </w:p>
        </w:tc>
        <w:tc>
          <w:tcPr>
            <w:tcW w:w="6315" w:type="dxa"/>
            <w:vAlign w:val="center"/>
          </w:tcPr>
          <w:p w14:paraId="4BE6D4F2">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正本壹份，副本贰份，电子档壹份（word和PDF格式，U盘密封包装，须注明电子文件和单位名称，与响应文件一起封存，未提交响应文件电子档的，视为无效响应）</w:t>
            </w:r>
          </w:p>
        </w:tc>
      </w:tr>
      <w:tr w14:paraId="79836F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0013" w:type="dxa"/>
            <w:gridSpan w:val="3"/>
            <w:vAlign w:val="center"/>
          </w:tcPr>
          <w:p w14:paraId="1F875BD5">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四、响应文件的递交</w:t>
            </w:r>
          </w:p>
        </w:tc>
      </w:tr>
      <w:tr w14:paraId="3142D2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4" w:hRule="atLeast"/>
          <w:jc w:val="center"/>
        </w:trPr>
        <w:tc>
          <w:tcPr>
            <w:tcW w:w="1844" w:type="dxa"/>
            <w:vAlign w:val="center"/>
          </w:tcPr>
          <w:p w14:paraId="68A7B91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第二章第22.2款</w:t>
            </w:r>
          </w:p>
        </w:tc>
        <w:tc>
          <w:tcPr>
            <w:tcW w:w="1854" w:type="dxa"/>
            <w:vAlign w:val="center"/>
          </w:tcPr>
          <w:p w14:paraId="5ED7A35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封套上应载明的信息</w:t>
            </w:r>
          </w:p>
        </w:tc>
        <w:tc>
          <w:tcPr>
            <w:tcW w:w="6315" w:type="dxa"/>
            <w:vAlign w:val="center"/>
          </w:tcPr>
          <w:p w14:paraId="212C0E7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采购项目响应文件</w:t>
            </w:r>
          </w:p>
          <w:p w14:paraId="3E587AA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政府采购计划编号：</w:t>
            </w:r>
            <w:r>
              <w:rPr>
                <w:rFonts w:hint="eastAsia" w:ascii="宋体" w:hAnsi="宋体" w:eastAsia="宋体" w:cs="宋体"/>
                <w:color w:val="auto"/>
                <w:szCs w:val="21"/>
                <w:highlight w:val="none"/>
                <w:u w:val="single"/>
              </w:rPr>
              <w:t xml:space="preserve">            </w:t>
            </w:r>
          </w:p>
          <w:p w14:paraId="0C8B337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rPr>
              <w:t xml:space="preserve">            </w:t>
            </w:r>
          </w:p>
          <w:p w14:paraId="61C0B53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日（星期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分之前不得启封</w:t>
            </w:r>
          </w:p>
        </w:tc>
      </w:tr>
      <w:tr w14:paraId="54D8D8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5FB91EA0">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第二章第24.1款</w:t>
            </w:r>
          </w:p>
        </w:tc>
        <w:tc>
          <w:tcPr>
            <w:tcW w:w="1854" w:type="dxa"/>
            <w:vAlign w:val="center"/>
          </w:tcPr>
          <w:p w14:paraId="38691EC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响应文件的递交地点</w:t>
            </w:r>
          </w:p>
        </w:tc>
        <w:tc>
          <w:tcPr>
            <w:tcW w:w="6315" w:type="dxa"/>
            <w:vAlign w:val="center"/>
          </w:tcPr>
          <w:p w14:paraId="7DA76C90">
            <w:pPr>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湖南省招标有限责任公司（长沙市雨花区湘府东路二段199号招标大厦十二楼</w:t>
            </w:r>
            <w:r>
              <w:rPr>
                <w:rFonts w:hint="eastAsia" w:ascii="宋体" w:hAnsi="宋体" w:eastAsia="宋体" w:cs="宋体"/>
                <w:color w:val="auto"/>
                <w:szCs w:val="21"/>
                <w:highlight w:val="none"/>
                <w:lang w:val="en-US" w:eastAsia="zh-CN"/>
              </w:rPr>
              <w:t>开标厅</w:t>
            </w:r>
            <w:r>
              <w:rPr>
                <w:rFonts w:hint="eastAsia" w:ascii="宋体" w:hAnsi="宋体" w:eastAsia="宋体" w:cs="宋体"/>
                <w:color w:val="auto"/>
                <w:szCs w:val="21"/>
                <w:highlight w:val="none"/>
              </w:rPr>
              <w:t>）</w:t>
            </w:r>
          </w:p>
        </w:tc>
      </w:tr>
      <w:tr w14:paraId="00ABEA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13" w:type="dxa"/>
            <w:gridSpan w:val="3"/>
            <w:vAlign w:val="center"/>
          </w:tcPr>
          <w:p w14:paraId="7C7BFD54">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五、响应文件的磋商与评审</w:t>
            </w:r>
          </w:p>
        </w:tc>
      </w:tr>
      <w:tr w14:paraId="2279AA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36F1FC0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第二章第31.2款</w:t>
            </w:r>
          </w:p>
        </w:tc>
        <w:tc>
          <w:tcPr>
            <w:tcW w:w="1854" w:type="dxa"/>
            <w:vAlign w:val="center"/>
          </w:tcPr>
          <w:p w14:paraId="63C09FC2">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评审因素和标准</w:t>
            </w:r>
          </w:p>
        </w:tc>
        <w:tc>
          <w:tcPr>
            <w:tcW w:w="6315" w:type="dxa"/>
            <w:vAlign w:val="center"/>
          </w:tcPr>
          <w:p w14:paraId="215D4245">
            <w:pPr>
              <w:spacing w:line="360" w:lineRule="auto"/>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见附页4</w:t>
            </w:r>
          </w:p>
        </w:tc>
      </w:tr>
      <w:tr w14:paraId="45D6B5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1844" w:type="dxa"/>
            <w:vAlign w:val="center"/>
          </w:tcPr>
          <w:p w14:paraId="2B346E2C">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第二章第31.3款</w:t>
            </w:r>
          </w:p>
        </w:tc>
        <w:tc>
          <w:tcPr>
            <w:tcW w:w="1854" w:type="dxa"/>
            <w:vAlign w:val="center"/>
          </w:tcPr>
          <w:p w14:paraId="3AF906A9">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最后报价调整</w:t>
            </w:r>
          </w:p>
        </w:tc>
        <w:tc>
          <w:tcPr>
            <w:tcW w:w="6315" w:type="dxa"/>
            <w:vAlign w:val="center"/>
          </w:tcPr>
          <w:p w14:paraId="62296BE2">
            <w:pPr>
              <w:adjustRightInd w:val="0"/>
              <w:snapToGrid w:val="0"/>
              <w:jc w:val="left"/>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给予小型和微型企业</w:t>
            </w:r>
            <w:r>
              <w:rPr>
                <w:rFonts w:hint="eastAsia" w:ascii="宋体" w:hAnsi="宋体" w:eastAsia="宋体" w:cs="宋体"/>
                <w:bCs/>
                <w:color w:val="auto"/>
                <w:kern w:val="0"/>
                <w:szCs w:val="21"/>
                <w:highlight w:val="none"/>
                <w:lang w:val="en-US" w:eastAsia="zh-CN"/>
              </w:rPr>
              <w:t>工程项目3</w:t>
            </w:r>
            <w:r>
              <w:rPr>
                <w:rFonts w:hint="eastAsia" w:ascii="宋体" w:hAnsi="宋体" w:eastAsia="宋体" w:cs="宋体"/>
                <w:bCs/>
                <w:color w:val="auto"/>
                <w:kern w:val="0"/>
                <w:szCs w:val="21"/>
                <w:highlight w:val="none"/>
              </w:rPr>
              <w:t>%-</w:t>
            </w:r>
            <w:r>
              <w:rPr>
                <w:rFonts w:hint="eastAsia" w:ascii="宋体" w:hAnsi="宋体" w:eastAsia="宋体" w:cs="宋体"/>
                <w:bCs/>
                <w:color w:val="auto"/>
                <w:kern w:val="0"/>
                <w:szCs w:val="21"/>
                <w:highlight w:val="none"/>
                <w:lang w:val="en-US" w:eastAsia="zh-CN"/>
              </w:rPr>
              <w:t>5</w:t>
            </w:r>
            <w:r>
              <w:rPr>
                <w:rFonts w:hint="eastAsia" w:ascii="宋体" w:hAnsi="宋体" w:eastAsia="宋体" w:cs="宋体"/>
                <w:bCs/>
                <w:color w:val="auto"/>
                <w:kern w:val="0"/>
                <w:szCs w:val="21"/>
                <w:highlight w:val="none"/>
              </w:rPr>
              <w:t>%的扣除，用扣除后的价格参与评审，本项目具体扣除比例为</w:t>
            </w:r>
            <w:r>
              <w:rPr>
                <w:rFonts w:hint="eastAsia" w:ascii="宋体" w:hAnsi="宋体" w:eastAsia="宋体" w:cs="宋体"/>
                <w:bCs/>
                <w:color w:val="auto"/>
                <w:kern w:val="0"/>
                <w:szCs w:val="21"/>
                <w:highlight w:val="none"/>
                <w:u w:val="single"/>
                <w:lang w:val="en-US" w:eastAsia="zh-CN"/>
              </w:rPr>
              <w:t>/</w:t>
            </w:r>
            <w:r>
              <w:rPr>
                <w:rFonts w:hint="eastAsia" w:ascii="宋体" w:hAnsi="宋体" w:eastAsia="宋体" w:cs="宋体"/>
                <w:bCs/>
                <w:color w:val="auto"/>
                <w:kern w:val="0"/>
                <w:szCs w:val="21"/>
                <w:highlight w:val="none"/>
              </w:rPr>
              <w:t>％。</w:t>
            </w:r>
          </w:p>
        </w:tc>
      </w:tr>
      <w:tr w14:paraId="17C83C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5ADE1A27">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第二章第31.5款</w:t>
            </w:r>
          </w:p>
        </w:tc>
        <w:tc>
          <w:tcPr>
            <w:tcW w:w="1854" w:type="dxa"/>
            <w:vAlign w:val="center"/>
          </w:tcPr>
          <w:p w14:paraId="4BFEAEFA">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技术、商务、价格得分或总得分调整</w:t>
            </w:r>
          </w:p>
        </w:tc>
        <w:tc>
          <w:tcPr>
            <w:tcW w:w="6315" w:type="dxa"/>
            <w:vAlign w:val="center"/>
          </w:tcPr>
          <w:p w14:paraId="07111F38">
            <w:pPr>
              <w:spacing w:line="36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投标人必需提供节能或环境标志产品认证证书复印件，未按以上要求提供认证证书复印件或不是清单内的产品，评审时不予优先采购： </w:t>
            </w:r>
          </w:p>
          <w:p w14:paraId="194BCA18">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采用综合评分法时，对于技术和价格分，应分别给予总分值4%-8%的加分。本项目具体加分比例分别为：技术部分/%、价格部分/%。</w:t>
            </w:r>
          </w:p>
        </w:tc>
      </w:tr>
      <w:tr w14:paraId="3AFF2C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C648F0D">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第二章第31.6款</w:t>
            </w:r>
          </w:p>
        </w:tc>
        <w:tc>
          <w:tcPr>
            <w:tcW w:w="1854" w:type="dxa"/>
            <w:vAlign w:val="center"/>
          </w:tcPr>
          <w:p w14:paraId="012D5F7A">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多处或部分获得政府采购政策优惠的计算方法</w:t>
            </w:r>
          </w:p>
        </w:tc>
        <w:tc>
          <w:tcPr>
            <w:tcW w:w="6315" w:type="dxa"/>
            <w:vAlign w:val="center"/>
          </w:tcPr>
          <w:p w14:paraId="56D90CC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1、符合政府采购优先采购政策的，产品只能享受节能产品、环境标志产品等产品优惠中的一项(由供应商在响应文件中选择并填报政策功能编码，评审时进行加分)。</w:t>
            </w:r>
          </w:p>
          <w:p w14:paraId="0F42BC6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2、供应商享受支持小微企业发展政策优惠的，可以与同时享受节能产品、环境标志产品等产品优惠中的一项累加。</w:t>
            </w:r>
          </w:p>
          <w:p w14:paraId="03BD8DC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3、同一项目中部分产品属于优先采购政策的，评审时只对该部分产品的报价实行价格扣除或加分（按该部分产品的报价占总报价的百分比调整）。</w:t>
            </w:r>
          </w:p>
        </w:tc>
      </w:tr>
      <w:tr w14:paraId="354A43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13" w:type="dxa"/>
            <w:gridSpan w:val="3"/>
            <w:vAlign w:val="center"/>
          </w:tcPr>
          <w:p w14:paraId="36EFB8C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六、成交结果信息公布与授予合同</w:t>
            </w:r>
          </w:p>
        </w:tc>
      </w:tr>
      <w:tr w14:paraId="1FAB01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5" w:hRule="atLeast"/>
          <w:jc w:val="center"/>
        </w:trPr>
        <w:tc>
          <w:tcPr>
            <w:tcW w:w="1844" w:type="dxa"/>
            <w:vAlign w:val="center"/>
          </w:tcPr>
          <w:p w14:paraId="4EBC3D2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第二章第37.1款</w:t>
            </w:r>
          </w:p>
        </w:tc>
        <w:tc>
          <w:tcPr>
            <w:tcW w:w="1854" w:type="dxa"/>
            <w:vAlign w:val="center"/>
          </w:tcPr>
          <w:p w14:paraId="3030C70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财政部门指定的媒体</w:t>
            </w:r>
          </w:p>
        </w:tc>
        <w:tc>
          <w:tcPr>
            <w:tcW w:w="6315" w:type="dxa"/>
            <w:vAlign w:val="center"/>
          </w:tcPr>
          <w:p w14:paraId="09A3E976">
            <w:pPr>
              <w:adjustRightInd w:val="0"/>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highlight w:val="none"/>
              </w:rPr>
              <w:t>中国湖南政府采购网（http://www.ccgp-hunan.gov.cn/）</w:t>
            </w:r>
          </w:p>
        </w:tc>
      </w:tr>
      <w:tr w14:paraId="7D441C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1515A2E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第二章第39.3款</w:t>
            </w:r>
          </w:p>
        </w:tc>
        <w:tc>
          <w:tcPr>
            <w:tcW w:w="1854" w:type="dxa"/>
            <w:vAlign w:val="center"/>
          </w:tcPr>
          <w:p w14:paraId="69A1EBF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w:t>
            </w:r>
          </w:p>
        </w:tc>
        <w:tc>
          <w:tcPr>
            <w:tcW w:w="6315" w:type="dxa"/>
            <w:vAlign w:val="center"/>
          </w:tcPr>
          <w:p w14:paraId="3B78E4AF">
            <w:pPr>
              <w:keepNext w:val="0"/>
              <w:keepLines w:val="0"/>
              <w:pageBreakBefore w:val="0"/>
              <w:kinsoku/>
              <w:wordWrap/>
              <w:overflowPunct/>
              <w:topLinePunct w:val="0"/>
              <w:autoSpaceDE/>
              <w:autoSpaceDN/>
              <w:bidi w:val="0"/>
              <w:adjustRightInd w:val="0"/>
              <w:snapToGrid w:val="0"/>
              <w:spacing w:beforeLines="50" w:line="32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不要求提供</w:t>
            </w:r>
          </w:p>
          <w:p w14:paraId="3CFDF513">
            <w:pPr>
              <w:pStyle w:val="30"/>
              <w:numPr>
                <w:ilvl w:val="0"/>
                <w:numId w:val="0"/>
              </w:numPr>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eastAsia="宋体" w:cs="宋体"/>
                <w:color w:val="auto"/>
                <w:szCs w:val="21"/>
                <w:highlight w:val="none"/>
              </w:rPr>
              <w:t>要求提供，履约担保的金额为：中标金额的</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w:t>
            </w:r>
          </w:p>
          <w:p w14:paraId="1852A373">
            <w:pPr>
              <w:pStyle w:val="30"/>
              <w:numPr>
                <w:ilvl w:val="0"/>
                <w:numId w:val="0"/>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递交形式：以支票、汇票、本票、银行转账或者金融机构出具的保函等非现金形式提交。</w:t>
            </w:r>
          </w:p>
          <w:p w14:paraId="21A11C8C">
            <w:pPr>
              <w:pStyle w:val="30"/>
              <w:numPr>
                <w:ilvl w:val="0"/>
                <w:numId w:val="0"/>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退还方式：项目经采购人验收合格，履约保证金不计息一次性退还给成交供应商。</w:t>
            </w:r>
          </w:p>
          <w:p w14:paraId="6A1CBCE0">
            <w:pPr>
              <w:pStyle w:val="30"/>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rPr>
              <w:t>说明：成交供应商须在本项目合同签订前向采购人缴纳履约保证金，逾期未缴纳的视为自动放弃成交资格，采购人可以按照评审报告推荐的成交候选人名单排序，确定下一候选人为本项目的成交供应商，也可以重新开展采购活动。</w:t>
            </w:r>
          </w:p>
        </w:tc>
      </w:tr>
      <w:tr w14:paraId="4B8038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0013" w:type="dxa"/>
            <w:gridSpan w:val="3"/>
            <w:vAlign w:val="center"/>
          </w:tcPr>
          <w:p w14:paraId="0E4C4997">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七、其他规定</w:t>
            </w:r>
          </w:p>
        </w:tc>
      </w:tr>
      <w:tr w14:paraId="6A1E01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33FD0D2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第二章第41.1款</w:t>
            </w:r>
          </w:p>
        </w:tc>
        <w:tc>
          <w:tcPr>
            <w:tcW w:w="1854" w:type="dxa"/>
            <w:vAlign w:val="center"/>
          </w:tcPr>
          <w:p w14:paraId="1AA06F94">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采购代理服务费</w:t>
            </w:r>
          </w:p>
        </w:tc>
        <w:tc>
          <w:tcPr>
            <w:tcW w:w="6315" w:type="dxa"/>
            <w:vAlign w:val="center"/>
          </w:tcPr>
          <w:p w14:paraId="024752C9">
            <w:pPr>
              <w:pStyle w:val="30"/>
              <w:rPr>
                <w:rFonts w:hint="eastAsia" w:ascii="宋体" w:hAnsi="宋体" w:eastAsia="宋体" w:cs="宋体"/>
                <w:color w:val="auto"/>
                <w:highlight w:val="none"/>
              </w:rPr>
            </w:pPr>
            <w:r>
              <w:rPr>
                <w:rFonts w:hint="eastAsia" w:ascii="宋体" w:hAnsi="宋体" w:eastAsia="宋体" w:cs="宋体"/>
                <w:color w:val="auto"/>
                <w:highlight w:val="none"/>
              </w:rPr>
              <w:t>代理服务费参照国家计委计价格[2002]1980号工程类计费标准，按计费标准的90%核算，由采购人支付给采购代理机构，金额不超过9020元。</w:t>
            </w:r>
          </w:p>
        </w:tc>
      </w:tr>
      <w:tr w14:paraId="0FA2CB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8AD5C6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第二章第42.1款</w:t>
            </w:r>
          </w:p>
        </w:tc>
        <w:tc>
          <w:tcPr>
            <w:tcW w:w="1854" w:type="dxa"/>
            <w:vAlign w:val="center"/>
          </w:tcPr>
          <w:p w14:paraId="41DFB11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其他规定</w:t>
            </w:r>
          </w:p>
        </w:tc>
        <w:tc>
          <w:tcPr>
            <w:tcW w:w="6315" w:type="dxa"/>
            <w:vAlign w:val="center"/>
          </w:tcPr>
          <w:p w14:paraId="03507EC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相关文件要求，对列入失信被执行人、重大税收违法案件当事人名单、政府采购严重违法失信行为记录名单及其他不符合《中华人民共和国政府采购法》第二十二条规定条件的供应商，应当拒绝其参与政府采购活动。</w:t>
            </w:r>
          </w:p>
          <w:p w14:paraId="1F5D979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0D45785">
            <w:pPr>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1、信用信息查询的查询渠道：“信用中国”网站（www.creditchina.gov.cn）、中国政府采购网（www.ccgp.gov.cn）、信用湖南网（www.hncredit.gov.cn）。</w:t>
            </w:r>
          </w:p>
          <w:p w14:paraId="055DF377">
            <w:pPr>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2、信用信息查询的截止时点：至本项目投标截止时间止。</w:t>
            </w:r>
          </w:p>
          <w:p w14:paraId="2722DEF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3、信用信息查询记录的具体方式：由采购人或采购代理机构在规定的查询渠道进行查询。</w:t>
            </w:r>
          </w:p>
          <w:p w14:paraId="0D6C0D9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4、信用信息查询记录证据留存的具体方式：查询记录的网上打印件。</w:t>
            </w:r>
          </w:p>
          <w:p w14:paraId="5D072BB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5、信用信息的使用规则：留存备查。</w:t>
            </w:r>
          </w:p>
        </w:tc>
      </w:tr>
      <w:tr w14:paraId="4D10C8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3698" w:type="dxa"/>
            <w:gridSpan w:val="2"/>
            <w:vAlign w:val="center"/>
          </w:tcPr>
          <w:p w14:paraId="58CAD3E2">
            <w:pPr>
              <w:adjustRightInd w:val="0"/>
              <w:snapToGrid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付款方式</w:t>
            </w:r>
          </w:p>
        </w:tc>
        <w:tc>
          <w:tcPr>
            <w:tcW w:w="6315" w:type="dxa"/>
            <w:vAlign w:val="center"/>
          </w:tcPr>
          <w:p w14:paraId="6D928667">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所有工程全部完工并经验收合格，发包方按结算审计金额付至总工程款的100%。如中标单位无法在发包方指定时间内完成全部工程，则按发包方验收合格的工程量结算相应费用。中标单位应在发包方付款前提供等额有效普通发票。</w:t>
            </w:r>
          </w:p>
          <w:p w14:paraId="3C63FCE5">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中标单位在签订合同前向发包方提交中标金额3%的履约保证金或履约保函，待项目验收合格后正常运行一年(无质量、售后及其他经济法律纠纷等问题)提交申请后无息退还。</w:t>
            </w:r>
          </w:p>
        </w:tc>
      </w:tr>
    </w:tbl>
    <w:p w14:paraId="09D75894">
      <w:pPr>
        <w:pStyle w:val="8"/>
        <w:spacing w:line="360" w:lineRule="auto"/>
        <w:rPr>
          <w:rFonts w:hint="eastAsia" w:ascii="宋体" w:hAnsi="宋体" w:eastAsia="宋体" w:cs="宋体"/>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E2743FE">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附页1</w:t>
      </w:r>
    </w:p>
    <w:p w14:paraId="6722A2CE">
      <w:pPr>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rPr>
        <w:t>湖南省政府采购支持中小企业融资合作银行及联系人名单</w:t>
      </w:r>
    </w:p>
    <w:tbl>
      <w:tblPr>
        <w:tblStyle w:val="2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43ADA5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7B23C035">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银行名称</w:t>
            </w:r>
          </w:p>
        </w:tc>
        <w:tc>
          <w:tcPr>
            <w:tcW w:w="1080" w:type="dxa"/>
            <w:vAlign w:val="center"/>
          </w:tcPr>
          <w:p w14:paraId="7493D7EF">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联系人</w:t>
            </w:r>
          </w:p>
        </w:tc>
        <w:tc>
          <w:tcPr>
            <w:tcW w:w="3060" w:type="dxa"/>
            <w:vAlign w:val="center"/>
          </w:tcPr>
          <w:p w14:paraId="39D0532D">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职 务</w:t>
            </w:r>
          </w:p>
        </w:tc>
        <w:tc>
          <w:tcPr>
            <w:tcW w:w="2340" w:type="dxa"/>
            <w:vAlign w:val="center"/>
          </w:tcPr>
          <w:p w14:paraId="60713C06">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联系电话</w:t>
            </w:r>
          </w:p>
        </w:tc>
      </w:tr>
      <w:tr w14:paraId="35A16D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36DB2FFD">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交通银行湖南省分行</w:t>
            </w:r>
          </w:p>
        </w:tc>
        <w:tc>
          <w:tcPr>
            <w:tcW w:w="1080" w:type="dxa"/>
            <w:vAlign w:val="center"/>
          </w:tcPr>
          <w:p w14:paraId="7C332D65">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刘  波</w:t>
            </w:r>
          </w:p>
        </w:tc>
        <w:tc>
          <w:tcPr>
            <w:tcW w:w="3060" w:type="dxa"/>
            <w:vAlign w:val="center"/>
          </w:tcPr>
          <w:p w14:paraId="42245A8C">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名城支行客户经理</w:t>
            </w:r>
          </w:p>
        </w:tc>
        <w:tc>
          <w:tcPr>
            <w:tcW w:w="2340" w:type="dxa"/>
            <w:vAlign w:val="center"/>
          </w:tcPr>
          <w:p w14:paraId="373B0A29">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13874998873</w:t>
            </w:r>
          </w:p>
        </w:tc>
      </w:tr>
      <w:tr w14:paraId="598687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1B14CF00">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交通银行湖南省分行</w:t>
            </w:r>
          </w:p>
        </w:tc>
        <w:tc>
          <w:tcPr>
            <w:tcW w:w="1080" w:type="dxa"/>
            <w:vAlign w:val="center"/>
          </w:tcPr>
          <w:p w14:paraId="7202FF4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肖勇光</w:t>
            </w:r>
          </w:p>
        </w:tc>
        <w:tc>
          <w:tcPr>
            <w:tcW w:w="3060" w:type="dxa"/>
            <w:vAlign w:val="center"/>
          </w:tcPr>
          <w:p w14:paraId="788CF90D">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分行高级经理</w:t>
            </w:r>
          </w:p>
        </w:tc>
        <w:tc>
          <w:tcPr>
            <w:tcW w:w="2340" w:type="dxa"/>
            <w:vAlign w:val="center"/>
          </w:tcPr>
          <w:p w14:paraId="1FA4CF4D">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13755192647</w:t>
            </w:r>
          </w:p>
        </w:tc>
      </w:tr>
      <w:tr w14:paraId="420DE7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9BF9C36">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中国民生银行长沙分行</w:t>
            </w:r>
          </w:p>
        </w:tc>
        <w:tc>
          <w:tcPr>
            <w:tcW w:w="1080" w:type="dxa"/>
            <w:vAlign w:val="center"/>
          </w:tcPr>
          <w:p w14:paraId="74EFFEA6">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黄飞燕</w:t>
            </w:r>
          </w:p>
        </w:tc>
        <w:tc>
          <w:tcPr>
            <w:tcW w:w="3060" w:type="dxa"/>
            <w:vAlign w:val="center"/>
          </w:tcPr>
          <w:p w14:paraId="1154DAD6">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营业部总经理</w:t>
            </w:r>
          </w:p>
        </w:tc>
        <w:tc>
          <w:tcPr>
            <w:tcW w:w="2340" w:type="dxa"/>
            <w:vAlign w:val="center"/>
          </w:tcPr>
          <w:p w14:paraId="5C38E18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13308463468</w:t>
            </w:r>
          </w:p>
        </w:tc>
      </w:tr>
      <w:tr w14:paraId="292AC8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3F6CE345">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中国民生银行长沙分行</w:t>
            </w:r>
          </w:p>
        </w:tc>
        <w:tc>
          <w:tcPr>
            <w:tcW w:w="1080" w:type="dxa"/>
            <w:vAlign w:val="center"/>
          </w:tcPr>
          <w:p w14:paraId="43DEA54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蒋寒奇</w:t>
            </w:r>
          </w:p>
        </w:tc>
        <w:tc>
          <w:tcPr>
            <w:tcW w:w="3060" w:type="dxa"/>
            <w:vAlign w:val="center"/>
          </w:tcPr>
          <w:p w14:paraId="01EA27D0">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营业部中小企业客户经理</w:t>
            </w:r>
          </w:p>
        </w:tc>
        <w:tc>
          <w:tcPr>
            <w:tcW w:w="2340" w:type="dxa"/>
            <w:vAlign w:val="center"/>
          </w:tcPr>
          <w:p w14:paraId="370574C4">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13548982975</w:t>
            </w:r>
          </w:p>
        </w:tc>
      </w:tr>
      <w:tr w14:paraId="5D2192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64573E88">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兴业银行长沙分行</w:t>
            </w:r>
          </w:p>
        </w:tc>
        <w:tc>
          <w:tcPr>
            <w:tcW w:w="1080" w:type="dxa"/>
            <w:vAlign w:val="center"/>
          </w:tcPr>
          <w:p w14:paraId="5F7FE6BC">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刘栅延</w:t>
            </w:r>
          </w:p>
        </w:tc>
        <w:tc>
          <w:tcPr>
            <w:tcW w:w="3060" w:type="dxa"/>
            <w:vAlign w:val="center"/>
          </w:tcPr>
          <w:p w14:paraId="245B071A">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支行行长</w:t>
            </w:r>
          </w:p>
        </w:tc>
        <w:tc>
          <w:tcPr>
            <w:tcW w:w="2340" w:type="dxa"/>
            <w:vAlign w:val="center"/>
          </w:tcPr>
          <w:p w14:paraId="47E8053D">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13337316405</w:t>
            </w:r>
          </w:p>
        </w:tc>
      </w:tr>
      <w:tr w14:paraId="07AA31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735581CC">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兴业银行长沙分行</w:t>
            </w:r>
          </w:p>
        </w:tc>
        <w:tc>
          <w:tcPr>
            <w:tcW w:w="1080" w:type="dxa"/>
            <w:vAlign w:val="center"/>
          </w:tcPr>
          <w:p w14:paraId="676D5179">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蒋修远</w:t>
            </w:r>
          </w:p>
        </w:tc>
        <w:tc>
          <w:tcPr>
            <w:tcW w:w="3060" w:type="dxa"/>
            <w:vAlign w:val="center"/>
          </w:tcPr>
          <w:p w14:paraId="2CB081E5">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支行客户经理</w:t>
            </w:r>
          </w:p>
        </w:tc>
        <w:tc>
          <w:tcPr>
            <w:tcW w:w="2340" w:type="dxa"/>
            <w:vAlign w:val="center"/>
          </w:tcPr>
          <w:p w14:paraId="49C15E15">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18607310422</w:t>
            </w:r>
          </w:p>
        </w:tc>
      </w:tr>
      <w:tr w14:paraId="7D134F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2DA6FD9B">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中国光大银行长沙分行</w:t>
            </w:r>
          </w:p>
        </w:tc>
        <w:tc>
          <w:tcPr>
            <w:tcW w:w="1080" w:type="dxa"/>
            <w:vAlign w:val="center"/>
          </w:tcPr>
          <w:p w14:paraId="09AC6E41">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邓永胜</w:t>
            </w:r>
          </w:p>
        </w:tc>
        <w:tc>
          <w:tcPr>
            <w:tcW w:w="3060" w:type="dxa"/>
            <w:vAlign w:val="center"/>
          </w:tcPr>
          <w:p w14:paraId="4AD46A34">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岳麓支行副行长</w:t>
            </w:r>
          </w:p>
        </w:tc>
        <w:tc>
          <w:tcPr>
            <w:tcW w:w="2340" w:type="dxa"/>
            <w:vAlign w:val="center"/>
          </w:tcPr>
          <w:p w14:paraId="43F3F527">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13617319650</w:t>
            </w:r>
          </w:p>
        </w:tc>
      </w:tr>
      <w:tr w14:paraId="2FDD6D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4991893F">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中信银行长沙分行</w:t>
            </w:r>
          </w:p>
        </w:tc>
        <w:tc>
          <w:tcPr>
            <w:tcW w:w="1080" w:type="dxa"/>
            <w:vAlign w:val="center"/>
          </w:tcPr>
          <w:p w14:paraId="01A7E983">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蔡学军</w:t>
            </w:r>
          </w:p>
        </w:tc>
        <w:tc>
          <w:tcPr>
            <w:tcW w:w="3060" w:type="dxa"/>
            <w:vAlign w:val="center"/>
          </w:tcPr>
          <w:p w14:paraId="3CE709C3">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公司银行部负责人</w:t>
            </w:r>
          </w:p>
        </w:tc>
        <w:tc>
          <w:tcPr>
            <w:tcW w:w="2340" w:type="dxa"/>
            <w:vAlign w:val="center"/>
          </w:tcPr>
          <w:p w14:paraId="6F864CC5">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13055167195</w:t>
            </w:r>
          </w:p>
        </w:tc>
      </w:tr>
      <w:tr w14:paraId="0FCF4E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21E15C57">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中信银行长沙分行</w:t>
            </w:r>
          </w:p>
        </w:tc>
        <w:tc>
          <w:tcPr>
            <w:tcW w:w="1080" w:type="dxa"/>
            <w:vAlign w:val="center"/>
          </w:tcPr>
          <w:p w14:paraId="2AAA75F4">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宋学农</w:t>
            </w:r>
          </w:p>
        </w:tc>
        <w:tc>
          <w:tcPr>
            <w:tcW w:w="3060" w:type="dxa"/>
            <w:vAlign w:val="center"/>
          </w:tcPr>
          <w:p w14:paraId="74950C9E">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银行部综合管理部副总经理</w:t>
            </w:r>
          </w:p>
        </w:tc>
        <w:tc>
          <w:tcPr>
            <w:tcW w:w="2340" w:type="dxa"/>
            <w:vAlign w:val="center"/>
          </w:tcPr>
          <w:p w14:paraId="593F5AA4">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0731-845822141</w:t>
            </w:r>
          </w:p>
        </w:tc>
      </w:tr>
    </w:tbl>
    <w:p w14:paraId="2304EB68">
      <w:pPr>
        <w:adjustRightInd w:val="0"/>
        <w:snapToGrid w:val="0"/>
        <w:spacing w:line="360" w:lineRule="auto"/>
        <w:rPr>
          <w:rFonts w:hint="eastAsia" w:ascii="宋体" w:hAnsi="宋体" w:eastAsia="宋体" w:cs="宋体"/>
          <w:b/>
          <w:bCs/>
          <w:color w:val="auto"/>
          <w:szCs w:val="21"/>
          <w:highlight w:val="none"/>
        </w:rPr>
      </w:pPr>
    </w:p>
    <w:p w14:paraId="114D83C8">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附页2</w:t>
      </w:r>
    </w:p>
    <w:p w14:paraId="1DB30829">
      <w:pPr>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rPr>
        <w:t>湖南省政府采购信用担保试点工作的</w:t>
      </w:r>
      <w:r>
        <w:rPr>
          <w:rFonts w:hint="eastAsia" w:ascii="宋体" w:hAnsi="宋体" w:eastAsia="宋体" w:cs="宋体"/>
          <w:b/>
          <w:color w:val="auto"/>
          <w:sz w:val="28"/>
          <w:szCs w:val="28"/>
          <w:highlight w:val="none"/>
        </w:rPr>
        <w:t>信用担保机构名单</w:t>
      </w:r>
    </w:p>
    <w:tbl>
      <w:tblPr>
        <w:tblStyle w:val="2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0886A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45F8D38E">
            <w:pPr>
              <w:adjustRightInd w:val="0"/>
              <w:snapToGrid w:val="0"/>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信用担保机构</w:t>
            </w:r>
          </w:p>
        </w:tc>
        <w:tc>
          <w:tcPr>
            <w:tcW w:w="1080" w:type="dxa"/>
            <w:vAlign w:val="center"/>
          </w:tcPr>
          <w:p w14:paraId="29FE8EC0">
            <w:pPr>
              <w:adjustRightInd w:val="0"/>
              <w:snapToGrid w:val="0"/>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联系人</w:t>
            </w:r>
          </w:p>
        </w:tc>
        <w:tc>
          <w:tcPr>
            <w:tcW w:w="3780" w:type="dxa"/>
            <w:vAlign w:val="center"/>
          </w:tcPr>
          <w:p w14:paraId="4E62F1BC">
            <w:pPr>
              <w:adjustRightInd w:val="0"/>
              <w:snapToGrid w:val="0"/>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color w:val="auto"/>
                <w:szCs w:val="21"/>
                <w:highlight w:val="none"/>
              </w:rPr>
              <w:t>联系电话</w:t>
            </w:r>
          </w:p>
        </w:tc>
      </w:tr>
      <w:tr w14:paraId="70BFA2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333749B4">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中国投资担保公司</w:t>
            </w:r>
          </w:p>
        </w:tc>
        <w:tc>
          <w:tcPr>
            <w:tcW w:w="1080" w:type="dxa"/>
            <w:vAlign w:val="center"/>
          </w:tcPr>
          <w:p w14:paraId="49C2DB60">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何  嘉</w:t>
            </w:r>
          </w:p>
        </w:tc>
        <w:tc>
          <w:tcPr>
            <w:tcW w:w="3780" w:type="dxa"/>
            <w:vAlign w:val="center"/>
          </w:tcPr>
          <w:p w14:paraId="16816013">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010-88822659/13718642233</w:t>
            </w:r>
          </w:p>
        </w:tc>
      </w:tr>
      <w:tr w14:paraId="1B17BD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5DB7C46C">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湖南省中小企业信用担保有限责任公司</w:t>
            </w:r>
          </w:p>
        </w:tc>
        <w:tc>
          <w:tcPr>
            <w:tcW w:w="1080" w:type="dxa"/>
            <w:vAlign w:val="center"/>
          </w:tcPr>
          <w:p w14:paraId="2FF6B4CF">
            <w:pPr>
              <w:adjustRightInd w:val="0"/>
              <w:snapToGrid w:val="0"/>
              <w:spacing w:line="360" w:lineRule="auto"/>
              <w:jc w:val="center"/>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蔡建雄</w:t>
            </w:r>
          </w:p>
        </w:tc>
        <w:tc>
          <w:tcPr>
            <w:tcW w:w="3780" w:type="dxa"/>
            <w:vAlign w:val="center"/>
          </w:tcPr>
          <w:p w14:paraId="576C1DD3">
            <w:pPr>
              <w:adjustRightInd w:val="0"/>
              <w:snapToGrid w:val="0"/>
              <w:spacing w:line="360" w:lineRule="auto"/>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0731-84172390-201/15573193555</w:t>
            </w:r>
          </w:p>
        </w:tc>
      </w:tr>
      <w:tr w14:paraId="542A52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8" w:hRule="atLeast"/>
        </w:trPr>
        <w:tc>
          <w:tcPr>
            <w:tcW w:w="4320" w:type="dxa"/>
            <w:vAlign w:val="center"/>
          </w:tcPr>
          <w:p w14:paraId="5731FB35">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湖南农业信用担保有限公司</w:t>
            </w:r>
          </w:p>
        </w:tc>
        <w:tc>
          <w:tcPr>
            <w:tcW w:w="1080" w:type="dxa"/>
            <w:vAlign w:val="center"/>
          </w:tcPr>
          <w:p w14:paraId="054588D3">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彭  球</w:t>
            </w:r>
          </w:p>
          <w:p w14:paraId="1513D8B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邓霞英</w:t>
            </w:r>
          </w:p>
        </w:tc>
        <w:tc>
          <w:tcPr>
            <w:tcW w:w="3780" w:type="dxa"/>
            <w:vAlign w:val="center"/>
          </w:tcPr>
          <w:p w14:paraId="79BC7F38">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0731-89761702/13875980906 0731-89761706/13574125851</w:t>
            </w:r>
          </w:p>
        </w:tc>
      </w:tr>
    </w:tbl>
    <w:p w14:paraId="6804CC28">
      <w:pPr>
        <w:adjustRightInd w:val="0"/>
        <w:snapToGrid w:val="0"/>
        <w:spacing w:line="360" w:lineRule="auto"/>
        <w:rPr>
          <w:rFonts w:hint="eastAsia" w:ascii="宋体" w:hAnsi="宋体" w:eastAsia="宋体" w:cs="宋体"/>
          <w:b/>
          <w:color w:val="auto"/>
          <w:szCs w:val="21"/>
          <w:highlight w:val="none"/>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78378FC7">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附页3</w:t>
      </w:r>
    </w:p>
    <w:p w14:paraId="0D90DCAD">
      <w:pPr>
        <w:adjustRightInd w:val="0"/>
        <w:snapToGrid w:val="0"/>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政府采购履约担保函</w:t>
      </w:r>
    </w:p>
    <w:p w14:paraId="6536CF0F">
      <w:pPr>
        <w:adjustRightInd w:val="0"/>
        <w:snapToGrid w:val="0"/>
        <w:spacing w:line="360" w:lineRule="auto"/>
        <w:ind w:firstLine="6510" w:firstLineChars="31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编号：</w:t>
      </w:r>
      <w:r>
        <w:rPr>
          <w:rFonts w:hint="eastAsia" w:ascii="宋体" w:hAnsi="宋体" w:eastAsia="宋体" w:cs="宋体"/>
          <w:color w:val="auto"/>
          <w:kern w:val="0"/>
          <w:szCs w:val="21"/>
          <w:highlight w:val="none"/>
          <w:u w:val="single"/>
        </w:rPr>
        <w:t xml:space="preserve">              </w:t>
      </w:r>
    </w:p>
    <w:p w14:paraId="7EA87D42">
      <w:pPr>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（采购人）： </w:t>
      </w:r>
    </w:p>
    <w:p w14:paraId="74A656CD">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鉴于你方与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（以下简称供应商）于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日签定编号为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政府采购合同》（以下简称主合同），且依据该合同的约定，供应商应在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日前向你方交纳履约保证金，且可以履约担保函的形式交纳履约保证金。应供应商的申请，我方以保证的方式向你方提供如下履约保证金担保：</w:t>
      </w:r>
    </w:p>
    <w:p w14:paraId="37205E05">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一、保证责任的情形及保证金额</w:t>
      </w:r>
    </w:p>
    <w:p w14:paraId="61429D6D">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（一）在供应商出现下列情形之一时，我方承担保证责任：</w:t>
      </w:r>
    </w:p>
    <w:p w14:paraId="140D146C">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1．将中标项目转让给他人，或者在投标文件中未说明，且未经采购人同意，将中标项目分包给他人的；</w:t>
      </w:r>
    </w:p>
    <w:p w14:paraId="6E1F0A31">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2．主合同约定的应当缴纳履约保证金的情形: </w:t>
      </w:r>
    </w:p>
    <w:p w14:paraId="6944026C">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 xml:space="preserve">（1）未按主合同约定的质量、数量和期限供应货物/提供服务/完成工程的； </w:t>
      </w:r>
    </w:p>
    <w:p w14:paraId="4139CBC3">
      <w:pPr>
        <w:adjustRightInd w:val="0"/>
        <w:snapToGrid w:val="0"/>
        <w:spacing w:line="360" w:lineRule="auto"/>
        <w:ind w:firstLine="420" w:firstLineChars="2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1C6C782A">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（二）我方的保证范围是主合同约定的合同价款总额的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%数额为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元（大写</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），币种为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。（即主合同履约保证金金额）</w:t>
      </w:r>
    </w:p>
    <w:p w14:paraId="53736D40">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二、保证的方式及保证期间 </w:t>
      </w:r>
    </w:p>
    <w:p w14:paraId="6E93B691">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我方保证的方式为：连带责任保证。 </w:t>
      </w:r>
    </w:p>
    <w:p w14:paraId="321D50C2">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我方保证的期间为：自本合同生效之日起至供应商按照主合同约定的供货/完工期限届满后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日内。</w:t>
      </w:r>
    </w:p>
    <w:p w14:paraId="7BFB3334">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如果供应商未按主合同约定向贵方供应货物/提供服务/完成工程的，由我方在保证金额内向你方支付上述款项。 </w:t>
      </w:r>
    </w:p>
    <w:p w14:paraId="33BEED8E">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三、承担保证责任的程序</w:t>
      </w:r>
    </w:p>
    <w:p w14:paraId="2289749B">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132E1EE4">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如果你方与供应商因货物质量问题产生争议，你方还需同时提供</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部门出具的质量检测报告，或经诉讼（仲裁）程序裁决后的裁决书、调解书，本保证人即按照检测结果或裁决书、调解书决定是否承担保证责任。</w:t>
      </w:r>
    </w:p>
    <w:p w14:paraId="775C2590">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2．我方收到你方的书面索赔通知及相应证明材料，在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工作日内进行核定后按照本保函的承诺承担保证责任。</w:t>
      </w:r>
    </w:p>
    <w:p w14:paraId="74D8B12F">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四、保证责任的终止</w:t>
      </w:r>
    </w:p>
    <w:p w14:paraId="54FC2873">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7C7A5182">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2．我方按照本保函向你方履行了保证责任后，自我方向你方支付款项（支付款项从我方账户划出）之日起，保证责任即终止。</w:t>
      </w:r>
    </w:p>
    <w:p w14:paraId="07F0DE2B">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3．按照法律法规的规定或出现应终止我方保证责任的其它情形的，我方在本保函项下的保证责任亦终止。</w:t>
      </w:r>
    </w:p>
    <w:p w14:paraId="59711140">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42FE4D6D">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五、免责条款</w:t>
      </w:r>
    </w:p>
    <w:p w14:paraId="21CD1991">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1．因你方违反主合同约定致使供应商不能履行义务的，我方不承担保证责任。</w:t>
      </w:r>
    </w:p>
    <w:p w14:paraId="357FD9B1">
      <w:pPr>
        <w:adjustRightInd w:val="0"/>
        <w:snapToGrid w:val="0"/>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2．依照法律法规的规定或你方与供应商的另行约定，全部或者部分免除供应商应缴纳的保证金义务的，我方亦免除相应的保证责任。</w:t>
      </w:r>
    </w:p>
    <w:p w14:paraId="4C74AEC0">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3．因不可抗力造成供应商不能履行供货义务的，我方不承担保证责任。</w:t>
      </w:r>
    </w:p>
    <w:p w14:paraId="0D27EFBE">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六、争议的解决</w:t>
      </w:r>
    </w:p>
    <w:p w14:paraId="3864E1EF">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因本保函发生的纠纷，由你我双方协商解决，协商不成的，通过诉讼程序解决，诉讼管辖地法院为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法院。</w:t>
      </w:r>
    </w:p>
    <w:p w14:paraId="5EBF53EC">
      <w:pPr>
        <w:adjustRightInd w:val="0"/>
        <w:snapToGrid w:val="0"/>
        <w:spacing w:line="360" w:lineRule="auto"/>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七、保函的生效 </w:t>
      </w:r>
    </w:p>
    <w:p w14:paraId="01A85774">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本保函自我方加盖公章之日起生效。 </w:t>
      </w:r>
    </w:p>
    <w:p w14:paraId="20AB79B1">
      <w:pPr>
        <w:tabs>
          <w:tab w:val="left" w:pos="2850"/>
        </w:tabs>
        <w:adjustRightInd w:val="0"/>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rPr>
        <w:tab/>
      </w:r>
      <w:r>
        <w:rPr>
          <w:rFonts w:hint="eastAsia" w:ascii="宋体" w:hAnsi="宋体" w:eastAsia="宋体" w:cs="宋体"/>
          <w:color w:val="auto"/>
          <w:kern w:val="0"/>
          <w:szCs w:val="21"/>
          <w:highlight w:val="none"/>
        </w:rPr>
        <w:t xml:space="preserve">                            保证人：（公章） </w:t>
      </w:r>
    </w:p>
    <w:p w14:paraId="2A4917D5">
      <w:pPr>
        <w:adjustRightInd w:val="0"/>
        <w:snapToGrid w:val="0"/>
        <w:spacing w:line="360" w:lineRule="auto"/>
        <w:rPr>
          <w:rFonts w:hint="eastAsia" w:ascii="宋体" w:hAnsi="宋体" w:eastAsia="宋体" w:cs="宋体"/>
          <w:color w:val="auto"/>
          <w:kern w:val="0"/>
          <w:szCs w:val="21"/>
          <w:highlight w:val="none"/>
        </w:rPr>
        <w:sectPr>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日</w:t>
      </w:r>
    </w:p>
    <w:p w14:paraId="3B275985">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附页4</w:t>
      </w:r>
    </w:p>
    <w:p w14:paraId="16B1EA7A">
      <w:pPr>
        <w:adjustRightInd w:val="0"/>
        <w:snapToGrid w:val="0"/>
        <w:spacing w:line="360" w:lineRule="auto"/>
        <w:jc w:val="center"/>
        <w:rPr>
          <w:rFonts w:hint="eastAsia" w:ascii="宋体" w:hAnsi="宋体" w:eastAsia="宋体" w:cs="宋体"/>
          <w:color w:val="auto"/>
          <w:highlight w:val="none"/>
        </w:rPr>
      </w:pPr>
      <w:r>
        <w:rPr>
          <w:rFonts w:hint="eastAsia" w:ascii="宋体" w:hAnsi="宋体" w:eastAsia="宋体" w:cs="宋体"/>
          <w:b/>
          <w:color w:val="auto"/>
          <w:kern w:val="0"/>
          <w:sz w:val="28"/>
          <w:szCs w:val="28"/>
          <w:highlight w:val="none"/>
        </w:rPr>
        <w:t>评审因素和标准</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0"/>
        <w:gridCol w:w="6262"/>
      </w:tblGrid>
      <w:tr w14:paraId="4A83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720" w:type="dxa"/>
            <w:gridSpan w:val="2"/>
            <w:noWrap w:val="0"/>
            <w:vAlign w:val="center"/>
          </w:tcPr>
          <w:p w14:paraId="013B111A">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ascii="宋体" w:hAnsi="Calibri" w:cs="宋体"/>
                <w:b/>
                <w:color w:val="auto"/>
                <w:szCs w:val="20"/>
              </w:rPr>
            </w:pPr>
            <w:r>
              <w:rPr>
                <w:rFonts w:hint="eastAsia" w:ascii="宋体" w:hAnsi="宋体" w:cs="宋体"/>
                <w:b/>
                <w:color w:val="auto"/>
                <w:szCs w:val="20"/>
              </w:rPr>
              <w:t>评审因素及份值</w:t>
            </w:r>
          </w:p>
        </w:tc>
      </w:tr>
      <w:tr w14:paraId="604F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313" w:type="dxa"/>
            <w:noWrap w:val="0"/>
            <w:vAlign w:val="center"/>
          </w:tcPr>
          <w:p w14:paraId="6BD9248E">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ascii="宋体" w:hAnsi="Calibri" w:cs="宋体"/>
                <w:b/>
                <w:color w:val="auto"/>
                <w:szCs w:val="20"/>
              </w:rPr>
            </w:pPr>
            <w:r>
              <w:rPr>
                <w:rFonts w:hint="eastAsia" w:ascii="宋体" w:hAnsi="宋体" w:cs="宋体"/>
                <w:b/>
                <w:color w:val="auto"/>
                <w:szCs w:val="20"/>
              </w:rPr>
              <w:t>评审因素</w:t>
            </w:r>
          </w:p>
        </w:tc>
        <w:tc>
          <w:tcPr>
            <w:tcW w:w="6407" w:type="dxa"/>
            <w:noWrap w:val="0"/>
            <w:vAlign w:val="center"/>
          </w:tcPr>
          <w:p w14:paraId="2EF258E0">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ascii="宋体" w:hAnsi="Calibri" w:cs="宋体"/>
                <w:b/>
                <w:color w:val="auto"/>
                <w:szCs w:val="20"/>
              </w:rPr>
            </w:pPr>
            <w:r>
              <w:rPr>
                <w:rFonts w:hint="eastAsia" w:ascii="宋体" w:hAnsi="宋体" w:cs="宋体"/>
                <w:b/>
                <w:color w:val="auto"/>
                <w:szCs w:val="20"/>
              </w:rPr>
              <w:t>分值</w:t>
            </w:r>
          </w:p>
        </w:tc>
      </w:tr>
      <w:tr w14:paraId="2CB5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313" w:type="dxa"/>
            <w:noWrap w:val="0"/>
            <w:vAlign w:val="center"/>
          </w:tcPr>
          <w:p w14:paraId="3ACF7B09">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ascii="宋体" w:hAnsi="Calibri" w:cs="宋体"/>
                <w:b/>
                <w:bCs/>
                <w:color w:val="auto"/>
                <w:szCs w:val="20"/>
              </w:rPr>
            </w:pPr>
            <w:r>
              <w:rPr>
                <w:rFonts w:hint="eastAsia" w:ascii="宋体" w:hAnsi="宋体" w:cs="宋体"/>
                <w:b/>
                <w:bCs/>
                <w:color w:val="auto"/>
                <w:szCs w:val="20"/>
              </w:rPr>
              <w:t>价格部分</w:t>
            </w:r>
          </w:p>
        </w:tc>
        <w:tc>
          <w:tcPr>
            <w:tcW w:w="6407" w:type="dxa"/>
            <w:noWrap w:val="0"/>
            <w:vAlign w:val="center"/>
          </w:tcPr>
          <w:p w14:paraId="225B6B45">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hint="default" w:ascii="宋体" w:hAnsi="Calibri" w:eastAsia="宋体" w:cs="宋体"/>
                <w:b/>
                <w:bCs/>
                <w:color w:val="auto"/>
                <w:szCs w:val="20"/>
                <w:highlight w:val="none"/>
                <w:lang w:val="en-US" w:eastAsia="zh-CN"/>
              </w:rPr>
            </w:pPr>
            <w:r>
              <w:rPr>
                <w:rFonts w:hint="eastAsia" w:ascii="宋体" w:hAnsi="Calibri" w:cs="宋体"/>
                <w:b/>
                <w:bCs/>
                <w:color w:val="auto"/>
                <w:szCs w:val="20"/>
                <w:highlight w:val="none"/>
                <w:lang w:val="en-US" w:eastAsia="zh-CN"/>
              </w:rPr>
              <w:t>40</w:t>
            </w:r>
          </w:p>
        </w:tc>
      </w:tr>
      <w:tr w14:paraId="2A17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313" w:type="dxa"/>
            <w:noWrap w:val="0"/>
            <w:vAlign w:val="center"/>
          </w:tcPr>
          <w:p w14:paraId="17E9745E">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ascii="宋体" w:hAnsi="Calibri" w:cs="宋体"/>
                <w:b/>
                <w:bCs/>
                <w:color w:val="auto"/>
                <w:szCs w:val="20"/>
              </w:rPr>
            </w:pPr>
            <w:r>
              <w:rPr>
                <w:rFonts w:hint="eastAsia" w:ascii="宋体" w:hAnsi="宋体" w:cs="宋体"/>
                <w:b/>
                <w:bCs/>
                <w:color w:val="auto"/>
                <w:szCs w:val="20"/>
              </w:rPr>
              <w:t>技术部分</w:t>
            </w:r>
          </w:p>
        </w:tc>
        <w:tc>
          <w:tcPr>
            <w:tcW w:w="6407" w:type="dxa"/>
            <w:noWrap w:val="0"/>
            <w:vAlign w:val="center"/>
          </w:tcPr>
          <w:p w14:paraId="46910752">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hint="default" w:ascii="宋体" w:hAnsi="Calibri" w:eastAsia="宋体" w:cs="宋体"/>
                <w:b/>
                <w:bCs/>
                <w:color w:val="auto"/>
                <w:szCs w:val="20"/>
                <w:highlight w:val="none"/>
                <w:lang w:val="en-US" w:eastAsia="zh-CN"/>
              </w:rPr>
            </w:pPr>
            <w:r>
              <w:rPr>
                <w:rFonts w:hint="eastAsia" w:ascii="宋体" w:hAnsi="Calibri" w:cs="宋体"/>
                <w:b/>
                <w:bCs/>
                <w:color w:val="auto"/>
                <w:szCs w:val="20"/>
                <w:highlight w:val="none"/>
                <w:lang w:val="en-US" w:eastAsia="zh-CN"/>
              </w:rPr>
              <w:t>40</w:t>
            </w:r>
          </w:p>
        </w:tc>
      </w:tr>
      <w:tr w14:paraId="63F3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313" w:type="dxa"/>
            <w:noWrap w:val="0"/>
            <w:vAlign w:val="center"/>
          </w:tcPr>
          <w:p w14:paraId="01C66E01">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ascii="宋体" w:hAnsi="Calibri" w:cs="宋体"/>
                <w:b/>
                <w:bCs/>
                <w:color w:val="auto"/>
                <w:szCs w:val="20"/>
              </w:rPr>
            </w:pPr>
            <w:r>
              <w:rPr>
                <w:rFonts w:hint="eastAsia" w:ascii="宋体" w:hAnsi="宋体" w:cs="宋体"/>
                <w:b/>
                <w:bCs/>
                <w:color w:val="auto"/>
                <w:szCs w:val="20"/>
              </w:rPr>
              <w:t>商务部分</w:t>
            </w:r>
          </w:p>
        </w:tc>
        <w:tc>
          <w:tcPr>
            <w:tcW w:w="6407" w:type="dxa"/>
            <w:noWrap w:val="0"/>
            <w:vAlign w:val="center"/>
          </w:tcPr>
          <w:p w14:paraId="63F42BB1">
            <w:pPr>
              <w:keepNext w:val="0"/>
              <w:keepLines w:val="0"/>
              <w:pageBreakBefore w:val="0"/>
              <w:widowControl w:val="0"/>
              <w:kinsoku/>
              <w:wordWrap/>
              <w:overflowPunct/>
              <w:topLinePunct w:val="0"/>
              <w:autoSpaceDE/>
              <w:autoSpaceDN/>
              <w:bidi w:val="0"/>
              <w:spacing w:line="360" w:lineRule="exact"/>
              <w:ind w:left="0" w:leftChars="0" w:right="0" w:rightChars="0"/>
              <w:jc w:val="center"/>
              <w:textAlignment w:val="auto"/>
              <w:rPr>
                <w:rFonts w:hint="default" w:ascii="宋体" w:hAnsi="Calibri" w:eastAsia="宋体" w:cs="宋体"/>
                <w:b/>
                <w:bCs/>
                <w:color w:val="auto"/>
                <w:szCs w:val="20"/>
                <w:highlight w:val="none"/>
                <w:lang w:val="en-US" w:eastAsia="zh-CN"/>
              </w:rPr>
            </w:pPr>
            <w:r>
              <w:rPr>
                <w:rFonts w:hint="eastAsia" w:ascii="宋体" w:hAnsi="Calibri" w:cs="宋体"/>
                <w:b/>
                <w:bCs/>
                <w:color w:val="auto"/>
                <w:szCs w:val="20"/>
                <w:highlight w:val="none"/>
                <w:lang w:val="en-US" w:eastAsia="zh-CN"/>
              </w:rPr>
              <w:t>20</w:t>
            </w:r>
          </w:p>
        </w:tc>
      </w:tr>
    </w:tbl>
    <w:p w14:paraId="3668ADE1">
      <w:pPr>
        <w:adjustRightInd w:val="0"/>
        <w:snapToGrid w:val="0"/>
        <w:spacing w:line="360" w:lineRule="auto"/>
        <w:jc w:val="center"/>
        <w:rPr>
          <w:rFonts w:hint="eastAsia" w:ascii="宋体" w:hAnsi="宋体" w:eastAsia="宋体" w:cs="宋体"/>
          <w:color w:val="auto"/>
          <w:highlight w:val="none"/>
        </w:rPr>
      </w:pPr>
    </w:p>
    <w:tbl>
      <w:tblPr>
        <w:tblStyle w:val="24"/>
        <w:tblpPr w:leftFromText="180" w:rightFromText="180" w:vertAnchor="text" w:horzAnchor="page" w:tblpXSpec="center" w:tblpY="535"/>
        <w:tblOverlap w:val="never"/>
        <w:tblW w:w="9457" w:type="dxa"/>
        <w:jc w:val="center"/>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80"/>
        <w:gridCol w:w="1012"/>
        <w:gridCol w:w="870"/>
        <w:gridCol w:w="780"/>
        <w:gridCol w:w="6315"/>
      </w:tblGrid>
      <w:tr w14:paraId="36D0676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40" w:hRule="atLeast"/>
          <w:jc w:val="center"/>
        </w:trPr>
        <w:tc>
          <w:tcPr>
            <w:tcW w:w="480" w:type="dxa"/>
            <w:tcBorders>
              <w:tl2br w:val="nil"/>
              <w:tr2bl w:val="nil"/>
            </w:tcBorders>
            <w:shd w:val="clear" w:color="auto" w:fill="auto"/>
            <w:vAlign w:val="center"/>
          </w:tcPr>
          <w:p w14:paraId="783D1D9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b/>
                <w:bCs/>
                <w:i w:val="0"/>
                <w:iCs w:val="0"/>
                <w:color w:val="auto"/>
                <w:sz w:val="21"/>
                <w:szCs w:val="21"/>
                <w:highlight w:val="none"/>
                <w:u w:val="none"/>
              </w:rPr>
            </w:pPr>
            <w:bookmarkStart w:id="29" w:name="_Toc17929"/>
            <w:bookmarkStart w:id="30" w:name="_Toc485821379"/>
            <w:r>
              <w:rPr>
                <w:rFonts w:hint="eastAsia" w:ascii="宋体" w:hAnsi="宋体" w:eastAsia="宋体" w:cs="宋体"/>
                <w:b/>
                <w:bCs/>
                <w:i w:val="0"/>
                <w:iCs w:val="0"/>
                <w:color w:val="auto"/>
                <w:kern w:val="0"/>
                <w:sz w:val="21"/>
                <w:szCs w:val="21"/>
                <w:highlight w:val="none"/>
                <w:u w:val="none"/>
                <w:lang w:val="en-US" w:eastAsia="zh-CN" w:bidi="ar"/>
              </w:rPr>
              <w:t>序号</w:t>
            </w:r>
          </w:p>
        </w:tc>
        <w:tc>
          <w:tcPr>
            <w:tcW w:w="2662" w:type="dxa"/>
            <w:gridSpan w:val="3"/>
            <w:tcBorders>
              <w:tl2br w:val="nil"/>
              <w:tr2bl w:val="nil"/>
            </w:tcBorders>
            <w:shd w:val="clear" w:color="auto" w:fill="auto"/>
            <w:vAlign w:val="center"/>
          </w:tcPr>
          <w:p w14:paraId="0C1E935E">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评审因素（权重分）</w:t>
            </w:r>
          </w:p>
        </w:tc>
        <w:tc>
          <w:tcPr>
            <w:tcW w:w="6315" w:type="dxa"/>
            <w:tcBorders>
              <w:tl2br w:val="nil"/>
              <w:tr2bl w:val="nil"/>
            </w:tcBorders>
            <w:shd w:val="clear" w:color="auto" w:fill="auto"/>
            <w:vAlign w:val="center"/>
          </w:tcPr>
          <w:p w14:paraId="69368E9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r>
      <w:tr w14:paraId="5CB1E5C1">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480" w:type="dxa"/>
            <w:tcBorders>
              <w:tl2br w:val="nil"/>
              <w:tr2bl w:val="nil"/>
            </w:tcBorders>
            <w:shd w:val="clear" w:color="auto" w:fill="auto"/>
            <w:vAlign w:val="center"/>
          </w:tcPr>
          <w:p w14:paraId="6340C99F">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882" w:type="dxa"/>
            <w:gridSpan w:val="2"/>
            <w:tcBorders>
              <w:tl2br w:val="nil"/>
              <w:tr2bl w:val="nil"/>
            </w:tcBorders>
            <w:shd w:val="clear" w:color="auto" w:fill="auto"/>
            <w:vAlign w:val="center"/>
          </w:tcPr>
          <w:p w14:paraId="34C96F75">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价格评价</w:t>
            </w:r>
          </w:p>
          <w:p w14:paraId="4007CE48">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40</w:t>
            </w:r>
            <w:r>
              <w:rPr>
                <w:rFonts w:hint="eastAsia" w:ascii="宋体" w:hAnsi="宋体" w:eastAsia="宋体" w:cs="宋体"/>
                <w:i w:val="0"/>
                <w:iCs w:val="0"/>
                <w:color w:val="auto"/>
                <w:kern w:val="0"/>
                <w:sz w:val="21"/>
                <w:szCs w:val="21"/>
                <w:highlight w:val="none"/>
                <w:u w:val="none"/>
                <w:lang w:val="en-US" w:eastAsia="zh-CN" w:bidi="ar"/>
              </w:rPr>
              <w:t>分）</w:t>
            </w:r>
          </w:p>
        </w:tc>
        <w:tc>
          <w:tcPr>
            <w:tcW w:w="780" w:type="dxa"/>
            <w:tcBorders>
              <w:tl2br w:val="nil"/>
              <w:tr2bl w:val="nil"/>
            </w:tcBorders>
            <w:shd w:val="clear" w:color="auto" w:fill="auto"/>
            <w:vAlign w:val="center"/>
          </w:tcPr>
          <w:p w14:paraId="39B88715">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cs="宋体"/>
                <w:b/>
                <w:bCs/>
                <w:i w:val="0"/>
                <w:iCs w:val="0"/>
                <w:color w:val="auto"/>
                <w:kern w:val="0"/>
                <w:sz w:val="21"/>
                <w:szCs w:val="21"/>
                <w:highlight w:val="none"/>
                <w:u w:val="none"/>
                <w:lang w:val="en-US" w:eastAsia="zh-CN" w:bidi="ar"/>
              </w:rPr>
              <w:t>40</w:t>
            </w:r>
          </w:p>
        </w:tc>
        <w:tc>
          <w:tcPr>
            <w:tcW w:w="6315" w:type="dxa"/>
            <w:tcBorders>
              <w:tl2br w:val="nil"/>
              <w:tr2bl w:val="nil"/>
            </w:tcBorders>
            <w:shd w:val="clear" w:color="auto" w:fill="auto"/>
            <w:vAlign w:val="top"/>
          </w:tcPr>
          <w:p w14:paraId="70EB3DB1">
            <w:pPr>
              <w:keepNext w:val="0"/>
              <w:keepLines w:val="0"/>
              <w:pageBreakBefore w:val="0"/>
              <w:widowControl/>
              <w:suppressLineNumbers w:val="0"/>
              <w:kinsoku/>
              <w:wordWrap/>
              <w:overflowPunct/>
              <w:topLinePunct w:val="0"/>
              <w:autoSpaceDE/>
              <w:autoSpaceDN/>
              <w:bidi w:val="0"/>
              <w:spacing w:line="360" w:lineRule="exact"/>
              <w:jc w:val="both"/>
              <w:textAlignment w:val="top"/>
              <w:rPr>
                <w:rStyle w:val="47"/>
                <w:rFonts w:hint="eastAsia" w:ascii="宋体" w:hAnsi="宋体" w:eastAsia="宋体" w:cs="宋体"/>
                <w:color w:val="auto"/>
                <w:sz w:val="21"/>
                <w:szCs w:val="21"/>
                <w:highlight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经评委会一致认定满足磋商文件要求且</w:t>
            </w:r>
            <w:r>
              <w:rPr>
                <w:rStyle w:val="47"/>
                <w:rFonts w:hint="eastAsia" w:ascii="宋体" w:hAnsi="宋体" w:eastAsia="宋体" w:cs="宋体"/>
                <w:color w:val="auto"/>
                <w:sz w:val="21"/>
                <w:szCs w:val="21"/>
                <w:highlight w:val="none"/>
                <w:lang w:val="en-US" w:eastAsia="zh-CN" w:bidi="ar"/>
              </w:rPr>
              <w:t>响应</w:t>
            </w:r>
            <w:r>
              <w:rPr>
                <w:rFonts w:hint="eastAsia" w:ascii="宋体" w:hAnsi="宋体" w:eastAsia="宋体" w:cs="宋体"/>
                <w:i w:val="0"/>
                <w:iCs w:val="0"/>
                <w:color w:val="auto"/>
                <w:kern w:val="0"/>
                <w:sz w:val="21"/>
                <w:szCs w:val="21"/>
                <w:highlight w:val="none"/>
                <w:u w:val="none"/>
                <w:lang w:val="en-US" w:eastAsia="zh-CN" w:bidi="ar"/>
              </w:rPr>
              <w:t>报价</w:t>
            </w:r>
            <w:r>
              <w:rPr>
                <w:rStyle w:val="47"/>
                <w:rFonts w:hint="eastAsia" w:ascii="宋体" w:hAnsi="宋体" w:eastAsia="宋体" w:cs="宋体"/>
                <w:color w:val="auto"/>
                <w:sz w:val="21"/>
                <w:szCs w:val="21"/>
                <w:highlight w:val="none"/>
                <w:lang w:val="en-US" w:eastAsia="zh-CN" w:bidi="ar"/>
              </w:rPr>
              <w:t>最低的为评标基准价，其价格得分计满分，其他投标人的价格得分统一按公式计算：</w:t>
            </w:r>
          </w:p>
          <w:p w14:paraId="7510409D">
            <w:pPr>
              <w:keepNext w:val="0"/>
              <w:keepLines w:val="0"/>
              <w:pageBreakBefore w:val="0"/>
              <w:widowControl/>
              <w:suppressLineNumbers w:val="0"/>
              <w:kinsoku/>
              <w:wordWrap/>
              <w:overflowPunct/>
              <w:topLinePunct w:val="0"/>
              <w:autoSpaceDE/>
              <w:autoSpaceDN/>
              <w:bidi w:val="0"/>
              <w:spacing w:line="360" w:lineRule="exact"/>
              <w:jc w:val="both"/>
              <w:textAlignment w:val="top"/>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磋商报价得分=（磋商基准价/最后磋商报价）×</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lang w:eastAsia="zh-CN"/>
              </w:rPr>
              <w:t>。</w:t>
            </w:r>
          </w:p>
          <w:p w14:paraId="0CC3AB99">
            <w:pPr>
              <w:keepNext w:val="0"/>
              <w:keepLines w:val="0"/>
              <w:pageBreakBefore w:val="0"/>
              <w:widowControl/>
              <w:suppressLineNumbers w:val="0"/>
              <w:kinsoku/>
              <w:wordWrap/>
              <w:overflowPunct/>
              <w:topLinePunct w:val="0"/>
              <w:autoSpaceDE/>
              <w:autoSpaceDN/>
              <w:bidi w:val="0"/>
              <w:spacing w:line="360" w:lineRule="exact"/>
              <w:jc w:val="both"/>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注：评标委员会在评审中发现有【磋商须知前附表】规定情形之一的，评标委员会应当启动异常低价投标审查程序。</w:t>
            </w:r>
          </w:p>
        </w:tc>
      </w:tr>
      <w:tr w14:paraId="651DC625">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7" w:hRule="atLeast"/>
          <w:jc w:val="center"/>
        </w:trPr>
        <w:tc>
          <w:tcPr>
            <w:tcW w:w="480" w:type="dxa"/>
            <w:vMerge w:val="restart"/>
            <w:tcBorders>
              <w:tl2br w:val="nil"/>
              <w:tr2bl w:val="nil"/>
            </w:tcBorders>
            <w:shd w:val="clear" w:color="auto" w:fill="auto"/>
            <w:vAlign w:val="center"/>
          </w:tcPr>
          <w:p w14:paraId="3A91CA9A">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2" w:type="dxa"/>
            <w:vMerge w:val="restart"/>
            <w:tcBorders>
              <w:tl2br w:val="nil"/>
              <w:tr2bl w:val="nil"/>
            </w:tcBorders>
            <w:shd w:val="clear" w:color="auto" w:fill="auto"/>
            <w:vAlign w:val="center"/>
          </w:tcPr>
          <w:p w14:paraId="4D8E0DA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商务</w:t>
            </w:r>
          </w:p>
          <w:p w14:paraId="05EAD91E">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评价</w:t>
            </w:r>
          </w:p>
          <w:p w14:paraId="17869AB2">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r>
              <w:rPr>
                <w:rStyle w:val="46"/>
                <w:rFonts w:hint="eastAsia" w:ascii="宋体" w:hAnsi="宋体" w:cs="宋体"/>
                <w:color w:val="auto"/>
                <w:sz w:val="21"/>
                <w:szCs w:val="21"/>
                <w:highlight w:val="none"/>
                <w:lang w:val="en-US" w:eastAsia="zh-CN" w:bidi="ar"/>
              </w:rPr>
              <w:t>20</w:t>
            </w:r>
            <w:r>
              <w:rPr>
                <w:rStyle w:val="47"/>
                <w:rFonts w:hint="eastAsia" w:ascii="宋体" w:hAnsi="宋体" w:eastAsia="宋体" w:cs="宋体"/>
                <w:color w:val="auto"/>
                <w:sz w:val="21"/>
                <w:szCs w:val="21"/>
                <w:highlight w:val="none"/>
                <w:lang w:val="en-US" w:eastAsia="zh-CN" w:bidi="ar"/>
              </w:rPr>
              <w:t>分</w:t>
            </w:r>
            <w:r>
              <w:rPr>
                <w:rFonts w:hint="eastAsia" w:ascii="宋体" w:hAnsi="宋体" w:eastAsia="宋体" w:cs="宋体"/>
                <w:i w:val="0"/>
                <w:iCs w:val="0"/>
                <w:color w:val="auto"/>
                <w:kern w:val="0"/>
                <w:sz w:val="21"/>
                <w:szCs w:val="21"/>
                <w:highlight w:val="none"/>
                <w:u w:val="none"/>
                <w:lang w:val="en-US" w:eastAsia="zh-CN" w:bidi="ar"/>
              </w:rPr>
              <w:t>）</w:t>
            </w:r>
          </w:p>
        </w:tc>
        <w:tc>
          <w:tcPr>
            <w:tcW w:w="870" w:type="dxa"/>
            <w:tcBorders>
              <w:tl2br w:val="nil"/>
              <w:tr2bl w:val="nil"/>
            </w:tcBorders>
            <w:shd w:val="clear" w:color="auto" w:fill="auto"/>
            <w:vAlign w:val="center"/>
          </w:tcPr>
          <w:p w14:paraId="00E2C51C">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类似</w:t>
            </w:r>
          </w:p>
          <w:p w14:paraId="1DA62F1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sz w:val="21"/>
                <w:szCs w:val="21"/>
                <w:highlight w:val="none"/>
                <w:u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业绩</w:t>
            </w:r>
          </w:p>
        </w:tc>
        <w:tc>
          <w:tcPr>
            <w:tcW w:w="780" w:type="dxa"/>
            <w:tcBorders>
              <w:tl2br w:val="nil"/>
              <w:tr2bl w:val="nil"/>
            </w:tcBorders>
            <w:shd w:val="clear" w:color="auto" w:fill="auto"/>
            <w:vAlign w:val="center"/>
          </w:tcPr>
          <w:p w14:paraId="6547C1D6">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b/>
                <w:bCs/>
                <w:i w:val="0"/>
                <w:iCs w:val="0"/>
                <w:color w:val="auto"/>
                <w:sz w:val="21"/>
                <w:szCs w:val="21"/>
                <w:highlight w:val="none"/>
                <w:u w:val="none"/>
                <w:lang w:val="en-US"/>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10</w:t>
            </w:r>
          </w:p>
        </w:tc>
        <w:tc>
          <w:tcPr>
            <w:tcW w:w="6315" w:type="dxa"/>
            <w:tcBorders>
              <w:tl2br w:val="nil"/>
              <w:tr2bl w:val="nil"/>
            </w:tcBorders>
            <w:shd w:val="clear" w:color="auto" w:fill="auto"/>
            <w:vAlign w:val="center"/>
          </w:tcPr>
          <w:p w14:paraId="3F33B1F2">
            <w:pPr>
              <w:keepNext w:val="0"/>
              <w:keepLines w:val="0"/>
              <w:pageBreakBefore w:val="0"/>
              <w:widowControl/>
              <w:suppressLineNumbers w:val="0"/>
              <w:kinsoku/>
              <w:wordWrap/>
              <w:overflowPunct/>
              <w:topLinePunct w:val="0"/>
              <w:autoSpaceDE/>
              <w:autoSpaceDN/>
              <w:bidi w:val="0"/>
              <w:spacing w:line="360" w:lineRule="exact"/>
              <w:jc w:val="both"/>
              <w:textAlignment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自2023年1月1至提交投标文件截止时间止（以合同签订日期为准），每提供一项类似项目业绩计2.5分，满分10分。</w:t>
            </w:r>
          </w:p>
          <w:p w14:paraId="7CA4A80B">
            <w:pPr>
              <w:keepNext w:val="0"/>
              <w:keepLines w:val="0"/>
              <w:pageBreakBefore w:val="0"/>
              <w:widowControl/>
              <w:suppressLineNumbers w:val="0"/>
              <w:kinsoku/>
              <w:wordWrap/>
              <w:overflowPunct/>
              <w:topLinePunct w:val="0"/>
              <w:autoSpaceDE/>
              <w:autoSpaceDN/>
              <w:bidi w:val="0"/>
              <w:spacing w:line="360" w:lineRule="exact"/>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注：响应文件中需提供合同协议书复印件加盖投标人公章，否则不计分。</w:t>
            </w:r>
          </w:p>
        </w:tc>
      </w:tr>
      <w:tr w14:paraId="252726FE">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1047" w:hRule="atLeast"/>
          <w:jc w:val="center"/>
        </w:trPr>
        <w:tc>
          <w:tcPr>
            <w:tcW w:w="480" w:type="dxa"/>
            <w:vMerge w:val="continue"/>
            <w:tcBorders>
              <w:tl2br w:val="nil"/>
              <w:tr2bl w:val="nil"/>
            </w:tcBorders>
            <w:shd w:val="clear" w:color="auto" w:fill="auto"/>
            <w:vAlign w:val="center"/>
          </w:tcPr>
          <w:p w14:paraId="4BFF8961">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12" w:type="dxa"/>
            <w:vMerge w:val="continue"/>
            <w:tcBorders>
              <w:tl2br w:val="nil"/>
              <w:tr2bl w:val="nil"/>
            </w:tcBorders>
            <w:shd w:val="clear" w:color="auto" w:fill="auto"/>
            <w:vAlign w:val="center"/>
          </w:tcPr>
          <w:p w14:paraId="675F5D56">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0" w:type="dxa"/>
            <w:tcBorders>
              <w:tl2br w:val="nil"/>
              <w:tr2bl w:val="nil"/>
            </w:tcBorders>
            <w:shd w:val="clear" w:color="auto" w:fill="auto"/>
            <w:vAlign w:val="center"/>
          </w:tcPr>
          <w:p w14:paraId="22F74914">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售后</w:t>
            </w:r>
          </w:p>
          <w:p w14:paraId="3353E57D">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服务</w:t>
            </w:r>
          </w:p>
        </w:tc>
        <w:tc>
          <w:tcPr>
            <w:tcW w:w="780" w:type="dxa"/>
            <w:tcBorders>
              <w:tl2br w:val="nil"/>
              <w:tr2bl w:val="nil"/>
            </w:tcBorders>
            <w:shd w:val="clear" w:color="auto" w:fill="auto"/>
            <w:vAlign w:val="center"/>
          </w:tcPr>
          <w:p w14:paraId="1B3EB1D1">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b/>
                <w:bCs/>
                <w:i w:val="0"/>
                <w:iCs w:val="0"/>
                <w:color w:val="auto"/>
                <w:kern w:val="0"/>
                <w:sz w:val="21"/>
                <w:szCs w:val="21"/>
                <w:highlight w:val="none"/>
                <w:u w:val="none"/>
                <w:lang w:val="en-US" w:eastAsia="zh-CN" w:bidi="ar"/>
              </w:rPr>
              <w:t>10</w:t>
            </w:r>
          </w:p>
        </w:tc>
        <w:tc>
          <w:tcPr>
            <w:tcW w:w="6315" w:type="dxa"/>
            <w:tcBorders>
              <w:tl2br w:val="nil"/>
              <w:tr2bl w:val="nil"/>
            </w:tcBorders>
            <w:shd w:val="clear" w:color="auto" w:fill="auto"/>
            <w:vAlign w:val="center"/>
          </w:tcPr>
          <w:p w14:paraId="1A6DA585">
            <w:pPr>
              <w:keepNext w:val="0"/>
              <w:keepLines w:val="0"/>
              <w:pageBreakBefore w:val="0"/>
              <w:kinsoku/>
              <w:wordWrap/>
              <w:overflowPunct/>
              <w:topLinePunct w:val="0"/>
              <w:autoSpaceDE/>
              <w:autoSpaceDN/>
              <w:bidi w:val="0"/>
              <w:adjustRightInd w:val="0"/>
              <w:spacing w:line="360" w:lineRule="exact"/>
              <w:rPr>
                <w:rFonts w:hint="eastAsia" w:ascii="宋体" w:hAnsi="宋体" w:cs="宋体"/>
                <w:color w:val="auto"/>
                <w:sz w:val="21"/>
                <w:szCs w:val="21"/>
                <w:highlight w:val="none"/>
                <w:lang w:val="zh-CN"/>
              </w:rPr>
            </w:pPr>
            <w:r>
              <w:rPr>
                <w:rFonts w:hint="eastAsia" w:ascii="宋体" w:hAnsi="宋体" w:cs="宋体"/>
                <w:color w:val="auto"/>
                <w:sz w:val="21"/>
                <w:szCs w:val="21"/>
                <w:highlight w:val="none"/>
                <w:lang w:val="zh-CN"/>
              </w:rPr>
              <w:t>投标人根据项目情况针对以下方面提供售后服务内容：</w:t>
            </w:r>
          </w:p>
          <w:p w14:paraId="2BAD45EB">
            <w:pPr>
              <w:keepNext w:val="0"/>
              <w:keepLines w:val="0"/>
              <w:pageBreakBefore w:val="0"/>
              <w:kinsoku/>
              <w:wordWrap/>
              <w:overflowPunct/>
              <w:topLinePunct w:val="0"/>
              <w:autoSpaceDE/>
              <w:autoSpaceDN/>
              <w:bidi w:val="0"/>
              <w:adjustRightInd w:val="0"/>
              <w:spacing w:line="360" w:lineRule="exact"/>
              <w:rPr>
                <w:rFonts w:hint="eastAsia" w:ascii="宋体" w:hAnsi="宋体" w:cs="宋体"/>
                <w:color w:val="auto"/>
                <w:sz w:val="21"/>
                <w:szCs w:val="21"/>
                <w:highlight w:val="none"/>
                <w:lang w:val="zh-CN"/>
              </w:rPr>
            </w:pPr>
            <w:r>
              <w:rPr>
                <w:rFonts w:hint="eastAsia" w:ascii="宋体" w:hAnsi="宋体" w:cs="宋体"/>
                <w:color w:val="auto"/>
                <w:sz w:val="21"/>
                <w:szCs w:val="21"/>
                <w:highlight w:val="none"/>
                <w:lang w:val="zh-CN"/>
              </w:rPr>
              <w:t>①</w:t>
            </w:r>
            <w:r>
              <w:rPr>
                <w:rFonts w:hint="eastAsia" w:ascii="宋体" w:hAnsi="宋体" w:cs="宋体"/>
                <w:color w:val="auto"/>
                <w:sz w:val="21"/>
                <w:szCs w:val="21"/>
                <w:highlight w:val="none"/>
                <w:lang w:val="en-US" w:eastAsia="zh-CN"/>
              </w:rPr>
              <w:t>售后</w:t>
            </w:r>
            <w:r>
              <w:rPr>
                <w:rFonts w:hint="eastAsia" w:ascii="宋体" w:hAnsi="宋体" w:cs="宋体"/>
                <w:color w:val="auto"/>
                <w:sz w:val="21"/>
                <w:szCs w:val="21"/>
                <w:highlight w:val="none"/>
                <w:lang w:val="zh-CN"/>
              </w:rPr>
              <w:t>服务团队</w:t>
            </w:r>
            <w:r>
              <w:rPr>
                <w:rFonts w:hint="eastAsia" w:ascii="宋体" w:hAnsi="宋体" w:cs="宋体"/>
                <w:color w:val="auto"/>
                <w:sz w:val="21"/>
                <w:szCs w:val="21"/>
                <w:highlight w:val="none"/>
                <w:lang w:val="en-US" w:eastAsia="zh-CN"/>
              </w:rPr>
              <w:t>及</w:t>
            </w:r>
            <w:r>
              <w:rPr>
                <w:rFonts w:hint="eastAsia" w:ascii="宋体" w:hAnsi="宋体" w:cs="宋体"/>
                <w:color w:val="auto"/>
                <w:sz w:val="21"/>
                <w:szCs w:val="21"/>
                <w:highlight w:val="none"/>
                <w:lang w:val="zh-CN"/>
              </w:rPr>
              <w:t>响应时间；</w:t>
            </w:r>
          </w:p>
          <w:p w14:paraId="5F0138E2">
            <w:pPr>
              <w:keepNext w:val="0"/>
              <w:keepLines w:val="0"/>
              <w:pageBreakBefore w:val="0"/>
              <w:kinsoku/>
              <w:wordWrap/>
              <w:overflowPunct/>
              <w:topLinePunct w:val="0"/>
              <w:autoSpaceDE/>
              <w:autoSpaceDN/>
              <w:bidi w:val="0"/>
              <w:adjustRightInd w:val="0"/>
              <w:spacing w:line="360" w:lineRule="exact"/>
              <w:rPr>
                <w:rFonts w:hint="eastAsia" w:ascii="宋体" w:hAnsi="宋体" w:cs="宋体"/>
                <w:color w:val="auto"/>
                <w:sz w:val="21"/>
                <w:szCs w:val="21"/>
                <w:highlight w:val="none"/>
                <w:lang w:val="zh-CN"/>
              </w:rPr>
            </w:pPr>
            <w:r>
              <w:rPr>
                <w:rFonts w:hint="eastAsia" w:ascii="宋体" w:hAnsi="宋体" w:cs="宋体"/>
                <w:color w:val="auto"/>
                <w:sz w:val="21"/>
                <w:szCs w:val="21"/>
                <w:highlight w:val="none"/>
                <w:lang w:val="zh-CN"/>
              </w:rPr>
              <w:t>②售后</w:t>
            </w:r>
            <w:r>
              <w:rPr>
                <w:rFonts w:hint="eastAsia" w:ascii="宋体" w:hAnsi="宋体" w:cs="宋体"/>
                <w:color w:val="auto"/>
                <w:sz w:val="21"/>
                <w:szCs w:val="21"/>
                <w:highlight w:val="none"/>
                <w:lang w:val="en-US" w:eastAsia="zh-CN"/>
              </w:rPr>
              <w:t>维修</w:t>
            </w:r>
            <w:r>
              <w:rPr>
                <w:rFonts w:hint="eastAsia" w:ascii="宋体" w:hAnsi="宋体" w:cs="宋体"/>
                <w:color w:val="auto"/>
                <w:sz w:val="21"/>
                <w:szCs w:val="21"/>
                <w:highlight w:val="none"/>
                <w:lang w:val="zh-CN"/>
              </w:rPr>
              <w:t>应急</w:t>
            </w:r>
            <w:r>
              <w:rPr>
                <w:rFonts w:hint="eastAsia" w:ascii="宋体" w:hAnsi="宋体" w:cs="宋体"/>
                <w:color w:val="auto"/>
                <w:sz w:val="21"/>
                <w:szCs w:val="21"/>
                <w:highlight w:val="none"/>
                <w:lang w:val="en-US" w:eastAsia="zh-CN"/>
              </w:rPr>
              <w:t>预案</w:t>
            </w:r>
            <w:r>
              <w:rPr>
                <w:rFonts w:hint="eastAsia" w:ascii="宋体" w:hAnsi="宋体" w:cs="宋体"/>
                <w:color w:val="auto"/>
                <w:sz w:val="21"/>
                <w:szCs w:val="21"/>
                <w:highlight w:val="none"/>
                <w:lang w:val="zh-CN"/>
              </w:rPr>
              <w:t>；</w:t>
            </w:r>
          </w:p>
          <w:p w14:paraId="6342ADC2">
            <w:pPr>
              <w:keepNext w:val="0"/>
              <w:keepLines w:val="0"/>
              <w:pageBreakBefore w:val="0"/>
              <w:kinsoku/>
              <w:wordWrap/>
              <w:overflowPunct/>
              <w:topLinePunct w:val="0"/>
              <w:autoSpaceDE/>
              <w:autoSpaceDN/>
              <w:bidi w:val="0"/>
              <w:adjustRightInd w:val="0"/>
              <w:spacing w:line="360" w:lineRule="exact"/>
              <w:rPr>
                <w:rFonts w:hint="eastAsia" w:ascii="宋体" w:hAnsi="宋体" w:eastAsia="宋体" w:cs="宋体"/>
                <w:color w:val="auto"/>
                <w:sz w:val="21"/>
                <w:szCs w:val="21"/>
                <w:highlight w:val="none"/>
                <w:lang w:val="zh-CN" w:eastAsia="zh-CN"/>
              </w:rPr>
            </w:pPr>
            <w:r>
              <w:rPr>
                <w:rFonts w:hint="eastAsia" w:ascii="宋体" w:hAnsi="宋体" w:cs="宋体"/>
                <w:color w:val="auto"/>
                <w:sz w:val="21"/>
                <w:szCs w:val="21"/>
                <w:highlight w:val="none"/>
                <w:lang w:val="zh-CN"/>
              </w:rPr>
              <w:t>③质保期满后的维</w:t>
            </w:r>
            <w:r>
              <w:rPr>
                <w:rFonts w:hint="eastAsia" w:ascii="宋体" w:hAnsi="宋体" w:eastAsia="宋体" w:cs="宋体"/>
                <w:color w:val="auto"/>
                <w:sz w:val="21"/>
                <w:szCs w:val="21"/>
                <w:highlight w:val="none"/>
                <w:lang w:val="zh-CN" w:eastAsia="zh-CN"/>
              </w:rPr>
              <w:t>修方案。</w:t>
            </w:r>
          </w:p>
          <w:p w14:paraId="0053562A">
            <w:pPr>
              <w:keepNext w:val="0"/>
              <w:keepLines w:val="0"/>
              <w:pageBreakBefore w:val="0"/>
              <w:kinsoku/>
              <w:wordWrap/>
              <w:overflowPunct/>
              <w:topLinePunct w:val="0"/>
              <w:autoSpaceDE/>
              <w:autoSpaceDN/>
              <w:bidi w:val="0"/>
              <w:adjustRightInd w:val="0"/>
              <w:spacing w:line="360" w:lineRule="exact"/>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④</w:t>
            </w:r>
            <w:r>
              <w:rPr>
                <w:rFonts w:hint="eastAsia" w:ascii="宋体" w:hAnsi="宋体" w:eastAsia="宋体" w:cs="宋体"/>
                <w:color w:val="auto"/>
                <w:sz w:val="21"/>
                <w:szCs w:val="21"/>
                <w:highlight w:val="none"/>
                <w:lang w:val="en-US" w:eastAsia="zh-CN"/>
              </w:rPr>
              <w:t>对本项目提出的售后服务承诺对项目实施有益且可行的方案。</w:t>
            </w:r>
          </w:p>
          <w:p w14:paraId="0C39839A">
            <w:pPr>
              <w:keepNext w:val="0"/>
              <w:keepLines w:val="0"/>
              <w:pageBreakBefore w:val="0"/>
              <w:widowControl/>
              <w:suppressLineNumbers w:val="0"/>
              <w:kinsoku/>
              <w:wordWrap/>
              <w:overflowPunct/>
              <w:topLinePunct w:val="0"/>
              <w:autoSpaceDE/>
              <w:autoSpaceDN/>
              <w:bidi w:val="0"/>
              <w:spacing w:line="360" w:lineRule="exact"/>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color w:val="auto"/>
                <w:sz w:val="21"/>
                <w:szCs w:val="21"/>
                <w:highlight w:val="none"/>
                <w:lang w:val="zh-CN"/>
              </w:rPr>
              <w:t>评标小组认为满足招标文件项目需求，完整合理的每项计</w:t>
            </w:r>
            <w:r>
              <w:rPr>
                <w:rFonts w:hint="eastAsia" w:ascii="宋体" w:hAnsi="宋体" w:cs="宋体"/>
                <w:color w:val="auto"/>
                <w:sz w:val="21"/>
                <w:szCs w:val="21"/>
                <w:highlight w:val="none"/>
                <w:lang w:val="en-US" w:eastAsia="zh-CN"/>
              </w:rPr>
              <w:t>2.5</w:t>
            </w:r>
            <w:r>
              <w:rPr>
                <w:rFonts w:hint="eastAsia" w:ascii="宋体" w:hAnsi="宋体" w:cs="宋体"/>
                <w:color w:val="auto"/>
                <w:sz w:val="21"/>
                <w:szCs w:val="21"/>
                <w:highlight w:val="none"/>
                <w:lang w:val="zh-CN"/>
              </w:rPr>
              <w:t>分，欠合理不完整的每项计</w:t>
            </w:r>
            <w:r>
              <w:rPr>
                <w:rFonts w:hint="eastAsia" w:ascii="宋体" w:hAnsi="宋体" w:cs="宋体"/>
                <w:color w:val="auto"/>
                <w:sz w:val="21"/>
                <w:szCs w:val="21"/>
                <w:highlight w:val="none"/>
                <w:lang w:val="en-US" w:eastAsia="zh-CN"/>
              </w:rPr>
              <w:t>1.5</w:t>
            </w:r>
            <w:r>
              <w:rPr>
                <w:rFonts w:hint="eastAsia" w:ascii="宋体" w:hAnsi="宋体" w:cs="宋体"/>
                <w:color w:val="auto"/>
                <w:sz w:val="21"/>
                <w:szCs w:val="21"/>
                <w:highlight w:val="none"/>
                <w:lang w:val="zh-CN"/>
              </w:rPr>
              <w:t>分，未提供不计分。</w:t>
            </w:r>
          </w:p>
        </w:tc>
      </w:tr>
      <w:tr w14:paraId="0FFBAAE1">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20" w:hRule="atLeast"/>
          <w:jc w:val="center"/>
        </w:trPr>
        <w:tc>
          <w:tcPr>
            <w:tcW w:w="480" w:type="dxa"/>
            <w:vMerge w:val="restart"/>
            <w:tcBorders>
              <w:tl2br w:val="nil"/>
              <w:tr2bl w:val="nil"/>
            </w:tcBorders>
            <w:shd w:val="clear" w:color="auto" w:fill="auto"/>
            <w:vAlign w:val="center"/>
          </w:tcPr>
          <w:p w14:paraId="1DE1E1CF">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2" w:type="dxa"/>
            <w:vMerge w:val="restart"/>
            <w:tcBorders>
              <w:tl2br w:val="nil"/>
              <w:tr2bl w:val="nil"/>
            </w:tcBorders>
            <w:shd w:val="clear" w:color="auto" w:fill="auto"/>
            <w:vAlign w:val="center"/>
          </w:tcPr>
          <w:p w14:paraId="4897E227">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技术评价项</w:t>
            </w:r>
          </w:p>
          <w:p w14:paraId="3C1257D3">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40</w:t>
            </w:r>
            <w:r>
              <w:rPr>
                <w:rFonts w:hint="eastAsia" w:ascii="宋体" w:hAnsi="宋体" w:eastAsia="宋体" w:cs="宋体"/>
                <w:i w:val="0"/>
                <w:iCs w:val="0"/>
                <w:color w:val="auto"/>
                <w:kern w:val="0"/>
                <w:sz w:val="21"/>
                <w:szCs w:val="21"/>
                <w:highlight w:val="none"/>
                <w:u w:val="none"/>
                <w:lang w:val="en-US" w:eastAsia="zh-CN" w:bidi="ar"/>
              </w:rPr>
              <w:t>分）</w:t>
            </w:r>
          </w:p>
        </w:tc>
        <w:tc>
          <w:tcPr>
            <w:tcW w:w="870" w:type="dxa"/>
            <w:tcBorders>
              <w:tl2br w:val="nil"/>
              <w:tr2bl w:val="nil"/>
            </w:tcBorders>
            <w:shd w:val="clear" w:color="auto" w:fill="auto"/>
            <w:vAlign w:val="center"/>
          </w:tcPr>
          <w:p w14:paraId="10420DFF">
            <w:pPr>
              <w:pStyle w:val="50"/>
              <w:spacing w:line="400" w:lineRule="exact"/>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val="0"/>
                <w:color w:val="auto"/>
                <w:sz w:val="21"/>
                <w:szCs w:val="21"/>
                <w:highlight w:val="none"/>
              </w:rPr>
              <w:t>施工方案与技术措施</w:t>
            </w:r>
          </w:p>
        </w:tc>
        <w:tc>
          <w:tcPr>
            <w:tcW w:w="780" w:type="dxa"/>
            <w:tcBorders>
              <w:tl2br w:val="nil"/>
              <w:tr2bl w:val="nil"/>
            </w:tcBorders>
            <w:shd w:val="clear" w:color="auto" w:fill="auto"/>
            <w:vAlign w:val="center"/>
          </w:tcPr>
          <w:p w14:paraId="35870F37">
            <w:pPr>
              <w:pStyle w:val="50"/>
              <w:spacing w:line="400" w:lineRule="exact"/>
              <w:jc w:val="center"/>
              <w:rPr>
                <w:rFonts w:hint="eastAsia" w:ascii="宋体" w:hAnsi="宋体" w:eastAsia="宋体" w:cs="宋体"/>
                <w:b/>
                <w:bCs/>
                <w:i w:val="0"/>
                <w:iCs w:val="0"/>
                <w:color w:val="auto"/>
                <w:sz w:val="21"/>
                <w:szCs w:val="21"/>
                <w:highlight w:val="none"/>
                <w:u w:val="none"/>
              </w:rPr>
            </w:pPr>
            <w:r>
              <w:rPr>
                <w:rFonts w:hint="eastAsia" w:ascii="宋体" w:hAnsi="宋体" w:cs="宋体"/>
                <w:b/>
                <w:bCs/>
                <w:color w:val="auto"/>
                <w:sz w:val="21"/>
                <w:szCs w:val="21"/>
                <w:lang w:val="en-US" w:eastAsia="zh-CN"/>
              </w:rPr>
              <w:t>10</w:t>
            </w:r>
          </w:p>
        </w:tc>
        <w:tc>
          <w:tcPr>
            <w:tcW w:w="6315" w:type="dxa"/>
            <w:tcBorders>
              <w:tl2br w:val="nil"/>
              <w:tr2bl w:val="nil"/>
            </w:tcBorders>
            <w:shd w:val="clear" w:color="auto" w:fill="auto"/>
            <w:vAlign w:val="center"/>
          </w:tcPr>
          <w:p w14:paraId="7C299824">
            <w:pPr>
              <w:pStyle w:val="50"/>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rPr>
              <w:t>从方案对</w:t>
            </w:r>
            <w:r>
              <w:rPr>
                <w:rFonts w:hint="eastAsia" w:ascii="宋体" w:hAnsi="宋体" w:eastAsia="宋体" w:cs="宋体"/>
                <w:color w:val="auto"/>
                <w:sz w:val="21"/>
                <w:szCs w:val="21"/>
                <w:lang w:val="en-US" w:eastAsia="zh-CN"/>
              </w:rPr>
              <w:t>①</w:t>
            </w:r>
            <w:r>
              <w:rPr>
                <w:rFonts w:hint="eastAsia" w:ascii="宋体" w:hAnsi="宋体" w:eastAsia="宋体" w:cs="宋体"/>
                <w:color w:val="auto"/>
                <w:sz w:val="21"/>
                <w:szCs w:val="21"/>
              </w:rPr>
              <w:t>项目总体概况是否表述清晰、完整；</w:t>
            </w:r>
            <w:r>
              <w:rPr>
                <w:rFonts w:hint="eastAsia" w:ascii="宋体" w:hAnsi="宋体" w:eastAsia="宋体" w:cs="宋体"/>
                <w:color w:val="auto"/>
                <w:sz w:val="21"/>
                <w:szCs w:val="21"/>
                <w:lang w:val="en-US" w:eastAsia="zh-CN"/>
              </w:rPr>
              <w:t>②</w:t>
            </w:r>
            <w:r>
              <w:rPr>
                <w:rFonts w:hint="eastAsia" w:ascii="宋体" w:hAnsi="宋体" w:eastAsia="宋体" w:cs="宋体"/>
                <w:color w:val="auto"/>
                <w:sz w:val="21"/>
                <w:szCs w:val="21"/>
              </w:rPr>
              <w:t>部署及措施是否先进、可靠；</w:t>
            </w:r>
            <w:r>
              <w:rPr>
                <w:rFonts w:hint="eastAsia" w:ascii="宋体" w:hAnsi="宋体" w:eastAsia="宋体" w:cs="宋体"/>
                <w:color w:val="auto"/>
                <w:sz w:val="21"/>
                <w:szCs w:val="21"/>
                <w:lang w:val="en-US" w:eastAsia="zh-CN"/>
              </w:rPr>
              <w:t>③</w:t>
            </w:r>
            <w:r>
              <w:rPr>
                <w:rFonts w:hint="eastAsia" w:ascii="宋体" w:hAnsi="宋体" w:eastAsia="宋体" w:cs="宋体"/>
                <w:color w:val="auto"/>
                <w:sz w:val="21"/>
                <w:szCs w:val="21"/>
              </w:rPr>
              <w:t>对项目主要及关键方案是否有深入的表述，对重点、难点分析是否透彻，解决方案是否切实可行；</w:t>
            </w:r>
            <w:r>
              <w:rPr>
                <w:rFonts w:hint="eastAsia" w:ascii="宋体" w:hAnsi="宋体" w:eastAsia="宋体" w:cs="宋体"/>
                <w:color w:val="auto"/>
                <w:sz w:val="21"/>
                <w:szCs w:val="21"/>
                <w:lang w:val="en-US" w:eastAsia="zh-CN"/>
              </w:rPr>
              <w:t>④</w:t>
            </w:r>
            <w:r>
              <w:rPr>
                <w:rFonts w:hint="eastAsia" w:ascii="宋体" w:hAnsi="宋体" w:eastAsia="宋体" w:cs="宋体"/>
                <w:color w:val="auto"/>
                <w:sz w:val="21"/>
                <w:szCs w:val="21"/>
              </w:rPr>
              <w:t>施工平面布置是否有针对性、合理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⑤</w:t>
            </w:r>
            <w:r>
              <w:rPr>
                <w:rFonts w:hint="eastAsia" w:ascii="宋体" w:hAnsi="宋体" w:eastAsia="宋体" w:cs="宋体"/>
                <w:color w:val="auto"/>
                <w:sz w:val="21"/>
                <w:szCs w:val="21"/>
              </w:rPr>
              <w:t>是否较好满足施工需要，是否符合安全、文明生产要求等方面</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进行综合对比评审，</w:t>
            </w:r>
            <w:r>
              <w:rPr>
                <w:rFonts w:hint="eastAsia" w:ascii="宋体" w:hAnsi="宋体" w:eastAsia="宋体" w:cs="宋体"/>
                <w:color w:val="auto"/>
                <w:sz w:val="21"/>
                <w:szCs w:val="21"/>
                <w:highlight w:val="none"/>
              </w:rPr>
              <w:t>存在上述任一要点的缺漏项</w:t>
            </w:r>
            <w:r>
              <w:rPr>
                <w:rFonts w:hint="eastAsia" w:ascii="宋体" w:hAnsi="宋体" w:eastAsia="宋体" w:cs="宋体"/>
                <w:color w:val="auto"/>
                <w:sz w:val="21"/>
                <w:szCs w:val="21"/>
                <w:highlight w:val="none"/>
                <w:lang w:val="en-US" w:eastAsia="zh-CN"/>
              </w:rPr>
              <w:t>或</w:t>
            </w:r>
            <w:r>
              <w:rPr>
                <w:rFonts w:hint="eastAsia" w:ascii="宋体" w:hAnsi="宋体" w:cs="宋体"/>
                <w:color w:val="auto"/>
                <w:sz w:val="21"/>
                <w:szCs w:val="21"/>
                <w:highlight w:val="none"/>
                <w:lang w:val="en-US" w:eastAsia="zh-CN"/>
              </w:rPr>
              <w:t>不合理的</w:t>
            </w:r>
            <w:r>
              <w:rPr>
                <w:rFonts w:hint="eastAsia" w:ascii="宋体" w:hAnsi="宋体" w:eastAsia="宋体" w:cs="宋体"/>
                <w:color w:val="auto"/>
                <w:sz w:val="21"/>
                <w:szCs w:val="21"/>
                <w:highlight w:val="none"/>
              </w:rPr>
              <w:t>，每处扣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分；内容表述不完整、</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rPr>
              <w:t>欠</w:t>
            </w:r>
            <w:r>
              <w:rPr>
                <w:rFonts w:hint="eastAsia" w:ascii="宋体" w:hAnsi="宋体" w:cs="宋体"/>
                <w:color w:val="auto"/>
                <w:sz w:val="21"/>
                <w:szCs w:val="21"/>
                <w:highlight w:val="none"/>
                <w:lang w:val="en-US" w:eastAsia="zh-CN"/>
              </w:rPr>
              <w:t>完善</w:t>
            </w:r>
            <w:r>
              <w:rPr>
                <w:rFonts w:hint="eastAsia" w:ascii="宋体" w:hAnsi="宋体" w:eastAsia="宋体" w:cs="宋体"/>
                <w:color w:val="auto"/>
                <w:sz w:val="21"/>
                <w:szCs w:val="21"/>
                <w:highlight w:val="none"/>
              </w:rPr>
              <w:t>或针对性</w:t>
            </w:r>
            <w:r>
              <w:rPr>
                <w:rFonts w:hint="eastAsia" w:ascii="宋体" w:hAnsi="宋体" w:cs="宋体"/>
                <w:color w:val="auto"/>
                <w:sz w:val="21"/>
                <w:szCs w:val="21"/>
                <w:highlight w:val="none"/>
                <w:lang w:val="en-US" w:eastAsia="zh-CN"/>
              </w:rPr>
              <w:t>欠缺</w:t>
            </w:r>
            <w:r>
              <w:rPr>
                <w:rFonts w:hint="eastAsia" w:ascii="宋体" w:hAnsi="宋体" w:eastAsia="宋体" w:cs="宋体"/>
                <w:color w:val="auto"/>
                <w:sz w:val="21"/>
                <w:szCs w:val="21"/>
                <w:highlight w:val="none"/>
              </w:rPr>
              <w:t>的，每处扣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分；本项扣完</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分为止；未提供方案的，本项计0分。</w:t>
            </w:r>
          </w:p>
        </w:tc>
      </w:tr>
      <w:tr w14:paraId="2E5B35E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1120" w:hRule="atLeast"/>
          <w:jc w:val="center"/>
        </w:trPr>
        <w:tc>
          <w:tcPr>
            <w:tcW w:w="480" w:type="dxa"/>
            <w:vMerge w:val="continue"/>
            <w:tcBorders>
              <w:tl2br w:val="nil"/>
              <w:tr2bl w:val="nil"/>
            </w:tcBorders>
            <w:shd w:val="clear" w:color="auto" w:fill="auto"/>
            <w:vAlign w:val="center"/>
          </w:tcPr>
          <w:p w14:paraId="079FEE9E">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1012" w:type="dxa"/>
            <w:vMerge w:val="continue"/>
            <w:tcBorders>
              <w:tl2br w:val="nil"/>
              <w:tr2bl w:val="nil"/>
            </w:tcBorders>
            <w:shd w:val="clear" w:color="auto" w:fill="auto"/>
            <w:vAlign w:val="center"/>
          </w:tcPr>
          <w:p w14:paraId="058A1C0E">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870" w:type="dxa"/>
            <w:tcBorders>
              <w:tl2br w:val="nil"/>
              <w:tr2bl w:val="nil"/>
            </w:tcBorders>
            <w:shd w:val="clear" w:color="auto" w:fill="auto"/>
            <w:vAlign w:val="center"/>
          </w:tcPr>
          <w:p w14:paraId="4CD09CE7">
            <w:pPr>
              <w:pStyle w:val="50"/>
              <w:spacing w:line="400" w:lineRule="exact"/>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val="0"/>
                <w:color w:val="auto"/>
                <w:sz w:val="21"/>
                <w:szCs w:val="21"/>
                <w:highlight w:val="none"/>
              </w:rPr>
              <w:t>质量管理体系与措施</w:t>
            </w:r>
          </w:p>
        </w:tc>
        <w:tc>
          <w:tcPr>
            <w:tcW w:w="780" w:type="dxa"/>
            <w:tcBorders>
              <w:tl2br w:val="nil"/>
              <w:tr2bl w:val="nil"/>
            </w:tcBorders>
            <w:shd w:val="clear" w:color="auto" w:fill="auto"/>
            <w:vAlign w:val="center"/>
          </w:tcPr>
          <w:p w14:paraId="5CB2114D">
            <w:pPr>
              <w:pStyle w:val="50"/>
              <w:spacing w:line="400" w:lineRule="exact"/>
              <w:jc w:val="center"/>
              <w:rPr>
                <w:rFonts w:hint="eastAsia" w:ascii="宋体" w:hAnsi="宋体" w:eastAsia="宋体" w:cs="宋体"/>
                <w:b/>
                <w:bCs/>
                <w:i w:val="0"/>
                <w:iCs w:val="0"/>
                <w:color w:val="auto"/>
                <w:sz w:val="21"/>
                <w:szCs w:val="21"/>
                <w:highlight w:val="none"/>
                <w:u w:val="none"/>
              </w:rPr>
            </w:pPr>
            <w:r>
              <w:rPr>
                <w:rFonts w:hint="eastAsia" w:ascii="宋体" w:hAnsi="宋体" w:cs="宋体"/>
                <w:b/>
                <w:bCs/>
                <w:color w:val="auto"/>
                <w:sz w:val="21"/>
                <w:szCs w:val="21"/>
                <w:lang w:val="en-US" w:eastAsia="zh-CN"/>
              </w:rPr>
              <w:t>8</w:t>
            </w:r>
          </w:p>
        </w:tc>
        <w:tc>
          <w:tcPr>
            <w:tcW w:w="6315" w:type="dxa"/>
            <w:tcBorders>
              <w:tl2br w:val="nil"/>
              <w:tr2bl w:val="nil"/>
            </w:tcBorders>
            <w:shd w:val="clear" w:color="auto" w:fill="auto"/>
            <w:vAlign w:val="center"/>
          </w:tcPr>
          <w:p w14:paraId="3A3D5C60">
            <w:pPr>
              <w:pStyle w:val="5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w:t>
            </w: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质量目标是否明确，是否满足采购文件的要求；</w:t>
            </w: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管理机构是否健全，职责分工是否明确；</w:t>
            </w: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管理制度是否齐全；</w:t>
            </w: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sz w:val="21"/>
                <w:szCs w:val="21"/>
                <w:highlight w:val="none"/>
              </w:rPr>
              <w:t>实施与监控措施是否全面、有效等方面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进行综合对比评审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存在上述任一要点的缺漏项</w:t>
            </w:r>
            <w:r>
              <w:rPr>
                <w:rFonts w:hint="eastAsia" w:ascii="宋体" w:hAnsi="宋体" w:eastAsia="宋体" w:cs="宋体"/>
                <w:color w:val="auto"/>
                <w:sz w:val="21"/>
                <w:szCs w:val="21"/>
                <w:highlight w:val="none"/>
                <w:lang w:val="en-US" w:eastAsia="zh-CN"/>
              </w:rPr>
              <w:t>或不合理的</w:t>
            </w:r>
            <w:r>
              <w:rPr>
                <w:rFonts w:hint="eastAsia" w:ascii="宋体" w:hAnsi="宋体" w:eastAsia="宋体" w:cs="宋体"/>
                <w:color w:val="auto"/>
                <w:sz w:val="21"/>
                <w:szCs w:val="21"/>
                <w:highlight w:val="none"/>
              </w:rPr>
              <w:t>，每处扣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分；内容表述不完整、</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rPr>
              <w:t>欠</w:t>
            </w:r>
            <w:r>
              <w:rPr>
                <w:rFonts w:hint="eastAsia" w:ascii="宋体" w:hAnsi="宋体" w:cs="宋体"/>
                <w:color w:val="auto"/>
                <w:sz w:val="21"/>
                <w:szCs w:val="21"/>
                <w:highlight w:val="none"/>
                <w:lang w:val="en-US" w:eastAsia="zh-CN"/>
              </w:rPr>
              <w:t>完善</w:t>
            </w:r>
            <w:r>
              <w:rPr>
                <w:rFonts w:hint="eastAsia" w:ascii="宋体" w:hAnsi="宋体" w:eastAsia="宋体" w:cs="宋体"/>
                <w:color w:val="auto"/>
                <w:sz w:val="21"/>
                <w:szCs w:val="21"/>
                <w:highlight w:val="none"/>
              </w:rPr>
              <w:t>或</w:t>
            </w:r>
            <w:r>
              <w:rPr>
                <w:rFonts w:hint="eastAsia" w:ascii="宋体" w:hAnsi="宋体" w:cs="宋体"/>
                <w:color w:val="auto"/>
                <w:sz w:val="21"/>
                <w:szCs w:val="21"/>
                <w:highlight w:val="none"/>
                <w:lang w:val="en-US" w:eastAsia="zh-CN"/>
              </w:rPr>
              <w:t>针对性欠缺</w:t>
            </w:r>
            <w:r>
              <w:rPr>
                <w:rFonts w:hint="eastAsia" w:ascii="宋体" w:hAnsi="宋体" w:eastAsia="宋体" w:cs="宋体"/>
                <w:color w:val="auto"/>
                <w:sz w:val="21"/>
                <w:szCs w:val="21"/>
                <w:highlight w:val="none"/>
              </w:rPr>
              <w:t>的，每处扣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分；本项扣完</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分为止；未提供方案的，本项计0分。</w:t>
            </w:r>
          </w:p>
        </w:tc>
      </w:tr>
      <w:tr w14:paraId="70A8E713">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294" w:hRule="atLeast"/>
          <w:jc w:val="center"/>
        </w:trPr>
        <w:tc>
          <w:tcPr>
            <w:tcW w:w="480" w:type="dxa"/>
            <w:vMerge w:val="continue"/>
            <w:tcBorders>
              <w:tl2br w:val="nil"/>
              <w:tr2bl w:val="nil"/>
            </w:tcBorders>
            <w:shd w:val="clear" w:color="auto" w:fill="auto"/>
            <w:vAlign w:val="center"/>
          </w:tcPr>
          <w:p w14:paraId="06CEDFA5">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1012" w:type="dxa"/>
            <w:vMerge w:val="continue"/>
            <w:tcBorders>
              <w:tl2br w:val="nil"/>
              <w:tr2bl w:val="nil"/>
            </w:tcBorders>
            <w:shd w:val="clear" w:color="auto" w:fill="auto"/>
            <w:vAlign w:val="center"/>
          </w:tcPr>
          <w:p w14:paraId="71B26FA5">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870" w:type="dxa"/>
            <w:tcBorders>
              <w:tl2br w:val="nil"/>
              <w:tr2bl w:val="nil"/>
            </w:tcBorders>
            <w:shd w:val="clear" w:color="auto" w:fill="auto"/>
            <w:vAlign w:val="center"/>
          </w:tcPr>
          <w:p w14:paraId="2E9C15F5">
            <w:pPr>
              <w:pStyle w:val="50"/>
              <w:spacing w:line="400" w:lineRule="exact"/>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val="0"/>
                <w:color w:val="auto"/>
                <w:sz w:val="21"/>
                <w:szCs w:val="21"/>
                <w:highlight w:val="none"/>
              </w:rPr>
              <w:t>安全管理体系与措施</w:t>
            </w:r>
          </w:p>
        </w:tc>
        <w:tc>
          <w:tcPr>
            <w:tcW w:w="780" w:type="dxa"/>
            <w:tcBorders>
              <w:tl2br w:val="nil"/>
              <w:tr2bl w:val="nil"/>
            </w:tcBorders>
            <w:shd w:val="clear" w:color="auto" w:fill="auto"/>
            <w:vAlign w:val="center"/>
          </w:tcPr>
          <w:p w14:paraId="1E7CBEA4">
            <w:pPr>
              <w:pStyle w:val="50"/>
              <w:spacing w:line="400" w:lineRule="exact"/>
              <w:jc w:val="center"/>
              <w:rPr>
                <w:rFonts w:hint="eastAsia" w:ascii="宋体" w:hAnsi="宋体" w:eastAsia="宋体" w:cs="宋体"/>
                <w:b/>
                <w:bCs/>
                <w:i w:val="0"/>
                <w:iCs w:val="0"/>
                <w:color w:val="auto"/>
                <w:sz w:val="21"/>
                <w:szCs w:val="21"/>
                <w:highlight w:val="none"/>
                <w:u w:val="none"/>
              </w:rPr>
            </w:pPr>
            <w:r>
              <w:rPr>
                <w:rFonts w:hint="eastAsia" w:ascii="宋体" w:hAnsi="宋体" w:cs="宋体"/>
                <w:b/>
                <w:bCs/>
                <w:color w:val="auto"/>
                <w:sz w:val="21"/>
                <w:szCs w:val="21"/>
                <w:lang w:val="en-US" w:eastAsia="zh-CN"/>
              </w:rPr>
              <w:t>6</w:t>
            </w:r>
          </w:p>
        </w:tc>
        <w:tc>
          <w:tcPr>
            <w:tcW w:w="6315" w:type="dxa"/>
            <w:tcBorders>
              <w:tl2br w:val="nil"/>
              <w:tr2bl w:val="nil"/>
            </w:tcBorders>
            <w:shd w:val="clear" w:color="auto" w:fill="auto"/>
            <w:vAlign w:val="center"/>
          </w:tcPr>
          <w:p w14:paraId="6B8599C1">
            <w:pPr>
              <w:pStyle w:val="5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w:t>
            </w: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安全目标是否明确，是否满足采购文件的要求；</w:t>
            </w: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管理机构是否健全，职责分工是否明确；</w:t>
            </w: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管理制度是否齐全；</w:t>
            </w: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sz w:val="21"/>
                <w:szCs w:val="21"/>
                <w:highlight w:val="none"/>
              </w:rPr>
              <w:t>实施与监控措施是否全面、有效等方面，进行综合对比评审，存在上述任一要点的缺漏项</w:t>
            </w:r>
            <w:r>
              <w:rPr>
                <w:rFonts w:hint="eastAsia" w:ascii="宋体" w:hAnsi="宋体" w:eastAsia="宋体" w:cs="宋体"/>
                <w:color w:val="auto"/>
                <w:sz w:val="21"/>
                <w:szCs w:val="21"/>
                <w:highlight w:val="none"/>
                <w:lang w:val="en-US" w:eastAsia="zh-CN"/>
              </w:rPr>
              <w:t>或不合理的</w:t>
            </w:r>
            <w:r>
              <w:rPr>
                <w:rFonts w:hint="eastAsia" w:ascii="宋体" w:hAnsi="宋体" w:eastAsia="宋体" w:cs="宋体"/>
                <w:color w:val="auto"/>
                <w:sz w:val="21"/>
                <w:szCs w:val="21"/>
                <w:highlight w:val="none"/>
              </w:rPr>
              <w:t>，每处扣</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分；内容表述不完整、</w:t>
            </w: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 w:val="21"/>
                <w:szCs w:val="21"/>
                <w:highlight w:val="none"/>
              </w:rPr>
              <w:t>欠</w:t>
            </w:r>
            <w:r>
              <w:rPr>
                <w:rFonts w:hint="eastAsia" w:ascii="宋体" w:hAnsi="宋体" w:eastAsia="宋体" w:cs="宋体"/>
                <w:color w:val="auto"/>
                <w:sz w:val="21"/>
                <w:szCs w:val="21"/>
                <w:highlight w:val="none"/>
                <w:lang w:val="en-US" w:eastAsia="zh-CN"/>
              </w:rPr>
              <w:t>完善</w:t>
            </w:r>
            <w:r>
              <w:rPr>
                <w:rFonts w:hint="eastAsia" w:ascii="宋体" w:hAnsi="宋体" w:eastAsia="宋体" w:cs="宋体"/>
                <w:color w:val="auto"/>
                <w:sz w:val="21"/>
                <w:szCs w:val="21"/>
                <w:highlight w:val="none"/>
              </w:rPr>
              <w:t>或针对性</w:t>
            </w:r>
            <w:r>
              <w:rPr>
                <w:rFonts w:hint="eastAsia" w:ascii="宋体" w:hAnsi="宋体" w:eastAsia="宋体" w:cs="宋体"/>
                <w:color w:val="auto"/>
                <w:sz w:val="21"/>
                <w:szCs w:val="21"/>
                <w:highlight w:val="none"/>
                <w:lang w:val="en-US" w:eastAsia="zh-CN"/>
              </w:rPr>
              <w:t>欠缺</w:t>
            </w:r>
            <w:r>
              <w:rPr>
                <w:rFonts w:hint="eastAsia" w:ascii="宋体" w:hAnsi="宋体" w:eastAsia="宋体" w:cs="宋体"/>
                <w:color w:val="auto"/>
                <w:sz w:val="21"/>
                <w:szCs w:val="21"/>
                <w:highlight w:val="none"/>
              </w:rPr>
              <w:t>的，每处扣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分；本项扣完</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分为止；未提供方案的，本项计0分。</w:t>
            </w:r>
          </w:p>
        </w:tc>
      </w:tr>
      <w:tr w14:paraId="7B588073">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4" w:hRule="atLeast"/>
          <w:jc w:val="center"/>
        </w:trPr>
        <w:tc>
          <w:tcPr>
            <w:tcW w:w="480" w:type="dxa"/>
            <w:vMerge w:val="continue"/>
            <w:tcBorders>
              <w:tl2br w:val="nil"/>
              <w:tr2bl w:val="nil"/>
            </w:tcBorders>
            <w:shd w:val="clear" w:color="auto" w:fill="auto"/>
            <w:vAlign w:val="center"/>
          </w:tcPr>
          <w:p w14:paraId="2FBE1B70">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1012" w:type="dxa"/>
            <w:vMerge w:val="continue"/>
            <w:tcBorders>
              <w:tl2br w:val="nil"/>
              <w:tr2bl w:val="nil"/>
            </w:tcBorders>
            <w:shd w:val="clear" w:color="auto" w:fill="auto"/>
            <w:vAlign w:val="center"/>
          </w:tcPr>
          <w:p w14:paraId="274CFF72">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870" w:type="dxa"/>
            <w:tcBorders>
              <w:tl2br w:val="nil"/>
              <w:tr2bl w:val="nil"/>
            </w:tcBorders>
            <w:shd w:val="clear" w:color="auto" w:fill="auto"/>
            <w:vAlign w:val="center"/>
          </w:tcPr>
          <w:p w14:paraId="64F6DA12">
            <w:pPr>
              <w:pStyle w:val="50"/>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val="0"/>
                <w:color w:val="auto"/>
                <w:sz w:val="21"/>
                <w:szCs w:val="21"/>
                <w:highlight w:val="none"/>
              </w:rPr>
              <w:t>工程进度保证措施</w:t>
            </w:r>
          </w:p>
        </w:tc>
        <w:tc>
          <w:tcPr>
            <w:tcW w:w="780" w:type="dxa"/>
            <w:tcBorders>
              <w:tl2br w:val="nil"/>
              <w:tr2bl w:val="nil"/>
            </w:tcBorders>
            <w:shd w:val="clear" w:color="auto" w:fill="auto"/>
            <w:vAlign w:val="center"/>
          </w:tcPr>
          <w:p w14:paraId="1817F7F7">
            <w:pPr>
              <w:pStyle w:val="50"/>
              <w:spacing w:line="400" w:lineRule="exact"/>
              <w:jc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cs="宋体"/>
                <w:b/>
                <w:bCs/>
                <w:color w:val="auto"/>
                <w:sz w:val="21"/>
                <w:szCs w:val="21"/>
                <w:lang w:val="en-US" w:eastAsia="zh-CN"/>
              </w:rPr>
              <w:t>8</w:t>
            </w:r>
          </w:p>
        </w:tc>
        <w:tc>
          <w:tcPr>
            <w:tcW w:w="6315" w:type="dxa"/>
            <w:tcBorders>
              <w:tl2br w:val="nil"/>
              <w:tr2bl w:val="nil"/>
            </w:tcBorders>
            <w:shd w:val="clear" w:color="auto" w:fill="auto"/>
            <w:vAlign w:val="center"/>
          </w:tcPr>
          <w:p w14:paraId="58D26936">
            <w:pPr>
              <w:adjustRightInd w:val="0"/>
              <w:snapToGrid w:val="0"/>
              <w:spacing w:line="320" w:lineRule="exact"/>
              <w:rPr>
                <w:rFonts w:hint="eastAsia" w:ascii="宋体" w:hAnsi="宋体" w:eastAsia="宋体" w:cs="宋体"/>
                <w:color w:val="auto"/>
                <w:sz w:val="21"/>
                <w:szCs w:val="21"/>
                <w:highlight w:val="none"/>
                <w:lang w:eastAsia="zh-CN"/>
              </w:rPr>
            </w:pPr>
            <w:r>
              <w:rPr>
                <w:rFonts w:hint="eastAsia" w:ascii="Times New Roman" w:hAnsi="Times New Roman" w:eastAsia="宋体" w:cs="Times New Roman"/>
                <w:color w:val="auto"/>
                <w:kern w:val="0"/>
                <w:szCs w:val="21"/>
                <w:highlight w:val="none"/>
              </w:rPr>
              <w:t>从</w:t>
            </w:r>
            <w:r>
              <w:rPr>
                <w:rFonts w:hint="eastAsia" w:ascii="Times New Roman" w:hAnsi="Times New Roman" w:eastAsia="宋体" w:cs="Times New Roman"/>
                <w:color w:val="auto"/>
                <w:kern w:val="0"/>
                <w:szCs w:val="21"/>
                <w:highlight w:val="none"/>
                <w:lang w:val="en-US" w:eastAsia="zh-CN"/>
              </w:rPr>
              <w:t>①</w:t>
            </w:r>
            <w:r>
              <w:rPr>
                <w:rFonts w:hint="eastAsia" w:ascii="Times New Roman" w:hAnsi="Times New Roman" w:eastAsia="宋体" w:cs="Times New Roman"/>
                <w:color w:val="auto"/>
                <w:kern w:val="0"/>
                <w:szCs w:val="21"/>
                <w:highlight w:val="none"/>
              </w:rPr>
              <w:t>节点工期是否满足采购文件要求；</w:t>
            </w:r>
            <w:r>
              <w:rPr>
                <w:rFonts w:hint="eastAsia" w:ascii="Times New Roman" w:hAnsi="Times New Roman" w:eastAsia="宋体" w:cs="Times New Roman"/>
                <w:color w:val="auto"/>
                <w:kern w:val="0"/>
                <w:szCs w:val="21"/>
                <w:highlight w:val="none"/>
                <w:lang w:val="en-US" w:eastAsia="zh-CN"/>
              </w:rPr>
              <w:t>②</w:t>
            </w:r>
            <w:r>
              <w:rPr>
                <w:rFonts w:hint="eastAsia" w:ascii="Times New Roman" w:hAnsi="Times New Roman" w:eastAsia="宋体" w:cs="Times New Roman"/>
                <w:color w:val="auto"/>
                <w:kern w:val="0"/>
                <w:szCs w:val="21"/>
                <w:highlight w:val="none"/>
              </w:rPr>
              <w:t>施工进度计划内容是否全面，线路是否清晰、准确、完整，</w:t>
            </w:r>
            <w:r>
              <w:rPr>
                <w:rFonts w:hint="eastAsia" w:ascii="Times New Roman" w:hAnsi="Times New Roman" w:eastAsia="宋体" w:cs="Times New Roman"/>
                <w:color w:val="auto"/>
                <w:kern w:val="0"/>
                <w:szCs w:val="21"/>
                <w:highlight w:val="none"/>
                <w:lang w:val="en-US" w:eastAsia="zh-CN"/>
              </w:rPr>
              <w:t>③</w:t>
            </w:r>
            <w:r>
              <w:rPr>
                <w:rFonts w:hint="eastAsia" w:ascii="Times New Roman" w:hAnsi="Times New Roman" w:eastAsia="宋体" w:cs="Times New Roman"/>
                <w:color w:val="auto"/>
                <w:kern w:val="0"/>
                <w:szCs w:val="21"/>
                <w:highlight w:val="none"/>
              </w:rPr>
              <w:t>计划编制是否合理、可行；</w:t>
            </w:r>
            <w:r>
              <w:rPr>
                <w:rFonts w:hint="eastAsia" w:ascii="Times New Roman" w:hAnsi="Times New Roman" w:eastAsia="宋体" w:cs="Times New Roman"/>
                <w:color w:val="auto"/>
                <w:kern w:val="0"/>
                <w:szCs w:val="21"/>
                <w:highlight w:val="none"/>
                <w:lang w:val="en-US" w:eastAsia="zh-CN"/>
              </w:rPr>
              <w:t>④</w:t>
            </w:r>
            <w:r>
              <w:rPr>
                <w:rFonts w:hint="eastAsia" w:ascii="Times New Roman" w:hAnsi="Times New Roman" w:eastAsia="宋体" w:cs="Times New Roman"/>
                <w:color w:val="auto"/>
                <w:kern w:val="0"/>
                <w:szCs w:val="21"/>
                <w:highlight w:val="none"/>
              </w:rPr>
              <w:t>措施是否有力、合理、可行等方面，进行综合对比评审，</w:t>
            </w:r>
            <w:r>
              <w:rPr>
                <w:rFonts w:hint="eastAsia" w:ascii="宋体" w:hAnsi="宋体" w:eastAsia="宋体" w:cs="宋体"/>
                <w:color w:val="auto"/>
                <w:sz w:val="21"/>
                <w:szCs w:val="21"/>
                <w:highlight w:val="none"/>
              </w:rPr>
              <w:t>存在上述任一要点的缺漏项</w:t>
            </w:r>
            <w:r>
              <w:rPr>
                <w:rFonts w:hint="eastAsia" w:ascii="宋体" w:hAnsi="宋体" w:eastAsia="宋体" w:cs="宋体"/>
                <w:color w:val="auto"/>
                <w:sz w:val="21"/>
                <w:szCs w:val="21"/>
                <w:highlight w:val="none"/>
                <w:lang w:val="en-US" w:eastAsia="zh-CN"/>
              </w:rPr>
              <w:t>或不合理的</w:t>
            </w:r>
            <w:r>
              <w:rPr>
                <w:rFonts w:hint="eastAsia" w:ascii="宋体" w:hAnsi="宋体" w:eastAsia="宋体" w:cs="宋体"/>
                <w:color w:val="auto"/>
                <w:sz w:val="21"/>
                <w:szCs w:val="21"/>
                <w:highlight w:val="none"/>
              </w:rPr>
              <w:t>，每处扣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分；内容表述不完整、</w:t>
            </w: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 w:val="21"/>
                <w:szCs w:val="21"/>
                <w:highlight w:val="none"/>
              </w:rPr>
              <w:t>欠</w:t>
            </w:r>
            <w:r>
              <w:rPr>
                <w:rFonts w:hint="eastAsia" w:ascii="宋体" w:hAnsi="宋体" w:eastAsia="宋体" w:cs="宋体"/>
                <w:color w:val="auto"/>
                <w:sz w:val="21"/>
                <w:szCs w:val="21"/>
                <w:highlight w:val="none"/>
                <w:lang w:val="en-US" w:eastAsia="zh-CN"/>
              </w:rPr>
              <w:t>完善</w:t>
            </w:r>
            <w:r>
              <w:rPr>
                <w:rFonts w:hint="eastAsia" w:ascii="宋体" w:hAnsi="宋体" w:eastAsia="宋体" w:cs="宋体"/>
                <w:color w:val="auto"/>
                <w:sz w:val="21"/>
                <w:szCs w:val="21"/>
                <w:highlight w:val="none"/>
              </w:rPr>
              <w:t>或针对性</w:t>
            </w:r>
            <w:r>
              <w:rPr>
                <w:rFonts w:hint="eastAsia" w:ascii="宋体" w:hAnsi="宋体" w:eastAsia="宋体" w:cs="宋体"/>
                <w:color w:val="auto"/>
                <w:sz w:val="21"/>
                <w:szCs w:val="21"/>
                <w:highlight w:val="none"/>
                <w:lang w:val="en-US" w:eastAsia="zh-CN"/>
              </w:rPr>
              <w:t>欠缺</w:t>
            </w:r>
            <w:r>
              <w:rPr>
                <w:rFonts w:hint="eastAsia" w:ascii="宋体" w:hAnsi="宋体" w:eastAsia="宋体" w:cs="宋体"/>
                <w:color w:val="auto"/>
                <w:sz w:val="21"/>
                <w:szCs w:val="21"/>
                <w:highlight w:val="none"/>
              </w:rPr>
              <w:t>的，每处扣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分；本项扣完</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分为止；未提供方案的，本项计0分。</w:t>
            </w:r>
          </w:p>
        </w:tc>
      </w:tr>
      <w:tr w14:paraId="7F598A9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4" w:hRule="atLeast"/>
          <w:jc w:val="center"/>
        </w:trPr>
        <w:tc>
          <w:tcPr>
            <w:tcW w:w="480" w:type="dxa"/>
            <w:vMerge w:val="continue"/>
            <w:tcBorders>
              <w:tl2br w:val="nil"/>
              <w:tr2bl w:val="nil"/>
            </w:tcBorders>
            <w:shd w:val="clear" w:color="auto" w:fill="auto"/>
            <w:vAlign w:val="center"/>
          </w:tcPr>
          <w:p w14:paraId="707DB524">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1012" w:type="dxa"/>
            <w:vMerge w:val="continue"/>
            <w:tcBorders>
              <w:tl2br w:val="nil"/>
              <w:tr2bl w:val="nil"/>
            </w:tcBorders>
            <w:shd w:val="clear" w:color="auto" w:fill="auto"/>
            <w:vAlign w:val="center"/>
          </w:tcPr>
          <w:p w14:paraId="3137B616">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870" w:type="dxa"/>
            <w:tcBorders>
              <w:tl2br w:val="nil"/>
              <w:tr2bl w:val="nil"/>
            </w:tcBorders>
            <w:shd w:val="clear" w:color="auto" w:fill="auto"/>
            <w:vAlign w:val="center"/>
          </w:tcPr>
          <w:p w14:paraId="6C6124EA">
            <w:pPr>
              <w:pStyle w:val="50"/>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rPr>
              <w:t>文明施工现场管理措施</w:t>
            </w:r>
          </w:p>
        </w:tc>
        <w:tc>
          <w:tcPr>
            <w:tcW w:w="780" w:type="dxa"/>
            <w:tcBorders>
              <w:tl2br w:val="nil"/>
              <w:tr2bl w:val="nil"/>
            </w:tcBorders>
            <w:shd w:val="clear" w:color="auto" w:fill="auto"/>
            <w:vAlign w:val="center"/>
          </w:tcPr>
          <w:p w14:paraId="417D85DF">
            <w:pPr>
              <w:pStyle w:val="50"/>
              <w:spacing w:line="400" w:lineRule="exact"/>
              <w:jc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rPr>
              <w:t>4</w:t>
            </w:r>
          </w:p>
        </w:tc>
        <w:tc>
          <w:tcPr>
            <w:tcW w:w="6315" w:type="dxa"/>
            <w:tcBorders>
              <w:tl2br w:val="nil"/>
              <w:tr2bl w:val="nil"/>
            </w:tcBorders>
            <w:shd w:val="clear" w:color="auto" w:fill="auto"/>
            <w:vAlign w:val="center"/>
          </w:tcPr>
          <w:p w14:paraId="06550A0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eastAsia="zh-CN"/>
              </w:rPr>
            </w:pPr>
            <w:r>
              <w:rPr>
                <w:rStyle w:val="26"/>
                <w:rFonts w:hint="eastAsia" w:ascii="宋体" w:hAnsi="宋体" w:eastAsia="宋体" w:cs="宋体"/>
                <w:b w:val="0"/>
                <w:color w:val="auto"/>
                <w:spacing w:val="0"/>
                <w:kern w:val="0"/>
                <w:sz w:val="21"/>
                <w:szCs w:val="24"/>
                <w:lang w:val="en-US" w:eastAsia="zh-CN" w:bidi="ar-SA"/>
              </w:rPr>
              <w:t>从对现场情况分析符合实际，提出①噪音控制，②污水控制，③扬尘控制，④材料堆放等方面的方法与措施，进行综合对比评审，存在上述任一要点的缺漏项或不合理的，每处扣1分；内容表述不完整、方案欠完善或针对性欠缺的，每处扣0.5分；本项扣完4分为止；未提供方案的，本项计0分。</w:t>
            </w:r>
          </w:p>
        </w:tc>
      </w:tr>
      <w:tr w14:paraId="417465B0">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294" w:hRule="atLeast"/>
          <w:jc w:val="center"/>
        </w:trPr>
        <w:tc>
          <w:tcPr>
            <w:tcW w:w="480" w:type="dxa"/>
            <w:vMerge w:val="continue"/>
            <w:tcBorders>
              <w:tl2br w:val="nil"/>
              <w:tr2bl w:val="nil"/>
            </w:tcBorders>
            <w:shd w:val="clear" w:color="auto" w:fill="auto"/>
            <w:vAlign w:val="center"/>
          </w:tcPr>
          <w:p w14:paraId="4F6B7FC7">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1012" w:type="dxa"/>
            <w:vMerge w:val="continue"/>
            <w:tcBorders>
              <w:tl2br w:val="nil"/>
              <w:tr2bl w:val="nil"/>
            </w:tcBorders>
            <w:shd w:val="clear" w:color="auto" w:fill="auto"/>
            <w:vAlign w:val="center"/>
          </w:tcPr>
          <w:p w14:paraId="7A51190E">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i w:val="0"/>
                <w:iCs w:val="0"/>
                <w:color w:val="auto"/>
                <w:sz w:val="21"/>
                <w:szCs w:val="21"/>
                <w:highlight w:val="none"/>
                <w:u w:val="none"/>
              </w:rPr>
            </w:pPr>
          </w:p>
        </w:tc>
        <w:tc>
          <w:tcPr>
            <w:tcW w:w="870" w:type="dxa"/>
            <w:tcBorders>
              <w:tl2br w:val="nil"/>
              <w:tr2bl w:val="nil"/>
            </w:tcBorders>
            <w:shd w:val="clear" w:color="auto" w:fill="auto"/>
            <w:vAlign w:val="center"/>
          </w:tcPr>
          <w:p w14:paraId="2F8AFDAA">
            <w:pPr>
              <w:pStyle w:val="50"/>
              <w:spacing w:line="400" w:lineRule="exact"/>
              <w:jc w:val="center"/>
              <w:rPr>
                <w:rFonts w:hint="eastAsia" w:asciiTheme="minorEastAsia" w:hAnsiTheme="minorEastAsia" w:eastAsiaTheme="minorEastAsia" w:cstheme="minorEastAsia"/>
                <w:i w:val="0"/>
                <w:iCs w:val="0"/>
                <w:color w:val="auto"/>
                <w:kern w:val="2"/>
                <w:sz w:val="21"/>
                <w:szCs w:val="21"/>
                <w:highlight w:val="none"/>
                <w:u w:val="none"/>
                <w:lang w:val="en-US" w:eastAsia="zh-CN" w:bidi="ar-SA"/>
              </w:rPr>
            </w:pPr>
            <w:r>
              <w:rPr>
                <w:rFonts w:hint="eastAsia" w:ascii="宋体" w:hAnsi="宋体" w:eastAsia="宋体" w:cs="宋体"/>
                <w:color w:val="auto"/>
                <w:sz w:val="21"/>
                <w:szCs w:val="21"/>
                <w:highlight w:val="none"/>
              </w:rPr>
              <w:t>环境保护管理体系与措施</w:t>
            </w:r>
          </w:p>
        </w:tc>
        <w:tc>
          <w:tcPr>
            <w:tcW w:w="780" w:type="dxa"/>
            <w:tcBorders>
              <w:tl2br w:val="nil"/>
              <w:tr2bl w:val="nil"/>
            </w:tcBorders>
            <w:shd w:val="clear" w:color="auto" w:fill="auto"/>
            <w:vAlign w:val="center"/>
          </w:tcPr>
          <w:p w14:paraId="70C67EFB">
            <w:pPr>
              <w:pStyle w:val="50"/>
              <w:spacing w:line="400" w:lineRule="exact"/>
              <w:jc w:val="center"/>
              <w:rPr>
                <w:rFonts w:hint="eastAsia" w:asciiTheme="minorEastAsia" w:hAnsiTheme="minorEastAsia" w:eastAsiaTheme="minorEastAsia" w:cstheme="minorEastAsia"/>
                <w:b/>
                <w:bCs/>
                <w:i w:val="0"/>
                <w:iCs w:val="0"/>
                <w:color w:val="auto"/>
                <w:kern w:val="2"/>
                <w:sz w:val="21"/>
                <w:szCs w:val="21"/>
                <w:highlight w:val="none"/>
                <w:u w:val="none"/>
                <w:lang w:val="en-US" w:eastAsia="zh-CN" w:bidi="ar-SA"/>
              </w:rPr>
            </w:pPr>
            <w:r>
              <w:rPr>
                <w:rFonts w:hint="eastAsia" w:ascii="宋体" w:hAnsi="宋体" w:eastAsia="宋体" w:cs="宋体"/>
                <w:b/>
                <w:bCs/>
                <w:color w:val="auto"/>
              </w:rPr>
              <w:t>4</w:t>
            </w:r>
          </w:p>
        </w:tc>
        <w:tc>
          <w:tcPr>
            <w:tcW w:w="6315" w:type="dxa"/>
            <w:tcBorders>
              <w:tl2br w:val="nil"/>
              <w:tr2bl w:val="nil"/>
            </w:tcBorders>
            <w:shd w:val="clear" w:color="auto" w:fill="auto"/>
            <w:vAlign w:val="center"/>
          </w:tcPr>
          <w:p w14:paraId="7625C7CF">
            <w:pPr>
              <w:pStyle w:val="50"/>
              <w:spacing w:line="400" w:lineRule="exac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从</w:t>
            </w: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环境管理目标是否明确，是否满足采购文件的要求；</w:t>
            </w: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管理机构是否健全，职责分工是否明确；</w:t>
            </w: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管理制度是否齐全；</w:t>
            </w: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sz w:val="21"/>
                <w:szCs w:val="21"/>
                <w:highlight w:val="none"/>
              </w:rPr>
              <w:t>实施与监控措施是否全面、有效等方面，进行综合对比评审，存在上述任一要点的缺漏项</w:t>
            </w:r>
            <w:r>
              <w:rPr>
                <w:rFonts w:hint="eastAsia" w:ascii="宋体" w:hAnsi="宋体" w:eastAsia="宋体" w:cs="宋体"/>
                <w:color w:val="auto"/>
                <w:sz w:val="21"/>
                <w:szCs w:val="21"/>
                <w:highlight w:val="none"/>
                <w:lang w:val="en-US" w:eastAsia="zh-CN"/>
              </w:rPr>
              <w:t>或不合理的</w:t>
            </w:r>
            <w:r>
              <w:rPr>
                <w:rFonts w:hint="eastAsia" w:ascii="宋体" w:hAnsi="宋体" w:eastAsia="宋体" w:cs="宋体"/>
                <w:color w:val="auto"/>
                <w:sz w:val="21"/>
                <w:szCs w:val="21"/>
                <w:highlight w:val="none"/>
              </w:rPr>
              <w:t>，每处扣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分；内容表述不完整、</w:t>
            </w: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 w:val="21"/>
                <w:szCs w:val="21"/>
                <w:highlight w:val="none"/>
              </w:rPr>
              <w:t>欠</w:t>
            </w:r>
            <w:r>
              <w:rPr>
                <w:rFonts w:hint="eastAsia" w:ascii="宋体" w:hAnsi="宋体" w:eastAsia="宋体" w:cs="宋体"/>
                <w:color w:val="auto"/>
                <w:sz w:val="21"/>
                <w:szCs w:val="21"/>
                <w:highlight w:val="none"/>
                <w:lang w:val="en-US" w:eastAsia="zh-CN"/>
              </w:rPr>
              <w:t>完善</w:t>
            </w:r>
            <w:r>
              <w:rPr>
                <w:rFonts w:hint="eastAsia" w:ascii="宋体" w:hAnsi="宋体" w:eastAsia="宋体" w:cs="宋体"/>
                <w:color w:val="auto"/>
                <w:sz w:val="21"/>
                <w:szCs w:val="21"/>
                <w:highlight w:val="none"/>
              </w:rPr>
              <w:t>或针对性</w:t>
            </w:r>
            <w:r>
              <w:rPr>
                <w:rFonts w:hint="eastAsia" w:ascii="宋体" w:hAnsi="宋体" w:eastAsia="宋体" w:cs="宋体"/>
                <w:color w:val="auto"/>
                <w:sz w:val="21"/>
                <w:szCs w:val="21"/>
                <w:highlight w:val="none"/>
                <w:lang w:val="en-US" w:eastAsia="zh-CN"/>
              </w:rPr>
              <w:t>欠缺</w:t>
            </w:r>
            <w:r>
              <w:rPr>
                <w:rFonts w:hint="eastAsia" w:ascii="宋体" w:hAnsi="宋体" w:eastAsia="宋体" w:cs="宋体"/>
                <w:color w:val="auto"/>
                <w:sz w:val="21"/>
                <w:szCs w:val="21"/>
                <w:highlight w:val="none"/>
              </w:rPr>
              <w:t>的，每处扣</w:t>
            </w:r>
            <w:r>
              <w:rPr>
                <w:rFonts w:hint="eastAsia" w:ascii="宋体" w:hAnsi="宋体" w:eastAsia="宋体" w:cs="宋体"/>
                <w:color w:val="auto"/>
                <w:sz w:val="21"/>
                <w:szCs w:val="21"/>
                <w:highlight w:val="none"/>
                <w:lang w:val="en-US" w:eastAsia="zh-CN"/>
              </w:rPr>
              <w:t>0.5</w:t>
            </w:r>
            <w:r>
              <w:rPr>
                <w:rFonts w:hint="eastAsia" w:ascii="宋体" w:hAnsi="宋体" w:eastAsia="宋体" w:cs="宋体"/>
                <w:color w:val="auto"/>
                <w:sz w:val="21"/>
                <w:szCs w:val="21"/>
                <w:highlight w:val="none"/>
              </w:rPr>
              <w:t>分；本项扣完</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分为止；未提供方案的，本项计0分。</w:t>
            </w:r>
          </w:p>
        </w:tc>
      </w:tr>
      <w:tr w14:paraId="2EFB58B7">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4" w:hRule="atLeast"/>
          <w:jc w:val="center"/>
        </w:trPr>
        <w:tc>
          <w:tcPr>
            <w:tcW w:w="2362" w:type="dxa"/>
            <w:gridSpan w:val="3"/>
            <w:tcBorders>
              <w:tl2br w:val="nil"/>
              <w:tr2bl w:val="nil"/>
            </w:tcBorders>
            <w:shd w:val="clear" w:color="auto" w:fill="auto"/>
            <w:vAlign w:val="center"/>
          </w:tcPr>
          <w:p w14:paraId="559B1941">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合计</w:t>
            </w:r>
          </w:p>
        </w:tc>
        <w:tc>
          <w:tcPr>
            <w:tcW w:w="780" w:type="dxa"/>
            <w:tcBorders>
              <w:tl2br w:val="nil"/>
              <w:tr2bl w:val="nil"/>
            </w:tcBorders>
            <w:shd w:val="clear" w:color="auto" w:fill="auto"/>
            <w:vAlign w:val="center"/>
          </w:tcPr>
          <w:p w14:paraId="693464B2">
            <w:pPr>
              <w:keepNext w:val="0"/>
              <w:keepLines w:val="0"/>
              <w:pageBreakBefore w:val="0"/>
              <w:widowControl/>
              <w:suppressLineNumbers w:val="0"/>
              <w:kinsoku/>
              <w:wordWrap/>
              <w:overflowPunct/>
              <w:topLinePunct w:val="0"/>
              <w:autoSpaceDE/>
              <w:autoSpaceDN/>
              <w:bidi w:val="0"/>
              <w:spacing w:line="36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100分</w:t>
            </w:r>
          </w:p>
        </w:tc>
        <w:tc>
          <w:tcPr>
            <w:tcW w:w="6315" w:type="dxa"/>
            <w:tcBorders>
              <w:tl2br w:val="nil"/>
              <w:tr2bl w:val="nil"/>
            </w:tcBorders>
            <w:shd w:val="clear" w:color="auto" w:fill="auto"/>
            <w:vAlign w:val="center"/>
          </w:tcPr>
          <w:p w14:paraId="2EFB2151">
            <w:pPr>
              <w:pStyle w:val="50"/>
              <w:keepNext w:val="0"/>
              <w:keepLines w:val="0"/>
              <w:pageBreakBefore w:val="0"/>
              <w:kinsoku/>
              <w:wordWrap/>
              <w:overflowPunct/>
              <w:topLinePunct w:val="0"/>
              <w:autoSpaceDE/>
              <w:autoSpaceDN/>
              <w:bidi w:val="0"/>
              <w:spacing w:line="360" w:lineRule="exact"/>
              <w:jc w:val="left"/>
              <w:rPr>
                <w:rFonts w:hint="eastAsia" w:ascii="宋体" w:hAnsi="宋体" w:eastAsia="宋体" w:cs="宋体"/>
                <w:color w:val="auto"/>
                <w:sz w:val="21"/>
                <w:szCs w:val="21"/>
                <w:highlight w:val="none"/>
                <w:lang w:eastAsia="zh-CN"/>
              </w:rPr>
            </w:pPr>
          </w:p>
        </w:tc>
      </w:tr>
      <w:bookmarkEnd w:id="29"/>
      <w:bookmarkEnd w:id="30"/>
    </w:tbl>
    <w:p w14:paraId="27F79D73">
      <w:pPr>
        <w:pStyle w:val="3"/>
        <w:keepNext/>
        <w:keepLines/>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1"/>
          <w:szCs w:val="21"/>
          <w:highlight w:val="none"/>
          <w:lang w:val="en-US" w:eastAsia="zh-CN"/>
        </w:rPr>
      </w:pPr>
      <w:bookmarkStart w:id="31" w:name="_Toc30453"/>
      <w:r>
        <w:rPr>
          <w:rFonts w:hint="eastAsia" w:ascii="宋体" w:hAnsi="宋体" w:eastAsia="宋体" w:cs="宋体"/>
          <w:b w:val="0"/>
          <w:bCs w:val="0"/>
          <w:color w:val="auto"/>
          <w:sz w:val="21"/>
          <w:szCs w:val="21"/>
          <w:highlight w:val="none"/>
          <w:lang w:val="en-US" w:eastAsia="zh-CN"/>
        </w:rPr>
        <w:t>注：方案打分中“</w:t>
      </w:r>
      <w:r>
        <w:rPr>
          <w:rFonts w:hint="eastAsia" w:ascii="宋体" w:hAnsi="宋体" w:cs="宋体"/>
          <w:b w:val="0"/>
          <w:bCs w:val="0"/>
          <w:color w:val="auto"/>
          <w:sz w:val="21"/>
          <w:szCs w:val="21"/>
          <w:highlight w:val="none"/>
          <w:lang w:val="en-US" w:eastAsia="zh-CN"/>
        </w:rPr>
        <w:t>不</w:t>
      </w:r>
      <w:r>
        <w:rPr>
          <w:rFonts w:hint="eastAsia" w:ascii="宋体" w:hAnsi="宋体" w:eastAsia="宋体" w:cs="宋体"/>
          <w:b w:val="0"/>
          <w:bCs w:val="0"/>
          <w:color w:val="auto"/>
          <w:sz w:val="21"/>
          <w:szCs w:val="21"/>
          <w:highlight w:val="none"/>
          <w:lang w:val="en-US" w:eastAsia="zh-CN"/>
        </w:rPr>
        <w:t>合理”是指内容逻辑混乱、存在科学原理错误、不符合相关的国家、行业标准；“</w:t>
      </w:r>
      <w:r>
        <w:rPr>
          <w:rFonts w:hint="eastAsia" w:ascii="宋体" w:hAnsi="宋体" w:cs="宋体"/>
          <w:b w:val="0"/>
          <w:bCs w:val="0"/>
          <w:color w:val="auto"/>
          <w:sz w:val="21"/>
          <w:szCs w:val="21"/>
          <w:highlight w:val="none"/>
          <w:lang w:val="en-US" w:eastAsia="zh-CN"/>
        </w:rPr>
        <w:t>不完整欠完善</w:t>
      </w:r>
      <w:r>
        <w:rPr>
          <w:rFonts w:hint="eastAsia" w:ascii="宋体" w:hAnsi="宋体" w:eastAsia="宋体" w:cs="宋体"/>
          <w:b w:val="0"/>
          <w:bCs w:val="0"/>
          <w:color w:val="auto"/>
          <w:sz w:val="21"/>
          <w:szCs w:val="21"/>
          <w:highlight w:val="none"/>
          <w:lang w:val="en-US" w:eastAsia="zh-CN"/>
        </w:rPr>
        <w:t>”是指内容具有明显缺陷，存在逻辑漏洞、前后内容无法连贯。</w:t>
      </w:r>
    </w:p>
    <w:p w14:paraId="2CBA323B">
      <w:pPr>
        <w:rPr>
          <w:rFonts w:hint="eastAsia" w:ascii="宋体" w:hAnsi="宋体" w:eastAsia="宋体" w:cs="宋体"/>
          <w:color w:val="auto"/>
          <w:highlight w:val="none"/>
        </w:rPr>
      </w:pPr>
    </w:p>
    <w:p w14:paraId="62A2D3B1">
      <w:pPr>
        <w:rPr>
          <w:rFonts w:hint="eastAsia" w:ascii="宋体" w:hAnsi="宋体" w:eastAsia="宋体" w:cs="宋体"/>
          <w:color w:val="auto"/>
          <w:highlight w:val="none"/>
        </w:rPr>
      </w:pPr>
    </w:p>
    <w:p w14:paraId="12BE7CF1">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E155DBD">
      <w:pPr>
        <w:pStyle w:val="3"/>
        <w:bidi w:val="0"/>
        <w:jc w:val="center"/>
        <w:rPr>
          <w:rFonts w:hint="eastAsia" w:ascii="宋体" w:hAnsi="宋体" w:eastAsia="宋体" w:cs="宋体"/>
          <w:color w:val="auto"/>
          <w:highlight w:val="none"/>
        </w:rPr>
      </w:pPr>
      <w:r>
        <w:rPr>
          <w:rFonts w:hint="eastAsia" w:ascii="宋体" w:hAnsi="宋体" w:eastAsia="宋体" w:cs="宋体"/>
          <w:color w:val="auto"/>
          <w:highlight w:val="none"/>
        </w:rPr>
        <w:t>磋商须知正文</w:t>
      </w:r>
      <w:bookmarkEnd w:id="31"/>
    </w:p>
    <w:p w14:paraId="0E2F7107">
      <w:pPr>
        <w:pStyle w:val="4"/>
        <w:bidi w:val="0"/>
        <w:rPr>
          <w:rFonts w:hint="eastAsia" w:ascii="宋体" w:hAnsi="宋体" w:eastAsia="宋体" w:cs="宋体"/>
          <w:color w:val="auto"/>
          <w:highlight w:val="none"/>
        </w:rPr>
      </w:pPr>
      <w:bookmarkStart w:id="32" w:name="_Toc19722"/>
      <w:bookmarkStart w:id="33" w:name="_Toc2070"/>
      <w:bookmarkStart w:id="34" w:name="_Toc1348"/>
      <w:bookmarkStart w:id="35" w:name="_Toc4072"/>
      <w:bookmarkStart w:id="36" w:name="_Toc26612"/>
      <w:bookmarkStart w:id="37" w:name="_Toc53489354"/>
      <w:bookmarkStart w:id="38" w:name="_Toc10313"/>
      <w:bookmarkStart w:id="39" w:name="_Toc18838"/>
      <w:bookmarkStart w:id="40" w:name="_Toc16878"/>
      <w:bookmarkStart w:id="41" w:name="_Toc22001"/>
      <w:bookmarkStart w:id="42" w:name="_Toc17196"/>
      <w:r>
        <w:rPr>
          <w:rFonts w:hint="eastAsia" w:ascii="宋体" w:hAnsi="宋体" w:eastAsia="宋体" w:cs="宋体"/>
          <w:color w:val="auto"/>
          <w:highlight w:val="none"/>
        </w:rPr>
        <w:t>一、说明</w:t>
      </w:r>
      <w:bookmarkEnd w:id="32"/>
      <w:bookmarkEnd w:id="33"/>
      <w:bookmarkEnd w:id="34"/>
      <w:bookmarkEnd w:id="35"/>
      <w:bookmarkEnd w:id="36"/>
      <w:bookmarkEnd w:id="37"/>
      <w:bookmarkEnd w:id="38"/>
      <w:bookmarkEnd w:id="39"/>
      <w:bookmarkEnd w:id="40"/>
      <w:bookmarkEnd w:id="41"/>
      <w:bookmarkEnd w:id="42"/>
    </w:p>
    <w:p w14:paraId="385493DE">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1.适用范围</w:t>
      </w:r>
    </w:p>
    <w:p w14:paraId="1CFABEF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本磋商文件仅适用于磋商须知前附表(以下简称</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中所叙述的采购项目。</w:t>
      </w:r>
    </w:p>
    <w:p w14:paraId="1DE302F9">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2.定义</w:t>
      </w:r>
    </w:p>
    <w:p w14:paraId="51DC21BE">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2.1 “采购人”是指依法进行政府采购的国家机关、事业单位、团体组织。本次政府采购的采购人名称、地址、电话、联系人见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07A37D29">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color w:val="auto"/>
          <w:szCs w:val="21"/>
          <w:highlight w:val="none"/>
        </w:rPr>
        <w:t>磋商须知前附表。</w:t>
      </w:r>
    </w:p>
    <w:p w14:paraId="7AB1A593">
      <w:pPr>
        <w:adjustRightInd w:val="0"/>
        <w:snapToGrid w:val="0"/>
        <w:spacing w:line="360" w:lineRule="auto"/>
        <w:ind w:firstLine="420" w:firstLineChars="200"/>
        <w:rPr>
          <w:rFonts w:hint="eastAsia" w:ascii="宋体" w:hAnsi="宋体" w:eastAsia="宋体" w:cs="宋体"/>
          <w:bCs/>
          <w:color w:val="auto"/>
          <w:kern w:val="36"/>
          <w:szCs w:val="21"/>
          <w:highlight w:val="none"/>
        </w:rPr>
      </w:pPr>
      <w:r>
        <w:rPr>
          <w:rFonts w:hint="eastAsia" w:ascii="宋体" w:hAnsi="宋体" w:eastAsia="宋体" w:cs="宋体"/>
          <w:color w:val="auto"/>
          <w:szCs w:val="21"/>
          <w:highlight w:val="none"/>
        </w:rPr>
        <w:t>2.3 “供应商”是指响应磋商文件要求、参加竞争性磋商采购的法人、其他组织或者自然人。本次政府采购项目</w:t>
      </w:r>
      <w:r>
        <w:rPr>
          <w:rFonts w:hint="eastAsia" w:ascii="宋体" w:hAnsi="宋体" w:eastAsia="宋体" w:cs="宋体"/>
          <w:color w:val="auto"/>
          <w:kern w:val="0"/>
          <w:szCs w:val="21"/>
          <w:highlight w:val="none"/>
        </w:rPr>
        <w:t>邀请</w:t>
      </w:r>
      <w:r>
        <w:rPr>
          <w:rFonts w:hint="eastAsia" w:ascii="宋体" w:hAnsi="宋体" w:eastAsia="宋体" w:cs="宋体"/>
          <w:color w:val="auto"/>
          <w:szCs w:val="21"/>
          <w:highlight w:val="none"/>
        </w:rPr>
        <w:t>的</w:t>
      </w:r>
      <w:r>
        <w:rPr>
          <w:rFonts w:hint="eastAsia" w:ascii="宋体" w:hAnsi="宋体" w:eastAsia="宋体" w:cs="宋体"/>
          <w:color w:val="auto"/>
          <w:kern w:val="0"/>
          <w:szCs w:val="21"/>
          <w:highlight w:val="none"/>
        </w:rPr>
        <w:t>供应商通过</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所述方式</w:t>
      </w:r>
      <w:r>
        <w:rPr>
          <w:rFonts w:hint="eastAsia" w:ascii="宋体" w:hAnsi="宋体" w:eastAsia="宋体" w:cs="宋体"/>
          <w:color w:val="auto"/>
          <w:kern w:val="0"/>
          <w:szCs w:val="21"/>
          <w:highlight w:val="none"/>
        </w:rPr>
        <w:t>，邀请符合资格条件的供应商提交响应文件（含资格证明资料），参与竞争性磋商采购活动。</w:t>
      </w:r>
    </w:p>
    <w:p w14:paraId="3304AC3E">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2.4 “磋商小组”是指</w:t>
      </w:r>
      <w:r>
        <w:rPr>
          <w:rFonts w:hint="eastAsia" w:ascii="宋体" w:hAnsi="宋体" w:eastAsia="宋体" w:cs="宋体"/>
          <w:color w:val="auto"/>
          <w:kern w:val="0"/>
          <w:szCs w:val="21"/>
          <w:highlight w:val="none"/>
        </w:rPr>
        <w:t>依据财政部</w:t>
      </w:r>
      <w:r>
        <w:rPr>
          <w:rFonts w:hint="eastAsia" w:ascii="宋体" w:hAnsi="宋体" w:eastAsia="宋体" w:cs="宋体"/>
          <w:bCs/>
          <w:color w:val="auto"/>
          <w:kern w:val="36"/>
          <w:szCs w:val="21"/>
          <w:highlight w:val="none"/>
        </w:rPr>
        <w:t>《政府采购竞争性磋商采购方式管理暂行办法》有关规定组建，依法依规</w:t>
      </w:r>
      <w:r>
        <w:rPr>
          <w:rFonts w:hint="eastAsia" w:ascii="宋体" w:hAnsi="宋体" w:eastAsia="宋体" w:cs="宋体"/>
          <w:color w:val="auto"/>
          <w:kern w:val="0"/>
          <w:szCs w:val="21"/>
          <w:highlight w:val="none"/>
        </w:rPr>
        <w:t>履行其职责和义务的机构。</w:t>
      </w:r>
    </w:p>
    <w:p w14:paraId="1D1A5D7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 “货物”是指各种形态和种类的物品，包括原资料、燃料、设备、产品等，详见《政府采购品目分类目录》(</w:t>
      </w:r>
      <w:r>
        <w:rPr>
          <w:rFonts w:hint="eastAsia" w:ascii="宋体" w:hAnsi="宋体" w:eastAsia="宋体" w:cs="宋体"/>
          <w:bCs/>
          <w:color w:val="auto"/>
          <w:highlight w:val="none"/>
        </w:rPr>
        <w:t>财库[2013]189号</w:t>
      </w:r>
      <w:r>
        <w:rPr>
          <w:rFonts w:hint="eastAsia" w:ascii="宋体" w:hAnsi="宋体" w:eastAsia="宋体" w:cs="宋体"/>
          <w:color w:val="auto"/>
          <w:szCs w:val="21"/>
          <w:highlight w:val="none"/>
        </w:rPr>
        <w:t>)。</w:t>
      </w:r>
    </w:p>
    <w:p w14:paraId="0999C8D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 “工程”是指建设工程，包括建筑物和构筑物的新建、改建、扩建、装修、拆除、修缮等，详见《政府采购品目分类目录》(</w:t>
      </w:r>
      <w:r>
        <w:rPr>
          <w:rFonts w:hint="eastAsia" w:ascii="宋体" w:hAnsi="宋体" w:eastAsia="宋体" w:cs="宋体"/>
          <w:bCs/>
          <w:color w:val="auto"/>
          <w:highlight w:val="none"/>
        </w:rPr>
        <w:t>财库[2013]189号</w:t>
      </w:r>
      <w:r>
        <w:rPr>
          <w:rFonts w:hint="eastAsia" w:ascii="宋体" w:hAnsi="宋体" w:eastAsia="宋体" w:cs="宋体"/>
          <w:color w:val="auto"/>
          <w:szCs w:val="21"/>
          <w:highlight w:val="none"/>
        </w:rPr>
        <w:t>)。</w:t>
      </w:r>
    </w:p>
    <w:p w14:paraId="29B2A17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 “服务”是指除货物和工程以外的其他政府采购对象，详见《政府采购品目分类目录》(</w:t>
      </w:r>
      <w:r>
        <w:rPr>
          <w:rFonts w:hint="eastAsia" w:ascii="宋体" w:hAnsi="宋体" w:eastAsia="宋体" w:cs="宋体"/>
          <w:bCs/>
          <w:color w:val="auto"/>
          <w:highlight w:val="none"/>
        </w:rPr>
        <w:t>财库[2013]189号</w:t>
      </w:r>
      <w:r>
        <w:rPr>
          <w:rFonts w:hint="eastAsia" w:ascii="宋体" w:hAnsi="宋体" w:eastAsia="宋体" w:cs="宋体"/>
          <w:color w:val="auto"/>
          <w:szCs w:val="21"/>
          <w:highlight w:val="none"/>
        </w:rPr>
        <w:t>)。</w:t>
      </w:r>
    </w:p>
    <w:p w14:paraId="0B3F9FB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2.8</w:t>
      </w:r>
      <w:r>
        <w:rPr>
          <w:rFonts w:hint="eastAsia" w:ascii="宋体" w:hAnsi="宋体" w:eastAsia="宋体" w:cs="宋体"/>
          <w:color w:val="auto"/>
          <w:szCs w:val="21"/>
          <w:highlight w:val="none"/>
        </w:rPr>
        <w:t xml:space="preserve"> “节能产品”或者“环保产品”是指财政部发布的《节能产品政府采购清单》或者《环境标志产品政府采购清单》的产品。</w:t>
      </w:r>
    </w:p>
    <w:p w14:paraId="1C8311A0">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2.9</w:t>
      </w:r>
      <w:r>
        <w:rPr>
          <w:rFonts w:hint="eastAsia" w:ascii="宋体" w:hAnsi="宋体" w:eastAsia="宋体" w:cs="宋体"/>
          <w:color w:val="auto"/>
          <w:kern w:val="0"/>
          <w:szCs w:val="21"/>
          <w:highlight w:val="none"/>
        </w:rPr>
        <w:t xml:space="preserve"> “进口产品”是指通过中国海关报关验放进入中国境内且产自关境外的产品，详见《关于政府采购进口产品管理有关问题的通知》(财库[2007]119号)。</w:t>
      </w:r>
    </w:p>
    <w:p w14:paraId="06B5D6C5">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3.供应商的资格要求</w:t>
      </w:r>
    </w:p>
    <w:p w14:paraId="3F4F100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 供应商应当符合</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中规定的资格条件要求。</w:t>
      </w:r>
    </w:p>
    <w:p w14:paraId="4B7EDBAE">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3.2供应商</w:t>
      </w:r>
      <w:r>
        <w:rPr>
          <w:rFonts w:hint="eastAsia" w:ascii="宋体" w:hAnsi="宋体" w:eastAsia="宋体" w:cs="宋体"/>
          <w:color w:val="auto"/>
          <w:highlight w:val="none"/>
        </w:rPr>
        <w:t>为联合体形式的</w:t>
      </w:r>
      <w:r>
        <w:rPr>
          <w:rFonts w:hint="eastAsia" w:ascii="宋体" w:hAnsi="宋体" w:eastAsia="宋体" w:cs="宋体"/>
          <w:color w:val="auto"/>
          <w:szCs w:val="21"/>
          <w:highlight w:val="none"/>
        </w:rPr>
        <w:t xml:space="preserve">，除应满足本章第3.1款资格条件要求及第3.3款规定外，还应遵守以下规定： </w:t>
      </w:r>
    </w:p>
    <w:p w14:paraId="1C90B799">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（1）联合体各方应按磋商文件提供的格式签订联合体协议书，明确联合体牵头人和各方权利义务(含承担工作及工作量比例)；</w:t>
      </w:r>
    </w:p>
    <w:p w14:paraId="53FB7771">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（2）联合体中有同类资质的供应商按照联合体分工承担相同工作的，应当按照资质等级较低的供应商确定资质等级；</w:t>
      </w:r>
    </w:p>
    <w:p w14:paraId="4C8EDF7C">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3CF98DA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 供应商不得存在下列情形之一：</w:t>
      </w:r>
    </w:p>
    <w:p w14:paraId="5F34B9B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（l）与采购人、采购代理机构存在</w:t>
      </w:r>
      <w:r>
        <w:rPr>
          <w:rFonts w:hint="eastAsia" w:ascii="宋体" w:hAnsi="宋体" w:eastAsia="宋体" w:cs="宋体"/>
          <w:bCs/>
          <w:color w:val="auto"/>
          <w:szCs w:val="21"/>
          <w:highlight w:val="none"/>
        </w:rPr>
        <w:t>隶属关系或者其他利害关系</w:t>
      </w:r>
      <w:r>
        <w:rPr>
          <w:rFonts w:hint="eastAsia" w:ascii="宋体" w:hAnsi="宋体" w:eastAsia="宋体" w:cs="宋体"/>
          <w:color w:val="auto"/>
          <w:szCs w:val="21"/>
          <w:highlight w:val="none"/>
        </w:rPr>
        <w:t>。</w:t>
      </w:r>
    </w:p>
    <w:p w14:paraId="12B9F45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（2）与其他供应商的法定代表人（或者负责人）为同一人，或者与其他供应商存在直接控股、管理关系。</w:t>
      </w:r>
    </w:p>
    <w:p w14:paraId="045DBF7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bCs/>
          <w:color w:val="auto"/>
          <w:szCs w:val="21"/>
          <w:highlight w:val="none"/>
        </w:rPr>
        <w:t>受到刑事处罚，或者受到200万元以上的罚款、责令停产停业、在一至三年内禁止参加政府采购活动、暂扣或者吊销许可证、暂扣或者吊销执照等情形之一的行政处罚，或者存在</w:t>
      </w:r>
      <w:r>
        <w:rPr>
          <w:rFonts w:hint="eastAsia" w:ascii="宋体" w:hAnsi="宋体" w:eastAsia="宋体" w:cs="宋体"/>
          <w:color w:val="auto"/>
          <w:szCs w:val="21"/>
          <w:highlight w:val="none"/>
        </w:rPr>
        <w:t>财政部门认定的其他重大违法记录。</w:t>
      </w:r>
    </w:p>
    <w:p w14:paraId="5B133E7A">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4.参与磋商的费用 </w:t>
      </w:r>
    </w:p>
    <w:p w14:paraId="20C4713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无论磋商的结果如何，供应商应自行承担所有与竞争性磋商采购活动有关的全部费用。</w:t>
      </w:r>
    </w:p>
    <w:p w14:paraId="3B711910">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5．</w:t>
      </w:r>
      <w:r>
        <w:rPr>
          <w:rFonts w:hint="eastAsia" w:ascii="宋体" w:hAnsi="宋体" w:eastAsia="宋体" w:cs="宋体"/>
          <w:b/>
          <w:bCs/>
          <w:color w:val="auto"/>
          <w:szCs w:val="21"/>
          <w:highlight w:val="none"/>
        </w:rPr>
        <w:t>授权委托</w:t>
      </w:r>
    </w:p>
    <w:p w14:paraId="41893EE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5.1供应商代表为供应商法定代表人的，应持有法定代表人身份证明。供应商代表不是供应商法定代表人的，应持有法定代表人授权书，并附法定代表人身份证明。</w:t>
      </w:r>
    </w:p>
    <w:p w14:paraId="606A11AB">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6．联合体形式</w:t>
      </w:r>
    </w:p>
    <w:p w14:paraId="378F218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6.1除</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中另有规定，本次谈判采购不接受为联合体形式的供应商。</w:t>
      </w:r>
    </w:p>
    <w:p w14:paraId="13B8AFAA">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6.2供应商</w:t>
      </w:r>
      <w:r>
        <w:rPr>
          <w:rFonts w:hint="eastAsia" w:ascii="宋体" w:hAnsi="宋体" w:eastAsia="宋体" w:cs="宋体"/>
          <w:color w:val="auto"/>
          <w:highlight w:val="none"/>
        </w:rPr>
        <w:t>为联合体形式的</w:t>
      </w:r>
      <w:r>
        <w:rPr>
          <w:rFonts w:hint="eastAsia" w:ascii="宋体" w:hAnsi="宋体" w:eastAsia="宋体" w:cs="宋体"/>
          <w:color w:val="auto"/>
          <w:szCs w:val="21"/>
          <w:highlight w:val="none"/>
        </w:rPr>
        <w:t>，除应符合本章第3条规定外，还应遵守以下规定：</w:t>
      </w:r>
    </w:p>
    <w:p w14:paraId="0867E1AA">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（l）联合体各方必须签订联合体协议书，明确联合体牵头人和各方的义务、工作、合同工作量比例；</w:t>
      </w:r>
    </w:p>
    <w:p w14:paraId="32C74AB7">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（2）联合体各方均应当符合本章第3.1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规定的供应商基本资格条件；</w:t>
      </w:r>
    </w:p>
    <w:p w14:paraId="7EE070B0">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除</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中另有规定，</w:t>
      </w:r>
      <w:r>
        <w:rPr>
          <w:rFonts w:hint="eastAsia" w:ascii="宋体" w:hAnsi="宋体" w:eastAsia="宋体" w:cs="宋体"/>
          <w:color w:val="auto"/>
          <w:szCs w:val="21"/>
          <w:highlight w:val="none"/>
        </w:rPr>
        <w:t>联合体各方中至少有一方应当符合本章第3.1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规定的供应商特定资格条件；</w:t>
      </w:r>
    </w:p>
    <w:p w14:paraId="1DBD3087">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rPr>
        <w:t>（4）</w:t>
      </w:r>
      <w:r>
        <w:rPr>
          <w:rFonts w:hint="eastAsia" w:ascii="宋体" w:hAnsi="宋体" w:eastAsia="宋体" w:cs="宋体"/>
          <w:color w:val="auto"/>
          <w:kern w:val="0"/>
          <w:szCs w:val="21"/>
          <w:highlight w:val="none"/>
          <w:lang w:val="zh-CN"/>
        </w:rPr>
        <w:t>联合体各方不得再单独或与其他供应商组成新的联合体参加同一项目的采购活动。</w:t>
      </w:r>
    </w:p>
    <w:p w14:paraId="78FF18E1">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7.现场勘察</w:t>
      </w:r>
    </w:p>
    <w:p w14:paraId="0D910EC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7.1供应商应按</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中规定</w:t>
      </w:r>
      <w:r>
        <w:rPr>
          <w:rFonts w:hint="eastAsia" w:ascii="宋体" w:hAnsi="宋体" w:eastAsia="宋体" w:cs="宋体"/>
          <w:color w:val="auto"/>
          <w:szCs w:val="21"/>
          <w:highlight w:val="none"/>
        </w:rPr>
        <w:t>对采购项目现场和周围环境的现场考察。</w:t>
      </w:r>
    </w:p>
    <w:p w14:paraId="21B6604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7.2勘察现场的费用由供应商自己承担，勘察期间所发生的人身伤害及财产损失由供应商自己负责。</w:t>
      </w:r>
    </w:p>
    <w:p w14:paraId="73C0ABE6">
      <w:pPr>
        <w:adjustRightInd w:val="0"/>
        <w:snapToGrid w:val="0"/>
        <w:spacing w:line="360" w:lineRule="auto"/>
        <w:ind w:firstLine="420" w:firstLineChars="200"/>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7.3采购人不对供应商据此而做出的推论、理解和结论负责。一旦成交，供应商不得以任何借口，提出额外补偿，或延长合同期限的要求。</w:t>
      </w:r>
    </w:p>
    <w:p w14:paraId="69B21206">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8.采购进口产品</w:t>
      </w:r>
    </w:p>
    <w:p w14:paraId="240C42B2">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8.1除</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另有规定外，本项目</w:t>
      </w:r>
      <w:r>
        <w:rPr>
          <w:rFonts w:hint="eastAsia" w:ascii="宋体" w:hAnsi="宋体" w:eastAsia="宋体" w:cs="宋体"/>
          <w:color w:val="auto"/>
          <w:kern w:val="0"/>
          <w:szCs w:val="21"/>
          <w:highlight w:val="none"/>
        </w:rPr>
        <w:t>拒绝进口产品参加</w:t>
      </w:r>
      <w:r>
        <w:rPr>
          <w:rFonts w:hint="eastAsia" w:ascii="宋体" w:hAnsi="宋体" w:eastAsia="宋体" w:cs="宋体"/>
          <w:color w:val="auto"/>
          <w:szCs w:val="21"/>
          <w:highlight w:val="none"/>
        </w:rPr>
        <w:t>竞争性磋商采购活动</w:t>
      </w:r>
      <w:r>
        <w:rPr>
          <w:rFonts w:hint="eastAsia" w:ascii="宋体" w:hAnsi="宋体" w:eastAsia="宋体" w:cs="宋体"/>
          <w:color w:val="auto"/>
          <w:kern w:val="0"/>
          <w:szCs w:val="21"/>
          <w:highlight w:val="none"/>
        </w:rPr>
        <w:t>。</w:t>
      </w:r>
    </w:p>
    <w:p w14:paraId="7E2BC25B">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8.2</w:t>
      </w:r>
      <w:r>
        <w:rPr>
          <w:rFonts w:hint="eastAsia" w:ascii="宋体" w:hAnsi="宋体" w:eastAsia="宋体" w:cs="宋体"/>
          <w:color w:val="auto"/>
          <w:szCs w:val="21"/>
          <w:highlight w:val="none"/>
        </w:rPr>
        <w:t>本章第7.1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w:t>
      </w:r>
      <w:r>
        <w:rPr>
          <w:rFonts w:hint="eastAsia" w:ascii="宋体" w:hAnsi="宋体" w:eastAsia="宋体" w:cs="宋体"/>
          <w:color w:val="auto"/>
          <w:kern w:val="0"/>
          <w:szCs w:val="21"/>
          <w:highlight w:val="none"/>
        </w:rPr>
        <w:t>同意购买进口产品的，</w:t>
      </w:r>
      <w:r>
        <w:rPr>
          <w:rFonts w:hint="eastAsia" w:ascii="宋体" w:hAnsi="宋体" w:eastAsia="宋体" w:cs="宋体"/>
          <w:color w:val="auto"/>
          <w:szCs w:val="21"/>
          <w:highlight w:val="none"/>
        </w:rPr>
        <w:t>本项目</w:t>
      </w:r>
      <w:r>
        <w:rPr>
          <w:rFonts w:hint="eastAsia" w:ascii="宋体" w:hAnsi="宋体" w:eastAsia="宋体" w:cs="宋体"/>
          <w:color w:val="auto"/>
          <w:kern w:val="0"/>
          <w:szCs w:val="21"/>
          <w:highlight w:val="none"/>
          <w:lang w:val="zh-CN"/>
        </w:rPr>
        <w:t>采购活动</w:t>
      </w:r>
      <w:r>
        <w:rPr>
          <w:rFonts w:hint="eastAsia" w:ascii="宋体" w:hAnsi="宋体" w:eastAsia="宋体" w:cs="宋体"/>
          <w:color w:val="auto"/>
          <w:kern w:val="0"/>
          <w:szCs w:val="21"/>
          <w:highlight w:val="none"/>
        </w:rPr>
        <w:t>不限制满足</w:t>
      </w:r>
      <w:r>
        <w:rPr>
          <w:rFonts w:hint="eastAsia" w:ascii="宋体" w:hAnsi="宋体" w:eastAsia="宋体" w:cs="宋体"/>
          <w:color w:val="auto"/>
          <w:szCs w:val="21"/>
          <w:highlight w:val="none"/>
        </w:rPr>
        <w:t>磋商文件要求</w:t>
      </w:r>
      <w:r>
        <w:rPr>
          <w:rFonts w:hint="eastAsia" w:ascii="宋体" w:hAnsi="宋体" w:eastAsia="宋体" w:cs="宋体"/>
          <w:color w:val="auto"/>
          <w:kern w:val="0"/>
          <w:szCs w:val="21"/>
          <w:highlight w:val="none"/>
        </w:rPr>
        <w:t>的国内产品参与</w:t>
      </w:r>
      <w:r>
        <w:rPr>
          <w:rFonts w:hint="eastAsia" w:ascii="宋体" w:hAnsi="宋体" w:eastAsia="宋体" w:cs="宋体"/>
          <w:color w:val="auto"/>
          <w:szCs w:val="21"/>
          <w:highlight w:val="none"/>
        </w:rPr>
        <w:t>竞争性磋商</w:t>
      </w:r>
      <w:r>
        <w:rPr>
          <w:rFonts w:hint="eastAsia" w:ascii="宋体" w:hAnsi="宋体" w:eastAsia="宋体" w:cs="宋体"/>
          <w:color w:val="auto"/>
          <w:kern w:val="0"/>
          <w:szCs w:val="21"/>
          <w:highlight w:val="none"/>
        </w:rPr>
        <w:t>。</w:t>
      </w:r>
    </w:p>
    <w:p w14:paraId="2F863F53">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9.</w:t>
      </w:r>
      <w:r>
        <w:rPr>
          <w:rFonts w:hint="eastAsia" w:ascii="宋体" w:hAnsi="宋体" w:eastAsia="宋体" w:cs="宋体"/>
          <w:b/>
          <w:color w:val="auto"/>
          <w:szCs w:val="21"/>
          <w:highlight w:val="none"/>
        </w:rPr>
        <w:t xml:space="preserve"> 政府采购政策支持</w:t>
      </w:r>
    </w:p>
    <w:p w14:paraId="5425283E">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9.1对列入财政部、国家发展改革委发布的《节能产品政府采购清单》且属于应当“强制采购的节能产品”，按照规定实行强制采购。实行政府采购强制采购的节能产品见</w:t>
      </w:r>
      <w:r>
        <w:rPr>
          <w:rFonts w:hint="eastAsia" w:ascii="宋体" w:hAnsi="宋体" w:eastAsia="宋体" w:cs="宋体"/>
          <w:b/>
          <w:color w:val="auto"/>
          <w:kern w:val="0"/>
          <w:szCs w:val="21"/>
          <w:highlight w:val="none"/>
        </w:rPr>
        <w:t>磋商文件前附表。</w:t>
      </w:r>
    </w:p>
    <w:p w14:paraId="747D0BD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ascii="宋体" w:hAnsi="宋体" w:eastAsia="宋体" w:cs="宋体"/>
          <w:b/>
          <w:color w:val="auto"/>
          <w:kern w:val="0"/>
          <w:szCs w:val="21"/>
          <w:highlight w:val="none"/>
        </w:rPr>
        <w:t>磋商文件前附表。</w:t>
      </w:r>
    </w:p>
    <w:p w14:paraId="079BB332">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9.3产品同时属于“非强制采购节能产品”、“环境标志产品”，评审时只有其中一项能享受优先待遇(供应商自行选择，并在报价文件中并填报相关信息及数据)；中小企业可以与同时属于“非强制采购节能产品”、“环境标志产品”中的一项重复计算。</w:t>
      </w:r>
    </w:p>
    <w:p w14:paraId="0A150B89">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9.4同一项目中部分产品属于优先采购政策的，评审时只对该部分产品的报价实行价格扣除及加分。</w:t>
      </w:r>
    </w:p>
    <w:p w14:paraId="1365F160">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9.5符合本章第9.1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第9.2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规定的，应提供相关证明资料。</w:t>
      </w:r>
    </w:p>
    <w:p w14:paraId="268E127D">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9.6供应商有融资、担保需求的，具体办理流程可向</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所列金融机构和担保机构询问。</w:t>
      </w:r>
    </w:p>
    <w:p w14:paraId="61835B94">
      <w:pPr>
        <w:pStyle w:val="4"/>
        <w:bidi w:val="0"/>
        <w:rPr>
          <w:rFonts w:hint="eastAsia" w:ascii="宋体" w:hAnsi="宋体" w:eastAsia="宋体" w:cs="宋体"/>
          <w:color w:val="auto"/>
          <w:highlight w:val="none"/>
        </w:rPr>
      </w:pPr>
      <w:bookmarkStart w:id="43" w:name="_Toc8783"/>
      <w:bookmarkStart w:id="44" w:name="_Toc23810"/>
      <w:bookmarkStart w:id="45" w:name="_Toc31473"/>
      <w:bookmarkStart w:id="46" w:name="_Toc53489355"/>
      <w:bookmarkStart w:id="47" w:name="_Toc28799"/>
      <w:bookmarkStart w:id="48" w:name="_Toc26660"/>
      <w:bookmarkStart w:id="49" w:name="_Toc5808"/>
      <w:bookmarkStart w:id="50" w:name="_Toc29737"/>
      <w:bookmarkStart w:id="51" w:name="_Toc4772"/>
      <w:bookmarkStart w:id="52" w:name="_Toc18382"/>
      <w:bookmarkStart w:id="53" w:name="_Toc24713"/>
      <w:r>
        <w:rPr>
          <w:rFonts w:hint="eastAsia" w:ascii="宋体" w:hAnsi="宋体" w:eastAsia="宋体" w:cs="宋体"/>
          <w:color w:val="auto"/>
          <w:highlight w:val="none"/>
        </w:rPr>
        <w:t>二、磋商文件</w:t>
      </w:r>
      <w:bookmarkEnd w:id="43"/>
      <w:bookmarkEnd w:id="44"/>
      <w:bookmarkEnd w:id="45"/>
      <w:bookmarkEnd w:id="46"/>
      <w:bookmarkEnd w:id="47"/>
      <w:bookmarkEnd w:id="48"/>
      <w:bookmarkEnd w:id="49"/>
      <w:bookmarkEnd w:id="50"/>
      <w:bookmarkEnd w:id="51"/>
      <w:bookmarkEnd w:id="52"/>
      <w:bookmarkEnd w:id="53"/>
    </w:p>
    <w:p w14:paraId="6CB94C66">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10．磋商文件的组成</w:t>
      </w:r>
    </w:p>
    <w:p w14:paraId="25162CF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 磋商文件由下列文件组成：</w:t>
      </w:r>
    </w:p>
    <w:p w14:paraId="49D0B7C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磋商邀请</w:t>
      </w:r>
    </w:p>
    <w:p w14:paraId="157BF6E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磋商须知</w:t>
      </w:r>
    </w:p>
    <w:p w14:paraId="1E81B7D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政府采购合同格式</w:t>
      </w:r>
    </w:p>
    <w:p w14:paraId="38E1AFC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采购需求</w:t>
      </w:r>
    </w:p>
    <w:p w14:paraId="5749683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响应文件组成</w:t>
      </w:r>
    </w:p>
    <w:p w14:paraId="190C3D2A">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10.2</w:t>
      </w:r>
      <w:r>
        <w:rPr>
          <w:rFonts w:hint="eastAsia" w:ascii="宋体" w:hAnsi="宋体" w:eastAsia="宋体" w:cs="宋体"/>
          <w:color w:val="auto"/>
          <w:kern w:val="0"/>
          <w:szCs w:val="21"/>
          <w:highlight w:val="none"/>
        </w:rPr>
        <w:t>磋商小组根据与供应商磋商情况可能实质性变动的内容，包括采购需求中的技术、服务要求以及合同条款，</w:t>
      </w:r>
      <w:r>
        <w:rPr>
          <w:rFonts w:hint="eastAsia" w:ascii="宋体" w:hAnsi="宋体" w:eastAsia="宋体" w:cs="宋体"/>
          <w:color w:val="auto"/>
          <w:szCs w:val="21"/>
          <w:highlight w:val="none"/>
        </w:rPr>
        <w:t>在</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中明确。</w:t>
      </w:r>
    </w:p>
    <w:p w14:paraId="5CAC326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10.3</w:t>
      </w:r>
      <w:r>
        <w:rPr>
          <w:rFonts w:hint="eastAsia" w:ascii="宋体" w:hAnsi="宋体" w:eastAsia="宋体" w:cs="宋体"/>
          <w:color w:val="auto"/>
          <w:szCs w:val="21"/>
          <w:highlight w:val="none"/>
        </w:rPr>
        <w:t>供应商应仔细阅读</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文件的全部内容，按照</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文件要求编制响应文件。任何对</w:t>
      </w:r>
      <w:r>
        <w:rPr>
          <w:rFonts w:hint="eastAsia" w:ascii="宋体" w:hAnsi="宋体" w:eastAsia="宋体" w:cs="宋体"/>
          <w:bCs/>
          <w:color w:val="auto"/>
          <w:szCs w:val="21"/>
          <w:highlight w:val="none"/>
        </w:rPr>
        <w:t>磋商</w:t>
      </w:r>
      <w:r>
        <w:rPr>
          <w:rFonts w:hint="eastAsia" w:ascii="宋体" w:hAnsi="宋体" w:eastAsia="宋体" w:cs="宋体"/>
          <w:color w:val="auto"/>
          <w:szCs w:val="21"/>
          <w:highlight w:val="none"/>
        </w:rPr>
        <w:t>文件的忽略或误解不能作为响应文件存在缺陷或瑕疵的理由，其风险由供应商承担。</w:t>
      </w:r>
    </w:p>
    <w:p w14:paraId="7B959F59">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w:t>
      </w:r>
      <w:r>
        <w:rPr>
          <w:rFonts w:hint="eastAsia" w:ascii="宋体" w:hAnsi="宋体" w:eastAsia="宋体" w:cs="宋体"/>
          <w:b/>
          <w:color w:val="auto"/>
          <w:highlight w:val="none"/>
        </w:rPr>
        <w:t xml:space="preserve"> </w:t>
      </w:r>
      <w:r>
        <w:rPr>
          <w:rFonts w:hint="eastAsia" w:ascii="宋体" w:hAnsi="宋体" w:eastAsia="宋体" w:cs="宋体"/>
          <w:b/>
          <w:color w:val="auto"/>
          <w:szCs w:val="21"/>
          <w:highlight w:val="none"/>
        </w:rPr>
        <w:t>磋商文件的提供期限</w:t>
      </w:r>
    </w:p>
    <w:p w14:paraId="11830F7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11.1磋商文件的提供期限自开始发出之日起不得少于五个工作日。具体提供期限见</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w:t>
      </w:r>
    </w:p>
    <w:p w14:paraId="35F937C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11.2供应商应持</w:t>
      </w:r>
      <w:r>
        <w:rPr>
          <w:rFonts w:hint="eastAsia" w:ascii="宋体" w:hAnsi="宋体" w:eastAsia="宋体" w:cs="宋体"/>
          <w:b/>
          <w:color w:val="auto"/>
          <w:szCs w:val="21"/>
          <w:highlight w:val="none"/>
        </w:rPr>
        <w:t>磋商文件前附表</w:t>
      </w:r>
      <w:r>
        <w:rPr>
          <w:rFonts w:hint="eastAsia" w:ascii="宋体" w:hAnsi="宋体" w:eastAsia="宋体" w:cs="宋体"/>
          <w:color w:val="auto"/>
          <w:szCs w:val="21"/>
          <w:highlight w:val="none"/>
        </w:rPr>
        <w:t>规定的资料领取或购买磋商文件。</w:t>
      </w:r>
    </w:p>
    <w:p w14:paraId="03280A2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12.</w:t>
      </w:r>
      <w:r>
        <w:rPr>
          <w:rFonts w:hint="eastAsia" w:ascii="宋体" w:hAnsi="宋体" w:eastAsia="宋体" w:cs="宋体"/>
          <w:b/>
          <w:color w:val="auto"/>
          <w:kern w:val="0"/>
          <w:szCs w:val="21"/>
          <w:highlight w:val="none"/>
        </w:rPr>
        <w:t>提交首次响应文件</w:t>
      </w:r>
      <w:r>
        <w:rPr>
          <w:rFonts w:hint="eastAsia" w:ascii="宋体" w:hAnsi="宋体" w:eastAsia="宋体" w:cs="宋体"/>
          <w:b/>
          <w:color w:val="auto"/>
          <w:szCs w:val="21"/>
          <w:highlight w:val="none"/>
        </w:rPr>
        <w:t>的</w:t>
      </w:r>
      <w:r>
        <w:rPr>
          <w:rFonts w:hint="eastAsia" w:ascii="宋体" w:hAnsi="宋体" w:eastAsia="宋体" w:cs="宋体"/>
          <w:b/>
          <w:color w:val="auto"/>
          <w:kern w:val="0"/>
          <w:szCs w:val="21"/>
          <w:highlight w:val="none"/>
        </w:rPr>
        <w:t>截止</w:t>
      </w:r>
      <w:r>
        <w:rPr>
          <w:rFonts w:hint="eastAsia" w:ascii="宋体" w:hAnsi="宋体" w:eastAsia="宋体" w:cs="宋体"/>
          <w:b/>
          <w:color w:val="auto"/>
          <w:szCs w:val="21"/>
          <w:highlight w:val="none"/>
        </w:rPr>
        <w:t>时间</w:t>
      </w:r>
    </w:p>
    <w:p w14:paraId="27E0987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w:t>
      </w:r>
      <w:r>
        <w:rPr>
          <w:rFonts w:hint="eastAsia" w:ascii="宋体" w:hAnsi="宋体" w:eastAsia="宋体" w:cs="宋体"/>
          <w:color w:val="auto"/>
          <w:kern w:val="0"/>
          <w:szCs w:val="21"/>
          <w:highlight w:val="none"/>
        </w:rPr>
        <w:t>供应商提交首次响应文件截止</w:t>
      </w:r>
      <w:r>
        <w:rPr>
          <w:rFonts w:hint="eastAsia" w:ascii="宋体" w:hAnsi="宋体" w:eastAsia="宋体" w:cs="宋体"/>
          <w:color w:val="auto"/>
          <w:szCs w:val="21"/>
          <w:highlight w:val="none"/>
        </w:rPr>
        <w:t>时间见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26F04578">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13.磋商文件的澄清</w:t>
      </w:r>
      <w:r>
        <w:rPr>
          <w:rFonts w:hint="eastAsia" w:ascii="宋体" w:hAnsi="宋体" w:eastAsia="宋体" w:cs="宋体"/>
          <w:b/>
          <w:color w:val="auto"/>
          <w:kern w:val="0"/>
          <w:szCs w:val="21"/>
          <w:highlight w:val="none"/>
          <w:lang w:val="zh-CN"/>
        </w:rPr>
        <w:t>或者</w:t>
      </w:r>
      <w:r>
        <w:rPr>
          <w:rFonts w:hint="eastAsia" w:ascii="宋体" w:hAnsi="宋体" w:eastAsia="宋体" w:cs="宋体"/>
          <w:b/>
          <w:bCs/>
          <w:color w:val="auto"/>
          <w:szCs w:val="21"/>
          <w:highlight w:val="none"/>
        </w:rPr>
        <w:t>修改</w:t>
      </w:r>
    </w:p>
    <w:p w14:paraId="42E3D876">
      <w:pPr>
        <w:adjustRightInd w:val="0"/>
        <w:snapToGrid w:val="0"/>
        <w:spacing w:line="360" w:lineRule="auto"/>
        <w:ind w:right="-105" w:rightChars="-50"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13.1在</w:t>
      </w:r>
      <w:r>
        <w:rPr>
          <w:rFonts w:hint="eastAsia" w:ascii="宋体" w:hAnsi="宋体" w:eastAsia="宋体" w:cs="宋体"/>
          <w:color w:val="auto"/>
          <w:kern w:val="0"/>
          <w:szCs w:val="21"/>
          <w:highlight w:val="none"/>
        </w:rPr>
        <w:t xml:space="preserve">提交首次响应文件截止之日前，采购人、采购代理机构可以对已发出的磋商文件进行必要的澄清或者修改。 </w:t>
      </w:r>
    </w:p>
    <w:p w14:paraId="4D68C5CA">
      <w:pPr>
        <w:adjustRightInd w:val="0"/>
        <w:snapToGrid w:val="0"/>
        <w:spacing w:line="360" w:lineRule="auto"/>
        <w:ind w:right="-105" w:rightChars="-50"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13.2</w:t>
      </w:r>
      <w:r>
        <w:rPr>
          <w:rFonts w:hint="eastAsia" w:ascii="宋体" w:hAnsi="宋体" w:eastAsia="宋体" w:cs="宋体"/>
          <w:color w:val="auto"/>
          <w:kern w:val="0"/>
          <w:szCs w:val="21"/>
          <w:highlight w:val="none"/>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0F5A68E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w:t>
      </w:r>
      <w:r>
        <w:rPr>
          <w:rFonts w:hint="eastAsia" w:ascii="宋体" w:hAnsi="宋体" w:eastAsia="宋体" w:cs="宋体"/>
          <w:color w:val="auto"/>
          <w:kern w:val="0"/>
          <w:szCs w:val="21"/>
          <w:highlight w:val="none"/>
        </w:rPr>
        <w:t>提交首次响应文件截止时间前对磋商文件澄清或者修改内容，为磋商文件的组成部分。</w:t>
      </w:r>
    </w:p>
    <w:p w14:paraId="15E9E122">
      <w:pPr>
        <w:pStyle w:val="4"/>
        <w:bidi w:val="0"/>
        <w:rPr>
          <w:rFonts w:hint="eastAsia" w:ascii="宋体" w:hAnsi="宋体" w:eastAsia="宋体" w:cs="宋体"/>
          <w:color w:val="auto"/>
          <w:highlight w:val="none"/>
        </w:rPr>
      </w:pPr>
      <w:bookmarkStart w:id="54" w:name="_Toc7850"/>
      <w:bookmarkStart w:id="55" w:name="_Toc31189"/>
      <w:bookmarkStart w:id="56" w:name="_Toc13883"/>
      <w:bookmarkStart w:id="57" w:name="_Toc27369"/>
      <w:bookmarkStart w:id="58" w:name="_Toc53489356"/>
      <w:bookmarkStart w:id="59" w:name="_Toc17508"/>
      <w:bookmarkStart w:id="60" w:name="_Toc18977"/>
      <w:bookmarkStart w:id="61" w:name="_Toc2305"/>
      <w:bookmarkStart w:id="62" w:name="_Toc19711"/>
      <w:bookmarkStart w:id="63" w:name="_Toc25355"/>
      <w:bookmarkStart w:id="64" w:name="_Toc15009"/>
      <w:r>
        <w:rPr>
          <w:rFonts w:hint="eastAsia" w:ascii="宋体" w:hAnsi="宋体" w:eastAsia="宋体" w:cs="宋体"/>
          <w:color w:val="auto"/>
          <w:highlight w:val="none"/>
        </w:rPr>
        <w:t>三、响应文件</w:t>
      </w:r>
      <w:bookmarkEnd w:id="54"/>
      <w:bookmarkEnd w:id="55"/>
      <w:bookmarkEnd w:id="56"/>
      <w:bookmarkEnd w:id="57"/>
      <w:bookmarkEnd w:id="58"/>
      <w:bookmarkEnd w:id="59"/>
      <w:bookmarkEnd w:id="60"/>
      <w:bookmarkEnd w:id="61"/>
      <w:bookmarkEnd w:id="62"/>
      <w:bookmarkEnd w:id="63"/>
      <w:bookmarkEnd w:id="64"/>
    </w:p>
    <w:p w14:paraId="753FC7C2">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14.一般要求</w:t>
      </w:r>
    </w:p>
    <w:p w14:paraId="04A3F343">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3808425F">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14.2 </w:t>
      </w:r>
      <w:r>
        <w:rPr>
          <w:rFonts w:hint="eastAsia" w:ascii="宋体" w:hAnsi="宋体" w:eastAsia="宋体" w:cs="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5886FC2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 xml:space="preserve">14.3 </w:t>
      </w:r>
      <w:r>
        <w:rPr>
          <w:rFonts w:hint="eastAsia" w:ascii="宋体" w:hAnsi="宋体" w:eastAsia="宋体" w:cs="宋体"/>
          <w:color w:val="auto"/>
          <w:szCs w:val="21"/>
          <w:highlight w:val="none"/>
        </w:rPr>
        <w:t>计量单位应使用我国法定计量单位，未列明时应默认为我国法定计量单位。</w:t>
      </w:r>
    </w:p>
    <w:p w14:paraId="7A243F4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 响应文件应采用书面形式，电报、传真、电子邮件形式的响应文件概不接受。</w:t>
      </w:r>
    </w:p>
    <w:p w14:paraId="73304CB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14.5 供应商应按磋商文件中提供的响应文件格式填写。</w:t>
      </w:r>
    </w:p>
    <w:p w14:paraId="7878F9F3">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w:t>
      </w:r>
      <w:r>
        <w:rPr>
          <w:rFonts w:hint="eastAsia" w:ascii="宋体" w:hAnsi="宋体" w:eastAsia="宋体" w:cs="宋体"/>
          <w:b/>
          <w:color w:val="auto"/>
          <w:szCs w:val="21"/>
          <w:highlight w:val="none"/>
        </w:rPr>
        <w:t>响应文件</w:t>
      </w:r>
      <w:r>
        <w:rPr>
          <w:rFonts w:hint="eastAsia" w:ascii="宋体" w:hAnsi="宋体" w:eastAsia="宋体" w:cs="宋体"/>
          <w:b/>
          <w:bCs/>
          <w:color w:val="auto"/>
          <w:szCs w:val="21"/>
          <w:highlight w:val="none"/>
        </w:rPr>
        <w:t>的组成</w:t>
      </w:r>
    </w:p>
    <w:p w14:paraId="73ADC49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15.1 响</w:t>
      </w:r>
      <w:r>
        <w:rPr>
          <w:rFonts w:hint="eastAsia" w:ascii="宋体" w:hAnsi="宋体" w:eastAsia="宋体" w:cs="宋体"/>
          <w:color w:val="auto"/>
          <w:szCs w:val="21"/>
          <w:highlight w:val="none"/>
        </w:rPr>
        <w:t xml:space="preserve">应文件包括下列内容： </w:t>
      </w:r>
    </w:p>
    <w:p w14:paraId="5916C29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（1）磋商响应声明</w:t>
      </w:r>
    </w:p>
    <w:p w14:paraId="4D0DB73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（2）保证金</w:t>
      </w:r>
    </w:p>
    <w:p w14:paraId="2597C6B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（3）供应商的资格证明资料</w:t>
      </w:r>
    </w:p>
    <w:p w14:paraId="66DD938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（4）施工方案说明</w:t>
      </w:r>
    </w:p>
    <w:p w14:paraId="3E917FD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（5）技术/商务响应与偏离表</w:t>
      </w:r>
    </w:p>
    <w:p w14:paraId="0949C66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（6）报价一览表及报价文件</w:t>
      </w:r>
    </w:p>
    <w:p w14:paraId="7E4750D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（7）提供享受政府采购政策优惠的证明资料和清单表</w:t>
      </w:r>
    </w:p>
    <w:p w14:paraId="6C65940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（8）供应商认为需提供的其它资料</w:t>
      </w:r>
    </w:p>
    <w:p w14:paraId="1C022FA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（9）最后报价</w:t>
      </w:r>
    </w:p>
    <w:p w14:paraId="5D3E2E72">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15.2在磋商过程中，</w:t>
      </w:r>
      <w:r>
        <w:rPr>
          <w:rFonts w:hint="eastAsia" w:ascii="宋体" w:hAnsi="宋体" w:eastAsia="宋体" w:cs="宋体"/>
          <w:color w:val="auto"/>
          <w:szCs w:val="21"/>
          <w:highlight w:val="none"/>
        </w:rPr>
        <w:t>供应商</w:t>
      </w:r>
      <w:r>
        <w:rPr>
          <w:rFonts w:hint="eastAsia" w:ascii="宋体" w:hAnsi="宋体" w:eastAsia="宋体" w:cs="宋体"/>
          <w:color w:val="auto"/>
          <w:highlight w:val="none"/>
        </w:rPr>
        <w:t>根据</w:t>
      </w:r>
      <w:r>
        <w:rPr>
          <w:rFonts w:hint="eastAsia" w:ascii="宋体" w:hAnsi="宋体" w:eastAsia="宋体" w:cs="宋体"/>
          <w:color w:val="auto"/>
          <w:kern w:val="0"/>
          <w:szCs w:val="21"/>
          <w:highlight w:val="none"/>
        </w:rPr>
        <w:t>磋商小组</w:t>
      </w:r>
      <w:r>
        <w:rPr>
          <w:rFonts w:hint="eastAsia" w:ascii="宋体" w:hAnsi="宋体" w:eastAsia="宋体" w:cs="宋体"/>
          <w:bCs/>
          <w:color w:val="auto"/>
          <w:szCs w:val="21"/>
          <w:highlight w:val="none"/>
        </w:rPr>
        <w:t>书面形式要求</w:t>
      </w:r>
      <w:r>
        <w:rPr>
          <w:rFonts w:hint="eastAsia" w:ascii="宋体" w:hAnsi="宋体" w:eastAsia="宋体" w:cs="宋体"/>
          <w:color w:val="auto"/>
          <w:kern w:val="0"/>
          <w:szCs w:val="21"/>
          <w:highlight w:val="none"/>
        </w:rPr>
        <w:t>提交的</w:t>
      </w:r>
      <w:r>
        <w:rPr>
          <w:rFonts w:hint="eastAsia" w:ascii="宋体" w:hAnsi="宋体" w:eastAsia="宋体" w:cs="宋体"/>
          <w:color w:val="auto"/>
          <w:highlight w:val="none"/>
        </w:rPr>
        <w:t>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w:t>
      </w:r>
      <w:r>
        <w:rPr>
          <w:rFonts w:hint="eastAsia" w:ascii="宋体" w:hAnsi="宋体" w:eastAsia="宋体" w:cs="宋体"/>
          <w:color w:val="auto"/>
          <w:highlight w:val="none"/>
        </w:rPr>
        <w:t>最后报价)是</w:t>
      </w:r>
      <w:r>
        <w:rPr>
          <w:rFonts w:hint="eastAsia" w:ascii="宋体" w:hAnsi="宋体" w:eastAsia="宋体" w:cs="宋体"/>
          <w:color w:val="auto"/>
          <w:szCs w:val="21"/>
          <w:highlight w:val="none"/>
        </w:rPr>
        <w:t>响应文件</w:t>
      </w:r>
      <w:r>
        <w:rPr>
          <w:rFonts w:hint="eastAsia" w:ascii="宋体" w:hAnsi="宋体" w:eastAsia="宋体" w:cs="宋体"/>
          <w:color w:val="auto"/>
          <w:highlight w:val="none"/>
        </w:rPr>
        <w:t>的有效组成部分。</w:t>
      </w:r>
    </w:p>
    <w:p w14:paraId="44A30286">
      <w:pPr>
        <w:adjustRightInd w:val="0"/>
        <w:snapToGrid w:val="0"/>
        <w:spacing w:line="360" w:lineRule="auto"/>
        <w:ind w:firstLine="420" w:firstLineChars="200"/>
        <w:rPr>
          <w:rFonts w:hint="eastAsia" w:ascii="宋体" w:hAnsi="宋体" w:eastAsia="宋体" w:cs="宋体"/>
          <w:b/>
          <w:color w:val="auto"/>
          <w:highlight w:val="none"/>
        </w:rPr>
      </w:pPr>
      <w:r>
        <w:rPr>
          <w:rFonts w:hint="eastAsia" w:ascii="宋体" w:hAnsi="宋体" w:eastAsia="宋体" w:cs="宋体"/>
          <w:color w:val="auto"/>
          <w:highlight w:val="none"/>
        </w:rPr>
        <w:t>15.3</w:t>
      </w:r>
      <w:r>
        <w:rPr>
          <w:rFonts w:hint="eastAsia" w:ascii="宋体" w:hAnsi="宋体" w:eastAsia="宋体" w:cs="宋体"/>
          <w:color w:val="auto"/>
          <w:kern w:val="0"/>
          <w:szCs w:val="21"/>
          <w:highlight w:val="none"/>
        </w:rPr>
        <w:t>磋商文件规定可能发生实质性变动的，供应商应当在</w:t>
      </w:r>
      <w:r>
        <w:rPr>
          <w:rFonts w:hint="eastAsia" w:ascii="宋体" w:hAnsi="宋体" w:eastAsia="宋体" w:cs="宋体"/>
          <w:color w:val="auto"/>
          <w:highlight w:val="none"/>
        </w:rPr>
        <w:t>《技术/商务响应与偏离表》中对应内容注明。</w:t>
      </w:r>
    </w:p>
    <w:p w14:paraId="2AFCCC4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15.4</w:t>
      </w:r>
      <w:r>
        <w:rPr>
          <w:rFonts w:hint="eastAsia" w:ascii="宋体" w:hAnsi="宋体" w:eastAsia="宋体" w:cs="宋体"/>
          <w:color w:val="auto"/>
          <w:szCs w:val="21"/>
          <w:highlight w:val="none"/>
        </w:rPr>
        <w:t>根据《政府采购法》第四十二条的规定，供应商无论成交与否，其响应文件不予退还。</w:t>
      </w:r>
    </w:p>
    <w:p w14:paraId="2F58952C">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16.报价</w:t>
      </w:r>
    </w:p>
    <w:p w14:paraId="29314563">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16.1供应商应当根据磋商文件要求和范围，以人民币报价，以元为单位，保留小数点后两位。</w:t>
      </w:r>
    </w:p>
    <w:p w14:paraId="7D09B2E5">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16.2供应商应按第五章 响应文件组成格式填写。</w:t>
      </w:r>
    </w:p>
    <w:p w14:paraId="2877449C">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16.3响应文件中标明的价格在合同执行过程中是固定不变的，不得以任何理由予以变更。以可变动价格提交的报价将被认为是非实质响应而被拒绝。</w:t>
      </w:r>
    </w:p>
    <w:p w14:paraId="49B14846">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16.4供应商的报价不得超过采购项目预算，采购项目预算或其计算方法见</w:t>
      </w:r>
      <w:r>
        <w:rPr>
          <w:rFonts w:hint="eastAsia" w:ascii="宋体" w:hAnsi="宋体" w:eastAsia="宋体" w:cs="宋体"/>
          <w:b/>
          <w:bCs/>
          <w:color w:val="auto"/>
          <w:kern w:val="0"/>
          <w:szCs w:val="21"/>
          <w:highlight w:val="none"/>
        </w:rPr>
        <w:t>磋商须知前附表</w:t>
      </w:r>
      <w:r>
        <w:rPr>
          <w:rFonts w:hint="eastAsia" w:ascii="宋体" w:hAnsi="宋体" w:eastAsia="宋体" w:cs="宋体"/>
          <w:color w:val="auto"/>
          <w:kern w:val="0"/>
          <w:szCs w:val="21"/>
          <w:highlight w:val="none"/>
        </w:rPr>
        <w:t>。</w:t>
      </w:r>
    </w:p>
    <w:p w14:paraId="59336236">
      <w:pPr>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17.供应商符合磋商文件规定的证明文件</w:t>
      </w:r>
    </w:p>
    <w:p w14:paraId="2416F227">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17.1供应商应提交满足本章第3.1款规定的资格条件要求的证明文件,该证明文件作为响应文件的一部分。</w:t>
      </w:r>
    </w:p>
    <w:p w14:paraId="535C0AEB">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17.2如果供应商为联合体，则应提交联合体各方资格证明文件、联合体协议。否则，在评审时将其视为无效响应。</w:t>
      </w:r>
    </w:p>
    <w:p w14:paraId="1CA9C572">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17.3 除</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另有规定外，供应商提供的货物及服务不是供应商制造或拥有的，则必须提供经销、或代理采购货物、或采购货物提供售后服务的证明文件。</w:t>
      </w:r>
    </w:p>
    <w:p w14:paraId="6438591B">
      <w:pPr>
        <w:adjustRightInd w:val="0"/>
        <w:snapToGrid w:val="0"/>
        <w:spacing w:before="156" w:beforeLines="50"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18．样品提供</w:t>
      </w:r>
      <w:r>
        <w:rPr>
          <w:rFonts w:hint="eastAsia" w:ascii="宋体" w:hAnsi="宋体" w:eastAsia="宋体" w:cs="宋体"/>
          <w:color w:val="auto"/>
          <w:szCs w:val="21"/>
          <w:highlight w:val="none"/>
        </w:rPr>
        <w:t>（本条不适用于本次采购）</w:t>
      </w:r>
    </w:p>
    <w:p w14:paraId="5BF5A72B">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18.1 </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规定</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在</w:t>
      </w:r>
      <w:r>
        <w:rPr>
          <w:rFonts w:hint="eastAsia" w:ascii="宋体" w:hAnsi="宋体" w:eastAsia="宋体" w:cs="宋体"/>
          <w:color w:val="auto"/>
          <w:highlight w:val="none"/>
        </w:rPr>
        <w:t>磋商</w:t>
      </w:r>
      <w:r>
        <w:rPr>
          <w:rFonts w:hint="eastAsia" w:ascii="宋体" w:hAnsi="宋体" w:eastAsia="宋体" w:cs="宋体"/>
          <w:color w:val="auto"/>
          <w:szCs w:val="21"/>
          <w:highlight w:val="none"/>
        </w:rPr>
        <w:t>时提供样品的，</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有以下情形之一的，在评审时将其视为无效响应。</w:t>
      </w:r>
    </w:p>
    <w:p w14:paraId="5AE32748">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（1）未在</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规定的提交时间、地点提交的；</w:t>
      </w:r>
    </w:p>
    <w:p w14:paraId="4827ABD1">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Cs/>
          <w:color w:val="auto"/>
          <w:highlight w:val="none"/>
        </w:rPr>
        <w:t>供应商</w:t>
      </w:r>
      <w:r>
        <w:rPr>
          <w:rFonts w:hint="eastAsia" w:ascii="宋体" w:hAnsi="宋体" w:eastAsia="宋体" w:cs="宋体"/>
          <w:color w:val="auto"/>
          <w:szCs w:val="21"/>
          <w:highlight w:val="none"/>
        </w:rPr>
        <w:t>提供的样品与响应文件中提供样品的型号、规格不一致的。</w:t>
      </w:r>
    </w:p>
    <w:p w14:paraId="4AD291D1">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19.</w:t>
      </w:r>
      <w:r>
        <w:rPr>
          <w:rFonts w:hint="eastAsia" w:ascii="宋体" w:hAnsi="宋体" w:eastAsia="宋体" w:cs="宋体"/>
          <w:color w:val="auto"/>
          <w:highlight w:val="none"/>
        </w:rPr>
        <w:t xml:space="preserve"> </w:t>
      </w:r>
      <w:r>
        <w:rPr>
          <w:rFonts w:hint="eastAsia" w:ascii="宋体" w:hAnsi="宋体" w:eastAsia="宋体" w:cs="宋体"/>
          <w:b/>
          <w:bCs/>
          <w:color w:val="auto"/>
          <w:szCs w:val="21"/>
          <w:highlight w:val="none"/>
        </w:rPr>
        <w:t>磋商保证金</w:t>
      </w:r>
    </w:p>
    <w:p w14:paraId="12EC87A6">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19.1</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规定交纳磋商</w:t>
      </w:r>
      <w:r>
        <w:rPr>
          <w:rFonts w:hint="eastAsia" w:ascii="宋体" w:hAnsi="宋体" w:eastAsia="宋体" w:cs="宋体"/>
          <w:bCs/>
          <w:color w:val="auto"/>
          <w:szCs w:val="21"/>
          <w:highlight w:val="none"/>
        </w:rPr>
        <w:t>保证金的</w:t>
      </w:r>
      <w:r>
        <w:rPr>
          <w:rFonts w:hint="eastAsia" w:ascii="宋体" w:hAnsi="宋体" w:eastAsia="宋体" w:cs="宋体"/>
          <w:color w:val="auto"/>
          <w:szCs w:val="21"/>
          <w:highlight w:val="none"/>
        </w:rPr>
        <w:t>，应按</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规定的磋商</w:t>
      </w:r>
      <w:r>
        <w:rPr>
          <w:rFonts w:hint="eastAsia" w:ascii="宋体" w:hAnsi="宋体" w:eastAsia="宋体" w:cs="宋体"/>
          <w:bCs/>
          <w:color w:val="auto"/>
          <w:szCs w:val="21"/>
          <w:highlight w:val="none"/>
        </w:rPr>
        <w:t>保证金形式交纳，不得以现金方式交纳</w:t>
      </w:r>
      <w:r>
        <w:rPr>
          <w:rFonts w:hint="eastAsia" w:ascii="宋体" w:hAnsi="宋体" w:eastAsia="宋体" w:cs="宋体"/>
          <w:color w:val="auto"/>
          <w:szCs w:val="21"/>
          <w:highlight w:val="none"/>
        </w:rPr>
        <w:t>，在</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szCs w:val="21"/>
          <w:highlight w:val="none"/>
        </w:rPr>
        <w:t>前，</w:t>
      </w:r>
      <w:r>
        <w:rPr>
          <w:rFonts w:hint="eastAsia" w:ascii="宋体" w:hAnsi="宋体" w:eastAsia="宋体" w:cs="宋体"/>
          <w:bCs/>
          <w:color w:val="auto"/>
          <w:szCs w:val="21"/>
          <w:highlight w:val="none"/>
        </w:rPr>
        <w:t>向采购代理机构交纳不超过</w:t>
      </w:r>
      <w:r>
        <w:rPr>
          <w:rFonts w:hint="eastAsia" w:ascii="宋体" w:hAnsi="宋体" w:eastAsia="宋体" w:cs="宋体"/>
          <w:color w:val="auto"/>
          <w:kern w:val="0"/>
          <w:szCs w:val="21"/>
          <w:highlight w:val="none"/>
          <w:lang w:val="zh-CN"/>
        </w:rPr>
        <w:t>采购项目预算2﹪</w:t>
      </w:r>
      <w:r>
        <w:rPr>
          <w:rFonts w:hint="eastAsia" w:ascii="宋体" w:hAnsi="宋体" w:eastAsia="宋体" w:cs="宋体"/>
          <w:bCs/>
          <w:color w:val="auto"/>
          <w:szCs w:val="21"/>
          <w:highlight w:val="none"/>
        </w:rPr>
        <w:t>的磋商保证金(数额采用四舍五入，计算至元)</w:t>
      </w:r>
      <w:r>
        <w:rPr>
          <w:rFonts w:hint="eastAsia" w:ascii="宋体" w:hAnsi="宋体" w:eastAsia="宋体" w:cs="宋体"/>
          <w:color w:val="auto"/>
          <w:szCs w:val="21"/>
          <w:highlight w:val="none"/>
        </w:rPr>
        <w:t>。磋商</w:t>
      </w:r>
      <w:r>
        <w:rPr>
          <w:rFonts w:hint="eastAsia" w:ascii="宋体" w:hAnsi="宋体" w:eastAsia="宋体" w:cs="宋体"/>
          <w:bCs/>
          <w:color w:val="auto"/>
          <w:szCs w:val="21"/>
          <w:highlight w:val="none"/>
        </w:rPr>
        <w:t>保证金有效期应当与</w:t>
      </w:r>
      <w:r>
        <w:rPr>
          <w:rFonts w:hint="eastAsia" w:ascii="宋体" w:hAnsi="宋体" w:eastAsia="宋体" w:cs="宋体"/>
          <w:color w:val="auto"/>
          <w:szCs w:val="21"/>
          <w:highlight w:val="none"/>
        </w:rPr>
        <w:t>本章第20.1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规定的</w:t>
      </w:r>
      <w:r>
        <w:rPr>
          <w:rFonts w:hint="eastAsia" w:ascii="宋体" w:hAnsi="宋体" w:eastAsia="宋体" w:cs="宋体"/>
          <w:bCs/>
          <w:color w:val="auto"/>
          <w:szCs w:val="21"/>
          <w:highlight w:val="none"/>
        </w:rPr>
        <w:t>响应文件有效期一致。</w:t>
      </w:r>
    </w:p>
    <w:p w14:paraId="041082D2">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19.2</w:t>
      </w:r>
      <w:r>
        <w:rPr>
          <w:rFonts w:hint="eastAsia" w:ascii="宋体" w:hAnsi="宋体" w:eastAsia="宋体" w:cs="宋体"/>
          <w:color w:val="auto"/>
          <w:kern w:val="0"/>
          <w:szCs w:val="21"/>
          <w:highlight w:val="none"/>
          <w:lang w:val="zh-CN"/>
        </w:rPr>
        <w:t>供应商为联合体的，可以由联合体中的一方或者共同交纳磋商保证金，其交纳的磋商保证金，对联合体各方均具有约束力。</w:t>
      </w:r>
    </w:p>
    <w:p w14:paraId="15FEC32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19.3供应商未按照磋商文件要求提交磋商保证金的，响应无效。</w:t>
      </w:r>
    </w:p>
    <w:p w14:paraId="61054208">
      <w:pPr>
        <w:tabs>
          <w:tab w:val="left" w:pos="630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6B100D38">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19.5 </w:t>
      </w:r>
      <w:r>
        <w:rPr>
          <w:rFonts w:hint="eastAsia" w:ascii="宋体" w:hAnsi="宋体" w:eastAsia="宋体" w:cs="宋体"/>
          <w:color w:val="auto"/>
          <w:kern w:val="0"/>
          <w:szCs w:val="21"/>
          <w:highlight w:val="none"/>
        </w:rPr>
        <w:t>有下列情形之一的，磋商保证金不予退还，并上缴本级财政国库：</w:t>
      </w:r>
    </w:p>
    <w:p w14:paraId="7AD6D48B">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（1）供应商在提交首次响应文件截止时间后撤回响应文件的；</w:t>
      </w:r>
    </w:p>
    <w:p w14:paraId="6D351184">
      <w:pPr>
        <w:widowControl/>
        <w:adjustRightInd w:val="0"/>
        <w:snapToGrid w:val="0"/>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（2）供应商在响应文件中提供虚假资料的；</w:t>
      </w:r>
    </w:p>
    <w:p w14:paraId="7AC394F6">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highlight w:val="none"/>
        </w:rPr>
        <w:t>（3）</w:t>
      </w:r>
      <w:r>
        <w:rPr>
          <w:rFonts w:hint="eastAsia" w:ascii="宋体" w:hAnsi="宋体" w:eastAsia="宋体" w:cs="宋体"/>
          <w:color w:val="auto"/>
          <w:highlight w:val="none"/>
        </w:rPr>
        <w:t>确定成交结果后，无正当理由放弃成交资格的；</w:t>
      </w:r>
    </w:p>
    <w:p w14:paraId="4513FE8D">
      <w:pPr>
        <w:widowControl/>
        <w:adjustRightInd w:val="0"/>
        <w:snapToGrid w:val="0"/>
        <w:spacing w:line="360" w:lineRule="auto"/>
        <w:ind w:firstLine="525" w:firstLineChars="2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 除因不可抗力或磋商文件认可的情形以外，成交供应商不与采购人签订合同的；</w:t>
      </w:r>
    </w:p>
    <w:p w14:paraId="56B5B2C2">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（5）供应商与采购人、其他供应商或者采购代理机构恶意串通的；</w:t>
      </w:r>
    </w:p>
    <w:p w14:paraId="19BE9FA5">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（6）磋商文件规定的其他情形。</w:t>
      </w:r>
    </w:p>
    <w:p w14:paraId="2DA3D9DF">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20.</w:t>
      </w:r>
      <w:r>
        <w:rPr>
          <w:rFonts w:hint="eastAsia" w:ascii="宋体" w:hAnsi="宋体" w:eastAsia="宋体" w:cs="宋体"/>
          <w:color w:val="auto"/>
          <w:szCs w:val="21"/>
          <w:highlight w:val="none"/>
        </w:rPr>
        <w:t xml:space="preserve"> </w:t>
      </w:r>
      <w:r>
        <w:rPr>
          <w:rFonts w:hint="eastAsia" w:ascii="宋体" w:hAnsi="宋体" w:eastAsia="宋体" w:cs="宋体"/>
          <w:b/>
          <w:color w:val="auto"/>
          <w:highlight w:val="none"/>
        </w:rPr>
        <w:t>响应文件</w:t>
      </w:r>
      <w:r>
        <w:rPr>
          <w:rFonts w:hint="eastAsia" w:ascii="宋体" w:hAnsi="宋体" w:eastAsia="宋体" w:cs="宋体"/>
          <w:b/>
          <w:color w:val="auto"/>
          <w:szCs w:val="21"/>
          <w:highlight w:val="none"/>
        </w:rPr>
        <w:t>有效期</w:t>
      </w:r>
    </w:p>
    <w:p w14:paraId="355113D6">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20.1响应文件</w:t>
      </w:r>
      <w:r>
        <w:rPr>
          <w:rFonts w:hint="eastAsia" w:ascii="宋体" w:hAnsi="宋体" w:eastAsia="宋体" w:cs="宋体"/>
          <w:color w:val="auto"/>
          <w:szCs w:val="21"/>
          <w:highlight w:val="none"/>
        </w:rPr>
        <w:t>有效期见</w:t>
      </w:r>
      <w:r>
        <w:rPr>
          <w:rFonts w:hint="eastAsia" w:ascii="宋体" w:hAnsi="宋体" w:eastAsia="宋体" w:cs="宋体"/>
          <w:b/>
          <w:color w:val="auto"/>
          <w:highlight w:val="none"/>
        </w:rPr>
        <w:t>磋商须知前附表</w:t>
      </w:r>
      <w:r>
        <w:rPr>
          <w:rFonts w:hint="eastAsia" w:ascii="宋体" w:hAnsi="宋体" w:eastAsia="宋体" w:cs="宋体"/>
          <w:color w:val="auto"/>
          <w:szCs w:val="21"/>
          <w:highlight w:val="none"/>
        </w:rPr>
        <w:t>，在此期间</w:t>
      </w:r>
      <w:r>
        <w:rPr>
          <w:rFonts w:hint="eastAsia" w:ascii="宋体" w:hAnsi="宋体" w:eastAsia="宋体" w:cs="宋体"/>
          <w:color w:val="auto"/>
          <w:highlight w:val="none"/>
        </w:rPr>
        <w:t>响应</w:t>
      </w:r>
      <w:r>
        <w:rPr>
          <w:rFonts w:hint="eastAsia" w:ascii="宋体" w:hAnsi="宋体" w:eastAsia="宋体" w:cs="宋体"/>
          <w:color w:val="auto"/>
          <w:szCs w:val="21"/>
          <w:highlight w:val="none"/>
        </w:rPr>
        <w:t>文件对供应商具有法律约束力，</w:t>
      </w:r>
      <w:r>
        <w:rPr>
          <w:rFonts w:hint="eastAsia" w:ascii="宋体" w:hAnsi="宋体" w:eastAsia="宋体" w:cs="宋体"/>
          <w:color w:val="auto"/>
          <w:highlight w:val="none"/>
        </w:rPr>
        <w:t>从</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highlight w:val="none"/>
        </w:rPr>
        <w:t>之日起计算。响应文件有效期不足的将被视为无效响应。</w:t>
      </w:r>
    </w:p>
    <w:p w14:paraId="1836FA4C">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21.响应文件的签署及规定</w:t>
      </w:r>
    </w:p>
    <w:p w14:paraId="38833D9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21.1响应文件的正本和副本应装订成册，正本一份，副本份数见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。正本和副本的封面上应标记“正本”或“副本”的字样，当正本和副本有差异时，以正本为准。</w:t>
      </w:r>
    </w:p>
    <w:p w14:paraId="0C111E6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57E0650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 在磋商过程中，供应商按磋商文件规定和磋商小组要求</w:t>
      </w:r>
      <w:r>
        <w:rPr>
          <w:rFonts w:hint="eastAsia" w:ascii="宋体" w:hAnsi="宋体" w:eastAsia="宋体" w:cs="宋体"/>
          <w:color w:val="auto"/>
          <w:kern w:val="0"/>
          <w:szCs w:val="21"/>
          <w:highlight w:val="none"/>
        </w:rPr>
        <w:t>提交的</w:t>
      </w:r>
      <w:r>
        <w:rPr>
          <w:rFonts w:hint="eastAsia" w:ascii="宋体" w:hAnsi="宋体" w:eastAsia="宋体" w:cs="宋体"/>
          <w:color w:val="auto"/>
          <w:szCs w:val="21"/>
          <w:highlight w:val="none"/>
        </w:rPr>
        <w:t>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w:t>
      </w:r>
      <w:r>
        <w:rPr>
          <w:rFonts w:hint="eastAsia" w:ascii="宋体" w:hAnsi="宋体" w:eastAsia="宋体" w:cs="宋体"/>
          <w:color w:val="auto"/>
          <w:szCs w:val="21"/>
          <w:highlight w:val="none"/>
        </w:rPr>
        <w:t>最后报价)，一式两份，可打印或用不退色墨水书写，但需经法定代表人或其委托代理人签字，</w:t>
      </w:r>
      <w:r>
        <w:rPr>
          <w:rFonts w:hint="eastAsia" w:ascii="宋体" w:hAnsi="宋体" w:eastAsia="宋体" w:cs="宋体"/>
          <w:color w:val="auto"/>
          <w:kern w:val="0"/>
          <w:szCs w:val="21"/>
          <w:highlight w:val="none"/>
        </w:rPr>
        <w:t>或者加盖供应商单位章</w:t>
      </w:r>
      <w:r>
        <w:rPr>
          <w:rFonts w:hint="eastAsia" w:ascii="宋体" w:hAnsi="宋体" w:eastAsia="宋体" w:cs="宋体"/>
          <w:color w:val="auto"/>
          <w:szCs w:val="21"/>
          <w:highlight w:val="none"/>
        </w:rPr>
        <w:t>。否则，将导致响应文件无效。</w:t>
      </w:r>
    </w:p>
    <w:p w14:paraId="514A484F">
      <w:pPr>
        <w:pStyle w:val="4"/>
        <w:bidi w:val="0"/>
        <w:rPr>
          <w:rFonts w:hint="eastAsia" w:ascii="宋体" w:hAnsi="宋体" w:eastAsia="宋体" w:cs="宋体"/>
          <w:color w:val="auto"/>
          <w:highlight w:val="none"/>
        </w:rPr>
      </w:pPr>
      <w:bookmarkStart w:id="65" w:name="_Toc8148"/>
      <w:bookmarkStart w:id="66" w:name="_Toc32583"/>
      <w:bookmarkStart w:id="67" w:name="_Toc6780"/>
      <w:bookmarkStart w:id="68" w:name="_Toc16149"/>
      <w:bookmarkStart w:id="69" w:name="_Toc31685"/>
      <w:bookmarkStart w:id="70" w:name="_Toc53489357"/>
      <w:bookmarkStart w:id="71" w:name="_Toc20260"/>
      <w:bookmarkStart w:id="72" w:name="_Toc32310"/>
      <w:bookmarkStart w:id="73" w:name="_Toc4143"/>
      <w:bookmarkStart w:id="74" w:name="_Toc19603"/>
      <w:bookmarkStart w:id="75" w:name="_Toc24824"/>
      <w:r>
        <w:rPr>
          <w:rFonts w:hint="eastAsia" w:ascii="宋体" w:hAnsi="宋体" w:eastAsia="宋体" w:cs="宋体"/>
          <w:color w:val="auto"/>
          <w:highlight w:val="none"/>
        </w:rPr>
        <w:t>四、响应文件的递交</w:t>
      </w:r>
      <w:bookmarkEnd w:id="65"/>
      <w:bookmarkEnd w:id="66"/>
      <w:bookmarkEnd w:id="67"/>
      <w:bookmarkEnd w:id="68"/>
      <w:bookmarkEnd w:id="69"/>
      <w:bookmarkEnd w:id="70"/>
      <w:bookmarkEnd w:id="71"/>
      <w:bookmarkEnd w:id="72"/>
      <w:bookmarkEnd w:id="73"/>
      <w:bookmarkEnd w:id="74"/>
      <w:bookmarkEnd w:id="75"/>
    </w:p>
    <w:p w14:paraId="3F6C8583">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22.</w:t>
      </w:r>
      <w:r>
        <w:rPr>
          <w:rFonts w:hint="eastAsia" w:ascii="宋体" w:hAnsi="宋体" w:eastAsia="宋体" w:cs="宋体"/>
          <w:b/>
          <w:color w:val="auto"/>
          <w:szCs w:val="21"/>
          <w:highlight w:val="none"/>
        </w:rPr>
        <w:t>响应文件</w:t>
      </w:r>
      <w:r>
        <w:rPr>
          <w:rFonts w:hint="eastAsia" w:ascii="宋体" w:hAnsi="宋体" w:eastAsia="宋体" w:cs="宋体"/>
          <w:b/>
          <w:bCs/>
          <w:color w:val="auto"/>
          <w:szCs w:val="21"/>
          <w:highlight w:val="none"/>
        </w:rPr>
        <w:t>的密封和标记</w:t>
      </w:r>
    </w:p>
    <w:p w14:paraId="7F9329B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22.1响应文件应密封包装，加贴封条，并在封套的封口处盖供应商单位章或者由法定代表人或其委托代理人签字。</w:t>
      </w:r>
    </w:p>
    <w:p w14:paraId="3B379062">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22.2响应文件封套上应写明的内容见</w:t>
      </w:r>
      <w:r>
        <w:rPr>
          <w:rFonts w:hint="eastAsia" w:ascii="宋体" w:hAnsi="宋体" w:eastAsia="宋体" w:cs="宋体"/>
          <w:b/>
          <w:color w:val="auto"/>
          <w:szCs w:val="21"/>
          <w:highlight w:val="none"/>
        </w:rPr>
        <w:t>磋商须知前附表。</w:t>
      </w:r>
    </w:p>
    <w:p w14:paraId="6CD687B6">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22.3响应文件如果未按上述规定密封和加写标记，采购人或采购代理机构将拒绝接收。</w:t>
      </w:r>
    </w:p>
    <w:p w14:paraId="15FE5B67">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23.响应文件的</w:t>
      </w:r>
      <w:r>
        <w:rPr>
          <w:rFonts w:hint="eastAsia" w:ascii="宋体" w:hAnsi="宋体" w:eastAsia="宋体" w:cs="宋体"/>
          <w:b/>
          <w:color w:val="auto"/>
          <w:kern w:val="0"/>
          <w:szCs w:val="21"/>
          <w:highlight w:val="none"/>
          <w:lang w:val="zh-CN"/>
        </w:rPr>
        <w:t>补充、修改或者撤回</w:t>
      </w:r>
    </w:p>
    <w:p w14:paraId="6479FDC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w:t>
      </w:r>
      <w:r>
        <w:rPr>
          <w:rFonts w:hint="eastAsia" w:ascii="宋体" w:hAnsi="宋体" w:eastAsia="宋体" w:cs="宋体"/>
          <w:color w:val="auto"/>
          <w:kern w:val="0"/>
          <w:szCs w:val="21"/>
          <w:highlight w:val="none"/>
        </w:rPr>
        <w:t>供应商在提交首次响应文件截止时间前，可以对所提交的首次响应文件进行补充、修改或者撤回，并书面通知采购人、采购代理机构。</w:t>
      </w:r>
      <w:r>
        <w:rPr>
          <w:rFonts w:hint="eastAsia" w:ascii="宋体" w:hAnsi="宋体" w:eastAsia="宋体" w:cs="宋体"/>
          <w:color w:val="auto"/>
          <w:szCs w:val="21"/>
          <w:highlight w:val="none"/>
        </w:rPr>
        <w:t>该通知应有供应商法定代表人或其委托代理人签字。</w:t>
      </w:r>
    </w:p>
    <w:p w14:paraId="08405C8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w:t>
      </w:r>
      <w:r>
        <w:rPr>
          <w:rFonts w:hint="eastAsia" w:ascii="宋体" w:hAnsi="宋体" w:eastAsia="宋体" w:cs="宋体"/>
          <w:color w:val="auto"/>
          <w:kern w:val="0"/>
          <w:szCs w:val="21"/>
          <w:highlight w:val="none"/>
          <w:lang w:val="zh-CN"/>
        </w:rPr>
        <w:t>补充、修改的内容与响应文件不一致时，以补充、修改的内容为准。</w:t>
      </w:r>
    </w:p>
    <w:p w14:paraId="43FD5C55">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24.响应文件的递交与接收</w:t>
      </w:r>
    </w:p>
    <w:p w14:paraId="4A4CB15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 供应商应在</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szCs w:val="21"/>
          <w:highlight w:val="none"/>
        </w:rPr>
        <w:t>前，将响应文件送达</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中指定的地点。</w:t>
      </w:r>
      <w:r>
        <w:rPr>
          <w:rFonts w:hint="eastAsia" w:ascii="宋体" w:hAnsi="宋体" w:eastAsia="宋体" w:cs="宋体"/>
          <w:color w:val="auto"/>
          <w:kern w:val="0"/>
          <w:highlight w:val="none"/>
        </w:rPr>
        <w:t>在截止时间后送达的响应文件，采购人、采购代理机构或者磋商小组应当拒收。</w:t>
      </w:r>
    </w:p>
    <w:p w14:paraId="08C1754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w:t>
      </w:r>
      <w:r>
        <w:rPr>
          <w:rFonts w:hint="eastAsia" w:ascii="宋体" w:hAnsi="宋体" w:eastAsia="宋体" w:cs="宋体"/>
          <w:color w:val="auto"/>
          <w:kern w:val="0"/>
          <w:szCs w:val="21"/>
          <w:highlight w:val="none"/>
        </w:rPr>
        <w:t>在提交首次响应文件截止时间后，</w:t>
      </w:r>
      <w:r>
        <w:rPr>
          <w:rFonts w:hint="eastAsia" w:ascii="宋体" w:hAnsi="宋体" w:eastAsia="宋体" w:cs="宋体"/>
          <w:color w:val="auto"/>
          <w:szCs w:val="21"/>
          <w:highlight w:val="none"/>
        </w:rPr>
        <w:t>由</w:t>
      </w:r>
      <w:r>
        <w:rPr>
          <w:rFonts w:hint="eastAsia" w:ascii="宋体" w:hAnsi="宋体" w:eastAsia="宋体" w:cs="宋体"/>
          <w:bCs/>
          <w:color w:val="auto"/>
          <w:szCs w:val="21"/>
          <w:highlight w:val="none"/>
        </w:rPr>
        <w:t>供应商代表</w:t>
      </w:r>
      <w:r>
        <w:rPr>
          <w:rFonts w:hint="eastAsia" w:ascii="宋体" w:hAnsi="宋体" w:eastAsia="宋体" w:cs="宋体"/>
          <w:color w:val="auto"/>
          <w:szCs w:val="21"/>
          <w:highlight w:val="none"/>
        </w:rPr>
        <w:t>当场查验</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的密封状况，采购人或</w:t>
      </w:r>
      <w:r>
        <w:rPr>
          <w:rFonts w:hint="eastAsia" w:ascii="宋体" w:hAnsi="宋体" w:eastAsia="宋体" w:cs="宋体"/>
          <w:bCs/>
          <w:color w:val="auto"/>
          <w:szCs w:val="21"/>
          <w:highlight w:val="none"/>
        </w:rPr>
        <w:t>采购代理机构</w:t>
      </w:r>
      <w:r>
        <w:rPr>
          <w:rFonts w:hint="eastAsia" w:ascii="宋体" w:hAnsi="宋体" w:eastAsia="宋体" w:cs="宋体"/>
          <w:color w:val="auto"/>
          <w:szCs w:val="21"/>
          <w:highlight w:val="none"/>
        </w:rPr>
        <w:t>不当场拆封</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w:t>
      </w:r>
    </w:p>
    <w:p w14:paraId="572506A0">
      <w:pPr>
        <w:pStyle w:val="4"/>
        <w:bidi w:val="0"/>
        <w:rPr>
          <w:rFonts w:hint="eastAsia" w:ascii="宋体" w:hAnsi="宋体" w:eastAsia="宋体" w:cs="宋体"/>
          <w:color w:val="auto"/>
          <w:highlight w:val="none"/>
        </w:rPr>
      </w:pPr>
      <w:bookmarkStart w:id="76" w:name="_Toc25011"/>
      <w:bookmarkStart w:id="77" w:name="_Toc5022"/>
      <w:bookmarkStart w:id="78" w:name="_Toc19332"/>
      <w:bookmarkStart w:id="79" w:name="_Toc29471"/>
      <w:bookmarkStart w:id="80" w:name="_Toc20410"/>
      <w:bookmarkStart w:id="81" w:name="_Toc19895"/>
      <w:bookmarkStart w:id="82" w:name="_Toc53489358"/>
      <w:bookmarkStart w:id="83" w:name="_Toc23756"/>
      <w:bookmarkStart w:id="84" w:name="_Toc15602"/>
      <w:bookmarkStart w:id="85" w:name="_Toc18462"/>
      <w:bookmarkStart w:id="86" w:name="_Toc25884"/>
      <w:r>
        <w:rPr>
          <w:rFonts w:hint="eastAsia" w:ascii="宋体" w:hAnsi="宋体" w:eastAsia="宋体" w:cs="宋体"/>
          <w:color w:val="auto"/>
          <w:highlight w:val="none"/>
        </w:rPr>
        <w:t>五、响应文件的磋商与评审</w:t>
      </w:r>
      <w:bookmarkEnd w:id="76"/>
      <w:bookmarkEnd w:id="77"/>
      <w:bookmarkEnd w:id="78"/>
      <w:bookmarkEnd w:id="79"/>
      <w:bookmarkEnd w:id="80"/>
      <w:bookmarkEnd w:id="81"/>
      <w:bookmarkEnd w:id="82"/>
      <w:bookmarkEnd w:id="83"/>
      <w:bookmarkEnd w:id="84"/>
      <w:bookmarkEnd w:id="85"/>
      <w:bookmarkEnd w:id="86"/>
    </w:p>
    <w:p w14:paraId="4BCD6640">
      <w:pPr>
        <w:tabs>
          <w:tab w:val="left" w:pos="0"/>
        </w:tabs>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25.磋商程序</w:t>
      </w:r>
    </w:p>
    <w:p w14:paraId="11125231">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25.1磋商程序：响应文件审查、磋商（包括澄清）、响应文件评审、</w:t>
      </w:r>
      <w:r>
        <w:rPr>
          <w:rFonts w:hint="eastAsia" w:ascii="宋体" w:hAnsi="宋体" w:eastAsia="宋体" w:cs="宋体"/>
          <w:bCs/>
          <w:color w:val="auto"/>
          <w:szCs w:val="21"/>
          <w:highlight w:val="none"/>
        </w:rPr>
        <w:t>提出成交供应商。其中，</w:t>
      </w:r>
      <w:r>
        <w:rPr>
          <w:rFonts w:hint="eastAsia" w:ascii="宋体" w:hAnsi="宋体" w:eastAsia="宋体" w:cs="宋体"/>
          <w:color w:val="auto"/>
          <w:kern w:val="0"/>
          <w:szCs w:val="21"/>
          <w:highlight w:val="none"/>
        </w:rPr>
        <w:t>磋商按</w:t>
      </w:r>
      <w:r>
        <w:rPr>
          <w:rFonts w:hint="eastAsia" w:ascii="宋体" w:hAnsi="宋体" w:eastAsia="宋体" w:cs="宋体"/>
          <w:color w:val="auto"/>
          <w:szCs w:val="21"/>
          <w:highlight w:val="none"/>
        </w:rPr>
        <w:t>本章</w:t>
      </w:r>
      <w:r>
        <w:rPr>
          <w:rFonts w:hint="eastAsia" w:ascii="宋体" w:hAnsi="宋体" w:eastAsia="宋体" w:cs="宋体"/>
          <w:color w:val="auto"/>
          <w:highlight w:val="none"/>
        </w:rPr>
        <w:t>第30.1</w:t>
      </w:r>
      <w:r>
        <w:rPr>
          <w:rFonts w:hint="eastAsia" w:ascii="宋体" w:hAnsi="宋体" w:eastAsia="宋体" w:cs="宋体"/>
          <w:color w:val="auto"/>
          <w:kern w:val="0"/>
          <w:szCs w:val="21"/>
          <w:highlight w:val="none"/>
          <w:lang w:val="zh-CN"/>
        </w:rPr>
        <w:t>款或者</w:t>
      </w:r>
      <w:r>
        <w:rPr>
          <w:rFonts w:hint="eastAsia" w:ascii="宋体" w:hAnsi="宋体" w:eastAsia="宋体" w:cs="宋体"/>
          <w:color w:val="auto"/>
          <w:highlight w:val="none"/>
        </w:rPr>
        <w:t>第30.2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情形</w:t>
      </w:r>
      <w:r>
        <w:rPr>
          <w:rFonts w:hint="eastAsia" w:ascii="宋体" w:hAnsi="宋体" w:eastAsia="宋体" w:cs="宋体"/>
          <w:bCs/>
          <w:color w:val="auto"/>
          <w:szCs w:val="21"/>
          <w:highlight w:val="none"/>
        </w:rPr>
        <w:t>进行。</w:t>
      </w:r>
    </w:p>
    <w:p w14:paraId="5B0D168F">
      <w:pPr>
        <w:widowControl/>
        <w:adjustRightInd w:val="0"/>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26.</w:t>
      </w:r>
      <w:r>
        <w:rPr>
          <w:rFonts w:hint="eastAsia" w:ascii="宋体" w:hAnsi="宋体" w:eastAsia="宋体" w:cs="宋体"/>
          <w:color w:val="auto"/>
          <w:highlight w:val="none"/>
        </w:rPr>
        <w:t xml:space="preserve"> </w:t>
      </w:r>
      <w:r>
        <w:rPr>
          <w:rFonts w:hint="eastAsia" w:ascii="宋体" w:hAnsi="宋体" w:eastAsia="宋体" w:cs="宋体"/>
          <w:b/>
          <w:color w:val="auto"/>
          <w:kern w:val="0"/>
          <w:szCs w:val="21"/>
          <w:highlight w:val="none"/>
        </w:rPr>
        <w:t>响应文件审查</w:t>
      </w:r>
      <w:r>
        <w:rPr>
          <w:rFonts w:hint="eastAsia" w:ascii="宋体" w:hAnsi="宋体" w:eastAsia="宋体" w:cs="宋体"/>
          <w:b/>
          <w:color w:val="auto"/>
          <w:szCs w:val="21"/>
          <w:highlight w:val="none"/>
        </w:rPr>
        <w:t xml:space="preserve"> </w:t>
      </w:r>
    </w:p>
    <w:p w14:paraId="274EC1B8">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 资格性审查：根据本章第3.1项规定的供应商资格条件要求，对</w:t>
      </w:r>
      <w:r>
        <w:rPr>
          <w:rFonts w:hint="eastAsia" w:ascii="宋体" w:hAnsi="宋体" w:eastAsia="宋体" w:cs="宋体"/>
          <w:color w:val="auto"/>
          <w:highlight w:val="none"/>
        </w:rPr>
        <w:t>响应</w:t>
      </w:r>
      <w:r>
        <w:rPr>
          <w:rFonts w:hint="eastAsia" w:ascii="宋体" w:hAnsi="宋体" w:eastAsia="宋体" w:cs="宋体"/>
          <w:color w:val="auto"/>
          <w:szCs w:val="21"/>
          <w:highlight w:val="none"/>
        </w:rPr>
        <w:t>文件的资格证明等进行审查，以确定供应商是否具备磋商资格条件。</w:t>
      </w:r>
    </w:p>
    <w:p w14:paraId="3031DEB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1EB0225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3684BDA6">
      <w:pPr>
        <w:adjustRightInd w:val="0"/>
        <w:snapToGrid w:val="0"/>
        <w:spacing w:line="360" w:lineRule="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27.实质性响应</w:t>
      </w:r>
    </w:p>
    <w:p w14:paraId="1FCBD40F">
      <w:pPr>
        <w:adjustRightInd w:val="0"/>
        <w:snapToGrid w:val="0"/>
        <w:spacing w:line="360" w:lineRule="auto"/>
        <w:ind w:firstLine="420" w:firstLineChars="2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27.1</w:t>
      </w:r>
      <w:r>
        <w:rPr>
          <w:rFonts w:hint="eastAsia" w:ascii="宋体" w:hAnsi="宋体" w:eastAsia="宋体" w:cs="宋体"/>
          <w:color w:val="auto"/>
          <w:szCs w:val="21"/>
          <w:highlight w:val="none"/>
        </w:rPr>
        <w:t>实质性响应是指响应文件(包括首次响应文件、重新提交的响应文件)与磋商文件要求的所有条款、条件和规格相符，没有偏离。偏离指不满足、或不响应磋商文件的要求。</w:t>
      </w:r>
    </w:p>
    <w:p w14:paraId="0F8B65F7">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w:t>
      </w:r>
      <w:r>
        <w:rPr>
          <w:rFonts w:hint="eastAsia" w:ascii="宋体" w:hAnsi="宋体" w:eastAsia="宋体" w:cs="宋体"/>
          <w:color w:val="auto"/>
          <w:highlight w:val="none"/>
        </w:rPr>
        <w:t>响应文件是否实质性响应磋商文件要求由磋商小组依据磋商文件规定认定。</w:t>
      </w:r>
      <w:r>
        <w:rPr>
          <w:rFonts w:hint="eastAsia" w:ascii="宋体" w:hAnsi="宋体" w:eastAsia="宋体" w:cs="宋体"/>
          <w:color w:val="auto"/>
          <w:kern w:val="0"/>
          <w:szCs w:val="21"/>
          <w:highlight w:val="none"/>
        </w:rPr>
        <w:t>磋商小组</w:t>
      </w:r>
      <w:r>
        <w:rPr>
          <w:rFonts w:hint="eastAsia" w:ascii="宋体" w:hAnsi="宋体" w:eastAsia="宋体" w:cs="宋体"/>
          <w:color w:val="auto"/>
          <w:szCs w:val="21"/>
          <w:highlight w:val="none"/>
        </w:rPr>
        <w:t>决定</w:t>
      </w:r>
      <w:r>
        <w:rPr>
          <w:rFonts w:hint="eastAsia" w:ascii="宋体" w:hAnsi="宋体" w:eastAsia="宋体" w:cs="宋体"/>
          <w:color w:val="auto"/>
          <w:highlight w:val="none"/>
        </w:rPr>
        <w:t>响应文件</w:t>
      </w:r>
      <w:r>
        <w:rPr>
          <w:rFonts w:hint="eastAsia" w:ascii="宋体" w:hAnsi="宋体" w:eastAsia="宋体" w:cs="宋体"/>
          <w:color w:val="auto"/>
          <w:szCs w:val="21"/>
          <w:highlight w:val="none"/>
        </w:rPr>
        <w:t>的响应性只根据</w:t>
      </w:r>
      <w:r>
        <w:rPr>
          <w:rFonts w:hint="eastAsia" w:ascii="宋体" w:hAnsi="宋体" w:eastAsia="宋体" w:cs="宋体"/>
          <w:color w:val="auto"/>
          <w:highlight w:val="none"/>
        </w:rPr>
        <w:t>响应文件</w:t>
      </w:r>
      <w:r>
        <w:rPr>
          <w:rFonts w:hint="eastAsia" w:ascii="宋体" w:hAnsi="宋体" w:eastAsia="宋体" w:cs="宋体"/>
          <w:color w:val="auto"/>
          <w:szCs w:val="21"/>
          <w:highlight w:val="none"/>
        </w:rPr>
        <w:t>本身的真实无误的内容，而不依据外部的证据。</w:t>
      </w:r>
    </w:p>
    <w:p w14:paraId="631B2E31">
      <w:pPr>
        <w:adjustRightInd w:val="0"/>
        <w:snapToGrid w:val="0"/>
        <w:spacing w:line="360" w:lineRule="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28.无效响应 </w:t>
      </w:r>
    </w:p>
    <w:p w14:paraId="60824746">
      <w:pPr>
        <w:adjustRightInd w:val="0"/>
        <w:snapToGrid w:val="0"/>
        <w:spacing w:line="360" w:lineRule="auto"/>
        <w:ind w:firstLine="411" w:firstLineChars="196"/>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28.1</w:t>
      </w:r>
      <w:r>
        <w:rPr>
          <w:rFonts w:hint="eastAsia" w:ascii="宋体" w:hAnsi="宋体" w:eastAsia="宋体" w:cs="宋体"/>
          <w:color w:val="auto"/>
          <w:szCs w:val="21"/>
          <w:highlight w:val="none"/>
        </w:rPr>
        <w:t>磋商小组在对资格性和符合性进行审查时，有下列情况之一的，属无效响应，</w:t>
      </w:r>
      <w:r>
        <w:rPr>
          <w:rFonts w:hint="eastAsia" w:ascii="宋体" w:hAnsi="宋体" w:eastAsia="宋体" w:cs="宋体"/>
          <w:color w:val="auto"/>
          <w:kern w:val="0"/>
          <w:szCs w:val="21"/>
          <w:highlight w:val="none"/>
        </w:rPr>
        <w:t>磋商小组应当告知有关供应商</w:t>
      </w:r>
      <w:r>
        <w:rPr>
          <w:rFonts w:hint="eastAsia" w:ascii="宋体" w:hAnsi="宋体" w:eastAsia="宋体" w:cs="宋体"/>
          <w:color w:val="auto"/>
          <w:szCs w:val="21"/>
          <w:highlight w:val="none"/>
        </w:rPr>
        <w:t>：</w:t>
      </w:r>
    </w:p>
    <w:p w14:paraId="4F00CD2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（1）供应商不具备本章第3.1款规定的供应商资格条件要求，或存在本章第3.3款情形的；</w:t>
      </w:r>
    </w:p>
    <w:p w14:paraId="232F6F1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（2）联合体不符合本章第3.2款规定的；</w:t>
      </w:r>
    </w:p>
    <w:p w14:paraId="6F2B20D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（3）应交未交磋商保证金或金额不足、磋商保证金缴纳形式不符合磋商文件要求的；</w:t>
      </w:r>
    </w:p>
    <w:p w14:paraId="042D39F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（4）响应文件未按照磋商文件要求签署、盖章的；</w:t>
      </w:r>
    </w:p>
    <w:p w14:paraId="460EF17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（4）响应文件不满足本章第27.1款规定的实质性要求的；</w:t>
      </w:r>
    </w:p>
    <w:p w14:paraId="0B6574C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（5）报价超过采购项目预算的；</w:t>
      </w:r>
    </w:p>
    <w:p w14:paraId="44F87DD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（6）响应文件有效期不足的；</w:t>
      </w:r>
    </w:p>
    <w:p w14:paraId="2D6371D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（7）响应文件不符合法律、规章、规范性文件和磋商文件规定及要求的。</w:t>
      </w:r>
    </w:p>
    <w:p w14:paraId="7126B4AF">
      <w:pPr>
        <w:widowControl/>
        <w:adjustRightInd w:val="0"/>
        <w:snapToGrid w:val="0"/>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29.澄清</w:t>
      </w:r>
    </w:p>
    <w:p w14:paraId="16EDB1A0">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33CE7AA0">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80B4537">
      <w:pPr>
        <w:widowControl/>
        <w:adjustRightInd w:val="0"/>
        <w:snapToGrid w:val="0"/>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30.磋商</w:t>
      </w:r>
    </w:p>
    <w:p w14:paraId="2BC00471">
      <w:pPr>
        <w:widowControl/>
        <w:adjustRightInd w:val="0"/>
        <w:snapToGrid w:val="0"/>
        <w:spacing w:line="360" w:lineRule="auto"/>
        <w:ind w:firstLine="42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30.1</w:t>
      </w:r>
      <w:r>
        <w:rPr>
          <w:rFonts w:hint="eastAsia" w:ascii="宋体" w:hAnsi="宋体" w:eastAsia="宋体" w:cs="宋体"/>
          <w:color w:val="auto"/>
          <w:highlight w:val="none"/>
        </w:rPr>
        <w:t>本章第10.2项</w:t>
      </w:r>
      <w:r>
        <w:rPr>
          <w:rFonts w:hint="eastAsia" w:ascii="宋体" w:hAnsi="宋体" w:eastAsia="宋体" w:cs="宋体"/>
          <w:color w:val="auto"/>
          <w:kern w:val="0"/>
          <w:szCs w:val="21"/>
          <w:highlight w:val="none"/>
        </w:rPr>
        <w:t>未明确磋商文件实质性变动内容的，或者磋商文件明确了可能发生实质性变动内容，但在磋商过程中，</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根据磋商情况</w:t>
      </w:r>
      <w:r>
        <w:rPr>
          <w:rFonts w:hint="eastAsia" w:ascii="宋体" w:hAnsi="宋体" w:eastAsia="宋体" w:cs="宋体"/>
          <w:bCs/>
          <w:color w:val="auto"/>
          <w:szCs w:val="21"/>
          <w:highlight w:val="none"/>
        </w:rPr>
        <w:t>认为</w:t>
      </w:r>
      <w:r>
        <w:rPr>
          <w:rFonts w:hint="eastAsia" w:ascii="宋体" w:hAnsi="宋体" w:eastAsia="宋体" w:cs="宋体"/>
          <w:color w:val="auto"/>
          <w:kern w:val="0"/>
          <w:szCs w:val="21"/>
          <w:highlight w:val="none"/>
        </w:rPr>
        <w:t>磋商文件无需发生实质性变动的，磋商小组应当直接与响应文件审查合格的供应商就价格组织多轮磋商。</w:t>
      </w:r>
    </w:p>
    <w:p w14:paraId="227FC544">
      <w:pPr>
        <w:widowControl/>
        <w:tabs>
          <w:tab w:val="left" w:pos="1080"/>
          <w:tab w:val="left" w:pos="1260"/>
        </w:tabs>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（1）磋商结束后，磋商小组应当要求所有继续参加磋商的供应商在磋商小组规定时间内提交最后报价。</w:t>
      </w:r>
    </w:p>
    <w:p w14:paraId="449B5844">
      <w:pPr>
        <w:widowControl/>
        <w:tabs>
          <w:tab w:val="left" w:pos="1080"/>
          <w:tab w:val="left" w:pos="1260"/>
        </w:tabs>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（2）磋商文件明确可能发生实质性变动，但在磋商过程中</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根据磋商情况</w:t>
      </w:r>
      <w:r>
        <w:rPr>
          <w:rFonts w:hint="eastAsia" w:ascii="宋体" w:hAnsi="宋体" w:eastAsia="宋体" w:cs="宋体"/>
          <w:bCs/>
          <w:color w:val="auto"/>
          <w:szCs w:val="21"/>
          <w:highlight w:val="none"/>
        </w:rPr>
        <w:t>认为</w:t>
      </w:r>
      <w:r>
        <w:rPr>
          <w:rFonts w:hint="eastAsia" w:ascii="宋体" w:hAnsi="宋体" w:eastAsia="宋体" w:cs="宋体"/>
          <w:color w:val="auto"/>
          <w:kern w:val="0"/>
          <w:szCs w:val="21"/>
          <w:highlight w:val="none"/>
        </w:rPr>
        <w:t>磋商文件无需发生实质性变动的，磋商小组不另行通知。</w:t>
      </w:r>
    </w:p>
    <w:p w14:paraId="29F901A2">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30.2</w:t>
      </w:r>
      <w:r>
        <w:rPr>
          <w:rFonts w:hint="eastAsia" w:ascii="宋体" w:hAnsi="宋体" w:eastAsia="宋体" w:cs="宋体"/>
          <w:color w:val="auto"/>
          <w:highlight w:val="none"/>
        </w:rPr>
        <w:t>本章第10.2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kern w:val="0"/>
          <w:szCs w:val="21"/>
          <w:highlight w:val="none"/>
        </w:rPr>
        <w:t>明确磋商文件实质性变动内容的，</w:t>
      </w:r>
      <w:r>
        <w:rPr>
          <w:rFonts w:hint="eastAsia" w:ascii="宋体" w:hAnsi="宋体" w:eastAsia="宋体" w:cs="宋体"/>
          <w:bCs/>
          <w:color w:val="auto"/>
          <w:szCs w:val="21"/>
          <w:highlight w:val="none"/>
        </w:rPr>
        <w:t>磋商小组</w:t>
      </w:r>
      <w:r>
        <w:rPr>
          <w:rFonts w:hint="eastAsia" w:ascii="宋体" w:hAnsi="宋体" w:eastAsia="宋体" w:cs="宋体"/>
          <w:color w:val="auto"/>
          <w:kern w:val="0"/>
          <w:szCs w:val="21"/>
          <w:highlight w:val="none"/>
        </w:rPr>
        <w:t>可以组织多轮磋商。</w:t>
      </w:r>
      <w:r>
        <w:rPr>
          <w:rFonts w:hint="eastAsia" w:ascii="宋体" w:hAnsi="宋体" w:eastAsia="宋体" w:cs="宋体"/>
          <w:bCs/>
          <w:color w:val="auto"/>
          <w:szCs w:val="21"/>
          <w:highlight w:val="none"/>
        </w:rPr>
        <w:t>在每一轮磋商中，磋商小组</w:t>
      </w:r>
      <w:r>
        <w:rPr>
          <w:rFonts w:hint="eastAsia" w:ascii="宋体" w:hAnsi="宋体" w:eastAsia="宋体" w:cs="宋体"/>
          <w:color w:val="auto"/>
          <w:kern w:val="0"/>
          <w:szCs w:val="21"/>
          <w:highlight w:val="none"/>
        </w:rPr>
        <w:t>可以根据磋商文件规定和磋商情况，</w:t>
      </w:r>
      <w:r>
        <w:rPr>
          <w:rFonts w:hint="eastAsia" w:ascii="宋体" w:hAnsi="宋体" w:eastAsia="宋体" w:cs="宋体"/>
          <w:bCs/>
          <w:color w:val="auto"/>
          <w:szCs w:val="21"/>
          <w:highlight w:val="none"/>
        </w:rPr>
        <w:t>对磋商文件的</w:t>
      </w:r>
      <w:r>
        <w:rPr>
          <w:rFonts w:hint="eastAsia" w:ascii="宋体" w:hAnsi="宋体" w:eastAsia="宋体" w:cs="宋体"/>
          <w:color w:val="auto"/>
          <w:kern w:val="0"/>
          <w:szCs w:val="21"/>
          <w:highlight w:val="none"/>
        </w:rPr>
        <w:t>采购需求中的技术、服务要求以及合同草案条款</w:t>
      </w:r>
      <w:r>
        <w:rPr>
          <w:rFonts w:hint="eastAsia" w:ascii="宋体" w:hAnsi="宋体" w:eastAsia="宋体" w:cs="宋体"/>
          <w:bCs/>
          <w:color w:val="auto"/>
          <w:szCs w:val="21"/>
          <w:highlight w:val="none"/>
        </w:rPr>
        <w:t>作实质性变动(磋商文件的实质性变动内容为磋商文件的组成部分)，并以书面形式要求</w:t>
      </w:r>
      <w:r>
        <w:rPr>
          <w:rFonts w:hint="eastAsia" w:ascii="宋体" w:hAnsi="宋体" w:eastAsia="宋体" w:cs="宋体"/>
          <w:color w:val="auto"/>
          <w:kern w:val="0"/>
          <w:szCs w:val="21"/>
          <w:highlight w:val="none"/>
        </w:rPr>
        <w:t>响应文件审查合格</w:t>
      </w:r>
      <w:r>
        <w:rPr>
          <w:rFonts w:hint="eastAsia" w:ascii="宋体" w:hAnsi="宋体" w:eastAsia="宋体" w:cs="宋体"/>
          <w:bCs/>
          <w:color w:val="auto"/>
          <w:szCs w:val="21"/>
          <w:highlight w:val="none"/>
        </w:rPr>
        <w:t>的供应商，在规定的</w:t>
      </w:r>
      <w:r>
        <w:rPr>
          <w:rFonts w:hint="eastAsia" w:ascii="宋体" w:hAnsi="宋体" w:eastAsia="宋体" w:cs="宋体"/>
          <w:color w:val="auto"/>
          <w:kern w:val="0"/>
          <w:szCs w:val="21"/>
          <w:highlight w:val="none"/>
        </w:rPr>
        <w:t>截止时间前</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新提交响应文件</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磋商小组应当</w:t>
      </w:r>
      <w:r>
        <w:rPr>
          <w:rFonts w:hint="eastAsia" w:ascii="宋体" w:hAnsi="宋体" w:eastAsia="宋体" w:cs="宋体"/>
          <w:color w:val="auto"/>
          <w:szCs w:val="21"/>
          <w:highlight w:val="none"/>
        </w:rPr>
        <w:t>根据本章第26.2</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w:t>
      </w:r>
      <w:r>
        <w:rPr>
          <w:rFonts w:hint="eastAsia" w:ascii="宋体" w:hAnsi="宋体" w:eastAsia="宋体" w:cs="宋体"/>
          <w:color w:val="auto"/>
          <w:kern w:val="0"/>
          <w:szCs w:val="21"/>
          <w:highlight w:val="none"/>
        </w:rPr>
        <w:t>对供应商重新提交的响应文件进行审查。供应商重新提交的响应文件审查不合格的，不得进入下一轮磋商，也不得要求提交最后报价。</w:t>
      </w:r>
    </w:p>
    <w:p w14:paraId="26BFE914">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06DAA65B">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64134436">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30.3</w:t>
      </w:r>
      <w:r>
        <w:rPr>
          <w:rFonts w:hint="eastAsia" w:ascii="宋体" w:hAnsi="宋体" w:eastAsia="宋体" w:cs="宋体"/>
          <w:color w:val="auto"/>
          <w:highlight w:val="none"/>
        </w:rPr>
        <w:t xml:space="preserve"> </w:t>
      </w:r>
      <w:r>
        <w:rPr>
          <w:rFonts w:hint="eastAsia" w:ascii="宋体" w:hAnsi="宋体" w:eastAsia="宋体" w:cs="宋体"/>
          <w:bCs/>
          <w:color w:val="auto"/>
          <w:highlight w:val="none"/>
        </w:rPr>
        <w:t>重</w:t>
      </w:r>
      <w:r>
        <w:rPr>
          <w:rFonts w:hint="eastAsia" w:ascii="宋体" w:hAnsi="宋体" w:eastAsia="宋体" w:cs="宋体"/>
          <w:color w:val="auto"/>
          <w:kern w:val="0"/>
          <w:highlight w:val="none"/>
        </w:rPr>
        <w:t>新提交的响应文件</w:t>
      </w:r>
      <w:r>
        <w:rPr>
          <w:rFonts w:hint="eastAsia" w:ascii="宋体" w:hAnsi="宋体" w:eastAsia="宋体" w:cs="宋体"/>
          <w:color w:val="auto"/>
          <w:highlight w:val="none"/>
        </w:rPr>
        <w:t>或者最后报价应按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21.3</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由其法定代表人或其委托代理人签字或者加盖</w:t>
      </w:r>
      <w:r>
        <w:rPr>
          <w:rFonts w:hint="eastAsia" w:ascii="宋体" w:hAnsi="宋体" w:eastAsia="宋体" w:cs="宋体"/>
          <w:color w:val="auto"/>
          <w:kern w:val="0"/>
          <w:highlight w:val="none"/>
        </w:rPr>
        <w:t>供应商单位</w:t>
      </w:r>
      <w:r>
        <w:rPr>
          <w:rFonts w:hint="eastAsia" w:ascii="宋体" w:hAnsi="宋体" w:eastAsia="宋体" w:cs="宋体"/>
          <w:color w:val="auto"/>
          <w:kern w:val="0"/>
          <w:szCs w:val="21"/>
          <w:highlight w:val="none"/>
        </w:rPr>
        <w:t>章，在规定时间内密封递交给磋商小组</w:t>
      </w:r>
      <w:r>
        <w:rPr>
          <w:rFonts w:hint="eastAsia" w:ascii="宋体" w:hAnsi="宋体" w:eastAsia="宋体" w:cs="宋体"/>
          <w:bCs/>
          <w:color w:val="auto"/>
          <w:szCs w:val="21"/>
          <w:highlight w:val="none"/>
        </w:rPr>
        <w:t>。</w:t>
      </w:r>
    </w:p>
    <w:p w14:paraId="0956FE8B">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30.4</w:t>
      </w:r>
      <w:r>
        <w:rPr>
          <w:rFonts w:hint="eastAsia" w:ascii="宋体" w:hAnsi="宋体" w:eastAsia="宋体" w:cs="宋体"/>
          <w:color w:val="auto"/>
          <w:kern w:val="0"/>
          <w:szCs w:val="21"/>
          <w:highlight w:val="none"/>
          <w:lang w:val="zh-CN"/>
        </w:rPr>
        <w:t>供应商的</w:t>
      </w:r>
      <w:r>
        <w:rPr>
          <w:rFonts w:hint="eastAsia" w:ascii="宋体" w:hAnsi="宋体" w:eastAsia="宋体" w:cs="宋体"/>
          <w:bCs/>
          <w:color w:val="auto"/>
          <w:szCs w:val="21"/>
          <w:highlight w:val="none"/>
        </w:rPr>
        <w:t>最</w:t>
      </w:r>
      <w:r>
        <w:rPr>
          <w:rFonts w:hint="eastAsia" w:ascii="宋体" w:hAnsi="宋体" w:eastAsia="宋体" w:cs="宋体"/>
          <w:color w:val="auto"/>
          <w:kern w:val="0"/>
          <w:szCs w:val="21"/>
          <w:highlight w:val="none"/>
          <w:lang w:val="zh-CN"/>
        </w:rPr>
        <w:t>后</w:t>
      </w:r>
      <w:r>
        <w:rPr>
          <w:rFonts w:hint="eastAsia" w:ascii="宋体" w:hAnsi="宋体" w:eastAsia="宋体" w:cs="宋体"/>
          <w:bCs/>
          <w:color w:val="auto"/>
          <w:szCs w:val="21"/>
          <w:highlight w:val="none"/>
        </w:rPr>
        <w:t>报价及</w:t>
      </w:r>
      <w:r>
        <w:rPr>
          <w:rFonts w:hint="eastAsia" w:ascii="宋体" w:hAnsi="宋体" w:eastAsia="宋体" w:cs="宋体"/>
          <w:color w:val="auto"/>
          <w:kern w:val="0"/>
          <w:szCs w:val="21"/>
          <w:highlight w:val="none"/>
        </w:rPr>
        <w:t>政府采购政策规定的价格扣除情况，磋商小组应召集所有参加最后报价的供应商当场开封</w:t>
      </w:r>
      <w:r>
        <w:rPr>
          <w:rFonts w:hint="eastAsia" w:ascii="宋体" w:hAnsi="宋体" w:eastAsia="宋体" w:cs="宋体"/>
          <w:bCs/>
          <w:color w:val="auto"/>
          <w:szCs w:val="21"/>
          <w:highlight w:val="none"/>
        </w:rPr>
        <w:t>公布，并由供应商代表签字确认。</w:t>
      </w:r>
    </w:p>
    <w:p w14:paraId="18737117">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30.5提交首次响应文件的供应商，在提交最后报价之前，可以根据磋商情况退出磋商，</w:t>
      </w:r>
      <w:r>
        <w:rPr>
          <w:rFonts w:hint="eastAsia" w:ascii="宋体" w:hAnsi="宋体" w:eastAsia="宋体" w:cs="宋体"/>
          <w:color w:val="auto"/>
          <w:kern w:val="0"/>
          <w:highlight w:val="none"/>
        </w:rPr>
        <w:t>并书面通知采购代理机构或者磋商小组。</w:t>
      </w:r>
      <w:r>
        <w:rPr>
          <w:rFonts w:hint="eastAsia" w:ascii="宋体" w:hAnsi="宋体" w:eastAsia="宋体" w:cs="宋体"/>
          <w:color w:val="auto"/>
          <w:highlight w:val="none"/>
        </w:rPr>
        <w:t>该通知由供应商法定代表人或其委托代理人签字。</w:t>
      </w:r>
      <w:r>
        <w:rPr>
          <w:rFonts w:hint="eastAsia" w:ascii="宋体" w:hAnsi="宋体" w:eastAsia="宋体" w:cs="宋体"/>
          <w:color w:val="auto"/>
          <w:kern w:val="0"/>
          <w:szCs w:val="21"/>
          <w:highlight w:val="none"/>
        </w:rPr>
        <w:t>采购代理机构</w:t>
      </w:r>
      <w:r>
        <w:rPr>
          <w:rFonts w:hint="eastAsia" w:ascii="宋体" w:hAnsi="宋体" w:eastAsia="宋体" w:cs="宋体"/>
          <w:color w:val="auto"/>
          <w:kern w:val="0"/>
          <w:highlight w:val="none"/>
        </w:rPr>
        <w:t>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19.4</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退还退出磋商的供应商的磋商保证金。</w:t>
      </w:r>
    </w:p>
    <w:p w14:paraId="1D643A06">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30.6</w:t>
      </w:r>
      <w:r>
        <w:rPr>
          <w:rFonts w:hint="eastAsia" w:ascii="宋体" w:hAnsi="宋体" w:eastAsia="宋体" w:cs="宋体"/>
          <w:color w:val="auto"/>
          <w:kern w:val="0"/>
          <w:szCs w:val="21"/>
          <w:highlight w:val="none"/>
        </w:rPr>
        <w:t>提交首次响应文件的供应商，未按磋商文件规定及磋商小组要求提交最后报价(或者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新提交的响应文件和最后报价)，且又</w:t>
      </w:r>
      <w:r>
        <w:rPr>
          <w:rFonts w:hint="eastAsia" w:ascii="宋体" w:hAnsi="宋体" w:eastAsia="宋体" w:cs="宋体"/>
          <w:color w:val="auto"/>
          <w:kern w:val="0"/>
          <w:highlight w:val="none"/>
        </w:rPr>
        <w:t>未按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30.5</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退出磋商的，供应商的磋商保证金不予退还。</w:t>
      </w:r>
    </w:p>
    <w:p w14:paraId="6D7B94EF">
      <w:pPr>
        <w:widowControl/>
        <w:adjustRightInd w:val="0"/>
        <w:snapToGrid w:val="0"/>
        <w:spacing w:line="360" w:lineRule="auto"/>
        <w:jc w:val="left"/>
        <w:rPr>
          <w:rFonts w:hint="eastAsia" w:ascii="宋体" w:hAnsi="宋体" w:eastAsia="宋体" w:cs="宋体"/>
          <w:b/>
          <w:bCs/>
          <w:color w:val="auto"/>
          <w:szCs w:val="21"/>
          <w:highlight w:val="none"/>
        </w:rPr>
      </w:pPr>
      <w:r>
        <w:rPr>
          <w:rFonts w:hint="eastAsia" w:ascii="宋体" w:hAnsi="宋体" w:eastAsia="宋体" w:cs="宋体"/>
          <w:b/>
          <w:color w:val="auto"/>
          <w:kern w:val="0"/>
          <w:szCs w:val="21"/>
          <w:highlight w:val="none"/>
        </w:rPr>
        <w:t>31.响应文件评审</w:t>
      </w:r>
    </w:p>
    <w:p w14:paraId="1731EF62">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31.1经磋商确定最终采购需求和提交最后报价的供应商后，由磋商小组采用综合评分法对提交最后报价的供应商的响应文件和最后报价进行综合评价。</w:t>
      </w:r>
    </w:p>
    <w:p w14:paraId="4920FACB">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color w:val="auto"/>
          <w:szCs w:val="21"/>
          <w:highlight w:val="none"/>
        </w:rPr>
        <w:t>磋商须知前附表。</w:t>
      </w:r>
    </w:p>
    <w:p w14:paraId="749DA1D8">
      <w:pPr>
        <w:widowControl/>
        <w:adjustRightInd w:val="0"/>
        <w:snapToGrid w:val="0"/>
        <w:spacing w:before="156" w:beforeLines="50"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31.3</w:t>
      </w:r>
      <w:r>
        <w:rPr>
          <w:rFonts w:hint="eastAsia" w:ascii="宋体" w:hAnsi="宋体" w:eastAsia="宋体" w:cs="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757405B5">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3BE986C3">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磋商报价得分=（磋商基准价/最后磋商报价）×价格权值</w:t>
      </w:r>
    </w:p>
    <w:p w14:paraId="5B003046">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项目评审过程中，不得去掉最后报价中的最高报价和最低报价。</w:t>
      </w:r>
    </w:p>
    <w:p w14:paraId="08CBFA32">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31.5</w:t>
      </w:r>
      <w:r>
        <w:rPr>
          <w:rFonts w:hint="eastAsia" w:ascii="宋体" w:hAnsi="宋体" w:eastAsia="宋体" w:cs="宋体"/>
          <w:color w:val="auto"/>
          <w:szCs w:val="21"/>
          <w:highlight w:val="none"/>
        </w:rPr>
        <w:t>涉及政府采购政策优惠对供应商分值进行调整的，</w:t>
      </w:r>
      <w:r>
        <w:rPr>
          <w:rFonts w:hint="eastAsia" w:ascii="宋体" w:hAnsi="宋体" w:eastAsia="宋体" w:cs="宋体"/>
          <w:bCs/>
          <w:color w:val="auto"/>
          <w:szCs w:val="21"/>
          <w:highlight w:val="none"/>
        </w:rPr>
        <w:t>按</w:t>
      </w:r>
      <w:r>
        <w:rPr>
          <w:rFonts w:hint="eastAsia" w:ascii="宋体" w:hAnsi="宋体" w:eastAsia="宋体" w:cs="宋体"/>
          <w:b/>
          <w:color w:val="auto"/>
          <w:szCs w:val="21"/>
          <w:highlight w:val="none"/>
        </w:rPr>
        <w:t>磋商须知前附表</w:t>
      </w:r>
      <w:r>
        <w:rPr>
          <w:rFonts w:hint="eastAsia" w:ascii="宋体" w:hAnsi="宋体" w:eastAsia="宋体" w:cs="宋体"/>
          <w:bCs/>
          <w:color w:val="auto"/>
          <w:szCs w:val="21"/>
          <w:highlight w:val="none"/>
        </w:rPr>
        <w:t>规定</w:t>
      </w:r>
      <w:r>
        <w:rPr>
          <w:rFonts w:hint="eastAsia" w:ascii="宋体" w:hAnsi="宋体" w:eastAsia="宋体" w:cs="宋体"/>
          <w:color w:val="auto"/>
          <w:szCs w:val="21"/>
          <w:highlight w:val="none"/>
        </w:rPr>
        <w:t>调整供应商的技术、商务、价格</w:t>
      </w:r>
      <w:r>
        <w:rPr>
          <w:rFonts w:hint="eastAsia" w:ascii="宋体" w:hAnsi="宋体" w:eastAsia="宋体" w:cs="宋体"/>
          <w:color w:val="auto"/>
          <w:kern w:val="0"/>
          <w:szCs w:val="21"/>
          <w:highlight w:val="none"/>
        </w:rPr>
        <w:t>得分或总得分</w:t>
      </w:r>
      <w:r>
        <w:rPr>
          <w:rFonts w:hint="eastAsia" w:ascii="宋体" w:hAnsi="宋体" w:eastAsia="宋体" w:cs="宋体"/>
          <w:color w:val="auto"/>
          <w:szCs w:val="21"/>
          <w:highlight w:val="none"/>
        </w:rPr>
        <w:t>。</w:t>
      </w:r>
    </w:p>
    <w:p w14:paraId="1D320A5B">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31.6涉及多处或部分获得政府采购政策优惠的，其多处或部分享受政府采购优惠政策的计算方法见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相关规定。</w:t>
      </w:r>
    </w:p>
    <w:p w14:paraId="0ECD71ED">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31.7</w:t>
      </w:r>
      <w:r>
        <w:rPr>
          <w:rFonts w:hint="eastAsia" w:ascii="宋体" w:hAnsi="宋体" w:eastAsia="宋体" w:cs="宋体"/>
          <w:color w:val="auto"/>
          <w:szCs w:val="21"/>
          <w:highlight w:val="none"/>
        </w:rPr>
        <w:t>评审时，磋商小组各成员应当独立对每个供应商的</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进行评价、评分，并按照政府采购优惠政策对最后报价进行价格扣除和技术、商务、价格加分后，汇总各供应商的总得分。</w:t>
      </w:r>
    </w:p>
    <w:p w14:paraId="502F53FA">
      <w:pPr>
        <w:widowControl/>
        <w:adjustRightInd w:val="0"/>
        <w:snapToGrid w:val="0"/>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32</w:t>
      </w:r>
      <w:r>
        <w:rPr>
          <w:rFonts w:hint="eastAsia" w:ascii="宋体" w:hAnsi="宋体" w:eastAsia="宋体" w:cs="宋体"/>
          <w:b/>
          <w:color w:val="auto"/>
          <w:kern w:val="0"/>
          <w:szCs w:val="21"/>
          <w:highlight w:val="none"/>
        </w:rPr>
        <w:t>.</w:t>
      </w:r>
      <w:r>
        <w:rPr>
          <w:rFonts w:hint="eastAsia" w:ascii="宋体" w:hAnsi="宋体" w:eastAsia="宋体" w:cs="宋体"/>
          <w:b/>
          <w:bCs/>
          <w:color w:val="auto"/>
          <w:szCs w:val="21"/>
          <w:highlight w:val="none"/>
        </w:rPr>
        <w:t>提出成交供应商</w:t>
      </w:r>
    </w:p>
    <w:p w14:paraId="7507B5DE">
      <w:pPr>
        <w:widowControl/>
        <w:spacing w:line="420" w:lineRule="atLeast"/>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 xml:space="preserve">    32.1</w:t>
      </w:r>
      <w:r>
        <w:rPr>
          <w:rFonts w:hint="eastAsia" w:ascii="宋体" w:hAnsi="宋体" w:eastAsia="宋体" w:cs="宋体"/>
          <w:bCs/>
          <w:color w:val="auto"/>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得分、报价、技术均相同，有磋商小组随机抽取确定</w:t>
      </w:r>
      <w:r>
        <w:rPr>
          <w:rFonts w:hint="eastAsia" w:ascii="宋体" w:hAnsi="宋体" w:eastAsia="宋体" w:cs="宋体"/>
          <w:bCs/>
          <w:color w:val="auto"/>
          <w:szCs w:val="21"/>
          <w:highlight w:val="none"/>
        </w:rPr>
        <w:t>。符合《政府采购竞争性磋商采购方式管理暂行办法》(财库〔2014〕214号)</w:t>
      </w:r>
      <w:r>
        <w:rPr>
          <w:rFonts w:hint="eastAsia" w:ascii="宋体" w:hAnsi="宋体" w:eastAsia="宋体" w:cs="宋体"/>
          <w:color w:val="auto"/>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Cs/>
          <w:color w:val="auto"/>
          <w:szCs w:val="21"/>
          <w:highlight w:val="none"/>
        </w:rPr>
        <w:t>可以推荐2家成交候选供应商。</w:t>
      </w:r>
    </w:p>
    <w:p w14:paraId="55D8DAD3">
      <w:pPr>
        <w:widowControl/>
        <w:spacing w:line="420" w:lineRule="atLeast"/>
        <w:rPr>
          <w:rFonts w:hint="eastAsia" w:ascii="宋体" w:hAnsi="宋体" w:eastAsia="宋体" w:cs="宋体"/>
          <w:color w:val="auto"/>
          <w:kern w:val="0"/>
          <w:szCs w:val="21"/>
          <w:highlight w:val="none"/>
        </w:rPr>
      </w:pPr>
    </w:p>
    <w:p w14:paraId="3FDF481D">
      <w:pPr>
        <w:tabs>
          <w:tab w:val="left" w:pos="0"/>
        </w:tabs>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33.确定成交供应商</w:t>
      </w:r>
    </w:p>
    <w:p w14:paraId="4A4A0E61">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33.1采购代理机构应当在评审结束后2个工作日内将评审报告送采购人确认。</w:t>
      </w:r>
    </w:p>
    <w:p w14:paraId="00A35019">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2A21E1C0">
      <w:pPr>
        <w:adjustRightInd w:val="0"/>
        <w:snapToGrid w:val="0"/>
        <w:spacing w:line="360" w:lineRule="auto"/>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34.磋商终止</w:t>
      </w:r>
    </w:p>
    <w:p w14:paraId="78DBEE3D">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34.1</w:t>
      </w:r>
      <w:r>
        <w:rPr>
          <w:rFonts w:hint="eastAsia" w:ascii="宋体" w:hAnsi="宋体" w:eastAsia="宋体" w:cs="宋体"/>
          <w:color w:val="auto"/>
          <w:kern w:val="0"/>
          <w:szCs w:val="21"/>
          <w:highlight w:val="none"/>
        </w:rPr>
        <w:t>出现下列情形之一的，采购人或者采购代理机构应当终止竞争性磋商采购活动，</w:t>
      </w:r>
      <w:r>
        <w:rPr>
          <w:rFonts w:hint="eastAsia" w:ascii="宋体" w:hAnsi="宋体" w:eastAsia="宋体" w:cs="宋体"/>
          <w:color w:val="auto"/>
          <w:highlight w:val="none"/>
        </w:rPr>
        <w:t>在本章第37.1款指定的媒体上</w:t>
      </w:r>
      <w:r>
        <w:rPr>
          <w:rFonts w:hint="eastAsia" w:ascii="宋体" w:hAnsi="宋体" w:eastAsia="宋体" w:cs="宋体"/>
          <w:color w:val="auto"/>
          <w:kern w:val="0"/>
          <w:szCs w:val="21"/>
          <w:highlight w:val="none"/>
        </w:rPr>
        <w:t xml:space="preserve">发布项目终止公告并说明原因，重新开展采购活动： </w:t>
      </w:r>
    </w:p>
    <w:p w14:paraId="08EB74C7">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（1）因情况变化，不再符合规定的竞争性磋商采购方式适用情形的；</w:t>
      </w:r>
    </w:p>
    <w:p w14:paraId="6FD56308">
      <w:pPr>
        <w:widowControl/>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（2）出现影响采购公正的违法、违规行为的；</w:t>
      </w:r>
    </w:p>
    <w:p w14:paraId="6F783102">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bCs/>
          <w:color w:val="auto"/>
          <w:szCs w:val="21"/>
          <w:highlight w:val="none"/>
        </w:rPr>
        <w:t>除《政府采购竞争性磋商采购方式管理暂行办法》(财库〔2014〕214号)</w:t>
      </w:r>
      <w:r>
        <w:rPr>
          <w:rFonts w:hint="eastAsia" w:ascii="宋体" w:hAnsi="宋体" w:eastAsia="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color w:val="auto"/>
          <w:szCs w:val="21"/>
          <w:highlight w:val="none"/>
        </w:rPr>
        <w:t>情形外，在采购过程中符合要求的供应商或者报价未超过采购预算的供应商不足3家的；</w:t>
      </w:r>
    </w:p>
    <w:p w14:paraId="2ABE075B">
      <w:pPr>
        <w:widowControl/>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（4）因重大变故，采购任务取消的。</w:t>
      </w:r>
    </w:p>
    <w:p w14:paraId="3FBE98D2">
      <w:pPr>
        <w:widowControl/>
        <w:adjustRightInd w:val="0"/>
        <w:snapToGrid w:val="0"/>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35．重新评审</w:t>
      </w:r>
    </w:p>
    <w:p w14:paraId="069AAF45">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77C2403C">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36.保密及串通行为</w:t>
      </w:r>
    </w:p>
    <w:p w14:paraId="527BEA0B">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36.1磋商小组成员以及与评审工作有关的人员不得泄露评审情况以及评审过程中获悉的国家秘密、商业秘密。</w:t>
      </w:r>
    </w:p>
    <w:p w14:paraId="0DCD7BA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w:t>
      </w:r>
      <w:r>
        <w:rPr>
          <w:rFonts w:hint="eastAsia" w:ascii="宋体" w:hAnsi="宋体" w:eastAsia="宋体" w:cs="宋体"/>
          <w:color w:val="auto"/>
          <w:kern w:val="0"/>
          <w:szCs w:val="21"/>
          <w:highlight w:val="none"/>
        </w:rPr>
        <w:t>供应商</w:t>
      </w:r>
      <w:r>
        <w:rPr>
          <w:rFonts w:hint="eastAsia" w:ascii="宋体" w:hAnsi="宋体" w:eastAsia="宋体" w:cs="宋体"/>
          <w:color w:val="auto"/>
          <w:szCs w:val="21"/>
          <w:highlight w:val="none"/>
        </w:rPr>
        <w:t>不得与</w:t>
      </w:r>
      <w:r>
        <w:rPr>
          <w:rFonts w:hint="eastAsia" w:ascii="宋体" w:hAnsi="宋体" w:eastAsia="宋体" w:cs="宋体"/>
          <w:color w:val="auto"/>
          <w:kern w:val="0"/>
          <w:szCs w:val="21"/>
          <w:highlight w:val="none"/>
        </w:rPr>
        <w:t>采购人、采购代理机构、其他供应商恶意</w:t>
      </w:r>
      <w:r>
        <w:rPr>
          <w:rFonts w:hint="eastAsia" w:ascii="宋体" w:hAnsi="宋体" w:eastAsia="宋体" w:cs="宋体"/>
          <w:color w:val="auto"/>
          <w:szCs w:val="21"/>
          <w:highlight w:val="none"/>
        </w:rPr>
        <w:t>串通；不得向</w:t>
      </w:r>
      <w:r>
        <w:rPr>
          <w:rFonts w:hint="eastAsia" w:ascii="宋体" w:hAnsi="宋体" w:eastAsia="宋体" w:cs="宋体"/>
          <w:color w:val="auto"/>
          <w:kern w:val="0"/>
          <w:szCs w:val="21"/>
          <w:highlight w:val="none"/>
        </w:rPr>
        <w:t>采购人、采购代理机构</w:t>
      </w:r>
      <w:r>
        <w:rPr>
          <w:rFonts w:hint="eastAsia" w:ascii="宋体" w:hAnsi="宋体" w:eastAsia="宋体" w:cs="宋体"/>
          <w:color w:val="auto"/>
          <w:szCs w:val="21"/>
          <w:highlight w:val="none"/>
        </w:rPr>
        <w:t>或者磋商小组成员行贿或者提供其他不正当利益；不得提供虚假资料谋取成交；不得以任何方式干扰、影响采购工作。</w:t>
      </w:r>
    </w:p>
    <w:p w14:paraId="264807A6">
      <w:pPr>
        <w:pStyle w:val="21"/>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36.3</w:t>
      </w:r>
      <w:r>
        <w:rPr>
          <w:rFonts w:hint="eastAsia" w:ascii="宋体" w:hAnsi="宋体" w:eastAsia="宋体" w:cs="宋体"/>
          <w:color w:val="auto"/>
          <w:sz w:val="21"/>
          <w:szCs w:val="21"/>
          <w:highlight w:val="none"/>
          <w:lang w:val="zh-CN"/>
        </w:rPr>
        <w:t>有下列情形之一的，属于恶意串通，对供应商依照政府采购法第七十七条第一款的规定追究法律责任：</w:t>
      </w:r>
    </w:p>
    <w:p w14:paraId="27A267B6">
      <w:pPr>
        <w:pStyle w:val="21"/>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（一）供应商直接或者间接从采购人或者采购代理机构处获得其他供应商的相关情况并修改其投标文件或者响应文件；</w:t>
      </w:r>
    </w:p>
    <w:p w14:paraId="53DB18A4">
      <w:pPr>
        <w:pStyle w:val="21"/>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（二）供应商按照采购人或者采购代理机构的授意撤换、修改投标文件或者响应文件；</w:t>
      </w:r>
    </w:p>
    <w:p w14:paraId="70A1A3C1">
      <w:pPr>
        <w:pStyle w:val="21"/>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（三）供应商之间协商报价、技术方案等投标文件或者响应文件的实质性内容；</w:t>
      </w:r>
    </w:p>
    <w:p w14:paraId="6475BA4A">
      <w:pPr>
        <w:pStyle w:val="21"/>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（四）属于同一集团、协会、商会等组织成员的供应商按照该组织要求协同参加政府采购活动；</w:t>
      </w:r>
    </w:p>
    <w:p w14:paraId="7113CCDB">
      <w:pPr>
        <w:pStyle w:val="21"/>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（五）供应商之间事先约定由某一特定供应商中标、成交；</w:t>
      </w:r>
    </w:p>
    <w:p w14:paraId="05325663">
      <w:pPr>
        <w:pStyle w:val="21"/>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（六）供应商之间商定部分供应商放弃参加政府采购活动或者放弃中标、成交；</w:t>
      </w:r>
    </w:p>
    <w:p w14:paraId="4C91A7E6">
      <w:pPr>
        <w:pStyle w:val="21"/>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（七）供应商与采购人或者采购代理机构之间、供应商相互之间，为谋求特定供应商中标、成交或者排斥其他供应商的其他串通行为。</w:t>
      </w:r>
    </w:p>
    <w:p w14:paraId="2AAAB5AF">
      <w:pPr>
        <w:pStyle w:val="4"/>
        <w:bidi w:val="0"/>
        <w:rPr>
          <w:rFonts w:hint="eastAsia" w:ascii="宋体" w:hAnsi="宋体" w:eastAsia="宋体" w:cs="宋体"/>
          <w:color w:val="auto"/>
          <w:highlight w:val="none"/>
        </w:rPr>
      </w:pPr>
      <w:bookmarkStart w:id="87" w:name="_Toc1526"/>
      <w:bookmarkStart w:id="88" w:name="_Toc972"/>
      <w:bookmarkStart w:id="89" w:name="_Toc28457"/>
      <w:bookmarkStart w:id="90" w:name="_Toc27432"/>
      <w:bookmarkStart w:id="91" w:name="_Toc25155"/>
      <w:bookmarkStart w:id="92" w:name="_Toc27784"/>
      <w:bookmarkStart w:id="93" w:name="_Toc24964"/>
      <w:bookmarkStart w:id="94" w:name="_Toc16825"/>
      <w:bookmarkStart w:id="95" w:name="_Toc1111"/>
      <w:bookmarkStart w:id="96" w:name="_Toc53489359"/>
      <w:bookmarkStart w:id="97" w:name="_Toc1796"/>
      <w:r>
        <w:rPr>
          <w:rFonts w:hint="eastAsia" w:ascii="宋体" w:hAnsi="宋体" w:eastAsia="宋体" w:cs="宋体"/>
          <w:color w:val="auto"/>
          <w:highlight w:val="none"/>
        </w:rPr>
        <w:t>六、成交结果信息公布与授予合同</w:t>
      </w:r>
      <w:bookmarkEnd w:id="87"/>
      <w:bookmarkEnd w:id="88"/>
      <w:bookmarkEnd w:id="89"/>
      <w:bookmarkEnd w:id="90"/>
      <w:bookmarkEnd w:id="91"/>
      <w:bookmarkEnd w:id="92"/>
      <w:bookmarkEnd w:id="93"/>
      <w:bookmarkEnd w:id="94"/>
      <w:bookmarkEnd w:id="95"/>
      <w:bookmarkEnd w:id="96"/>
      <w:bookmarkEnd w:id="97"/>
    </w:p>
    <w:p w14:paraId="5EF390D1">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37.成交信息的公布</w:t>
      </w:r>
    </w:p>
    <w:p w14:paraId="2350628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37.1成交供应商确定后2个工作日内，成交结果信息将在</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指定的媒体上公布。</w:t>
      </w:r>
    </w:p>
    <w:p w14:paraId="08B0DEF1">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38.询问及质疑</w:t>
      </w:r>
    </w:p>
    <w:p w14:paraId="7FB56575">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szCs w:val="21"/>
          <w:highlight w:val="none"/>
        </w:rPr>
        <w:t>38.1供应商对政府采购活动事项有疑问的，可以向采购人或采购代理机构提出询问。</w:t>
      </w:r>
    </w:p>
    <w:p w14:paraId="46DD0DE5">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38.2供应商若认为磋商文件、采购过程和成交结果使自己的权益受到损害，可以按法律、行政法规及湖南省财政厅规范性文件规定向采购人或采购代理机构提出质疑。</w:t>
      </w:r>
    </w:p>
    <w:p w14:paraId="3E3EE6C8">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39.成交通知</w:t>
      </w:r>
    </w:p>
    <w:p w14:paraId="56A3196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39.1成交供应商确定后，采购人或采购代理机构将以书面形式向成交供应商发出成交通知书。成交通知书对采购人和成交供应商具有同等法律效力。</w:t>
      </w:r>
    </w:p>
    <w:p w14:paraId="7FB62B2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39.2 成交通知书是合同文件的组成部分。</w:t>
      </w:r>
    </w:p>
    <w:p w14:paraId="63077882">
      <w:pPr>
        <w:tabs>
          <w:tab w:val="left" w:pos="7560"/>
          <w:tab w:val="left" w:pos="7740"/>
          <w:tab w:val="left" w:pos="7920"/>
        </w:tabs>
        <w:autoSpaceDN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39.3 </w:t>
      </w:r>
      <w:r>
        <w:rPr>
          <w:rFonts w:hint="eastAsia" w:ascii="宋体" w:hAnsi="宋体" w:eastAsia="宋体" w:cs="宋体"/>
          <w:color w:val="auto"/>
          <w:szCs w:val="21"/>
          <w:highlight w:val="none"/>
        </w:rPr>
        <w:t>成交供应商在收到采购代理机构的成交通知书后10日内，应按照</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的规定，向采购人提交履约担保。联合体成交的，履约担保由联合体各方或联合体中牵头人的名义提交。</w:t>
      </w:r>
    </w:p>
    <w:p w14:paraId="0E92855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39.4 成交供应商</w:t>
      </w:r>
      <w:r>
        <w:rPr>
          <w:rFonts w:hint="eastAsia" w:ascii="宋体" w:hAnsi="宋体" w:eastAsia="宋体" w:cs="宋体"/>
          <w:color w:val="auto"/>
          <w:spacing w:val="4"/>
          <w:szCs w:val="21"/>
          <w:highlight w:val="none"/>
        </w:rPr>
        <w:t>没有按照本章第39.3</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pacing w:val="4"/>
          <w:szCs w:val="21"/>
          <w:highlight w:val="none"/>
        </w:rPr>
        <w:t>规定</w:t>
      </w:r>
      <w:r>
        <w:rPr>
          <w:rFonts w:hint="eastAsia" w:ascii="宋体" w:hAnsi="宋体" w:eastAsia="宋体" w:cs="宋体"/>
          <w:color w:val="auto"/>
          <w:szCs w:val="21"/>
          <w:highlight w:val="none"/>
        </w:rPr>
        <w:t>提交履约担保的</w:t>
      </w:r>
      <w:r>
        <w:rPr>
          <w:rFonts w:hint="eastAsia" w:ascii="宋体" w:hAnsi="宋体" w:eastAsia="宋体" w:cs="宋体"/>
          <w:color w:val="auto"/>
          <w:spacing w:val="4"/>
          <w:szCs w:val="21"/>
          <w:highlight w:val="none"/>
        </w:rPr>
        <w:t>，视为放弃</w:t>
      </w:r>
      <w:r>
        <w:rPr>
          <w:rFonts w:hint="eastAsia" w:ascii="宋体" w:hAnsi="宋体" w:eastAsia="宋体" w:cs="宋体"/>
          <w:color w:val="auto"/>
          <w:szCs w:val="21"/>
          <w:highlight w:val="none"/>
        </w:rPr>
        <w:t>成交资格</w:t>
      </w:r>
      <w:r>
        <w:rPr>
          <w:rFonts w:hint="eastAsia" w:ascii="宋体" w:hAnsi="宋体" w:eastAsia="宋体" w:cs="宋体"/>
          <w:color w:val="auto"/>
          <w:spacing w:val="4"/>
          <w:szCs w:val="21"/>
          <w:highlight w:val="none"/>
        </w:rPr>
        <w:t>，</w:t>
      </w:r>
      <w:r>
        <w:rPr>
          <w:rFonts w:hint="eastAsia" w:ascii="宋体" w:hAnsi="宋体" w:eastAsia="宋体" w:cs="宋体"/>
          <w:color w:val="auto"/>
          <w:spacing w:val="2"/>
          <w:szCs w:val="21"/>
          <w:highlight w:val="none"/>
        </w:rPr>
        <w:t>其保证金不予退还。</w:t>
      </w:r>
    </w:p>
    <w:p w14:paraId="6E539820">
      <w:pPr>
        <w:adjustRightInd w:val="0"/>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40.签订合同</w:t>
      </w:r>
    </w:p>
    <w:p w14:paraId="023E1AE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40.1成交供应商应当在成交通知书发出之日起30日内与采购人签订政府采购合同。</w:t>
      </w:r>
    </w:p>
    <w:p w14:paraId="22A122D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40.2磋商文件、成交供应商的响应文件等均为签订政府采购合同的依据。</w:t>
      </w:r>
    </w:p>
    <w:p w14:paraId="3FFC0E5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40.3 成交供应商应当按照合同约定履行义务。成交供应商不得向他人转让成交项目，也不得将成交项目分包后分别向他人转让。</w:t>
      </w:r>
    </w:p>
    <w:p w14:paraId="387A896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40.4 成交供应商有下列情形之一的，责令限期改正，情节严重的，列入不良行为记录名单，在1至3年内禁止参加政府采购活动，并予以通报：</w:t>
      </w:r>
    </w:p>
    <w:p w14:paraId="4587875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（一）成交后无正当理由不与采购人签订合同的；</w:t>
      </w:r>
    </w:p>
    <w:p w14:paraId="7F9E963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（二）未按照采购文件确定的事项签订政府采购合同，或者与采购人另行订立背离合同实质性内容的协议的；</w:t>
      </w:r>
    </w:p>
    <w:p w14:paraId="073B908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（三）拒绝履行合同义务的；</w:t>
      </w:r>
    </w:p>
    <w:p w14:paraId="495A95D6">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（四）</w:t>
      </w:r>
      <w:r>
        <w:rPr>
          <w:rFonts w:hint="eastAsia" w:ascii="宋体" w:hAnsi="宋体" w:eastAsia="宋体" w:cs="宋体"/>
          <w:color w:val="auto"/>
          <w:kern w:val="0"/>
          <w:szCs w:val="21"/>
          <w:highlight w:val="none"/>
        </w:rPr>
        <w:t>违反法律、规章、规范性文件规定的。</w:t>
      </w:r>
    </w:p>
    <w:p w14:paraId="1A314B93">
      <w:pPr>
        <w:pStyle w:val="4"/>
        <w:bidi w:val="0"/>
        <w:rPr>
          <w:rFonts w:hint="eastAsia" w:ascii="宋体" w:hAnsi="宋体" w:eastAsia="宋体" w:cs="宋体"/>
          <w:color w:val="auto"/>
          <w:highlight w:val="none"/>
        </w:rPr>
      </w:pPr>
      <w:bookmarkStart w:id="98" w:name="_Toc761"/>
      <w:bookmarkStart w:id="99" w:name="_Toc16045"/>
      <w:bookmarkStart w:id="100" w:name="_Toc13006"/>
      <w:bookmarkStart w:id="101" w:name="_Toc5329"/>
      <w:bookmarkStart w:id="102" w:name="_Toc2889"/>
      <w:bookmarkStart w:id="103" w:name="_Toc53489360"/>
      <w:bookmarkStart w:id="104" w:name="_Toc10778"/>
      <w:bookmarkStart w:id="105" w:name="_Toc27882"/>
      <w:bookmarkStart w:id="106" w:name="_Toc25618"/>
      <w:bookmarkStart w:id="107" w:name="_Toc22705"/>
      <w:bookmarkStart w:id="108" w:name="_Toc9411"/>
      <w:r>
        <w:rPr>
          <w:rFonts w:hint="eastAsia" w:ascii="宋体" w:hAnsi="宋体" w:eastAsia="宋体" w:cs="宋体"/>
          <w:color w:val="auto"/>
          <w:highlight w:val="none"/>
        </w:rPr>
        <w:t>七、其他规定</w:t>
      </w:r>
      <w:bookmarkEnd w:id="98"/>
      <w:bookmarkEnd w:id="99"/>
      <w:bookmarkEnd w:id="100"/>
      <w:bookmarkEnd w:id="101"/>
      <w:bookmarkEnd w:id="102"/>
      <w:bookmarkEnd w:id="103"/>
      <w:bookmarkEnd w:id="104"/>
      <w:bookmarkEnd w:id="105"/>
      <w:bookmarkEnd w:id="106"/>
      <w:bookmarkEnd w:id="107"/>
      <w:bookmarkEnd w:id="108"/>
    </w:p>
    <w:p w14:paraId="77CCD99F">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41.1采购代理服务费</w:t>
      </w:r>
    </w:p>
    <w:p w14:paraId="78EDC2A3">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41.1采购代理机构应按</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规定收取采购代理服务费。</w:t>
      </w:r>
    </w:p>
    <w:p w14:paraId="6BF425EF">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41.2集中采购机构不得收取采购代理服务费。</w:t>
      </w:r>
    </w:p>
    <w:p w14:paraId="0899C989">
      <w:pPr>
        <w:tabs>
          <w:tab w:val="left" w:pos="420"/>
          <w:tab w:val="left" w:pos="7560"/>
          <w:tab w:val="left" w:pos="7740"/>
          <w:tab w:val="left" w:pos="7920"/>
        </w:tabs>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szCs w:val="21"/>
          <w:highlight w:val="none"/>
        </w:rPr>
        <w:t>42.</w:t>
      </w:r>
      <w:r>
        <w:rPr>
          <w:rFonts w:hint="eastAsia" w:ascii="宋体" w:hAnsi="宋体" w:eastAsia="宋体" w:cs="宋体"/>
          <w:b/>
          <w:color w:val="auto"/>
          <w:highlight w:val="none"/>
        </w:rPr>
        <w:t xml:space="preserve"> 其他规定</w:t>
      </w:r>
    </w:p>
    <w:p w14:paraId="16A6E45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42.1</w:t>
      </w:r>
      <w:r>
        <w:rPr>
          <w:rFonts w:hint="eastAsia" w:ascii="宋体" w:hAnsi="宋体" w:eastAsia="宋体" w:cs="宋体"/>
          <w:color w:val="auto"/>
          <w:szCs w:val="21"/>
          <w:highlight w:val="none"/>
        </w:rPr>
        <w:t>磋商文件</w:t>
      </w:r>
      <w:r>
        <w:rPr>
          <w:rFonts w:hint="eastAsia" w:ascii="宋体" w:hAnsi="宋体" w:eastAsia="宋体" w:cs="宋体"/>
          <w:color w:val="auto"/>
          <w:highlight w:val="none"/>
        </w:rPr>
        <w:t>的其他规定</w:t>
      </w:r>
      <w:r>
        <w:rPr>
          <w:rFonts w:hint="eastAsia" w:ascii="宋体" w:hAnsi="宋体" w:eastAsia="宋体" w:cs="宋体"/>
          <w:color w:val="auto"/>
          <w:szCs w:val="21"/>
          <w:highlight w:val="none"/>
        </w:rPr>
        <w:t>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778FED02">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列入失信被执行人、重大税收违法案件当事人名单、政府采购严重违法失信行为记录名单及其他不符合《中华人民共和国政府采购法》第二十二条规定条件的供应商，将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548933E">
      <w:pPr>
        <w:tabs>
          <w:tab w:val="left" w:pos="420"/>
          <w:tab w:val="left" w:pos="7560"/>
          <w:tab w:val="left" w:pos="7740"/>
          <w:tab w:val="left" w:pos="7920"/>
        </w:tabs>
        <w:wordWrap w:val="0"/>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2、信用信息查询的查询渠道：“信用中国”网站（www.creditchina.gov.cn）、中国政府采购网（www.ccgp.gov.cn）、信用湖南网（www.hncredit.gov.cn）和湖南省政府采购网（www.ccgp-hunan.gov.cn）。</w:t>
      </w:r>
    </w:p>
    <w:p w14:paraId="0C836737">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3、信用信息查询的截止时点：至本项目投标截止时间止（或至本项目响应文件提交截止时间止）。</w:t>
      </w:r>
    </w:p>
    <w:p w14:paraId="074C54F2">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4、信用信息查询记录证据留存的具体方式：查询记录的网页打印件。</w:t>
      </w:r>
    </w:p>
    <w:p w14:paraId="5AB0DE35">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信用信息的使用规则：对列入失信被执行人、重大税收违法案件当事人名单、政府采购严重违法失信行为记录名单及其他不符合《中华人民共和国政府采购法》第二十二条规定条件的供应商，将拒绝其参与政府采购活动。</w:t>
      </w:r>
    </w:p>
    <w:p w14:paraId="435FE357">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应保持公开、公平的原则进行投标，如磋商小组认为供应商提交的报价有恶意中标的嫌疑，磋商小组有权让供应商提交成本价的组成，如在规定时间内供应商不能提交成本价的组成或提交的成本价明显低于市场平均值，磋商小组有权认为供应商属于恶性竞争，有权认定其为无效响应。</w:t>
      </w:r>
    </w:p>
    <w:p w14:paraId="22C7062E">
      <w:pPr>
        <w:pStyle w:val="31"/>
        <w:rPr>
          <w:rFonts w:hint="eastAsia" w:ascii="宋体" w:hAnsi="宋体" w:eastAsia="宋体" w:cs="宋体"/>
          <w:color w:val="auto"/>
          <w:highlight w:val="none"/>
        </w:rPr>
      </w:pPr>
    </w:p>
    <w:p w14:paraId="4821C070">
      <w:pPr>
        <w:rPr>
          <w:rFonts w:hint="eastAsia" w:ascii="宋体" w:hAnsi="宋体" w:eastAsia="宋体" w:cs="宋体"/>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C631CBA">
      <w:pPr>
        <w:pStyle w:val="2"/>
        <w:bidi w:val="0"/>
        <w:jc w:val="center"/>
        <w:rPr>
          <w:rFonts w:hint="eastAsia" w:ascii="宋体" w:hAnsi="宋体" w:eastAsia="宋体" w:cs="宋体"/>
          <w:color w:val="auto"/>
          <w:highlight w:val="yellow"/>
        </w:rPr>
      </w:pPr>
      <w:bookmarkStart w:id="109" w:name="_Toc16922"/>
      <w:r>
        <w:rPr>
          <w:rFonts w:hint="eastAsia" w:ascii="宋体" w:hAnsi="宋体" w:eastAsia="宋体" w:cs="宋体"/>
          <w:color w:val="auto"/>
          <w:highlight w:val="none"/>
        </w:rPr>
        <w:t>第三章  合同格式（工程）</w:t>
      </w:r>
      <w:bookmarkEnd w:id="109"/>
    </w:p>
    <w:p w14:paraId="79584C88">
      <w:pPr>
        <w:shd w:val="clear"/>
        <w:snapToGrid w:val="0"/>
        <w:spacing w:line="520" w:lineRule="exact"/>
        <w:jc w:val="center"/>
        <w:rPr>
          <w:rFonts w:hint="eastAsia" w:ascii="宋体" w:hAnsi="宋体" w:eastAsia="宋体" w:cs="宋体"/>
          <w:b/>
          <w:color w:val="auto"/>
          <w:kern w:val="0"/>
          <w:sz w:val="28"/>
          <w:szCs w:val="28"/>
          <w:highlight w:val="none"/>
        </w:rPr>
      </w:pPr>
      <w:bookmarkStart w:id="110" w:name="_Toc24739"/>
      <w:bookmarkStart w:id="111" w:name="_Toc19628646"/>
    </w:p>
    <w:p w14:paraId="775B0CC2">
      <w:pPr>
        <w:shd w:val="clear"/>
        <w:snapToGrid w:val="0"/>
        <w:spacing w:line="520" w:lineRule="exact"/>
        <w:jc w:val="center"/>
        <w:rPr>
          <w:rFonts w:hint="eastAsia" w:ascii="宋体" w:hAnsi="宋体" w:eastAsia="宋体" w:cs="宋体"/>
          <w:b/>
          <w:color w:val="auto"/>
          <w:kern w:val="0"/>
          <w:sz w:val="28"/>
          <w:szCs w:val="28"/>
          <w:highlight w:val="none"/>
        </w:rPr>
      </w:pPr>
    </w:p>
    <w:p w14:paraId="560697DC">
      <w:pPr>
        <w:shd w:val="clear"/>
        <w:snapToGrid w:val="0"/>
        <w:spacing w:line="520" w:lineRule="exact"/>
        <w:jc w:val="center"/>
        <w:rPr>
          <w:rFonts w:hint="eastAsia" w:ascii="宋体" w:hAnsi="宋体" w:eastAsia="宋体" w:cs="宋体"/>
          <w:b/>
          <w:color w:val="auto"/>
          <w:kern w:val="0"/>
          <w:sz w:val="28"/>
          <w:szCs w:val="28"/>
          <w:highlight w:val="none"/>
        </w:rPr>
      </w:pPr>
    </w:p>
    <w:p w14:paraId="76F0E785">
      <w:pPr>
        <w:shd w:val="clear"/>
        <w:snapToGrid w:val="0"/>
        <w:spacing w:line="520" w:lineRule="exact"/>
        <w:jc w:val="center"/>
        <w:rPr>
          <w:rFonts w:hint="eastAsia" w:ascii="宋体" w:hAnsi="宋体" w:eastAsia="宋体" w:cs="宋体"/>
          <w:b/>
          <w:color w:val="auto"/>
          <w:kern w:val="0"/>
          <w:sz w:val="28"/>
          <w:szCs w:val="28"/>
          <w:highlight w:val="none"/>
        </w:rPr>
      </w:pPr>
    </w:p>
    <w:bookmarkEnd w:id="110"/>
    <w:bookmarkEnd w:id="111"/>
    <w:p w14:paraId="7C9314C4">
      <w:pPr>
        <w:spacing w:line="240" w:lineRule="auto"/>
        <w:jc w:val="center"/>
        <w:rPr>
          <w:rFonts w:hint="eastAsia" w:ascii="宋体" w:hAnsi="宋体" w:eastAsia="宋体" w:cs="宋体"/>
          <w:color w:val="auto"/>
        </w:rPr>
      </w:pPr>
      <w:bookmarkStart w:id="112" w:name="_Toc25140"/>
      <w:r>
        <w:rPr>
          <w:rFonts w:hint="eastAsia" w:ascii="宋体" w:hAnsi="宋体" w:eastAsia="宋体" w:cs="宋体"/>
          <w:b/>
          <w:color w:val="auto"/>
          <w:sz w:val="44"/>
        </w:rPr>
        <w:t>建设工程施工合同</w:t>
      </w:r>
    </w:p>
    <w:p w14:paraId="2AE3B013">
      <w:pPr>
        <w:spacing w:line="240" w:lineRule="auto"/>
        <w:rPr>
          <w:rFonts w:hint="eastAsia" w:ascii="宋体" w:hAnsi="宋体" w:eastAsia="宋体" w:cs="宋体"/>
          <w:color w:val="auto"/>
        </w:rPr>
      </w:pPr>
    </w:p>
    <w:p w14:paraId="6A4721A0">
      <w:pPr>
        <w:spacing w:line="240" w:lineRule="auto"/>
        <w:rPr>
          <w:rFonts w:hint="eastAsia" w:ascii="宋体" w:hAnsi="宋体" w:eastAsia="宋体" w:cs="宋体"/>
          <w:color w:val="auto"/>
        </w:rPr>
      </w:pPr>
    </w:p>
    <w:p w14:paraId="27C272B9">
      <w:pPr>
        <w:spacing w:line="240" w:lineRule="auto"/>
        <w:rPr>
          <w:rFonts w:hint="eastAsia" w:ascii="宋体" w:hAnsi="宋体" w:eastAsia="宋体" w:cs="宋体"/>
          <w:color w:val="auto"/>
        </w:rPr>
      </w:pPr>
    </w:p>
    <w:p w14:paraId="78ECE7A7">
      <w:pPr>
        <w:spacing w:line="240" w:lineRule="auto"/>
        <w:rPr>
          <w:rFonts w:hint="eastAsia" w:ascii="宋体" w:hAnsi="宋体" w:eastAsia="宋体" w:cs="宋体"/>
          <w:color w:val="auto"/>
        </w:rPr>
      </w:pPr>
    </w:p>
    <w:p w14:paraId="22A103B6">
      <w:pPr>
        <w:spacing w:line="240" w:lineRule="auto"/>
        <w:rPr>
          <w:rFonts w:hint="eastAsia" w:ascii="宋体" w:hAnsi="宋体" w:eastAsia="宋体" w:cs="宋体"/>
          <w:color w:val="auto"/>
        </w:rPr>
      </w:pPr>
    </w:p>
    <w:p w14:paraId="25939102">
      <w:pPr>
        <w:spacing w:line="240" w:lineRule="auto"/>
        <w:rPr>
          <w:rFonts w:hint="eastAsia" w:ascii="宋体" w:hAnsi="宋体" w:eastAsia="宋体" w:cs="宋体"/>
          <w:color w:val="auto"/>
        </w:rPr>
      </w:pPr>
    </w:p>
    <w:p w14:paraId="79E64FE0">
      <w:pPr>
        <w:spacing w:line="240" w:lineRule="auto"/>
        <w:rPr>
          <w:rFonts w:hint="eastAsia" w:ascii="宋体" w:hAnsi="宋体" w:eastAsia="宋体" w:cs="宋体"/>
          <w:color w:val="auto"/>
        </w:rPr>
      </w:pPr>
    </w:p>
    <w:p w14:paraId="7ED06FB8">
      <w:pPr>
        <w:spacing w:line="240" w:lineRule="auto"/>
        <w:rPr>
          <w:rFonts w:hint="eastAsia" w:ascii="宋体" w:hAnsi="宋体" w:eastAsia="宋体" w:cs="宋体"/>
          <w:color w:val="auto"/>
        </w:rPr>
      </w:pPr>
    </w:p>
    <w:p w14:paraId="26F299B3">
      <w:pPr>
        <w:spacing w:line="240" w:lineRule="auto"/>
        <w:rPr>
          <w:rFonts w:hint="eastAsia" w:ascii="宋体" w:hAnsi="宋体" w:eastAsia="宋体" w:cs="宋体"/>
          <w:color w:val="auto"/>
        </w:rPr>
      </w:pPr>
    </w:p>
    <w:p w14:paraId="7172A12C">
      <w:pPr>
        <w:spacing w:line="240" w:lineRule="auto"/>
        <w:rPr>
          <w:rFonts w:hint="eastAsia" w:ascii="宋体" w:hAnsi="宋体" w:eastAsia="宋体" w:cs="宋体"/>
          <w:color w:val="auto"/>
        </w:rPr>
      </w:pPr>
    </w:p>
    <w:p w14:paraId="460DDA4D">
      <w:pPr>
        <w:spacing w:line="240" w:lineRule="auto"/>
        <w:rPr>
          <w:rFonts w:hint="eastAsia" w:ascii="宋体" w:hAnsi="宋体" w:eastAsia="宋体" w:cs="宋体"/>
          <w:color w:val="auto"/>
        </w:rPr>
      </w:pPr>
    </w:p>
    <w:p w14:paraId="157E275C">
      <w:pPr>
        <w:spacing w:line="240" w:lineRule="auto"/>
        <w:rPr>
          <w:rFonts w:hint="eastAsia" w:ascii="宋体" w:hAnsi="宋体" w:eastAsia="宋体" w:cs="宋体"/>
          <w:color w:val="auto"/>
        </w:rPr>
      </w:pPr>
    </w:p>
    <w:p w14:paraId="54C20BB0">
      <w:pPr>
        <w:spacing w:line="240" w:lineRule="auto"/>
        <w:ind w:firstLine="281" w:firstLineChars="100"/>
        <w:jc w:val="both"/>
        <w:rPr>
          <w:rFonts w:hint="eastAsia" w:ascii="宋体" w:hAnsi="宋体" w:eastAsia="宋体" w:cs="宋体"/>
          <w:b w:val="0"/>
          <w:color w:val="auto"/>
          <w:sz w:val="28"/>
          <w:u w:val="single"/>
          <w:lang w:eastAsia="zh-CN"/>
        </w:rPr>
      </w:pPr>
      <w:r>
        <w:rPr>
          <w:rFonts w:hint="eastAsia" w:ascii="宋体" w:hAnsi="宋体" w:eastAsia="宋体" w:cs="宋体"/>
          <w:b/>
          <w:color w:val="auto"/>
          <w:sz w:val="28"/>
        </w:rPr>
        <w:t>工程名称：</w:t>
      </w:r>
      <w:r>
        <w:rPr>
          <w:rFonts w:hint="eastAsia" w:ascii="宋体" w:hAnsi="宋体" w:eastAsia="宋体" w:cs="宋体"/>
          <w:b w:val="0"/>
          <w:color w:val="auto"/>
          <w:sz w:val="28"/>
          <w:u w:val="single"/>
          <w:lang w:eastAsia="zh-CN"/>
        </w:rPr>
        <w:t>湖南国防工业职业技术学院实训工房改造建设项目</w:t>
      </w:r>
    </w:p>
    <w:p w14:paraId="29076576">
      <w:pPr>
        <w:spacing w:line="240" w:lineRule="auto"/>
        <w:ind w:firstLine="281" w:firstLineChars="100"/>
        <w:jc w:val="both"/>
        <w:rPr>
          <w:rFonts w:hint="eastAsia" w:ascii="宋体" w:hAnsi="宋体" w:eastAsia="宋体" w:cs="宋体"/>
          <w:b w:val="0"/>
          <w:color w:val="auto"/>
          <w:sz w:val="28"/>
          <w:u w:val="single"/>
          <w:lang w:val="en-US" w:eastAsia="zh-CN"/>
        </w:rPr>
      </w:pPr>
      <w:r>
        <w:rPr>
          <w:rFonts w:hint="eastAsia" w:ascii="宋体" w:hAnsi="宋体" w:eastAsia="宋体" w:cs="宋体"/>
          <w:b/>
          <w:color w:val="auto"/>
          <w:sz w:val="28"/>
        </w:rPr>
        <w:t>工程地点：</w:t>
      </w:r>
      <w:r>
        <w:rPr>
          <w:rFonts w:hint="eastAsia" w:ascii="宋体" w:hAnsi="宋体" w:eastAsia="宋体" w:cs="宋体"/>
          <w:b w:val="0"/>
          <w:color w:val="auto"/>
          <w:sz w:val="28"/>
          <w:u w:val="single"/>
        </w:rPr>
        <w:t>湖南国防工业职业技术学院校园内</w:t>
      </w:r>
      <w:r>
        <w:rPr>
          <w:rFonts w:hint="eastAsia" w:ascii="宋体" w:hAnsi="宋体" w:eastAsia="宋体" w:cs="宋体"/>
          <w:b w:val="0"/>
          <w:color w:val="auto"/>
          <w:sz w:val="28"/>
          <w:u w:val="single"/>
          <w:lang w:val="en-US" w:eastAsia="zh-CN"/>
        </w:rPr>
        <w:t xml:space="preserve">   </w:t>
      </w:r>
    </w:p>
    <w:p w14:paraId="26BAEF87">
      <w:pPr>
        <w:spacing w:line="240" w:lineRule="auto"/>
        <w:ind w:firstLine="281" w:firstLineChars="100"/>
        <w:jc w:val="both"/>
        <w:rPr>
          <w:rFonts w:hint="eastAsia" w:ascii="宋体" w:hAnsi="宋体" w:eastAsia="宋体" w:cs="宋体"/>
          <w:color w:val="auto"/>
          <w:u w:val="single"/>
          <w:lang w:val="en-US" w:eastAsia="zh-CN"/>
        </w:rPr>
      </w:pPr>
      <w:r>
        <w:rPr>
          <w:rFonts w:hint="eastAsia" w:ascii="宋体" w:hAnsi="宋体" w:eastAsia="宋体" w:cs="宋体"/>
          <w:b/>
          <w:color w:val="auto"/>
          <w:sz w:val="28"/>
        </w:rPr>
        <w:t>合同编号：</w:t>
      </w:r>
      <w:r>
        <w:rPr>
          <w:rFonts w:hint="eastAsia" w:ascii="宋体" w:hAnsi="宋体" w:eastAsia="宋体" w:cs="宋体"/>
          <w:b w:val="0"/>
          <w:color w:val="auto"/>
          <w:sz w:val="28"/>
          <w:u w:val="single"/>
          <w:lang w:val="en-US" w:eastAsia="zh-CN"/>
        </w:rPr>
        <w:t xml:space="preserve">     </w:t>
      </w:r>
      <w:r>
        <w:rPr>
          <w:rFonts w:hint="eastAsia" w:ascii="宋体" w:hAnsi="宋体" w:cs="宋体"/>
          <w:b w:val="0"/>
          <w:color w:val="auto"/>
          <w:sz w:val="28"/>
          <w:u w:val="single"/>
          <w:lang w:val="en-US" w:eastAsia="zh-CN"/>
        </w:rPr>
        <w:t xml:space="preserve">                        </w:t>
      </w:r>
      <w:bookmarkStart w:id="271" w:name="_GoBack"/>
      <w:bookmarkEnd w:id="271"/>
      <w:r>
        <w:rPr>
          <w:rFonts w:hint="eastAsia" w:ascii="宋体" w:hAnsi="宋体" w:eastAsia="宋体" w:cs="宋体"/>
          <w:b w:val="0"/>
          <w:color w:val="auto"/>
          <w:sz w:val="28"/>
          <w:u w:val="single"/>
          <w:lang w:val="en-US" w:eastAsia="zh-CN"/>
        </w:rPr>
        <w:t xml:space="preserve">    </w:t>
      </w:r>
    </w:p>
    <w:p w14:paraId="3E4C36B6">
      <w:pPr>
        <w:spacing w:line="240" w:lineRule="auto"/>
        <w:ind w:firstLine="281" w:firstLineChars="100"/>
        <w:jc w:val="both"/>
        <w:rPr>
          <w:rFonts w:hint="eastAsia" w:ascii="宋体" w:hAnsi="宋体" w:eastAsia="宋体" w:cs="宋体"/>
          <w:color w:val="auto"/>
          <w:lang w:val="en-US" w:eastAsia="zh-CN"/>
        </w:rPr>
      </w:pPr>
      <w:r>
        <w:rPr>
          <w:rFonts w:hint="eastAsia" w:ascii="宋体" w:hAnsi="宋体" w:eastAsia="宋体" w:cs="宋体"/>
          <w:b/>
          <w:color w:val="auto"/>
          <w:sz w:val="28"/>
        </w:rPr>
        <w:t>施工证书等级：</w:t>
      </w:r>
      <w:r>
        <w:rPr>
          <w:rFonts w:hint="eastAsia" w:ascii="宋体" w:hAnsi="宋体" w:eastAsia="宋体" w:cs="宋体"/>
          <w:b w:val="0"/>
          <w:color w:val="auto"/>
          <w:sz w:val="28"/>
          <w:u w:val="single"/>
        </w:rPr>
        <w:t>建筑工程施工总承包叁级及以上</w:t>
      </w:r>
    </w:p>
    <w:p w14:paraId="46077EDE">
      <w:pPr>
        <w:spacing w:line="240" w:lineRule="auto"/>
        <w:ind w:firstLine="281" w:firstLineChars="100"/>
        <w:jc w:val="both"/>
        <w:rPr>
          <w:rFonts w:hint="eastAsia" w:ascii="宋体" w:hAnsi="宋体" w:eastAsia="宋体" w:cs="宋体"/>
          <w:color w:val="auto"/>
          <w:u w:val="single"/>
          <w:lang w:val="en-US" w:eastAsia="zh-CN"/>
        </w:rPr>
      </w:pPr>
      <w:r>
        <w:rPr>
          <w:rFonts w:hint="eastAsia" w:ascii="宋体" w:hAnsi="宋体" w:eastAsia="宋体" w:cs="宋体"/>
          <w:b/>
          <w:color w:val="auto"/>
          <w:sz w:val="28"/>
        </w:rPr>
        <w:t>发包人：</w:t>
      </w:r>
      <w:r>
        <w:rPr>
          <w:rFonts w:hint="eastAsia" w:ascii="宋体" w:hAnsi="宋体" w:eastAsia="宋体" w:cs="宋体"/>
          <w:b w:val="0"/>
          <w:color w:val="auto"/>
          <w:sz w:val="28"/>
          <w:u w:val="single"/>
        </w:rPr>
        <w:t>湖南国防工业职业技术学院</w:t>
      </w:r>
      <w:r>
        <w:rPr>
          <w:rFonts w:hint="eastAsia" w:ascii="宋体" w:hAnsi="宋体" w:eastAsia="宋体" w:cs="宋体"/>
          <w:b w:val="0"/>
          <w:color w:val="auto"/>
          <w:sz w:val="28"/>
          <w:u w:val="single"/>
          <w:lang w:val="en-US" w:eastAsia="zh-CN"/>
        </w:rPr>
        <w:t xml:space="preserve">  </w:t>
      </w:r>
    </w:p>
    <w:p w14:paraId="607B8F19">
      <w:pPr>
        <w:spacing w:line="240" w:lineRule="auto"/>
        <w:ind w:firstLine="281" w:firstLineChars="100"/>
        <w:jc w:val="both"/>
        <w:rPr>
          <w:rFonts w:hint="eastAsia" w:ascii="宋体" w:hAnsi="宋体" w:eastAsia="宋体" w:cs="宋体"/>
          <w:color w:val="auto"/>
        </w:rPr>
      </w:pPr>
      <w:r>
        <w:rPr>
          <w:rFonts w:hint="eastAsia" w:ascii="宋体" w:hAnsi="宋体" w:eastAsia="宋体" w:cs="宋体"/>
          <w:b/>
          <w:color w:val="auto"/>
          <w:sz w:val="28"/>
        </w:rPr>
        <w:t>承包人：</w:t>
      </w:r>
      <w:r>
        <w:rPr>
          <w:rFonts w:hint="eastAsia" w:ascii="宋体" w:hAnsi="宋体" w:eastAsia="宋体" w:cs="宋体"/>
          <w:b w:val="0"/>
          <w:color w:val="auto"/>
          <w:sz w:val="28"/>
          <w:u w:val="single"/>
          <w:lang w:val="en-US" w:eastAsia="zh-CN"/>
        </w:rPr>
        <w:t xml:space="preserve">                          </w:t>
      </w:r>
    </w:p>
    <w:p w14:paraId="01BA066C">
      <w:pPr>
        <w:spacing w:line="240" w:lineRule="auto"/>
        <w:ind w:firstLine="281" w:firstLineChars="100"/>
        <w:jc w:val="both"/>
        <w:rPr>
          <w:rFonts w:hint="eastAsia" w:ascii="宋体" w:hAnsi="宋体" w:eastAsia="宋体" w:cs="宋体"/>
          <w:b/>
          <w:color w:val="auto"/>
          <w:sz w:val="28"/>
        </w:rPr>
      </w:pPr>
    </w:p>
    <w:p w14:paraId="00222207">
      <w:pPr>
        <w:spacing w:line="240" w:lineRule="auto"/>
        <w:ind w:firstLine="281" w:firstLineChars="100"/>
        <w:jc w:val="both"/>
        <w:rPr>
          <w:rFonts w:hint="eastAsia" w:ascii="宋体" w:hAnsi="宋体" w:eastAsia="宋体" w:cs="宋体"/>
          <w:b/>
          <w:color w:val="auto"/>
          <w:sz w:val="28"/>
        </w:rPr>
      </w:pPr>
    </w:p>
    <w:p w14:paraId="3F7709E5">
      <w:pPr>
        <w:spacing w:line="240" w:lineRule="auto"/>
        <w:ind w:firstLine="281" w:firstLineChars="100"/>
        <w:jc w:val="both"/>
        <w:rPr>
          <w:rFonts w:hint="eastAsia" w:ascii="宋体" w:hAnsi="宋体" w:eastAsia="宋体" w:cs="宋体"/>
          <w:b/>
          <w:color w:val="auto"/>
          <w:sz w:val="28"/>
        </w:rPr>
      </w:pPr>
    </w:p>
    <w:p w14:paraId="3307998B">
      <w:pPr>
        <w:spacing w:line="240" w:lineRule="auto"/>
        <w:ind w:firstLine="281" w:firstLineChars="100"/>
        <w:jc w:val="both"/>
        <w:rPr>
          <w:rFonts w:hint="eastAsia" w:ascii="宋体" w:hAnsi="宋体" w:eastAsia="宋体" w:cs="宋体"/>
          <w:b/>
          <w:color w:val="auto"/>
          <w:sz w:val="28"/>
        </w:rPr>
      </w:pPr>
    </w:p>
    <w:p w14:paraId="172A9B02">
      <w:pPr>
        <w:spacing w:line="240" w:lineRule="auto"/>
        <w:ind w:firstLine="281" w:firstLineChars="100"/>
        <w:jc w:val="both"/>
        <w:rPr>
          <w:rFonts w:hint="eastAsia" w:ascii="宋体" w:hAnsi="宋体" w:eastAsia="宋体" w:cs="宋体"/>
          <w:b/>
          <w:color w:val="auto"/>
          <w:sz w:val="28"/>
        </w:rPr>
      </w:pPr>
    </w:p>
    <w:p w14:paraId="0D5113DE">
      <w:pPr>
        <w:spacing w:line="240" w:lineRule="auto"/>
        <w:ind w:firstLine="281" w:firstLineChars="100"/>
        <w:jc w:val="both"/>
        <w:rPr>
          <w:rFonts w:hint="eastAsia" w:ascii="宋体" w:hAnsi="宋体" w:eastAsia="宋体" w:cs="宋体"/>
          <w:b/>
          <w:color w:val="auto"/>
          <w:sz w:val="28"/>
        </w:rPr>
      </w:pPr>
    </w:p>
    <w:p w14:paraId="110C9A0A">
      <w:pPr>
        <w:spacing w:line="240" w:lineRule="auto"/>
        <w:ind w:firstLine="281" w:firstLineChars="100"/>
        <w:jc w:val="both"/>
        <w:rPr>
          <w:rFonts w:hint="eastAsia" w:ascii="宋体" w:hAnsi="宋体" w:eastAsia="宋体" w:cs="宋体"/>
          <w:b/>
          <w:color w:val="auto"/>
          <w:sz w:val="28"/>
        </w:rPr>
      </w:pPr>
    </w:p>
    <w:p w14:paraId="6AE8F0EC">
      <w:pPr>
        <w:spacing w:line="240" w:lineRule="auto"/>
        <w:ind w:firstLine="281" w:firstLineChars="100"/>
        <w:jc w:val="both"/>
        <w:rPr>
          <w:rFonts w:hint="eastAsia" w:ascii="宋体" w:hAnsi="宋体" w:eastAsia="宋体" w:cs="宋体"/>
          <w:b/>
          <w:color w:val="auto"/>
          <w:sz w:val="28"/>
        </w:rPr>
      </w:pPr>
    </w:p>
    <w:p w14:paraId="4C90AD52">
      <w:pPr>
        <w:spacing w:line="240" w:lineRule="auto"/>
        <w:ind w:firstLine="281" w:firstLineChars="100"/>
        <w:jc w:val="both"/>
        <w:rPr>
          <w:rFonts w:hint="eastAsia" w:ascii="宋体" w:hAnsi="宋体" w:eastAsia="宋体" w:cs="宋体"/>
          <w:b/>
          <w:color w:val="auto"/>
          <w:sz w:val="28"/>
        </w:rPr>
      </w:pPr>
    </w:p>
    <w:p w14:paraId="67C004A0">
      <w:pPr>
        <w:spacing w:line="240" w:lineRule="auto"/>
        <w:ind w:firstLine="281" w:firstLineChars="100"/>
        <w:jc w:val="both"/>
        <w:rPr>
          <w:rFonts w:hint="eastAsia" w:ascii="宋体" w:hAnsi="宋体" w:eastAsia="宋体" w:cs="宋体"/>
          <w:b/>
          <w:color w:val="auto"/>
          <w:sz w:val="28"/>
        </w:rPr>
      </w:pPr>
    </w:p>
    <w:p w14:paraId="5DF350F8">
      <w:pPr>
        <w:spacing w:line="240" w:lineRule="auto"/>
        <w:ind w:firstLine="281" w:firstLineChars="100"/>
        <w:jc w:val="both"/>
        <w:rPr>
          <w:rFonts w:hint="eastAsia" w:ascii="宋体" w:hAnsi="宋体" w:eastAsia="宋体" w:cs="宋体"/>
          <w:b/>
          <w:color w:val="auto"/>
          <w:sz w:val="28"/>
        </w:rPr>
      </w:pPr>
    </w:p>
    <w:p w14:paraId="07F15DDB">
      <w:pPr>
        <w:spacing w:line="240" w:lineRule="auto"/>
        <w:ind w:firstLine="281" w:firstLineChars="100"/>
        <w:jc w:val="both"/>
        <w:rPr>
          <w:rFonts w:hint="eastAsia" w:ascii="宋体" w:hAnsi="宋体" w:eastAsia="宋体" w:cs="宋体"/>
          <w:b/>
          <w:color w:val="auto"/>
          <w:sz w:val="28"/>
        </w:rPr>
      </w:pPr>
    </w:p>
    <w:p w14:paraId="42BCB8A1">
      <w:pPr>
        <w:spacing w:line="240" w:lineRule="auto"/>
        <w:ind w:firstLine="281" w:firstLineChars="100"/>
        <w:jc w:val="both"/>
        <w:rPr>
          <w:rFonts w:hint="eastAsia" w:ascii="宋体" w:hAnsi="宋体" w:eastAsia="宋体" w:cs="宋体"/>
          <w:b/>
          <w:color w:val="auto"/>
          <w:sz w:val="28"/>
        </w:rPr>
      </w:pPr>
    </w:p>
    <w:p w14:paraId="678D9AB6">
      <w:pPr>
        <w:spacing w:line="240" w:lineRule="auto"/>
        <w:ind w:firstLine="2249" w:firstLineChars="800"/>
        <w:jc w:val="both"/>
        <w:rPr>
          <w:rFonts w:hint="eastAsia" w:ascii="宋体" w:hAnsi="宋体" w:eastAsia="宋体" w:cs="宋体"/>
          <w:b/>
          <w:color w:val="auto"/>
          <w:sz w:val="32"/>
        </w:rPr>
        <w:sectPr>
          <w:pgSz w:w="11906" w:h="16838"/>
          <w:pgMar w:top="1417" w:right="1417" w:bottom="1417" w:left="1701" w:header="720" w:footer="720" w:gutter="0"/>
          <w:pgNumType w:fmt="decimal"/>
          <w:cols w:space="720" w:num="1"/>
          <w:docGrid w:linePitch="360" w:charSpace="0"/>
        </w:sectPr>
      </w:pPr>
      <w:r>
        <w:rPr>
          <w:rFonts w:hint="eastAsia" w:ascii="宋体" w:hAnsi="宋体" w:eastAsia="宋体" w:cs="宋体"/>
          <w:b/>
          <w:color w:val="auto"/>
          <w:sz w:val="28"/>
        </w:rPr>
        <w:t>签订日期：</w:t>
      </w:r>
      <w:r>
        <w:rPr>
          <w:rFonts w:hint="eastAsia" w:ascii="宋体" w:hAnsi="宋体" w:eastAsia="宋体" w:cs="宋体"/>
          <w:b w:val="0"/>
          <w:bCs/>
          <w:color w:val="auto"/>
          <w:sz w:val="28"/>
          <w:u w:val="none"/>
        </w:rPr>
        <w:t>2026年</w:t>
      </w:r>
      <w:r>
        <w:rPr>
          <w:rFonts w:hint="eastAsia" w:ascii="宋体" w:hAnsi="宋体" w:eastAsia="宋体" w:cs="宋体"/>
          <w:b w:val="0"/>
          <w:bCs/>
          <w:color w:val="auto"/>
          <w:sz w:val="28"/>
          <w:u w:val="none"/>
          <w:lang w:val="en-US" w:eastAsia="zh-CN"/>
        </w:rPr>
        <w:t xml:space="preserve"> </w:t>
      </w:r>
      <w:r>
        <w:rPr>
          <w:rFonts w:hint="eastAsia" w:ascii="宋体" w:hAnsi="宋体" w:eastAsia="宋体" w:cs="宋体"/>
          <w:b w:val="0"/>
          <w:bCs/>
          <w:color w:val="auto"/>
          <w:sz w:val="28"/>
          <w:u w:val="none"/>
        </w:rPr>
        <w:t xml:space="preserve">  月</w:t>
      </w:r>
      <w:r>
        <w:rPr>
          <w:rFonts w:hint="eastAsia" w:ascii="宋体" w:hAnsi="宋体" w:eastAsia="宋体" w:cs="宋体"/>
          <w:b w:val="0"/>
          <w:bCs/>
          <w:color w:val="auto"/>
          <w:sz w:val="28"/>
          <w:u w:val="none"/>
          <w:lang w:val="en-US" w:eastAsia="zh-CN"/>
        </w:rPr>
        <w:t xml:space="preserve">  </w:t>
      </w:r>
      <w:r>
        <w:rPr>
          <w:rFonts w:hint="eastAsia" w:ascii="宋体" w:hAnsi="宋体" w:eastAsia="宋体" w:cs="宋体"/>
          <w:b w:val="0"/>
          <w:bCs/>
          <w:color w:val="auto"/>
          <w:sz w:val="28"/>
          <w:u w:val="none"/>
        </w:rPr>
        <w:t xml:space="preserve">  日</w:t>
      </w:r>
      <w:r>
        <w:rPr>
          <w:rFonts w:hint="eastAsia" w:ascii="宋体" w:hAnsi="宋体" w:eastAsia="宋体" w:cs="宋体"/>
          <w:b w:val="0"/>
          <w:bCs/>
          <w:color w:val="auto"/>
          <w:sz w:val="28"/>
          <w:u w:val="none"/>
          <w:lang w:val="en-US" w:eastAsia="zh-CN"/>
        </w:rPr>
        <w:t xml:space="preserve">      </w:t>
      </w:r>
    </w:p>
    <w:p w14:paraId="241C3B3D">
      <w:pPr>
        <w:spacing w:before="240" w:after="360" w:line="240" w:lineRule="auto"/>
        <w:jc w:val="center"/>
        <w:rPr>
          <w:rFonts w:hint="eastAsia" w:ascii="宋体" w:hAnsi="宋体" w:eastAsia="宋体" w:cs="宋体"/>
          <w:color w:val="auto"/>
        </w:rPr>
      </w:pPr>
      <w:r>
        <w:rPr>
          <w:rFonts w:hint="eastAsia" w:ascii="宋体" w:hAnsi="宋体" w:eastAsia="宋体" w:cs="宋体"/>
          <w:b/>
          <w:color w:val="auto"/>
          <w:sz w:val="32"/>
        </w:rPr>
        <w:t xml:space="preserve">  </w:t>
      </w:r>
      <w:r>
        <w:rPr>
          <w:rFonts w:hint="eastAsia" w:ascii="宋体" w:hAnsi="宋体" w:cs="宋体"/>
          <w:b/>
          <w:color w:val="auto"/>
          <w:sz w:val="32"/>
          <w:lang w:val="en-US" w:eastAsia="zh-CN"/>
        </w:rPr>
        <w:t>一、</w:t>
      </w:r>
      <w:r>
        <w:rPr>
          <w:rFonts w:hint="eastAsia" w:ascii="宋体" w:hAnsi="宋体" w:eastAsia="宋体" w:cs="宋体"/>
          <w:b/>
          <w:color w:val="auto"/>
          <w:sz w:val="32"/>
        </w:rPr>
        <w:t>政府采购合同协议书</w:t>
      </w:r>
    </w:p>
    <w:p w14:paraId="2AEBA473">
      <w:pPr>
        <w:keepNext w:val="0"/>
        <w:keepLines w:val="0"/>
        <w:pageBreakBefore w:val="0"/>
        <w:kinsoku/>
        <w:wordWrap/>
        <w:overflowPunct/>
        <w:topLinePunct w:val="0"/>
        <w:autoSpaceDE/>
        <w:autoSpaceDN/>
        <w:bidi w:val="0"/>
        <w:adjustRightInd w:val="0"/>
        <w:snapToGrid w:val="0"/>
        <w:spacing w:line="360" w:lineRule="auto"/>
        <w:jc w:val="center"/>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 采购合同编号：</w:t>
      </w:r>
      <w:r>
        <w:rPr>
          <w:rFonts w:hint="eastAsia" w:ascii="宋体" w:hAnsi="宋体" w:cs="宋体"/>
          <w:color w:val="auto"/>
          <w:sz w:val="21"/>
          <w:szCs w:val="21"/>
          <w:highlight w:val="none"/>
          <w:u w:val="single"/>
        </w:rPr>
        <w:t xml:space="preserve">             </w:t>
      </w:r>
    </w:p>
    <w:p w14:paraId="78A9CC6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color w:val="auto"/>
          <w:sz w:val="21"/>
          <w:szCs w:val="21"/>
          <w:highlight w:val="none"/>
        </w:rPr>
      </w:pPr>
    </w:p>
    <w:p w14:paraId="27F5E2E0">
      <w:pPr>
        <w:keepNext w:val="0"/>
        <w:keepLines w:val="0"/>
        <w:pageBreakBefore w:val="0"/>
        <w:kinsoku/>
        <w:wordWrap/>
        <w:overflowPunct/>
        <w:topLinePunct w:val="0"/>
        <w:autoSpaceDE/>
        <w:autoSpaceDN/>
        <w:bidi w:val="0"/>
        <w:adjustRightInd w:val="0"/>
        <w:snapToGrid w:val="0"/>
        <w:spacing w:line="360" w:lineRule="auto"/>
        <w:textAlignment w:val="auto"/>
        <w:rPr>
          <w:rFonts w:ascii="宋体" w:hAnsi="宋体" w:cs="宋体"/>
          <w:color w:val="auto"/>
          <w:sz w:val="21"/>
          <w:szCs w:val="21"/>
          <w:highlight w:val="none"/>
        </w:rPr>
      </w:pPr>
      <w:r>
        <w:rPr>
          <w:rFonts w:hint="eastAsia" w:ascii="宋体" w:hAnsi="宋体" w:cs="宋体"/>
          <w:color w:val="auto"/>
          <w:sz w:val="21"/>
          <w:szCs w:val="21"/>
          <w:highlight w:val="none"/>
        </w:rPr>
        <w:t>采购人（全称）：</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（甲方）</w:t>
      </w:r>
    </w:p>
    <w:p w14:paraId="22AF74E2">
      <w:pPr>
        <w:keepNext w:val="0"/>
        <w:keepLines w:val="0"/>
        <w:pageBreakBefore w:val="0"/>
        <w:kinsoku/>
        <w:wordWrap/>
        <w:overflowPunct/>
        <w:topLinePunct w:val="0"/>
        <w:autoSpaceDE/>
        <w:autoSpaceDN/>
        <w:bidi w:val="0"/>
        <w:adjustRightInd w:val="0"/>
        <w:snapToGrid w:val="0"/>
        <w:spacing w:line="360" w:lineRule="auto"/>
        <w:textAlignment w:val="auto"/>
        <w:rPr>
          <w:rFonts w:ascii="宋体" w:hAnsi="宋体" w:cs="宋体"/>
          <w:color w:val="auto"/>
          <w:sz w:val="21"/>
          <w:szCs w:val="21"/>
          <w:highlight w:val="none"/>
        </w:rPr>
      </w:pPr>
      <w:r>
        <w:rPr>
          <w:rFonts w:hint="eastAsia" w:ascii="宋体" w:hAnsi="宋体" w:cs="宋体"/>
          <w:color w:val="auto"/>
          <w:sz w:val="21"/>
          <w:szCs w:val="21"/>
          <w:highlight w:val="none"/>
        </w:rPr>
        <w:t>供应商（全称）：</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（乙方）</w:t>
      </w:r>
    </w:p>
    <w:p w14:paraId="5431AB5C">
      <w:pPr>
        <w:pStyle w:val="9"/>
        <w:keepNext w:val="0"/>
        <w:keepLines w:val="0"/>
        <w:pageBreakBefore w:val="0"/>
        <w:kinsoku/>
        <w:wordWrap/>
        <w:overflowPunct/>
        <w:topLinePunct w:val="0"/>
        <w:autoSpaceDE/>
        <w:autoSpaceDN/>
        <w:bidi w:val="0"/>
        <w:adjustRightInd w:val="0"/>
        <w:snapToGrid w:val="0"/>
        <w:spacing w:after="0" w:line="360" w:lineRule="auto"/>
        <w:textAlignment w:val="auto"/>
        <w:rPr>
          <w:rFonts w:ascii="宋体" w:hAnsi="宋体" w:cs="宋体"/>
          <w:color w:val="auto"/>
          <w:sz w:val="21"/>
          <w:szCs w:val="21"/>
          <w:highlight w:val="none"/>
        </w:rPr>
      </w:pPr>
    </w:p>
    <w:p w14:paraId="719B746A">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为了保护甲、乙双方合法权益，根据《中华人民共和国民法典》、《中华人民共和国政府采购法》</w:t>
      </w:r>
      <w:r>
        <w:rPr>
          <w:rFonts w:hint="eastAsia" w:ascii="宋体" w:hAnsi="宋体" w:cs="宋体"/>
          <w:color w:val="auto"/>
          <w:sz w:val="21"/>
          <w:szCs w:val="21"/>
          <w:highlight w:val="none"/>
          <w:lang w:eastAsia="zh-CN"/>
        </w:rPr>
        <w:t>、《中华人民共和国建筑法》</w:t>
      </w:r>
      <w:r>
        <w:rPr>
          <w:rFonts w:hint="eastAsia" w:ascii="宋体" w:hAnsi="宋体" w:cs="宋体"/>
          <w:color w:val="auto"/>
          <w:sz w:val="21"/>
          <w:szCs w:val="21"/>
          <w:highlight w:val="none"/>
        </w:rPr>
        <w:t>及其他有关法律、法规、规章，双方签订本合同协议书。</w:t>
      </w:r>
    </w:p>
    <w:p w14:paraId="28C565D2">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0" w:firstLineChars="0"/>
        <w:textAlignment w:val="auto"/>
        <w:rPr>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一、工程概况 </w:t>
      </w:r>
    </w:p>
    <w:p w14:paraId="4978130D">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1.工</w:t>
      </w:r>
      <w:r>
        <w:rPr>
          <w:rFonts w:hint="eastAsia" w:ascii="宋体" w:hAnsi="宋体" w:eastAsia="宋体" w:cs="宋体"/>
          <w:color w:val="auto"/>
          <w:sz w:val="21"/>
          <w:szCs w:val="21"/>
          <w:highlight w:val="none"/>
          <w:lang w:val="en-US" w:eastAsia="zh-CN"/>
        </w:rPr>
        <w:t>程名称：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14:paraId="76AD15C3">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kern w:val="0"/>
          <w:sz w:val="21"/>
          <w:szCs w:val="21"/>
          <w:highlight w:val="none"/>
          <w:lang w:val="en-US" w:eastAsia="zh-CN" w:bidi="ar"/>
        </w:rPr>
        <w:t>工程</w:t>
      </w:r>
      <w:r>
        <w:rPr>
          <w:rFonts w:hint="eastAsia" w:ascii="宋体" w:hAnsi="宋体" w:eastAsia="宋体" w:cs="宋体"/>
          <w:color w:val="auto"/>
          <w:sz w:val="21"/>
          <w:szCs w:val="21"/>
          <w:highlight w:val="none"/>
          <w:lang w:val="en-US" w:eastAsia="zh-CN"/>
        </w:rPr>
        <w:t>地点：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14:paraId="0361F37C">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3.工程立项批准文号：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14:paraId="50C0EBF5">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4.资金来源：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14:paraId="4393F61E">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5.工程内容：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14:paraId="1CC703B8">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6.工程承包范围：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14:paraId="3A67B1D0">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0" w:firstLineChars="0"/>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二、合同工期 </w:t>
      </w:r>
    </w:p>
    <w:p w14:paraId="00B4ED35">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计划</w:t>
      </w:r>
      <w:r>
        <w:rPr>
          <w:rFonts w:hint="eastAsia" w:ascii="宋体" w:hAnsi="宋体" w:eastAsia="宋体" w:cs="宋体"/>
          <w:color w:val="auto"/>
          <w:sz w:val="21"/>
          <w:szCs w:val="21"/>
          <w:highlight w:val="none"/>
          <w:lang w:val="en-US" w:eastAsia="zh-CN"/>
        </w:rPr>
        <w:t>开工</w:t>
      </w:r>
      <w:r>
        <w:rPr>
          <w:rFonts w:hint="eastAsia" w:ascii="宋体" w:hAnsi="宋体" w:eastAsia="宋体" w:cs="宋体"/>
          <w:color w:val="auto"/>
          <w:kern w:val="0"/>
          <w:sz w:val="21"/>
          <w:szCs w:val="21"/>
          <w:highlight w:val="none"/>
          <w:lang w:val="en-US" w:eastAsia="zh-CN" w:bidi="ar"/>
        </w:rPr>
        <w:t>日期：</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年</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日。 </w:t>
      </w:r>
    </w:p>
    <w:p w14:paraId="737C01B1">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计划</w:t>
      </w:r>
      <w:r>
        <w:rPr>
          <w:rFonts w:hint="eastAsia" w:ascii="宋体" w:hAnsi="宋体" w:eastAsia="宋体" w:cs="宋体"/>
          <w:color w:val="auto"/>
          <w:sz w:val="21"/>
          <w:szCs w:val="21"/>
          <w:highlight w:val="none"/>
          <w:lang w:val="en-US" w:eastAsia="zh-CN"/>
        </w:rPr>
        <w:t>竣工</w:t>
      </w:r>
      <w:r>
        <w:rPr>
          <w:rFonts w:hint="eastAsia" w:ascii="宋体" w:hAnsi="宋体" w:eastAsia="宋体" w:cs="宋体"/>
          <w:color w:val="auto"/>
          <w:kern w:val="0"/>
          <w:sz w:val="21"/>
          <w:szCs w:val="21"/>
          <w:highlight w:val="none"/>
          <w:lang w:val="en-US" w:eastAsia="zh-CN" w:bidi="ar"/>
        </w:rPr>
        <w:t>日期：</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年</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日。</w:t>
      </w:r>
    </w:p>
    <w:p w14:paraId="504CCCB5">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工期总日历天数：</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天。工期总日历天数与根据前述计划开竣工日期计算的工期天 </w:t>
      </w:r>
    </w:p>
    <w:p w14:paraId="4E8CB9C0">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数不一致的，以工期总日历天数为准。 </w:t>
      </w:r>
    </w:p>
    <w:p w14:paraId="688FB034">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三、质量标准 </w:t>
      </w:r>
    </w:p>
    <w:p w14:paraId="65736293">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工程质量符合</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标准。 </w:t>
      </w:r>
    </w:p>
    <w:p w14:paraId="6FC84405">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四、签约合同价与合同价格形式 </w:t>
      </w:r>
    </w:p>
    <w:p w14:paraId="69F679C9">
      <w:pPr>
        <w:pStyle w:val="9"/>
        <w:keepNext w:val="0"/>
        <w:keepLines w:val="0"/>
        <w:pageBreakBefore w:val="0"/>
        <w:kinsoku/>
        <w:wordWrap/>
        <w:overflowPunct/>
        <w:topLinePunct w:val="0"/>
        <w:autoSpaceDE/>
        <w:autoSpaceDN/>
        <w:bidi w:val="0"/>
        <w:adjustRightInd w:val="0"/>
        <w:snapToGrid w:val="0"/>
        <w:spacing w:after="0" w:line="360" w:lineRule="auto"/>
        <w:ind w:left="0" w:leftChars="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1.签约合同价为： </w:t>
      </w:r>
    </w:p>
    <w:p w14:paraId="21C95F50">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人民币（大写）</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元)； </w:t>
      </w:r>
    </w:p>
    <w:p w14:paraId="007D8007">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其中： </w:t>
      </w:r>
    </w:p>
    <w:p w14:paraId="4749DBFE">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（1）绿色施工安全防护措施项目费：</w:t>
      </w:r>
    </w:p>
    <w:p w14:paraId="0EA52EA9">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人民币（大写）</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元)； </w:t>
      </w:r>
    </w:p>
    <w:p w14:paraId="2EA78D82">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（2）材料和工程设备暂估价金额：</w:t>
      </w:r>
    </w:p>
    <w:p w14:paraId="2A7EECA4">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人民币（大写）</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元)； </w:t>
      </w:r>
    </w:p>
    <w:p w14:paraId="31E269F3">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（3）专业工程暂估价金额： </w:t>
      </w:r>
    </w:p>
    <w:p w14:paraId="447157AA">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人民币（大写）</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元)； </w:t>
      </w:r>
    </w:p>
    <w:p w14:paraId="3B87F166">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（4）暂列金额： </w:t>
      </w:r>
    </w:p>
    <w:p w14:paraId="368E64DA">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人民币（大写）</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元)； </w:t>
      </w:r>
    </w:p>
    <w:p w14:paraId="2A07AAE2">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合同价格形式：</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w:t>
      </w:r>
    </w:p>
    <w:p w14:paraId="5DB5B77B">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3.工程款支付： </w:t>
      </w:r>
    </w:p>
    <w:p w14:paraId="07DEE5F7">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w:t>
      </w:r>
    </w:p>
    <w:p w14:paraId="7FCC84CE">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五、项目经理 </w:t>
      </w:r>
    </w:p>
    <w:p w14:paraId="5A5192C6">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承包人项目经理：</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42D5432D">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六、合同文件构成 </w:t>
      </w:r>
    </w:p>
    <w:p w14:paraId="2DE07158">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本协议书与下列文件一起构成合同文件： </w:t>
      </w:r>
    </w:p>
    <w:p w14:paraId="3BCDC5C0">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val="en-US" w:eastAsia="zh-CN" w:bidi="ar"/>
        </w:rPr>
        <w:t>成交</w:t>
      </w:r>
      <w:r>
        <w:rPr>
          <w:rFonts w:hint="eastAsia" w:ascii="宋体" w:hAnsi="宋体" w:eastAsia="宋体" w:cs="宋体"/>
          <w:color w:val="auto"/>
          <w:kern w:val="0"/>
          <w:sz w:val="21"/>
          <w:szCs w:val="21"/>
          <w:highlight w:val="none"/>
          <w:lang w:val="en-US" w:eastAsia="zh-CN" w:bidi="ar"/>
        </w:rPr>
        <w:t xml:space="preserve">通知书； </w:t>
      </w:r>
    </w:p>
    <w:p w14:paraId="72CFE4B4">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（2）投标函及其附录（如果有）； </w:t>
      </w:r>
    </w:p>
    <w:p w14:paraId="05676F7B">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（3）专用合同条款及其附件； </w:t>
      </w:r>
    </w:p>
    <w:p w14:paraId="25BB3C8A">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（4）通用合同条款； </w:t>
      </w:r>
    </w:p>
    <w:p w14:paraId="05FB6B82">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（5）技术标准和要求； </w:t>
      </w:r>
    </w:p>
    <w:p w14:paraId="045B603A">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（6）图纸； </w:t>
      </w:r>
    </w:p>
    <w:p w14:paraId="04ABB419">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（7）已标价工程量清单或预算书； </w:t>
      </w:r>
    </w:p>
    <w:p w14:paraId="30057899">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（8）其他合同文件。 </w:t>
      </w:r>
    </w:p>
    <w:p w14:paraId="17046F3C">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在合同订立及履行过程中形成的与合同有关的文件均构成合同文件组成部分。 </w:t>
      </w:r>
    </w:p>
    <w:p w14:paraId="5EFF8294">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上述各项合同文件包括合同当事人就该项合同文件所作出的补充和修改，属于同一类内容的 </w:t>
      </w:r>
    </w:p>
    <w:p w14:paraId="6633F9AF">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文件，应以最新签署的为准。专用合同条款及其附件须经合同当事人签字或盖章。 </w:t>
      </w:r>
    </w:p>
    <w:p w14:paraId="17203B38">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七、承诺 </w:t>
      </w:r>
    </w:p>
    <w:p w14:paraId="3DF0EA4D">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val="en-US" w:eastAsia="zh-CN" w:bidi="ar"/>
        </w:rPr>
        <w:t>甲方</w:t>
      </w:r>
      <w:r>
        <w:rPr>
          <w:rFonts w:hint="eastAsia" w:ascii="宋体" w:hAnsi="宋体" w:eastAsia="宋体" w:cs="宋体"/>
          <w:color w:val="auto"/>
          <w:kern w:val="0"/>
          <w:sz w:val="21"/>
          <w:szCs w:val="21"/>
          <w:highlight w:val="none"/>
          <w:lang w:val="en-US" w:eastAsia="zh-CN" w:bidi="ar"/>
        </w:rPr>
        <w:t xml:space="preserve">承诺按照法律规定履行项目审批手续、筹集工程建设资金并按照合同约定的期限和方式支付合同价款。 </w:t>
      </w:r>
    </w:p>
    <w:p w14:paraId="598DD433">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2.乙方承诺按照法律规定及合同约定组织完成工程施工，确保工程质量和安全，不进行转包及违法分包，并在缺陷责任期及保修期内承担相应的工程维修责任。 </w:t>
      </w:r>
    </w:p>
    <w:p w14:paraId="18D4145F">
      <w:pPr>
        <w:keepNext w:val="0"/>
        <w:keepLines w:val="0"/>
        <w:pageBreakBefore w:val="0"/>
        <w:widowControl/>
        <w:suppressLineNumbers w:val="0"/>
        <w:kinsoku/>
        <w:wordWrap/>
        <w:overflowPunct/>
        <w:topLinePunct w:val="0"/>
        <w:autoSpaceDE/>
        <w:autoSpaceDN/>
        <w:bidi w:val="0"/>
        <w:spacing w:line="360" w:lineRule="auto"/>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3.</w:t>
      </w:r>
      <w:r>
        <w:rPr>
          <w:rFonts w:hint="eastAsia" w:ascii="宋体" w:hAnsi="宋体" w:cs="宋体"/>
          <w:color w:val="auto"/>
          <w:kern w:val="0"/>
          <w:sz w:val="21"/>
          <w:szCs w:val="21"/>
          <w:highlight w:val="none"/>
          <w:lang w:val="en-US" w:eastAsia="zh-CN" w:bidi="ar"/>
        </w:rPr>
        <w:t>甲方</w:t>
      </w:r>
      <w:r>
        <w:rPr>
          <w:rFonts w:hint="eastAsia" w:ascii="宋体" w:hAnsi="宋体" w:eastAsia="宋体" w:cs="宋体"/>
          <w:color w:val="auto"/>
          <w:kern w:val="0"/>
          <w:sz w:val="21"/>
          <w:szCs w:val="21"/>
          <w:highlight w:val="none"/>
          <w:lang w:val="en-US" w:eastAsia="zh-CN" w:bidi="ar"/>
        </w:rPr>
        <w:t xml:space="preserve">和乙方通过招投标形式签订合同的，双方理解并承诺不再就同一工程另行签订与合同实质性内容相背离的协议。 </w:t>
      </w:r>
    </w:p>
    <w:p w14:paraId="2A03285C">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八、签订时间 </w:t>
      </w:r>
    </w:p>
    <w:p w14:paraId="6A228836">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本合同于</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年</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日签订。 </w:t>
      </w:r>
    </w:p>
    <w:p w14:paraId="38F322B8">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九</w:t>
      </w:r>
      <w:r>
        <w:rPr>
          <w:rFonts w:hint="eastAsia" w:ascii="宋体" w:hAnsi="宋体" w:eastAsia="宋体" w:cs="宋体"/>
          <w:b/>
          <w:bCs/>
          <w:color w:val="auto"/>
          <w:kern w:val="0"/>
          <w:sz w:val="21"/>
          <w:szCs w:val="21"/>
          <w:highlight w:val="none"/>
          <w:lang w:val="en-US" w:eastAsia="zh-CN" w:bidi="ar"/>
        </w:rPr>
        <w:t xml:space="preserve">、签订地点 </w:t>
      </w:r>
    </w:p>
    <w:p w14:paraId="050E26DB">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本合同在</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签订。 </w:t>
      </w:r>
    </w:p>
    <w:p w14:paraId="437DDE42">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十、补充协议 </w:t>
      </w:r>
    </w:p>
    <w:p w14:paraId="3884DE9D">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合同未尽事宜，合同当事人另行签订补充协议，补充协议是合同的组成部分。 </w:t>
      </w:r>
    </w:p>
    <w:p w14:paraId="74E3E35B">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十一、合同生效</w:t>
      </w:r>
    </w:p>
    <w:p w14:paraId="14CB0A8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本合同自</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生效。</w:t>
      </w:r>
    </w:p>
    <w:p w14:paraId="078D68F0">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十二、合同份数</w:t>
      </w:r>
    </w:p>
    <w:p w14:paraId="40DBB55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本合同一式</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w:t>
      </w:r>
      <w:r>
        <w:rPr>
          <w:rFonts w:hint="eastAsia" w:ascii="宋体" w:hAnsi="宋体" w:cs="宋体"/>
          <w:color w:val="auto"/>
          <w:sz w:val="21"/>
          <w:szCs w:val="21"/>
          <w:highlight w:val="none"/>
          <w:lang w:eastAsia="zh-CN"/>
        </w:rPr>
        <w:t>甲方</w:t>
      </w:r>
      <w:r>
        <w:rPr>
          <w:rFonts w:hint="eastAsia" w:ascii="宋体" w:hAnsi="宋体" w:cs="宋体"/>
          <w:color w:val="auto"/>
          <w:sz w:val="21"/>
          <w:szCs w:val="21"/>
          <w:highlight w:val="none"/>
        </w:rPr>
        <w:t>执</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w:t>
      </w:r>
      <w:r>
        <w:rPr>
          <w:rFonts w:hint="eastAsia" w:ascii="宋体" w:hAnsi="宋体" w:cs="宋体"/>
          <w:color w:val="auto"/>
          <w:sz w:val="21"/>
          <w:szCs w:val="21"/>
          <w:highlight w:val="none"/>
          <w:lang w:eastAsia="zh-CN"/>
        </w:rPr>
        <w:t>乙方</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份，均具有同等法律效力。</w:t>
      </w:r>
    </w:p>
    <w:p w14:paraId="635C883C">
      <w:pPr>
        <w:keepNext w:val="0"/>
        <w:keepLines w:val="0"/>
        <w:pageBreakBefore w:val="0"/>
        <w:kinsoku/>
        <w:wordWrap/>
        <w:overflowPunct/>
        <w:topLinePunct w:val="0"/>
        <w:autoSpaceDE/>
        <w:autoSpaceDN/>
        <w:bidi w:val="0"/>
        <w:adjustRightInd w:val="0"/>
        <w:snapToGrid w:val="0"/>
        <w:spacing w:line="360" w:lineRule="auto"/>
        <w:textAlignment w:val="auto"/>
        <w:rPr>
          <w:rFonts w:ascii="宋体" w:hAnsi="宋体" w:cs="宋体"/>
          <w:color w:val="auto"/>
          <w:sz w:val="21"/>
          <w:szCs w:val="21"/>
          <w:highlight w:val="none"/>
        </w:rPr>
      </w:pPr>
    </w:p>
    <w:p w14:paraId="5BAF1962">
      <w:pPr>
        <w:keepNext w:val="0"/>
        <w:keepLines w:val="0"/>
        <w:pageBreakBefore w:val="0"/>
        <w:kinsoku/>
        <w:wordWrap/>
        <w:overflowPunct/>
        <w:topLinePunct w:val="0"/>
        <w:autoSpaceDE/>
        <w:autoSpaceDN/>
        <w:bidi w:val="0"/>
        <w:adjustRightInd w:val="0"/>
        <w:snapToGrid w:val="0"/>
        <w:spacing w:line="360" w:lineRule="auto"/>
        <w:ind w:firstLine="210" w:firstLineChars="1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合同订立时间：</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日</w:t>
      </w:r>
    </w:p>
    <w:p w14:paraId="15E3D4C1">
      <w:pPr>
        <w:keepNext w:val="0"/>
        <w:keepLines w:val="0"/>
        <w:pageBreakBefore w:val="0"/>
        <w:kinsoku/>
        <w:wordWrap/>
        <w:overflowPunct/>
        <w:topLinePunct w:val="0"/>
        <w:autoSpaceDE/>
        <w:autoSpaceDN/>
        <w:bidi w:val="0"/>
        <w:adjustRightInd w:val="0"/>
        <w:snapToGrid w:val="0"/>
        <w:spacing w:line="360" w:lineRule="auto"/>
        <w:ind w:firstLine="210" w:firstLineChars="1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合同订立地点：</w:t>
      </w:r>
      <w:r>
        <w:rPr>
          <w:rFonts w:hint="eastAsia" w:ascii="宋体" w:hAnsi="宋体" w:cs="宋体"/>
          <w:color w:val="auto"/>
          <w:sz w:val="21"/>
          <w:szCs w:val="21"/>
          <w:highlight w:val="none"/>
          <w:u w:val="single"/>
        </w:rPr>
        <w:t xml:space="preserve">                           </w:t>
      </w:r>
    </w:p>
    <w:p w14:paraId="01413F2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    </w:t>
      </w:r>
    </w:p>
    <w:p w14:paraId="701C4BCA">
      <w:pPr>
        <w:keepNext w:val="0"/>
        <w:keepLines w:val="0"/>
        <w:pageBreakBefore w:val="0"/>
        <w:kinsoku/>
        <w:wordWrap/>
        <w:overflowPunct/>
        <w:topLinePunct w:val="0"/>
        <w:autoSpaceDE/>
        <w:autoSpaceDN/>
        <w:bidi w:val="0"/>
        <w:adjustRightInd w:val="0"/>
        <w:snapToGrid w:val="0"/>
        <w:spacing w:line="360" w:lineRule="auto"/>
        <w:ind w:firstLine="210" w:firstLineChars="100"/>
        <w:textAlignment w:val="auto"/>
        <w:rPr>
          <w:rFonts w:ascii="宋体" w:hAnsi="宋体" w:cs="宋体"/>
          <w:color w:val="auto"/>
          <w:sz w:val="21"/>
          <w:szCs w:val="21"/>
          <w:highlight w:val="none"/>
        </w:rPr>
      </w:pPr>
      <w:r>
        <w:rPr>
          <w:rFonts w:hint="eastAsia" w:ascii="宋体" w:hAnsi="宋体" w:cs="宋体"/>
          <w:color w:val="auto"/>
          <w:sz w:val="21"/>
          <w:szCs w:val="21"/>
          <w:highlight w:val="none"/>
        </w:rPr>
        <w:t>甲      方：（公章）                    乙      方：（公章）</w:t>
      </w:r>
    </w:p>
    <w:p w14:paraId="2133B673">
      <w:pPr>
        <w:keepNext w:val="0"/>
        <w:keepLines w:val="0"/>
        <w:pageBreakBefore w:val="0"/>
        <w:kinsoku/>
        <w:wordWrap/>
        <w:overflowPunct/>
        <w:topLinePunct w:val="0"/>
        <w:autoSpaceDE/>
        <w:autoSpaceDN/>
        <w:bidi w:val="0"/>
        <w:adjustRightInd w:val="0"/>
        <w:snapToGrid w:val="0"/>
        <w:spacing w:line="360" w:lineRule="auto"/>
        <w:ind w:firstLine="210" w:firstLineChars="1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法定代表人：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法定代表人：</w:t>
      </w:r>
      <w:r>
        <w:rPr>
          <w:rFonts w:hint="eastAsia" w:ascii="宋体" w:hAnsi="宋体" w:cs="宋体"/>
          <w:color w:val="auto"/>
          <w:sz w:val="21"/>
          <w:szCs w:val="21"/>
          <w:highlight w:val="none"/>
          <w:u w:val="single"/>
        </w:rPr>
        <w:t xml:space="preserve">                   </w:t>
      </w:r>
    </w:p>
    <w:p w14:paraId="7061E951">
      <w:pPr>
        <w:keepNext w:val="0"/>
        <w:keepLines w:val="0"/>
        <w:pageBreakBefore w:val="0"/>
        <w:kinsoku/>
        <w:wordWrap/>
        <w:overflowPunct/>
        <w:topLinePunct w:val="0"/>
        <w:autoSpaceDE/>
        <w:autoSpaceDN/>
        <w:bidi w:val="0"/>
        <w:adjustRightInd w:val="0"/>
        <w:snapToGrid w:val="0"/>
        <w:spacing w:line="360" w:lineRule="auto"/>
        <w:ind w:firstLine="210" w:firstLineChars="1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委托代理人：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委托代理人：</w:t>
      </w:r>
      <w:r>
        <w:rPr>
          <w:rFonts w:hint="eastAsia" w:ascii="宋体" w:hAnsi="宋体" w:cs="宋体"/>
          <w:color w:val="auto"/>
          <w:sz w:val="21"/>
          <w:szCs w:val="21"/>
          <w:highlight w:val="none"/>
          <w:u w:val="single"/>
        </w:rPr>
        <w:t xml:space="preserve">                   </w:t>
      </w:r>
    </w:p>
    <w:p w14:paraId="2CA5B100">
      <w:pPr>
        <w:keepNext w:val="0"/>
        <w:keepLines w:val="0"/>
        <w:pageBreakBefore w:val="0"/>
        <w:kinsoku/>
        <w:wordWrap/>
        <w:overflowPunct/>
        <w:topLinePunct w:val="0"/>
        <w:autoSpaceDE/>
        <w:autoSpaceDN/>
        <w:bidi w:val="0"/>
        <w:adjustRightInd w:val="0"/>
        <w:snapToGrid w:val="0"/>
        <w:spacing w:line="360" w:lineRule="auto"/>
        <w:ind w:firstLine="210" w:firstLineChars="100"/>
        <w:textAlignment w:val="auto"/>
        <w:rPr>
          <w:rFonts w:ascii="宋体" w:hAnsi="宋体" w:cs="宋体"/>
          <w:color w:val="auto"/>
          <w:sz w:val="21"/>
          <w:szCs w:val="21"/>
          <w:highlight w:val="none"/>
        </w:rPr>
      </w:pPr>
      <w:r>
        <w:rPr>
          <w:rFonts w:hint="eastAsia" w:ascii="宋体" w:hAnsi="宋体" w:cs="宋体"/>
          <w:color w:val="auto"/>
          <w:sz w:val="21"/>
          <w:szCs w:val="21"/>
          <w:highlight w:val="none"/>
        </w:rPr>
        <w:t>电      话：</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电      话：</w:t>
      </w:r>
      <w:r>
        <w:rPr>
          <w:rFonts w:hint="eastAsia" w:ascii="宋体" w:hAnsi="宋体" w:cs="宋体"/>
          <w:color w:val="auto"/>
          <w:sz w:val="21"/>
          <w:szCs w:val="21"/>
          <w:highlight w:val="none"/>
          <w:u w:val="single"/>
        </w:rPr>
        <w:t xml:space="preserve">                   </w:t>
      </w:r>
    </w:p>
    <w:p w14:paraId="0FC51769">
      <w:pPr>
        <w:keepNext w:val="0"/>
        <w:keepLines w:val="0"/>
        <w:pageBreakBefore w:val="0"/>
        <w:kinsoku/>
        <w:wordWrap/>
        <w:overflowPunct/>
        <w:topLinePunct w:val="0"/>
        <w:autoSpaceDE/>
        <w:autoSpaceDN/>
        <w:bidi w:val="0"/>
        <w:adjustRightInd w:val="0"/>
        <w:snapToGrid w:val="0"/>
        <w:spacing w:line="360" w:lineRule="auto"/>
        <w:ind w:firstLine="210" w:firstLineChars="1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传      真：</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传      真：</w:t>
      </w:r>
      <w:r>
        <w:rPr>
          <w:rFonts w:hint="eastAsia" w:ascii="宋体" w:hAnsi="宋体" w:cs="宋体"/>
          <w:color w:val="auto"/>
          <w:sz w:val="21"/>
          <w:szCs w:val="21"/>
          <w:highlight w:val="none"/>
          <w:u w:val="single"/>
        </w:rPr>
        <w:t xml:space="preserve">                   </w:t>
      </w:r>
    </w:p>
    <w:p w14:paraId="058CF90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color w:val="auto"/>
          <w:sz w:val="21"/>
          <w:szCs w:val="21"/>
          <w:highlight w:val="none"/>
          <w:u w:val="single"/>
        </w:rPr>
      </w:pPr>
      <w:r>
        <w:rPr>
          <w:rFonts w:hint="eastAsia" w:ascii="宋体" w:hAnsi="宋体" w:cs="宋体"/>
          <w:color w:val="auto"/>
          <w:sz w:val="21"/>
          <w:szCs w:val="21"/>
          <w:highlight w:val="none"/>
        </w:rPr>
        <w:t xml:space="preserve">                                      开 户 银 行：</w:t>
      </w:r>
      <w:r>
        <w:rPr>
          <w:rFonts w:hint="eastAsia" w:ascii="宋体" w:hAnsi="宋体" w:cs="宋体"/>
          <w:color w:val="auto"/>
          <w:sz w:val="21"/>
          <w:szCs w:val="21"/>
          <w:highlight w:val="none"/>
          <w:u w:val="single"/>
        </w:rPr>
        <w:t xml:space="preserve">                  </w:t>
      </w:r>
    </w:p>
    <w:p w14:paraId="7355FE6E">
      <w:pPr>
        <w:keepNext w:val="0"/>
        <w:keepLines w:val="0"/>
        <w:pageBreakBefore w:val="0"/>
        <w:kinsoku/>
        <w:wordWrap/>
        <w:overflowPunct/>
        <w:topLinePunct w:val="0"/>
        <w:autoSpaceDE/>
        <w:autoSpaceDN/>
        <w:bidi w:val="0"/>
        <w:adjustRightInd w:val="0"/>
        <w:snapToGrid w:val="0"/>
        <w:spacing w:line="360" w:lineRule="auto"/>
        <w:jc w:val="center"/>
        <w:textAlignment w:val="auto"/>
        <w:rPr>
          <w:rFonts w:ascii="宋体" w:hAnsi="宋体" w:cs="宋体"/>
          <w:bCs/>
          <w:color w:val="auto"/>
          <w:sz w:val="21"/>
          <w:szCs w:val="21"/>
          <w:highlight w:val="none"/>
        </w:rPr>
      </w:pPr>
      <w:r>
        <w:rPr>
          <w:rFonts w:hint="eastAsia" w:ascii="宋体" w:hAnsi="宋体" w:cs="宋体"/>
          <w:color w:val="auto"/>
          <w:sz w:val="21"/>
          <w:szCs w:val="21"/>
          <w:highlight w:val="none"/>
        </w:rPr>
        <w:t xml:space="preserve">             帐       号：</w:t>
      </w:r>
      <w:r>
        <w:rPr>
          <w:rFonts w:hint="eastAsia" w:ascii="宋体" w:hAnsi="宋体" w:cs="宋体"/>
          <w:color w:val="auto"/>
          <w:sz w:val="21"/>
          <w:szCs w:val="21"/>
          <w:highlight w:val="none"/>
          <w:u w:val="single"/>
        </w:rPr>
        <w:t xml:space="preserve">        </w:t>
      </w:r>
      <w:r>
        <w:rPr>
          <w:rFonts w:hint="eastAsia" w:ascii="宋体" w:hAnsi="宋体"/>
          <w:color w:val="auto"/>
          <w:sz w:val="21"/>
          <w:szCs w:val="21"/>
          <w:highlight w:val="none"/>
          <w:u w:val="single"/>
        </w:rPr>
        <w:t xml:space="preserve">  </w:t>
      </w:r>
      <w:r>
        <w:rPr>
          <w:rFonts w:hint="eastAsia" w:ascii="宋体" w:hAnsi="宋体" w:cs="宋体"/>
          <w:color w:val="auto"/>
          <w:sz w:val="21"/>
          <w:szCs w:val="21"/>
          <w:highlight w:val="none"/>
          <w:u w:val="single"/>
        </w:rPr>
        <w:t xml:space="preserve">        </w:t>
      </w:r>
    </w:p>
    <w:p w14:paraId="05E7345C">
      <w:pPr>
        <w:adjustRightInd w:val="0"/>
        <w:snapToGrid w:val="0"/>
        <w:spacing w:line="336" w:lineRule="auto"/>
        <w:jc w:val="center"/>
        <w:outlineLvl w:val="1"/>
        <w:rPr>
          <w:rFonts w:hint="eastAsia" w:ascii="黑体" w:hAnsi="黑体" w:eastAsia="黑体" w:cs="Times New Roman"/>
          <w:b w:val="0"/>
          <w:bCs w:val="0"/>
          <w:color w:val="auto"/>
          <w:sz w:val="30"/>
          <w:szCs w:val="30"/>
          <w:highlight w:val="none"/>
        </w:rPr>
      </w:pPr>
      <w:r>
        <w:rPr>
          <w:rFonts w:hint="eastAsia" w:ascii="黑体" w:hAnsi="华文中宋" w:eastAsia="黑体"/>
          <w:bCs/>
          <w:color w:val="auto"/>
          <w:sz w:val="30"/>
          <w:szCs w:val="30"/>
          <w:highlight w:val="none"/>
        </w:rPr>
        <w:br w:type="page"/>
      </w:r>
      <w:bookmarkStart w:id="113" w:name="_Toc16195"/>
      <w:r>
        <w:rPr>
          <w:rFonts w:hint="eastAsia" w:ascii="黑体" w:hAnsi="黑体" w:eastAsia="黑体" w:cs="Times New Roman"/>
          <w:b w:val="0"/>
          <w:bCs w:val="0"/>
          <w:color w:val="auto"/>
          <w:sz w:val="30"/>
          <w:szCs w:val="30"/>
          <w:highlight w:val="none"/>
        </w:rPr>
        <w:t>二、通用合同条款</w:t>
      </w:r>
      <w:bookmarkEnd w:id="113"/>
    </w:p>
    <w:p w14:paraId="2018C39F">
      <w:pPr>
        <w:keepNext w:val="0"/>
        <w:keepLines w:val="0"/>
        <w:pageBreakBefore w:val="0"/>
        <w:widowControl/>
        <w:kinsoku/>
        <w:wordWrap/>
        <w:overflowPunct/>
        <w:topLinePunct w:val="0"/>
        <w:autoSpaceDE/>
        <w:autoSpaceDN/>
        <w:bidi w:val="0"/>
        <w:spacing w:line="380" w:lineRule="exact"/>
        <w:ind w:right="23" w:rightChars="11"/>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1.一般约定 </w:t>
      </w:r>
    </w:p>
    <w:p w14:paraId="7E0D4096">
      <w:pPr>
        <w:keepNext w:val="0"/>
        <w:keepLines w:val="0"/>
        <w:pageBreakBefore w:val="0"/>
        <w:kinsoku/>
        <w:wordWrap/>
        <w:overflowPunct/>
        <w:topLinePunct w:val="0"/>
        <w:autoSpaceDE/>
        <w:autoSpaceDN/>
        <w:bidi w:val="0"/>
        <w:snapToGrid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1.1词语定义与解释</w:t>
      </w:r>
    </w:p>
    <w:p w14:paraId="69792288">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合同协议书、通用合同条款、专用合同条款中的下列词语具有本款所赋予的含义： </w:t>
      </w:r>
    </w:p>
    <w:p w14:paraId="5A0D3FDA">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1.1.1合同 </w:t>
      </w:r>
    </w:p>
    <w:p w14:paraId="3CD4322B">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1.1.1.1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 </w:t>
      </w:r>
    </w:p>
    <w:p w14:paraId="700468A2">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1.1.1.2合同协议书：是指构成合同的由发包人和承包人共同签署的称为“合同协议书”的书面文件。 </w:t>
      </w:r>
    </w:p>
    <w:p w14:paraId="3A5265F7">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1.1.1.3中标通知书：是指构成合同的由发包人通知承包人中标的书面文件。 </w:t>
      </w:r>
    </w:p>
    <w:p w14:paraId="590BCA25">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1.1.1.4投标函：是指构成合同的由承包人填写并签署的用于投标的称为“投标函 ”的文件。 </w:t>
      </w:r>
    </w:p>
    <w:p w14:paraId="6076F8B5">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1.1.1.5投标函附录：是指构成合同的附在投标函后的称为“投标函附录”的文件。 </w:t>
      </w:r>
    </w:p>
    <w:p w14:paraId="01D83638">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1.1.1.6技术标准和要求：是指构成合同的施工应当遵守的或指导施工的国家、行业或地方的技术标准和要求，以及合同约定的技术标准和要求。 </w:t>
      </w:r>
    </w:p>
    <w:p w14:paraId="5AF25F3A">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1.1.1.7图纸：是指构成合同的图纸，包括由发包人按照合同约定提供或经发包人批准的设计文件、施工图、鸟瞰图及模型等，以及在合同履行过程中形成的图纸文件。图纸应当按照法律规定审查合格。 </w:t>
      </w:r>
    </w:p>
    <w:p w14:paraId="30DA09B4">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1.1.1.8已标价工程量清单：是指构成合同的由承包人按照规定的格式和要求填写并标明价格的工程量清单，包括说明和表格。 </w:t>
      </w:r>
    </w:p>
    <w:p w14:paraId="78C98573">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1.1.1.9预算书：是指构成合同的由承包人按照发包人规定的格式和要求编制的工程预算文件。 </w:t>
      </w:r>
    </w:p>
    <w:p w14:paraId="46D4B67A">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1.1.1.10其他合同文件：是指经合同当事人约定的与工程施工有关的具有合同约束力的文件或书面协议。合同当事人可以在专用合同条款中进行约定。 </w:t>
      </w:r>
    </w:p>
    <w:p w14:paraId="77290A89">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1.1.2合同当事人及其他相关方 </w:t>
      </w:r>
    </w:p>
    <w:p w14:paraId="25DE27B7">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1.1.2.1合同当事人：是指发包人和（或）承包人。 </w:t>
      </w:r>
    </w:p>
    <w:p w14:paraId="629942EA">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1.1.2.2发包人：是指与承包人签订合同协议书的当事人及取得该当事人资格的合法继承人。 </w:t>
      </w:r>
    </w:p>
    <w:p w14:paraId="3419B699">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1.1.2.3承包人：是指与发包人签订合同协议书的，具有相应工程施工承包资质的当事人及取得该当事人资格的合法继承人。 </w:t>
      </w:r>
    </w:p>
    <w:p w14:paraId="087E5708">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1.1.2.4监理人：是指在专用合同条款中指明的，受发包人委托按照法律规定进行工程监督管理的法人或其他组织。 </w:t>
      </w:r>
    </w:p>
    <w:p w14:paraId="17CCB169">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1.1.2.5设计人：是指在专用合同条款中指明的，受发包人委托负责工程设计并具备相应工程设计资质的法人或其他组织。 </w:t>
      </w:r>
    </w:p>
    <w:p w14:paraId="5FE60329">
      <w:pPr>
        <w:keepNext w:val="0"/>
        <w:keepLines w:val="0"/>
        <w:pageBreakBefore w:val="0"/>
        <w:kinsoku/>
        <w:wordWrap/>
        <w:overflowPunct/>
        <w:topLinePunct w:val="0"/>
        <w:autoSpaceDE/>
        <w:autoSpaceDN/>
        <w:bidi w:val="0"/>
        <w:snapToGrid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1.1.2.6分包人：是指按照法律规定和合同约定，分包部分工程或工作，并与承包人签订分包合同的具有相应资质的法人。</w:t>
      </w:r>
    </w:p>
    <w:p w14:paraId="0026082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1.1.2.7发包人代表：是指由发包人任命并派驻施工现场在发包人授权范围内行使发包人权利的人。 </w:t>
      </w:r>
    </w:p>
    <w:p w14:paraId="34E05C2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1.1.2.8项目经理：是指由承包人任命并派驻施工现场，在承包人授权范围内负责合同履行，且按照法律规定具有相应资格的项目负责人。</w:t>
      </w:r>
    </w:p>
    <w:p w14:paraId="0BDC36A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1.1.2.9总监理工程师：是指由监理人任命并派驻施工现场进行工程监理的总负责人。 </w:t>
      </w:r>
    </w:p>
    <w:p w14:paraId="5ED1119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1.1.3工程和设备 </w:t>
      </w:r>
    </w:p>
    <w:p w14:paraId="2349BD3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1.1.3.1工程：是指与合同协议书中工程承包范围对应的永久工程和（或）临时工程。 </w:t>
      </w:r>
    </w:p>
    <w:p w14:paraId="38BCB9D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1.1.3.2永久工程：是指按合同约定建造并移交给发包人的工程，包括工程设备。 </w:t>
      </w:r>
    </w:p>
    <w:p w14:paraId="16FC512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1.1.3.3临时工程：是指为完成合同约定的永久工程所修建的各类临时性工程，不包括施工设备。 </w:t>
      </w:r>
    </w:p>
    <w:p w14:paraId="69ECB7F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1.1.3.4单位工程：是指在合同协议书中指明的，具备独立施工条件并能形成独立使用功能的永久工程。 </w:t>
      </w:r>
    </w:p>
    <w:p w14:paraId="0090C30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1.1.3.5工程设备：是指构成永久工程的机电设备、金属结构设备、仪器及其他类似的设备和装置。 </w:t>
      </w:r>
    </w:p>
    <w:p w14:paraId="6CC2BCA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1.1.3.6施工设备：是指为完成合同约定的各项工作所需的设备、器具和其他物品，但不包括工程设备、临时工程和材料。 </w:t>
      </w:r>
    </w:p>
    <w:p w14:paraId="1E0A9ED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1.1.3.7施工现场：是指用于工程施工的场所，以及在专用合同条款中指明作为施工场所组成部分的其他场所，包括永久占地和临时占地。</w:t>
      </w:r>
    </w:p>
    <w:p w14:paraId="41DEE23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1.1.3.8临时设施：是指为完成合同约定的各项工作所服务的临时性生产和生活设施。 </w:t>
      </w:r>
    </w:p>
    <w:p w14:paraId="1A39619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1.1.3.9永久占地：是指专用合同条款中指明为实施工程需永久占用的土地。 </w:t>
      </w:r>
    </w:p>
    <w:p w14:paraId="5B442F1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1.1.3.10临时占地：是指专用合同条款中指明为实施工程需要临时占用的土地。 </w:t>
      </w:r>
    </w:p>
    <w:p w14:paraId="5EAFB12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1.1.4日期和期限 </w:t>
      </w:r>
    </w:p>
    <w:p w14:paraId="3F0E07B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1.1.4.1开工日期：包括计划开工日期和实际开工日期。计划开工日期是指合同协议书约定的开工日期；实际开工日期是指监理人按照第 7.3.2项〔开工通知〕约定发出的符合法律规定开工通知中载明的开工日期。 </w:t>
      </w:r>
    </w:p>
    <w:p w14:paraId="6D7BE87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1.1.4.2竣工日期：包括计划竣工日期和实际竣工日期。计划竣工日期是指合同协议书约定的竣工日期；实际竣工日期按照第 13.2.3项〔竣工日期〕的约定确定。 </w:t>
      </w:r>
    </w:p>
    <w:p w14:paraId="78DA530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1.1.4.3工期：是指在合同协议书约定的承包人完成工程所需的期限，包括按照合同约定所作的期限变更。 </w:t>
      </w:r>
    </w:p>
    <w:p w14:paraId="68CAFCBB">
      <w:pPr>
        <w:keepNext w:val="0"/>
        <w:keepLines w:val="0"/>
        <w:pageBreakBefore w:val="0"/>
        <w:kinsoku/>
        <w:wordWrap/>
        <w:overflowPunct/>
        <w:topLinePunct w:val="0"/>
        <w:autoSpaceDE/>
        <w:autoSpaceDN/>
        <w:bidi w:val="0"/>
        <w:spacing w:line="380" w:lineRule="exact"/>
        <w:ind w:right="23" w:rightChars="11" w:firstLine="303" w:firstLineChars="1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1.1.4.4缺陷责任期：是指承包人按照合同约定承担缺陷修复义务，且发包人预留质量保证金的期限，自工程实际竣工日期起计算。 </w:t>
      </w:r>
    </w:p>
    <w:p w14:paraId="0EA3810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1.1.4.5保修期：是指承包人按照合同约定对工程承担保修责任的期限，从工程竣工验收合格之日起计算。 </w:t>
      </w:r>
    </w:p>
    <w:p w14:paraId="3858C7EE">
      <w:pPr>
        <w:keepNext w:val="0"/>
        <w:keepLines w:val="0"/>
        <w:pageBreakBefore w:val="0"/>
        <w:kinsoku/>
        <w:wordWrap/>
        <w:overflowPunct/>
        <w:topLinePunct w:val="0"/>
        <w:autoSpaceDE/>
        <w:autoSpaceDN/>
        <w:bidi w:val="0"/>
        <w:spacing w:line="380" w:lineRule="exact"/>
        <w:ind w:right="23" w:rightChars="11" w:firstLine="303" w:firstLineChars="1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1.1.4.6基准日期：招标发包的工程以投标截止日前 28天的日期为基准日期，直接发包的工程以合同签订日前 28天的日期为基准日期。 </w:t>
      </w:r>
    </w:p>
    <w:p w14:paraId="1BC7D0C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1.1.4.7天：除特别指明外，均指日历天。合同中按天计算时间的，开始当天不计入，从次日开始计算，期限最后一天的截止时间为当天 24:00时。 </w:t>
      </w:r>
    </w:p>
    <w:p w14:paraId="57A991A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1.1.5合同价格和费用 </w:t>
      </w:r>
    </w:p>
    <w:p w14:paraId="3A6E77C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1.1.5.1签约合同价：是指发包人和承包人在合同协议书中确定的总金额，包括安全文明施工费、暂估价及暂列金额等。 </w:t>
      </w:r>
    </w:p>
    <w:p w14:paraId="1B9B755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1.1.5.2合同价格：是指发包人用于支付承包人按照合同约定完成承包范围内全部工作的金额，包括合同履行过程中按合同约定发生的价格变化。 </w:t>
      </w:r>
    </w:p>
    <w:p w14:paraId="1EA690E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1.1.5.3费用：是指为履行合同所发生的或将要发生的所有必需的开支，包括管理费和应分摊的其他费用，但不包括利润。 </w:t>
      </w:r>
    </w:p>
    <w:p w14:paraId="17A6441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1.1.5.4暂估价：是指发包人在工程量清单或预算书中提供的用于支付必然发生但暂时不能确定价格的材料、工程设备的单价、专业工程以及服务工作的金额。 </w:t>
      </w:r>
    </w:p>
    <w:p w14:paraId="5E51747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1.1.5.5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 </w:t>
      </w:r>
    </w:p>
    <w:p w14:paraId="794A74C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1.1.5.6计日工：是指合同履行过程中，承包人完成发包人提出的零星工作或需要采用计日工计价的变更工作时，按合同中约定的单价计价的一种方式。 </w:t>
      </w:r>
    </w:p>
    <w:p w14:paraId="5C818890">
      <w:pPr>
        <w:keepNext w:val="0"/>
        <w:keepLines w:val="0"/>
        <w:pageBreakBefore w:val="0"/>
        <w:kinsoku/>
        <w:wordWrap/>
        <w:overflowPunct/>
        <w:topLinePunct w:val="0"/>
        <w:autoSpaceDE/>
        <w:autoSpaceDN/>
        <w:bidi w:val="0"/>
        <w:spacing w:line="380" w:lineRule="exact"/>
        <w:ind w:right="23" w:rightChars="11" w:firstLine="396" w:firstLineChars="200"/>
        <w:rPr>
          <w:rFonts w:hint="eastAsia" w:ascii="宋体" w:hAnsi="宋体" w:cs="宋体"/>
          <w:color w:val="auto"/>
          <w:spacing w:val="-6"/>
          <w:kern w:val="0"/>
          <w:szCs w:val="21"/>
          <w:highlight w:val="none"/>
        </w:rPr>
      </w:pPr>
      <w:r>
        <w:rPr>
          <w:rFonts w:hint="eastAsia" w:ascii="宋体" w:hAnsi="宋体" w:cs="宋体"/>
          <w:color w:val="auto"/>
          <w:spacing w:val="-6"/>
          <w:kern w:val="0"/>
          <w:szCs w:val="21"/>
          <w:highlight w:val="none"/>
        </w:rPr>
        <w:t>1.1.5.7质量保证金：是指按照第15.3款〔质量保证金〕约定承包人用于保证其在缺陷责任期内履行缺陷修补义务的担保。</w:t>
      </w:r>
    </w:p>
    <w:p w14:paraId="5482E33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1.1.5.8总价项目：是指在现行国家、行业以及地方的计量规则中无工程量计算规则，在已标价工程量清单或预算书中以总价或以费率形式计算的项目。 </w:t>
      </w:r>
    </w:p>
    <w:p w14:paraId="40B6760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1.1.6其他 </w:t>
      </w:r>
    </w:p>
    <w:p w14:paraId="7695DD7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1.1.6.1书面形式：是指合同文件、信函、电报、传真等可以有形地表现所载内容的形式。 </w:t>
      </w:r>
    </w:p>
    <w:p w14:paraId="284B0239">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1.2语言文字</w:t>
      </w:r>
    </w:p>
    <w:p w14:paraId="0C61ED9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合同以中国的汉语简体文字编写、解释和说明。合同当事人在专用合同条款中约定使用两种以上语言时，汉语为优先解释和说明合同的语言。 </w:t>
      </w:r>
    </w:p>
    <w:p w14:paraId="666B2705">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 1.3法律</w:t>
      </w:r>
    </w:p>
    <w:p w14:paraId="14D4B9D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合同所称法律是指中华人民共和国法律、行政法规、部门规章，以及工程所在地的地方性法规、自治条例、单行条例和地方政府规章等。合同当事人可以在专用合同条款中约定合同适用的其他规范性文件。 </w:t>
      </w:r>
    </w:p>
    <w:p w14:paraId="19BB57A1">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 1.4标准和规范 </w:t>
      </w:r>
    </w:p>
    <w:p w14:paraId="6C35E93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1.4.1适用于工程的国家标准、行业标准、工程所在地的地方性标准，以及相应的规范、规程等，合同当事人有特别要求的，应在专用合同条款中约定。 </w:t>
      </w:r>
    </w:p>
    <w:p w14:paraId="7AF1E21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1.4.2发包人要求使用国外标准、规范的，发包人负责提供原文版本和中文译本，并在专用合同条款中约定提供标准规范的名称、份数和时间。 </w:t>
      </w:r>
    </w:p>
    <w:p w14:paraId="21D2589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1.4.3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 </w:t>
      </w:r>
    </w:p>
    <w:p w14:paraId="06A1D4F8">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1.5合同文件的优先顺序</w:t>
      </w:r>
    </w:p>
    <w:p w14:paraId="3907319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组成合同的各项文件应互相解释，互为说明。除专用合同条款另有约定外，解释合同文件的优先顺序如下：</w:t>
      </w:r>
    </w:p>
    <w:p w14:paraId="7FE2487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（1）合同协议书；</w:t>
      </w:r>
    </w:p>
    <w:p w14:paraId="41E4B6B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（2）中标通知书（如果有）；</w:t>
      </w:r>
    </w:p>
    <w:p w14:paraId="609EC29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（3）投标函及其附录（如果有）；</w:t>
      </w:r>
    </w:p>
    <w:p w14:paraId="3E81FC9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（4）专用合同条款及其附件；</w:t>
      </w:r>
    </w:p>
    <w:p w14:paraId="4E07D00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（5）通用合同条款；</w:t>
      </w:r>
    </w:p>
    <w:p w14:paraId="123D9A9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（6）技术标准和要求；</w:t>
      </w:r>
    </w:p>
    <w:p w14:paraId="0E32565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（7）图纸；</w:t>
      </w:r>
    </w:p>
    <w:p w14:paraId="1961C87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（8）已标价工程量清单或预算书；</w:t>
      </w:r>
    </w:p>
    <w:p w14:paraId="7B9D9B4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（9）其他合同文件。</w:t>
      </w:r>
    </w:p>
    <w:p w14:paraId="457805B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上述各项合同文件包括合同当事人就该项合同文件所作出的补充和修改，属于同一类内容的文件，应以最新签署的为准。在合同订立及履行过程中形成的与合同有关的文件均构成合同文件组成部分，并根据其性质确定优先解释顺序。</w:t>
      </w:r>
    </w:p>
    <w:p w14:paraId="260D33D1">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1.6图纸和承包人文件 </w:t>
      </w:r>
    </w:p>
    <w:p w14:paraId="660D750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1.6.1图纸的提供和交底</w:t>
      </w:r>
    </w:p>
    <w:p w14:paraId="4D22402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发包人应按照专用合同条款约定的期限、数量和内容向承包人免费提供图纸，并组织承包人、监理人和设计人进行图纸会审和设计交底。发包人至迟不得晚于第 7.3.2项〔开工通知〕载明的开工日期前 14天向承包人提供图纸。</w:t>
      </w:r>
    </w:p>
    <w:p w14:paraId="505BBEB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因发包人未按合同约定提供图纸导致承包人费用增加和（或）工期延误的，按照第 7.5.1项〔因发包人原因导致工期延误〕约定办理。 </w:t>
      </w:r>
    </w:p>
    <w:p w14:paraId="33CB423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1.6.2图纸的错误</w:t>
      </w:r>
    </w:p>
    <w:p w14:paraId="5DDDBE1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 </w:t>
      </w:r>
    </w:p>
    <w:p w14:paraId="36AD3AA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1.6.3图纸的修改和补充</w:t>
      </w:r>
    </w:p>
    <w:p w14:paraId="3C4947C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图纸需要修改和补充的，应经图纸原设计人及审批部门同意，并由监理人在工程或工程相应部位施工前将修改后的图纸或补充图纸提交给承包人，承包人应按修改或补充后的图纸施工。 </w:t>
      </w:r>
    </w:p>
    <w:p w14:paraId="15FC02C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1.6.4承包人文件</w:t>
      </w:r>
    </w:p>
    <w:p w14:paraId="475416A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承包人应按照专用合同条款的约定提供应当由其编制的与工程施工有关的文件，并按照专用合同条款约定的期限、数量和形式提交监理人，并由监理人报送发包人。</w:t>
      </w:r>
    </w:p>
    <w:p w14:paraId="50031B8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除专用合同条款另有约定外，监理人应在收到承包人文件后 7天内审查完毕，监理人对承包人文件有异议的，承包人应予以修改，并重新报送监理人。监理人的审查并不减轻或免除承包人根据合同约定应当承担的责任。 </w:t>
      </w:r>
    </w:p>
    <w:p w14:paraId="5E5D6F5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1.6.5图纸和承包人文件的保管</w:t>
      </w:r>
    </w:p>
    <w:p w14:paraId="35AC74D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除专用合同条款另有约定外，承包人应在施工现场另外保存一套完整的图纸和承包人文件，供发包人、监理人及有关人员进行工程检查时使用。 </w:t>
      </w:r>
    </w:p>
    <w:p w14:paraId="5DD16D9A">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1.7联络 </w:t>
      </w:r>
    </w:p>
    <w:p w14:paraId="6750AFE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1.7.1与合同有关的通知、批准、证明、证书、指示、指令、要求、请求、同意、意见、确定和决定等，均应采用书面形式，并应在合同约定的期限内送达接收人和送达地点。 </w:t>
      </w:r>
    </w:p>
    <w:p w14:paraId="65F48542">
      <w:pPr>
        <w:keepNext w:val="0"/>
        <w:keepLines w:val="0"/>
        <w:pageBreakBefore w:val="0"/>
        <w:kinsoku/>
        <w:wordWrap/>
        <w:overflowPunct/>
        <w:topLinePunct w:val="0"/>
        <w:autoSpaceDE/>
        <w:autoSpaceDN/>
        <w:bidi w:val="0"/>
        <w:spacing w:line="380" w:lineRule="exact"/>
        <w:ind w:right="23" w:rightChars="11" w:firstLine="303" w:firstLineChars="1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1.7.2发包人和承包人应在专用合同条款中约定各自的送达接收人和送达地点。任何一方合同当事人指定的接收人或送达地点发生变动的，应提前 3天以书面形式通知对方。 </w:t>
      </w:r>
    </w:p>
    <w:p w14:paraId="0FC9CA5E">
      <w:pPr>
        <w:keepNext w:val="0"/>
        <w:keepLines w:val="0"/>
        <w:pageBreakBefore w:val="0"/>
        <w:kinsoku/>
        <w:wordWrap/>
        <w:overflowPunct/>
        <w:topLinePunct w:val="0"/>
        <w:autoSpaceDE/>
        <w:autoSpaceDN/>
        <w:bidi w:val="0"/>
        <w:spacing w:line="380" w:lineRule="exact"/>
        <w:ind w:right="23" w:rightChars="11" w:firstLine="303" w:firstLineChars="1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1.7.3发包人和承包人应当及时签收另一方送达至送达地点和指定接收人的来往信函。拒不签收的，由此增加的费用和（或）延误的工期由拒绝接收一方承担。 </w:t>
      </w:r>
    </w:p>
    <w:p w14:paraId="3D38388C">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1.8严禁贿赂</w:t>
      </w:r>
    </w:p>
    <w:p w14:paraId="135E6CE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合同当事人不得以贿赂或变相贿赂的方式，谋取非法利益或损害对方权益。因一方合同当事人的贿赂造成对方损失的，应赔偿损失，并承担相应的法律责任。</w:t>
      </w:r>
    </w:p>
    <w:p w14:paraId="7D7FE5B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承包人不得与监理人或发包人聘请的第三方串通损害发包人利益。未经发包人书面同意，承包人不得为监理人提供合同约定以外的通讯设备、交通工具及其他任何形式的利益，不得向监理人支付报酬。 </w:t>
      </w:r>
    </w:p>
    <w:p w14:paraId="2DA1B04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1.9化石、文物</w:t>
      </w:r>
    </w:p>
    <w:p w14:paraId="045C011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7E7A2B4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发包人、监理人和承包人应按有关政府行政管理部门要求采取妥善的保护措施，由此增加的费用和（或）延误的工期由发包人承担。</w:t>
      </w:r>
    </w:p>
    <w:p w14:paraId="00169E0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承包人发现文物后不及时报告或隐瞒不报，致使文物丢失或损坏的，应赔偿损失，并承担相应的法律责任。 </w:t>
      </w:r>
    </w:p>
    <w:p w14:paraId="7715A537">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1.10交通运输 </w:t>
      </w:r>
    </w:p>
    <w:p w14:paraId="1B2BA27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1.10.1出入现场的权利</w:t>
      </w:r>
    </w:p>
    <w:p w14:paraId="08D23FF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01FE8CA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承包人应在订立合同前查勘施工现场，并根据工程规模及技术参数合理预见工程施工所需的进出施工现场的方式、手段、路径等。因承包人未合理预见所增加的费用和（或）延误的工期由承包人承担。</w:t>
      </w:r>
    </w:p>
    <w:p w14:paraId="40E8649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1.10.2场外交通</w:t>
      </w:r>
    </w:p>
    <w:p w14:paraId="6B63C87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 </w:t>
      </w:r>
    </w:p>
    <w:p w14:paraId="38D6C31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1.10.3场内交通</w:t>
      </w:r>
    </w:p>
    <w:p w14:paraId="3E27449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118162F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发包人按照合同约定提供的场内道路和交通设施外，承包人负责修建、维修、养护和管理施工所需的其他场内临时道路和交通设施。发包人和监理人可以为实现合同目的使用承包人修建的场内临时道路和交通设施。场外交通和场内交通的边界由合同当事人在专用合同条款中约定。 </w:t>
      </w:r>
    </w:p>
    <w:p w14:paraId="4533895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1.10.4超大件和超重件的运输</w:t>
      </w:r>
    </w:p>
    <w:p w14:paraId="59C312C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 </w:t>
      </w:r>
    </w:p>
    <w:p w14:paraId="3494246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1.10.5道路和桥梁的损坏责任</w:t>
      </w:r>
    </w:p>
    <w:p w14:paraId="4046997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因承包人运输造成施工场地内外公共道路和桥梁损坏的，由承包人承担修复损坏的全部费用和可能引起的赔偿。 </w:t>
      </w:r>
    </w:p>
    <w:p w14:paraId="3290D33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1.10.6水路和航空运输</w:t>
      </w:r>
    </w:p>
    <w:p w14:paraId="6E52557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本款前述各项的内容适用于水路运输和航空运输，其中“道路”一词的涵义包括河道、航线、船闸、机场、码头、堤防以及水路或航空运输中其他相似结构物；“车辆”一词的涵义包括船舶和飞机等。 </w:t>
      </w:r>
    </w:p>
    <w:p w14:paraId="15521145">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1.11知识产权 </w:t>
      </w:r>
    </w:p>
    <w:p w14:paraId="4F6BB85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1.11.1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 </w:t>
      </w:r>
    </w:p>
    <w:p w14:paraId="604E475B">
      <w:pPr>
        <w:keepNext w:val="0"/>
        <w:keepLines w:val="0"/>
        <w:pageBreakBefore w:val="0"/>
        <w:kinsoku/>
        <w:wordWrap/>
        <w:overflowPunct/>
        <w:topLinePunct w:val="0"/>
        <w:autoSpaceDE/>
        <w:autoSpaceDN/>
        <w:bidi w:val="0"/>
        <w:spacing w:line="380" w:lineRule="exact"/>
        <w:ind w:right="23" w:rightChars="11" w:firstLine="396" w:firstLineChars="200"/>
        <w:rPr>
          <w:rFonts w:hint="eastAsia" w:ascii="宋体" w:hAnsi="宋体" w:cs="宋体"/>
          <w:color w:val="auto"/>
          <w:spacing w:val="-4"/>
          <w:kern w:val="0"/>
          <w:szCs w:val="21"/>
          <w:highlight w:val="none"/>
        </w:rPr>
      </w:pPr>
      <w:r>
        <w:rPr>
          <w:rFonts w:hint="eastAsia" w:ascii="宋体" w:hAnsi="宋体" w:cs="宋体"/>
          <w:color w:val="auto"/>
          <w:spacing w:val="-6"/>
          <w:kern w:val="0"/>
          <w:szCs w:val="21"/>
          <w:highlight w:val="none"/>
        </w:rPr>
        <w:t>1.11.2除专用合同条款另有约定外，承包人为实施工程所编制的文件，</w:t>
      </w:r>
      <w:r>
        <w:rPr>
          <w:rFonts w:hint="eastAsia" w:ascii="宋体" w:hAnsi="宋体" w:cs="宋体"/>
          <w:color w:val="auto"/>
          <w:spacing w:val="-4"/>
          <w:kern w:val="0"/>
          <w:szCs w:val="21"/>
          <w:highlight w:val="none"/>
        </w:rPr>
        <w:t xml:space="preserve">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 </w:t>
      </w:r>
    </w:p>
    <w:p w14:paraId="1DA2C28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1.11.3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54E9BA6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1.11.4除专用合同条款另有约定外，承包人在合同签订前和签订时已确定采用的专利、专有技术、技术秘密的使用费已包含在签约合同价中。 </w:t>
      </w:r>
    </w:p>
    <w:p w14:paraId="47234F9C">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1.12保密</w:t>
      </w:r>
    </w:p>
    <w:p w14:paraId="429C363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除法律规定或合同另有约定外，未经发包人同意，承包人不得将发包人提供的图纸、文件以及声明需要保密的资料信息等商业秘密泄露给第三方。</w:t>
      </w:r>
    </w:p>
    <w:p w14:paraId="7DB617E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除法律规定或合同另有约定外，未经承包人同意，发包人不得将承包人提供的技术秘密及声明需要保密的资料信息等商业秘密泄露给第三方。 </w:t>
      </w:r>
    </w:p>
    <w:p w14:paraId="2F93C0D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1.13工程量清单错误的修正</w:t>
      </w:r>
    </w:p>
    <w:p w14:paraId="1550270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除专用合同条款另有约定外，发包人提供的工程量清单，应被认为是准确的和完整的。出现下列情形之一时，发包人应予以修正，并相应调整合同价格：</w:t>
      </w:r>
    </w:p>
    <w:p w14:paraId="2C674EE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（1）工程量清单存在缺项、漏项的；</w:t>
      </w:r>
    </w:p>
    <w:p w14:paraId="710F7BA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（2）工程量清单偏差超出专用合同条款约定的工程量偏差范围的；</w:t>
      </w:r>
    </w:p>
    <w:p w14:paraId="46E71B6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（3）未按照国家现行计量规范强制性规定计量的。 </w:t>
      </w:r>
    </w:p>
    <w:p w14:paraId="16DB88E8">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2.发包人 </w:t>
      </w:r>
    </w:p>
    <w:p w14:paraId="51BDF04A">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2.1许可或批准</w:t>
      </w:r>
    </w:p>
    <w:p w14:paraId="5475C87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0F51575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因发包人原因未能及时办理完毕前述许可、批准或备案，由发包人承担由此增加的费用和（或）延误的工期，并支付承包人合理的利润。 </w:t>
      </w:r>
    </w:p>
    <w:p w14:paraId="36C639B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2.2发包人代表</w:t>
      </w:r>
    </w:p>
    <w:p w14:paraId="51033EB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 7天书面通知承包人。</w:t>
      </w:r>
    </w:p>
    <w:p w14:paraId="10A0A67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发包人代表不能按照合同约定履行其职责及义务，并导致合同无法继续正常履行的，承包人可以要求发包人撤换发包人代表。</w:t>
      </w:r>
    </w:p>
    <w:p w14:paraId="5A87907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不属于法定必须监理的工程，监理人的职权可以由发包人代表或发包人指定的其他人员行使。 </w:t>
      </w:r>
    </w:p>
    <w:p w14:paraId="4BE2874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2.3发包人人员</w:t>
      </w:r>
    </w:p>
    <w:p w14:paraId="4DD0D59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发包人应要求在施工现场的发包人人员遵守法律及有关安全、质量、环境保护、文明施工等规定，并保障承包人免于承受因发包人人员未遵守上述要求给承包人造成的损失和责任。</w:t>
      </w:r>
    </w:p>
    <w:p w14:paraId="41B1A91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发包人人员包括发包人代表及其他由发包人派驻施工现场的人员。</w:t>
      </w:r>
    </w:p>
    <w:p w14:paraId="79C721AF">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2.4施工现场、施工条件和基础资料的提供 </w:t>
      </w:r>
    </w:p>
    <w:p w14:paraId="7FAA6DC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2.4.1提供施工现场</w:t>
      </w:r>
    </w:p>
    <w:p w14:paraId="02EB254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除专用合同条款另有约定外，发包人应最迟于开工日期 7天前向承包人移交施工现场。 </w:t>
      </w:r>
    </w:p>
    <w:p w14:paraId="259F6A6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2.4.2提供施工条件</w:t>
      </w:r>
    </w:p>
    <w:p w14:paraId="7EF05C1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除专用合同条款另有约定外，发包人应负责提供施工所需要的条件，包括：</w:t>
      </w:r>
    </w:p>
    <w:p w14:paraId="40996EB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（1）将施工用水、电力、通讯线路等施工所必需的条件接至施工现场内；</w:t>
      </w:r>
    </w:p>
    <w:p w14:paraId="38A28780">
      <w:pPr>
        <w:keepNext w:val="0"/>
        <w:keepLines w:val="0"/>
        <w:pageBreakBefore w:val="0"/>
        <w:kinsoku/>
        <w:wordWrap/>
        <w:overflowPunct/>
        <w:topLinePunct w:val="0"/>
        <w:autoSpaceDE/>
        <w:autoSpaceDN/>
        <w:bidi w:val="0"/>
        <w:spacing w:line="380" w:lineRule="exact"/>
        <w:ind w:right="23" w:rightChars="11" w:firstLine="372" w:firstLineChars="200"/>
        <w:rPr>
          <w:rFonts w:hint="eastAsia" w:ascii="宋体" w:hAnsi="宋体" w:cs="宋体"/>
          <w:color w:val="auto"/>
          <w:spacing w:val="-12"/>
          <w:kern w:val="0"/>
          <w:szCs w:val="21"/>
          <w:highlight w:val="none"/>
        </w:rPr>
      </w:pPr>
      <w:r>
        <w:rPr>
          <w:rFonts w:hint="eastAsia" w:ascii="宋体" w:hAnsi="宋体" w:cs="宋体"/>
          <w:color w:val="auto"/>
          <w:spacing w:val="-12"/>
          <w:kern w:val="0"/>
          <w:szCs w:val="21"/>
          <w:highlight w:val="none"/>
        </w:rPr>
        <w:t>（2）保证向承包人提供正常施工所需要的进入施工现场的交通条件；</w:t>
      </w:r>
    </w:p>
    <w:p w14:paraId="3593A4C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（3）协调处理施工现场周围地下管线和邻近建筑物、构筑物、古树名木的保护工作，并承担相关费用；</w:t>
      </w:r>
    </w:p>
    <w:p w14:paraId="7853C81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（4）按照专用合同条款约定应提供的其他设施和条件。 </w:t>
      </w:r>
    </w:p>
    <w:p w14:paraId="166B39F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2.4.3提供基础资料</w:t>
      </w:r>
    </w:p>
    <w:p w14:paraId="6CA83CD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2DFCB67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按照法律规定确需在开工后方能提供的基础资料，发包人应尽其努力及时地在相应工程施工前的合理期限内提供，合理期限应以不影响承包人的正常施工为限。</w:t>
      </w:r>
    </w:p>
    <w:p w14:paraId="7CCBFE9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2.4.4逾期提供的责任</w:t>
      </w:r>
    </w:p>
    <w:p w14:paraId="355C26C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因发包人原因未能按合同约定及时向承包人提供施工现场、施工条件、基础资料的，由发包人承担由此增加的费用和（或）延误的工期。 </w:t>
      </w:r>
    </w:p>
    <w:p w14:paraId="5D727DD5">
      <w:pPr>
        <w:keepNext w:val="0"/>
        <w:keepLines w:val="0"/>
        <w:pageBreakBefore w:val="0"/>
        <w:kinsoku/>
        <w:wordWrap/>
        <w:overflowPunct/>
        <w:topLinePunct w:val="0"/>
        <w:autoSpaceDE/>
        <w:autoSpaceDN/>
        <w:bidi w:val="0"/>
        <w:spacing w:line="380" w:lineRule="exact"/>
        <w:ind w:right="23" w:rightChars="11" w:firstLine="304" w:firstLineChars="15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 2.5资金来源证明及支付担保</w:t>
      </w:r>
    </w:p>
    <w:p w14:paraId="7B2DC2A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除专用合同条款另有约定外，发包人应在收到承包人要求提供资金来源证明的书面通知后 28天内，向承包人提供能够按照合同约定支付合同价款的相应资金来源证明。</w:t>
      </w:r>
    </w:p>
    <w:p w14:paraId="6559BFE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除专用合同条款另有约定外，发包人要求承包人提供履约担保的，发包人应当向承包人提供支付担保。支付担保可以采用银行保函或担保公司担保等形式，具体由合同当事人在专用合同条款中约定。 </w:t>
      </w:r>
    </w:p>
    <w:p w14:paraId="35B5FDE5">
      <w:pPr>
        <w:keepNext w:val="0"/>
        <w:keepLines w:val="0"/>
        <w:pageBreakBefore w:val="0"/>
        <w:kinsoku/>
        <w:wordWrap/>
        <w:overflowPunct/>
        <w:topLinePunct w:val="0"/>
        <w:autoSpaceDE/>
        <w:autoSpaceDN/>
        <w:bidi w:val="0"/>
        <w:spacing w:line="380" w:lineRule="exact"/>
        <w:ind w:right="23" w:rightChars="11" w:firstLine="505" w:firstLineChars="249"/>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2.6支付合同价款</w:t>
      </w:r>
    </w:p>
    <w:p w14:paraId="1B0BB4C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发包人应按合同约定向承包人及时支付合同价款。 </w:t>
      </w:r>
    </w:p>
    <w:p w14:paraId="3A56CE9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2.7组织竣工验收</w:t>
      </w:r>
    </w:p>
    <w:p w14:paraId="211E70E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发包人应按合同约定及时组织竣工验收。 </w:t>
      </w:r>
    </w:p>
    <w:p w14:paraId="1641FD2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2.8现场统一管理协议</w:t>
      </w:r>
    </w:p>
    <w:p w14:paraId="46D82C6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发包人应与承包人、由发包人直接发包的专业工程的承包人签订施工现场统一管理协议，明确各方的权利义务。施工现场统一管理协议作为专用合同条款的附件。 </w:t>
      </w:r>
    </w:p>
    <w:p w14:paraId="0BFA8688">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3.承包人</w:t>
      </w:r>
    </w:p>
    <w:p w14:paraId="3886AFDD">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 3.1承包人的一般义务</w:t>
      </w:r>
    </w:p>
    <w:p w14:paraId="7B3EC84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承包人在履行合同过程中应遵守法律和工程建设标准规范，并履行以下义务：</w:t>
      </w:r>
    </w:p>
    <w:p w14:paraId="341A1EC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（1）办理法律规定应由承包人办理的许可和批准，并将办理结果书面报送发包人留存；</w:t>
      </w:r>
    </w:p>
    <w:p w14:paraId="5ED8C34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（2）按法律规定和合同约定完成工程，并在保修期内承担保修义务；</w:t>
      </w:r>
    </w:p>
    <w:p w14:paraId="6DBE5E2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（3）按法律规定和合同约定采取施工安全和环境保护措施，办理工伤保险，确保工程及人员、材料、设备和设施的安全；</w:t>
      </w:r>
    </w:p>
    <w:p w14:paraId="52187FC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（4）按合同约定的工作内容和施工进度要求，编制施工组织设计和施工措施计划，并对所有施工作业和施工方法的完备性和安全可靠性负责；</w:t>
      </w:r>
    </w:p>
    <w:p w14:paraId="46B501C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（5）在进行合同约定的各项工作时，不得侵害发包人与他人使用公用道路、水源、市政管网等公共设施的权利，避免对邻近的公共设施产生干扰。承包人占用或使用他人的施工场地，影响他人作业或生</w:t>
      </w:r>
    </w:p>
    <w:p w14:paraId="3D948AFC">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活的，应承担相应责任；</w:t>
      </w:r>
    </w:p>
    <w:p w14:paraId="31B2D66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（6）按照第 6.3款〔环境保护〕约定负责施工场地及其周边环境与生态的保护工作；</w:t>
      </w:r>
    </w:p>
    <w:p w14:paraId="66055B1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（7）按第 6.1款〔安全文明施工〕约定采取施工安全措施，确保工程及其人员、材料、设备和设施的安全，防止因工程施工造成的人身伤害和财产损失；</w:t>
      </w:r>
    </w:p>
    <w:p w14:paraId="4D9458B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（8）将发包人按合同约定支付的各项价款专用于合同工程，且应及时支付其雇用人员工资，并及时向分包人支付合同价款；</w:t>
      </w:r>
    </w:p>
    <w:p w14:paraId="6D7EB88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（9）按照法律规定和合同约定编制竣工资料，完成竣工资料立卷及归档，并按专用合同条款约定的竣工资料的套数、内容、时间等要求移交发包人；</w:t>
      </w:r>
    </w:p>
    <w:p w14:paraId="0C7E9E3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（10）应履行的其他义务。 </w:t>
      </w:r>
    </w:p>
    <w:p w14:paraId="565E9A60">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3.2项目经理 </w:t>
      </w:r>
    </w:p>
    <w:p w14:paraId="1572EDF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3.2.1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0F20D03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3822ECD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承包人违反上述约定的，应按照专用合同条款的约定，承担违约责任。 </w:t>
      </w:r>
    </w:p>
    <w:p w14:paraId="09FA3044">
      <w:pPr>
        <w:keepNext w:val="0"/>
        <w:keepLines w:val="0"/>
        <w:pageBreakBefore w:val="0"/>
        <w:kinsoku/>
        <w:wordWrap/>
        <w:overflowPunct/>
        <w:topLinePunct w:val="0"/>
        <w:autoSpaceDE/>
        <w:autoSpaceDN/>
        <w:bidi w:val="0"/>
        <w:spacing w:line="380" w:lineRule="exact"/>
        <w:ind w:right="23" w:rightChars="11" w:firstLine="388" w:firstLineChars="200"/>
        <w:rPr>
          <w:rFonts w:hint="eastAsia" w:ascii="宋体" w:hAnsi="宋体" w:cs="宋体"/>
          <w:color w:val="auto"/>
          <w:spacing w:val="-8"/>
          <w:kern w:val="0"/>
          <w:szCs w:val="21"/>
          <w:highlight w:val="none"/>
        </w:rPr>
      </w:pPr>
      <w:r>
        <w:rPr>
          <w:rFonts w:hint="eastAsia" w:ascii="宋体" w:hAnsi="宋体" w:cs="宋体"/>
          <w:color w:val="auto"/>
          <w:spacing w:val="-8"/>
          <w:kern w:val="0"/>
          <w:szCs w:val="21"/>
          <w:highlight w:val="none"/>
        </w:rPr>
        <w:t xml:space="preserve"> 3.2.2项目经理按合同约定组织工程实施。在紧急情况下为确保施</w:t>
      </w:r>
      <w:r>
        <w:rPr>
          <w:rFonts w:hint="eastAsia" w:ascii="宋体" w:hAnsi="宋体" w:cs="宋体"/>
          <w:color w:val="auto"/>
          <w:spacing w:val="-4"/>
          <w:kern w:val="0"/>
          <w:szCs w:val="21"/>
          <w:highlight w:val="none"/>
        </w:rPr>
        <w:t xml:space="preserve">工安全和人员安全，在无法与发包人代表和总监理工程师及时取得联系时，项目经理有权采取必要的措施保证与工程有关的人身、财产和工程的安全，但应在 48小时内向发包人代表和总监理工程师提交书面报告。 </w:t>
      </w:r>
    </w:p>
    <w:p w14:paraId="33A75D4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3.2.3承包人需要更换项目经理的，应提前14天书面通知发包人和监理人，并征得发包人书面同意。通知中应当载明继任项目经理的注册执业资格、管理经验等资料，继任项目经理继续履行第 3.2.1项约定的职责。未经发包人书面同意，承包人不得擅自更换项目经理。承包人擅自更换项目经理的，应按照专用合同条款的约定承担违约责任。 </w:t>
      </w:r>
    </w:p>
    <w:p w14:paraId="4AA2477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3.2.4发包人有权书面通知承包人更换其认为不称职的项目经理，通知中应当载明要求更换的理由。承包人应在接到更换通知后 14天内向发包人提出书面的改进报告。发包人收到改进报告后仍要求更换的，承包人应在接到第二次更换通知的28天内进行更换，并将新任命的项目经理的注册执业资格、管理经验等资料书面通知发包人。继任项目 经理继续履行第 3.2.1项约定的职责。承包人无正当理由拒绝更换项目经理的，应按照专用合同条款的约定承担违约责任。   </w:t>
      </w:r>
    </w:p>
    <w:p w14:paraId="519ED62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3.2.5项目经理因特殊情况授权其下属人员履行其某项工作职责的，该下属人员应具备履行相应职责的能力，并应提前 7天将上述人员的姓名和授权范围书面通知监理人，并征得发包人书面同意。 </w:t>
      </w:r>
    </w:p>
    <w:p w14:paraId="26BD9C7A">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3.3承包人人员 </w:t>
      </w:r>
    </w:p>
    <w:p w14:paraId="06FB981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3.3.1除专用合同条款另有约定外，承包人应在接到开工通知后 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 </w:t>
      </w:r>
    </w:p>
    <w:p w14:paraId="795EC95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3.3.2承包人派驻到施工现场的主要施工管理人员应相对稳定。施工过程中如有变动，承包人应及时向监理人提交施工现场人员变动情况的报告。承包人更换主要施工管理人员时，应提前 7天书面通知监理人，并征得发包人书面同意。通知中应当载明继任人员的注册执业资格、管理经验等资料。</w:t>
      </w:r>
    </w:p>
    <w:p w14:paraId="166C003F">
      <w:pPr>
        <w:keepNext w:val="0"/>
        <w:keepLines w:val="0"/>
        <w:pageBreakBefore w:val="0"/>
        <w:kinsoku/>
        <w:wordWrap/>
        <w:overflowPunct/>
        <w:topLinePunct w:val="0"/>
        <w:autoSpaceDE/>
        <w:autoSpaceDN/>
        <w:bidi w:val="0"/>
        <w:spacing w:line="380" w:lineRule="exact"/>
        <w:ind w:right="23" w:rightChars="11" w:firstLine="475" w:firstLineChars="250"/>
        <w:rPr>
          <w:rFonts w:hint="eastAsia" w:ascii="宋体" w:hAnsi="宋体" w:cs="宋体"/>
          <w:color w:val="auto"/>
          <w:spacing w:val="-10"/>
          <w:kern w:val="0"/>
          <w:szCs w:val="21"/>
          <w:highlight w:val="none"/>
        </w:rPr>
      </w:pPr>
      <w:r>
        <w:rPr>
          <w:rFonts w:hint="eastAsia" w:ascii="宋体" w:hAnsi="宋体" w:cs="宋体"/>
          <w:color w:val="auto"/>
          <w:spacing w:val="-10"/>
          <w:kern w:val="0"/>
          <w:szCs w:val="21"/>
          <w:highlight w:val="none"/>
        </w:rPr>
        <w:t xml:space="preserve">特殊工种作业人员均应持有相应的资格证明，监理人可以随时检查。 </w:t>
      </w:r>
    </w:p>
    <w:p w14:paraId="48A5C86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3.3.3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 </w:t>
      </w:r>
    </w:p>
    <w:p w14:paraId="7865796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3.3.4除专用合同条款另有约定外，承包人的主要施工管理人员离开施工现场每月累计不超过 5天的，应报监理人同意；离开施工现场每月累计超过 5天的，应通知监理人，并征得发包人书面同意。主要施工管理人员离开施工现场前应指定一名有经验的人员临时代行其职责，该人员应具备履行相应职责的资格和能力，且应征得监理人或发包人的同意。 </w:t>
      </w:r>
    </w:p>
    <w:p w14:paraId="095FF06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3.3.5承包人擅自更换主要施工管理人员，或前述人员未经监理人或发包人同意擅自离开施工现场的，应按照专用合同条款约定承担违约责任。 </w:t>
      </w:r>
    </w:p>
    <w:p w14:paraId="522A5B1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3.4承包人现场查勘</w:t>
      </w:r>
    </w:p>
    <w:p w14:paraId="07CD0A93">
      <w:pPr>
        <w:keepNext w:val="0"/>
        <w:keepLines w:val="0"/>
        <w:pageBreakBefore w:val="0"/>
        <w:kinsoku/>
        <w:wordWrap/>
        <w:overflowPunct/>
        <w:topLinePunct w:val="0"/>
        <w:autoSpaceDE/>
        <w:autoSpaceDN/>
        <w:bidi w:val="0"/>
        <w:spacing w:line="380" w:lineRule="exact"/>
        <w:ind w:right="23" w:rightChars="11" w:firstLine="303" w:firstLineChars="1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承包人应对基于发包人按照第 2.4.3项〔提供基础资料〕提交的基础资料所做出的解释和推断负责，但因基础资料存在错误、遗漏导致承包人解释或推断失实的，由发包人承担责任。</w:t>
      </w:r>
    </w:p>
    <w:p w14:paraId="53234EC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 </w:t>
      </w:r>
    </w:p>
    <w:p w14:paraId="1BA34179">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3.5分包 </w:t>
      </w:r>
    </w:p>
    <w:p w14:paraId="4D77F1F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3.5.1分包的一般约定</w:t>
      </w:r>
    </w:p>
    <w:p w14:paraId="02D7B80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2A388D0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承包人不得以劳务分包的名义转包或违法分包工程。 </w:t>
      </w:r>
    </w:p>
    <w:p w14:paraId="28AEA93C">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3.5.2分包的确定</w:t>
      </w:r>
    </w:p>
    <w:p w14:paraId="685C741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承包人应按专用合同条款的约定进行分包，确定分包人。已标价工程量清单或预算书中给定暂估价的专业工程，按照第 10.7款〔暂估价〕确定分包人。按照合同约定进行分包的，承包人应确保分包人具有相应的资质和能力。工程分包不减轻或免除承包人的责任和义务，承包人和分包人就分包工程向发包人承担连带责任。除合同另有约定</w:t>
      </w:r>
    </w:p>
    <w:p w14:paraId="6CFD4FC4">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外，承包人应在分包合同签订后 7天内向发包人和监理人提交分包合同副本。 </w:t>
      </w:r>
    </w:p>
    <w:p w14:paraId="0C6DC81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3.5.3分包管理</w:t>
      </w:r>
    </w:p>
    <w:p w14:paraId="37E0007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承包人应向监理人提交分包人的主要施工管理人员表，并对分包人的施工人员进行实名制管理，包括但不限于进出场管理、登记造册以及各种证照的办理。 </w:t>
      </w:r>
    </w:p>
    <w:p w14:paraId="5AA4430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3.5.4分包合同价款</w:t>
      </w:r>
    </w:p>
    <w:p w14:paraId="00CE5F4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（1）除本项第（2）目约定的情况或专用合同条款另有约定外，分包合同价款由承包人与分包人结算，未经承包人同意，发包人不得向分包人支付分包工程价款；</w:t>
      </w:r>
    </w:p>
    <w:p w14:paraId="1CED6B4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（2）生效法律文书要求发包人向分包人支付分包合同价款的，发包人有权从应付承包人工程款中扣除该部分款项。 </w:t>
      </w:r>
    </w:p>
    <w:p w14:paraId="1571C7A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3.5.5分包合同权益的转让</w:t>
      </w:r>
    </w:p>
    <w:p w14:paraId="7F29760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 </w:t>
      </w:r>
    </w:p>
    <w:p w14:paraId="1DCA440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3.6工程照管与成品、半成品保护</w:t>
      </w:r>
    </w:p>
    <w:p w14:paraId="14EEF98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（1）除专用合同条款另有约定外，自发包人向承包人移交施工现场之日起，承包人应负责照管工程及工程相关的材料、工程设备，直到颁发工程接收证书之日止。</w:t>
      </w:r>
    </w:p>
    <w:p w14:paraId="7EACCF5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（2）在承包人负责照管期间，因承包人原因造成工程、材料、工程设备损坏的，由承包人负责修复或更换，并承担由此增加的费用和（或）延误的工期。</w:t>
      </w:r>
    </w:p>
    <w:p w14:paraId="60CF479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（3）对合同内分期完成的成品和半成品，在工程接收证书颁发前，由承包人承担保护责任。因承包人原因造成成品或半成品损坏的，由承包人负责修复或更换，并承担由此增加的费用和（或）延误的工期。 </w:t>
      </w:r>
    </w:p>
    <w:p w14:paraId="20A7B031">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3.7履约担保</w:t>
      </w:r>
    </w:p>
    <w:p w14:paraId="01A73A9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669B04B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因承包人原因导致工期延长的，继续提供履约担保所增加的费用由承包人承担；非因承包人原因导致工期延长的，继续提供履约担保所增加的费用由发包人承担。 </w:t>
      </w:r>
    </w:p>
    <w:p w14:paraId="438FD1D5">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3.8联合体 </w:t>
      </w:r>
    </w:p>
    <w:p w14:paraId="3BA67B6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3.8.1联合体各方应共同与发包人签订合同协议书。联合体各方应为履行合同向发包人承担连带责任。 </w:t>
      </w:r>
    </w:p>
    <w:p w14:paraId="12C3965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3.8.2联合体协议经发包人确认后作为合同附件。在履行合同过程中，未经发包人同意，不得修改联合体协议。 </w:t>
      </w:r>
    </w:p>
    <w:p w14:paraId="338C8CB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3.8.3联合体牵头人负责与发包人和监理人联系，并接受指示，负责组织联合体各成员全面履行合同。</w:t>
      </w:r>
    </w:p>
    <w:p w14:paraId="43ACB78F">
      <w:pPr>
        <w:keepNext w:val="0"/>
        <w:keepLines w:val="0"/>
        <w:pageBreakBefore w:val="0"/>
        <w:kinsoku/>
        <w:wordWrap/>
        <w:overflowPunct/>
        <w:topLinePunct w:val="0"/>
        <w:autoSpaceDE/>
        <w:autoSpaceDN/>
        <w:bidi w:val="0"/>
        <w:spacing w:line="380" w:lineRule="exact"/>
        <w:ind w:right="23" w:rightChars="11" w:firstLine="105" w:firstLineChars="50"/>
        <w:rPr>
          <w:rFonts w:hint="eastAsia" w:ascii="宋体" w:hAnsi="宋体" w:cs="宋体"/>
          <w:color w:val="auto"/>
          <w:spacing w:val="-4"/>
          <w:kern w:val="0"/>
          <w:szCs w:val="21"/>
          <w:highlight w:val="none"/>
        </w:rPr>
      </w:pPr>
      <w:r>
        <w:rPr>
          <w:rFonts w:hint="eastAsia" w:ascii="宋体" w:hAnsi="宋体" w:cs="宋体"/>
          <w:b/>
          <w:color w:val="auto"/>
          <w:kern w:val="0"/>
          <w:szCs w:val="21"/>
          <w:highlight w:val="none"/>
        </w:rPr>
        <w:t xml:space="preserve">4.监理人 </w:t>
      </w:r>
    </w:p>
    <w:p w14:paraId="485B5952">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4.1监理人的一般规定</w:t>
      </w:r>
    </w:p>
    <w:p w14:paraId="043EE36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51EF951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除专用合同条款另有约定外，监理人在施工现场的办公场所、生活场所由承包人提供，所发生的费用由发包人承担。 </w:t>
      </w:r>
    </w:p>
    <w:p w14:paraId="475131A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4.2监理人员</w:t>
      </w:r>
    </w:p>
    <w:p w14:paraId="36291B9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 7天书面通知承包人；更换其他监理人员，监理人应提前 48小时书面通知承包人。 </w:t>
      </w:r>
    </w:p>
    <w:p w14:paraId="1D432DC4">
      <w:pPr>
        <w:keepNext w:val="0"/>
        <w:keepLines w:val="0"/>
        <w:pageBreakBefore w:val="0"/>
        <w:kinsoku/>
        <w:wordWrap/>
        <w:overflowPunct/>
        <w:topLinePunct w:val="0"/>
        <w:autoSpaceDE/>
        <w:autoSpaceDN/>
        <w:bidi w:val="0"/>
        <w:spacing w:line="380" w:lineRule="exact"/>
        <w:ind w:right="23" w:rightChars="11" w:firstLine="507" w:firstLineChars="25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4.3监理人的指示</w:t>
      </w:r>
    </w:p>
    <w:p w14:paraId="3C9905C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 24小时内补发书面监理指示，补发的书面监理指示应与口头指示一致。</w:t>
      </w:r>
    </w:p>
    <w:p w14:paraId="7BEA074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 4.4款〔商定或确定〕约定应由总监理工程师作出确定的权力授权或委托给其他监理人员。</w:t>
      </w:r>
    </w:p>
    <w:p w14:paraId="30200AB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承包人对监理人发出的指示有疑问的，应向监理人提出书面异议，监理人应在 48小时内对该指示予以确认、更改或撤销，监理人逾期未回复的，承包人有权拒绝执行上述指示。</w:t>
      </w:r>
    </w:p>
    <w:p w14:paraId="0AE8A71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监理人对承包人的任何工作、工程或其采用的材料和工程设备未在约定的或合理期限内提出意见的，视为批准，但不免除或减轻承包人对该工作、工程、材料、工程设备等应承担的责任和义务。 </w:t>
      </w:r>
    </w:p>
    <w:p w14:paraId="15C96E4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4.4商定或确定</w:t>
      </w:r>
    </w:p>
    <w:p w14:paraId="5EEA9EA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合同当事人进行商定或确定时，总监理工程师应当会同合同当事人尽量通过协商达成一致，不能达成一致的，由总监理工程师按照合同约定审慎做出公正的确定。</w:t>
      </w:r>
    </w:p>
    <w:p w14:paraId="6AE1238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总监理工程师应将确定以书面形式通知发包人和承包人，并附详细依据。合同当事人对总监理工程师的确定没有异议的，按照总监理工程师的确定执行。任何一方合同当事人有异议，按照第 20条〔争议解决〕约定处理。争议解决前，合同当事人暂按总监理工程师的确定执行；争议解决后，争议解决的结果与总监理工程师的确定不一致的，按照争议解决的结果执行，由此造成的损失由责任人承担。</w:t>
      </w:r>
    </w:p>
    <w:p w14:paraId="721F7923">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pacing w:val="-4"/>
          <w:kern w:val="0"/>
          <w:szCs w:val="21"/>
          <w:highlight w:val="none"/>
        </w:rPr>
      </w:pPr>
      <w:r>
        <w:rPr>
          <w:rFonts w:hint="eastAsia" w:ascii="宋体" w:hAnsi="宋体" w:cs="宋体"/>
          <w:b/>
          <w:color w:val="auto"/>
          <w:kern w:val="0"/>
          <w:szCs w:val="21"/>
          <w:highlight w:val="none"/>
        </w:rPr>
        <w:t xml:space="preserve">5.工程质量 </w:t>
      </w:r>
    </w:p>
    <w:p w14:paraId="77402153">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5.1质量要求 </w:t>
      </w:r>
    </w:p>
    <w:p w14:paraId="4961AB5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5.1.1工程质量标准必须符合现行国家有关工程施工质量验收规范和标准的要求。有关工程质量的特殊标准或要求由合同当事人在专用合同条款中约定。 </w:t>
      </w:r>
    </w:p>
    <w:p w14:paraId="6B94AE6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5.1.2因发包人原因造成工程质量未达到合同约定标准的，由发包人承担由此增加的费用和（或）延误的工期，并支付承包人合理的利润。 </w:t>
      </w:r>
    </w:p>
    <w:p w14:paraId="76D5039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5.1.3因承包人原因造成工程质量未达到合同约定标准的，发包人有权要求承包人返工直至工程质量达到合同约定的标准为止，并由承包人承担由此增加的费用和（或）延误的工期。 </w:t>
      </w:r>
    </w:p>
    <w:p w14:paraId="22DA356D">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5.2质量保证措施 </w:t>
      </w:r>
    </w:p>
    <w:p w14:paraId="7DAC2D6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5.2.1发包人的质量管理</w:t>
      </w:r>
    </w:p>
    <w:p w14:paraId="254A758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发包人应按照法律规定及合同约定完成与工程质量有关的各项工作。 </w:t>
      </w:r>
    </w:p>
    <w:p w14:paraId="5E37A54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5.2.2承包人的质量管理</w:t>
      </w:r>
    </w:p>
    <w:p w14:paraId="603F073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承包人按照第 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6E11658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承包人应对施工人员进行质量教育和技术培训，定期考核施工人员的劳动技能，严格执行施工规范和操作规程。</w:t>
      </w:r>
    </w:p>
    <w:p w14:paraId="70CF9E5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按照法律规定和发包人、监理人的要求，应配合受委托的检测机构，对材料、工程设备以及工程的所有部位及其施工工艺进行全过程的质量检查和检验，根据检测机构提供的检测报告，编制工程质量报表，报送监理人审查。承包人还应按照法律规定和发包人、监理人、检测机构的要求进行施工现场取样，提供试验样品，进行工程复测并应提交测量成果及其他工作。 </w:t>
      </w:r>
    </w:p>
    <w:p w14:paraId="7CADAA6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5.2.3监理人的质量检查和检验</w:t>
      </w:r>
    </w:p>
    <w:p w14:paraId="6F4986E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758A59A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 </w:t>
      </w:r>
    </w:p>
    <w:p w14:paraId="479A4E9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 xml:space="preserve">5.3隐蔽工程检查 </w:t>
      </w:r>
    </w:p>
    <w:p w14:paraId="0FDAF43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5.3.1承包人自检</w:t>
      </w:r>
    </w:p>
    <w:p w14:paraId="73F1053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承包人应当对工程隐蔽部位进行自检，并经自检确认是否具备覆盖条件。 </w:t>
      </w:r>
    </w:p>
    <w:p w14:paraId="6E09F8F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5.3.2检查程序</w:t>
      </w:r>
    </w:p>
    <w:p w14:paraId="1F7E115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除专用合同条款另有约定外，工程隐蔽部位经承包人自检确认具备覆盖条件的，承包人应在共同检查前 48小时书面通知监理人检查，通知中应载明隐蔽检查的内容、时间和地点，并应附有自检记录和必要的检查资料。</w:t>
      </w:r>
    </w:p>
    <w:p w14:paraId="181322F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36B2D1F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除专用合同条款另有约定外，监理人不能按时进行检查的，应在检查前 24小时向承包人提交书面延期要求，但延期不能超过 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 5.3.3项〔重新检查〕的约定重新检查。 </w:t>
      </w:r>
    </w:p>
    <w:p w14:paraId="08CA35F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5.3.3重新检查</w:t>
      </w:r>
    </w:p>
    <w:p w14:paraId="2E4D3E5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 </w:t>
      </w:r>
    </w:p>
    <w:p w14:paraId="585845D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5.3.4承包人私自覆盖</w:t>
      </w:r>
    </w:p>
    <w:p w14:paraId="7A6EB32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承包人未通知监理人到场检查，私自将工程隐蔽部位覆盖的，监理人有权指示承包人钻孔探测或揭开检查，无论工程隐蔽部位质量是否合格，由此增加的费用和（或）延误的工期均由承包人承担。 </w:t>
      </w:r>
    </w:p>
    <w:p w14:paraId="39994D0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 xml:space="preserve">5.4不合格工程的处理 </w:t>
      </w:r>
    </w:p>
    <w:p w14:paraId="7A0E93E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5.4.1因承包人原因造成工程不合格的，发包人有权随时要求承包人采取补救措施，直至达到合同要求的质量标准，由此增加的费用和（或）延误的工期由承包人承担。无法补救的，按照第 13.2.4项〔拒绝接收全部或部分工程〕约定执行。 </w:t>
      </w:r>
    </w:p>
    <w:p w14:paraId="2D20243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5.4.2因发包人原因造成工程不合格的，由此增加的费用和（或）延误的工期由发包人承担，并支付承包人合理的利润。 </w:t>
      </w:r>
    </w:p>
    <w:p w14:paraId="6CA07211">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5.5质量争议检测</w:t>
      </w:r>
    </w:p>
    <w:p w14:paraId="4189AE0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合同当事人对工程质量有争议的，由双方协商确定的工程质量检测机构鉴定，由此产生的费用及因此造成的损失，由责任方承担。</w:t>
      </w:r>
    </w:p>
    <w:p w14:paraId="6723EAA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合同当事人均有责任的，由双方根据其责任分别承担。合同当事人无法达成一致的，按照第 4.4款〔商定或确定〕执行。 </w:t>
      </w:r>
    </w:p>
    <w:p w14:paraId="00F892B2">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pacing w:val="-4"/>
          <w:kern w:val="0"/>
          <w:szCs w:val="21"/>
          <w:highlight w:val="none"/>
        </w:rPr>
      </w:pPr>
      <w:r>
        <w:rPr>
          <w:rFonts w:hint="eastAsia" w:ascii="宋体" w:hAnsi="宋体" w:cs="宋体"/>
          <w:b/>
          <w:color w:val="auto"/>
          <w:kern w:val="0"/>
          <w:szCs w:val="21"/>
          <w:highlight w:val="none"/>
        </w:rPr>
        <w:t xml:space="preserve">6.安全文明施工与环境保护 </w:t>
      </w:r>
    </w:p>
    <w:p w14:paraId="7DE6CF06">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6.1安全文明施工 </w:t>
      </w:r>
    </w:p>
    <w:p w14:paraId="45252D6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6.1.1安全生产要求</w:t>
      </w:r>
    </w:p>
    <w:p w14:paraId="572227B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48123D7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在施工过程中，如遇到突发的地质变动、事先未知的地下施工障碍等影响施工安全的紧急情况，承包人应及时报告监理人和发包人，发包人应当及时下令停工并报政府有关行政管理部门采取应急措施。</w:t>
      </w:r>
    </w:p>
    <w:p w14:paraId="3A54580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因安全生产需要暂停施工的，按照第 7.8款〔暂停施工〕的约定执行。 </w:t>
      </w:r>
    </w:p>
    <w:p w14:paraId="239519E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6.1.2安全生产保证措施</w:t>
      </w:r>
    </w:p>
    <w:p w14:paraId="67073C0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 </w:t>
      </w:r>
    </w:p>
    <w:p w14:paraId="55B09B9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6.1.3特别安全生产事项</w:t>
      </w:r>
    </w:p>
    <w:p w14:paraId="4336D27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5E5AB14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在动力设备、输电线路、地下管道、密封防震车间、易燃易爆地段以及临街交通要道附近施工时，施工开始前应向发包人和监理人提出安全防护措施，经发包人认可后实施。实施爆破作业，在放射、毒害性环境中施工（含储存、运输、使用）及使用毒害性、腐蚀性物品施工时，承包人应在施工前 7天以书面通知发包人和监理人，并报送相应的安全防护措施，经发包人认可后实施。</w:t>
      </w:r>
    </w:p>
    <w:p w14:paraId="64DCDA1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需单独编制危险性较大分部分项专项工程施工方案的，及要求进行专家论证的超过一定规模的危险性较大的分部分项工程，承包人应及时编制和组织论证。 </w:t>
      </w:r>
    </w:p>
    <w:p w14:paraId="455815A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6.1.4治安保卫</w:t>
      </w:r>
    </w:p>
    <w:p w14:paraId="23BC17D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除专用合同条款另有约定外，发包人应与当地公安部门协商，在现场建立治安管理机构或联防组织，统一管理施工场地的治安保卫事项，履行合同工程的治安保卫职责。</w:t>
      </w:r>
    </w:p>
    <w:p w14:paraId="25802A7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发包人和承包人除应协助现场治安管理机构或联防组织维护施工场地的社会治安外，还应做好包括生活区在内的各自管辖区的治安保卫工作。</w:t>
      </w:r>
    </w:p>
    <w:p w14:paraId="33DDC44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除专用合同条款另有约定外，发包人和承包人应在工程开工后 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 </w:t>
      </w:r>
    </w:p>
    <w:p w14:paraId="23B83D9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6.1.5文明施工</w:t>
      </w:r>
    </w:p>
    <w:p w14:paraId="120D563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756E1DD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 </w:t>
      </w:r>
    </w:p>
    <w:p w14:paraId="1C61A26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6.1.6安全文明施工费</w:t>
      </w:r>
    </w:p>
    <w:p w14:paraId="225C97E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安全文明施工费由发包人承担，发包人不得以任何形式扣减该部分费用。因基准日期后合同所适用的法律或政府有关规定发生变化，增加的安全文明施工费由发包人承担。</w:t>
      </w:r>
    </w:p>
    <w:p w14:paraId="2034090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0EBA490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除专用合同条款另有约定外，安全文明费支付方案应符合以下规定：</w:t>
      </w:r>
    </w:p>
    <w:p w14:paraId="3501EC4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（1）合同工期在一年以内的工程，建设单位应在办理工程项目安全受监手续时将安全文明费一次性支付到位；</w:t>
      </w:r>
    </w:p>
    <w:p w14:paraId="593456E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（2）合同工期在一年以上两年以内的工程，应在办理工程项目安全受监手续时支付安全文明费的 50%，剩余50%应在工程开工满一年前支付到位；</w:t>
      </w:r>
    </w:p>
    <w:p w14:paraId="349A5956">
      <w:pPr>
        <w:keepNext w:val="0"/>
        <w:keepLines w:val="0"/>
        <w:pageBreakBefore w:val="0"/>
        <w:kinsoku/>
        <w:wordWrap/>
        <w:overflowPunct/>
        <w:topLinePunct w:val="0"/>
        <w:autoSpaceDE/>
        <w:autoSpaceDN/>
        <w:bidi w:val="0"/>
        <w:spacing w:line="380" w:lineRule="exact"/>
        <w:ind w:left="273" w:leftChars="130" w:right="23" w:rightChars="11" w:firstLine="202" w:firstLineChars="1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（3）合同工期在两年以上的工程，应在办理工程项目安全受监手续时支付安全文明费的50%，开工满一年前，再支付安全文明费的30%，开工满二年前剩余费用全部支付到位。</w:t>
      </w:r>
    </w:p>
    <w:p w14:paraId="6186DE0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发包人逾期支付安全文明施工费超过7天的，承包人有权向发包人发出要求预付的催告通知，发包人收到通知后7天内仍未支付的，承包人有权暂停施工，并按第16.1.1项〔发包人违约的情形〕执行。</w:t>
      </w:r>
    </w:p>
    <w:p w14:paraId="34334BE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对安全文明施工费应专款专用，承包人应在财务账目中单独列项备查，不得挪作他用，否则发包人有权责令其限期改正；逾期未改正的，可以责令其暂停施工，由此增加的费用和（或）延误的工期由承包人承担。 </w:t>
      </w:r>
    </w:p>
    <w:p w14:paraId="3290057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6.1.7紧急情况处理</w:t>
      </w:r>
    </w:p>
    <w:p w14:paraId="29E209A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 </w:t>
      </w:r>
    </w:p>
    <w:p w14:paraId="1F4E7E1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6.1.8事故处理</w:t>
      </w:r>
    </w:p>
    <w:p w14:paraId="12639C90">
      <w:pPr>
        <w:keepNext w:val="0"/>
        <w:keepLines w:val="0"/>
        <w:pageBreakBefore w:val="0"/>
        <w:kinsoku/>
        <w:wordWrap/>
        <w:overflowPunct/>
        <w:topLinePunct w:val="0"/>
        <w:autoSpaceDE/>
        <w:autoSpaceDN/>
        <w:bidi w:val="0"/>
        <w:spacing w:line="380" w:lineRule="exact"/>
        <w:ind w:right="23" w:rightChars="11" w:firstLine="505" w:firstLineChars="2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 </w:t>
      </w:r>
    </w:p>
    <w:p w14:paraId="2353501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6.1.9安全生产责任 </w:t>
      </w:r>
    </w:p>
    <w:p w14:paraId="72CFFEA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6.1.9.1发包人的安全责任</w:t>
      </w:r>
    </w:p>
    <w:p w14:paraId="1E7AC91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发包人应负责赔偿以下各种情况造成的损失：</w:t>
      </w:r>
    </w:p>
    <w:p w14:paraId="67373A9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（1）工程或工程的任何部分对土地的占用所造成的第三者财产损失；</w:t>
      </w:r>
    </w:p>
    <w:p w14:paraId="4DEB2BE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（2）由于发包人原因在施工场地及其毗邻地带造成的第三者人身伤亡和财产损失；</w:t>
      </w:r>
    </w:p>
    <w:p w14:paraId="573DFC5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（3）由于发包人原因对承包人、监理人造成的人员人身伤亡和财产损失；</w:t>
      </w:r>
    </w:p>
    <w:p w14:paraId="22EF447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（4）由于发包人原因造成的发包人自身人员的人身伤害以及财产损失。 </w:t>
      </w:r>
    </w:p>
    <w:p w14:paraId="2654488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6.1.9.2承包人的安全责任</w:t>
      </w:r>
    </w:p>
    <w:p w14:paraId="6698827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由于承包人原因在施工场地内及其毗邻地带造成的发包人、监理人以及第三者人员伤亡和财产损失，由承包人负责赔偿。 </w:t>
      </w:r>
    </w:p>
    <w:p w14:paraId="5AC4FF50">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6.2职业健康 </w:t>
      </w:r>
    </w:p>
    <w:p w14:paraId="56B6DE4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6.2.1劳动保护</w:t>
      </w:r>
    </w:p>
    <w:p w14:paraId="1939A20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0A9F254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6CAC21B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承包人应按法律规定安排工作时间，保证其雇佣人员享有休息和休假的权利。因工程施工的特殊需要占用休假日或延长工作时间的，应不超过法律规定的限度，并按法律规定给予补休或付酬。 </w:t>
      </w:r>
    </w:p>
    <w:p w14:paraId="0242FD3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6.2.2生活条件</w:t>
      </w:r>
    </w:p>
    <w:p w14:paraId="0231268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应为其履行合同所雇用的人员提供必要的膳宿条件和生活环境；承包人应采取有效措施预防传染病，保证施工人员的健康，并定期对施工现场、施工人员生活基地和工程进行防疫和卫生的专业检查和处理，在远离城镇的施工场地，还应配备必要的伤病防治和急救的医务人员与医疗设施。 </w:t>
      </w:r>
    </w:p>
    <w:p w14:paraId="2152125E">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 6.3环境保护</w:t>
      </w:r>
    </w:p>
    <w:p w14:paraId="3A818CF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在施工组织设计中列明环境保护的具体措施。在合同履行期间，承包人应采取合理措施保护施工现场环境。对施工作业过程中可能引起的扬尘、大气、水、噪音以及固体废物污染采取具体可行的防范措施。</w:t>
      </w:r>
    </w:p>
    <w:p w14:paraId="48BA802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承包人应当承担因其原因引起的环境污染侵权损害赔偿责任，因上述环境污染引起纠纷而导致暂停施工的，由此增加的费用和（或）延误的工期由承包人承担。 </w:t>
      </w:r>
    </w:p>
    <w:p w14:paraId="0E55A61B">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b/>
          <w:color w:val="auto"/>
          <w:kern w:val="0"/>
          <w:szCs w:val="21"/>
          <w:highlight w:val="none"/>
        </w:rPr>
        <w:t xml:space="preserve">7.工期和进度 </w:t>
      </w:r>
    </w:p>
    <w:p w14:paraId="49760361">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7.1施工组织设计 </w:t>
      </w:r>
    </w:p>
    <w:p w14:paraId="7519447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7.1.1施工组织设计的内容</w:t>
      </w:r>
    </w:p>
    <w:p w14:paraId="4DFB1CF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施工组织设计应包含以下内容：</w:t>
      </w:r>
    </w:p>
    <w:p w14:paraId="39B6F7F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（1）施工方案；</w:t>
      </w:r>
    </w:p>
    <w:p w14:paraId="4B2ABDB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（2）施工现场平面布置图；</w:t>
      </w:r>
    </w:p>
    <w:p w14:paraId="011BF44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（3）施工进度计划和保证措施；</w:t>
      </w:r>
    </w:p>
    <w:p w14:paraId="52BC46B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（4）劳动力及材料供应计划；</w:t>
      </w:r>
    </w:p>
    <w:p w14:paraId="1233B36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（5）施工机械设备的选用；</w:t>
      </w:r>
    </w:p>
    <w:p w14:paraId="553C3E5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（6）质量保证体系及措施；</w:t>
      </w:r>
    </w:p>
    <w:p w14:paraId="65B2589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（7）安全生产、文明施工措施；</w:t>
      </w:r>
    </w:p>
    <w:p w14:paraId="2CDA073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（8）环境保护、成本控制措施；</w:t>
      </w:r>
    </w:p>
    <w:p w14:paraId="4D43473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（9）合同当事人约定的其他内容。 </w:t>
      </w:r>
    </w:p>
    <w:p w14:paraId="160B7C9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7.1.2施工组织设计的提交和修改</w:t>
      </w:r>
    </w:p>
    <w:p w14:paraId="3C991AA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除专用合同条款另有约定外，承包人应在合同签订后 14天内，但至迟不得晚于第 7.3.2项〔开工通知〕载明的开工日期前 7天，向监理人提交详细的施工组织设计，并由监理人报送发包人。除专用合同条款另有约定外，发包人和监理人应在监理人收到施工组织设计后 7天内确认或提出修改意见。对发包人和监理人提出的合理意见和要求，承包人应自费修改完善。根据工程实际情况需要修改施工组织设计的，承包人应向发包人和监理人提交修改后的施工组织设计。</w:t>
      </w:r>
    </w:p>
    <w:p w14:paraId="5937CE9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施工进度计划的编制和修改按照第7.2款〔施工进度计划〕执行。 </w:t>
      </w:r>
    </w:p>
    <w:p w14:paraId="6371822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 xml:space="preserve">7.2施工进度计划 </w:t>
      </w:r>
    </w:p>
    <w:p w14:paraId="4786E57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7.2.1施工进度计划的编制</w:t>
      </w:r>
    </w:p>
    <w:p w14:paraId="1C22A46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承包人应按照第7.1款〔施工组织设计〕约定提交详细的施工进度</w:t>
      </w:r>
      <w:r>
        <w:rPr>
          <w:rFonts w:hint="eastAsia" w:ascii="宋体" w:hAnsi="宋体" w:cs="宋体"/>
          <w:color w:val="auto"/>
          <w:spacing w:val="-8"/>
          <w:kern w:val="0"/>
          <w:szCs w:val="21"/>
          <w:highlight w:val="none"/>
        </w:rPr>
        <w:t>计划，施工进度计划的编制应当符合国家法律规定和一般工程实践惯例，</w:t>
      </w:r>
      <w:r>
        <w:rPr>
          <w:rFonts w:hint="eastAsia" w:ascii="宋体" w:hAnsi="宋体" w:cs="宋体"/>
          <w:color w:val="auto"/>
          <w:spacing w:val="-4"/>
          <w:kern w:val="0"/>
          <w:szCs w:val="21"/>
          <w:highlight w:val="none"/>
        </w:rPr>
        <w:t xml:space="preserve">施工进度计划经发包人批准后实施。施工进度计划是控制工程进度的依据，发包人和监理人有权按照施工进度计划检查工程进度情况。 </w:t>
      </w:r>
    </w:p>
    <w:p w14:paraId="2F0F1FD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7.2.2施工进度计划的修订</w:t>
      </w:r>
    </w:p>
    <w:p w14:paraId="1134A1E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 7天内完成审核和批准或提出修改意见。发包人和监理人对承包人提交的施工进度计划的确认，不能减轻或免除承包人根据法律规定和合同约定应承担的任何责任或义务。 </w:t>
      </w:r>
    </w:p>
    <w:p w14:paraId="30B94BDC">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 7.3开工 </w:t>
      </w:r>
    </w:p>
    <w:p w14:paraId="4EC8499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7.3.1开工准备</w:t>
      </w:r>
    </w:p>
    <w:p w14:paraId="17CD7CF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387BE8B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除专用合同条款另有约定外，合同当事人应按约定完成开工准备工作。 </w:t>
      </w:r>
    </w:p>
    <w:p w14:paraId="5E9CA48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7.3.2开工通知</w:t>
      </w:r>
    </w:p>
    <w:p w14:paraId="7594C8D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发包人应按照法律规定获得工程施工所需的许可。经发包人同意后，监理人发出的开工通知应符合法律规定。监理人应在计划开工日期 7天前向承包人发出开工通知，工期自开工通知中载明的开工日期起算。</w:t>
      </w:r>
    </w:p>
    <w:p w14:paraId="1E956D4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453CCE30">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7.4测量放线 </w:t>
      </w:r>
    </w:p>
    <w:p w14:paraId="66C8F5B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7.4.1除专用合同条款另有约定外，发包人应在至迟不得晚于第 7.3.2项〔开工通知〕载明的开工日期前 7天通过监理人向承包人提供测量基准点、基准线和水准点及其书面资料。发包人应对其提供的测量基准点、基准线和水准点及其书面资料的真实性、准确性和完整性负责。</w:t>
      </w:r>
    </w:p>
    <w:p w14:paraId="23D4FB1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 </w:t>
      </w:r>
    </w:p>
    <w:p w14:paraId="59082E2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7.4.2承包人负责施工过程中的全部施工测量放线工作，并配置具有相应资质的人员、合格的仪器、设备和其他物品。承包人应矫正工程的位置、标高、尺寸或准线中出现的任何差错，并对工程各部分的定位负责。施工过程中对施工现场内水准点等测量标志物的保护工作由承包人负责。 </w:t>
      </w:r>
    </w:p>
    <w:p w14:paraId="507A474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 xml:space="preserve">7.5工期延误 </w:t>
      </w:r>
    </w:p>
    <w:p w14:paraId="2907C3E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7.5.1因发包人原因导致工期延误在合同履行过程中，因下列情况导致工期延误和（或）费用增加</w:t>
      </w:r>
    </w:p>
    <w:p w14:paraId="53E225AB">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的，由发包人承担由此延误的工期和（或）增加的费用，且发包人应支付承包人合理的利润：</w:t>
      </w:r>
    </w:p>
    <w:p w14:paraId="74839DE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（1）发包人未能按合同约定提供图纸或所提供图纸不符合合同约定的；</w:t>
      </w:r>
    </w:p>
    <w:p w14:paraId="16AC663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（2）发包人未能按合同约定提供施工现场、施工条件、基础资料、许可、批准等开工条件的；</w:t>
      </w:r>
    </w:p>
    <w:p w14:paraId="296FE06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（3）发包人提供的测量基准点、基准线和水准点及其书面资料存在错误或疏漏的；</w:t>
      </w:r>
    </w:p>
    <w:p w14:paraId="0D58BB9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（4）发包人未能在计划开工日期之日起 7天内同意下达开工通知的；</w:t>
      </w:r>
    </w:p>
    <w:p w14:paraId="0136AE7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（5）发包人未能按合同约定日期支付工程预付款、进度款或竣工结算款的；</w:t>
      </w:r>
    </w:p>
    <w:p w14:paraId="3E1FD56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（6）监理人未按合同约定发出指示、批准等文件的；</w:t>
      </w:r>
    </w:p>
    <w:p w14:paraId="71D06B2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（7）专用合同条款中约定的其他情形。</w:t>
      </w:r>
    </w:p>
    <w:p w14:paraId="07CF594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因发包人原因未按计划开工日期开工的，发包人应按实际开工日期顺延竣工日期，确保实际工期不低于合同约定的工期总日历天数。</w:t>
      </w:r>
      <w:r>
        <w:rPr>
          <w:rFonts w:hint="eastAsia" w:ascii="宋体" w:hAnsi="宋体" w:cs="宋体"/>
          <w:color w:val="auto"/>
          <w:spacing w:val="-6"/>
          <w:kern w:val="0"/>
          <w:szCs w:val="21"/>
          <w:highlight w:val="none"/>
        </w:rPr>
        <w:t xml:space="preserve">因发包人原因导致工期延误需要修订施工进度计划的，按照第7.2.2项〔施工进度计划的修订〕执行。 </w:t>
      </w:r>
    </w:p>
    <w:p w14:paraId="0379B8E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7.5.2因承包人原因造成工期延误的，可以在专用合同条款中约定逾期竣工违约金的计算方法和逾期竣工违约金的上限。承包人支付逾期竣工违约金后，不免除承包人继续完成工程及修补缺陷的义务。 </w:t>
      </w:r>
    </w:p>
    <w:p w14:paraId="79A0FB35">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7.6不利物质条件</w:t>
      </w:r>
    </w:p>
    <w:p w14:paraId="6F5BE483">
      <w:pPr>
        <w:keepNext w:val="0"/>
        <w:keepLines w:val="0"/>
        <w:pageBreakBefore w:val="0"/>
        <w:kinsoku/>
        <w:wordWrap/>
        <w:overflowPunct/>
        <w:topLinePunct w:val="0"/>
        <w:autoSpaceDE/>
        <w:autoSpaceDN/>
        <w:bidi w:val="0"/>
        <w:spacing w:line="380" w:lineRule="exact"/>
        <w:ind w:right="23" w:rightChars="11" w:firstLine="505" w:firstLineChars="2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1C0C414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 </w:t>
      </w:r>
    </w:p>
    <w:p w14:paraId="6015F462">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7.7异常恶劣的气候条件</w:t>
      </w:r>
    </w:p>
    <w:p w14:paraId="253A939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28077D4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承包人应采取克服异常恶劣的气候条件的合理措施继续施工，并及时通知发包人和监理人。监理人经发包人同意后应当及时发出指示，指示构成变更的，按第 10条〔变更〕约定办理。承包人因采取合理措施而增加的费用和（或）延误的工期由发包人承担。 </w:t>
      </w:r>
    </w:p>
    <w:p w14:paraId="6D51B668">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7.8暂停施工 </w:t>
      </w:r>
    </w:p>
    <w:p w14:paraId="6C3F71D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7.8.1发包人原因引起的暂停施工</w:t>
      </w:r>
    </w:p>
    <w:p w14:paraId="60C0632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因发包人原因引起暂停施工的，监理人经发包人同意后，应及时</w:t>
      </w:r>
      <w:r>
        <w:rPr>
          <w:rFonts w:hint="eastAsia" w:ascii="宋体" w:hAnsi="宋体" w:cs="宋体"/>
          <w:color w:val="auto"/>
          <w:spacing w:val="2"/>
          <w:kern w:val="0"/>
          <w:szCs w:val="21"/>
          <w:highlight w:val="none"/>
        </w:rPr>
        <w:t>下达暂停施工指示。情况紧急且监理人未及时下达暂停施工指示的，</w:t>
      </w:r>
      <w:r>
        <w:rPr>
          <w:rFonts w:hint="eastAsia" w:ascii="宋体" w:hAnsi="宋体" w:cs="宋体"/>
          <w:color w:val="auto"/>
          <w:spacing w:val="-4"/>
          <w:kern w:val="0"/>
          <w:szCs w:val="21"/>
          <w:highlight w:val="none"/>
        </w:rPr>
        <w:t>按照第 7.8.4项〔紧急情况下的暂停施工〕执行。</w:t>
      </w:r>
    </w:p>
    <w:p w14:paraId="7E6D771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因发包人原因引起的暂停施工，发包人应承担由此增加的费用和（或）延误的工期，并支付承包人合理的利润。</w:t>
      </w:r>
    </w:p>
    <w:p w14:paraId="75EDE19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7.8.2承包人原因引起的暂停施工</w:t>
      </w:r>
    </w:p>
    <w:p w14:paraId="5A6C6B3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因承包人原因引起的暂停施工，承包人应承担由此增加的费用和或）延误的工期，</w:t>
      </w:r>
      <w:r>
        <w:rPr>
          <w:rFonts w:hint="eastAsia" w:ascii="宋体" w:hAnsi="宋体" w:cs="宋体"/>
          <w:color w:val="auto"/>
          <w:spacing w:val="2"/>
          <w:kern w:val="0"/>
          <w:szCs w:val="21"/>
          <w:highlight w:val="none"/>
        </w:rPr>
        <w:t>且承包人在收到监理人复工指示后84天内仍未复</w:t>
      </w:r>
      <w:r>
        <w:rPr>
          <w:rFonts w:hint="eastAsia" w:ascii="宋体" w:hAnsi="宋体" w:cs="宋体"/>
          <w:color w:val="auto"/>
          <w:spacing w:val="-4"/>
          <w:kern w:val="0"/>
          <w:szCs w:val="21"/>
          <w:highlight w:val="none"/>
        </w:rPr>
        <w:t xml:space="preserve">工的，视为第 16.2.1项〔承包人违约的情形〕第（7）目约定的承包人无法继续履行合同的情形。 </w:t>
      </w:r>
    </w:p>
    <w:p w14:paraId="5FE4F9C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7.8.3指示暂停施工</w:t>
      </w:r>
    </w:p>
    <w:p w14:paraId="0FB8573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监理人认为有必要时，并经发包人批准后，可向承包人作出暂停施工的指示，承包人应按监理人指示暂停施工。 </w:t>
      </w:r>
    </w:p>
    <w:p w14:paraId="4F3E7FA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7.8.4紧急情况下的暂停施工</w:t>
      </w:r>
    </w:p>
    <w:p w14:paraId="6CA1D79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2"/>
          <w:kern w:val="0"/>
          <w:szCs w:val="21"/>
          <w:highlight w:val="none"/>
        </w:rPr>
      </w:pPr>
      <w:r>
        <w:rPr>
          <w:rFonts w:hint="eastAsia" w:ascii="宋体" w:hAnsi="宋体" w:cs="宋体"/>
          <w:color w:val="auto"/>
          <w:spacing w:val="-4"/>
          <w:kern w:val="0"/>
          <w:szCs w:val="21"/>
          <w:highlight w:val="none"/>
        </w:rPr>
        <w:t>因紧急情况需暂停施工，</w:t>
      </w:r>
      <w:r>
        <w:rPr>
          <w:rFonts w:hint="eastAsia" w:ascii="宋体" w:hAnsi="宋体" w:cs="宋体"/>
          <w:color w:val="auto"/>
          <w:spacing w:val="-2"/>
          <w:kern w:val="0"/>
          <w:szCs w:val="21"/>
          <w:highlight w:val="none"/>
        </w:rPr>
        <w:t>且监理人未及时下达暂停施工指示的，</w:t>
      </w:r>
      <w:r>
        <w:rPr>
          <w:rFonts w:hint="eastAsia" w:ascii="宋体" w:hAnsi="宋体" w:cs="宋体"/>
          <w:color w:val="auto"/>
          <w:spacing w:val="-4"/>
          <w:kern w:val="0"/>
          <w:szCs w:val="21"/>
          <w:highlight w:val="none"/>
        </w:rPr>
        <w:t xml:space="preserve">承包人可先暂停施工，并及时通知监理人。监理人应在接到通知后24小时内发出指示，逾期未发出指示，视为同意承包人暂停施工。监理人不同意承包人暂停施工的，应说明理由，承包人对监理人的答复有异议，按照第 20条〔争议解决〕约定处理。 </w:t>
      </w:r>
    </w:p>
    <w:p w14:paraId="6DF42E6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7.8.5暂停施工后的复工</w:t>
      </w:r>
    </w:p>
    <w:p w14:paraId="209F3E1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66A7222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承包人无故拖延和拒绝复工的，承包人承担由此增加的费用和（或）延误的工期；因发包人原因无法按时复工的，按照第7.5.1项〔因发包人原因导致工期延误〕约定办理。</w:t>
      </w:r>
    </w:p>
    <w:p w14:paraId="6B020A4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7.8.6暂停施工持续 56天以上</w:t>
      </w:r>
    </w:p>
    <w:p w14:paraId="698FC7F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监理人发出暂停施工指示后56天内未向承包人发出复工通知，除该项停工属于第7.8.2项〔承包人原因引起的暂停施工〕及第 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6306885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暂停施工持续 84天以上不复工的，且不属于第7.8.2项〔承包人原因引起的暂停施工〕及第 17条〔不可抗力〕约定的情形，并影响到</w:t>
      </w:r>
      <w:r>
        <w:rPr>
          <w:rFonts w:hint="eastAsia" w:ascii="宋体" w:hAnsi="宋体" w:cs="宋体"/>
          <w:color w:val="auto"/>
          <w:spacing w:val="2"/>
          <w:kern w:val="0"/>
          <w:szCs w:val="21"/>
          <w:highlight w:val="none"/>
        </w:rPr>
        <w:t>整个工程以及合同目的实现的，</w:t>
      </w:r>
      <w:r>
        <w:rPr>
          <w:rFonts w:hint="eastAsia" w:ascii="宋体" w:hAnsi="宋体" w:cs="宋体"/>
          <w:color w:val="auto"/>
          <w:spacing w:val="-2"/>
          <w:kern w:val="0"/>
          <w:szCs w:val="21"/>
          <w:highlight w:val="none"/>
        </w:rPr>
        <w:t>承包人有权提出价格调整要求，或者解</w:t>
      </w:r>
      <w:r>
        <w:rPr>
          <w:rFonts w:hint="eastAsia" w:ascii="宋体" w:hAnsi="宋体" w:cs="宋体"/>
          <w:color w:val="auto"/>
          <w:spacing w:val="-4"/>
          <w:kern w:val="0"/>
          <w:szCs w:val="21"/>
          <w:highlight w:val="none"/>
        </w:rPr>
        <w:t xml:space="preserve">除合同。解除合同的，按照第 16.1.3项〔因发包人违约解除合同〕执行。 </w:t>
      </w:r>
    </w:p>
    <w:p w14:paraId="7B8C6A8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7.8.7暂停施工期间的工程照管</w:t>
      </w:r>
    </w:p>
    <w:p w14:paraId="71335A3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暂停施工期间，承包人应负责妥善照管工程并提供安全保障，由此增加的费用由责任方承担。 </w:t>
      </w:r>
    </w:p>
    <w:p w14:paraId="1A2C68F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7.8.8暂停施工的措施</w:t>
      </w:r>
    </w:p>
    <w:p w14:paraId="067581B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暂停施工期间，发包人和承包人均应采取必要的措施确保工程质量及安全，防止因暂停施工扩大损失。 </w:t>
      </w:r>
    </w:p>
    <w:p w14:paraId="503930E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 xml:space="preserve">7.9提前竣工 </w:t>
      </w:r>
    </w:p>
    <w:p w14:paraId="10D4A7F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7.9.1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w:t>
      </w:r>
    </w:p>
    <w:p w14:paraId="578F3934">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的费用由发包人承担。承包人认为提前竣工指示无法执行的，应向监理人和发包人提出书面异议，发包人和监理人应在收到异议后 7天内予以答复。任何情况下，发包人不得压缩合理工期。 </w:t>
      </w:r>
    </w:p>
    <w:p w14:paraId="4D8AD0A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7.9.2发包人要求承包人提前竣工，或承包人提出提前竣工的建议能够给发包人带来效益的，合同当事人可以在专用合同条款中约定提前竣工的奖励。 </w:t>
      </w:r>
    </w:p>
    <w:p w14:paraId="091D5C50">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kern w:val="0"/>
          <w:szCs w:val="21"/>
          <w:highlight w:val="none"/>
        </w:rPr>
      </w:pPr>
      <w:r>
        <w:rPr>
          <w:rFonts w:hint="eastAsia" w:ascii="宋体" w:hAnsi="宋体" w:cs="宋体"/>
          <w:b/>
          <w:color w:val="auto"/>
          <w:kern w:val="0"/>
          <w:szCs w:val="21"/>
          <w:highlight w:val="none"/>
        </w:rPr>
        <w:t xml:space="preserve">8.材料与设备 </w:t>
      </w:r>
    </w:p>
    <w:p w14:paraId="1273FE47">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8.1发包人供应材料与工程设备</w:t>
      </w:r>
    </w:p>
    <w:p w14:paraId="7BF336B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发包人自行供应材料、工程设备的，应在签订合同时在专用合同条款的附件《发包人供应材料设备一览表》中明确材料、工程设备的品种、规格、型号、数量、单价、质量等级和送达地点。</w:t>
      </w:r>
    </w:p>
    <w:p w14:paraId="25C9643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承包人应提前 30天通过监理人以书面形式通知发包人供应材料与工程设备进场。承包人按照第7.2.2项〔施工进度计划的修订〕约定修订施工进度计划时，需同时提交经修订后的发包人供应材料与工程设备的进场计划。 </w:t>
      </w:r>
    </w:p>
    <w:p w14:paraId="0A85962D">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8.2承包人采购材料与工程设备</w:t>
      </w:r>
    </w:p>
    <w:p w14:paraId="7BA7F86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 </w:t>
      </w:r>
    </w:p>
    <w:p w14:paraId="12AE0F1E">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8.3材料与工程设备的接收与拒收 </w:t>
      </w:r>
    </w:p>
    <w:p w14:paraId="68A5EF7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8.3.1发包人应按《发包人供应材料设备一览表》约定的内容提供</w:t>
      </w:r>
    </w:p>
    <w:p w14:paraId="5E654F4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材料和工程设备，并向承包人提供产品合格证明及出厂证明，对其质量负责。发包人应提前 24小时以书面形式通知承包人、监理人材料和工程设备到货时间，承包人负责材料和工程设备的清点、检验和接收。</w:t>
      </w:r>
    </w:p>
    <w:p w14:paraId="6FB264F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发包人提供的材料和工程设备的规格、数量或质量不符合合同约定的，或因发包人原因导致交货日期延误或交货地点变更等情况的，按照第 16.1款〔发包人违约〕约定办理。 </w:t>
      </w:r>
    </w:p>
    <w:p w14:paraId="4E3D7218">
      <w:pPr>
        <w:keepNext w:val="0"/>
        <w:keepLines w:val="0"/>
        <w:pageBreakBefore w:val="0"/>
        <w:kinsoku/>
        <w:wordWrap/>
        <w:overflowPunct/>
        <w:topLinePunct w:val="0"/>
        <w:autoSpaceDE/>
        <w:autoSpaceDN/>
        <w:bidi w:val="0"/>
        <w:spacing w:line="380" w:lineRule="exact"/>
        <w:ind w:right="23" w:rightChars="11" w:firstLine="202" w:firstLineChars="1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8.3.2承包人采购的材料和工程设备，应保证产品质量合格，承包人应在材料和工程设备到货前24小时通知监理人检验。承包人进行永久设备、材料的制造和生产的，应符合相关质量标准，并向监理人提交材料的样本以及有关资料，并应在使用该材料或工程设备之前获得监理人同意。</w:t>
      </w:r>
    </w:p>
    <w:p w14:paraId="57BA50E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 </w:t>
      </w:r>
    </w:p>
    <w:p w14:paraId="0AEF03F5">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8.4材料与工程设备的保管与使用 </w:t>
      </w:r>
    </w:p>
    <w:p w14:paraId="6296645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8.4.1发包人供应材料与工程设备的保管与使用</w:t>
      </w:r>
    </w:p>
    <w:p w14:paraId="4F27D87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6995384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发包人供应的材料和工程设备使用前，由受委托的检测机构负责检验，检验费用由发包人承担，不合格的不得使用。 </w:t>
      </w:r>
    </w:p>
    <w:p w14:paraId="59497E3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8.4.2承包人采购材料与工程设备的保管与使用</w:t>
      </w:r>
    </w:p>
    <w:p w14:paraId="309BD2F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采购的材料和工程设备由承包人妥善保管，保管费用由承包人承担。法律规定材料和工程设备使用前必须进行检验或试验的，承包人应按监理人的要求配合受委托的检测机构进行检验或试验，检验或试验费用由发包人承担，不合格的不得使用。</w:t>
      </w:r>
    </w:p>
    <w:p w14:paraId="1BEAC98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发包人或监理人发现承包人使用不符合设计或有关标准要求的材料和工程设备时，有权要求承包人进行修复、拆除或重新采购，由此增加的费用和（或）延误的工期，由承包人承担。 </w:t>
      </w:r>
    </w:p>
    <w:p w14:paraId="1BEDBD30">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8.5禁止使用不合格的材料和工程设备 </w:t>
      </w:r>
    </w:p>
    <w:p w14:paraId="7DEFAD8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8.5.1监理人有权拒绝承包人提供的不合格材料或工程设备，并要求承包人立即进行更换。监理人应在更换后再次进行检查和检验，由此增加的费用和（或）延误的工期由承包人承担。 </w:t>
      </w:r>
    </w:p>
    <w:p w14:paraId="0DBF954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8.5.2监理人发现承包人使用了不合格的材料和工程设备，承包人应按照监理人的指示立即改正，并禁止在工程中继续使用不合格的材料和工程设备。 </w:t>
      </w:r>
    </w:p>
    <w:p w14:paraId="50E3C62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8.5.3发包人提供的材料或工程设备不符合合同要求的，承包人有权拒绝，并可要求发包人更换，由此增加的费用和（或）延误的工期由发包人承担，并支付承包人合理的利润。 </w:t>
      </w:r>
    </w:p>
    <w:p w14:paraId="274D6645">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8.6样品 </w:t>
      </w:r>
    </w:p>
    <w:p w14:paraId="0079D21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8.6.1 样品的报送与封存</w:t>
      </w:r>
    </w:p>
    <w:p w14:paraId="530E32D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需要承包人报送样品的材料或工程设备，样品的种类、名称、规格、数量等要求均应在专用合同条款中约定。样品的报送程序如下：</w:t>
      </w:r>
    </w:p>
    <w:p w14:paraId="6CCB23B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（1）承包人应在计划采购前 28天向监理人报送样品。承包人报送的样品均应来自供应材料的实际生产地，且提供的样品的规格、数量足以表明材料或工程设备的质量、型号、颜色、表面处理、质地、误差和其他要求的特征。</w:t>
      </w:r>
    </w:p>
    <w:p w14:paraId="558BA98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09AAB72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（3）经发包人和监理人审批确认的样品应按约定的方法封样，封存的样品作为检验工程相关部分的标准之一。承包人在施工过程中不得使用与样品不符的材料或工程设备。</w:t>
      </w:r>
    </w:p>
    <w:p w14:paraId="23B0B31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 </w:t>
      </w:r>
    </w:p>
    <w:p w14:paraId="22E278D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8.6.2样品的保管</w:t>
      </w:r>
    </w:p>
    <w:p w14:paraId="7E71CA1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经批准的样品应由监理人负责封存于现场，承包人应在现场为保存样品提供适当和固定的场所并保持适当和良好的存储环境条件。 </w:t>
      </w:r>
    </w:p>
    <w:p w14:paraId="22D96775">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8.7材料与工程设备的替代 </w:t>
      </w:r>
    </w:p>
    <w:p w14:paraId="11EE526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8.7.1出现下列情况需要使用替代材料和工程设备的，承包人应按照第 8.7.2项约定的程序执行：</w:t>
      </w:r>
    </w:p>
    <w:p w14:paraId="3DF468E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（1）基准日期后生效的法律规定禁止使用的；</w:t>
      </w:r>
    </w:p>
    <w:p w14:paraId="57E999D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（2）发包人要求使用替代品的；</w:t>
      </w:r>
    </w:p>
    <w:p w14:paraId="3E249F4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（3）因其他原因必须使用替代品的。 </w:t>
      </w:r>
    </w:p>
    <w:p w14:paraId="498B374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8.7.2承包人应在使用替代材料和工程设备28天前书面通知监理人，并附下列文件：</w:t>
      </w:r>
    </w:p>
    <w:p w14:paraId="7A993DC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（1）被替代的材料和工程设备的名称、数量、规格、型号、品牌、性能、价格及其他相关资料；</w:t>
      </w:r>
    </w:p>
    <w:p w14:paraId="0DC83B5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（2）替代品的名称、数量、规格、型号、品牌、性能、价格及其他相关资料；</w:t>
      </w:r>
    </w:p>
    <w:p w14:paraId="2B6C077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（3）替代品与被替代产品之间的差异以及使用替代品可能对工程产生的影响；</w:t>
      </w:r>
    </w:p>
    <w:p w14:paraId="46B6055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（4）替代品与被替代产品的价格差异；</w:t>
      </w:r>
    </w:p>
    <w:p w14:paraId="6E23807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（5）使用替代品的理由和原因说明；</w:t>
      </w:r>
    </w:p>
    <w:p w14:paraId="286356F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（6）监理人要求的其他文件。</w:t>
      </w:r>
    </w:p>
    <w:p w14:paraId="32B01EC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监理人应在收到通知后14天内向承包人发出经发包人签认的书面指示；监理人逾期发出书面指示的，视为发包人和监理人同意使用替代品。</w:t>
      </w:r>
    </w:p>
    <w:p w14:paraId="66528FB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8.7.3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 </w:t>
      </w:r>
    </w:p>
    <w:p w14:paraId="1F55A767">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8.8施工设备和临时设施 </w:t>
      </w:r>
    </w:p>
    <w:p w14:paraId="7853E3E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8.8.1承包人提供的施工设备和临时设施</w:t>
      </w:r>
    </w:p>
    <w:p w14:paraId="6109062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0E7C142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除专用合同条款另有约定外，承包人应自行承担修建临时设施的费用，需要临时占地的，应由发包人办理申请手续并承担相应费用。 </w:t>
      </w:r>
    </w:p>
    <w:p w14:paraId="4E575F3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8.8.2发包人提供的施工设备和临时设施</w:t>
      </w:r>
    </w:p>
    <w:p w14:paraId="0B7BC15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发包人提供的施工设备或临时设施在专用合同条款中约定。 </w:t>
      </w:r>
    </w:p>
    <w:p w14:paraId="384758C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8.8.3要求承包人增加或更换施工设备</w:t>
      </w:r>
    </w:p>
    <w:p w14:paraId="44A54FF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承包人使用的施工设备不能满足合同进度计划和（或）质量要求时，监理人有权要求承包人增加或更换施工设备，承包人应及时增加或更换，由此增加的费用和（或）延误的工期由承包人承担。 </w:t>
      </w:r>
    </w:p>
    <w:p w14:paraId="536211A7">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8.9材料与设备专用要求</w:t>
      </w:r>
    </w:p>
    <w:p w14:paraId="0E6DD0A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 </w:t>
      </w:r>
    </w:p>
    <w:p w14:paraId="34175A80">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b/>
          <w:color w:val="auto"/>
          <w:spacing w:val="-4"/>
          <w:kern w:val="0"/>
          <w:szCs w:val="21"/>
          <w:highlight w:val="none"/>
        </w:rPr>
        <w:t xml:space="preserve">9.试验与检验 </w:t>
      </w:r>
    </w:p>
    <w:p w14:paraId="513C9407">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 xml:space="preserve">9.1试验和检验业务 </w:t>
      </w:r>
    </w:p>
    <w:p w14:paraId="121D2DC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9.1.1试验和检验是指工程检测机构接受发包人委托，依据国家有关法律法规和工程建设强制性标准，对涉及结构安全和使用功能项目的抽样检测和进入施工现场的建筑材料、构配件、工程设备和工程的取样检测。 </w:t>
      </w:r>
    </w:p>
    <w:p w14:paraId="7ED9282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9.1.2试验和检验除专用合同另有约定外，应由发包人委托具有相应资质的检测机构进行检测。发包人应与检测机构签订书面委托合同，并支付相应的检测费用。发包人签订委托合同后的7天内应将被委托的检测机构名称及委托事项告之监理人、承包人。监理人、承包人必须将试验和检验交由被委托的检测机构进行。检测机构完成试验和检验业务后，出具检测报告。检测经发包人、监理人确定后，由承包人归档。 </w:t>
      </w:r>
    </w:p>
    <w:p w14:paraId="683CEA76">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9.2取样</w:t>
      </w:r>
    </w:p>
    <w:p w14:paraId="4252CBB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检测的试样取样，应严格执行工程建设的标准和国家的有关规定，在监理人和（或）发包人的监督下现场取样。提供质量检测试样的单位和个人，对试样的真伪负责。 </w:t>
      </w:r>
    </w:p>
    <w:p w14:paraId="3B74E60C">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9.3材料、工程设备和工程的试验和检验 </w:t>
      </w:r>
    </w:p>
    <w:p w14:paraId="62BDFE3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b/>
          <w:bCs/>
          <w:color w:val="auto"/>
          <w:spacing w:val="-4"/>
          <w:kern w:val="0"/>
          <w:szCs w:val="21"/>
          <w:highlight w:val="none"/>
        </w:rPr>
      </w:pPr>
      <w:r>
        <w:rPr>
          <w:rFonts w:hint="eastAsia" w:ascii="宋体" w:hAnsi="宋体" w:cs="宋体"/>
          <w:color w:val="auto"/>
          <w:spacing w:val="-4"/>
          <w:kern w:val="0"/>
          <w:szCs w:val="21"/>
          <w:highlight w:val="none"/>
        </w:rPr>
        <w:t xml:space="preserve">9.3.1承包人应按合同约定配合受委托的检测机构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 </w:t>
      </w:r>
    </w:p>
    <w:p w14:paraId="2E20EDA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9.3.2合同约定试验属于承包人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 </w:t>
      </w:r>
    </w:p>
    <w:p w14:paraId="32FD79F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和质量标准的，由此增加的费用和（或）延误的工期由承包人承担；重新试验和检验结果证明该项材料、</w:t>
      </w:r>
    </w:p>
    <w:p w14:paraId="6338DBC1">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工程设备和工程符合合同要求的，由此增加的费用和（或）延误的工期由发包人承担。 </w:t>
      </w:r>
    </w:p>
    <w:p w14:paraId="6337F9B1">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9.4现场工艺试验</w:t>
      </w:r>
    </w:p>
    <w:p w14:paraId="72BCB3A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承包人应按合同约定或监理人指示进行现场工艺试验。对大型的现场工艺试验，监理人认为必要时，承包人应根据监理人提出的工艺试验要求，编制工艺试验措施计划和试验经费，报送监理人审查。 </w:t>
      </w:r>
    </w:p>
    <w:p w14:paraId="5321DCC9">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color w:val="auto"/>
          <w:spacing w:val="-4"/>
          <w:kern w:val="0"/>
          <w:szCs w:val="21"/>
          <w:highlight w:val="none"/>
        </w:rPr>
        <w:t>10.变更</w:t>
      </w:r>
    </w:p>
    <w:p w14:paraId="799819F9">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10.1变更的范围</w:t>
      </w:r>
    </w:p>
    <w:p w14:paraId="6BF0558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除专用合同条款另有约定外，合同履行过程中发生以下情形的，应按照本条约定进行变更：</w:t>
      </w:r>
    </w:p>
    <w:p w14:paraId="1458D89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（1）增加或减少合同中任何工作，或追加额外的工作；</w:t>
      </w:r>
    </w:p>
    <w:p w14:paraId="1DEC129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（2）取消合同中任何工作，但转由他人实施的工作除外；</w:t>
      </w:r>
    </w:p>
    <w:p w14:paraId="1767ED8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（3）改变合同中任何工作的质量标准或其他特性；</w:t>
      </w:r>
    </w:p>
    <w:p w14:paraId="4D7ED82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（4）改变工程的基线、标高、位置和尺寸；</w:t>
      </w:r>
    </w:p>
    <w:p w14:paraId="6A5A4B6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（5）改变工程的时间安排或实施顺序。 </w:t>
      </w:r>
    </w:p>
    <w:p w14:paraId="25C6BD33">
      <w:pPr>
        <w:keepNext w:val="0"/>
        <w:keepLines w:val="0"/>
        <w:pageBreakBefore w:val="0"/>
        <w:kinsoku/>
        <w:wordWrap/>
        <w:overflowPunct/>
        <w:topLinePunct w:val="0"/>
        <w:autoSpaceDE/>
        <w:autoSpaceDN/>
        <w:bidi w:val="0"/>
        <w:spacing w:line="380" w:lineRule="exact"/>
        <w:ind w:right="23" w:rightChars="11" w:firstLine="398" w:firstLineChars="196"/>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10.2变更权</w:t>
      </w:r>
    </w:p>
    <w:p w14:paraId="6DD8D50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500791E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涉及设计变更的，应由设计人提供变更后的图纸和说明。如变更超过原设计标准或批准的建设规模时，发包人应及时办理规划、设计变更等审批手续。 </w:t>
      </w:r>
    </w:p>
    <w:p w14:paraId="0EE01D1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 xml:space="preserve">10.3变更程序 </w:t>
      </w:r>
    </w:p>
    <w:p w14:paraId="4A33FF3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10.3.1发包人提出变更</w:t>
      </w:r>
    </w:p>
    <w:p w14:paraId="74CB755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发包人提出变更的，应通过监理人向承包人发出变更指示，变更指示应说明计划变更的工程范围和变更的内容。 </w:t>
      </w:r>
    </w:p>
    <w:p w14:paraId="1F11F38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10.3.2监理人提出变更建议</w:t>
      </w:r>
    </w:p>
    <w:p w14:paraId="2D08B6A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 </w:t>
      </w:r>
    </w:p>
    <w:p w14:paraId="414FCB79">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10.3.3变更执行</w:t>
      </w:r>
    </w:p>
    <w:p w14:paraId="44D5FBC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承包人收到监理人下达的变更指示后，认为不能执行，应立即提出不能执行该变更指示的理由。承包人认为可以执行变更的，应当书面说明实施该变更指示对合同价格和工期的影响，且合同当事人应当按照第 10.4款〔变更估价〕约定确定变更估价。 </w:t>
      </w:r>
    </w:p>
    <w:p w14:paraId="6F6C8440">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 xml:space="preserve">10.4变更估价 </w:t>
      </w:r>
    </w:p>
    <w:p w14:paraId="006DFBB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10.4.1变更估价原则</w:t>
      </w:r>
    </w:p>
    <w:p w14:paraId="0F9ABBD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除专用合同条款另有约定外，变更估价按照本款约定处理： </w:t>
      </w:r>
    </w:p>
    <w:p w14:paraId="24D62BA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10"/>
          <w:kern w:val="0"/>
          <w:szCs w:val="21"/>
          <w:highlight w:val="none"/>
        </w:rPr>
      </w:pPr>
      <w:r>
        <w:rPr>
          <w:rFonts w:hint="eastAsia" w:ascii="宋体" w:hAnsi="宋体" w:cs="宋体"/>
          <w:color w:val="auto"/>
          <w:spacing w:val="-4"/>
          <w:kern w:val="0"/>
          <w:szCs w:val="21"/>
          <w:highlight w:val="none"/>
        </w:rPr>
        <w:t>10.4.1.1因工程变更引起已标价工程量清单项目或其他工程数量发生变化时，其相应的综合单价除专用合同条款另有约定外，按下列</w:t>
      </w:r>
      <w:r>
        <w:rPr>
          <w:rFonts w:hint="eastAsia" w:ascii="宋体" w:hAnsi="宋体" w:cs="宋体"/>
          <w:color w:val="auto"/>
          <w:spacing w:val="-10"/>
          <w:kern w:val="0"/>
          <w:szCs w:val="21"/>
          <w:highlight w:val="none"/>
        </w:rPr>
        <w:t>规定调整：</w:t>
      </w:r>
    </w:p>
    <w:p w14:paraId="67EEE9CC">
      <w:pPr>
        <w:keepNext w:val="0"/>
        <w:keepLines w:val="0"/>
        <w:pageBreakBefore w:val="0"/>
        <w:kinsoku/>
        <w:wordWrap/>
        <w:overflowPunct/>
        <w:topLinePunct w:val="0"/>
        <w:autoSpaceDE/>
        <w:autoSpaceDN/>
        <w:bidi w:val="0"/>
        <w:spacing w:line="380" w:lineRule="exact"/>
        <w:ind w:right="23" w:rightChars="11" w:firstLine="380" w:firstLineChars="200"/>
        <w:rPr>
          <w:rFonts w:hint="eastAsia" w:ascii="宋体" w:hAnsi="宋体" w:cs="宋体"/>
          <w:color w:val="auto"/>
          <w:spacing w:val="-4"/>
          <w:kern w:val="0"/>
          <w:szCs w:val="21"/>
          <w:highlight w:val="none"/>
        </w:rPr>
      </w:pPr>
      <w:r>
        <w:rPr>
          <w:rFonts w:hint="eastAsia" w:ascii="宋体" w:hAnsi="宋体" w:cs="宋体"/>
          <w:color w:val="auto"/>
          <w:spacing w:val="-10"/>
          <w:kern w:val="0"/>
          <w:szCs w:val="21"/>
          <w:highlight w:val="none"/>
        </w:rPr>
        <w:t xml:space="preserve">1.当分部分项工程量项目变更后调增量小于原工程量的15%（含15%）时，其综合单价按原综合单价确定。 </w:t>
      </w:r>
    </w:p>
    <w:p w14:paraId="7DFDB85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当分部分项工程量项目变更后调增量大于原工程量的15%以上部分，或由于设计变更引起新增项目时，其综合单价应按省建设行政主管部门颁发的建设工程消耗量标准，取费标准、计费程序、人工工资单价及工程造价管理机构发布的工程造价信息（工程造价信息没有发布的参照市场价）确定，但供应商投标报价时的优惠比例应予保持。</w:t>
      </w:r>
    </w:p>
    <w:p w14:paraId="5F4B0D62">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3.当分部分项工程量变更后调减的工程量以及因设计变更被取消的项目，其综合单价按原综合单价确定。 </w:t>
      </w:r>
    </w:p>
    <w:p w14:paraId="00E7F7F7">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10.4.1.2因工程变更引起施工方案改变使措施项目发生变化时承包人应提出调整措施项目费，并将拟实施的方案报送监理人审核、发包人确认，按下列约定调整措施项目费： </w:t>
      </w:r>
    </w:p>
    <w:p w14:paraId="0AD0B58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1.安全文明施工费应按调整后清单项目费和措施项目费计算。 </w:t>
      </w:r>
    </w:p>
    <w:p w14:paraId="57C0368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2.按系数计算的措施项目费，按调整后的清单项目费为基数调整。 </w:t>
      </w:r>
    </w:p>
    <w:p w14:paraId="2ED04C2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3.按总价计算的措施项目费，按实际发生的措施项目调整。 </w:t>
      </w:r>
    </w:p>
    <w:p w14:paraId="20D3857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4.按单价计算的措施项目费，按 </w:t>
      </w:r>
    </w:p>
    <w:p w14:paraId="38738CF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10.4.1.1的规定调整。 </w:t>
      </w:r>
    </w:p>
    <w:p w14:paraId="76FA7F4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10.4.2变更估价程序</w:t>
      </w:r>
    </w:p>
    <w:p w14:paraId="61DC9C63">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w:t>
      </w:r>
    </w:p>
    <w:p w14:paraId="020A6C1D">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申请。</w:t>
      </w:r>
    </w:p>
    <w:p w14:paraId="7A25C36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因变更引起的价格调整应计入最近一期的进度款中支付。 </w:t>
      </w:r>
    </w:p>
    <w:p w14:paraId="7EAE61C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10.5承包人的合理化建议</w:t>
      </w:r>
    </w:p>
    <w:p w14:paraId="0077E34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承包人提出合理化建议的，应向监理人提交合理化建议说明，说明建议的内容和理由，以及实施该建议对合同价格和工期的影响。</w:t>
      </w:r>
    </w:p>
    <w:p w14:paraId="2384578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7F281DC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合理化建议降低了合同价格或者提高了工程经济效益的，发包人可对承包人给予奖励，奖励的方法和金额在专用合同条款中约定。 </w:t>
      </w:r>
    </w:p>
    <w:p w14:paraId="4F10A7B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10.6变更引起的工期调整</w:t>
      </w:r>
    </w:p>
    <w:p w14:paraId="4A166D57">
      <w:pPr>
        <w:keepNext w:val="0"/>
        <w:keepLines w:val="0"/>
        <w:pageBreakBefore w:val="0"/>
        <w:kinsoku/>
        <w:wordWrap/>
        <w:overflowPunct/>
        <w:topLinePunct w:val="0"/>
        <w:autoSpaceDE/>
        <w:autoSpaceDN/>
        <w:bidi w:val="0"/>
        <w:spacing w:line="380" w:lineRule="exact"/>
        <w:ind w:right="23" w:rightChars="11" w:firstLine="505" w:firstLineChars="2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因变更引起工期变化的，合同当事人均可要求调整合同工期，由合同当事人按照第4.4款〔商定或确定〕并参考工程所在地的工期定额标准确定增减工期天数。 </w:t>
      </w:r>
    </w:p>
    <w:p w14:paraId="0096282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w:t>
      </w:r>
      <w:r>
        <w:rPr>
          <w:rFonts w:hint="eastAsia" w:ascii="宋体" w:hAnsi="宋体" w:cs="宋体"/>
          <w:b/>
          <w:bCs/>
          <w:color w:val="auto"/>
          <w:spacing w:val="-4"/>
          <w:kern w:val="0"/>
          <w:szCs w:val="21"/>
          <w:highlight w:val="none"/>
        </w:rPr>
        <w:t>10.7暂估价</w:t>
      </w:r>
    </w:p>
    <w:p w14:paraId="563745D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暂估价专业分包工程、服务、材料和工程设备的明细由合同当事人在专用合同条款中约定。 </w:t>
      </w:r>
    </w:p>
    <w:p w14:paraId="5D668E9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10.7.1依法必须招标的暂估价项目</w:t>
      </w:r>
    </w:p>
    <w:p w14:paraId="3D05958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对于依法必须招标的暂估价项目，采取以下第1种方式确定。合同当事人也可以在专用合同条款中选择其他招标方式。</w:t>
      </w:r>
    </w:p>
    <w:p w14:paraId="6488703A">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第 1种方式：对于依法必须招标的暂估价项目，由承包人招标，对该暂估价项目的确认和批准按照以下约定执行：</w:t>
      </w:r>
    </w:p>
    <w:p w14:paraId="190F584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07F4B4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（2）承包人应当根据施工进度计划，提前14天将招标文件通过监理人报送发包人审批，发包人应当在收到承包人报送的相关文件后 7天内完成审批或提出修改意见；发包人有权确定招标控制价并按照法律规定参加评标；</w:t>
      </w:r>
    </w:p>
    <w:p w14:paraId="43EE693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承包人与供应商、分包人在签订暂估价合同前，应当提前7天将确定的中标候选供应商或中标候选分包人的资料报送发包人，发包人应在收到资料后3天内与承包人共同确定成交供应商；承包人应当在签订合同后7天内，将暂估价合同副本报送发包人留存。</w:t>
      </w:r>
    </w:p>
    <w:p w14:paraId="3E54F42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第2种方式：对于依法必须招标的暂估价项目，由发包人和承包人共同招标确定暂估价供应商或分包人的，承包人应按照施工进度计划，在招标工作启动前14天通知发包人，并提交暂估价招标方案和工作分工。发包人应在收到后 7天内确认。确定成交供应商后，由发包人、承包人与成交供应商共同签订暂估价合同。 </w:t>
      </w:r>
    </w:p>
    <w:p w14:paraId="55DB579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10.7.2不属于依法必须招标的暂估价项目</w:t>
      </w:r>
    </w:p>
    <w:p w14:paraId="62F65BB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除专用合同条款另有约定外，对于不属于依法必须招标的暂估价项目，采取以下第1种方式确定：</w:t>
      </w:r>
    </w:p>
    <w:p w14:paraId="7805947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第1种方式：对于不属于依法必须招标的暂估价项目，按本项约定确认和批准：</w:t>
      </w:r>
    </w:p>
    <w:p w14:paraId="40BBB1B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（1）承包人应根据施工进度计划，在签订暂估价项目的采购合同、分包合同前28天向监理人提出书面申请。监理人应当在收到申请后 3天内报送发包人，发包人应当在收到申请后14天内给予批准或提出修改意见， 发包人逾期未予批准或提出修改意见的，视为该书面申请已获得同意；</w:t>
      </w:r>
    </w:p>
    <w:p w14:paraId="367F2586">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（2）发包人认为承包人确定的供应商、分包人无法满足工程质量或合同要求的，发包人可以要求承包人重新确定暂估价项目的供应商、分包人; </w:t>
      </w:r>
    </w:p>
    <w:p w14:paraId="0746679E">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（3）承包人应当在签订暂估价合同后 7天内，将暂估价合同副本报送发包人留存。</w:t>
      </w:r>
    </w:p>
    <w:p w14:paraId="20F19010">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第2种方式：承包人按照第 10.7.1项〔依法必须招标的暂估价项目〕约定的第 1种方式确定暂估价项目。</w:t>
      </w:r>
    </w:p>
    <w:p w14:paraId="798022EB">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第 3种方式：承包人直接实施的暂估价项目</w:t>
      </w:r>
    </w:p>
    <w:p w14:paraId="78ED3384">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承包人具备实施暂估价项目的资格和条件的，经发包人和承包人协商一致后，可由承包人自行实施暂估价项目，合同当事人可以在专用合同条款约定具体事项。 </w:t>
      </w:r>
    </w:p>
    <w:p w14:paraId="45677151">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10.7.3因发包人原因导致暂估价合同订立和履行迟延的，由此增加的费用和（或）延误的工期由发包人承担，并支付承包人合理的利润。因承包人原因导致暂估价合同订立和履行迟延的，由此增加的费用和（或）延误的工期由承包人承担。 </w:t>
      </w:r>
    </w:p>
    <w:p w14:paraId="67C83AB7">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10.8暂列金额</w:t>
      </w:r>
    </w:p>
    <w:p w14:paraId="4595704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暂列金额应按照发包人的要求使用，发包人的要求应通过监理人发出。合同当事人可以在专用合同条款中协商确定有关事项。 </w:t>
      </w:r>
    </w:p>
    <w:p w14:paraId="4A4D2614">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color w:val="auto"/>
          <w:spacing w:val="-4"/>
          <w:kern w:val="0"/>
          <w:szCs w:val="21"/>
          <w:highlight w:val="none"/>
        </w:rPr>
      </w:pPr>
      <w:r>
        <w:rPr>
          <w:rFonts w:hint="eastAsia" w:ascii="宋体" w:hAnsi="宋体" w:cs="宋体"/>
          <w:b/>
          <w:bCs/>
          <w:color w:val="auto"/>
          <w:spacing w:val="-4"/>
          <w:kern w:val="0"/>
          <w:szCs w:val="21"/>
          <w:highlight w:val="none"/>
        </w:rPr>
        <w:t>10.9计日工</w:t>
      </w:r>
    </w:p>
    <w:p w14:paraId="47E3822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变更工作的单价。</w:t>
      </w:r>
    </w:p>
    <w:p w14:paraId="6742FEE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采用计日工计价的任何一项工作，承包人应在该项工作实施过程中，每天提交以下报表和有关凭证报送监理人审查：</w:t>
      </w:r>
    </w:p>
    <w:p w14:paraId="1D5A25C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（1）工作名称、内容和数量；</w:t>
      </w:r>
    </w:p>
    <w:p w14:paraId="5798E66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（2）投入该工作的所有人员的姓名、专业、工种、级别和耗用工时；</w:t>
      </w:r>
    </w:p>
    <w:p w14:paraId="01AE2CF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（3）投入该工作的材料类别和数量；</w:t>
      </w:r>
    </w:p>
    <w:p w14:paraId="7B12766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（4）投入该工作的施工设备型号、台数和耗用台时；</w:t>
      </w:r>
    </w:p>
    <w:p w14:paraId="2770661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（5）其他有关资料和凭证。</w:t>
      </w:r>
    </w:p>
    <w:p w14:paraId="42507FB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计日工由承包人汇总后，列入最近一期进度付款申请单，由监理人审查并经发包人批准后列入进度付款。 </w:t>
      </w:r>
    </w:p>
    <w:p w14:paraId="0E3F2653">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kern w:val="0"/>
          <w:szCs w:val="21"/>
          <w:highlight w:val="none"/>
        </w:rPr>
      </w:pPr>
      <w:r>
        <w:rPr>
          <w:rFonts w:hint="eastAsia" w:ascii="宋体" w:hAnsi="宋体" w:cs="宋体"/>
          <w:b/>
          <w:color w:val="auto"/>
          <w:spacing w:val="-4"/>
          <w:kern w:val="0"/>
          <w:szCs w:val="21"/>
          <w:highlight w:val="none"/>
        </w:rPr>
        <w:t xml:space="preserve">11.价格调整 </w:t>
      </w:r>
    </w:p>
    <w:p w14:paraId="656644E9">
      <w:pPr>
        <w:keepNext w:val="0"/>
        <w:keepLines w:val="0"/>
        <w:pageBreakBefore w:val="0"/>
        <w:kinsoku/>
        <w:wordWrap/>
        <w:overflowPunct/>
        <w:topLinePunct w:val="0"/>
        <w:autoSpaceDE/>
        <w:autoSpaceDN/>
        <w:bidi w:val="0"/>
        <w:spacing w:line="380" w:lineRule="exact"/>
        <w:ind w:right="23" w:rightChars="11" w:firstLine="406" w:firstLineChars="200"/>
        <w:rPr>
          <w:rFonts w:hint="eastAsia" w:ascii="宋体" w:hAnsi="宋体" w:cs="宋体"/>
          <w:b/>
          <w:bCs/>
          <w:color w:val="auto"/>
          <w:spacing w:val="-4"/>
          <w:kern w:val="0"/>
          <w:szCs w:val="21"/>
          <w:highlight w:val="none"/>
        </w:rPr>
      </w:pPr>
      <w:r>
        <w:rPr>
          <w:rFonts w:hint="eastAsia" w:ascii="宋体" w:hAnsi="宋体" w:cs="宋体"/>
          <w:b/>
          <w:bCs/>
          <w:color w:val="auto"/>
          <w:spacing w:val="-4"/>
          <w:kern w:val="0"/>
          <w:szCs w:val="21"/>
          <w:highlight w:val="none"/>
        </w:rPr>
        <w:t>11.1市场价格波动引起的调整</w:t>
      </w:r>
    </w:p>
    <w:p w14:paraId="07C3165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除专用合同条款另有约定外，市场价格波动超过合同当事人约定的范围，合同价格应当调整。合同当事人可以在专用合同条款中约定选择以下一种方式对合同价格进行调整：</w:t>
      </w:r>
    </w:p>
    <w:p w14:paraId="6D0AD5B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第1种方式：采用价格指数进行价格调整。</w:t>
      </w:r>
    </w:p>
    <w:p w14:paraId="1956F4C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（1）价格调整公式</w:t>
      </w:r>
    </w:p>
    <w:p w14:paraId="3739383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因人工、材料和设备等价格波动影响合同价格时，根据专用合同条款中约定的数据，按以下公式计算差额并调整合同价格：</w:t>
      </w:r>
    </w:p>
    <w:p w14:paraId="12EAC7E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p>
    <w:p w14:paraId="14F1121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position w:val="-30"/>
          <w:szCs w:val="21"/>
          <w:highlight w:val="none"/>
        </w:rPr>
        <w:object>
          <v:shape id="_x0000_i1025" o:spt="75" type="#_x0000_t75" style="height:35pt;width:312pt;" o:ole="t" filled="f" o:preferrelative="t" stroked="f" coordsize="21600,21600">
            <v:path/>
            <v:fill on="f" alignshape="1" focussize="0,0"/>
            <v:stroke on="f"/>
            <v:imagedata r:id="rId11" o:title=""/>
            <o:lock v:ext="edit" aspectratio="t"/>
            <w10:wrap type="none"/>
            <w10:anchorlock/>
          </v:shape>
          <o:OLEObject Type="Embed" ProgID="Equation.3" ShapeID="_x0000_i1025" DrawAspect="Content" ObjectID="_1468075725" r:id="rId10">
            <o:LockedField>false</o:LockedField>
          </o:OLEObject>
        </w:object>
      </w:r>
      <w:r>
        <w:rPr>
          <w:rFonts w:hint="eastAsia" w:ascii="宋体" w:hAnsi="宋体" w:cs="宋体"/>
          <w:color w:val="auto"/>
          <w:kern w:val="0"/>
          <w:szCs w:val="21"/>
          <w:highlight w:val="none"/>
        </w:rPr>
        <w:t xml:space="preserve"> </w:t>
      </w:r>
    </w:p>
    <w:p w14:paraId="60B8B34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公式中：ΔP——需调整的价格差额； </w:t>
      </w:r>
    </w:p>
    <w:p w14:paraId="47074202">
      <w:pPr>
        <w:keepNext w:val="0"/>
        <w:keepLines w:val="0"/>
        <w:pageBreakBefore w:val="0"/>
        <w:kinsoku/>
        <w:wordWrap/>
        <w:overflowPunct/>
        <w:topLinePunct w:val="0"/>
        <w:autoSpaceDE/>
        <w:autoSpaceDN/>
        <w:bidi w:val="0"/>
        <w:spacing w:line="380" w:lineRule="exact"/>
        <w:ind w:right="23" w:rightChars="11" w:firstLine="412" w:firstLineChars="200"/>
        <w:rPr>
          <w:rFonts w:hint="eastAsia" w:ascii="宋体" w:hAnsi="宋体" w:cs="宋体"/>
          <w:color w:val="auto"/>
          <w:spacing w:val="-2"/>
          <w:kern w:val="0"/>
          <w:szCs w:val="21"/>
          <w:highlight w:val="none"/>
        </w:rPr>
      </w:pPr>
      <w:r>
        <w:rPr>
          <w:rFonts w:hint="eastAsia" w:ascii="宋体" w:hAnsi="宋体" w:cs="宋体"/>
          <w:color w:val="auto"/>
          <w:spacing w:val="-2"/>
          <w:kern w:val="0"/>
          <w:szCs w:val="21"/>
          <w:highlight w:val="none"/>
        </w:rPr>
        <w:t xml:space="preserve"> P</w:t>
      </w:r>
      <w:r>
        <w:rPr>
          <w:rFonts w:hint="eastAsia" w:ascii="宋体" w:hAnsi="宋体" w:cs="宋体"/>
          <w:color w:val="auto"/>
          <w:spacing w:val="-2"/>
          <w:kern w:val="0"/>
          <w:position w:val="-12"/>
          <w:szCs w:val="21"/>
          <w:highlight w:val="none"/>
        </w:rPr>
        <w:object>
          <v:shape id="_x0000_i1026" o:spt="75" type="#_x0000_t75" style="height:18pt;width:6.95pt;" o:ole="t" filled="f" o:preferrelative="t" stroked="f" coordsize="21600,21600">
            <v:path/>
            <v:fill on="f" alignshape="1" focussize="0,0"/>
            <v:stroke on="f"/>
            <v:imagedata r:id="rId13" o:title=""/>
            <o:lock v:ext="edit" aspectratio="t"/>
            <w10:wrap type="none"/>
            <w10:anchorlock/>
          </v:shape>
          <o:OLEObject Type="Embed" ProgID="Equation.3" ShapeID="_x0000_i1026" DrawAspect="Content" ObjectID="_1468075726" r:id="rId12">
            <o:LockedField>false</o:LockedField>
          </o:OLEObject>
        </w:object>
      </w:r>
      <w:r>
        <w:rPr>
          <w:rFonts w:hint="eastAsia" w:ascii="宋体" w:hAnsi="宋体" w:cs="宋体"/>
          <w:color w:val="auto"/>
          <w:spacing w:val="-2"/>
          <w:kern w:val="0"/>
          <w:szCs w:val="21"/>
          <w:highlight w:val="none"/>
        </w:rPr>
        <w:t xml:space="preserve">——约定的付款证书中承包人应得到的已完成工程量的金额。此项金额应不包括价格调整、不计质量保证金的扣留和支付、预付款的支付和扣回。约定的变更及其他金额已按现行价格计价的，也不计在内； </w:t>
      </w:r>
    </w:p>
    <w:p w14:paraId="2865BEE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pacing w:val="-4"/>
          <w:kern w:val="0"/>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spacing w:val="-4"/>
          <w:kern w:val="0"/>
          <w:szCs w:val="21"/>
          <w:highlight w:val="none"/>
        </w:rPr>
        <w:t xml:space="preserve">A——定值权重（即不调部分的权重）； </w:t>
      </w:r>
    </w:p>
    <w:p w14:paraId="3C538583">
      <w:pPr>
        <w:keepNext w:val="0"/>
        <w:keepLines w:val="0"/>
        <w:pageBreakBefore w:val="0"/>
        <w:kinsoku/>
        <w:wordWrap/>
        <w:overflowPunct/>
        <w:topLinePunct w:val="0"/>
        <w:autoSpaceDE/>
        <w:autoSpaceDN/>
        <w:bidi w:val="0"/>
        <w:spacing w:line="380" w:lineRule="exact"/>
        <w:ind w:right="23" w:rightChars="11" w:firstLine="505" w:firstLineChars="25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B</w:t>
      </w:r>
      <w:r>
        <w:rPr>
          <w:rFonts w:hint="eastAsia" w:ascii="宋体" w:hAnsi="宋体" w:cs="宋体"/>
          <w:color w:val="auto"/>
          <w:spacing w:val="-4"/>
          <w:kern w:val="0"/>
          <w:position w:val="-10"/>
          <w:szCs w:val="21"/>
          <w:highlight w:val="none"/>
        </w:rPr>
        <w:object>
          <v:shape id="_x0000_i1027" o:spt="75" type="#_x0000_t75" style="height:17pt;width:6pt;" o:ole="t" filled="f" o:preferrelative="t" stroked="f" coordsize="21600,21600">
            <v:path/>
            <v:fill on="f" alignshape="1" focussize="0,0"/>
            <v:stroke on="f"/>
            <v:imagedata r:id="rId15" o:title=""/>
            <o:lock v:ext="edit" aspectratio="t"/>
            <w10:wrap type="none"/>
            <w10:anchorlock/>
          </v:shape>
          <o:OLEObject Type="Embed" ProgID="Equation.3" ShapeID="_x0000_i1027" DrawAspect="Content" ObjectID="_1468075727" r:id="rId14">
            <o:LockedField>false</o:LockedField>
          </o:OLEObject>
        </w:object>
      </w:r>
      <w:r>
        <w:rPr>
          <w:rFonts w:hint="eastAsia" w:ascii="宋体" w:hAnsi="宋体" w:cs="宋体"/>
          <w:color w:val="auto"/>
          <w:spacing w:val="-4"/>
          <w:kern w:val="0"/>
          <w:szCs w:val="21"/>
          <w:highlight w:val="none"/>
        </w:rPr>
        <w:t>；B</w:t>
      </w:r>
      <w:r>
        <w:rPr>
          <w:rFonts w:hint="eastAsia" w:ascii="宋体" w:hAnsi="宋体" w:cs="宋体"/>
          <w:color w:val="auto"/>
          <w:spacing w:val="-4"/>
          <w:kern w:val="0"/>
          <w:position w:val="-10"/>
          <w:szCs w:val="21"/>
          <w:highlight w:val="none"/>
        </w:rPr>
        <w:object>
          <v:shape id="_x0000_i1028" o:spt="75" type="#_x0000_t75" style="height:17pt;width:8pt;" o:ole="t" filled="f" o:preferrelative="t" stroked="f" coordsize="21600,21600">
            <v:path/>
            <v:fill on="f" alignshape="1" focussize="0,0"/>
            <v:stroke on="f"/>
            <v:imagedata r:id="rId17" o:title=""/>
            <o:lock v:ext="edit" aspectratio="t"/>
            <w10:wrap type="none"/>
            <w10:anchorlock/>
          </v:shape>
          <o:OLEObject Type="Embed" ProgID="Equation.3" ShapeID="_x0000_i1028" DrawAspect="Content" ObjectID="_1468075728" r:id="rId16">
            <o:LockedField>false</o:LockedField>
          </o:OLEObject>
        </w:object>
      </w:r>
      <w:r>
        <w:rPr>
          <w:rFonts w:hint="eastAsia" w:ascii="宋体" w:hAnsi="宋体" w:cs="宋体"/>
          <w:color w:val="auto"/>
          <w:spacing w:val="-4"/>
          <w:kern w:val="0"/>
          <w:position w:val="-10"/>
          <w:szCs w:val="21"/>
          <w:highlight w:val="none"/>
        </w:rPr>
        <w:object>
          <v:shape id="_x0000_i1029" o:spt="75" type="#_x0000_t75" style="height:17pt;width:9pt;" o:ole="t" filled="f" o:preferrelative="t" stroked="f" coordsize="21600,21600">
            <v:path/>
            <v:fill on="f" alignshape="1" focussize="0,0"/>
            <v:stroke on="f"/>
            <v:imagedata r:id="rId19" o:title=""/>
            <o:lock v:ext="edit" aspectratio="t"/>
            <w10:wrap type="none"/>
            <w10:anchorlock/>
          </v:shape>
          <o:OLEObject Type="Embed" ProgID="Equation.3" ShapeID="_x0000_i1029" DrawAspect="Content" ObjectID="_1468075729" r:id="rId18">
            <o:LockedField>false</o:LockedField>
          </o:OLEObject>
        </w:object>
      </w:r>
      <w:r>
        <w:rPr>
          <w:rFonts w:hint="eastAsia" w:ascii="宋体" w:hAnsi="宋体" w:cs="宋体"/>
          <w:color w:val="auto"/>
          <w:spacing w:val="-4"/>
          <w:kern w:val="0"/>
          <w:szCs w:val="21"/>
          <w:highlight w:val="none"/>
        </w:rPr>
        <w:t>；B</w:t>
      </w:r>
      <w:r>
        <w:rPr>
          <w:rFonts w:hint="eastAsia" w:ascii="宋体" w:hAnsi="宋体" w:cs="宋体"/>
          <w:color w:val="auto"/>
          <w:spacing w:val="-4"/>
          <w:kern w:val="0"/>
          <w:position w:val="-12"/>
          <w:szCs w:val="21"/>
          <w:highlight w:val="none"/>
        </w:rPr>
        <w:object>
          <v:shape id="_x0000_i1030" o:spt="75" type="#_x0000_t75" style="height:18pt;width:6.95pt;" o:ole="t" filled="f" o:preferrelative="t" stroked="f" coordsize="21600,21600">
            <v:path/>
            <v:fill on="f" alignshape="1" focussize="0,0"/>
            <v:stroke on="f"/>
            <v:imagedata r:id="rId21" o:title=""/>
            <o:lock v:ext="edit" aspectratio="t"/>
            <w10:wrap type="none"/>
            <w10:anchorlock/>
          </v:shape>
          <o:OLEObject Type="Embed" ProgID="Equation.3" ShapeID="_x0000_i1030" DrawAspect="Content" ObjectID="_1468075730" r:id="rId20">
            <o:LockedField>false</o:LockedField>
          </o:OLEObject>
        </w:object>
      </w:r>
      <w:r>
        <w:rPr>
          <w:rFonts w:hint="eastAsia" w:ascii="宋体" w:hAnsi="宋体" w:cs="宋体"/>
          <w:color w:val="auto"/>
          <w:spacing w:val="-4"/>
          <w:kern w:val="0"/>
          <w:szCs w:val="21"/>
          <w:highlight w:val="none"/>
        </w:rPr>
        <w:t>……B</w:t>
      </w:r>
      <w:r>
        <w:rPr>
          <w:rFonts w:hint="eastAsia" w:ascii="宋体" w:hAnsi="宋体" w:cs="宋体"/>
          <w:color w:val="auto"/>
          <w:spacing w:val="-4"/>
          <w:kern w:val="0"/>
          <w:position w:val="-12"/>
          <w:szCs w:val="21"/>
          <w:highlight w:val="none"/>
        </w:rPr>
        <w:object>
          <v:shape id="_x0000_i1031" o:spt="75" type="#_x0000_t75" style="height:18pt;width:8pt;" o:ole="t" filled="f" o:preferrelative="t" stroked="f" coordsize="21600,21600">
            <v:path/>
            <v:fill on="f" alignshape="1" focussize="0,0"/>
            <v:stroke on="f"/>
            <v:imagedata r:id="rId23" o:title=""/>
            <o:lock v:ext="edit" aspectratio="t"/>
            <w10:wrap type="none"/>
            <w10:anchorlock/>
          </v:shape>
          <o:OLEObject Type="Embed" ProgID="Equation.3" ShapeID="_x0000_i1031" DrawAspect="Content" ObjectID="_1468075731" r:id="rId22">
            <o:LockedField>false</o:LockedField>
          </o:OLEObject>
        </w:object>
      </w:r>
      <w:r>
        <w:rPr>
          <w:rFonts w:hint="eastAsia" w:ascii="宋体" w:hAnsi="宋体" w:cs="宋体"/>
          <w:color w:val="auto"/>
          <w:spacing w:val="-4"/>
          <w:kern w:val="0"/>
          <w:szCs w:val="21"/>
          <w:highlight w:val="none"/>
        </w:rPr>
        <w:t xml:space="preserve"> ——各可调因子的变值权重（即可调部分的权重），为各可调因子在签约合同价中所占的比例； </w:t>
      </w:r>
    </w:p>
    <w:p w14:paraId="6C0FF0AC">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F</w:t>
      </w:r>
      <w:r>
        <w:rPr>
          <w:rFonts w:hint="eastAsia" w:ascii="宋体" w:hAnsi="宋体" w:cs="宋体"/>
          <w:color w:val="auto"/>
          <w:spacing w:val="-4"/>
          <w:kern w:val="0"/>
          <w:position w:val="-12"/>
          <w:szCs w:val="21"/>
          <w:highlight w:val="none"/>
        </w:rPr>
        <w:object>
          <v:shape id="_x0000_i1032" o:spt="75" type="#_x0000_t75" style="height:18pt;width:9pt;" o:ole="t" filled="f" o:preferrelative="t" stroked="f" coordsize="21600,21600">
            <v:path/>
            <v:fill on="f" alignshape="1" focussize="0,0"/>
            <v:stroke on="f"/>
            <v:imagedata r:id="rId25" o:title=""/>
            <o:lock v:ext="edit" aspectratio="t"/>
            <w10:wrap type="none"/>
            <w10:anchorlock/>
          </v:shape>
          <o:OLEObject Type="Embed" ProgID="Equation.3" ShapeID="_x0000_i1032" DrawAspect="Content" ObjectID="_1468075732" r:id="rId24">
            <o:LockedField>false</o:LockedField>
          </o:OLEObject>
        </w:object>
      </w:r>
      <w:r>
        <w:rPr>
          <w:rFonts w:hint="eastAsia" w:ascii="宋体" w:hAnsi="宋体" w:cs="宋体"/>
          <w:color w:val="auto"/>
          <w:spacing w:val="-4"/>
          <w:kern w:val="0"/>
          <w:szCs w:val="21"/>
          <w:highlight w:val="none"/>
        </w:rPr>
        <w:t>；F</w:t>
      </w:r>
      <w:r>
        <w:rPr>
          <w:rFonts w:hint="eastAsia" w:ascii="宋体" w:hAnsi="宋体" w:cs="宋体"/>
          <w:color w:val="auto"/>
          <w:spacing w:val="-4"/>
          <w:kern w:val="0"/>
          <w:position w:val="-12"/>
          <w:szCs w:val="21"/>
          <w:highlight w:val="none"/>
        </w:rPr>
        <w:object>
          <v:shape id="_x0000_i1033" o:spt="75" type="#_x0000_t75" style="height:18pt;width:10pt;" o:ole="t" filled="f" o:preferrelative="t" stroked="f" coordsize="21600,21600">
            <v:path/>
            <v:fill on="f" alignshape="1" focussize="0,0"/>
            <v:stroke on="f"/>
            <v:imagedata r:id="rId27" o:title=""/>
            <o:lock v:ext="edit" aspectratio="t"/>
            <w10:wrap type="none"/>
            <w10:anchorlock/>
          </v:shape>
          <o:OLEObject Type="Embed" ProgID="Equation.3" ShapeID="_x0000_i1033" DrawAspect="Content" ObjectID="_1468075733" r:id="rId26">
            <o:LockedField>false</o:LockedField>
          </o:OLEObject>
        </w:object>
      </w:r>
      <w:r>
        <w:rPr>
          <w:rFonts w:hint="eastAsia" w:ascii="宋体" w:hAnsi="宋体" w:cs="宋体"/>
          <w:color w:val="auto"/>
          <w:spacing w:val="-4"/>
          <w:kern w:val="0"/>
          <w:szCs w:val="21"/>
          <w:highlight w:val="none"/>
        </w:rPr>
        <w:t>；F</w:t>
      </w:r>
      <w:r>
        <w:rPr>
          <w:rFonts w:hint="eastAsia" w:ascii="宋体" w:hAnsi="宋体" w:cs="宋体"/>
          <w:color w:val="auto"/>
          <w:spacing w:val="-4"/>
          <w:kern w:val="0"/>
          <w:position w:val="-12"/>
          <w:szCs w:val="21"/>
          <w:highlight w:val="none"/>
        </w:rPr>
        <w:object>
          <v:shape id="_x0000_i1034" o:spt="75" type="#_x0000_t75" style="height:18pt;width:10pt;" o:ole="t" filled="f" o:preferrelative="t" stroked="f" coordsize="21600,21600">
            <v:path/>
            <v:fill on="f" alignshape="1" focussize="0,0"/>
            <v:stroke on="f"/>
            <v:imagedata r:id="rId29" o:title=""/>
            <o:lock v:ext="edit" aspectratio="t"/>
            <w10:wrap type="none"/>
            <w10:anchorlock/>
          </v:shape>
          <o:OLEObject Type="Embed" ProgID="Equation.3" ShapeID="_x0000_i1034" DrawAspect="Content" ObjectID="_1468075734" r:id="rId28">
            <o:LockedField>false</o:LockedField>
          </o:OLEObject>
        </w:object>
      </w:r>
      <w:r>
        <w:rPr>
          <w:rFonts w:hint="eastAsia" w:ascii="宋体" w:hAnsi="宋体" w:cs="宋体"/>
          <w:color w:val="auto"/>
          <w:spacing w:val="-4"/>
          <w:kern w:val="0"/>
          <w:szCs w:val="21"/>
          <w:highlight w:val="none"/>
        </w:rPr>
        <w:t>……F</w:t>
      </w:r>
      <w:r>
        <w:rPr>
          <w:rFonts w:hint="eastAsia" w:ascii="宋体" w:hAnsi="宋体" w:cs="宋体"/>
          <w:color w:val="auto"/>
          <w:spacing w:val="-4"/>
          <w:kern w:val="0"/>
          <w:position w:val="-12"/>
          <w:szCs w:val="21"/>
          <w:highlight w:val="none"/>
        </w:rPr>
        <w:object>
          <v:shape id="_x0000_i1035" o:spt="75" type="#_x0000_t75" style="height:18pt;width:9pt;" o:ole="t" filled="f" o:preferrelative="t" stroked="f" coordsize="21600,21600">
            <v:path/>
            <v:fill on="f" alignshape="1" focussize="0,0"/>
            <v:stroke on="f"/>
            <v:imagedata r:id="rId31" o:title=""/>
            <o:lock v:ext="edit" aspectratio="t"/>
            <w10:wrap type="none"/>
            <w10:anchorlock/>
          </v:shape>
          <o:OLEObject Type="Embed" ProgID="Equation.3" ShapeID="_x0000_i1035" DrawAspect="Content" ObjectID="_1468075735" r:id="rId30">
            <o:LockedField>false</o:LockedField>
          </o:OLEObject>
        </w:object>
      </w:r>
      <w:r>
        <w:rPr>
          <w:rFonts w:hint="eastAsia" w:ascii="宋体" w:hAnsi="宋体" w:cs="宋体"/>
          <w:color w:val="auto"/>
          <w:spacing w:val="-4"/>
          <w:kern w:val="0"/>
          <w:szCs w:val="21"/>
          <w:highlight w:val="none"/>
        </w:rPr>
        <w:t xml:space="preserve">——各可调因子的现行价格指数，指约定的付款证书相关周期最后一天的前 42天的各可调因子的价格指数； </w:t>
      </w:r>
    </w:p>
    <w:p w14:paraId="1D556E4F">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F</w:t>
      </w:r>
      <w:r>
        <w:rPr>
          <w:rFonts w:hint="eastAsia" w:ascii="宋体" w:hAnsi="宋体" w:cs="宋体"/>
          <w:color w:val="auto"/>
          <w:spacing w:val="-4"/>
          <w:kern w:val="0"/>
          <w:position w:val="-12"/>
          <w:szCs w:val="21"/>
          <w:highlight w:val="none"/>
        </w:rPr>
        <w:object>
          <v:shape id="_x0000_i1036" o:spt="75" type="#_x0000_t75" style="height:18pt;width:10pt;" o:ole="t" filled="f" o:preferrelative="t" stroked="f" coordsize="21600,21600">
            <v:path/>
            <v:fill on="f" alignshape="1" focussize="0,0"/>
            <v:stroke on="f"/>
            <v:imagedata r:id="rId33" o:title=""/>
            <o:lock v:ext="edit" aspectratio="t"/>
            <w10:wrap type="none"/>
            <w10:anchorlock/>
          </v:shape>
          <o:OLEObject Type="Embed" ProgID="Equation.3" ShapeID="_x0000_i1036" DrawAspect="Content" ObjectID="_1468075736" r:id="rId32">
            <o:LockedField>false</o:LockedField>
          </o:OLEObject>
        </w:object>
      </w:r>
      <w:r>
        <w:rPr>
          <w:rFonts w:hint="eastAsia" w:ascii="宋体" w:hAnsi="宋体" w:cs="宋体"/>
          <w:color w:val="auto"/>
          <w:spacing w:val="-4"/>
          <w:kern w:val="0"/>
          <w:szCs w:val="21"/>
          <w:highlight w:val="none"/>
        </w:rPr>
        <w:t>；F</w:t>
      </w:r>
      <w:r>
        <w:rPr>
          <w:rFonts w:hint="eastAsia" w:ascii="宋体" w:hAnsi="宋体" w:cs="宋体"/>
          <w:color w:val="auto"/>
          <w:spacing w:val="-4"/>
          <w:kern w:val="0"/>
          <w:position w:val="-12"/>
          <w:szCs w:val="21"/>
          <w:highlight w:val="none"/>
        </w:rPr>
        <w:object>
          <v:shape id="_x0000_i1037" o:spt="75" type="#_x0000_t75" style="height:18pt;width:11pt;" o:ole="t" filled="f" o:preferrelative="t" stroked="f" coordsize="21600,21600">
            <v:path/>
            <v:fill on="f" alignshape="1" focussize="0,0"/>
            <v:stroke on="f"/>
            <v:imagedata r:id="rId35" o:title=""/>
            <o:lock v:ext="edit" aspectratio="t"/>
            <w10:wrap type="none"/>
            <w10:anchorlock/>
          </v:shape>
          <o:OLEObject Type="Embed" ProgID="Equation.3" ShapeID="_x0000_i1037" DrawAspect="Content" ObjectID="_1468075737" r:id="rId34">
            <o:LockedField>false</o:LockedField>
          </o:OLEObject>
        </w:object>
      </w:r>
      <w:r>
        <w:rPr>
          <w:rFonts w:hint="eastAsia" w:ascii="宋体" w:hAnsi="宋体" w:cs="宋体"/>
          <w:color w:val="auto"/>
          <w:spacing w:val="-4"/>
          <w:kern w:val="0"/>
          <w:szCs w:val="21"/>
          <w:highlight w:val="none"/>
        </w:rPr>
        <w:t>；F</w:t>
      </w:r>
      <w:r>
        <w:rPr>
          <w:rFonts w:hint="eastAsia" w:ascii="宋体" w:hAnsi="宋体" w:cs="宋体"/>
          <w:color w:val="auto"/>
          <w:spacing w:val="-4"/>
          <w:kern w:val="0"/>
          <w:position w:val="-12"/>
          <w:szCs w:val="21"/>
          <w:highlight w:val="none"/>
        </w:rPr>
        <w:object>
          <v:shape id="_x0000_i1038" o:spt="75" type="#_x0000_t75" style="height:18pt;width:11pt;" o:ole="t" filled="f" o:preferrelative="t" stroked="f" coordsize="21600,21600">
            <v:path/>
            <v:fill on="f" alignshape="1" focussize="0,0"/>
            <v:stroke on="f"/>
            <v:imagedata r:id="rId37" o:title=""/>
            <o:lock v:ext="edit" aspectratio="t"/>
            <w10:wrap type="none"/>
            <w10:anchorlock/>
          </v:shape>
          <o:OLEObject Type="Embed" ProgID="Equation.3" ShapeID="_x0000_i1038" DrawAspect="Content" ObjectID="_1468075738" r:id="rId36">
            <o:LockedField>false</o:LockedField>
          </o:OLEObject>
        </w:object>
      </w:r>
      <w:r>
        <w:rPr>
          <w:rFonts w:hint="eastAsia" w:ascii="宋体" w:hAnsi="宋体" w:cs="宋体"/>
          <w:color w:val="auto"/>
          <w:spacing w:val="-4"/>
          <w:kern w:val="0"/>
          <w:szCs w:val="21"/>
          <w:highlight w:val="none"/>
        </w:rPr>
        <w:t>……F</w:t>
      </w:r>
      <w:r>
        <w:rPr>
          <w:rFonts w:hint="eastAsia" w:ascii="宋体" w:hAnsi="宋体" w:cs="宋体"/>
          <w:color w:val="auto"/>
          <w:spacing w:val="-4"/>
          <w:kern w:val="0"/>
          <w:position w:val="-12"/>
          <w:szCs w:val="21"/>
          <w:highlight w:val="none"/>
        </w:rPr>
        <w:object>
          <v:shape id="_x0000_i1039" o:spt="75" type="#_x0000_t75" style="height:18pt;width:12pt;" o:ole="t" filled="f" o:preferrelative="t" stroked="f" coordsize="21600,21600">
            <v:path/>
            <v:fill on="f" alignshape="1" focussize="0,0"/>
            <v:stroke on="f"/>
            <v:imagedata r:id="rId39" o:title=""/>
            <o:lock v:ext="edit" aspectratio="t"/>
            <w10:wrap type="none"/>
            <w10:anchorlock/>
          </v:shape>
          <o:OLEObject Type="Embed" ProgID="Equation.3" ShapeID="_x0000_i1039" DrawAspect="Content" ObjectID="_1468075739" r:id="rId38">
            <o:LockedField>false</o:LockedField>
          </o:OLEObject>
        </w:object>
      </w:r>
      <w:r>
        <w:rPr>
          <w:rFonts w:hint="eastAsia" w:ascii="宋体" w:hAnsi="宋体" w:cs="宋体"/>
          <w:color w:val="auto"/>
          <w:spacing w:val="-4"/>
          <w:kern w:val="0"/>
          <w:szCs w:val="21"/>
          <w:highlight w:val="none"/>
        </w:rPr>
        <w:t>——各可调因子的基本价格指数，指基准日期的各可调因子的价格指数。</w:t>
      </w:r>
    </w:p>
    <w:p w14:paraId="1C293A7D">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2"/>
          <w:kern w:val="0"/>
          <w:szCs w:val="21"/>
          <w:highlight w:val="none"/>
        </w:rPr>
      </w:pPr>
      <w:r>
        <w:rPr>
          <w:rFonts w:hint="eastAsia" w:ascii="宋体" w:hAnsi="宋体" w:cs="宋体"/>
          <w:color w:val="auto"/>
          <w:spacing w:val="-4"/>
          <w:kern w:val="0"/>
          <w:szCs w:val="21"/>
          <w:highlight w:val="none"/>
        </w:rPr>
        <w:t xml:space="preserve"> 以上价格调整公式中的各可调因子、定值和变值权重，以及基本价格指数及其来源在投标函附录价格指数和权重表中约定，</w:t>
      </w:r>
      <w:r>
        <w:rPr>
          <w:rFonts w:hint="eastAsia" w:ascii="宋体" w:hAnsi="宋体" w:cs="宋体"/>
          <w:color w:val="auto"/>
          <w:spacing w:val="2"/>
          <w:kern w:val="0"/>
          <w:szCs w:val="21"/>
          <w:highlight w:val="none"/>
        </w:rPr>
        <w:t>非招标订立的合同，</w:t>
      </w:r>
      <w:r>
        <w:rPr>
          <w:rFonts w:hint="eastAsia" w:ascii="宋体" w:hAnsi="宋体" w:cs="宋体"/>
          <w:color w:val="auto"/>
          <w:spacing w:val="-2"/>
          <w:kern w:val="0"/>
          <w:szCs w:val="21"/>
          <w:highlight w:val="none"/>
        </w:rPr>
        <w:t>由合同当事人在专用合同条款中约定。价格指数应首先采用工程造价管理机构发布的价格指数，无前述价格指数时，可采用工程造价管理机构发布的价格代替。</w:t>
      </w:r>
    </w:p>
    <w:p w14:paraId="7D038CF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（2）暂时确定调整差额</w:t>
      </w:r>
    </w:p>
    <w:p w14:paraId="473C632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在计算调整差额时无现行价格指数的，合同当事人同意暂用前次价格指数计算。实际价格指数有调整的，合同当事人进行相应调整。   </w:t>
      </w:r>
    </w:p>
    <w:p w14:paraId="2B0546B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（3）权重的调整</w:t>
      </w:r>
    </w:p>
    <w:p w14:paraId="5EF93A8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因变更导致合同约定的权重不合理时，按照第4.4款〔商定或确定〕执行。</w:t>
      </w:r>
    </w:p>
    <w:p w14:paraId="01509ABC">
      <w:pPr>
        <w:keepNext w:val="0"/>
        <w:keepLines w:val="0"/>
        <w:pageBreakBefore w:val="0"/>
        <w:kinsoku/>
        <w:wordWrap/>
        <w:overflowPunct/>
        <w:topLinePunct w:val="0"/>
        <w:autoSpaceDE/>
        <w:autoSpaceDN/>
        <w:bidi w:val="0"/>
        <w:spacing w:line="380" w:lineRule="exact"/>
        <w:ind w:right="23" w:rightChars="11"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（4）因承包人原因工期延误后的价格调整</w:t>
      </w:r>
    </w:p>
    <w:p w14:paraId="5EE0BC0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35590FA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第2种方式：采用造价信息进行价格调整。</w:t>
      </w:r>
    </w:p>
    <w:p w14:paraId="0DBE23B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合同履行期间，因人工、材料、工程设备和机械台班价格波动影响合同价格时，人工、机械使用费按照国家或省建设行政管理部门、行业建设管理部门或其授权的工程造价管理机构发布的人工、机械台班单价进行调整；需要进行价格调整的材料，其单价和采购数量应由发包人审批，发包人确认需调整的材料单价及数量，作为调整合同价格的依据。</w:t>
      </w:r>
    </w:p>
    <w:p w14:paraId="6D673878">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 （1）人工单价发生变化且符合省级或行业建设主管部门发布的人工费调整规定，</w:t>
      </w:r>
      <w:r>
        <w:rPr>
          <w:rFonts w:hint="eastAsia" w:ascii="宋体" w:hAnsi="宋体" w:cs="宋体"/>
          <w:color w:val="auto"/>
          <w:kern w:val="0"/>
          <w:szCs w:val="21"/>
          <w:highlight w:val="none"/>
        </w:rPr>
        <w:t>合同当事人应按省级或行业建设主管部门或其授权的工程造价管理机构发布的人工费等文件调整合同价格，</w:t>
      </w:r>
      <w:r>
        <w:rPr>
          <w:rFonts w:hint="eastAsia" w:ascii="宋体" w:hAnsi="宋体" w:cs="宋体"/>
          <w:color w:val="auto"/>
          <w:spacing w:val="-4"/>
          <w:kern w:val="0"/>
          <w:szCs w:val="21"/>
          <w:highlight w:val="none"/>
        </w:rPr>
        <w:t>但承包人对人工费或人工单价的报价高于发布价格的除外。</w:t>
      </w:r>
    </w:p>
    <w:p w14:paraId="142B2C35">
      <w:pPr>
        <w:keepNext w:val="0"/>
        <w:keepLines w:val="0"/>
        <w:pageBreakBefore w:val="0"/>
        <w:kinsoku/>
        <w:wordWrap/>
        <w:overflowPunct/>
        <w:topLinePunct w:val="0"/>
        <w:autoSpaceDE/>
        <w:autoSpaceDN/>
        <w:bidi w:val="0"/>
        <w:spacing w:line="380" w:lineRule="exact"/>
        <w:ind w:right="23" w:rightChars="11" w:firstLine="404" w:firstLineChars="200"/>
        <w:rPr>
          <w:rFonts w:hint="eastAsia" w:ascii="宋体" w:hAnsi="宋体" w:cs="宋体"/>
          <w:color w:val="auto"/>
          <w:spacing w:val="-4"/>
          <w:kern w:val="0"/>
          <w:szCs w:val="21"/>
          <w:highlight w:val="none"/>
        </w:rPr>
      </w:pPr>
      <w:r>
        <w:rPr>
          <w:rFonts w:hint="eastAsia" w:ascii="宋体" w:hAnsi="宋体" w:cs="宋体"/>
          <w:color w:val="auto"/>
          <w:spacing w:val="-4"/>
          <w:kern w:val="0"/>
          <w:szCs w:val="21"/>
          <w:highlight w:val="none"/>
        </w:rPr>
        <w:t xml:space="preserve">（2）材料、工程设备价格变化的价款调整按照发包人提供的基准价格，按以下风险范围规定执行: </w:t>
      </w:r>
    </w:p>
    <w:p w14:paraId="19E7F42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①承包人在已标价工程量清单或预算书中载明的材料、工程设备单价，在合同履行期间涨、跌幅以基准价格为基础超过风险范围时，据实调整。 </w:t>
      </w:r>
    </w:p>
    <w:p w14:paraId="52F171D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②承包人在投标报价中载明的材料、工程设备单价在合同履行期</w:t>
      </w:r>
    </w:p>
    <w:p w14:paraId="1BE5B1BA">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kern w:val="0"/>
          <w:szCs w:val="21"/>
          <w:highlight w:val="none"/>
        </w:rPr>
      </w:pPr>
      <w:r>
        <w:rPr>
          <w:rFonts w:hint="eastAsia" w:ascii="宋体" w:hAnsi="宋体" w:cs="宋体"/>
          <w:color w:val="auto"/>
          <w:kern w:val="0"/>
          <w:szCs w:val="21"/>
          <w:highlight w:val="none"/>
        </w:rPr>
        <w:t>间涨、跌幅超过省及各市州建设行政主管部门各期间发布的预算价格</w:t>
      </w:r>
    </w:p>
    <w:p w14:paraId="05BBAD98">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kern w:val="0"/>
          <w:szCs w:val="21"/>
          <w:highlight w:val="none"/>
        </w:rPr>
      </w:pPr>
      <w:r>
        <w:rPr>
          <w:rFonts w:hint="eastAsia" w:ascii="宋体" w:hAnsi="宋体" w:cs="宋体"/>
          <w:color w:val="auto"/>
          <w:kern w:val="0"/>
          <w:szCs w:val="21"/>
          <w:highlight w:val="none"/>
        </w:rPr>
        <w:t>的风险范围时，据实调整。</w:t>
      </w:r>
    </w:p>
    <w:p w14:paraId="0C5E51D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（3）风险范围及幅度，专用合同条款有约定的按其约定，专用合同条款没有约定，按以下幅度为准： </w:t>
      </w:r>
    </w:p>
    <w:p w14:paraId="22C74B1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①建筑工程、市政工程与仿古建筑工程的风险幅度值为±3%。 </w:t>
      </w:r>
    </w:p>
    <w:p w14:paraId="23D0745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②装饰工程、安装工程与园林景观工程的风险幅度值为±5%。</w:t>
      </w:r>
    </w:p>
    <w:p w14:paraId="3EA7AAFE">
      <w:pPr>
        <w:keepNext w:val="0"/>
        <w:keepLines w:val="0"/>
        <w:pageBreakBefore w:val="0"/>
        <w:kinsoku/>
        <w:wordWrap/>
        <w:overflowPunct/>
        <w:topLinePunct w:val="0"/>
        <w:autoSpaceDE/>
        <w:autoSpaceDN/>
        <w:bidi w:val="0"/>
        <w:spacing w:line="380" w:lineRule="exact"/>
        <w:ind w:left="546" w:leftChars="260" w:right="23" w:rightChars="11"/>
        <w:rPr>
          <w:rFonts w:hint="eastAsia" w:ascii="宋体" w:hAnsi="宋体" w:cs="宋体"/>
          <w:color w:val="auto"/>
          <w:kern w:val="0"/>
          <w:szCs w:val="21"/>
          <w:highlight w:val="none"/>
        </w:rPr>
      </w:pPr>
      <w:r>
        <w:rPr>
          <w:rFonts w:hint="eastAsia" w:ascii="宋体" w:hAnsi="宋体" w:cs="宋体"/>
          <w:color w:val="auto"/>
          <w:spacing w:val="-4"/>
          <w:kern w:val="0"/>
          <w:szCs w:val="21"/>
          <w:highlight w:val="none"/>
        </w:rPr>
        <w:t>（4）发生合同工期延误，应按下列约定，确定合同履行期的价格：因非承包人原因导致工期延误，计划进度日期后续工程的材料、</w:t>
      </w:r>
      <w:r>
        <w:rPr>
          <w:rFonts w:hint="eastAsia" w:ascii="宋体" w:hAnsi="宋体" w:cs="宋体"/>
          <w:color w:val="auto"/>
          <w:kern w:val="0"/>
          <w:szCs w:val="21"/>
          <w:highlight w:val="none"/>
        </w:rPr>
        <w:t>工程设备价格，应采用计划进度日期与实际进度日期两者之间的较高者。</w:t>
      </w:r>
    </w:p>
    <w:p w14:paraId="0FB9B0E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因承包人原因导致工期延误，计划日期后续工程的材料、工程设备价格，应采用计划进度日期与实际进度日期两者之间的较低者。</w:t>
      </w:r>
    </w:p>
    <w:p w14:paraId="288A395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前述基准价格是指由发包人在招标文件或专用合同条款中给定的材料、工程设备的价格，该价格原则上应当按照省级或行业建设主管部门或其授权的工程造价管理机构发布的信息价编制。</w:t>
      </w:r>
    </w:p>
    <w:p w14:paraId="0B1AB63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（5）施工机械台班单价的调整，根据机械台班中所包括的人工和燃料、动力数量按第 11.1款中的第 2种方法调整。</w:t>
      </w:r>
    </w:p>
    <w:p w14:paraId="41A3B35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第 3种方式：专用合同条款约定的其他方式。 </w:t>
      </w:r>
    </w:p>
    <w:p w14:paraId="79963B1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hint="eastAsia" w:ascii="宋体" w:hAnsi="宋体" w:cs="宋体"/>
          <w:b/>
          <w:bCs/>
          <w:color w:val="auto"/>
          <w:spacing w:val="-4"/>
          <w:kern w:val="0"/>
          <w:szCs w:val="21"/>
          <w:highlight w:val="none"/>
        </w:rPr>
        <w:t>11.2法律变化引起的调整</w:t>
      </w:r>
    </w:p>
    <w:p w14:paraId="71C7217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因法律变化引起的合同价格和工期调整，合同当事人无法达成一致的，由总监理工程师按第4.4款〔商定或确定〕的约定处理。因承包人原因造成工期延误，在工期延误期间出现法律变化的，由此增加的费用和（或）延误的工期由承包人承担。 </w:t>
      </w:r>
    </w:p>
    <w:p w14:paraId="021CB3EF">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zCs w:val="21"/>
          <w:highlight w:val="none"/>
        </w:rPr>
      </w:pPr>
      <w:r>
        <w:rPr>
          <w:rFonts w:hint="eastAsia" w:ascii="宋体" w:hAnsi="宋体" w:cs="宋体"/>
          <w:b/>
          <w:color w:val="auto"/>
          <w:szCs w:val="21"/>
          <w:highlight w:val="none"/>
        </w:rPr>
        <w:t xml:space="preserve">12.合同价格、计量与支付 </w:t>
      </w:r>
    </w:p>
    <w:p w14:paraId="7D435986">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12.1合同价格形式</w:t>
      </w:r>
    </w:p>
    <w:p w14:paraId="2165E7D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发包人和承包人应在合同协议书中选择下列一种合同价格形式： </w:t>
      </w:r>
    </w:p>
    <w:p w14:paraId="0A089BB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1.单价合同</w:t>
      </w:r>
    </w:p>
    <w:p w14:paraId="2B2D644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 11.1款〔市场价格波动引起的调整〕约定执行。 </w:t>
      </w:r>
    </w:p>
    <w:p w14:paraId="1B0902F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2.总价合同</w:t>
      </w:r>
    </w:p>
    <w:p w14:paraId="5353FFA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 11.1款</w:t>
      </w:r>
      <w:r>
        <w:rPr>
          <w:rFonts w:hint="eastAsia" w:ascii="宋体" w:hAnsi="宋体" w:cs="宋体"/>
          <w:color w:val="auto"/>
          <w:spacing w:val="-2"/>
          <w:szCs w:val="21"/>
          <w:highlight w:val="none"/>
        </w:rPr>
        <w:t>〔市场价格波动引起的调整〕、因法律变化引起的调整按第 11.2款〔法</w:t>
      </w:r>
      <w:r>
        <w:rPr>
          <w:rFonts w:hint="eastAsia" w:ascii="宋体" w:hAnsi="宋体" w:cs="宋体"/>
          <w:color w:val="auto"/>
          <w:szCs w:val="21"/>
          <w:highlight w:val="none"/>
        </w:rPr>
        <w:t xml:space="preserve">律变化引起的调整〕约定执行。 </w:t>
      </w:r>
    </w:p>
    <w:p w14:paraId="5A09F3D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3.其它价格形式</w:t>
      </w:r>
    </w:p>
    <w:p w14:paraId="6AE5018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合同当事人可在专用合同条款中约定其他合同价格形式。 </w:t>
      </w:r>
    </w:p>
    <w:p w14:paraId="6009F87F">
      <w:pPr>
        <w:keepNext w:val="0"/>
        <w:keepLines w:val="0"/>
        <w:pageBreakBefore w:val="0"/>
        <w:kinsoku/>
        <w:wordWrap/>
        <w:overflowPunct/>
        <w:topLinePunct w:val="0"/>
        <w:autoSpaceDE/>
        <w:autoSpaceDN/>
        <w:bidi w:val="0"/>
        <w:spacing w:line="380" w:lineRule="exact"/>
        <w:ind w:right="23" w:rightChars="11"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 xml:space="preserve">12.2预付款 </w:t>
      </w:r>
    </w:p>
    <w:p w14:paraId="66B9CBB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12.2.1预付款的支付</w:t>
      </w:r>
    </w:p>
    <w:p w14:paraId="089886A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预付款的支付按照专用合同条款约定执行，但最迟应在开工通知载明的开工日期 7天前支付。预付款应当用于材料、工程设备、施工设备的采购及修建临时工程、组织施工队伍进场等。</w:t>
      </w:r>
    </w:p>
    <w:p w14:paraId="42803F4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除专用合同条款另有约定外，预付款在进度付款中同比例扣回。在颁发工程接收证书前，提前解除合同的，尚未扣完的预付款应与合同价款一并结算。</w:t>
      </w:r>
    </w:p>
    <w:p w14:paraId="5E407CA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发包人逾期支付预付款超过 7天的，承包人有权向发包人发出要求预付的催告通知，发包人收到通知后 7天内仍未支付的，承包人有权暂停施工，并按第 16.1.1项〔发包人违约的情形〕执行。 </w:t>
      </w:r>
    </w:p>
    <w:p w14:paraId="56122BF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12.2.2预付款担保</w:t>
      </w:r>
    </w:p>
    <w:p w14:paraId="7432FCD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发包人要求承包人提供预付款担保的，承包人应在发包人支付预付款 7天前提供预付款担保，专用合同条款另有约定除外。预付款担保可采用银行保函、担保公司担保等形式，具体由合同当事人在专用合同条款中约定。在预付款完全扣回之前，承包人应保证预付款担保持续有效。</w:t>
      </w:r>
    </w:p>
    <w:p w14:paraId="187064A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发包人在工程款中逐期扣回预付款后，预付款担保额度应相应减少，但剩余的预付款担保金额不得低于未被扣回的预付款金额。</w:t>
      </w:r>
    </w:p>
    <w:p w14:paraId="5FFA1FA6">
      <w:pPr>
        <w:keepNext w:val="0"/>
        <w:keepLines w:val="0"/>
        <w:pageBreakBefore w:val="0"/>
        <w:kinsoku/>
        <w:wordWrap/>
        <w:overflowPunct/>
        <w:topLinePunct w:val="0"/>
        <w:autoSpaceDE/>
        <w:autoSpaceDN/>
        <w:bidi w:val="0"/>
        <w:spacing w:line="380" w:lineRule="exact"/>
        <w:ind w:right="23" w:rightChars="11" w:firstLine="411" w:firstLineChars="195"/>
        <w:rPr>
          <w:rFonts w:hint="eastAsia" w:ascii="宋体" w:hAnsi="宋体" w:cs="宋体"/>
          <w:b/>
          <w:color w:val="auto"/>
          <w:szCs w:val="21"/>
          <w:highlight w:val="none"/>
        </w:rPr>
      </w:pPr>
      <w:r>
        <w:rPr>
          <w:rFonts w:hint="eastAsia" w:ascii="宋体" w:hAnsi="宋体" w:cs="宋体"/>
          <w:b/>
          <w:color w:val="auto"/>
          <w:szCs w:val="21"/>
          <w:highlight w:val="none"/>
        </w:rPr>
        <w:t xml:space="preserve">12.3计量 </w:t>
      </w:r>
    </w:p>
    <w:p w14:paraId="35E18B7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12.3.1计量原则</w:t>
      </w:r>
    </w:p>
    <w:p w14:paraId="29534B6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工程量计量按照合同约定的工程量计算规则、图纸及变更指示等进行计量。工程量计算规则应以相关的国家标准、行业标准等为依据，由合同当事人在专用合同条款中约定。 </w:t>
      </w:r>
    </w:p>
    <w:p w14:paraId="2781565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12.3.2计量周期</w:t>
      </w:r>
    </w:p>
    <w:p w14:paraId="35CFF0E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除专用合同条款另有约定外，工程量的计量按月进行。 </w:t>
      </w:r>
    </w:p>
    <w:p w14:paraId="49E921A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12.3.3单价合同的计量</w:t>
      </w:r>
    </w:p>
    <w:p w14:paraId="3594A44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除专用合同条款另有约定外，单价合同的计量按照本项约定执行：</w:t>
      </w:r>
    </w:p>
    <w:p w14:paraId="5E6DAA7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（1）承包人应于每月25日向监理人报送上月 20日至当月19日已完成的工程量报告，并附具进度付款申请单、已完成工程量报表和有关资料。</w:t>
      </w:r>
    </w:p>
    <w:p w14:paraId="4C919DD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78B946E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（3）监理人未在收到承包人提交的工程量报表后的7天内完成审核的，承包人报送的工程量报告中的工程量视为承包人实际完成的工程量，据此计算工程价款。 </w:t>
      </w:r>
    </w:p>
    <w:p w14:paraId="605CACC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12.3.4总价合同的计量</w:t>
      </w:r>
    </w:p>
    <w:p w14:paraId="41790F9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除专用合同条款另有约定外，按月计量支付的总价合同，按照本项约定执行：</w:t>
      </w:r>
    </w:p>
    <w:p w14:paraId="00945D8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（1）承包人应于每月25日向监理人报送上月20日至当月19日已完成的工程量报告，并附具进度付款申请单、已完成工程量报表和有关资料。</w:t>
      </w:r>
    </w:p>
    <w:p w14:paraId="5CBF4FD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250A342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（3）监理人未在收到承包人提交的工程量报表后的7天内完成复核的，承包人提交的工程量报告中的工程量视为承包人实际完成的工程量。 </w:t>
      </w:r>
    </w:p>
    <w:p w14:paraId="3C9025F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12.3.5总价合同采用支付分解表计量支付的，可以按照第12.3.4项〔总价合同的计量〕约定进行计量，但合同价款按照支付分解表进行支付。 </w:t>
      </w:r>
    </w:p>
    <w:p w14:paraId="0E4167C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12.3.6其他价格形式合同的计量</w:t>
      </w:r>
    </w:p>
    <w:p w14:paraId="7BEB6A9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合同当事人可在专用合同条款中约定其他价格形式合同的计量方式和程序。 </w:t>
      </w:r>
    </w:p>
    <w:p w14:paraId="4EAB2013">
      <w:pPr>
        <w:keepNext w:val="0"/>
        <w:keepLines w:val="0"/>
        <w:pageBreakBefore w:val="0"/>
        <w:kinsoku/>
        <w:wordWrap/>
        <w:overflowPunct/>
        <w:topLinePunct w:val="0"/>
        <w:autoSpaceDE/>
        <w:autoSpaceDN/>
        <w:bidi w:val="0"/>
        <w:spacing w:line="380" w:lineRule="exact"/>
        <w:ind w:right="23" w:rightChars="11" w:firstLine="312" w:firstLineChars="148"/>
        <w:rPr>
          <w:rFonts w:hint="eastAsia" w:ascii="宋体" w:hAnsi="宋体" w:cs="宋体"/>
          <w:b/>
          <w:color w:val="auto"/>
          <w:szCs w:val="21"/>
          <w:highlight w:val="none"/>
        </w:rPr>
      </w:pPr>
      <w:r>
        <w:rPr>
          <w:rFonts w:hint="eastAsia" w:ascii="宋体" w:hAnsi="宋体" w:cs="宋体"/>
          <w:b/>
          <w:color w:val="auto"/>
          <w:szCs w:val="21"/>
          <w:highlight w:val="none"/>
        </w:rPr>
        <w:t xml:space="preserve">12.4工程进度款支付 </w:t>
      </w:r>
    </w:p>
    <w:p w14:paraId="655EC07D">
      <w:pPr>
        <w:keepNext w:val="0"/>
        <w:keepLines w:val="0"/>
        <w:pageBreakBefore w:val="0"/>
        <w:kinsoku/>
        <w:wordWrap/>
        <w:overflowPunct/>
        <w:topLinePunct w:val="0"/>
        <w:autoSpaceDE/>
        <w:autoSpaceDN/>
        <w:bidi w:val="0"/>
        <w:spacing w:line="380" w:lineRule="exact"/>
        <w:ind w:left="141" w:leftChars="67" w:right="23" w:rightChars="11" w:firstLine="315" w:firstLineChars="150"/>
        <w:rPr>
          <w:rFonts w:hint="eastAsia" w:ascii="宋体" w:hAnsi="宋体" w:cs="宋体"/>
          <w:color w:val="auto"/>
          <w:szCs w:val="21"/>
          <w:highlight w:val="none"/>
        </w:rPr>
      </w:pPr>
      <w:r>
        <w:rPr>
          <w:rFonts w:hint="eastAsia" w:ascii="宋体" w:hAnsi="宋体" w:cs="宋体"/>
          <w:color w:val="auto"/>
          <w:szCs w:val="21"/>
          <w:highlight w:val="none"/>
        </w:rPr>
        <w:t xml:space="preserve">12.4.1付款周期  </w:t>
      </w:r>
    </w:p>
    <w:p w14:paraId="2CD44521">
      <w:pPr>
        <w:keepNext w:val="0"/>
        <w:keepLines w:val="0"/>
        <w:pageBreakBefore w:val="0"/>
        <w:kinsoku/>
        <w:wordWrap/>
        <w:overflowPunct/>
        <w:topLinePunct w:val="0"/>
        <w:autoSpaceDE/>
        <w:autoSpaceDN/>
        <w:bidi w:val="0"/>
        <w:spacing w:line="380" w:lineRule="exact"/>
        <w:ind w:left="141" w:leftChars="67" w:right="23" w:rightChars="11" w:firstLine="315" w:firstLineChars="15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除专用合同条款另有约定外，付款周期应按照第12.3.2项〔计量周期〕的约定与计量周期保持一致。 </w:t>
      </w:r>
    </w:p>
    <w:p w14:paraId="42DED60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12.4.2进度付款申请单的编制</w:t>
      </w:r>
    </w:p>
    <w:p w14:paraId="5D33FF9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除专用合同条款另有约定外，进度付款申请单应包括下列内容：</w:t>
      </w:r>
    </w:p>
    <w:p w14:paraId="0475F09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（1）截至本次付款周期已完成工作对应的金额；</w:t>
      </w:r>
    </w:p>
    <w:p w14:paraId="4B0F255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（2）根据第10条〔变更〕应增加和扣减的变更金额；</w:t>
      </w:r>
    </w:p>
    <w:p w14:paraId="13D4092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（3）根据第12.2款〔预付款〕约定应支付的预付款和扣减的返还预付款；</w:t>
      </w:r>
    </w:p>
    <w:p w14:paraId="5271335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（4）根据第15.3款〔质量保证金〕约定应扣减的质量保证金；</w:t>
      </w:r>
    </w:p>
    <w:p w14:paraId="54948C3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（5）根据第19条〔索赔〕应增加和扣减的索赔金额；</w:t>
      </w:r>
    </w:p>
    <w:p w14:paraId="631AA6E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（6）对已签发的进度款支付证书中出现错误的修正，应在本次进度付款中支付或扣除的金额；</w:t>
      </w:r>
    </w:p>
    <w:p w14:paraId="4731B97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（7）根据合同约定应增加和扣减的其他金额。 </w:t>
      </w:r>
    </w:p>
    <w:p w14:paraId="48CA8F2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12.4.3进度付款申请单的提交</w:t>
      </w:r>
    </w:p>
    <w:p w14:paraId="3571287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（1）单价合同进度付款申请单的提交</w:t>
      </w:r>
    </w:p>
    <w:p w14:paraId="7CEDFC9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单价合同的进度付款申请单，按照第 12.3.3项〔单价合同的计量〕约定的时间按月向监理人提交，并附上已完成工程量报表和有关资料。单价合同中的总价项目按月进行支付分解，并汇总列入当期进度付款申请单。</w:t>
      </w:r>
    </w:p>
    <w:p w14:paraId="788FE38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（2）总价合同进度付款申请单的提交</w:t>
      </w:r>
    </w:p>
    <w:p w14:paraId="33F0148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总价合同按月计量支付的，承包人按照第 12.3.4项〔总价合同的计量〕约定的时间按月向监理人提交进度付款申请单，并附上已完成工程量报表和有关资料。</w:t>
      </w:r>
    </w:p>
    <w:p w14:paraId="0E861B8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总价合同按支付分解表支付的，承包人应按照第12.4.6项〔支付分解表〕及第12.4.2项〔进度付款申请单的编制〕的约定向监理人提交进度付款申请单。</w:t>
      </w:r>
    </w:p>
    <w:p w14:paraId="0D3A857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（3）其他价格形式合同的进度付款申请单的提交</w:t>
      </w:r>
    </w:p>
    <w:p w14:paraId="6D17317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合同当事人可在专用合同条款中约定其他价格形式合同的进度付款申请单的编制和提交程序。 </w:t>
      </w:r>
    </w:p>
    <w:p w14:paraId="23A95E3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12.4.4进度款审核和支付</w:t>
      </w:r>
    </w:p>
    <w:p w14:paraId="763DCFF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4268596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2051D92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719E107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（3）发包人签发进度款支付证书或临时进度款支付证书，不表明发包人已同意、批准或接受了承包人完成的相应部分的工作。 </w:t>
      </w:r>
    </w:p>
    <w:p w14:paraId="5B87D61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12.4.5进度付款的修正</w:t>
      </w:r>
    </w:p>
    <w:p w14:paraId="1AB287B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在对已签发的进度款支付证书进行阶段汇总和复核中发现错误、遗漏或重复的，发包人和承包人均有权提出修正申请。经发包人和承包人同意的修正，应在下期进度付款中支付或扣除。 </w:t>
      </w:r>
    </w:p>
    <w:p w14:paraId="42F7E0F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12.4.6支付分解表 </w:t>
      </w:r>
    </w:p>
    <w:p w14:paraId="4A71E73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1、支付分解表的编制要求</w:t>
      </w:r>
    </w:p>
    <w:p w14:paraId="14304DD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（1）支付分解表中所列的每期付款金额，应为第 </w:t>
      </w:r>
    </w:p>
    <w:p w14:paraId="025ED5F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12.4.2项〔进度付款申请单的编制〕第（1）目的估算金额；</w:t>
      </w:r>
    </w:p>
    <w:p w14:paraId="3516891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（2）实际进度与施工进度计划不一致的，合同当事人可按照第 4.4款〔商定或确定〕修改支付分解表；</w:t>
      </w:r>
    </w:p>
    <w:p w14:paraId="5C793CA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（3）不采用支付分解表的，承包人应向发包人和监理人提交按季度编制的支付估算分解表，用于支付参考。 </w:t>
      </w:r>
    </w:p>
    <w:p w14:paraId="762C65E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2、总价合同支付分解表的编制与审批</w:t>
      </w:r>
    </w:p>
    <w:p w14:paraId="0308669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0C81A66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（2）监理人应在收到支付分解表后7天内完成审核并报送发包人。发包人应在收到经监理人审核的支付分解表后7天内完成审批，经发包人批准的支付分解表为有约束力的支付分解表。</w:t>
      </w:r>
    </w:p>
    <w:p w14:paraId="29C3135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（3）发包人逾期未完成支付分解表审批的，也未及时要求承包人</w:t>
      </w:r>
    </w:p>
    <w:p w14:paraId="62203ACA">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进行修正和提供补充资料的，则承包人提交的支付分解表视为已经获得发包人批准。</w:t>
      </w:r>
    </w:p>
    <w:p w14:paraId="75A24D1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3、单价合同的总价项目支付分解表的编制与审批</w:t>
      </w:r>
    </w:p>
    <w:p w14:paraId="4BAC5EC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 </w:t>
      </w:r>
    </w:p>
    <w:p w14:paraId="06F0FB12">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12.5支付账户</w:t>
      </w:r>
    </w:p>
    <w:p w14:paraId="77DD6A1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发包人应将合同价款支付至合同协议书中约定的承包人账户。 </w:t>
      </w:r>
    </w:p>
    <w:p w14:paraId="77036EEC">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zCs w:val="21"/>
          <w:highlight w:val="none"/>
        </w:rPr>
      </w:pPr>
      <w:r>
        <w:rPr>
          <w:rFonts w:hint="eastAsia" w:ascii="宋体" w:hAnsi="宋体" w:cs="宋体"/>
          <w:b/>
          <w:color w:val="auto"/>
          <w:szCs w:val="21"/>
          <w:highlight w:val="none"/>
        </w:rPr>
        <w:t xml:space="preserve">13.验收和工程试车 </w:t>
      </w:r>
    </w:p>
    <w:p w14:paraId="552CF454">
      <w:pPr>
        <w:keepNext w:val="0"/>
        <w:keepLines w:val="0"/>
        <w:pageBreakBefore w:val="0"/>
        <w:kinsoku/>
        <w:wordWrap/>
        <w:overflowPunct/>
        <w:topLinePunct w:val="0"/>
        <w:autoSpaceDE/>
        <w:autoSpaceDN/>
        <w:bidi w:val="0"/>
        <w:spacing w:line="380" w:lineRule="exact"/>
        <w:ind w:right="23" w:rightChars="11" w:firstLine="417" w:firstLineChars="198"/>
        <w:rPr>
          <w:rFonts w:hint="eastAsia" w:ascii="宋体" w:hAnsi="宋体" w:cs="宋体"/>
          <w:b/>
          <w:color w:val="auto"/>
          <w:szCs w:val="21"/>
          <w:highlight w:val="none"/>
        </w:rPr>
      </w:pPr>
      <w:r>
        <w:rPr>
          <w:rFonts w:hint="eastAsia" w:ascii="宋体" w:hAnsi="宋体" w:cs="宋体"/>
          <w:b/>
          <w:color w:val="auto"/>
          <w:szCs w:val="21"/>
          <w:highlight w:val="none"/>
        </w:rPr>
        <w:t xml:space="preserve">13.1分部分项工程验收 </w:t>
      </w:r>
    </w:p>
    <w:p w14:paraId="67401AB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13.1.1分部分项工程质量应符合国家有关工程施工验收规范、标准及合同约定，承包人应按照施工图设计文件和施工组织设计的要求完成分部分项工程施工。 </w:t>
      </w:r>
    </w:p>
    <w:p w14:paraId="5AAB91A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13.1.2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分部分项工程的验收资料应当作为竣工资料的组成部分。 </w:t>
      </w:r>
    </w:p>
    <w:p w14:paraId="07A49EC6">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13.2竣工验收 </w:t>
      </w:r>
    </w:p>
    <w:p w14:paraId="5F5985B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13.2.1竣工验收条件</w:t>
      </w:r>
    </w:p>
    <w:p w14:paraId="494605C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工程具备以下条件的，承包人可以申请竣工验收：</w:t>
      </w:r>
    </w:p>
    <w:p w14:paraId="16AE546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（1）除发包人同意的甩项工作和缺陷修补工作外，合同范围内的全部工程以及有关工作，包括合同要求的试验、试运行以及检验均已完成，并符合合同要求；</w:t>
      </w:r>
    </w:p>
    <w:p w14:paraId="7D578F4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（2）已按合同约定编制了甩项工作和缺陷修补工作清单以及相应的施工计划；</w:t>
      </w:r>
    </w:p>
    <w:p w14:paraId="4250C40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（3）已按合同约定的内容和份数备齐竣工资料。 </w:t>
      </w:r>
    </w:p>
    <w:p w14:paraId="15C4DB3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13.2.2竣工验收程序</w:t>
      </w:r>
    </w:p>
    <w:p w14:paraId="5172E0E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除专用合同条款另有约定外，承包人申请竣工验收的，应当按照以下程序进行：</w:t>
      </w:r>
    </w:p>
    <w:p w14:paraId="2351376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2FF5927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监理人审查后认为已具备竣工验收条件的，应将竣工验收申请报告提交发包人，发包人应在收到经监理人审核的竣工验收申请报告后28天内审批完毕，并在建设主管部门质量监督机构监督下组织监理人、承包人、设计人等相关单位完成竣工验收。</w:t>
      </w:r>
    </w:p>
    <w:p w14:paraId="58CD0F0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（3）竣工验收合格的，发包人应在验收合格后14天内向承包人签发工程接收证书。发包人无正当理由逾期不颁发工程接收证书的，自验收合格后第15天起视为已颁发工程接收证书。</w:t>
      </w:r>
    </w:p>
    <w:p w14:paraId="6C8C762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160BB5D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11617CB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除专用合同条款另有约定外，发包人不按照本项约定组织竣工验收、颁发工程接收证书的，每逾期一天，应以签约合同价为基数，按照中国人民银行发布的同期同类贷款基准利率支付违约金。 </w:t>
      </w:r>
    </w:p>
    <w:p w14:paraId="49E8008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13.2.3竣工日期</w:t>
      </w:r>
    </w:p>
    <w:p w14:paraId="062108E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工程经竣工验收合格的，以竣工验收合格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w:t>
      </w:r>
    </w:p>
    <w:p w14:paraId="7B30E3F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13.2.4拒绝接收全部或部分工程</w:t>
      </w:r>
    </w:p>
    <w:p w14:paraId="3BB6DFC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 </w:t>
      </w:r>
    </w:p>
    <w:p w14:paraId="328B39E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13.2.5移交、接收全部与部分工程</w:t>
      </w:r>
    </w:p>
    <w:p w14:paraId="5DE22F2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除专用合同条款另有约定外，合同当事人应当在颁发工程接收证书后7天内完成工程的移交。</w:t>
      </w:r>
    </w:p>
    <w:p w14:paraId="2AB6046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0D99E50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承包人无正当理由不移交工程的，承包人应承担工程照管、成品保护、保管等与工程有关的各项费用，合同当事人可以在专用合同条款中另行约定承包人无正当理由不移交工程的违约责任。 </w:t>
      </w:r>
    </w:p>
    <w:p w14:paraId="3C5BE78C">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13.3工程试车 </w:t>
      </w:r>
    </w:p>
    <w:p w14:paraId="5DAF260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13.3.1试车程序</w:t>
      </w:r>
    </w:p>
    <w:p w14:paraId="02A7CEE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工程需要试车的，除专用合同条款另有约定外，试车内容应与承包人承包范围相一致，试车费用由承包人承担。工程试车应按如下程序进行：</w:t>
      </w:r>
    </w:p>
    <w:p w14:paraId="7313379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（1）具备单机无负荷试车条件，承包人组织试车，并在试车前 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436C25F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7580042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（2）具备无负荷联动试车条件，发包人组织试车，并在试车前 48小时以书面形式通知承包人。通知中应载明试车内容、时间、地点和对承包人的要求，承包人按要求做好准备工作。试车合格，合同当事人在试车记录上签字。承包人无正当理由不参加试车的，视为认可试车记录。 </w:t>
      </w:r>
    </w:p>
    <w:p w14:paraId="7821D46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13.3.2试车中的责任</w:t>
      </w:r>
    </w:p>
    <w:p w14:paraId="10068F2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61DA7D2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 </w:t>
      </w:r>
    </w:p>
    <w:p w14:paraId="5CBA9B3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13.3.3投料试车</w:t>
      </w:r>
    </w:p>
    <w:p w14:paraId="2C457F85">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如需进行投料试车的，发包人应在工程竣工验收后组织投料试车。</w:t>
      </w:r>
    </w:p>
    <w:p w14:paraId="00EF63DB">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发包人要求在工程竣工验收前进行或需要承包人配合时，应征得承包人同意，并在专用合同条款中约定有关事项。</w:t>
      </w:r>
    </w:p>
    <w:p w14:paraId="0654A8A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 </w:t>
      </w:r>
    </w:p>
    <w:p w14:paraId="6A006345">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13.4提前交付单位工程的验收 </w:t>
      </w:r>
    </w:p>
    <w:p w14:paraId="06E921B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13.4.1发包人需要在工程竣工前使用单位工程的，或承包人提出提前交付已经竣工的单位工程且经发包人同意的，可进行单位工程验收，验收的程序按照第13.2款〔竣工验收〕的约定进行。</w:t>
      </w:r>
    </w:p>
    <w:p w14:paraId="4639470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验收合格后，由监理人向承包人出具经发包人签认的单位工程接收证书。已签发单位工程接收证书的单位工程由发包人负责照管。单位工程的验收成果和结论作为整体工程竣工验收申请报告的附件。 </w:t>
      </w:r>
    </w:p>
    <w:p w14:paraId="15EAB2A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13.4.2发包人要求在工程竣工前交付单位工程，由此导致承包人费用增加和（或）工期延误的，由发包人承担由此增加的费用和（或）延误的工期，并支付承包人合理的利润。 </w:t>
      </w:r>
    </w:p>
    <w:p w14:paraId="3029C7E3">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13.5施工期运行 </w:t>
      </w:r>
    </w:p>
    <w:p w14:paraId="3E388B3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13.5.1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 </w:t>
      </w:r>
    </w:p>
    <w:p w14:paraId="68738B6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13.5.2在施工期运行中发现工程或工程设备损坏或存在缺陷的，由承包人按第15.2款〔缺陷责任期〕约定进行修复。 </w:t>
      </w:r>
    </w:p>
    <w:p w14:paraId="760D8C23">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13.6竣工退场</w:t>
      </w:r>
    </w:p>
    <w:p w14:paraId="239B0D9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13.6.1竣工退场</w:t>
      </w:r>
    </w:p>
    <w:p w14:paraId="4D1D72F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颁发工程接收证书后，承包人应按以下要求对施工现场进行清理：</w:t>
      </w:r>
    </w:p>
    <w:p w14:paraId="1D751D2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（1）施工现场内残留的垃圾已全部清除出场；</w:t>
      </w:r>
    </w:p>
    <w:p w14:paraId="4BA64EB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（2）临时工程已拆除，场地已进行清理、平整或复原；</w:t>
      </w:r>
    </w:p>
    <w:p w14:paraId="7BBDDE8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（3）按合同约定应撤离的人员、承包人施工设备和剩余的材料，包括废弃的施工设备和材料，已按计划撤离施工现场；</w:t>
      </w:r>
    </w:p>
    <w:p w14:paraId="1F7327A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（4）施工现场周边及其附近道路、河道的施工堆积物，已全部清</w:t>
      </w:r>
    </w:p>
    <w:p w14:paraId="41FAF421">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理；</w:t>
      </w:r>
    </w:p>
    <w:p w14:paraId="3AF8950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施工现场其他场地清理工作已全部完成。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 </w:t>
      </w:r>
    </w:p>
    <w:p w14:paraId="211EBBE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13.6.2地表还原</w:t>
      </w:r>
    </w:p>
    <w:p w14:paraId="1D17274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承包人应按发包人要求恢复临时占地及清理场地，承包人未按发包人的要求恢复临时占地，或者场地清理未达到合同约定要求的，发包人有权委托其他人恢复或清理，所发生的费用由承包人承担。 </w:t>
      </w:r>
    </w:p>
    <w:p w14:paraId="24503779">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zCs w:val="21"/>
          <w:highlight w:val="none"/>
        </w:rPr>
      </w:pPr>
      <w:r>
        <w:rPr>
          <w:rFonts w:hint="eastAsia" w:ascii="宋体" w:hAnsi="宋体" w:cs="宋体"/>
          <w:b/>
          <w:color w:val="auto"/>
          <w:szCs w:val="21"/>
          <w:highlight w:val="none"/>
        </w:rPr>
        <w:t xml:space="preserve">14.竣工结算 </w:t>
      </w:r>
    </w:p>
    <w:p w14:paraId="0E38FBA9">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14.1竣工结算申请</w:t>
      </w:r>
    </w:p>
    <w:p w14:paraId="6D6EF09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除专用合同条款另有约定外，承包人应在工程竣工验收合格后28天内向发包人和监理人提交竣工结算申请单，并提交完整的结算资料，有关竣工结算申请单的资料清单和份数等要求由合同当事人在专用合</w:t>
      </w:r>
    </w:p>
    <w:p w14:paraId="6A75FB22">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同条款中约定。</w:t>
      </w:r>
    </w:p>
    <w:p w14:paraId="6AD2367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除专用合同条款另有约定外，竣工结算申请单应包括以下内容：</w:t>
      </w:r>
    </w:p>
    <w:p w14:paraId="79E2474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（1）竣工结算合同价格；</w:t>
      </w:r>
    </w:p>
    <w:p w14:paraId="7245C69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（2）发包人已支付承包人的款项；</w:t>
      </w:r>
    </w:p>
    <w:p w14:paraId="6F99BF5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（3）应扣留的质量保证金；</w:t>
      </w:r>
    </w:p>
    <w:p w14:paraId="5185B26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（4）发包人应支付承包人的合同价款。 </w:t>
      </w:r>
    </w:p>
    <w:p w14:paraId="438530C1">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14.2竣工结算审核</w:t>
      </w:r>
    </w:p>
    <w:p w14:paraId="774C259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5653B0E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596BF72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（2）除专用合同条款另有约定外，发包人应在签发竣工付款证书后的14天内，完成对承包人的竣工付款。发包人逾期支付的，按照中国人民银行发布的同期同类贷款基准利率支付违约金；逾期支付超过 56天的，按照中国人民银行发布的同期同类贷款基准利率的两倍支付违约金。</w:t>
      </w:r>
    </w:p>
    <w:p w14:paraId="53BE583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 </w:t>
      </w:r>
    </w:p>
    <w:p w14:paraId="3822F2A2">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14.3甩项竣工协议</w:t>
      </w:r>
    </w:p>
    <w:p w14:paraId="79860BF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发包人要求甩项竣工的，合同当事人应签订甩项竣工协议。在甩项竣工协议中应明确，合同当事人按照第14.1款〔竣工结算申请〕及 14.2款〔竣工结算审核〕的约定，对已完合格工程进行结算，并支付相应合同价款。 </w:t>
      </w:r>
    </w:p>
    <w:p w14:paraId="625F604F">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14.4最终结清 </w:t>
      </w:r>
    </w:p>
    <w:p w14:paraId="437FC53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14.4.1最终结清申请单</w:t>
      </w:r>
    </w:p>
    <w:p w14:paraId="526060F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（1）除专用合同条款另有约定外，承包人应在缺陷责任期终止证书颁发后7天内，按专用合同条款约定的份数向发包人提交最终结清申请单，并提供相关证明材料。</w:t>
      </w:r>
    </w:p>
    <w:p w14:paraId="0699E09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除专用合同条款另有约定外，最终结清申请单应列明质量保证金、应扣除的质量保证金、缺陷责任期内发生的增减费用。</w:t>
      </w:r>
    </w:p>
    <w:p w14:paraId="7286D11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（2）发包人对最终结清申请单内容有异议的，有权要求承包人进行修正和提供补充资料，承包人应向发包人提交修正后的最终结清申请单。 </w:t>
      </w:r>
    </w:p>
    <w:p w14:paraId="2A6A794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14.4.2最终结清证书和支付</w:t>
      </w:r>
    </w:p>
    <w:p w14:paraId="2D911CEC">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7775DFC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29ED976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（3）承包人对发包人颁发的最终结清证书有异议的，按第20条〔争议解决〕的约定办理。 </w:t>
      </w:r>
    </w:p>
    <w:p w14:paraId="48C0BC7E">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zCs w:val="21"/>
          <w:highlight w:val="none"/>
        </w:rPr>
      </w:pPr>
      <w:r>
        <w:rPr>
          <w:rFonts w:hint="eastAsia" w:ascii="宋体" w:hAnsi="宋体" w:cs="宋体"/>
          <w:b/>
          <w:color w:val="auto"/>
          <w:szCs w:val="21"/>
          <w:highlight w:val="none"/>
        </w:rPr>
        <w:t xml:space="preserve">15.缺陷责任与保修 </w:t>
      </w:r>
    </w:p>
    <w:p w14:paraId="675478A4">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15.1工程保修的原则</w:t>
      </w:r>
    </w:p>
    <w:p w14:paraId="782A47E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在工程移交发包人后，因承包人原因产生的质量缺陷，承包人应承担质量缺陷责任和保修义务。缺陷责任期届满，承包人仍应按合同约定的工程各部位保修年限承担保修义务。 </w:t>
      </w:r>
    </w:p>
    <w:p w14:paraId="267CBF43">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15.2缺陷责任期 </w:t>
      </w:r>
    </w:p>
    <w:p w14:paraId="51D9DF2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15.2.1缺陷责任期自实际竣工日期起计算，合同当事人应在专用合同条款约定缺陷责任期的具体期限，但该期限最长不超过24个月.</w:t>
      </w:r>
    </w:p>
    <w:p w14:paraId="5CB507E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单位工程先于全部工程进行验收，经验收合格并交付使用的，该单位工程缺陷责任期自单位工程验收合格之日起算。因发包人原因导致工程无法按合同约定期限进行竣工验收的，缺陷责任期自承包人提交竣工验收申请报告之日起开始计算；发包人未经竣工验收擅自使用工程的，缺陷责任期自工程转移占有之日起开始计算。 </w:t>
      </w:r>
    </w:p>
    <w:p w14:paraId="407487C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15.2.2工程竣工验收合格后，因承包人原因导致的缺陷或损坏致使工程、单位工程或某项主要设备不能按原定目的使用的，则发包人有权要求承包人延长缺陷责任期，并应在原缺陷责任期届满前发出延长通知，但缺陷责任期最长不能超过24个月。 </w:t>
      </w:r>
    </w:p>
    <w:p w14:paraId="253C766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15.2.3任何一项缺陷或损坏修复后，经检查证明其影响了工程或工程设备的使用性能，承包人应重新进行合同约定的试验和试运行，试验和试运行的全部费用应由责任方承担。 </w:t>
      </w:r>
    </w:p>
    <w:p w14:paraId="207A862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15.2.4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 </w:t>
      </w:r>
    </w:p>
    <w:p w14:paraId="3107A7F5">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15.3质量保证金</w:t>
      </w:r>
    </w:p>
    <w:p w14:paraId="2138BA5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经合同当事人协商一致扣留质量保证金的，应在专用合同条款中予以明确。 </w:t>
      </w:r>
    </w:p>
    <w:p w14:paraId="5B782D4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15.3.1承包人提供质量保证金的方式</w:t>
      </w:r>
    </w:p>
    <w:p w14:paraId="41A2396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承包人提供质量保证金有以下三种方式：</w:t>
      </w:r>
    </w:p>
    <w:p w14:paraId="49742EF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（1）质量保证金保函；</w:t>
      </w:r>
    </w:p>
    <w:p w14:paraId="006E97C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（2）相应比例的工程款；</w:t>
      </w:r>
    </w:p>
    <w:p w14:paraId="2E16298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（3）双方约定的其他方式。</w:t>
      </w:r>
    </w:p>
    <w:p w14:paraId="3D1BE43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除专用合同条款另有约定外，质量保证金原则上采用上述第（1）种方式。 </w:t>
      </w:r>
    </w:p>
    <w:p w14:paraId="0A3B30B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15.3.2质量保证金的扣留</w:t>
      </w:r>
    </w:p>
    <w:p w14:paraId="386DC29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质量保证金的扣留有以下三种方式：</w:t>
      </w:r>
    </w:p>
    <w:p w14:paraId="1AB16DD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（1）在支付工程进度款时逐次扣留，在此情形下，质量保证金的计算基数不包括预付款的支付、扣回以及价格调整的金额；</w:t>
      </w:r>
    </w:p>
    <w:p w14:paraId="660A17D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（2）工程竣工结算时一次性扣留质量保证金；</w:t>
      </w:r>
    </w:p>
    <w:p w14:paraId="4A0AFF5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（3）双方约定的其他扣留方式。</w:t>
      </w:r>
    </w:p>
    <w:p w14:paraId="76B8B7D9">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除专用合同条款另有约定外，质量保证金的扣留原则上采用上述第（1）种方式。</w:t>
      </w:r>
    </w:p>
    <w:p w14:paraId="3DA3F0C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发包人累计扣留的质量保证金不得超过结算合同价格的</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xml:space="preserve">%，如承包人在发包人签发竣工付款证书后28天内提交质量保证金保函，发包人应同时退还扣留的作为质量保证金的工程价款。 </w:t>
      </w:r>
    </w:p>
    <w:p w14:paraId="6409B24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15.3.3质量保证金的退还</w:t>
      </w:r>
    </w:p>
    <w:p w14:paraId="2E04D02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发包人应按14.4款〔最终结清〕的约定退还质量保证金。 </w:t>
      </w:r>
    </w:p>
    <w:p w14:paraId="589C0AD9">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15.4保修 </w:t>
      </w:r>
    </w:p>
    <w:p w14:paraId="3DA66499">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15.4.1保修责任</w:t>
      </w:r>
    </w:p>
    <w:p w14:paraId="1BBAEF89">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0B98F7F9">
      <w:pPr>
        <w:keepNext w:val="0"/>
        <w:keepLines w:val="0"/>
        <w:pageBreakBefore w:val="0"/>
        <w:kinsoku/>
        <w:wordWrap/>
        <w:overflowPunct/>
        <w:topLinePunct w:val="0"/>
        <w:autoSpaceDE/>
        <w:autoSpaceDN/>
        <w:bidi w:val="0"/>
        <w:spacing w:line="380" w:lineRule="exact"/>
        <w:ind w:left="546" w:leftChars="260" w:right="23" w:rightChars="11"/>
        <w:rPr>
          <w:rFonts w:hint="eastAsia" w:ascii="宋体" w:hAnsi="宋体" w:cs="宋体"/>
          <w:color w:val="auto"/>
          <w:spacing w:val="-4"/>
          <w:kern w:val="28"/>
          <w:szCs w:val="21"/>
          <w:highlight w:val="none"/>
        </w:rPr>
      </w:pPr>
      <w:r>
        <w:rPr>
          <w:rFonts w:hint="eastAsia" w:ascii="宋体" w:hAnsi="宋体" w:cs="宋体"/>
          <w:color w:val="auto"/>
          <w:spacing w:val="-4"/>
          <w:kern w:val="28"/>
          <w:szCs w:val="21"/>
          <w:highlight w:val="none"/>
        </w:rPr>
        <w:t>发包人未经竣工验收擅自使用工程的，保修期自转移占有之日起算。</w:t>
      </w:r>
    </w:p>
    <w:p w14:paraId="7C1A314E">
      <w:pPr>
        <w:keepNext w:val="0"/>
        <w:keepLines w:val="0"/>
        <w:pageBreakBefore w:val="0"/>
        <w:kinsoku/>
        <w:wordWrap/>
        <w:overflowPunct/>
        <w:topLinePunct w:val="0"/>
        <w:autoSpaceDE/>
        <w:autoSpaceDN/>
        <w:bidi w:val="0"/>
        <w:spacing w:line="380" w:lineRule="exact"/>
        <w:ind w:left="546" w:leftChars="260" w:right="23" w:rightChars="11"/>
        <w:rPr>
          <w:rFonts w:hint="eastAsia" w:ascii="宋体" w:hAnsi="宋体" w:cs="宋体"/>
          <w:color w:val="auto"/>
          <w:szCs w:val="21"/>
          <w:highlight w:val="none"/>
        </w:rPr>
      </w:pPr>
      <w:r>
        <w:rPr>
          <w:rFonts w:hint="eastAsia" w:ascii="宋体" w:hAnsi="宋体" w:cs="宋体"/>
          <w:b/>
          <w:color w:val="auto"/>
          <w:szCs w:val="21"/>
          <w:highlight w:val="none"/>
        </w:rPr>
        <w:t>15.4.2</w:t>
      </w:r>
      <w:r>
        <w:rPr>
          <w:rFonts w:hint="eastAsia" w:ascii="宋体" w:hAnsi="宋体" w:cs="宋体"/>
          <w:color w:val="auto"/>
          <w:szCs w:val="21"/>
          <w:highlight w:val="none"/>
        </w:rPr>
        <w:t>修复费用</w:t>
      </w:r>
    </w:p>
    <w:p w14:paraId="71AE198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保修期内，修复的费用按照以下约定处理：</w:t>
      </w:r>
    </w:p>
    <w:p w14:paraId="4DE35F4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（1）保修期内，因承包人原因造成工程的缺陷、损坏，承包人应负责修复，并承担修复的费用以及因工程的缺陷、损坏造成的人身伤害和财产损失；</w:t>
      </w:r>
    </w:p>
    <w:p w14:paraId="7045EB7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（2）保修期内，因发包人使用不当造成工程的缺陷、损坏，可以委托承包人修复，但发包人应承担修复的费用，并支付承包人合理利润；</w:t>
      </w:r>
    </w:p>
    <w:p w14:paraId="1698BAF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（3）因其他原因造成工程的缺陷、损坏，可以委托承包人修复，发包人应承担修复的费用，并支付承包人合理的利润，因工程的缺陷、损坏造成的人身伤害和财产损失由责任方承担。 </w:t>
      </w:r>
    </w:p>
    <w:p w14:paraId="6FB0465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15.4.3修复通知</w:t>
      </w:r>
    </w:p>
    <w:p w14:paraId="47DE838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 </w:t>
      </w:r>
    </w:p>
    <w:p w14:paraId="20FBC14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15.4.4未能修复 </w:t>
      </w:r>
    </w:p>
    <w:p w14:paraId="625FEF9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pacing w:val="-4"/>
          <w:szCs w:val="21"/>
          <w:highlight w:val="none"/>
        </w:rPr>
      </w:pPr>
      <w:r>
        <w:rPr>
          <w:rFonts w:hint="eastAsia" w:ascii="宋体" w:hAnsi="宋体" w:cs="宋体"/>
          <w:color w:val="auto"/>
          <w:szCs w:val="21"/>
          <w:highlight w:val="none"/>
        </w:rPr>
        <w:t>因承包人原因造成工程的缺陷或损坏，承包人拒绝维修或未能在合理期限内修复缺陷或损坏，且经发包人书面催告后仍未修复的，发</w:t>
      </w:r>
      <w:r>
        <w:rPr>
          <w:rFonts w:hint="eastAsia" w:ascii="宋体" w:hAnsi="宋体" w:cs="宋体"/>
          <w:color w:val="auto"/>
          <w:spacing w:val="-4"/>
          <w:szCs w:val="21"/>
          <w:highlight w:val="none"/>
        </w:rPr>
        <w:t>包人有权自行修复或委托第三方修复，所需费用由承包人承担。但修复范围超出缺陷或损坏范围的，超出范围部分的修复费用由发包人承担。</w:t>
      </w:r>
    </w:p>
    <w:p w14:paraId="6EBE14F6">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15.4.5承包人出入权</w:t>
      </w:r>
    </w:p>
    <w:p w14:paraId="3796DC4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 </w:t>
      </w:r>
    </w:p>
    <w:p w14:paraId="1077410B">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zCs w:val="21"/>
          <w:highlight w:val="none"/>
        </w:rPr>
      </w:pPr>
      <w:r>
        <w:rPr>
          <w:rFonts w:hint="eastAsia" w:ascii="宋体" w:hAnsi="宋体" w:cs="宋体"/>
          <w:b/>
          <w:color w:val="auto"/>
          <w:szCs w:val="21"/>
          <w:highlight w:val="none"/>
        </w:rPr>
        <w:t xml:space="preserve">16.违约 </w:t>
      </w:r>
    </w:p>
    <w:p w14:paraId="2286537D">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16.1发包人违约 </w:t>
      </w:r>
    </w:p>
    <w:p w14:paraId="4091CC5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16.1.1发包人违约的情形</w:t>
      </w:r>
    </w:p>
    <w:p w14:paraId="6BC8452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在合同履行过程中发生的下列情形，属于发包人违约：</w:t>
      </w:r>
    </w:p>
    <w:p w14:paraId="5F7A36D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（1）因发包人原因未能在计划开工日期前7天内下达开工通知</w:t>
      </w:r>
    </w:p>
    <w:p w14:paraId="2AB3B11A">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的；</w:t>
      </w:r>
    </w:p>
    <w:p w14:paraId="23497BD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（2）因发包人原因未能按合同约定支付合同价款的；</w:t>
      </w:r>
    </w:p>
    <w:p w14:paraId="66A4F12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（3）发包人违反第10.1款〔变更的范围〕第（2）项约定，自行实施被取消的工作或转由他人实施的；</w:t>
      </w:r>
    </w:p>
    <w:p w14:paraId="7CFBAD9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（4）发包人提供的材料、工程设备的规格、数量或质量不符合合同约定，或因发包人原因导致交货日期延误或交货地点变更等情况的；</w:t>
      </w:r>
    </w:p>
    <w:p w14:paraId="4438D73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（5）因发包人违反合同约定造成暂停施工的；</w:t>
      </w:r>
    </w:p>
    <w:p w14:paraId="56327B3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（6）发包人无正当理由没有在约定期限内发出复工指示，导致承包人无法复工的；</w:t>
      </w:r>
    </w:p>
    <w:p w14:paraId="425B1CA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（7）发包人明确表示或者以其行为表明不履行合同主要义务的；</w:t>
      </w:r>
    </w:p>
    <w:p w14:paraId="4E69CCC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（8）发包人未能按照合同约定履行其他义务的。</w:t>
      </w:r>
    </w:p>
    <w:p w14:paraId="5D96D0B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发包人发生除本项第（7）目以外的违约情况时，承包人可向发包人发出通知，要求发包人采取有效措施纠正违约行为。发包人收到承包人通知后28天内仍不纠正违约行为的，承包人有权暂停相应部位工程施工，并通知监理人。 </w:t>
      </w:r>
    </w:p>
    <w:p w14:paraId="59E6AFE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16.1.2发包人违约的责任</w:t>
      </w:r>
    </w:p>
    <w:p w14:paraId="1C25FFB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发包人应承担因其违约给承包人增加的费用和（或）延误的工期，并支付承包人合理的利润。此外，合同当事人可在专用合同条款中另行约定发包人违约责任的承担方式和计算方法。 </w:t>
      </w:r>
    </w:p>
    <w:p w14:paraId="22BF2EE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16.1.3因发包人违约解除合同</w:t>
      </w:r>
    </w:p>
    <w:p w14:paraId="30C0D9A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 </w:t>
      </w:r>
    </w:p>
    <w:p w14:paraId="7BFECF9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16.1.4因发包人违约解除合同后的付款</w:t>
      </w:r>
    </w:p>
    <w:p w14:paraId="4F9008E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承包人按照本款约定解除合同的，发包人应在解除合同后28天内支付下列款项，并解除履约担保：</w:t>
      </w:r>
    </w:p>
    <w:p w14:paraId="271F0FE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（1）合同解除前所完成工作的价款；</w:t>
      </w:r>
    </w:p>
    <w:p w14:paraId="2C29928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（2）承包人为工程施工订购并已付款的材料、工程设备和其他物品的价款；</w:t>
      </w:r>
    </w:p>
    <w:p w14:paraId="7336E91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（3）承包人撤离施工现场以及遣散承包人人员的款项；</w:t>
      </w:r>
    </w:p>
    <w:p w14:paraId="25A0A17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（4）按照合同约定在合同解除前应支付的违约金；</w:t>
      </w:r>
    </w:p>
    <w:p w14:paraId="35001B7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（5）按照合同约定应当支付给承包人的其他款项；</w:t>
      </w:r>
    </w:p>
    <w:p w14:paraId="22FD5F0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（6）按照合同约定应退还的质量保证金；</w:t>
      </w:r>
    </w:p>
    <w:p w14:paraId="1DC421A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（7）因解除合同给承包人造成的损失。</w:t>
      </w:r>
    </w:p>
    <w:p w14:paraId="57269AB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合同当事人未能就解除合同后的结清达成一致的，按照第20条〔争议解决〕的约定处理。</w:t>
      </w:r>
    </w:p>
    <w:p w14:paraId="3004BE3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承包人应妥善做好已完工程和与工程有关的已购材料、工程设备的保护和移交工作，并将施工设备和人员撤出施工现场，发包人应为承包人撤出提供必要条件。 </w:t>
      </w:r>
    </w:p>
    <w:p w14:paraId="4DDF27EE">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16.2承包人违约 </w:t>
      </w:r>
    </w:p>
    <w:p w14:paraId="7964966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16.2.1承包人违约的情形</w:t>
      </w:r>
    </w:p>
    <w:p w14:paraId="401A7F9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在合同履行过程中发生的下列情形，属于承包人违约：</w:t>
      </w:r>
    </w:p>
    <w:p w14:paraId="387ED0E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（1）承包人违反合同约定进行转包或违法分包的；</w:t>
      </w:r>
    </w:p>
    <w:p w14:paraId="2C7CEB2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（2）承包人违反合同约定采购和使用不合格的材料和工程设备的；</w:t>
      </w:r>
    </w:p>
    <w:p w14:paraId="7AF331F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（3）因承包人原因导致工程质量不符合合同要求的；</w:t>
      </w:r>
    </w:p>
    <w:p w14:paraId="5877249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（4）承包人违反第8.9款〔材料与设备专用要求〕的约定，未经批准，私自将已按照合同约定进入施工现场的材料或设备撤离施工现场的；</w:t>
      </w:r>
    </w:p>
    <w:p w14:paraId="38EF79E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（5）承包人未能按施工进度计划及时完成合同约定的工作，造成工期延误的；</w:t>
      </w:r>
    </w:p>
    <w:p w14:paraId="6B99E8C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（6）承包人在缺陷责任期及保修期内，未能在合理期限对工程缺陷进行修复，或拒绝按发包人要求进行修复的；</w:t>
      </w:r>
    </w:p>
    <w:p w14:paraId="3DFF270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（7）承包人明确表示或者以其行为表明不履行合同主要义务的；</w:t>
      </w:r>
    </w:p>
    <w:p w14:paraId="0BBEC87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（8）承包人未能按照合同约定履行其他义务的。</w:t>
      </w:r>
    </w:p>
    <w:p w14:paraId="52DD0E2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承包人发生除本项第（7）目约定以外的其他违约情况时，监理人可向承包人发出整改通知，要求其在指定的期限内改正。 </w:t>
      </w:r>
    </w:p>
    <w:p w14:paraId="1687652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16.2.2承包人违约的责任</w:t>
      </w:r>
    </w:p>
    <w:p w14:paraId="6E5597F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承包人应承担因其违约行为而增加的费用和（或）延误的工期。此外，合同当事人可在专用合同条款中另行约定承包人违约责任的承担方式和计算方法。 </w:t>
      </w:r>
    </w:p>
    <w:p w14:paraId="2015491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16.2.3因承包人违约解除合同</w:t>
      </w:r>
    </w:p>
    <w:p w14:paraId="6C72027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 </w:t>
      </w:r>
    </w:p>
    <w:p w14:paraId="6AF1006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16.2.4因承包人违约解除合同后的处理</w:t>
      </w:r>
    </w:p>
    <w:p w14:paraId="593A301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因承包人原因导致合同解除的，则合同当事人应在合同解除后28天内完成估价、付款和清算，并按以下约定执行：</w:t>
      </w:r>
    </w:p>
    <w:p w14:paraId="1EBB637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（1）合同解除后，按第4.4款〔商定或确定〕商定或确定承包人实际完成工作对应的合同价款，以及承包人已提供的材料、工程设备、施工设备和临时工程等的价值；</w:t>
      </w:r>
    </w:p>
    <w:p w14:paraId="2D79DEE2">
      <w:pPr>
        <w:keepNext w:val="0"/>
        <w:keepLines w:val="0"/>
        <w:pageBreakBefore w:val="0"/>
        <w:kinsoku/>
        <w:wordWrap/>
        <w:overflowPunct/>
        <w:topLinePunct w:val="0"/>
        <w:autoSpaceDE/>
        <w:autoSpaceDN/>
        <w:bidi w:val="0"/>
        <w:spacing w:line="380" w:lineRule="exact"/>
        <w:ind w:left="141" w:leftChars="67" w:right="23" w:rightChars="11" w:firstLine="315" w:firstLineChars="150"/>
        <w:rPr>
          <w:rFonts w:hint="eastAsia" w:ascii="宋体" w:hAnsi="宋体" w:cs="宋体"/>
          <w:color w:val="auto"/>
          <w:szCs w:val="21"/>
          <w:highlight w:val="none"/>
        </w:rPr>
      </w:pPr>
      <w:r>
        <w:rPr>
          <w:rFonts w:hint="eastAsia" w:ascii="宋体" w:hAnsi="宋体" w:cs="宋体"/>
          <w:color w:val="auto"/>
          <w:szCs w:val="21"/>
          <w:highlight w:val="none"/>
        </w:rPr>
        <w:t xml:space="preserve">（2）合同解除后，承包人应支付的违约金；  </w:t>
      </w:r>
    </w:p>
    <w:p w14:paraId="28AB6598">
      <w:pPr>
        <w:keepNext w:val="0"/>
        <w:keepLines w:val="0"/>
        <w:pageBreakBefore w:val="0"/>
        <w:kinsoku/>
        <w:wordWrap/>
        <w:overflowPunct/>
        <w:topLinePunct w:val="0"/>
        <w:autoSpaceDE/>
        <w:autoSpaceDN/>
        <w:bidi w:val="0"/>
        <w:spacing w:line="380" w:lineRule="exact"/>
        <w:ind w:left="141" w:leftChars="67" w:right="23" w:rightChars="11" w:firstLine="315" w:firstLineChars="150"/>
        <w:rPr>
          <w:rFonts w:hint="eastAsia" w:ascii="宋体" w:hAnsi="宋体" w:cs="宋体"/>
          <w:color w:val="auto"/>
          <w:szCs w:val="21"/>
          <w:highlight w:val="none"/>
        </w:rPr>
      </w:pPr>
      <w:r>
        <w:rPr>
          <w:rFonts w:hint="eastAsia" w:ascii="宋体" w:hAnsi="宋体" w:cs="宋体"/>
          <w:color w:val="auto"/>
          <w:szCs w:val="21"/>
          <w:highlight w:val="none"/>
        </w:rPr>
        <w:t>（3）合同解除后，因解除合同给发包人造成的损失；</w:t>
      </w:r>
    </w:p>
    <w:p w14:paraId="771CA49B">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（4）合同解除后，承包人应按照发包人要求和监理人的指示完成现场的清理和撤离；</w:t>
      </w:r>
    </w:p>
    <w:p w14:paraId="5456311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（5）发包人和承包人应在合同解除后进行清算，出具最终结清付款证书，结清全部款项。</w:t>
      </w:r>
    </w:p>
    <w:p w14:paraId="5ABF68B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因承包人违约解除合同的，发包人有权暂停对承包人的付款，查清各项付款和已扣款项。发包人和承包人未能就合同解除后的清算和款项支付达成一致的，按照第20条〔争议解决〕的约定处理。 </w:t>
      </w:r>
    </w:p>
    <w:p w14:paraId="1BA34B2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16.2.5采购合同权益转让</w:t>
      </w:r>
    </w:p>
    <w:p w14:paraId="027BCEF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w:t>
      </w:r>
    </w:p>
    <w:p w14:paraId="1E0E228C">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 xml:space="preserve">关的转让协议。 </w:t>
      </w:r>
    </w:p>
    <w:p w14:paraId="2EC20689">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16.3第三人造成的违约</w:t>
      </w:r>
    </w:p>
    <w:p w14:paraId="5F5DB03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在履行合同过程中，一方当事人因第三人的原因造成违约的，应当向对方当事人承担违约责任。一方当事人和第三人之间的纠纷，依照法律规定或者按照约定解决。 </w:t>
      </w:r>
    </w:p>
    <w:p w14:paraId="57BDB04E">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zCs w:val="21"/>
          <w:highlight w:val="none"/>
        </w:rPr>
      </w:pPr>
      <w:r>
        <w:rPr>
          <w:rFonts w:hint="eastAsia" w:ascii="宋体" w:hAnsi="宋体" w:cs="宋体"/>
          <w:b/>
          <w:color w:val="auto"/>
          <w:szCs w:val="21"/>
          <w:highlight w:val="none"/>
        </w:rPr>
        <w:t xml:space="preserve">17.不可抗力 </w:t>
      </w:r>
    </w:p>
    <w:p w14:paraId="5682607A">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17.1不可抗力的确认</w:t>
      </w:r>
    </w:p>
    <w:p w14:paraId="7FC3F7B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7B12D1B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 </w:t>
      </w:r>
    </w:p>
    <w:p w14:paraId="2F8591B3">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17.2不可抗力的通知</w:t>
      </w:r>
    </w:p>
    <w:p w14:paraId="66024CE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合同一方当事人遇到不可抗力事件，使其履行合同义务受到阻碍时，应立即通知合同另一方当事人和监理人，书面说明不可抗力和受阻碍的详细情况，并提供必要的证明。</w:t>
      </w:r>
    </w:p>
    <w:p w14:paraId="030A815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不可抗力持续发生的，合同一方当事人应及时向合同另一方当事人和监理人提交中间报告，说明不可抗力和履行合同受阻的情况，并于不可抗力事件结束后28天内提交最终报告及有关资料。 </w:t>
      </w:r>
    </w:p>
    <w:p w14:paraId="6C4DC629">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17.3不可抗力后果的承担 </w:t>
      </w:r>
    </w:p>
    <w:p w14:paraId="3E1982E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17.3.1不可抗力引起的后果及造成的损失由合同当事人按照法律规定及合同约定各自承担。不可抗力发生前已完成的工程应当按照合同约定进行计量支付。 </w:t>
      </w:r>
    </w:p>
    <w:p w14:paraId="7264E1D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17.3.2不可抗力导致的人员伤亡、财产损失、费用增加和（或）工期延误等后果，由合同当事人按以下原则承担：</w:t>
      </w:r>
    </w:p>
    <w:p w14:paraId="7B4322E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（1）永久工程、已运至施工现场的材料和工程设备的损坏，以及因工程损坏造成的第三人人员伤亡和财产损失由发包人承担；</w:t>
      </w:r>
    </w:p>
    <w:p w14:paraId="101811E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（2）承包人施工设备的损坏由承包人承担；</w:t>
      </w:r>
    </w:p>
    <w:p w14:paraId="0CA32E4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（3）发包人和承包人承担各自人员伤亡和财产的损失；</w:t>
      </w:r>
    </w:p>
    <w:p w14:paraId="3CC695E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556799A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（5）因不可抗力引起或将引起工期延误，发包人要求赶工的，由此增加的赶工费用由发包人承担；</w:t>
      </w:r>
    </w:p>
    <w:p w14:paraId="26812CD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（6）承包人在停工期间按照发包人要求照管、清理和修复工程的费用由发包人承担。</w:t>
      </w:r>
    </w:p>
    <w:p w14:paraId="2922B1B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不可抗力发生后，合同当事人均应采取措施尽量避免和减少损失的扩大，任何一方当事人没有采取有效措施导致损失扩大的，应对扩大的损失承担责任。</w:t>
      </w:r>
    </w:p>
    <w:p w14:paraId="464A0E1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因合同一方迟延履行合同义务，在迟延履行期间遭遇不可抗力的，不免除其违约责任。 </w:t>
      </w:r>
    </w:p>
    <w:p w14:paraId="172E814A">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17.4因不可抗力解除合同</w:t>
      </w:r>
    </w:p>
    <w:p w14:paraId="6BA9BD30">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因不可抗力导致合同无法履行连续超过84天或累计超过140天的，发包人和承包人均有权解除合同。合同解除后，由双方当事人按照第4.4款〔商定或确定〕商定或确定发包人应支付的款项，该款项包括：</w:t>
      </w:r>
    </w:p>
    <w:p w14:paraId="4045289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（1）合同解除前承包人已完成工作的价款；</w:t>
      </w:r>
    </w:p>
    <w:p w14:paraId="422BD4F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（2）承包人为工程订购的并已交付给承包人，或承包人有责任接受交付的材料、工程设备和其他物品的价款；</w:t>
      </w:r>
    </w:p>
    <w:p w14:paraId="2362851E">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（3）发包人要求承包人退货或解除订货合同而产生的费用，或因不能退货或解除合同而产生的损失；</w:t>
      </w:r>
    </w:p>
    <w:p w14:paraId="2488D5B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（4）承包人撤离施工现场以及遣散承包人人员的费用；</w:t>
      </w:r>
    </w:p>
    <w:p w14:paraId="6638D31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（5）按照合同约定在合同解除前应支付给承包人的其他款项；</w:t>
      </w:r>
    </w:p>
    <w:p w14:paraId="3B6844E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（6）扣减承包人按照合同约定应向发包人支付的款项；</w:t>
      </w:r>
    </w:p>
    <w:p w14:paraId="4693FE8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（7）双方商定或确定的其他款项。</w:t>
      </w:r>
    </w:p>
    <w:p w14:paraId="2A19970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除专用合同条款另有约定外，合同解除后，发包人应在商定或确定上述款项后28天内完成上述款项的支付。 </w:t>
      </w:r>
    </w:p>
    <w:p w14:paraId="0D9ACC2B">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b/>
          <w:color w:val="auto"/>
          <w:szCs w:val="21"/>
          <w:highlight w:val="none"/>
        </w:rPr>
        <w:t xml:space="preserve">18.保险 </w:t>
      </w:r>
    </w:p>
    <w:p w14:paraId="186622E2">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18.1工程保险</w:t>
      </w:r>
    </w:p>
    <w:p w14:paraId="7ECDD97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除专用合同条款另有约定外，发包人应投保建筑工程一切险或安装工程一切险；发包人委托承包人投保的，因投保产生的保险费和其他相关费用由发包人承担。 </w:t>
      </w:r>
    </w:p>
    <w:p w14:paraId="6556FD59">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18.2工伤保险 </w:t>
      </w:r>
    </w:p>
    <w:p w14:paraId="3A61392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18.2.1发包人应依照法律规定参加工伤保险，并为在施工现场的全部员工办理工伤保险，缴纳工伤保险费，并要求监理人及由发包人为履行合同聘请的第三方依法参加工伤保险。 </w:t>
      </w:r>
    </w:p>
    <w:p w14:paraId="0FB72F1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18.2.2承包人应依照法律规定参加工伤保险，并为其履行合同的全部员工办理工伤保险，缴纳工伤保险费，并要求分包人及由承包人为履行合同聘请的第三方依法参加工伤保险。 </w:t>
      </w:r>
    </w:p>
    <w:p w14:paraId="36FD6E5B">
      <w:pPr>
        <w:keepNext w:val="0"/>
        <w:keepLines w:val="0"/>
        <w:pageBreakBefore w:val="0"/>
        <w:kinsoku/>
        <w:wordWrap/>
        <w:overflowPunct/>
        <w:topLinePunct w:val="0"/>
        <w:autoSpaceDE/>
        <w:autoSpaceDN/>
        <w:bidi w:val="0"/>
        <w:spacing w:line="380" w:lineRule="exact"/>
        <w:ind w:left="149" w:leftChars="71" w:right="23" w:rightChars="11" w:firstLine="316" w:firstLineChars="150"/>
        <w:rPr>
          <w:rFonts w:hint="eastAsia" w:ascii="宋体" w:hAnsi="宋体" w:cs="宋体"/>
          <w:color w:val="auto"/>
          <w:szCs w:val="21"/>
          <w:highlight w:val="none"/>
        </w:rPr>
      </w:pPr>
      <w:r>
        <w:rPr>
          <w:rFonts w:hint="eastAsia" w:ascii="宋体" w:hAnsi="宋体" w:cs="宋体"/>
          <w:b/>
          <w:color w:val="auto"/>
          <w:szCs w:val="21"/>
          <w:highlight w:val="none"/>
        </w:rPr>
        <w:t>18.3安全生产责任保险</w:t>
      </w:r>
    </w:p>
    <w:p w14:paraId="5EDD922E">
      <w:pPr>
        <w:keepNext w:val="0"/>
        <w:keepLines w:val="0"/>
        <w:pageBreakBefore w:val="0"/>
        <w:kinsoku/>
        <w:wordWrap/>
        <w:overflowPunct/>
        <w:topLinePunct w:val="0"/>
        <w:autoSpaceDE/>
        <w:autoSpaceDN/>
        <w:bidi w:val="0"/>
        <w:spacing w:line="380" w:lineRule="exact"/>
        <w:ind w:left="149" w:leftChars="71" w:right="23" w:rightChars="11" w:firstLine="315" w:firstLineChars="150"/>
        <w:rPr>
          <w:rFonts w:hint="eastAsia" w:ascii="宋体" w:hAnsi="宋体" w:cs="宋体"/>
          <w:b/>
          <w:color w:val="auto"/>
          <w:szCs w:val="21"/>
          <w:highlight w:val="none"/>
        </w:rPr>
      </w:pPr>
      <w:r>
        <w:rPr>
          <w:rFonts w:hint="eastAsia" w:ascii="宋体" w:hAnsi="宋体" w:cs="宋体"/>
          <w:color w:val="auto"/>
          <w:szCs w:val="21"/>
          <w:highlight w:val="none"/>
        </w:rPr>
        <w:t xml:space="preserve">承包人应依照法律规定为本企业施工项目缴纳安全生产责任保险。除专用合同条款另有约定外，安全生产责任保险由项目总承包人及与发包人直接签订工程承包合同的专业承包人分别缴纳。 </w:t>
      </w:r>
    </w:p>
    <w:p w14:paraId="241C832C">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18.4持续保险</w:t>
      </w:r>
    </w:p>
    <w:p w14:paraId="7B3A63B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合同当事人应与保险人保持联系，使保险人能够随时了解工程实施中的变动，并确保按保险合同条款要求持续保险。 </w:t>
      </w:r>
    </w:p>
    <w:p w14:paraId="356D2CC4">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18.5保险凭证</w:t>
      </w:r>
    </w:p>
    <w:p w14:paraId="04BCFC1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合同当事人应及时向另一方当事人提交其已投保的各项保险的凭证和保险单复印件。 </w:t>
      </w:r>
    </w:p>
    <w:p w14:paraId="3C68CC3C">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18.6未按约定投保的补救 </w:t>
      </w:r>
    </w:p>
    <w:p w14:paraId="64A7A1B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18.6.1发包人未按合同约定办理保险，或未能使保险持续有效的，则承包人可代为办理，所需费用由发包人承担。发包人未按合同约定办理保险，导致未能得到足额赔偿的，由发包人负责补足。 </w:t>
      </w:r>
    </w:p>
    <w:p w14:paraId="44D2CEC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18.6.2承包人未按合同约定办理保险，或未能使保险持续有效的，则发包人可代为办理，所需费用由承包人承担。承包人未按合同约定办理保险，导致未能得到足额赔偿的，由承包人负责补足。 </w:t>
      </w:r>
    </w:p>
    <w:p w14:paraId="787C73BC">
      <w:pPr>
        <w:keepNext w:val="0"/>
        <w:keepLines w:val="0"/>
        <w:pageBreakBefore w:val="0"/>
        <w:kinsoku/>
        <w:wordWrap/>
        <w:overflowPunct/>
        <w:topLinePunct w:val="0"/>
        <w:autoSpaceDE/>
        <w:autoSpaceDN/>
        <w:bidi w:val="0"/>
        <w:spacing w:line="380" w:lineRule="exact"/>
        <w:ind w:right="23" w:rightChars="11" w:firstLine="417" w:firstLineChars="198"/>
        <w:rPr>
          <w:rFonts w:hint="eastAsia" w:ascii="宋体" w:hAnsi="宋体" w:cs="宋体"/>
          <w:b/>
          <w:color w:val="auto"/>
          <w:szCs w:val="21"/>
          <w:highlight w:val="none"/>
        </w:rPr>
      </w:pPr>
      <w:r>
        <w:rPr>
          <w:rFonts w:hint="eastAsia" w:ascii="宋体" w:hAnsi="宋体" w:cs="宋体"/>
          <w:b/>
          <w:color w:val="auto"/>
          <w:szCs w:val="21"/>
          <w:highlight w:val="none"/>
        </w:rPr>
        <w:t>18.7通知义务</w:t>
      </w:r>
    </w:p>
    <w:p w14:paraId="6670462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合同条款另有约定外，发包人变更除工伤保险与安全生产责任保险之外的保险合同时，应事先征得承包人同意，并通知监理人；承包人变更除工伤保险与安全生产责任保险之外的保险合同时，应事先征得发包人同意，并通知监理人。</w:t>
      </w:r>
    </w:p>
    <w:p w14:paraId="62A058E6">
      <w:pPr>
        <w:keepNext w:val="0"/>
        <w:keepLines w:val="0"/>
        <w:pageBreakBefore w:val="0"/>
        <w:kinsoku/>
        <w:wordWrap/>
        <w:overflowPunct/>
        <w:topLinePunct w:val="0"/>
        <w:autoSpaceDE/>
        <w:autoSpaceDN/>
        <w:bidi w:val="0"/>
        <w:spacing w:line="380" w:lineRule="exact"/>
        <w:ind w:left="141" w:leftChars="67" w:right="23" w:rightChars="11" w:firstLine="315" w:firstLineChars="150"/>
        <w:rPr>
          <w:rFonts w:hint="eastAsia" w:ascii="宋体" w:hAnsi="宋体" w:cs="宋体"/>
          <w:color w:val="auto"/>
          <w:szCs w:val="21"/>
          <w:highlight w:val="none"/>
        </w:rPr>
      </w:pPr>
      <w:r>
        <w:rPr>
          <w:rFonts w:hint="eastAsia" w:ascii="宋体" w:hAnsi="宋体" w:cs="宋体"/>
          <w:color w:val="auto"/>
          <w:szCs w:val="21"/>
          <w:highlight w:val="none"/>
        </w:rPr>
        <w:t xml:space="preserve">保险事故发生时，投保人应按照保险合同规定的条件和期限及时向保险人报告。发包人和承包人应当在知道保险事故发生后及时通知对方。 </w:t>
      </w:r>
    </w:p>
    <w:p w14:paraId="1854CC2B">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b/>
          <w:color w:val="auto"/>
          <w:szCs w:val="21"/>
          <w:highlight w:val="none"/>
        </w:rPr>
        <w:t xml:space="preserve">19.索赔 </w:t>
      </w:r>
    </w:p>
    <w:p w14:paraId="6416CB68">
      <w:pPr>
        <w:keepNext w:val="0"/>
        <w:keepLines w:val="0"/>
        <w:pageBreakBefore w:val="0"/>
        <w:kinsoku/>
        <w:wordWrap/>
        <w:overflowPunct/>
        <w:topLinePunct w:val="0"/>
        <w:autoSpaceDE/>
        <w:autoSpaceDN/>
        <w:bidi w:val="0"/>
        <w:spacing w:line="380" w:lineRule="exact"/>
        <w:ind w:right="23" w:rightChars="11" w:firstLine="527" w:firstLineChars="250"/>
        <w:rPr>
          <w:rFonts w:hint="eastAsia" w:ascii="宋体" w:hAnsi="宋体" w:cs="宋体"/>
          <w:b/>
          <w:color w:val="auto"/>
          <w:szCs w:val="21"/>
          <w:highlight w:val="none"/>
        </w:rPr>
      </w:pPr>
      <w:r>
        <w:rPr>
          <w:rFonts w:hint="eastAsia" w:ascii="宋体" w:hAnsi="宋体" w:cs="宋体"/>
          <w:b/>
          <w:color w:val="auto"/>
          <w:szCs w:val="21"/>
          <w:highlight w:val="none"/>
        </w:rPr>
        <w:t>19.1承包人的索赔</w:t>
      </w:r>
    </w:p>
    <w:p w14:paraId="76DFF75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根据合同约定，承包人认为有权得到追加付款和（或）延长工期的，应按以下程序向发包人提出索赔：</w:t>
      </w:r>
    </w:p>
    <w:p w14:paraId="62AE16B4">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（1）承包人应在知道或应当知道索赔事件发生后 28天内，向监理人递交索赔意向通知书，并说明发生索赔事件的事由；承包人未在前述28天内发出索赔意向通知书的，丧失要求追加付款和（或）延长工期的权利；</w:t>
      </w:r>
    </w:p>
    <w:p w14:paraId="7877582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（2）承包人应在发出索赔意向通知书后28天内，向监理人正式递交索赔报告；索赔报告应详细说明索赔理由以及要求追加的付款金额和（或）延长的工期，并附必要的记录和证明材料；</w:t>
      </w:r>
    </w:p>
    <w:p w14:paraId="52306FB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（3）索赔事件具有持续影响的，承包人应按合理时间间隔继续递交延续索赔通知，说明持续影响的实际情况和记录，列出累计的追加付款金额和（或）工期延长天数；</w:t>
      </w:r>
    </w:p>
    <w:p w14:paraId="1340E29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（4）在索赔事件影响结束后28天内，承包人应向监理人递交最终索赔报告，说明最终要求索赔的追加付款金额和（或）延长的工期，并附必要的记录和证明材料。 </w:t>
      </w:r>
    </w:p>
    <w:p w14:paraId="0836BCF4">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19.2对承包人索赔的处理</w:t>
      </w:r>
    </w:p>
    <w:p w14:paraId="0CCB9D2F">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对承包人索赔的处理如下：</w:t>
      </w:r>
    </w:p>
    <w:p w14:paraId="0C7C2E83">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（1）监理人应在收到索赔报告后14天内完成审查并报送发包人。监理人对索赔报告存在异议的，有权要求承包人提交全部原始记录副本；</w:t>
      </w:r>
    </w:p>
    <w:p w14:paraId="78571FF1">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（2）发包人应在监理人收到索赔报告或有关索赔的进一步证明材料后的28天内，由监理人向承包人出具经发包人签认的索赔处理结果。发包人逾期答复的，则视为认可承包人的索赔要求；</w:t>
      </w:r>
    </w:p>
    <w:p w14:paraId="2113C4C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（3）承包人接受索赔处理结果的，索赔款项在当期进度款中进行支付；承包人不接受索赔处理结果的，按照第20条〔争议解决〕约定处理。 </w:t>
      </w:r>
    </w:p>
    <w:p w14:paraId="351E684B">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19.3发包人的索赔</w:t>
      </w:r>
    </w:p>
    <w:p w14:paraId="3B74D46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根据合同约定，发包人认为有权得到赔付金额和（或）延长缺陷责任期的，监理人应向承包人发出通知并附有详细的证明。</w:t>
      </w:r>
    </w:p>
    <w:p w14:paraId="7025E976">
      <w:pPr>
        <w:keepNext w:val="0"/>
        <w:keepLines w:val="0"/>
        <w:pageBreakBefore w:val="0"/>
        <w:kinsoku/>
        <w:wordWrap/>
        <w:overflowPunct/>
        <w:topLinePunct w:val="0"/>
        <w:autoSpaceDE/>
        <w:autoSpaceDN/>
        <w:bidi w:val="0"/>
        <w:spacing w:line="380" w:lineRule="exact"/>
        <w:ind w:right="23" w:rightChars="11" w:firstLine="436" w:firstLineChars="200"/>
        <w:rPr>
          <w:rFonts w:hint="eastAsia" w:ascii="宋体" w:hAnsi="宋体" w:cs="宋体"/>
          <w:color w:val="auto"/>
          <w:spacing w:val="4"/>
          <w:szCs w:val="21"/>
          <w:highlight w:val="none"/>
        </w:rPr>
      </w:pPr>
      <w:r>
        <w:rPr>
          <w:rFonts w:hint="eastAsia" w:ascii="宋体" w:hAnsi="宋体" w:cs="宋体"/>
          <w:color w:val="auto"/>
          <w:spacing w:val="4"/>
          <w:szCs w:val="21"/>
          <w:highlight w:val="none"/>
        </w:rPr>
        <w:t>发包人应在知道或应当知道索赔事件发生后28天内通过监理人</w:t>
      </w:r>
      <w:r>
        <w:rPr>
          <w:rFonts w:hint="eastAsia" w:ascii="宋体" w:hAnsi="宋体" w:cs="宋体"/>
          <w:color w:val="auto"/>
          <w:szCs w:val="21"/>
          <w:highlight w:val="none"/>
        </w:rPr>
        <w:t>向承包人提出索赔意向通知书，发包人未在前述28天内发出索赔意向通知书的，丧失要求赔付金额和（或）延长缺陷责任期的权利。发包</w:t>
      </w:r>
    </w:p>
    <w:p w14:paraId="0BF96B09">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 xml:space="preserve">人应在发出索赔意向通知书后28天内，通过监理人向承包人正式递交索赔报告。 </w:t>
      </w:r>
    </w:p>
    <w:p w14:paraId="1E482494">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19.4对发包人索赔的处理</w:t>
      </w:r>
    </w:p>
    <w:p w14:paraId="1247455E">
      <w:pPr>
        <w:keepNext w:val="0"/>
        <w:keepLines w:val="0"/>
        <w:pageBreakBefore w:val="0"/>
        <w:kinsoku/>
        <w:wordWrap/>
        <w:overflowPunct/>
        <w:topLinePunct w:val="0"/>
        <w:autoSpaceDE/>
        <w:autoSpaceDN/>
        <w:bidi w:val="0"/>
        <w:spacing w:line="380" w:lineRule="exact"/>
        <w:ind w:right="23" w:rightChars="11"/>
        <w:rPr>
          <w:rFonts w:hint="eastAsia" w:ascii="宋体" w:hAnsi="宋体" w:cs="宋体"/>
          <w:color w:val="auto"/>
          <w:szCs w:val="21"/>
          <w:highlight w:val="none"/>
        </w:rPr>
      </w:pPr>
      <w:r>
        <w:rPr>
          <w:rFonts w:hint="eastAsia" w:ascii="宋体" w:hAnsi="宋体" w:cs="宋体"/>
          <w:color w:val="auto"/>
          <w:szCs w:val="21"/>
          <w:highlight w:val="none"/>
        </w:rPr>
        <w:t>对发包人索赔的处理如下：</w:t>
      </w:r>
    </w:p>
    <w:p w14:paraId="4912B13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（1）承包人收到发包人提交的索赔报告后，应及时审查索赔报告的内容、查验发包人证明材料；</w:t>
      </w:r>
    </w:p>
    <w:p w14:paraId="734BCEA5">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（2）承包人应在收到索赔报告或有关索赔的进一步证明材料后28天内，将索赔处理结果答复发包人。如果承包人未在上述期限内作出答复的，则视为对发包人索赔要求的认可；</w:t>
      </w:r>
    </w:p>
    <w:p w14:paraId="0BE328C9">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（3）承包人接受索赔处理结果的，发包人可从应支付给承包人的合同价款中扣除赔付的金额或延长缺陷责任期；发包人不接受索赔处理结果的，按第20条〔争议解决〕约定处理。 </w:t>
      </w:r>
    </w:p>
    <w:p w14:paraId="255B18E3">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19.5提出索赔的期限</w:t>
      </w:r>
    </w:p>
    <w:p w14:paraId="3ADD0AEF">
      <w:pPr>
        <w:keepNext w:val="0"/>
        <w:keepLines w:val="0"/>
        <w:pageBreakBefore w:val="0"/>
        <w:kinsoku/>
        <w:wordWrap/>
        <w:overflowPunct/>
        <w:topLinePunct w:val="0"/>
        <w:autoSpaceDE/>
        <w:autoSpaceDN/>
        <w:bidi w:val="0"/>
        <w:spacing w:line="380" w:lineRule="exact"/>
        <w:ind w:right="23" w:rightChars="11" w:firstLine="412" w:firstLineChars="200"/>
        <w:rPr>
          <w:rFonts w:hint="eastAsia" w:ascii="宋体" w:hAnsi="宋体" w:cs="宋体"/>
          <w:color w:val="auto"/>
          <w:szCs w:val="21"/>
          <w:highlight w:val="none"/>
        </w:rPr>
      </w:pPr>
      <w:r>
        <w:rPr>
          <w:rFonts w:hint="eastAsia" w:ascii="宋体" w:hAnsi="宋体" w:cs="宋体"/>
          <w:color w:val="auto"/>
          <w:spacing w:val="-2"/>
          <w:szCs w:val="21"/>
          <w:highlight w:val="none"/>
        </w:rPr>
        <w:t>（1）承包人按第14.2款〔竣工结算审核〕约定接收竣工付款证书后，</w:t>
      </w:r>
      <w:r>
        <w:rPr>
          <w:rFonts w:hint="eastAsia" w:ascii="宋体" w:hAnsi="宋体" w:cs="宋体"/>
          <w:color w:val="auto"/>
          <w:szCs w:val="21"/>
          <w:highlight w:val="none"/>
        </w:rPr>
        <w:t>应被视为已无权再提出在工程接收证书颁发前所发生的任何索赔。</w:t>
      </w:r>
    </w:p>
    <w:p w14:paraId="2EBFB02C">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（2）承包人按第14.4款〔最终结清〕提交的最终结清申请单中，只限于提出工程接收证书颁发后发生的索赔。提出索赔的期限自接受最终结清证书时终止。 </w:t>
      </w:r>
    </w:p>
    <w:p w14:paraId="1E30BDE0">
      <w:pPr>
        <w:keepNext w:val="0"/>
        <w:keepLines w:val="0"/>
        <w:pageBreakBefore w:val="0"/>
        <w:kinsoku/>
        <w:wordWrap/>
        <w:overflowPunct/>
        <w:topLinePunct w:val="0"/>
        <w:autoSpaceDE/>
        <w:autoSpaceDN/>
        <w:bidi w:val="0"/>
        <w:spacing w:line="380" w:lineRule="exact"/>
        <w:ind w:right="23" w:rightChars="11"/>
        <w:rPr>
          <w:rFonts w:hint="eastAsia" w:ascii="宋体" w:hAnsi="宋体" w:cs="宋体"/>
          <w:b/>
          <w:color w:val="auto"/>
          <w:szCs w:val="21"/>
          <w:highlight w:val="none"/>
        </w:rPr>
      </w:pPr>
      <w:r>
        <w:rPr>
          <w:rFonts w:hint="eastAsia" w:ascii="宋体" w:hAnsi="宋体" w:cs="宋体"/>
          <w:b/>
          <w:color w:val="auto"/>
          <w:szCs w:val="21"/>
          <w:highlight w:val="none"/>
        </w:rPr>
        <w:t xml:space="preserve">20.争议解决 </w:t>
      </w:r>
    </w:p>
    <w:p w14:paraId="7E86DB4F">
      <w:pPr>
        <w:pStyle w:val="55"/>
        <w:keepNext w:val="0"/>
        <w:keepLines w:val="0"/>
        <w:pageBreakBefore w:val="0"/>
        <w:kinsoku/>
        <w:wordWrap/>
        <w:overflowPunct/>
        <w:topLinePunct w:val="0"/>
        <w:autoSpaceDE/>
        <w:autoSpaceDN/>
        <w:bidi w:val="0"/>
        <w:spacing w:line="380" w:lineRule="exact"/>
        <w:ind w:left="420" w:leftChars="200" w:right="23" w:rightChars="11" w:firstLine="61" w:firstLineChars="29"/>
        <w:rPr>
          <w:rFonts w:hint="eastAsia" w:cs="宋体"/>
          <w:b/>
          <w:bCs/>
          <w:color w:val="auto"/>
          <w:highlight w:val="none"/>
        </w:rPr>
      </w:pPr>
      <w:r>
        <w:rPr>
          <w:rFonts w:hint="eastAsia" w:cs="宋体"/>
          <w:b/>
          <w:bCs/>
          <w:color w:val="auto"/>
          <w:highlight w:val="none"/>
        </w:rPr>
        <w:t>20.1和解</w:t>
      </w:r>
    </w:p>
    <w:p w14:paraId="2781349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合同当事人可以就争议自行和解，自行和解达成协议的经双方签字并盖章后作为合同补充文件，双方均应遵照执行。 </w:t>
      </w:r>
    </w:p>
    <w:p w14:paraId="2CF727EC">
      <w:pPr>
        <w:pStyle w:val="55"/>
        <w:keepNext w:val="0"/>
        <w:keepLines w:val="0"/>
        <w:pageBreakBefore w:val="0"/>
        <w:kinsoku/>
        <w:wordWrap/>
        <w:overflowPunct/>
        <w:topLinePunct w:val="0"/>
        <w:autoSpaceDE/>
        <w:autoSpaceDN/>
        <w:bidi w:val="0"/>
        <w:spacing w:line="380" w:lineRule="exact"/>
        <w:ind w:left="420" w:leftChars="200" w:right="23" w:rightChars="11" w:firstLine="61" w:firstLineChars="29"/>
        <w:rPr>
          <w:rFonts w:hint="eastAsia" w:cs="宋体"/>
          <w:b/>
          <w:bCs/>
          <w:color w:val="auto"/>
          <w:highlight w:val="none"/>
        </w:rPr>
      </w:pPr>
      <w:r>
        <w:rPr>
          <w:rFonts w:hint="eastAsia" w:cs="宋体"/>
          <w:b/>
          <w:bCs/>
          <w:color w:val="auto"/>
          <w:highlight w:val="none"/>
        </w:rPr>
        <w:t>20.2调解</w:t>
      </w:r>
    </w:p>
    <w:p w14:paraId="5D972C8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合同当事人可以就争议请求建设行政主管部门、行业协会或其他第三方进行调解，调解达成协议的，经双方签字并盖章后作为合同补充文件，双方均应遵照执行。 </w:t>
      </w:r>
    </w:p>
    <w:p w14:paraId="35411445">
      <w:pPr>
        <w:pStyle w:val="55"/>
        <w:keepNext w:val="0"/>
        <w:keepLines w:val="0"/>
        <w:pageBreakBefore w:val="0"/>
        <w:kinsoku/>
        <w:wordWrap/>
        <w:overflowPunct/>
        <w:topLinePunct w:val="0"/>
        <w:autoSpaceDE/>
        <w:autoSpaceDN/>
        <w:bidi w:val="0"/>
        <w:spacing w:line="380" w:lineRule="exact"/>
        <w:ind w:left="420" w:leftChars="200" w:right="23" w:rightChars="11" w:firstLine="61" w:firstLineChars="29"/>
        <w:rPr>
          <w:rFonts w:hint="eastAsia" w:cs="宋体"/>
          <w:b/>
          <w:bCs/>
          <w:color w:val="auto"/>
          <w:highlight w:val="none"/>
        </w:rPr>
      </w:pPr>
      <w:r>
        <w:rPr>
          <w:rFonts w:hint="eastAsia" w:cs="宋体"/>
          <w:b/>
          <w:bCs/>
          <w:color w:val="auto"/>
          <w:highlight w:val="none"/>
        </w:rPr>
        <w:t>20.3争议评审</w:t>
      </w:r>
    </w:p>
    <w:p w14:paraId="2A2C2471">
      <w:pPr>
        <w:pStyle w:val="55"/>
        <w:keepNext w:val="0"/>
        <w:keepLines w:val="0"/>
        <w:pageBreakBefore w:val="0"/>
        <w:kinsoku/>
        <w:wordWrap/>
        <w:overflowPunct/>
        <w:topLinePunct w:val="0"/>
        <w:autoSpaceDE/>
        <w:autoSpaceDN/>
        <w:bidi w:val="0"/>
        <w:spacing w:line="380" w:lineRule="exact"/>
        <w:ind w:right="23" w:rightChars="11" w:firstLine="600"/>
        <w:rPr>
          <w:rFonts w:hint="eastAsia" w:cs="宋体"/>
          <w:b/>
          <w:color w:val="auto"/>
          <w:highlight w:val="none"/>
        </w:rPr>
      </w:pPr>
      <w:r>
        <w:rPr>
          <w:rFonts w:hint="eastAsia" w:cs="宋体"/>
          <w:b/>
          <w:color w:val="auto"/>
          <w:highlight w:val="none"/>
        </w:rPr>
        <w:t xml:space="preserve">合同当事人在专用合同条款中约定采取争议评审方式解决争议以及评审规则，并按下列约定执行： </w:t>
      </w:r>
    </w:p>
    <w:p w14:paraId="6E915643">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20.3.1争议评审小组的确定</w:t>
      </w:r>
    </w:p>
    <w:p w14:paraId="6A65708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合同当事人可以共同选择一名或三名争议评审员，组成争议评审小组。除专用合同条款另有约定外，合同当事人应当自合同签订后28天内，或者争议发生后14天内，选定争议评审员。</w:t>
      </w:r>
    </w:p>
    <w:p w14:paraId="2D545C9D">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p>
    <w:p w14:paraId="64377FE2">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除专用合同条款另有约定外，评审员报酬由发包人和承包人各承担一半。 </w:t>
      </w:r>
    </w:p>
    <w:p w14:paraId="755B7807">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20.3.2争议评审小组的决定</w:t>
      </w:r>
    </w:p>
    <w:p w14:paraId="315D052A">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 </w:t>
      </w:r>
    </w:p>
    <w:p w14:paraId="025DCF73">
      <w:pPr>
        <w:keepNext w:val="0"/>
        <w:keepLines w:val="0"/>
        <w:pageBreakBefore w:val="0"/>
        <w:kinsoku/>
        <w:wordWrap/>
        <w:overflowPunct/>
        <w:topLinePunct w:val="0"/>
        <w:autoSpaceDE/>
        <w:autoSpaceDN/>
        <w:bidi w:val="0"/>
        <w:spacing w:line="380" w:lineRule="exact"/>
        <w:ind w:right="23" w:rightChars="11"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20.3.3争议评审小组决定的效力</w:t>
      </w:r>
    </w:p>
    <w:p w14:paraId="474D0D1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争议评审小组作出的书面决定经合同当事人签字确认后，对双方具有约束力，双方应遵照执行。</w:t>
      </w:r>
    </w:p>
    <w:p w14:paraId="37BC4A55">
      <w:pPr>
        <w:keepNext w:val="0"/>
        <w:keepLines w:val="0"/>
        <w:pageBreakBefore w:val="0"/>
        <w:kinsoku/>
        <w:wordWrap/>
        <w:overflowPunct/>
        <w:topLinePunct w:val="0"/>
        <w:autoSpaceDE/>
        <w:autoSpaceDN/>
        <w:bidi w:val="0"/>
        <w:spacing w:line="380" w:lineRule="exact"/>
        <w:ind w:right="23" w:rightChars="11" w:firstLine="420" w:firstLineChars="200"/>
        <w:rPr>
          <w:rFonts w:hint="eastAsia" w:cs="宋体"/>
          <w:color w:val="auto"/>
          <w:highlight w:val="none"/>
        </w:rPr>
      </w:pPr>
      <w:r>
        <w:rPr>
          <w:rFonts w:hint="eastAsia" w:cs="宋体"/>
          <w:color w:val="auto"/>
          <w:highlight w:val="none"/>
        </w:rPr>
        <w:t>任何一方当事人不接受争议评审小组决定或不履行争议评审小组决定的，双方可选择采用其他争议解决方式。</w:t>
      </w:r>
    </w:p>
    <w:p w14:paraId="32EDCB1A">
      <w:pPr>
        <w:pStyle w:val="55"/>
        <w:keepNext w:val="0"/>
        <w:keepLines w:val="0"/>
        <w:pageBreakBefore w:val="0"/>
        <w:kinsoku/>
        <w:wordWrap/>
        <w:overflowPunct/>
        <w:topLinePunct w:val="0"/>
        <w:autoSpaceDE/>
        <w:autoSpaceDN/>
        <w:bidi w:val="0"/>
        <w:spacing w:line="380" w:lineRule="exact"/>
        <w:ind w:right="23" w:rightChars="11"/>
        <w:rPr>
          <w:rStyle w:val="56"/>
          <w:rFonts w:hint="eastAsia" w:cs="宋体"/>
          <w:bCs/>
          <w:color w:val="auto"/>
          <w:highlight w:val="none"/>
        </w:rPr>
      </w:pPr>
      <w:r>
        <w:rPr>
          <w:rFonts w:hint="eastAsia" w:cs="宋体"/>
          <w:color w:val="auto"/>
          <w:highlight w:val="none"/>
        </w:rPr>
        <w:t xml:space="preserve">    </w:t>
      </w:r>
      <w:r>
        <w:rPr>
          <w:rStyle w:val="56"/>
          <w:rFonts w:hint="eastAsia" w:cs="宋体"/>
          <w:b/>
          <w:color w:val="auto"/>
          <w:highlight w:val="none"/>
        </w:rPr>
        <w:t>20.4仲裁或诉讼</w:t>
      </w:r>
    </w:p>
    <w:p w14:paraId="31AECAC7">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因合同及合同有关事项产生的争议，合同当事人可以在专用合同条款中约定以下一种方式解决争议：</w:t>
      </w:r>
    </w:p>
    <w:p w14:paraId="73AE3218">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（1）向约定的仲裁委员会申请仲裁；</w:t>
      </w:r>
    </w:p>
    <w:p w14:paraId="33AFA4EF">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（2）向有管辖权的人民法院起诉。 </w:t>
      </w:r>
    </w:p>
    <w:p w14:paraId="142AE2E2">
      <w:pPr>
        <w:pStyle w:val="55"/>
        <w:keepNext w:val="0"/>
        <w:keepLines w:val="0"/>
        <w:pageBreakBefore w:val="0"/>
        <w:kinsoku/>
        <w:wordWrap/>
        <w:overflowPunct/>
        <w:topLinePunct w:val="0"/>
        <w:autoSpaceDE/>
        <w:autoSpaceDN/>
        <w:bidi w:val="0"/>
        <w:spacing w:line="380" w:lineRule="exact"/>
        <w:ind w:left="357" w:leftChars="170" w:right="23" w:rightChars="11" w:firstLine="0"/>
        <w:rPr>
          <w:rFonts w:hint="eastAsia" w:cs="宋体"/>
          <w:b/>
          <w:bCs/>
          <w:color w:val="auto"/>
          <w:highlight w:val="none"/>
        </w:rPr>
      </w:pPr>
      <w:r>
        <w:rPr>
          <w:rFonts w:hint="eastAsia" w:cs="宋体"/>
          <w:b/>
          <w:bCs/>
          <w:color w:val="auto"/>
          <w:highlight w:val="none"/>
        </w:rPr>
        <w:t>20.5争议解决条款效力</w:t>
      </w:r>
    </w:p>
    <w:p w14:paraId="5F22FE86">
      <w:pPr>
        <w:keepNext w:val="0"/>
        <w:keepLines w:val="0"/>
        <w:pageBreakBefore w:val="0"/>
        <w:kinsoku/>
        <w:wordWrap/>
        <w:overflowPunct/>
        <w:topLinePunct w:val="0"/>
        <w:autoSpaceDE/>
        <w:autoSpaceDN/>
        <w:bidi w:val="0"/>
        <w:spacing w:line="380" w:lineRule="exact"/>
        <w:ind w:right="23" w:rightChars="11"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合同有关争议解决的条款独立存在，合同的变更、解除、终止、无效或者被撤销均不影响其效力。</w:t>
      </w:r>
    </w:p>
    <w:p w14:paraId="623CDE8B">
      <w:pPr>
        <w:spacing w:line="660" w:lineRule="exact"/>
        <w:ind w:right="23" w:rightChars="11"/>
        <w:jc w:val="center"/>
        <w:outlineLvl w:val="1"/>
        <w:rPr>
          <w:rFonts w:hint="eastAsia" w:ascii="宋体" w:hAnsi="宋体"/>
          <w:b/>
          <w:color w:val="auto"/>
          <w:sz w:val="32"/>
          <w:szCs w:val="32"/>
          <w:highlight w:val="none"/>
        </w:rPr>
      </w:pPr>
      <w:r>
        <w:rPr>
          <w:rFonts w:ascii="宋体" w:hAnsi="宋体"/>
          <w:color w:val="auto"/>
          <w:szCs w:val="21"/>
          <w:highlight w:val="none"/>
        </w:rPr>
        <w:br w:type="page"/>
      </w:r>
      <w:bookmarkStart w:id="114" w:name="_Toc21029"/>
      <w:bookmarkStart w:id="115" w:name="_Toc27959"/>
      <w:bookmarkStart w:id="116" w:name="_Toc31397"/>
      <w:r>
        <w:rPr>
          <w:rFonts w:hint="eastAsia" w:ascii="黑体" w:hAnsi="黑体" w:eastAsia="黑体"/>
          <w:b/>
          <w:bCs/>
          <w:color w:val="auto"/>
          <w:sz w:val="30"/>
          <w:szCs w:val="30"/>
          <w:highlight w:val="none"/>
        </w:rPr>
        <w:t>三、专用合同条款</w:t>
      </w:r>
      <w:bookmarkEnd w:id="114"/>
      <w:bookmarkEnd w:id="115"/>
      <w:bookmarkEnd w:id="116"/>
    </w:p>
    <w:p w14:paraId="402DD274">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1.一般约定 </w:t>
      </w:r>
    </w:p>
    <w:p w14:paraId="0CF3D9C3">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 xml:space="preserve">1.1词语定义 </w:t>
      </w:r>
    </w:p>
    <w:p w14:paraId="35F15979">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1.1.1合同 </w:t>
      </w:r>
    </w:p>
    <w:p w14:paraId="0A54ED48">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1.1.1.1其他合同文件包括：</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A677693">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1.1.2合同当事人及其他相关方 </w:t>
      </w:r>
    </w:p>
    <w:p w14:paraId="58797278">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1.1.2.4监理人：</w:t>
      </w:r>
    </w:p>
    <w:p w14:paraId="5A3EFF0D">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名称：</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FA44400">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资质类别和等级：</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E46F4AA">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联系电话：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FAD2A66">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电子信箱：</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22E4B1C">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通信地址：</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3D05088">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1.1.2.5设计人：</w:t>
      </w:r>
    </w:p>
    <w:p w14:paraId="4C05AF46">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名称：</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7D69E1F">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资质类别和等级：</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9716CE1">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联系电话：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1BDF306">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电子信箱：</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B374F86">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通信地址：</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1D1618C">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1.1.3工程和设备 </w:t>
      </w:r>
    </w:p>
    <w:p w14:paraId="6AEC2D33">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1.1.3.7作为施工现场组成部分的其他场所包括：</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7A1F950">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1.1.3.2永久占地包括：</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7872F12">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1.1.3.3临时占地包括：</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77582EB">
      <w:pPr>
        <w:keepNext w:val="0"/>
        <w:keepLines w:val="0"/>
        <w:pageBreakBefore w:val="0"/>
        <w:widowControl w:val="0"/>
        <w:kinsoku/>
        <w:wordWrap/>
        <w:overflowPunct/>
        <w:topLinePunct w:val="0"/>
        <w:autoSpaceDE/>
        <w:autoSpaceDN/>
        <w:bidi w:val="0"/>
        <w:adjustRightInd/>
        <w:snapToGrid/>
        <w:spacing w:line="380" w:lineRule="exact"/>
        <w:ind w:right="23" w:rightChars="11" w:firstLine="413" w:firstLineChars="196"/>
        <w:textAlignment w:val="auto"/>
        <w:rPr>
          <w:rFonts w:hint="eastAsia" w:ascii="宋体" w:hAnsi="宋体"/>
          <w:b/>
          <w:color w:val="auto"/>
          <w:szCs w:val="21"/>
          <w:highlight w:val="none"/>
        </w:rPr>
      </w:pPr>
      <w:r>
        <w:rPr>
          <w:rFonts w:hint="eastAsia" w:ascii="宋体" w:hAnsi="宋体"/>
          <w:b/>
          <w:color w:val="auto"/>
          <w:szCs w:val="21"/>
          <w:highlight w:val="none"/>
        </w:rPr>
        <w:t>1.3法律</w:t>
      </w:r>
    </w:p>
    <w:p w14:paraId="7040023E">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适用于合同的其他规范性文件：</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0530CC2">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 xml:space="preserve">1.4标准和规范 </w:t>
      </w:r>
    </w:p>
    <w:p w14:paraId="0746AF36">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1.4.1适用于工程的标准规范包括：</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9C5E8E0">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1.4.2发包人提供国外标准、规范的名称：</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EF63E57">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发包人提供国外标准、规范的份数：</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EF6C3FA">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发包人提供国外标准、规范的名称：</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0E13ED5">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u w:val="single"/>
        </w:rPr>
      </w:pPr>
      <w:r>
        <w:rPr>
          <w:rFonts w:hint="eastAsia" w:ascii="宋体" w:hAnsi="宋体"/>
          <w:color w:val="auto"/>
          <w:szCs w:val="21"/>
          <w:highlight w:val="none"/>
        </w:rPr>
        <w:t>1.4.3发包人对工程的技术标准和功能要求的特殊要求：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D4C8CDF">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1.5合同文件的优先顺序</w:t>
      </w:r>
    </w:p>
    <w:p w14:paraId="440A306F">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u w:val="single"/>
        </w:rPr>
      </w:pPr>
      <w:r>
        <w:rPr>
          <w:rFonts w:hint="eastAsia" w:ascii="宋体" w:hAnsi="宋体"/>
          <w:color w:val="auto"/>
          <w:szCs w:val="21"/>
          <w:highlight w:val="none"/>
        </w:rPr>
        <w:t>合同文件组成及优先顺序为：</w:t>
      </w:r>
      <w:r>
        <w:rPr>
          <w:rFonts w:hint="eastAsia" w:ascii="宋体" w:hAnsi="宋体"/>
          <w:color w:val="auto"/>
          <w:szCs w:val="21"/>
          <w:highlight w:val="none"/>
          <w:u w:val="single"/>
        </w:rPr>
        <w:t xml:space="preserve">                              </w:t>
      </w:r>
    </w:p>
    <w:p w14:paraId="7FA68BF7">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C08A64B">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 xml:space="preserve">1.6图纸和承包人文件 </w:t>
      </w:r>
    </w:p>
    <w:p w14:paraId="17DF85C4">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1.6.1图纸的提供</w:t>
      </w:r>
    </w:p>
    <w:p w14:paraId="154683BE">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发包人向承包人提供图纸的期限：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41829ED">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发包人向承包人提供图纸的数量：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7F4AA65">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发包人向承包人提供图纸的内容：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7F8C0D1">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1.6.4承包人文件</w:t>
      </w:r>
    </w:p>
    <w:p w14:paraId="6CB7DDDF">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u w:val="single"/>
        </w:rPr>
      </w:pPr>
      <w:r>
        <w:rPr>
          <w:rFonts w:hint="eastAsia" w:ascii="宋体" w:hAnsi="宋体"/>
          <w:color w:val="auto"/>
          <w:szCs w:val="21"/>
          <w:highlight w:val="none"/>
        </w:rPr>
        <w:t>需要由承包人提供的文件，包括：</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C753E6A">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承包人提供的文件的期限为：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D343CDE">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承包人提供的文件的数量为：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0F885F9">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承包人提供的文件的形式为：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750A0DB">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发包人审批承包人文件的期限：</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D358003">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1.6.5现场图纸准备</w:t>
      </w:r>
    </w:p>
    <w:p w14:paraId="79148F9C">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关于现场图纸准备的约定：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BEB2BA4">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 xml:space="preserve">1.7联络 </w:t>
      </w:r>
    </w:p>
    <w:p w14:paraId="42E90A5B">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1.7.1发包人和承包人应当在天内将与合同有关的通知、批准、证明、证书、指示、指令、要求、请求、同意、意见、确定和决定等书面函件送达对方当事人。 </w:t>
      </w:r>
    </w:p>
    <w:p w14:paraId="322B33AA">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1.7.2发包人接收文件的地点：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33DB274">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发包人指定的接收人为：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E5BB36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承包人接收文件的地点：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7FCD64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承包人指定的接收人为：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7AAA6B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监理人接收文件的地点：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B695E1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监理人指定的接收人为：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3A6C161">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1.10交通运输</w:t>
      </w:r>
    </w:p>
    <w:p w14:paraId="5127BA31">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1.10.1出入现场的权利</w:t>
      </w:r>
    </w:p>
    <w:p w14:paraId="589E8B9F">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关于出入现场的权利的约定：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54A95CE">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1.10.3场内交通</w:t>
      </w:r>
    </w:p>
    <w:p w14:paraId="74B3FD99">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关于场外交通和场内交通的边界的约定：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F18A24C">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关于发包人向承包人免费提供满足工程施工需要的场内道路和交通设施的约定：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D911E25">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1.10.4超大件和超重件的运输</w:t>
      </w:r>
    </w:p>
    <w:p w14:paraId="1966D4AE">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运输超大件或超重件所需的道路和桥梁临时加固改造费用和其他有关费用由承担。 </w:t>
      </w:r>
    </w:p>
    <w:p w14:paraId="783205E6">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1.11知识产权 </w:t>
      </w:r>
    </w:p>
    <w:p w14:paraId="49B63205">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0DCAA35">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关于发包人提供的上述文件的使用限制的要求：</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B377647">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1.11.2关于承包人为实施工程所编制文件的著作权的归属：</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2A36CD4">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关于承包人提供的上述文件的使用限制的要求：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182FB50">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1.11.4承包人在施工过程中所采用的专利、专有技术、技术秘的使用费的承担方式：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2D8F02D">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1.13工程量清单错误的修正</w:t>
      </w:r>
    </w:p>
    <w:p w14:paraId="3AD3589E">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出现工程量清单错误时，是否调整合同价格：</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716446C">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允许调整合同价格的工程量偏差范围：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E3610E9">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2.发包人 </w:t>
      </w:r>
    </w:p>
    <w:p w14:paraId="0CFC3C8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2.2发包人代表</w:t>
      </w:r>
    </w:p>
    <w:p w14:paraId="69060BC7">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发包人代表：</w:t>
      </w:r>
    </w:p>
    <w:p w14:paraId="3F7E9CB7">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姓名：</w:t>
      </w:r>
      <w:r>
        <w:rPr>
          <w:rFonts w:hint="eastAsia" w:ascii="宋体" w:hAnsi="宋体"/>
          <w:color w:val="auto"/>
          <w:szCs w:val="21"/>
          <w:highlight w:val="none"/>
          <w:u w:val="single"/>
        </w:rPr>
        <w:t xml:space="preserve">                                                    </w:t>
      </w:r>
    </w:p>
    <w:p w14:paraId="0029988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身份证号：</w:t>
      </w:r>
      <w:r>
        <w:rPr>
          <w:rFonts w:hint="eastAsia" w:ascii="宋体" w:hAnsi="宋体"/>
          <w:color w:val="auto"/>
          <w:szCs w:val="21"/>
          <w:highlight w:val="none"/>
          <w:u w:val="single"/>
        </w:rPr>
        <w:t xml:space="preserve">                                                </w:t>
      </w:r>
    </w:p>
    <w:p w14:paraId="306E862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职务：</w:t>
      </w:r>
      <w:r>
        <w:rPr>
          <w:rFonts w:hint="eastAsia" w:ascii="宋体" w:hAnsi="宋体"/>
          <w:color w:val="auto"/>
          <w:szCs w:val="21"/>
          <w:highlight w:val="none"/>
          <w:u w:val="single"/>
        </w:rPr>
        <w:t xml:space="preserve">                                                   </w:t>
      </w:r>
    </w:p>
    <w:p w14:paraId="4244284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联系电话：</w:t>
      </w:r>
      <w:r>
        <w:rPr>
          <w:rFonts w:hint="eastAsia" w:ascii="宋体" w:hAnsi="宋体"/>
          <w:color w:val="auto"/>
          <w:szCs w:val="21"/>
          <w:highlight w:val="none"/>
          <w:u w:val="single"/>
        </w:rPr>
        <w:t xml:space="preserve">                                               </w:t>
      </w:r>
    </w:p>
    <w:p w14:paraId="07982C7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电子信箱：</w:t>
      </w:r>
      <w:r>
        <w:rPr>
          <w:rFonts w:hint="eastAsia" w:ascii="宋体" w:hAnsi="宋体"/>
          <w:color w:val="auto"/>
          <w:szCs w:val="21"/>
          <w:highlight w:val="none"/>
          <w:u w:val="single"/>
        </w:rPr>
        <w:t xml:space="preserve">                                               </w:t>
      </w:r>
    </w:p>
    <w:p w14:paraId="69484DD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通信地址：</w:t>
      </w:r>
      <w:r>
        <w:rPr>
          <w:rFonts w:hint="eastAsia" w:ascii="宋体" w:hAnsi="宋体"/>
          <w:color w:val="auto"/>
          <w:szCs w:val="21"/>
          <w:highlight w:val="none"/>
          <w:u w:val="single"/>
        </w:rPr>
        <w:t xml:space="preserve">                                               </w:t>
      </w:r>
    </w:p>
    <w:p w14:paraId="464F2F87">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 xml:space="preserve">发包人对发包人代表的授权范围如下：。 </w:t>
      </w:r>
    </w:p>
    <w:p w14:paraId="01512D7A">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 xml:space="preserve">2.4施工现场、施工条件和基础资料的提供 </w:t>
      </w:r>
    </w:p>
    <w:p w14:paraId="743B627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2.4.1提供施工现场</w:t>
      </w:r>
    </w:p>
    <w:p w14:paraId="7E634A2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关于发包人移交施工现场的期限要求：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8F93C9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2.4.2提供施工条件</w:t>
      </w:r>
    </w:p>
    <w:p w14:paraId="1D23DCD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关于发包人应负责提供施工所需要的条件，包括：</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F14EB1C">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2.5资金来源证明及支付担保</w:t>
      </w:r>
    </w:p>
    <w:p w14:paraId="7D92587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发包人提供资金来源证明的期限要求：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D4F7EC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发包人是否提供支付担保：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61C810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发包人提供支付担保的形式：</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13A5210">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3.承包人 </w:t>
      </w:r>
    </w:p>
    <w:p w14:paraId="734D16E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3.1承包人的一般义务</w:t>
      </w:r>
    </w:p>
    <w:p w14:paraId="382EF1EB">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（9）承包人提交的竣工资料的内容：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C8F614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承包人需要提交的竣工资料套数：</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26BEBA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承包人提交的竣工资料的费用承担：</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0816FD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承包人提交的竣工资料移交时间：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5890C9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承包人提交的竣工资料形式要求：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5E8A9F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（10）承包人应履行的其他义务：</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50C656E">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 xml:space="preserve">3.2项目经理 </w:t>
      </w:r>
    </w:p>
    <w:p w14:paraId="2280212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3.2.1项目经理：</w:t>
      </w:r>
    </w:p>
    <w:p w14:paraId="004FCA6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姓名：</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2A18ED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身份证号：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4C1966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建造师执业资格等级：</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8E2B01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建造师注册证书号：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03EE28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建造师执业印章号：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DEE98C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安全生产考核合格证书号：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2713EA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联系电话：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9F428B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电子信箱：</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3E8B0F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通信地址：</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A682A6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承包人对项目经理的授权范围如下：</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BF9520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关于项目经理每月在施工现场的时间要求：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1ED11B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承包人未提交劳动合同，以及没有为项目经理缴纳社会保险证明的违约责任：。</w:t>
      </w:r>
    </w:p>
    <w:p w14:paraId="5162E63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项目经理未经批准，擅自离开施工现场的违约责任：</w:t>
      </w:r>
    </w:p>
    <w:p w14:paraId="6411653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3.2.3承包人擅自更换项目经理的违约责任：</w:t>
      </w:r>
    </w:p>
    <w:p w14:paraId="41263FA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3.2.4承包人无正当理由拒绝更换项目经理的违约责任：</w:t>
      </w:r>
    </w:p>
    <w:p w14:paraId="7536008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 xml:space="preserve">3.3承包人人员 </w:t>
      </w:r>
    </w:p>
    <w:p w14:paraId="6A18ED8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3.3.1承包人提交项目管理机构及施工现场管理人员安排报告的期限：</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262D41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3.3.3承包人无正当理由拒绝撤换主要施工管理人员的违约责任：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DE788B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3.3.4承包人主要施工管理人员离开施工现场的批准要求：</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86FCE8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3.3.5承包人擅自更换主要施工管理人员的违约责任：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C14136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承包人主要施工管理人员擅自离开施工现场的违约责任：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BC83944">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 xml:space="preserve">3.5分包 </w:t>
      </w:r>
    </w:p>
    <w:p w14:paraId="63C3754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3.5.1分包的一般约定</w:t>
      </w:r>
    </w:p>
    <w:p w14:paraId="74F351E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禁止分包的工程包括：</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600A34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主体结构、关键性工作的范围：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E27F63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3.5.2分包的确定</w:t>
      </w:r>
    </w:p>
    <w:p w14:paraId="1E24517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允许分包的专业工程包括：</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DD2CE0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其他关于分包的约定：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C4E153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3.5.4分包合同价款</w:t>
      </w:r>
    </w:p>
    <w:p w14:paraId="382600A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关于分包合同价款支付的约定：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A0F4947">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3.6工程照管与成品、半成品保护</w:t>
      </w:r>
    </w:p>
    <w:p w14:paraId="4F3D40F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承包人负责照管工程及工程相关的材料、工程设备的起始时间：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A9E6DB7">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3.7履约担保</w:t>
      </w:r>
    </w:p>
    <w:p w14:paraId="7D3B357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承包人是否提供履约担保：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C3346A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承包人提供履约担保的形式、金额及期限的：</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18D89BB">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4.监理人 </w:t>
      </w:r>
    </w:p>
    <w:p w14:paraId="4E10771C">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4.1监理人的一般规定</w:t>
      </w:r>
    </w:p>
    <w:p w14:paraId="2AAB749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关于监理人的监理内容：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5C2EB8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ascii="宋体" w:hAnsi="宋体"/>
          <w:color w:val="auto"/>
          <w:szCs w:val="21"/>
          <w:highlight w:val="none"/>
        </w:rPr>
      </w:pPr>
      <w:r>
        <w:rPr>
          <w:rFonts w:hint="eastAsia" w:ascii="宋体" w:hAnsi="宋体"/>
          <w:color w:val="auto"/>
          <w:szCs w:val="21"/>
          <w:highlight w:val="none"/>
        </w:rPr>
        <w:t>关于监理人的监理权限：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5AC936B">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关于监理人在施工现场的办公场所、生活场所的提供和费用承担</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3BC369D0">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4.2监理人员</w:t>
      </w:r>
    </w:p>
    <w:p w14:paraId="5BCA247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总监理工程师：</w:t>
      </w:r>
    </w:p>
    <w:p w14:paraId="56E1184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姓名：</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BAFDEB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职务：</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62BA3B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监理工程师执业资格证书号：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9E8673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联系电话：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6096E0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电子信箱：</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14664A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通信地址：</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A2F663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关于监理人的其他约定：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7FCF28C">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4.4商定或确定</w:t>
      </w:r>
    </w:p>
    <w:p w14:paraId="6DBFB53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在发包人和承包人不能通过协商达成一致意见时，发包人授权监理人对以下事项进行确定：</w:t>
      </w:r>
    </w:p>
    <w:p w14:paraId="24A20B1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F5962C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FE0D85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3F1AFDD">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5.工程质量 </w:t>
      </w:r>
    </w:p>
    <w:p w14:paraId="7EAB2F34">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 xml:space="preserve">5.1质量要求 </w:t>
      </w:r>
    </w:p>
    <w:p w14:paraId="57C577A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5.1.1特殊质量标准和要求：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6B86C9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关于工程奖项的约定：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D5B0CFF">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 xml:space="preserve">5.3隐蔽工程检查 </w:t>
      </w:r>
    </w:p>
    <w:p w14:paraId="528CD64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5.3.2承包人提前通知监理人隐蔽工程检查的期限的约定：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2E7F37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监理人不能按时进行检查时，应提前</w:t>
      </w:r>
      <w:r>
        <w:rPr>
          <w:rFonts w:hint="eastAsia" w:ascii="宋体" w:hAnsi="宋体"/>
          <w:color w:val="auto"/>
          <w:szCs w:val="21"/>
          <w:highlight w:val="none"/>
          <w:u w:val="single"/>
        </w:rPr>
        <w:t xml:space="preserve">    </w:t>
      </w:r>
      <w:r>
        <w:rPr>
          <w:rFonts w:hint="eastAsia" w:ascii="宋体" w:hAnsi="宋体"/>
          <w:color w:val="auto"/>
          <w:szCs w:val="21"/>
          <w:highlight w:val="none"/>
        </w:rPr>
        <w:t>小时提交书面延期要求。</w:t>
      </w:r>
    </w:p>
    <w:p w14:paraId="065C250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关于延期最长不得超过：</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小时。 </w:t>
      </w:r>
    </w:p>
    <w:p w14:paraId="3C08A248">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6.安全文明施工与环境保护 </w:t>
      </w:r>
    </w:p>
    <w:p w14:paraId="015E225C">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 xml:space="preserve">6.1安全文明施工 </w:t>
      </w:r>
    </w:p>
    <w:p w14:paraId="188C06A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6.1.1项目安全生产的达标目标及相应事项的约定：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002CF3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6.1.4关于治安保卫的特别约定：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E76ADF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关于编制施工场地治安管理计划的约定：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F44B86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6.1.5文明施工</w:t>
      </w:r>
    </w:p>
    <w:p w14:paraId="39D43A8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合同当事人对文明施工的要求：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E7BCFB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6.1.6关于安全文明施工费支付比例和支付期限的约定：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C3ABBF2">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7.工期和进度 </w:t>
      </w:r>
    </w:p>
    <w:p w14:paraId="7BD2277C">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 xml:space="preserve">7.1施工组织设计 </w:t>
      </w:r>
    </w:p>
    <w:p w14:paraId="46EAB80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7.1.1合同当事人约定的施工组织设计应包括的其他内容：</w:t>
      </w:r>
      <w:r>
        <w:rPr>
          <w:rFonts w:hint="eastAsia" w:ascii="宋体" w:hAnsi="宋体"/>
          <w:color w:val="auto"/>
          <w:szCs w:val="21"/>
          <w:highlight w:val="none"/>
          <w:u w:val="single"/>
        </w:rPr>
        <w:t xml:space="preserve">      </w:t>
      </w:r>
      <w:r>
        <w:rPr>
          <w:rFonts w:hint="eastAsia" w:ascii="宋体" w:hAnsi="宋体"/>
          <w:color w:val="auto"/>
          <w:szCs w:val="21"/>
          <w:highlight w:val="none"/>
        </w:rPr>
        <w:t>.1.2施工组织设计的提交和修改承包人提交详细施工组织设计的期限的约定：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EDABAC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发包人和监理人在收到详细的施工组织设计后确认或提出修改意见的期限：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7C9F3CF">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7.2施工进度计划 </w:t>
      </w:r>
    </w:p>
    <w:p w14:paraId="2CFA228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7.2.2施工进度计划的修订</w:t>
      </w:r>
    </w:p>
    <w:p w14:paraId="7B344B0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发包人和监理人在收到修订的施工进度计划后确认或提出修改意</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C4709D2">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7.3开工 </w:t>
      </w:r>
    </w:p>
    <w:p w14:paraId="375526A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7.3.1开工准备</w:t>
      </w:r>
    </w:p>
    <w:p w14:paraId="060B450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关于承包人提交工程开工报审表的期限：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EFC700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关于发包人应完成的其他开工准备工作及期限：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6CCFB77">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关于承包人应完成的其他开工准备工作及期限：</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E8BBF2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7.3.2开工通知</w:t>
      </w:r>
    </w:p>
    <w:p w14:paraId="0FDD94D1">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 xml:space="preserve">因发包人原因造成监理人未能在计划开工日期之日起天内发出开工通知的，承包人有权提出价格调整要求，或者解除合同。 </w:t>
      </w:r>
    </w:p>
    <w:p w14:paraId="7113FF09">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7.4测量放线 </w:t>
      </w:r>
    </w:p>
    <w:p w14:paraId="387233C6">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7.4.1发包人通过监理人向承包人提供测量基准点、基准线和水准</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EFCA728">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7.5工期延误 </w:t>
      </w:r>
    </w:p>
    <w:p w14:paraId="67F06EC1">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7.5.1因发包人原因导致工期延误</w:t>
      </w:r>
    </w:p>
    <w:p w14:paraId="5F7FA564">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u w:val="single"/>
        </w:rPr>
      </w:pPr>
      <w:r>
        <w:rPr>
          <w:rFonts w:hint="eastAsia" w:ascii="宋体" w:hAnsi="宋体"/>
          <w:color w:val="auto"/>
          <w:szCs w:val="21"/>
          <w:highlight w:val="none"/>
        </w:rPr>
        <w:t>（7）因发包人原因导致工期延误的其他情形：</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543D78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7.5.2因承包人原因导致工期延误</w:t>
      </w:r>
    </w:p>
    <w:p w14:paraId="32A6786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因承包人原因造成工期延误，逾期竣工违约金的计算方法为：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7E02F6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因承包人原因造成工期延误，逾期竣工违约金的上限：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BE99840">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bCs/>
          <w:color w:val="auto"/>
          <w:szCs w:val="21"/>
          <w:highlight w:val="none"/>
        </w:rPr>
      </w:pPr>
      <w:r>
        <w:rPr>
          <w:rFonts w:hint="eastAsia" w:ascii="宋体" w:hAnsi="宋体"/>
          <w:b/>
          <w:bCs/>
          <w:color w:val="auto"/>
          <w:szCs w:val="21"/>
          <w:highlight w:val="none"/>
        </w:rPr>
        <w:t>7.6不利物质条件</w:t>
      </w:r>
    </w:p>
    <w:p w14:paraId="0C187BB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不利物质条件的其他情形和有关约定：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8C2218E">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bCs/>
          <w:color w:val="auto"/>
          <w:szCs w:val="21"/>
          <w:highlight w:val="none"/>
        </w:rPr>
      </w:pPr>
      <w:r>
        <w:rPr>
          <w:rFonts w:hint="eastAsia" w:ascii="宋体" w:hAnsi="宋体"/>
          <w:b/>
          <w:bCs/>
          <w:color w:val="auto"/>
          <w:szCs w:val="21"/>
          <w:highlight w:val="none"/>
        </w:rPr>
        <w:t>7.7异常恶劣的气候条件</w:t>
      </w:r>
    </w:p>
    <w:p w14:paraId="724A81A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发包人和承包人同意以下情形视为异常恶劣的气候条件：</w:t>
      </w:r>
    </w:p>
    <w:p w14:paraId="73AC2F8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1BC8B6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B26105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3D2DBA2">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7.9提前竣工的奖励 </w:t>
      </w:r>
    </w:p>
    <w:p w14:paraId="18E3FE5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7.9.2提前竣工的奖励：</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16CA24F">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8.材料与设备 </w:t>
      </w:r>
    </w:p>
    <w:p w14:paraId="7B8D4776">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8.4材料与工程设备的保管与使用 </w:t>
      </w:r>
    </w:p>
    <w:p w14:paraId="10E637C3">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ascii="宋体" w:hAnsi="宋体"/>
          <w:color w:val="auto"/>
          <w:szCs w:val="21"/>
          <w:highlight w:val="none"/>
        </w:rPr>
      </w:pPr>
      <w:r>
        <w:rPr>
          <w:rFonts w:hint="eastAsia" w:ascii="宋体" w:hAnsi="宋体"/>
          <w:color w:val="auto"/>
          <w:szCs w:val="21"/>
          <w:highlight w:val="none"/>
        </w:rPr>
        <w:t>8.4.1发包人供应的材料设备的保管费用的承担：</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189FCE7">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8.6样品 </w:t>
      </w:r>
    </w:p>
    <w:p w14:paraId="510C853E">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8.6.1 样品的报送与封存</w:t>
      </w:r>
    </w:p>
    <w:p w14:paraId="38D428F6">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需要承包人报送样品的材料或工程设备，样品的种类、名称、规格、数量要求：</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DF923D2">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8.8施工设备和临时设施 </w:t>
      </w:r>
    </w:p>
    <w:p w14:paraId="4DCE58FC">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8.8.1承包人提供的施工设备和临时设施</w:t>
      </w:r>
    </w:p>
    <w:p w14:paraId="603EFCC3">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u w:val="single"/>
        </w:rPr>
      </w:pPr>
      <w:r>
        <w:rPr>
          <w:rFonts w:hint="eastAsia" w:ascii="宋体" w:hAnsi="宋体"/>
          <w:color w:val="auto"/>
          <w:szCs w:val="21"/>
          <w:highlight w:val="none"/>
        </w:rPr>
        <w:t>关于修建临时设施费用承担的约定：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6F78A07">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9.试验与检验</w:t>
      </w:r>
    </w:p>
    <w:p w14:paraId="4A65888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ascii="宋体" w:hAnsi="宋体"/>
          <w:color w:val="auto"/>
          <w:szCs w:val="21"/>
          <w:highlight w:val="none"/>
        </w:rPr>
      </w:pPr>
      <w:r>
        <w:rPr>
          <w:rFonts w:hint="eastAsia" w:ascii="宋体" w:hAnsi="宋体"/>
          <w:color w:val="auto"/>
          <w:szCs w:val="21"/>
          <w:highlight w:val="none"/>
        </w:rPr>
        <w:t>试验与检验费用的约定：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1FDFB61">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10.变更 </w:t>
      </w:r>
    </w:p>
    <w:p w14:paraId="33215E82">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10.1变更的范围</w:t>
      </w:r>
    </w:p>
    <w:p w14:paraId="27BFD657">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关于变更的范围的约定：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05C25CF">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10.4变更估价 </w:t>
      </w:r>
    </w:p>
    <w:p w14:paraId="4AF46194">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10.4.1变更估价原则</w:t>
      </w:r>
    </w:p>
    <w:p w14:paraId="3320D743">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关于变更估价的约定：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F13EC29">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10.5承包人的合理化建议</w:t>
      </w:r>
    </w:p>
    <w:p w14:paraId="4D214745">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监理人审查承包人合理化建议的期限：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8A09BEE">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发包人审批承包人合理化建议的期限：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4813104">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承包人提出的合理化建议降低了合同价格或者提高了工程经济效益的奖励的方法和金额为：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D4DC040">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10.7暂估价</w:t>
      </w:r>
    </w:p>
    <w:p w14:paraId="233229A4">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xml:space="preserve">暂估价材料和工程设备的明细详见附件11：《暂估价一览表》。 </w:t>
      </w:r>
    </w:p>
    <w:p w14:paraId="6720DC74">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10.7.1依法必须招标的暂估价项目</w:t>
      </w:r>
    </w:p>
    <w:p w14:paraId="07528AF7">
      <w:pPr>
        <w:keepNext w:val="0"/>
        <w:keepLines w:val="0"/>
        <w:pageBreakBefore w:val="0"/>
        <w:widowControl w:val="0"/>
        <w:kinsoku/>
        <w:wordWrap/>
        <w:overflowPunct/>
        <w:topLinePunct w:val="0"/>
        <w:autoSpaceDE/>
        <w:autoSpaceDN/>
        <w:bidi w:val="0"/>
        <w:adjustRightInd/>
        <w:snapToGrid/>
        <w:spacing w:line="380" w:lineRule="exact"/>
        <w:ind w:right="23" w:rightChars="11" w:firstLine="399" w:firstLineChars="198"/>
        <w:textAlignment w:val="auto"/>
        <w:rPr>
          <w:rFonts w:hint="eastAsia" w:ascii="宋体" w:hAnsi="宋体"/>
          <w:color w:val="auto"/>
          <w:szCs w:val="21"/>
          <w:highlight w:val="none"/>
        </w:rPr>
      </w:pPr>
      <w:r>
        <w:rPr>
          <w:rFonts w:hint="eastAsia" w:ascii="宋体" w:hAnsi="宋体"/>
          <w:color w:val="auto"/>
          <w:spacing w:val="-4"/>
          <w:szCs w:val="21"/>
          <w:highlight w:val="none"/>
        </w:rPr>
        <w:t>对于依法必须招标的暂估价项目的确认和批准采取第种方式确定</w:t>
      </w:r>
      <w:r>
        <w:rPr>
          <w:rFonts w:hint="eastAsia" w:ascii="宋体" w:hAnsi="宋体"/>
          <w:color w:val="auto"/>
          <w:szCs w:val="21"/>
          <w:highlight w:val="none"/>
        </w:rPr>
        <w:t>。</w:t>
      </w:r>
    </w:p>
    <w:p w14:paraId="0AA0C648">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10.7.2不属于依法必须招标的暂估价项目</w:t>
      </w:r>
    </w:p>
    <w:p w14:paraId="678C27FB">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对于不属于依法必须招标的暂估价项目的确认和批准采取第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种方式确定。</w:t>
      </w:r>
    </w:p>
    <w:p w14:paraId="48958E6F">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第3种方式：承包人直接实施的暂估价项目</w:t>
      </w:r>
    </w:p>
    <w:p w14:paraId="03C5AD0A">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承包人直接实施的暂估价项目的约定：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3078F6F">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10.8暂列金额</w:t>
      </w:r>
    </w:p>
    <w:p w14:paraId="3399591F">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合同当事人关于暂列金额使用的约定：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038133A">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11.价格调整 </w:t>
      </w:r>
    </w:p>
    <w:p w14:paraId="7C195700">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11.1市场价格波动引起的调整</w:t>
      </w:r>
    </w:p>
    <w:p w14:paraId="564B42D2">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市场价格波动是否调整合同价格的约定：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06EB454">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因市场价格波动调整合同价格，采用以下第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种方式对合同价格进行调整：</w:t>
      </w:r>
    </w:p>
    <w:p w14:paraId="515FB623">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第1种方式：采用价格指数进行价格调整。</w:t>
      </w:r>
    </w:p>
    <w:p w14:paraId="6FA3CB82">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关于各可调因子、定值和变值权重，以及基本价格指数及其来源的约定：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9E93FAB">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第 2种方式：采用造价信息进行价格调整。</w:t>
      </w:r>
    </w:p>
    <w:p w14:paraId="6FCB07F8">
      <w:pPr>
        <w:keepNext w:val="0"/>
        <w:keepLines w:val="0"/>
        <w:pageBreakBefore w:val="0"/>
        <w:widowControl w:val="0"/>
        <w:kinsoku/>
        <w:wordWrap/>
        <w:overflowPunct/>
        <w:topLinePunct w:val="0"/>
        <w:autoSpaceDE/>
        <w:autoSpaceDN/>
        <w:bidi w:val="0"/>
        <w:adjustRightInd/>
        <w:snapToGrid/>
        <w:spacing w:line="380" w:lineRule="exact"/>
        <w:ind w:right="23" w:rightChars="11"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（2）关于基准价格的约定：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89CEB23">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①承包人在已标价工程量清单或预算书中载明的材料、工程设备单价在合同履行期间涨、跌幅以基准价格为基础超过±</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%时，据实调整。 </w:t>
      </w:r>
    </w:p>
    <w:p w14:paraId="3BAF0262">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②承包人在投标报价中载明的材料、工程设备单价在合同履行期间涨、跌幅超过省及各市州建设行政主管部门各期间发布的预算价格的±</w:t>
      </w:r>
      <w:r>
        <w:rPr>
          <w:rFonts w:hint="eastAsia" w:ascii="宋体" w:hAnsi="宋体"/>
          <w:color w:val="auto"/>
          <w:szCs w:val="21"/>
          <w:highlight w:val="none"/>
          <w:u w:val="single"/>
        </w:rPr>
        <w:t xml:space="preserve">      </w:t>
      </w:r>
      <w:r>
        <w:rPr>
          <w:rFonts w:hint="eastAsia" w:ascii="宋体" w:hAnsi="宋体"/>
          <w:color w:val="auto"/>
          <w:szCs w:val="21"/>
          <w:highlight w:val="none"/>
        </w:rPr>
        <w:t>%时，据实调整。</w:t>
      </w:r>
    </w:p>
    <w:p w14:paraId="2B7F95B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第3种方式：其他价格调整方式：</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2921272">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12.合同价格、计量与支付 </w:t>
      </w:r>
    </w:p>
    <w:p w14:paraId="6FB5827B">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12.1合同价格形式 </w:t>
      </w:r>
    </w:p>
    <w:p w14:paraId="6709240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1.单价合同。</w:t>
      </w:r>
    </w:p>
    <w:p w14:paraId="40098DD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综合单价包含的风险范围：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A7985A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风险费用的计算方法：</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E00A35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风险范围以外合同价格的调整方法：</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E8DC24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2.总价合同。</w:t>
      </w:r>
    </w:p>
    <w:p w14:paraId="01B6749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总价包含的风险范围：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561B77C">
      <w:pPr>
        <w:keepNext w:val="0"/>
        <w:keepLines w:val="0"/>
        <w:pageBreakBefore w:val="0"/>
        <w:widowControl w:val="0"/>
        <w:kinsoku/>
        <w:wordWrap/>
        <w:overflowPunct/>
        <w:topLinePunct w:val="0"/>
        <w:autoSpaceDE/>
        <w:autoSpaceDN/>
        <w:bidi w:val="0"/>
        <w:adjustRightInd/>
        <w:snapToGrid/>
        <w:spacing w:line="380" w:lineRule="exact"/>
        <w:ind w:left="458" w:leftChars="218" w:right="23" w:rightChars="11" w:firstLine="105" w:firstLineChars="50"/>
        <w:textAlignment w:val="auto"/>
        <w:rPr>
          <w:rFonts w:ascii="宋体" w:hAnsi="宋体"/>
          <w:color w:val="auto"/>
          <w:szCs w:val="21"/>
          <w:highlight w:val="none"/>
        </w:rPr>
      </w:pPr>
      <w:r>
        <w:rPr>
          <w:rFonts w:hint="eastAsia" w:ascii="宋体" w:hAnsi="宋体"/>
          <w:color w:val="auto"/>
          <w:szCs w:val="21"/>
          <w:highlight w:val="none"/>
        </w:rPr>
        <w:t>风险费用的计算方法：</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210A9C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ascii="宋体" w:hAnsi="宋体"/>
          <w:color w:val="auto"/>
          <w:szCs w:val="21"/>
          <w:highlight w:val="none"/>
        </w:rPr>
      </w:pPr>
      <w:r>
        <w:rPr>
          <w:rFonts w:hint="eastAsia" w:ascii="宋体" w:hAnsi="宋体"/>
          <w:color w:val="auto"/>
          <w:szCs w:val="21"/>
          <w:highlight w:val="none"/>
        </w:rPr>
        <w:t>风险范围以外合同价格的调整方法：</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F57C40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ascii="宋体" w:hAnsi="宋体"/>
          <w:color w:val="auto"/>
          <w:szCs w:val="21"/>
          <w:highlight w:val="none"/>
        </w:rPr>
      </w:pPr>
      <w:r>
        <w:rPr>
          <w:rFonts w:hint="eastAsia" w:ascii="宋体" w:hAnsi="宋体"/>
          <w:color w:val="auto"/>
          <w:szCs w:val="21"/>
          <w:highlight w:val="none"/>
        </w:rPr>
        <w:t>3.其他价格方式：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7FF2E73">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12.2预付款 </w:t>
      </w:r>
    </w:p>
    <w:p w14:paraId="758E8B3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12.2.1预付款的支付</w:t>
      </w:r>
    </w:p>
    <w:p w14:paraId="6385B3D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预付款支付比例或金额：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4FBAA1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预付款支付期限：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359FC9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预付款扣回的方式：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D91745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12.2.2预付款担保</w:t>
      </w:r>
    </w:p>
    <w:p w14:paraId="61A4AC0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承包人提交预付款担保的期限：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A4C5BD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预付款担保的形式为：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94FF7AF">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12.3计量 </w:t>
      </w:r>
    </w:p>
    <w:p w14:paraId="2E3231F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12.3.1计量原则</w:t>
      </w:r>
    </w:p>
    <w:p w14:paraId="60154C1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工程量计算规则：</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253290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12.3.2计量周期</w:t>
      </w:r>
    </w:p>
    <w:p w14:paraId="05D3BED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关于计量周期的约定：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C2860B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12.3.3单价合同的计量</w:t>
      </w:r>
    </w:p>
    <w:p w14:paraId="10E5589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关于单价合同计量的约定：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D0F41B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12.3.4总价合同的计量</w:t>
      </w:r>
    </w:p>
    <w:p w14:paraId="3DF55AAC">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关于总价合同计量的约定：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BE2B98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12.3.5总价合同采用支付分解表计量支付的，是否适用第</w:t>
      </w:r>
      <w:r>
        <w:rPr>
          <w:rFonts w:ascii="宋体" w:hAnsi="宋体"/>
          <w:color w:val="auto"/>
          <w:szCs w:val="21"/>
          <w:highlight w:val="none"/>
        </w:rPr>
        <w:t>12.3.4</w:t>
      </w:r>
      <w:r>
        <w:rPr>
          <w:rFonts w:hint="eastAsia" w:ascii="宋体" w:hAnsi="宋体"/>
          <w:color w:val="auto"/>
          <w:szCs w:val="21"/>
          <w:highlight w:val="none"/>
        </w:rPr>
        <w:t>项〔总价合同的计量〕约定进行计量：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107010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12.3.6其他价格形式合同的计量</w:t>
      </w:r>
    </w:p>
    <w:p w14:paraId="2C2E3567">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其他价格形式的计量方式和程序：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EF313D0">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12.4工程进度款支付 </w:t>
      </w:r>
    </w:p>
    <w:p w14:paraId="24F2D2E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12.4.1付款周期</w:t>
      </w:r>
    </w:p>
    <w:p w14:paraId="47E5F98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关于付款周期的约定：</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2F0EE7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12.4.2进度付款申请单的编制</w:t>
      </w:r>
    </w:p>
    <w:p w14:paraId="3EC1504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关于进度付款申请单编制的约定：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F95A5B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12.4.3进度付款申请单的提交</w:t>
      </w:r>
    </w:p>
    <w:p w14:paraId="394A4E9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（1）单价合同进度付款申请单提交的约定：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DE38DE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（2）总价合同进度付款申请单提交的约定：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5E6A9B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（3）其他价格形式合同进度付款申请单提交的约定：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360960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12.4.4进度款审核和支付</w:t>
      </w:r>
    </w:p>
    <w:p w14:paraId="4B86C6C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（1）监理人审查并报送发包人的期限：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40CAA3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发包人完成审批并签发进度款支付证书的期限：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295307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（2）发包人支付进度款的期限：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3B5A09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发包人逾期支付进度款的违约金的计算方式：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0A177D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 xml:space="preserve">12.4.6支付分解表的编制 </w:t>
      </w:r>
    </w:p>
    <w:p w14:paraId="0A8F83D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2.总价合同支付分解表的编制与审批：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F52C96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3.单价合同的总价项目支付分解表的编制与审批：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C314F1F">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13.验收和工程试车 </w:t>
      </w:r>
    </w:p>
    <w:p w14:paraId="172EA376">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13.1分部分项工程验收 </w:t>
      </w:r>
    </w:p>
    <w:p w14:paraId="465AB0B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13.1.2监理人不能按时进行验收时，应提前</w:t>
      </w:r>
      <w:r>
        <w:rPr>
          <w:rFonts w:hint="eastAsia" w:ascii="宋体" w:hAnsi="宋体"/>
          <w:color w:val="auto"/>
          <w:szCs w:val="21"/>
          <w:highlight w:val="none"/>
          <w:u w:val="single"/>
        </w:rPr>
        <w:t xml:space="preserve">      </w:t>
      </w:r>
      <w:r>
        <w:rPr>
          <w:rFonts w:hint="eastAsia" w:ascii="宋体" w:hAnsi="宋体"/>
          <w:color w:val="auto"/>
          <w:szCs w:val="21"/>
          <w:highlight w:val="none"/>
        </w:rPr>
        <w:t>小时提交书面延期要求。</w:t>
      </w:r>
    </w:p>
    <w:p w14:paraId="138BF90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关于延期最长不得超过：</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小时。 </w:t>
      </w:r>
    </w:p>
    <w:p w14:paraId="4A1A2A6C">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13.2竣工验收 </w:t>
      </w:r>
    </w:p>
    <w:p w14:paraId="568F505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13.2.2竣工验收程序</w:t>
      </w:r>
    </w:p>
    <w:p w14:paraId="1A4438E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ascii="宋体" w:hAnsi="宋体"/>
          <w:color w:val="auto"/>
          <w:szCs w:val="21"/>
          <w:highlight w:val="none"/>
        </w:rPr>
      </w:pPr>
      <w:r>
        <w:rPr>
          <w:rFonts w:hint="eastAsia" w:ascii="宋体" w:hAnsi="宋体"/>
          <w:color w:val="auto"/>
          <w:szCs w:val="21"/>
          <w:highlight w:val="none"/>
        </w:rPr>
        <w:t>关于竣工验收程序的约定：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E76C21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发包人不按照本项约定组织竣工验收、颁发工程接收证书的违约金的计算方法：</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309B18E">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13.2.5移交、接收全部与部分工程</w:t>
      </w:r>
    </w:p>
    <w:p w14:paraId="4281ED6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承包人向发包人移交工程的期限：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674853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发包人未按本合同约定接收全部或部分工程的，违约金的计算方法为：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51487B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bCs/>
          <w:color w:val="auto"/>
          <w:szCs w:val="21"/>
          <w:highlight w:val="none"/>
        </w:rPr>
      </w:pPr>
      <w:r>
        <w:rPr>
          <w:rFonts w:hint="eastAsia" w:ascii="宋体" w:hAnsi="宋体"/>
          <w:color w:val="auto"/>
          <w:szCs w:val="21"/>
          <w:highlight w:val="none"/>
        </w:rPr>
        <w:t>承包人未按时移交工程的，违约金的计算方法为：</w:t>
      </w:r>
      <w:r>
        <w:rPr>
          <w:rFonts w:hint="eastAsia" w:ascii="宋体" w:hAnsi="宋体"/>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791A2A9C">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13.3工程试车 </w:t>
      </w:r>
    </w:p>
    <w:p w14:paraId="3668F1C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13.3.1试车程序</w:t>
      </w:r>
    </w:p>
    <w:p w14:paraId="144E289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ascii="宋体" w:hAnsi="宋体"/>
          <w:color w:val="auto"/>
          <w:szCs w:val="21"/>
          <w:highlight w:val="none"/>
        </w:rPr>
      </w:pPr>
      <w:r>
        <w:rPr>
          <w:rFonts w:hint="eastAsia" w:ascii="宋体" w:hAnsi="宋体"/>
          <w:color w:val="auto"/>
          <w:szCs w:val="21"/>
          <w:highlight w:val="none"/>
        </w:rPr>
        <w:t>工程试车内容：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F7B0F6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（1）单机无负荷试车费用由</w:t>
      </w:r>
      <w:r>
        <w:rPr>
          <w:rFonts w:hint="eastAsia" w:ascii="宋体" w:hAnsi="宋体"/>
          <w:color w:val="auto"/>
          <w:szCs w:val="21"/>
          <w:highlight w:val="none"/>
          <w:u w:val="single"/>
        </w:rPr>
        <w:t xml:space="preserve">                           </w:t>
      </w:r>
      <w:r>
        <w:rPr>
          <w:rFonts w:hint="eastAsia" w:ascii="宋体" w:hAnsi="宋体"/>
          <w:color w:val="auto"/>
          <w:szCs w:val="21"/>
          <w:highlight w:val="none"/>
        </w:rPr>
        <w:t>承担；</w:t>
      </w:r>
    </w:p>
    <w:p w14:paraId="75E8A8B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u w:val="single"/>
        </w:rPr>
      </w:pPr>
      <w:r>
        <w:rPr>
          <w:rFonts w:hint="eastAsia" w:ascii="宋体" w:hAnsi="宋体"/>
          <w:color w:val="auto"/>
          <w:szCs w:val="21"/>
          <w:highlight w:val="none"/>
        </w:rPr>
        <w:t>（2）无负荷联动试车费用由</w:t>
      </w:r>
      <w:r>
        <w:rPr>
          <w:rFonts w:hint="eastAsia" w:ascii="宋体" w:hAnsi="宋体"/>
          <w:color w:val="auto"/>
          <w:szCs w:val="21"/>
          <w:highlight w:val="none"/>
          <w:u w:val="single"/>
        </w:rPr>
        <w:t xml:space="preserve">                           </w:t>
      </w:r>
      <w:r>
        <w:rPr>
          <w:rFonts w:hint="eastAsia" w:ascii="宋体" w:hAnsi="宋体"/>
          <w:color w:val="auto"/>
          <w:szCs w:val="21"/>
          <w:highlight w:val="none"/>
        </w:rPr>
        <w:t>承担。</w:t>
      </w:r>
    </w:p>
    <w:p w14:paraId="314D593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13.3.3投料试车</w:t>
      </w:r>
    </w:p>
    <w:p w14:paraId="19198E7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关于投料试车相关事项的约定：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E4C5551">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13.6竣工退场 </w:t>
      </w:r>
    </w:p>
    <w:p w14:paraId="193938A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13.6.1竣工退场</w:t>
      </w:r>
    </w:p>
    <w:p w14:paraId="330A0AA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承包人完成竣工退场的期限：</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F2F3972">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14.竣工结算 </w:t>
      </w:r>
    </w:p>
    <w:p w14:paraId="09572EA0">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14.1竣工结算申请</w:t>
      </w:r>
    </w:p>
    <w:p w14:paraId="41BC5C7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承包人提交竣工付款申请单的期限：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FF2EB6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竣工付款申请单应包括的内容：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ECF1417">
      <w:pPr>
        <w:keepNext w:val="0"/>
        <w:keepLines w:val="0"/>
        <w:pageBreakBefore w:val="0"/>
        <w:widowControl w:val="0"/>
        <w:kinsoku/>
        <w:wordWrap/>
        <w:overflowPunct/>
        <w:topLinePunct w:val="0"/>
        <w:autoSpaceDE/>
        <w:autoSpaceDN/>
        <w:bidi w:val="0"/>
        <w:adjustRightInd/>
        <w:snapToGrid/>
        <w:spacing w:line="380" w:lineRule="exact"/>
        <w:ind w:right="23" w:rightChars="11" w:firstLine="417" w:firstLineChars="198"/>
        <w:textAlignment w:val="auto"/>
        <w:rPr>
          <w:rFonts w:hint="eastAsia" w:ascii="宋体" w:hAnsi="宋体"/>
          <w:b/>
          <w:bCs/>
          <w:color w:val="auto"/>
          <w:szCs w:val="21"/>
          <w:highlight w:val="none"/>
        </w:rPr>
      </w:pPr>
      <w:r>
        <w:rPr>
          <w:rFonts w:hint="eastAsia" w:ascii="宋体" w:hAnsi="宋体"/>
          <w:b/>
          <w:bCs/>
          <w:color w:val="auto"/>
          <w:szCs w:val="21"/>
          <w:highlight w:val="none"/>
        </w:rPr>
        <w:t>14.2竣工结算审核</w:t>
      </w:r>
    </w:p>
    <w:p w14:paraId="1F7111A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发包人审批竣工付款申请单的期限：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F9B8AA4">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发包人完成竣工付款的期限：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29F6B8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关于竣工付款证书异议部分复核的方式和程序：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E265437">
      <w:pPr>
        <w:keepNext w:val="0"/>
        <w:keepLines w:val="0"/>
        <w:pageBreakBefore w:val="0"/>
        <w:widowControl w:val="0"/>
        <w:kinsoku/>
        <w:wordWrap/>
        <w:overflowPunct/>
        <w:topLinePunct w:val="0"/>
        <w:autoSpaceDE/>
        <w:autoSpaceDN/>
        <w:bidi w:val="0"/>
        <w:adjustRightInd/>
        <w:snapToGrid/>
        <w:spacing w:line="380" w:lineRule="exact"/>
        <w:ind w:right="23" w:rightChars="11" w:firstLine="413" w:firstLineChars="196"/>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14.4最终结清 </w:t>
      </w:r>
    </w:p>
    <w:p w14:paraId="1129A9E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14.4.1最终结清申请单</w:t>
      </w:r>
    </w:p>
    <w:p w14:paraId="1B65430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承包人提交最终结清申请单的份数：</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10297B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承包人提交最终结算申请单的期限：</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AD67F0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14.4.2最终结清证书和支付</w:t>
      </w:r>
    </w:p>
    <w:p w14:paraId="3ABA2E3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（1）发包人完成最终结清申请单的审批并颁发最终结清证书的期限：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CA44B7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（2）发包人完成支付的期限：</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B80D661">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15.缺陷责任期与保修 </w:t>
      </w:r>
    </w:p>
    <w:p w14:paraId="4B97826A">
      <w:pPr>
        <w:keepNext w:val="0"/>
        <w:keepLines w:val="0"/>
        <w:pageBreakBefore w:val="0"/>
        <w:widowControl w:val="0"/>
        <w:kinsoku/>
        <w:wordWrap/>
        <w:overflowPunct/>
        <w:topLinePunct w:val="0"/>
        <w:autoSpaceDE/>
        <w:autoSpaceDN/>
        <w:bidi w:val="0"/>
        <w:adjustRightInd/>
        <w:snapToGrid/>
        <w:spacing w:line="380" w:lineRule="exact"/>
        <w:ind w:right="23" w:rightChars="11" w:firstLine="413" w:firstLineChars="196"/>
        <w:textAlignment w:val="auto"/>
        <w:rPr>
          <w:rFonts w:hint="eastAsia" w:ascii="宋体" w:hAnsi="宋体"/>
          <w:b/>
          <w:bCs/>
          <w:color w:val="auto"/>
          <w:szCs w:val="21"/>
          <w:highlight w:val="none"/>
        </w:rPr>
      </w:pPr>
      <w:r>
        <w:rPr>
          <w:rFonts w:hint="eastAsia" w:ascii="宋体" w:hAnsi="宋体"/>
          <w:b/>
          <w:bCs/>
          <w:color w:val="auto"/>
          <w:szCs w:val="21"/>
          <w:highlight w:val="none"/>
        </w:rPr>
        <w:t>15.2缺陷责任期</w:t>
      </w:r>
    </w:p>
    <w:p w14:paraId="62A2BF4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缺陷责任期的具体期限：</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A40CB9C">
      <w:pPr>
        <w:keepNext w:val="0"/>
        <w:keepLines w:val="0"/>
        <w:pageBreakBefore w:val="0"/>
        <w:widowControl w:val="0"/>
        <w:kinsoku/>
        <w:wordWrap/>
        <w:overflowPunct/>
        <w:topLinePunct w:val="0"/>
        <w:autoSpaceDE/>
        <w:autoSpaceDN/>
        <w:bidi w:val="0"/>
        <w:adjustRightInd/>
        <w:snapToGrid/>
        <w:spacing w:line="380" w:lineRule="exact"/>
        <w:ind w:right="23" w:rightChars="11" w:firstLine="413" w:firstLineChars="196"/>
        <w:textAlignment w:val="auto"/>
        <w:rPr>
          <w:rFonts w:hint="eastAsia" w:ascii="宋体" w:hAnsi="宋体"/>
          <w:b/>
          <w:bCs/>
          <w:color w:val="auto"/>
          <w:szCs w:val="21"/>
          <w:highlight w:val="none"/>
        </w:rPr>
      </w:pPr>
      <w:r>
        <w:rPr>
          <w:rFonts w:hint="eastAsia" w:ascii="宋体" w:hAnsi="宋体"/>
          <w:b/>
          <w:bCs/>
          <w:color w:val="auto"/>
          <w:szCs w:val="21"/>
          <w:highlight w:val="none"/>
        </w:rPr>
        <w:t>15.3质量保证金</w:t>
      </w:r>
    </w:p>
    <w:p w14:paraId="704E438E">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关于是否扣留质量保证金的约定：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E655D9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15.3.1承包人提供质量保证金的方式</w:t>
      </w:r>
    </w:p>
    <w:p w14:paraId="22EDC1E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质量保证金采用以下第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w:t>
      </w:r>
    </w:p>
    <w:p w14:paraId="2158919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（1）质量保证金保函，保证金额为：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56C70B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u w:val="single"/>
        </w:rPr>
        <w:t xml:space="preserve">        </w:t>
      </w:r>
      <w:r>
        <w:rPr>
          <w:rFonts w:hint="eastAsia" w:ascii="宋体" w:hAnsi="宋体"/>
          <w:color w:val="auto"/>
          <w:szCs w:val="21"/>
          <w:highlight w:val="none"/>
        </w:rPr>
        <w:t>%的工程款；</w:t>
      </w:r>
    </w:p>
    <w:p w14:paraId="144489D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（3）其他方式：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68590B1">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15.3.2质量保证金的扣留</w:t>
      </w:r>
    </w:p>
    <w:p w14:paraId="270A7E6D">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质量保证金的扣留采取以下第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w:t>
      </w:r>
    </w:p>
    <w:p w14:paraId="42E3E1EA">
      <w:pPr>
        <w:keepNext w:val="0"/>
        <w:keepLines w:val="0"/>
        <w:pageBreakBefore w:val="0"/>
        <w:widowControl w:val="0"/>
        <w:numPr>
          <w:ilvl w:val="0"/>
          <w:numId w:val="3"/>
        </w:numPr>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在支付工程进度款时逐次扣留，在此情形下，质量保证金的计算基数不包括预付款的支付、扣回以及价格调整的金额；</w:t>
      </w:r>
    </w:p>
    <w:p w14:paraId="4775651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（2）工程竣工结算时一次性扣留质量保证金；</w:t>
      </w:r>
    </w:p>
    <w:p w14:paraId="60C6995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（3）其他扣留方式：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4DB85E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关于质量保证金的补充约定：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22A5394">
      <w:pPr>
        <w:keepNext w:val="0"/>
        <w:keepLines w:val="0"/>
        <w:pageBreakBefore w:val="0"/>
        <w:widowControl w:val="0"/>
        <w:kinsoku/>
        <w:wordWrap/>
        <w:overflowPunct/>
        <w:topLinePunct w:val="0"/>
        <w:autoSpaceDE/>
        <w:autoSpaceDN/>
        <w:bidi w:val="0"/>
        <w:adjustRightInd/>
        <w:snapToGrid/>
        <w:spacing w:line="380" w:lineRule="exact"/>
        <w:ind w:right="23" w:rightChars="11" w:firstLine="413" w:firstLineChars="196"/>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15.4保修 </w:t>
      </w:r>
    </w:p>
    <w:p w14:paraId="2F6023D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15.4.1保修责任</w:t>
      </w:r>
    </w:p>
    <w:p w14:paraId="69B25499">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工程保修期为：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232D14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15.4.3修复通知</w:t>
      </w:r>
    </w:p>
    <w:p w14:paraId="5026A06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承包人收到保修通知并到达工程现场的合理时间：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4955F14">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16.违约 </w:t>
      </w:r>
    </w:p>
    <w:p w14:paraId="5745DE56">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 xml:space="preserve">16.1发包人违约 </w:t>
      </w:r>
    </w:p>
    <w:p w14:paraId="3D3DFDB8">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16.1.1发包人违约的情形</w:t>
      </w:r>
    </w:p>
    <w:p w14:paraId="603FD65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发包人违约的其他情形：</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F11276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16.1.2发包人违约的责任</w:t>
      </w:r>
    </w:p>
    <w:p w14:paraId="318359DF">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发包人违约责任的承担方式和计算方法：</w:t>
      </w:r>
    </w:p>
    <w:p w14:paraId="51AC09C6">
      <w:pPr>
        <w:keepNext w:val="0"/>
        <w:keepLines w:val="0"/>
        <w:pageBreakBefore w:val="0"/>
        <w:widowControl w:val="0"/>
        <w:kinsoku/>
        <w:wordWrap/>
        <w:overflowPunct/>
        <w:topLinePunct w:val="0"/>
        <w:autoSpaceDE/>
        <w:autoSpaceDN/>
        <w:bidi w:val="0"/>
        <w:adjustRightInd/>
        <w:snapToGrid/>
        <w:spacing w:line="380" w:lineRule="exact"/>
        <w:ind w:left="911" w:leftChars="334" w:right="23" w:rightChars="11" w:hanging="210" w:hangingChars="100"/>
        <w:textAlignment w:val="auto"/>
        <w:rPr>
          <w:rFonts w:hint="eastAsia" w:ascii="宋体" w:hAnsi="宋体"/>
          <w:color w:val="auto"/>
          <w:szCs w:val="21"/>
          <w:highlight w:val="none"/>
        </w:rPr>
      </w:pPr>
      <w:r>
        <w:rPr>
          <w:rFonts w:hint="eastAsia" w:ascii="宋体" w:hAnsi="宋体"/>
          <w:color w:val="auto"/>
          <w:szCs w:val="21"/>
          <w:highlight w:val="none"/>
        </w:rPr>
        <w:t>（1）因发包人原因未能在计划开工日期前 7天内下达开工通的违约责任：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2B3FE87">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（2）因发包人原因未能按合同约定支付合同价款的违约责任：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BFCFD2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（3）发包人违反第10.1款〔变更的范围〕第（2）项约定，自行实施被取消的工作或转由他人实施的违约责任：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C80150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（4）发包人提供的材料、工程设备的规格、数量或质量不符合合同约定，或因发包人原因导致交货日期延误或交货地点变更等情况的违约责任：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45287C8">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（5）因发包人违反合同约定造成暂停施工的违约责任：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AA8F739">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（6）发包人无正当理由没有在约定期限内发出复工指示，导致承包人无法复工的违约责任：</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684D9E5">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（7）其他：</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24415C1">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16.1.3因发包人违约解除合同</w:t>
      </w:r>
    </w:p>
    <w:p w14:paraId="10A09C93">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 xml:space="preserve">承包人按16.1.1项〔发包人违约的情形〕约定暂停施工满天后发包人仍不纠正其违约行为并致使合同目的不能实现的，承包人有权解除合同。 </w:t>
      </w:r>
    </w:p>
    <w:p w14:paraId="1509E37A">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 xml:space="preserve">16.2承包人违约 </w:t>
      </w:r>
    </w:p>
    <w:p w14:paraId="07D67D81">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16.2.1承包人违约的情形承包人违约的其他情形：</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D1600C1">
      <w:pPr>
        <w:keepNext w:val="0"/>
        <w:keepLines w:val="0"/>
        <w:pageBreakBefore w:val="0"/>
        <w:widowControl w:val="0"/>
        <w:kinsoku/>
        <w:wordWrap/>
        <w:overflowPunct/>
        <w:topLinePunct w:val="0"/>
        <w:autoSpaceDE/>
        <w:autoSpaceDN/>
        <w:bidi w:val="0"/>
        <w:adjustRightInd/>
        <w:snapToGrid/>
        <w:spacing w:line="380" w:lineRule="exact"/>
        <w:ind w:left="603" w:leftChars="287" w:right="23" w:rightChars="11"/>
        <w:textAlignment w:val="auto"/>
        <w:rPr>
          <w:rFonts w:hint="eastAsia" w:ascii="宋体" w:hAnsi="宋体"/>
          <w:color w:val="auto"/>
          <w:szCs w:val="21"/>
          <w:highlight w:val="none"/>
        </w:rPr>
      </w:pPr>
      <w:r>
        <w:rPr>
          <w:rFonts w:hint="eastAsia" w:ascii="宋体" w:hAnsi="宋体"/>
          <w:color w:val="auto"/>
          <w:szCs w:val="21"/>
          <w:highlight w:val="none"/>
        </w:rPr>
        <w:t>16.2.2承包人违约的责任承包人违约责任的承担方式和计算方法：</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A41876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16.2.3因承包人违约解除合同</w:t>
      </w:r>
    </w:p>
    <w:p w14:paraId="574D0B56">
      <w:pPr>
        <w:keepNext w:val="0"/>
        <w:keepLines w:val="0"/>
        <w:pageBreakBefore w:val="0"/>
        <w:widowControl w:val="0"/>
        <w:kinsoku/>
        <w:wordWrap/>
        <w:overflowPunct/>
        <w:topLinePunct w:val="0"/>
        <w:autoSpaceDE/>
        <w:autoSpaceDN/>
        <w:bidi w:val="0"/>
        <w:adjustRightInd/>
        <w:snapToGrid/>
        <w:spacing w:line="380" w:lineRule="exact"/>
        <w:ind w:left="561" w:leftChars="267" w:right="23" w:rightChars="11"/>
        <w:textAlignment w:val="auto"/>
        <w:rPr>
          <w:rFonts w:hint="eastAsia" w:ascii="宋体" w:hAnsi="宋体"/>
          <w:color w:val="auto"/>
          <w:szCs w:val="21"/>
          <w:highlight w:val="none"/>
        </w:rPr>
      </w:pPr>
      <w:r>
        <w:rPr>
          <w:rFonts w:hint="eastAsia" w:ascii="宋体" w:hAnsi="宋体"/>
          <w:color w:val="auto"/>
          <w:szCs w:val="21"/>
          <w:highlight w:val="none"/>
        </w:rPr>
        <w:t>关于承包人违约解除合同的特别约定：</w:t>
      </w:r>
      <w:r>
        <w:rPr>
          <w:rFonts w:hint="eastAsia" w:ascii="宋体" w:hAnsi="宋体"/>
          <w:color w:val="auto"/>
          <w:szCs w:val="21"/>
          <w:highlight w:val="none"/>
          <w:u w:val="single"/>
        </w:rPr>
        <w:t xml:space="preserve">                  </w:t>
      </w:r>
      <w:r>
        <w:rPr>
          <w:rFonts w:hint="eastAsia" w:ascii="宋体" w:hAnsi="宋体"/>
          <w:color w:val="auto"/>
          <w:szCs w:val="21"/>
          <w:highlight w:val="none"/>
        </w:rPr>
        <w:t>。发包人继续使用承包人在施工现场的材料、设备、临时工程、承包人文件和由承包人或以其名义编制的其他文件的费用承担方式：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A9AEDB1">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17.不可抗力 </w:t>
      </w:r>
    </w:p>
    <w:p w14:paraId="24301868">
      <w:pPr>
        <w:keepNext w:val="0"/>
        <w:keepLines w:val="0"/>
        <w:pageBreakBefore w:val="0"/>
        <w:widowControl w:val="0"/>
        <w:kinsoku/>
        <w:wordWrap/>
        <w:overflowPunct/>
        <w:topLinePunct w:val="0"/>
        <w:autoSpaceDE/>
        <w:autoSpaceDN/>
        <w:bidi w:val="0"/>
        <w:adjustRightInd/>
        <w:snapToGrid/>
        <w:spacing w:line="380" w:lineRule="exact"/>
        <w:ind w:right="23" w:rightChars="11" w:firstLine="413" w:firstLineChars="196"/>
        <w:textAlignment w:val="auto"/>
        <w:rPr>
          <w:rFonts w:hint="eastAsia" w:ascii="宋体" w:hAnsi="宋体"/>
          <w:b/>
          <w:bCs/>
          <w:color w:val="auto"/>
          <w:szCs w:val="21"/>
          <w:highlight w:val="none"/>
        </w:rPr>
      </w:pPr>
      <w:r>
        <w:rPr>
          <w:rFonts w:hint="eastAsia" w:ascii="宋体" w:hAnsi="宋体"/>
          <w:b/>
          <w:bCs/>
          <w:color w:val="auto"/>
          <w:szCs w:val="21"/>
          <w:highlight w:val="none"/>
        </w:rPr>
        <w:t>17.1不可抗力的确认</w:t>
      </w:r>
    </w:p>
    <w:p w14:paraId="43E92C32">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除通用合同条款约定的不可抗力事件之外，视为不可抗力的其他情形：</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091BBF2">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17.4因不可抗力解除合同</w:t>
      </w:r>
    </w:p>
    <w:p w14:paraId="2F06611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 xml:space="preserve">合同解除后，发包人应在商定或确定发包人应支付款项后天内完成款项的支付。 </w:t>
      </w:r>
    </w:p>
    <w:p w14:paraId="61D9F7CB">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18.保险 </w:t>
      </w:r>
    </w:p>
    <w:p w14:paraId="6FFDA8CF">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18.1工程保险</w:t>
      </w:r>
    </w:p>
    <w:p w14:paraId="23EEF46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关于工程保险的特别约定：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62FFF1F">
      <w:pPr>
        <w:keepNext w:val="0"/>
        <w:keepLines w:val="0"/>
        <w:pageBreakBefore w:val="0"/>
        <w:widowControl w:val="0"/>
        <w:kinsoku/>
        <w:wordWrap/>
        <w:overflowPunct/>
        <w:topLinePunct w:val="0"/>
        <w:autoSpaceDE/>
        <w:autoSpaceDN/>
        <w:bidi w:val="0"/>
        <w:adjustRightInd/>
        <w:snapToGrid/>
        <w:spacing w:line="380" w:lineRule="exact"/>
        <w:ind w:right="23" w:rightChars="11"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rPr>
        <w:t>18.3安全生产责任保险</w:t>
      </w:r>
    </w:p>
    <w:p w14:paraId="7306EF7A">
      <w:pPr>
        <w:keepNext w:val="0"/>
        <w:keepLines w:val="0"/>
        <w:pageBreakBefore w:val="0"/>
        <w:widowControl w:val="0"/>
        <w:kinsoku/>
        <w:wordWrap/>
        <w:overflowPunct/>
        <w:topLinePunct w:val="0"/>
        <w:autoSpaceDE/>
        <w:autoSpaceDN/>
        <w:bidi w:val="0"/>
        <w:adjustRightInd/>
        <w:snapToGrid/>
        <w:spacing w:line="380" w:lineRule="exact"/>
        <w:ind w:right="23" w:rightChars="11" w:firstLine="420" w:firstLineChars="200"/>
        <w:textAlignment w:val="auto"/>
        <w:rPr>
          <w:rFonts w:ascii="宋体" w:hAnsi="宋体"/>
          <w:color w:val="auto"/>
          <w:szCs w:val="21"/>
          <w:highlight w:val="none"/>
        </w:rPr>
      </w:pPr>
      <w:r>
        <w:rPr>
          <w:rFonts w:hint="eastAsia" w:ascii="宋体" w:hAnsi="宋体"/>
          <w:color w:val="auto"/>
          <w:szCs w:val="21"/>
          <w:highlight w:val="none"/>
        </w:rPr>
        <w:t>关于安全生产责任保险的约定：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CE79813">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18.7通知义务</w:t>
      </w:r>
    </w:p>
    <w:p w14:paraId="37D54D74">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关于变更保险合同时的通知义务的约定：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A318809">
      <w:pPr>
        <w:keepNext w:val="0"/>
        <w:keepLines w:val="0"/>
        <w:pageBreakBefore w:val="0"/>
        <w:widowControl w:val="0"/>
        <w:kinsoku/>
        <w:wordWrap/>
        <w:overflowPunct/>
        <w:topLinePunct w:val="0"/>
        <w:autoSpaceDE/>
        <w:autoSpaceDN/>
        <w:bidi w:val="0"/>
        <w:adjustRightInd/>
        <w:snapToGrid/>
        <w:spacing w:line="380" w:lineRule="exact"/>
        <w:ind w:right="23" w:rightChars="11"/>
        <w:textAlignment w:val="auto"/>
        <w:rPr>
          <w:rFonts w:hint="eastAsia" w:ascii="宋体" w:hAnsi="宋体"/>
          <w:b/>
          <w:color w:val="auto"/>
          <w:szCs w:val="21"/>
          <w:highlight w:val="none"/>
        </w:rPr>
      </w:pPr>
      <w:r>
        <w:rPr>
          <w:rFonts w:hint="eastAsia" w:ascii="宋体" w:hAnsi="宋体"/>
          <w:b/>
          <w:color w:val="auto"/>
          <w:szCs w:val="21"/>
          <w:highlight w:val="none"/>
        </w:rPr>
        <w:t xml:space="preserve">20.争议解决 </w:t>
      </w:r>
    </w:p>
    <w:p w14:paraId="787AA175">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20.3争议评审</w:t>
      </w:r>
    </w:p>
    <w:p w14:paraId="602A4C90">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合同当事人是否同意将工程争议提交争议评审小组决定：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4B8AFE0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20.3.1争议评审小组的确定</w:t>
      </w:r>
    </w:p>
    <w:p w14:paraId="5C1124A5">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争议评审小组成员的确定：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E9EA44A">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选定争议评审员的期限：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79967F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争议评审小组成员的报酬承担方式：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A8660CC">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其他事项的约定：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15371B7">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20.3.2争议评审小组的决定</w:t>
      </w:r>
    </w:p>
    <w:p w14:paraId="6928AEBB">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合同当事人关于本项的约定：</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9C3D055">
      <w:pPr>
        <w:keepNext w:val="0"/>
        <w:keepLines w:val="0"/>
        <w:pageBreakBefore w:val="0"/>
        <w:widowControl w:val="0"/>
        <w:kinsoku/>
        <w:wordWrap/>
        <w:overflowPunct/>
        <w:topLinePunct w:val="0"/>
        <w:autoSpaceDE/>
        <w:autoSpaceDN/>
        <w:bidi w:val="0"/>
        <w:adjustRightInd/>
        <w:snapToGrid/>
        <w:spacing w:line="380" w:lineRule="exact"/>
        <w:ind w:left="877" w:leftChars="267" w:right="23" w:rightChars="11" w:hanging="316" w:hangingChars="150"/>
        <w:textAlignment w:val="auto"/>
        <w:rPr>
          <w:rFonts w:hint="eastAsia" w:ascii="宋体" w:hAnsi="宋体"/>
          <w:b/>
          <w:color w:val="auto"/>
          <w:szCs w:val="21"/>
          <w:highlight w:val="none"/>
        </w:rPr>
      </w:pPr>
      <w:r>
        <w:rPr>
          <w:rFonts w:hint="eastAsia" w:ascii="宋体" w:hAnsi="宋体"/>
          <w:b/>
          <w:color w:val="auto"/>
          <w:szCs w:val="21"/>
          <w:highlight w:val="none"/>
        </w:rPr>
        <w:t>20.4仲裁或诉讼</w:t>
      </w:r>
    </w:p>
    <w:p w14:paraId="764B0FF3">
      <w:pPr>
        <w:keepNext w:val="0"/>
        <w:keepLines w:val="0"/>
        <w:pageBreakBefore w:val="0"/>
        <w:widowControl w:val="0"/>
        <w:kinsoku/>
        <w:wordWrap/>
        <w:overflowPunct/>
        <w:topLinePunct w:val="0"/>
        <w:autoSpaceDE/>
        <w:autoSpaceDN/>
        <w:bidi w:val="0"/>
        <w:adjustRightInd/>
        <w:snapToGrid/>
        <w:spacing w:line="380" w:lineRule="exact"/>
        <w:ind w:left="876" w:leftChars="267" w:right="23" w:rightChars="11" w:hanging="315" w:hangingChars="150"/>
        <w:textAlignment w:val="auto"/>
        <w:rPr>
          <w:rFonts w:hint="eastAsia" w:ascii="宋体" w:hAnsi="宋体"/>
          <w:color w:val="auto"/>
          <w:szCs w:val="21"/>
          <w:highlight w:val="none"/>
        </w:rPr>
      </w:pPr>
      <w:r>
        <w:rPr>
          <w:rFonts w:hint="eastAsia" w:ascii="宋体" w:hAnsi="宋体"/>
          <w:color w:val="auto"/>
          <w:szCs w:val="21"/>
          <w:highlight w:val="none"/>
        </w:rPr>
        <w:t>因合同及合同有关事项发生的争议，按下列第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种方式解决：</w:t>
      </w:r>
    </w:p>
    <w:p w14:paraId="5B795CA3">
      <w:pPr>
        <w:keepNext w:val="0"/>
        <w:keepLines w:val="0"/>
        <w:pageBreakBefore w:val="0"/>
        <w:widowControl w:val="0"/>
        <w:numPr>
          <w:ilvl w:val="0"/>
          <w:numId w:val="4"/>
        </w:numPr>
        <w:kinsoku/>
        <w:wordWrap/>
        <w:overflowPunct/>
        <w:topLinePunct w:val="0"/>
        <w:autoSpaceDE/>
        <w:autoSpaceDN/>
        <w:bidi w:val="0"/>
        <w:adjustRightInd/>
        <w:snapToGrid/>
        <w:spacing w:line="380" w:lineRule="exact"/>
        <w:ind w:left="876" w:leftChars="267" w:right="23" w:rightChars="11" w:hanging="315" w:hangingChars="150"/>
        <w:textAlignment w:val="auto"/>
        <w:rPr>
          <w:color w:val="auto"/>
        </w:rPr>
      </w:pPr>
      <w:r>
        <w:rPr>
          <w:rFonts w:hint="eastAsia" w:ascii="宋体" w:hAnsi="宋体"/>
          <w:color w:val="auto"/>
          <w:szCs w:val="21"/>
          <w:highlight w:val="none"/>
        </w:rPr>
        <w:t>向</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申请仲裁；</w:t>
      </w:r>
    </w:p>
    <w:p w14:paraId="7ED9B56D">
      <w:pPr>
        <w:keepNext w:val="0"/>
        <w:keepLines w:val="0"/>
        <w:pageBreakBefore w:val="0"/>
        <w:widowControl w:val="0"/>
        <w:numPr>
          <w:ilvl w:val="0"/>
          <w:numId w:val="4"/>
        </w:numPr>
        <w:kinsoku/>
        <w:wordWrap/>
        <w:overflowPunct/>
        <w:topLinePunct w:val="0"/>
        <w:autoSpaceDE/>
        <w:autoSpaceDN/>
        <w:bidi w:val="0"/>
        <w:adjustRightInd/>
        <w:snapToGrid/>
        <w:spacing w:line="380" w:lineRule="exact"/>
        <w:ind w:left="876" w:leftChars="267" w:right="23" w:rightChars="11" w:hanging="315" w:hangingChars="150"/>
        <w:textAlignment w:val="auto"/>
        <w:rPr>
          <w:color w:val="auto"/>
        </w:rPr>
      </w:pPr>
      <w:r>
        <w:rPr>
          <w:rFonts w:hint="eastAsia" w:ascii="宋体" w:hAnsi="宋体"/>
          <w:color w:val="auto"/>
          <w:szCs w:val="21"/>
          <w:highlight w:val="none"/>
        </w:rPr>
        <w:t>向</w:t>
      </w:r>
      <w:r>
        <w:rPr>
          <w:rFonts w:hint="eastAsia" w:ascii="宋体" w:hAnsi="宋体"/>
          <w:color w:val="auto"/>
          <w:szCs w:val="21"/>
          <w:highlight w:val="none"/>
          <w:u w:val="single"/>
        </w:rPr>
        <w:t xml:space="preserve">                                    </w:t>
      </w:r>
      <w:r>
        <w:rPr>
          <w:rFonts w:hint="eastAsia" w:ascii="宋体" w:hAnsi="宋体"/>
          <w:color w:val="auto"/>
          <w:szCs w:val="21"/>
          <w:highlight w:val="none"/>
        </w:rPr>
        <w:t>人民法院起诉。</w:t>
      </w:r>
    </w:p>
    <w:p w14:paraId="7A10D68F">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34874EA3">
      <w:pPr>
        <w:pStyle w:val="2"/>
        <w:bidi w:val="0"/>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第四章</w:t>
      </w:r>
      <w:r>
        <w:rPr>
          <w:rFonts w:hint="eastAsia" w:ascii="宋体" w:hAnsi="宋体" w:eastAsia="宋体" w:cs="宋体"/>
          <w:color w:val="auto"/>
          <w:highlight w:val="none"/>
        </w:rPr>
        <w:t xml:space="preserve"> 采购需求</w:t>
      </w:r>
      <w:bookmarkEnd w:id="112"/>
    </w:p>
    <w:p w14:paraId="39ACB335">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一、项目基本情况</w:t>
      </w:r>
    </w:p>
    <w:p w14:paraId="1A86A74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采购项目名称：湖南国防工业职业技术学院实训工房改造建设项目</w:t>
      </w:r>
    </w:p>
    <w:p w14:paraId="0A6F9CE3">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二、工程内容发包范围</w:t>
      </w:r>
    </w:p>
    <w:p w14:paraId="0338333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2.1实训工房现有设施陈旧破损、空间布局不合理、局部结构与管线老化，部分功能失效无法满足教学与活动使用需求。为修复破损设施、完善基本功能、规范空间使用，对建筑面积约2461.75㎡的实训工房实施维修改造，主要内容包括：拆除老化玻璃隔断，修整破损地面并铺设运动地面；增设必要运动器材与照明设施，完善通风系统；新建舞台及配套储藏功能用房，修复损坏门窗，增设室外照明；重新规范水电管线，修复墙面与天棚破损部位，完善基本使用条件。</w:t>
      </w:r>
    </w:p>
    <w:p w14:paraId="296E2C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2.2项目地点：湖南国防工业职业技术学院校园内。</w:t>
      </w:r>
    </w:p>
    <w:p w14:paraId="76572DE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2.3建设规模：项目建筑面积约2461.75㎡，具体建设内容如下：</w:t>
      </w:r>
    </w:p>
    <w:p w14:paraId="39665E9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拆除原玻璃隔断约350㎡；局部修整地面约160㎡，1376.22㎡铺设硅pu地胶；地面设1个篮球场，两个羽毛球场，增设2个移动篮球架；篮球场两侧柱子上增设2*400W规格8盏灯；场地配备风扇及通风系统；增设10M长x21.4M宽x1M高舞台，舞台上加装吊顶，新增灯光、音响等设备；舞台后新增道具、储藏室等218.87㎡，地面提高1m与舞台齐平；舞台后设置幕布，预留显示屏插口；四扇3M*3.6M，两扇4M*5.4M门维修；室外墙面增加四盏太阳能挂壁灯；拆除工程、成品保护、场地清理、垃圾外运等全部零星配套工程。</w:t>
      </w:r>
    </w:p>
    <w:p w14:paraId="4E6FC5B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详见招标工程量清单。</w:t>
      </w:r>
    </w:p>
    <w:p w14:paraId="7B6DFF56">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三、施工资质等要求</w:t>
      </w:r>
    </w:p>
    <w:p w14:paraId="52891D7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3.1应具有建设行政主管部门颁发的建筑工程施工总承包叁级及以上等级资质，且安全生产许可证处于有效期。</w:t>
      </w:r>
    </w:p>
    <w:p w14:paraId="5ECD27E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3.2应按照国家和湖南省有关法律法规、规范标准和湘建建〔2020〕208号文规定配备施工项目部关键岗位人员。其中施工项目部关键岗位人员数量不得低于湘建建〔2020〕208号文规定的最低配备标准，即：项目负责人1人、施工员1人、安全员1人，其它岗位职责可兼任。</w:t>
      </w:r>
    </w:p>
    <w:p w14:paraId="113C8C6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要求：</w:t>
      </w:r>
    </w:p>
    <w:p w14:paraId="0BF022C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1）施工项目部关键岗位人员不得同时在其他建设工程中任职。</w:t>
      </w:r>
    </w:p>
    <w:p w14:paraId="5B1EAB7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2）施工项目部关键岗位人员必须是本企业在职人员。（提供由劳动保障部门出具的投标截止时间前近三个月的养老保险证明）。</w:t>
      </w:r>
    </w:p>
    <w:p w14:paraId="0902E20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关键岗位人员应持有相应的岗位资格证书，岗位资格证书注明了单位名称的，应与中标单位一致。项目负责人为建筑工程专业贰级及以上注册建造师执业资格，具备有效的项目负责人安全生产考核合格证书；施工员具有施工岗位资格证书。</w:t>
      </w:r>
    </w:p>
    <w:p w14:paraId="4A4A08F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3.3须制定符合项目实际初步施工方案（含进度计划）、现场施工整体平面分析图一张作为投标文件附件。</w:t>
      </w:r>
    </w:p>
    <w:p w14:paraId="306D1F6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p>
    <w:p w14:paraId="4C9696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3.4中标单位应承诺保质保量、保安全文明施工、保时间交付保农民工工资给付，否则愿意接受相应违约处理。</w:t>
      </w:r>
    </w:p>
    <w:p w14:paraId="53FDCF2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rPr>
        <w:t>投标单位投标前可自行对现场进行踏勘，不得以不完全了解项目现场情况为由，提出任何形式的增加造价或索赔要求。投标人踏勘现场所发生的一切费用和责任概由投标人自负。</w:t>
      </w:r>
    </w:p>
    <w:p w14:paraId="0F1D82E4">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四、质量及技术服务要求</w:t>
      </w:r>
    </w:p>
    <w:p w14:paraId="022A9C9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4.1质量要求：工程质量达到合格及以上标准，确保设施修复到位、满足正常使用要求。</w:t>
      </w:r>
    </w:p>
    <w:p w14:paraId="13D9FAB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4.2质量保修：执行建设部[2000]80号令建筑工程质量管理规定的保修内容及期限。</w:t>
      </w:r>
    </w:p>
    <w:p w14:paraId="3ABD039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4.3在施工前，中标单位须为施工人员购买工伤保险，在施工过程中引发的安全事故，一切责任由中标单位自负。中标单位在施工过程中损坏了非装修面和其他的财物，由中标单位负责修复或赔偿。</w:t>
      </w:r>
    </w:p>
    <w:p w14:paraId="0B4BBF1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4.4中标单位应保证项目施工现场文明安全，做好现场成品保护，施工前须对室内外设施设备及绿化等进行有效保护；如施工需要临时拆解设备，则要求施工完成后进行复原并保证设备复位后运行良好；室内外等非施工区域不得因施工而损坏或污染，否则需进行无偿修复或清洁。</w:t>
      </w:r>
    </w:p>
    <w:p w14:paraId="0D45A4D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4.5服务响应：施工期间，接到发包方或监理人实施意见后，中标单位须在24小时内响应并部署。竣工验收后，属于保修范围的项目，中标单位应在接到通知后的24小时内派人免费维修，若不在约定期限内派人保修，发包方可自行或指派第三方维修，维修费在履约金中双倍扣除，当履约金不足以承担维修费用时，发包方有权追偿，中标单位应积极给付。</w:t>
      </w:r>
    </w:p>
    <w:p w14:paraId="573E7F0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★4.6成交供应商应承诺保质保量、保安全文明施工、保时间交付、保农民工工资给付，否则愿意接受相应违约处理。（提供承诺书，格式自拟）</w:t>
      </w:r>
    </w:p>
    <w:p w14:paraId="148165FE">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五、施工工期</w:t>
      </w:r>
    </w:p>
    <w:p w14:paraId="033F18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总</w:t>
      </w:r>
      <w:r>
        <w:rPr>
          <w:rFonts w:hint="eastAsia" w:ascii="宋体" w:hAnsi="宋体" w:eastAsia="宋体" w:cs="宋体"/>
          <w:bCs/>
          <w:color w:val="auto"/>
          <w:sz w:val="21"/>
          <w:szCs w:val="21"/>
          <w:highlight w:val="none"/>
          <w:lang w:val="en-US" w:eastAsia="zh-CN"/>
        </w:rPr>
        <w:t>工期30天。成交供应商未按约定工期竣工的，每逾期一日向采购人支付此合同总价款千分之一的违约金，直至计算到采购人签字盖章确认的竣工验收合格之日止。若因本工程未按约定工期竣工而影响其他工程的进度，造成采购人的所有损失(含间接损失)及费用均由成交供应商承担。如成交供应商逾期一个月仍未将工程验收合格并交付给采购人的，采购人有权单方解除合同并不予支付工程款，由此造成的一切损失由成交供应商承担。</w:t>
      </w:r>
    </w:p>
    <w:p w14:paraId="75663CA3">
      <w:pPr>
        <w:keepNext w:val="0"/>
        <w:keepLines w:val="0"/>
        <w:pageBreakBefore w:val="0"/>
        <w:kinsoku/>
        <w:wordWrap/>
        <w:overflowPunct/>
        <w:topLinePunct w:val="0"/>
        <w:autoSpaceDE/>
        <w:autoSpaceDN/>
        <w:bidi w:val="0"/>
        <w:spacing w:line="360" w:lineRule="auto"/>
        <w:ind w:firstLine="422" w:firstLineChars="200"/>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六、验收要求</w:t>
      </w:r>
    </w:p>
    <w:p w14:paraId="368FE57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6.1材料进场验收：</w:t>
      </w:r>
    </w:p>
    <w:p w14:paraId="769E5F23">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6.1.1进场材料必须同时提供对应同批次产品的检测报告、使用说明书、出厂合格证书等技术证明资料，并同时通知采购人验货与接收。</w:t>
      </w:r>
    </w:p>
    <w:p w14:paraId="0F9528A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6.2过程验收：</w:t>
      </w:r>
    </w:p>
    <w:p w14:paraId="6F0F428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6.2.1成交供应商须根据规范要求执行过程自检，并如实填写相关质量表格。</w:t>
      </w:r>
    </w:p>
    <w:p w14:paraId="4E02E31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6.2.2按照采购人的要求接受停点验收、隐蔽验收，以及随机实测验收，并签认相关质量记录。隐蔽工程未经验收不允许自行封闭，否则该部分工程将不参与结算。</w:t>
      </w:r>
    </w:p>
    <w:p w14:paraId="0598D64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6.3.竣工验收：</w:t>
      </w:r>
    </w:p>
    <w:p w14:paraId="3A3A60F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6.3.1验收技术标准：符合《工程施工质量验收规范》要求。</w:t>
      </w:r>
    </w:p>
    <w:p w14:paraId="1470933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6.3.2工程交付前必须进行细部质量验收及工程移交。</w:t>
      </w:r>
    </w:p>
    <w:p w14:paraId="1A49F6C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bCs w:val="0"/>
          <w:color w:val="auto"/>
          <w:sz w:val="21"/>
          <w:szCs w:val="21"/>
          <w:highlight w:val="none"/>
        </w:rPr>
      </w:pPr>
      <w:r>
        <w:rPr>
          <w:rFonts w:hint="eastAsia" w:ascii="宋体" w:hAnsi="宋体" w:eastAsia="宋体" w:cs="宋体"/>
          <w:color w:val="auto"/>
          <w:sz w:val="21"/>
          <w:szCs w:val="21"/>
          <w:lang w:val="en-US" w:eastAsia="zh-CN"/>
        </w:rPr>
        <w:t>6.3.3配合分部分项工程竣工验收，配合竣工资料的提交与归档工作。</w:t>
      </w:r>
    </w:p>
    <w:p w14:paraId="133B905E">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bCs w:val="0"/>
          <w:color w:val="auto"/>
          <w:sz w:val="21"/>
          <w:szCs w:val="21"/>
          <w:highlight w:val="none"/>
        </w:rPr>
      </w:pPr>
      <w:r>
        <w:rPr>
          <w:rFonts w:hint="eastAsia" w:ascii="宋体" w:hAnsi="宋体" w:cs="宋体"/>
          <w:b/>
          <w:bCs w:val="0"/>
          <w:color w:val="auto"/>
          <w:sz w:val="21"/>
          <w:szCs w:val="21"/>
          <w:highlight w:val="none"/>
          <w:lang w:val="en-US" w:eastAsia="zh-CN"/>
        </w:rPr>
        <w:t>七、</w:t>
      </w:r>
      <w:r>
        <w:rPr>
          <w:rFonts w:hint="eastAsia" w:ascii="宋体" w:hAnsi="宋体" w:eastAsia="宋体" w:cs="宋体"/>
          <w:b/>
          <w:bCs w:val="0"/>
          <w:color w:val="auto"/>
          <w:sz w:val="21"/>
          <w:szCs w:val="21"/>
          <w:highlight w:val="none"/>
        </w:rPr>
        <w:t>付款及结算方式</w:t>
      </w:r>
    </w:p>
    <w:p w14:paraId="629DE7C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6.1所有工程全部完工并经验收合格，发包方按结算审计金额付至总工程款的100%。如中标单位无法在发包方指定时间内完成全部工程，则按发包方验收合格的工程量结算相应费用。中标单位应在发包方付款前提供等额有效普通发票。</w:t>
      </w:r>
    </w:p>
    <w:p w14:paraId="539F3D1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6.2中标单位在签订合同前向发包方提交中标金额3%的履约保证金或履约保函，待项目验收合格后正常运行一年(无质量、售后及其他经济法律纠纷等问题)提交申请后无息退还。</w:t>
      </w:r>
    </w:p>
    <w:p w14:paraId="09FBF839">
      <w:pPr>
        <w:pStyle w:val="23"/>
        <w:rPr>
          <w:rFonts w:hint="eastAsia" w:ascii="宋体" w:hAnsi="宋体" w:eastAsia="宋体" w:cs="宋体"/>
          <w:b/>
          <w:bCs/>
          <w:color w:val="auto"/>
          <w:kern w:val="0"/>
          <w:szCs w:val="21"/>
          <w:highlight w:val="none"/>
          <w:lang w:val="en-US" w:eastAsia="zh-CN"/>
        </w:rPr>
      </w:pPr>
    </w:p>
    <w:p w14:paraId="70D01B27">
      <w:pPr>
        <w:pStyle w:val="30"/>
        <w:rPr>
          <w:rFonts w:hint="eastAsia" w:ascii="宋体" w:hAnsi="宋体" w:eastAsia="宋体" w:cs="宋体"/>
          <w:color w:val="auto"/>
          <w:highlight w:val="none"/>
        </w:rPr>
      </w:pPr>
    </w:p>
    <w:p w14:paraId="3571644F">
      <w:pPr>
        <w:autoSpaceDE w:val="0"/>
        <w:autoSpaceDN w:val="0"/>
        <w:adjustRightInd w:val="0"/>
        <w:snapToGrid w:val="0"/>
        <w:spacing w:before="156" w:beforeLines="50" w:after="156" w:afterLines="50" w:line="360" w:lineRule="auto"/>
        <w:ind w:firstLine="422" w:firstLineChars="200"/>
        <w:outlineLvl w:val="0"/>
        <w:rPr>
          <w:rFonts w:hint="eastAsia" w:ascii="宋体" w:hAnsi="宋体" w:eastAsia="宋体" w:cs="宋体"/>
          <w:b/>
          <w:bCs/>
          <w:color w:val="auto"/>
          <w:szCs w:val="21"/>
          <w:highlight w:val="none"/>
        </w:rPr>
      </w:pPr>
    </w:p>
    <w:p w14:paraId="21284E26">
      <w:pPr>
        <w:autoSpaceDE w:val="0"/>
        <w:autoSpaceDN w:val="0"/>
        <w:adjustRightInd w:val="0"/>
        <w:snapToGrid w:val="0"/>
        <w:spacing w:before="156" w:beforeLines="50" w:after="156" w:afterLines="50" w:line="360" w:lineRule="auto"/>
        <w:ind w:firstLine="422" w:firstLineChars="200"/>
        <w:outlineLvl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对于上述项目要求，供应商应在响应文件中进行回应，并作出承诺及说明。</w:t>
      </w:r>
    </w:p>
    <w:p w14:paraId="15F9B919">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C10F8F5">
      <w:pPr>
        <w:pStyle w:val="2"/>
        <w:bidi w:val="0"/>
        <w:jc w:val="center"/>
        <w:rPr>
          <w:rFonts w:hint="eastAsia" w:ascii="宋体" w:hAnsi="宋体" w:eastAsia="宋体" w:cs="宋体"/>
          <w:color w:val="auto"/>
          <w:highlight w:val="none"/>
          <w:lang w:val="en-US" w:eastAsia="zh-CN"/>
        </w:rPr>
      </w:pPr>
      <w:bookmarkStart w:id="117" w:name="_Toc10966_WPSOffice_Level1"/>
      <w:bookmarkStart w:id="118" w:name="_Toc5323_WPSOffice_Level1"/>
      <w:bookmarkStart w:id="119" w:name="_Toc11003"/>
      <w:bookmarkStart w:id="120" w:name="_Toc18732_WPSOffice_Level1"/>
      <w:r>
        <w:rPr>
          <w:rFonts w:hint="eastAsia" w:ascii="宋体" w:hAnsi="宋体" w:eastAsia="宋体" w:cs="宋体"/>
          <w:color w:val="auto"/>
          <w:highlight w:val="none"/>
          <w:lang w:val="en-US" w:eastAsia="zh-CN"/>
        </w:rPr>
        <w:t>第五章 响应文件组成</w:t>
      </w:r>
      <w:bookmarkEnd w:id="117"/>
      <w:bookmarkEnd w:id="118"/>
      <w:bookmarkEnd w:id="119"/>
      <w:bookmarkEnd w:id="120"/>
    </w:p>
    <w:p w14:paraId="6F1D0B59">
      <w:pPr>
        <w:spacing w:line="360" w:lineRule="auto"/>
        <w:rPr>
          <w:rFonts w:hint="eastAsia" w:ascii="宋体" w:hAnsi="宋体" w:eastAsia="宋体" w:cs="宋体"/>
          <w:color w:val="auto"/>
          <w:highlight w:val="none"/>
        </w:rPr>
      </w:pPr>
    </w:p>
    <w:p w14:paraId="3F45C786">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供应商的响应文件应包含以下部分：</w:t>
      </w:r>
    </w:p>
    <w:p w14:paraId="7F1CF463">
      <w:pPr>
        <w:adjustRightInd w:val="0"/>
        <w:snapToGrid w:val="0"/>
        <w:spacing w:line="360" w:lineRule="auto"/>
        <w:jc w:val="left"/>
        <w:outlineLvl w:val="0"/>
        <w:rPr>
          <w:rFonts w:hint="eastAsia" w:ascii="宋体" w:hAnsi="宋体" w:eastAsia="宋体" w:cs="宋体"/>
          <w:b/>
          <w:color w:val="auto"/>
          <w:szCs w:val="21"/>
          <w:highlight w:val="none"/>
        </w:rPr>
      </w:pPr>
      <w:bookmarkStart w:id="121" w:name="_Toc31040"/>
      <w:r>
        <w:rPr>
          <w:rFonts w:hint="eastAsia" w:ascii="宋体" w:hAnsi="宋体" w:eastAsia="宋体" w:cs="宋体"/>
          <w:b/>
          <w:color w:val="auto"/>
          <w:szCs w:val="21"/>
          <w:highlight w:val="none"/>
        </w:rPr>
        <w:t>一、磋商响应声明</w:t>
      </w:r>
      <w:bookmarkEnd w:id="121"/>
    </w:p>
    <w:p w14:paraId="3749B520">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22" w:name="_Toc32536"/>
      <w:r>
        <w:rPr>
          <w:rFonts w:hint="eastAsia" w:ascii="宋体" w:hAnsi="宋体" w:eastAsia="宋体" w:cs="宋体"/>
          <w:color w:val="auto"/>
          <w:szCs w:val="21"/>
          <w:highlight w:val="none"/>
        </w:rPr>
        <w:t>附件1-1 法定代表人身份证明</w:t>
      </w:r>
      <w:bookmarkEnd w:id="122"/>
    </w:p>
    <w:p w14:paraId="6B8F4378">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23" w:name="_Toc7238"/>
      <w:r>
        <w:rPr>
          <w:rFonts w:hint="eastAsia" w:ascii="宋体" w:hAnsi="宋体" w:eastAsia="宋体" w:cs="宋体"/>
          <w:color w:val="auto"/>
          <w:szCs w:val="21"/>
          <w:highlight w:val="none"/>
        </w:rPr>
        <w:t>附件1-2 法定代表人授权委托书</w:t>
      </w:r>
      <w:bookmarkEnd w:id="123"/>
    </w:p>
    <w:p w14:paraId="19782A8B">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24" w:name="_Toc30345"/>
      <w:r>
        <w:rPr>
          <w:rFonts w:hint="eastAsia" w:ascii="宋体" w:hAnsi="宋体" w:eastAsia="宋体" w:cs="宋体"/>
          <w:color w:val="auto"/>
          <w:szCs w:val="21"/>
          <w:highlight w:val="none"/>
        </w:rPr>
        <w:t>附件2：工程质量保修书</w:t>
      </w:r>
      <w:bookmarkEnd w:id="124"/>
    </w:p>
    <w:p w14:paraId="540855B6">
      <w:pPr>
        <w:adjustRightInd w:val="0"/>
        <w:snapToGrid w:val="0"/>
        <w:spacing w:line="360" w:lineRule="auto"/>
        <w:jc w:val="left"/>
        <w:outlineLvl w:val="0"/>
        <w:rPr>
          <w:rFonts w:hint="eastAsia" w:ascii="宋体" w:hAnsi="宋体" w:eastAsia="宋体" w:cs="宋体"/>
          <w:b/>
          <w:color w:val="auto"/>
          <w:szCs w:val="21"/>
          <w:highlight w:val="none"/>
        </w:rPr>
      </w:pPr>
      <w:bookmarkStart w:id="125" w:name="_Toc22668"/>
      <w:r>
        <w:rPr>
          <w:rFonts w:hint="eastAsia" w:ascii="宋体" w:hAnsi="宋体" w:eastAsia="宋体" w:cs="宋体"/>
          <w:b/>
          <w:color w:val="auto"/>
          <w:szCs w:val="21"/>
          <w:highlight w:val="none"/>
        </w:rPr>
        <w:t>二、保证金</w:t>
      </w:r>
      <w:bookmarkEnd w:id="125"/>
    </w:p>
    <w:p w14:paraId="549AB102">
      <w:pPr>
        <w:adjustRightInd w:val="0"/>
        <w:snapToGrid w:val="0"/>
        <w:spacing w:line="360" w:lineRule="auto"/>
        <w:jc w:val="left"/>
        <w:outlineLvl w:val="0"/>
        <w:rPr>
          <w:rFonts w:hint="eastAsia" w:ascii="宋体" w:hAnsi="宋体" w:eastAsia="宋体" w:cs="宋体"/>
          <w:b/>
          <w:color w:val="auto"/>
          <w:szCs w:val="21"/>
          <w:highlight w:val="none"/>
        </w:rPr>
      </w:pPr>
      <w:bookmarkStart w:id="126" w:name="_Toc3469"/>
      <w:r>
        <w:rPr>
          <w:rFonts w:hint="eastAsia" w:ascii="宋体" w:hAnsi="宋体" w:eastAsia="宋体" w:cs="宋体"/>
          <w:b/>
          <w:color w:val="auto"/>
          <w:szCs w:val="21"/>
          <w:highlight w:val="none"/>
        </w:rPr>
        <w:t>三、供应商的资格证明资料</w:t>
      </w:r>
      <w:bookmarkEnd w:id="126"/>
    </w:p>
    <w:p w14:paraId="65F044DC">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27" w:name="_Toc5403"/>
      <w:r>
        <w:rPr>
          <w:rFonts w:hint="eastAsia" w:ascii="宋体" w:hAnsi="宋体" w:eastAsia="宋体" w:cs="宋体"/>
          <w:color w:val="auto"/>
          <w:szCs w:val="21"/>
          <w:highlight w:val="none"/>
        </w:rPr>
        <w:t>附件3-1 供应商基本情况表</w:t>
      </w:r>
      <w:bookmarkEnd w:id="127"/>
    </w:p>
    <w:p w14:paraId="31C47CBA">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128" w:name="_Toc9132"/>
      <w:r>
        <w:rPr>
          <w:rFonts w:hint="eastAsia" w:ascii="宋体" w:hAnsi="宋体" w:eastAsia="宋体" w:cs="宋体"/>
          <w:color w:val="auto"/>
          <w:szCs w:val="21"/>
          <w:highlight w:val="none"/>
        </w:rPr>
        <w:t>附件3-2 磋商文件规定的基本资格条件证明资料</w:t>
      </w:r>
      <w:bookmarkEnd w:id="128"/>
    </w:p>
    <w:p w14:paraId="5584EB85">
      <w:pPr>
        <w:adjustRightInd w:val="0"/>
        <w:snapToGrid w:val="0"/>
        <w:spacing w:line="360" w:lineRule="auto"/>
        <w:ind w:firstLine="420" w:firstLineChars="200"/>
        <w:outlineLvl w:val="0"/>
        <w:rPr>
          <w:rFonts w:hint="eastAsia" w:ascii="宋体" w:hAnsi="宋体" w:eastAsia="宋体" w:cs="宋体"/>
          <w:color w:val="auto"/>
          <w:szCs w:val="21"/>
          <w:highlight w:val="none"/>
        </w:rPr>
      </w:pPr>
      <w:bookmarkStart w:id="129" w:name="_Toc32118"/>
      <w:r>
        <w:rPr>
          <w:rFonts w:hint="eastAsia" w:ascii="宋体" w:hAnsi="宋体" w:eastAsia="宋体" w:cs="宋体"/>
          <w:color w:val="auto"/>
          <w:szCs w:val="21"/>
          <w:highlight w:val="none"/>
        </w:rPr>
        <w:t>附件3-3 磋商文件规定的特定资格条件证明资料</w:t>
      </w:r>
      <w:bookmarkEnd w:id="129"/>
    </w:p>
    <w:p w14:paraId="77E962AF">
      <w:pPr>
        <w:adjustRightInd w:val="0"/>
        <w:snapToGrid w:val="0"/>
        <w:spacing w:line="360" w:lineRule="auto"/>
        <w:ind w:firstLine="420" w:firstLineChars="200"/>
        <w:outlineLvl w:val="0"/>
        <w:rPr>
          <w:rFonts w:hint="eastAsia" w:ascii="宋体" w:hAnsi="宋体" w:eastAsia="宋体" w:cs="宋体"/>
          <w:bCs/>
          <w:color w:val="auto"/>
          <w:szCs w:val="21"/>
          <w:highlight w:val="none"/>
        </w:rPr>
      </w:pPr>
      <w:bookmarkStart w:id="130" w:name="_Toc16401"/>
      <w:r>
        <w:rPr>
          <w:rFonts w:hint="eastAsia" w:ascii="宋体" w:hAnsi="宋体" w:eastAsia="宋体" w:cs="宋体"/>
          <w:bCs/>
          <w:color w:val="auto"/>
          <w:szCs w:val="21"/>
          <w:highlight w:val="none"/>
        </w:rPr>
        <w:t>附件3-</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 xml:space="preserve"> </w:t>
      </w:r>
      <w:r>
        <w:rPr>
          <w:rFonts w:hint="eastAsia" w:ascii="宋体" w:hAnsi="宋体" w:eastAsia="宋体" w:cs="宋体"/>
          <w:bCs/>
          <w:color w:val="auto"/>
          <w:szCs w:val="21"/>
          <w:highlight w:val="none"/>
          <w:lang w:val="en-US" w:eastAsia="zh-CN"/>
        </w:rPr>
        <w:t>承诺函</w:t>
      </w:r>
      <w:bookmarkEnd w:id="130"/>
    </w:p>
    <w:p w14:paraId="74B54772">
      <w:pPr>
        <w:adjustRightInd w:val="0"/>
        <w:snapToGrid w:val="0"/>
        <w:spacing w:line="360" w:lineRule="auto"/>
        <w:ind w:firstLine="420" w:firstLineChars="200"/>
        <w:outlineLvl w:val="0"/>
        <w:rPr>
          <w:rFonts w:hint="eastAsia" w:ascii="宋体" w:hAnsi="宋体" w:eastAsia="宋体" w:cs="宋体"/>
          <w:color w:val="auto"/>
          <w:highlight w:val="none"/>
        </w:rPr>
      </w:pPr>
      <w:bookmarkStart w:id="131" w:name="_Toc9994"/>
      <w:r>
        <w:rPr>
          <w:rFonts w:hint="eastAsia" w:ascii="宋体" w:hAnsi="宋体" w:eastAsia="宋体" w:cs="宋体"/>
          <w:bCs/>
          <w:color w:val="auto"/>
          <w:szCs w:val="21"/>
          <w:highlight w:val="none"/>
        </w:rPr>
        <w:t>附件3-</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 xml:space="preserve"> 其他说明</w:t>
      </w:r>
      <w:bookmarkEnd w:id="131"/>
    </w:p>
    <w:p w14:paraId="7E9D2579">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四、施工方案说明</w:t>
      </w:r>
    </w:p>
    <w:p w14:paraId="1315FFD8">
      <w:pPr>
        <w:pStyle w:val="12"/>
        <w:adjustRightInd w:val="0"/>
        <w:snapToGrid w:val="0"/>
        <w:spacing w:line="360" w:lineRule="auto"/>
        <w:ind w:firstLine="435"/>
        <w:rPr>
          <w:rFonts w:hint="eastAsia" w:ascii="宋体" w:hAnsi="宋体" w:eastAsia="宋体" w:cs="宋体"/>
          <w:color w:val="auto"/>
          <w:highlight w:val="none"/>
        </w:rPr>
      </w:pPr>
      <w:r>
        <w:rPr>
          <w:rFonts w:hint="eastAsia" w:ascii="宋体" w:hAnsi="宋体" w:eastAsia="宋体" w:cs="宋体"/>
          <w:color w:val="auto"/>
          <w:highlight w:val="none"/>
        </w:rPr>
        <w:t>附件4-1 施工方案说明</w:t>
      </w:r>
    </w:p>
    <w:p w14:paraId="025A8FBA">
      <w:pPr>
        <w:pStyle w:val="12"/>
        <w:adjustRightInd w:val="0"/>
        <w:snapToGrid w:val="0"/>
        <w:spacing w:line="360" w:lineRule="auto"/>
        <w:ind w:firstLine="435"/>
        <w:rPr>
          <w:rFonts w:hint="eastAsia" w:ascii="宋体" w:hAnsi="宋体" w:eastAsia="宋体" w:cs="宋体"/>
          <w:b/>
          <w:color w:val="auto"/>
          <w:highlight w:val="none"/>
        </w:rPr>
      </w:pPr>
      <w:r>
        <w:rPr>
          <w:rFonts w:hint="eastAsia" w:ascii="宋体" w:hAnsi="宋体" w:eastAsia="宋体" w:cs="宋体"/>
          <w:color w:val="auto"/>
          <w:highlight w:val="none"/>
        </w:rPr>
        <w:t>附件4-2 主要人员简历表</w:t>
      </w:r>
    </w:p>
    <w:p w14:paraId="264EEBD3">
      <w:pPr>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五、技术/商务响应与偏离表</w:t>
      </w:r>
    </w:p>
    <w:p w14:paraId="35F297D1">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六、报价一览表及报价文件</w:t>
      </w:r>
    </w:p>
    <w:p w14:paraId="35F2A9FF">
      <w:pPr>
        <w:pStyle w:val="12"/>
        <w:adjustRightInd w:val="0"/>
        <w:snapToGrid w:val="0"/>
        <w:spacing w:line="360" w:lineRule="auto"/>
        <w:ind w:firstLine="435"/>
        <w:rPr>
          <w:rFonts w:hint="eastAsia" w:ascii="宋体" w:hAnsi="宋体" w:eastAsia="宋体" w:cs="宋体"/>
          <w:color w:val="auto"/>
          <w:highlight w:val="none"/>
        </w:rPr>
      </w:pPr>
      <w:r>
        <w:rPr>
          <w:rFonts w:hint="eastAsia" w:ascii="宋体" w:hAnsi="宋体" w:eastAsia="宋体" w:cs="宋体"/>
          <w:color w:val="auto"/>
          <w:highlight w:val="none"/>
        </w:rPr>
        <w:t>附件4-1 报价一览表</w:t>
      </w:r>
    </w:p>
    <w:p w14:paraId="5F293828">
      <w:pPr>
        <w:pStyle w:val="12"/>
        <w:adjustRightInd w:val="0"/>
        <w:snapToGrid w:val="0"/>
        <w:spacing w:line="360" w:lineRule="auto"/>
        <w:ind w:firstLine="435"/>
        <w:rPr>
          <w:rFonts w:hint="eastAsia" w:ascii="宋体" w:hAnsi="宋体" w:eastAsia="宋体" w:cs="宋体"/>
          <w:b/>
          <w:color w:val="auto"/>
          <w:highlight w:val="none"/>
        </w:rPr>
      </w:pPr>
      <w:r>
        <w:rPr>
          <w:rFonts w:hint="eastAsia" w:ascii="宋体" w:hAnsi="宋体" w:eastAsia="宋体" w:cs="宋体"/>
          <w:color w:val="auto"/>
          <w:highlight w:val="none"/>
        </w:rPr>
        <w:t>附件4-2 分项报价表</w:t>
      </w:r>
    </w:p>
    <w:p w14:paraId="72ADA7B1">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七、提供享受政府采购政策优惠的证明资料和清单表</w:t>
      </w:r>
    </w:p>
    <w:p w14:paraId="3C6FEBCF">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32" w:name="_Toc18869"/>
      <w:r>
        <w:rPr>
          <w:rFonts w:hint="eastAsia" w:ascii="宋体" w:hAnsi="宋体" w:eastAsia="宋体" w:cs="宋体"/>
          <w:color w:val="auto"/>
          <w:szCs w:val="21"/>
          <w:highlight w:val="none"/>
        </w:rPr>
        <w:t>附件7-</w:t>
      </w:r>
      <w:r>
        <w:rPr>
          <w:rFonts w:hint="eastAsia" w:ascii="宋体" w:hAnsi="宋体" w:eastAsia="宋体" w:cs="宋体"/>
          <w:color w:val="auto"/>
          <w:szCs w:val="21"/>
          <w:highlight w:val="none"/>
          <w:lang w:val="en-US" w:eastAsia="zh-CN"/>
        </w:rPr>
        <w:t>1中小企业</w:t>
      </w:r>
      <w:r>
        <w:rPr>
          <w:rFonts w:hint="eastAsia" w:ascii="宋体" w:hAnsi="宋体" w:eastAsia="宋体" w:cs="宋体"/>
          <w:color w:val="auto"/>
          <w:szCs w:val="21"/>
          <w:highlight w:val="none"/>
        </w:rPr>
        <w:t>声明函</w:t>
      </w:r>
    </w:p>
    <w:p w14:paraId="5E11E085">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附件7-</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 xml:space="preserve"> 残疾人福利性单位声明函</w:t>
      </w:r>
      <w:bookmarkEnd w:id="132"/>
    </w:p>
    <w:p w14:paraId="59E09011">
      <w:pPr>
        <w:adjustRightInd w:val="0"/>
        <w:snapToGrid w:val="0"/>
        <w:spacing w:line="360" w:lineRule="auto"/>
        <w:ind w:firstLine="420" w:firstLineChars="200"/>
        <w:jc w:val="left"/>
        <w:outlineLvl w:val="0"/>
        <w:rPr>
          <w:rFonts w:hint="eastAsia" w:ascii="宋体" w:hAnsi="宋体" w:eastAsia="宋体" w:cs="宋体"/>
          <w:color w:val="auto"/>
          <w:szCs w:val="21"/>
          <w:highlight w:val="none"/>
        </w:rPr>
      </w:pPr>
      <w:bookmarkStart w:id="133" w:name="_Toc28447"/>
      <w:r>
        <w:rPr>
          <w:rFonts w:hint="eastAsia" w:ascii="宋体" w:hAnsi="宋体" w:eastAsia="宋体" w:cs="宋体"/>
          <w:color w:val="auto"/>
          <w:szCs w:val="21"/>
          <w:highlight w:val="none"/>
        </w:rPr>
        <w:t>附件7-</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监狱企业证明资料</w:t>
      </w:r>
      <w:bookmarkEnd w:id="133"/>
    </w:p>
    <w:p w14:paraId="79C9DF9D">
      <w:pPr>
        <w:adjustRightInd w:val="0"/>
        <w:snapToGrid w:val="0"/>
        <w:spacing w:line="360" w:lineRule="auto"/>
        <w:ind w:firstLine="420" w:firstLineChars="200"/>
        <w:jc w:val="left"/>
        <w:outlineLvl w:val="0"/>
        <w:rPr>
          <w:rFonts w:hint="eastAsia" w:ascii="宋体" w:hAnsi="宋体" w:eastAsia="宋体" w:cs="宋体"/>
          <w:b/>
          <w:color w:val="auto"/>
          <w:szCs w:val="21"/>
          <w:highlight w:val="none"/>
        </w:rPr>
      </w:pPr>
      <w:bookmarkStart w:id="134" w:name="_Toc23059"/>
      <w:r>
        <w:rPr>
          <w:rFonts w:hint="eastAsia" w:ascii="宋体" w:hAnsi="宋体" w:eastAsia="宋体" w:cs="宋体"/>
          <w:color w:val="auto"/>
          <w:szCs w:val="21"/>
          <w:highlight w:val="none"/>
        </w:rPr>
        <w:t>附件7-</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 xml:space="preserve"> </w:t>
      </w:r>
      <w:bookmarkEnd w:id="134"/>
      <w:bookmarkStart w:id="135" w:name="_Toc15698"/>
      <w:r>
        <w:rPr>
          <w:rFonts w:hint="eastAsia" w:ascii="宋体" w:hAnsi="宋体" w:eastAsia="宋体" w:cs="宋体"/>
          <w:color w:val="auto"/>
          <w:szCs w:val="21"/>
          <w:highlight w:val="none"/>
        </w:rPr>
        <w:t>提供节能产品、环境标志产品清单</w:t>
      </w:r>
      <w:bookmarkEnd w:id="135"/>
    </w:p>
    <w:p w14:paraId="260C6B3D">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八、供应商认为需提供的其它资料</w:t>
      </w:r>
    </w:p>
    <w:p w14:paraId="0B8CDFA6">
      <w:pPr>
        <w:pStyle w:val="12"/>
        <w:adjustRightInd w:val="0"/>
        <w:snapToGrid w:val="0"/>
        <w:spacing w:line="360" w:lineRule="auto"/>
        <w:rPr>
          <w:rFonts w:hint="eastAsia" w:ascii="宋体" w:hAnsi="宋体" w:eastAsia="宋体" w:cs="宋体"/>
          <w:b/>
          <w:color w:val="auto"/>
          <w:highlight w:val="none"/>
        </w:rPr>
      </w:pPr>
      <w:r>
        <w:rPr>
          <w:rFonts w:hint="eastAsia" w:ascii="宋体" w:hAnsi="宋体" w:eastAsia="宋体" w:cs="宋体"/>
          <w:b/>
          <w:color w:val="auto"/>
          <w:highlight w:val="none"/>
        </w:rPr>
        <w:t>九、最后报价</w:t>
      </w:r>
    </w:p>
    <w:p w14:paraId="1DC412EB">
      <w:pPr>
        <w:pStyle w:val="12"/>
        <w:adjustRightInd w:val="0"/>
        <w:snapToGrid w:val="0"/>
        <w:spacing w:line="360" w:lineRule="auto"/>
        <w:ind w:firstLine="435"/>
        <w:rPr>
          <w:rFonts w:hint="eastAsia" w:ascii="宋体" w:hAnsi="宋体" w:eastAsia="宋体" w:cs="宋体"/>
          <w:color w:val="auto"/>
          <w:highlight w:val="none"/>
        </w:rPr>
      </w:pPr>
      <w:r>
        <w:rPr>
          <w:rFonts w:hint="eastAsia" w:ascii="宋体" w:hAnsi="宋体" w:eastAsia="宋体" w:cs="宋体"/>
          <w:color w:val="auto"/>
          <w:highlight w:val="none"/>
        </w:rPr>
        <w:t>附件9-1 最后报价一览表</w:t>
      </w:r>
    </w:p>
    <w:p w14:paraId="6400276B">
      <w:pPr>
        <w:pStyle w:val="12"/>
        <w:adjustRightInd w:val="0"/>
        <w:snapToGrid w:val="0"/>
        <w:spacing w:line="360" w:lineRule="auto"/>
        <w:ind w:firstLine="435"/>
        <w:rPr>
          <w:rFonts w:hint="eastAsia" w:ascii="宋体" w:hAnsi="宋体" w:eastAsia="宋体" w:cs="宋体"/>
          <w:b/>
          <w:color w:val="auto"/>
          <w:highlight w:val="none"/>
        </w:rPr>
      </w:pPr>
      <w:r>
        <w:rPr>
          <w:rFonts w:hint="eastAsia" w:ascii="宋体" w:hAnsi="宋体" w:eastAsia="宋体" w:cs="宋体"/>
          <w:color w:val="auto"/>
          <w:highlight w:val="none"/>
        </w:rPr>
        <w:t>附件9-2 分项报价表</w:t>
      </w:r>
    </w:p>
    <w:p w14:paraId="39111F7C">
      <w:pPr>
        <w:adjustRightInd w:val="0"/>
        <w:snapToGrid w:val="0"/>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color w:val="auto"/>
          <w:sz w:val="32"/>
          <w:highlight w:val="none"/>
        </w:rPr>
        <w:br w:type="page"/>
      </w:r>
      <w:r>
        <w:rPr>
          <w:rFonts w:hint="eastAsia" w:ascii="宋体" w:hAnsi="宋体" w:eastAsia="宋体" w:cs="宋体"/>
          <w:b/>
          <w:color w:val="auto"/>
          <w:sz w:val="28"/>
          <w:szCs w:val="28"/>
          <w:highlight w:val="none"/>
        </w:rPr>
        <w:t>一、磋商响应声明</w:t>
      </w:r>
    </w:p>
    <w:p w14:paraId="624FE552">
      <w:pPr>
        <w:adjustRightInd w:val="0"/>
        <w:snapToGrid w:val="0"/>
        <w:spacing w:line="360" w:lineRule="auto"/>
        <w:rPr>
          <w:rFonts w:hint="eastAsia" w:ascii="宋体" w:hAnsi="宋体" w:eastAsia="宋体" w:cs="宋体"/>
          <w:color w:val="auto"/>
          <w:szCs w:val="21"/>
          <w:highlight w:val="none"/>
        </w:rPr>
      </w:pPr>
    </w:p>
    <w:p w14:paraId="66DFA74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 (采购人或采购代理机构)：</w:t>
      </w:r>
    </w:p>
    <w:p w14:paraId="740B197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我方已仔细研究了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项目名称)的竞争性磋商文件（政府采购编号：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；采购代理编号：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）的全部内容，</w:t>
      </w:r>
      <w:r>
        <w:rPr>
          <w:rFonts w:hint="eastAsia" w:ascii="宋体" w:hAnsi="宋体" w:eastAsia="宋体" w:cs="宋体"/>
          <w:color w:val="auto"/>
          <w:highlight w:val="none"/>
        </w:rPr>
        <w:t>知悉参加竞争性磋商的风险，我方承诺接受磋商文件的全部条款且无任何异议。</w:t>
      </w:r>
    </w:p>
    <w:p w14:paraId="1EB67847">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一、我方同意在磋商文件中规定的提交首次响应文件截止时间起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日内(响应文件有效期)遵守本响应文件中的承诺且在此期限期满之前均具有法律约束力。</w:t>
      </w:r>
    </w:p>
    <w:p w14:paraId="0089889B">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二、我方提交响应文件正本一份和副本一式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份，并保证响应文件提供的数据和资料全部内容真实、合法、准确和完整，我们对此负责，并愿承担由此引起的法律责任。</w:t>
      </w:r>
    </w:p>
    <w:p w14:paraId="6517525D">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三、我方愿意向贵方提供任何与本项采购有关的数据、情况和技术资料。若贵方需要，我方愿意提供我方作出的一切承诺的证明资料。</w:t>
      </w:r>
    </w:p>
    <w:p w14:paraId="23B3D776">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四、我方愿意按磋商文件规定和磋商小组要求重新提交响应文件和最后报价。</w:t>
      </w:r>
    </w:p>
    <w:p w14:paraId="6E0A3E37">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五、我方承诺遵守《中华人民共和国政府采购法》的有关规定，保证在获得成交资格后，按照磋商文件确定的事项签订政府采购合同，履行双方所签订的合同，并承担合同规定的责任和义务。</w:t>
      </w:r>
    </w:p>
    <w:p w14:paraId="04AD696F">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六、我方在此声明： </w:t>
      </w:r>
    </w:p>
    <w:p w14:paraId="52EDC692">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（一）我方与采购人或采购代理机构不存在隶属关系或者其他利害关系。</w:t>
      </w:r>
    </w:p>
    <w:p w14:paraId="4703A882">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（二）我方与参加本项目的其他供应商不存在直接控股、管理关系，或者与其他供应商法定代表人（或者负责人）为同一人。</w:t>
      </w:r>
    </w:p>
    <w:p w14:paraId="30A341F8">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（三）我方未为本项目前期准备提供设计或咨询服务。</w:t>
      </w:r>
    </w:p>
    <w:p w14:paraId="1D676DE7">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（四）我方承诺（承诺期：成立三年以上的，为提交首次响应文件截止时间前三年内；成立不足三年的，为实际时间）：</w:t>
      </w:r>
    </w:p>
    <w:p w14:paraId="1EDE0DC8">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1、我方依法缴纳了各项税费及各项社会保障资金，没有偷税、漏税及欠缴行为。</w:t>
      </w:r>
    </w:p>
    <w:p w14:paraId="762D8FD4">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2、我方在经营活动中没有存在下列重大违法记录：</w:t>
      </w:r>
    </w:p>
    <w:p w14:paraId="131C2A69">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(1)受到刑事处罚；</w:t>
      </w:r>
    </w:p>
    <w:p w14:paraId="62FFA432">
      <w:pPr>
        <w:pStyle w:val="12"/>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(2)受到200万元以上的罚款、责令停产停业、在一至三年内禁止参加政府采购活动、暂扣或者吊销许可证、暂扣或者吊销执照的行政处罚。</w:t>
      </w:r>
    </w:p>
    <w:p w14:paraId="46DD0838">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附件1：</w:t>
      </w:r>
      <w:r>
        <w:rPr>
          <w:rFonts w:hint="eastAsia" w:ascii="宋体" w:hAnsi="宋体" w:eastAsia="宋体" w:cs="宋体"/>
          <w:color w:val="auto"/>
          <w:szCs w:val="21"/>
          <w:highlight w:val="none"/>
        </w:rPr>
        <w:t>法定代表人身份证明</w:t>
      </w:r>
    </w:p>
    <w:p w14:paraId="170DBB61">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附件2</w:t>
      </w:r>
      <w:r>
        <w:rPr>
          <w:rFonts w:hint="eastAsia" w:ascii="宋体" w:hAnsi="宋体" w:eastAsia="宋体" w:cs="宋体"/>
          <w:color w:val="auto"/>
          <w:szCs w:val="21"/>
          <w:highlight w:val="none"/>
        </w:rPr>
        <w:t>：法定代表人授权书</w:t>
      </w:r>
    </w:p>
    <w:p w14:paraId="7906038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附件3</w:t>
      </w:r>
      <w:r>
        <w:rPr>
          <w:rFonts w:hint="eastAsia" w:ascii="宋体" w:hAnsi="宋体" w:eastAsia="宋体" w:cs="宋体"/>
          <w:color w:val="auto"/>
          <w:szCs w:val="21"/>
          <w:highlight w:val="none"/>
        </w:rPr>
        <w:t>：工程质量保修书(工程类项目适用)</w:t>
      </w:r>
    </w:p>
    <w:p w14:paraId="322C7F76">
      <w:pPr>
        <w:pStyle w:val="12"/>
        <w:adjustRightInd w:val="0"/>
        <w:snapToGrid w:val="0"/>
        <w:spacing w:line="360" w:lineRule="auto"/>
        <w:ind w:right="420" w:firstLine="630" w:firstLineChars="300"/>
        <w:jc w:val="center"/>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供应商名称(盖单位章)：</w:t>
      </w:r>
      <w:r>
        <w:rPr>
          <w:rFonts w:hint="eastAsia" w:ascii="宋体" w:hAnsi="宋体" w:eastAsia="宋体" w:cs="宋体"/>
          <w:color w:val="auto"/>
          <w:highlight w:val="none"/>
          <w:u w:val="single"/>
        </w:rPr>
        <w:t xml:space="preserve">       </w:t>
      </w:r>
    </w:p>
    <w:p w14:paraId="7B8ADF35">
      <w:pPr>
        <w:wordWrap w:val="0"/>
        <w:adjustRightInd w:val="0"/>
        <w:snapToGrid w:val="0"/>
        <w:spacing w:line="360" w:lineRule="auto"/>
        <w:ind w:right="10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法定代表人或其委托代理人 (签字或盖章)： </w:t>
      </w:r>
      <w:r>
        <w:rPr>
          <w:rFonts w:hint="eastAsia" w:ascii="宋体" w:hAnsi="宋体" w:eastAsia="宋体" w:cs="宋体"/>
          <w:color w:val="auto"/>
          <w:highlight w:val="none"/>
          <w:u w:val="single"/>
        </w:rPr>
        <w:t xml:space="preserve">       </w:t>
      </w:r>
    </w:p>
    <w:p w14:paraId="746E9688">
      <w:pPr>
        <w:adjustRightInd w:val="0"/>
        <w:snapToGrid w:val="0"/>
        <w:spacing w:line="360" w:lineRule="auto"/>
        <w:ind w:right="525" w:firstLine="4200" w:firstLineChars="20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szCs w:val="21"/>
          <w:highlight w:val="none"/>
        </w:rPr>
        <w:t>日</w:t>
      </w:r>
    </w:p>
    <w:p w14:paraId="7471F58F">
      <w:pPr>
        <w:adjustRightInd w:val="0"/>
        <w:snapToGrid w:val="0"/>
        <w:spacing w:line="360" w:lineRule="auto"/>
        <w:ind w:right="525" w:firstLine="5250" w:firstLineChars="2500"/>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6B39661D">
      <w:pPr>
        <w:widowControl/>
        <w:spacing w:line="360" w:lineRule="auto"/>
        <w:jc w:val="left"/>
        <w:rPr>
          <w:rFonts w:hint="eastAsia" w:ascii="宋体" w:hAnsi="宋体" w:eastAsia="宋体" w:cs="宋体"/>
          <w:b/>
          <w:color w:val="auto"/>
          <w:sz w:val="28"/>
          <w:szCs w:val="28"/>
          <w:highlight w:val="none"/>
        </w:rPr>
      </w:pPr>
      <w:bookmarkStart w:id="136" w:name="_Toc24789_WPSOffice_Level1"/>
      <w:bookmarkStart w:id="137" w:name="_Toc18315_WPSOffice_Level1"/>
      <w:r>
        <w:rPr>
          <w:rFonts w:hint="eastAsia" w:ascii="宋体" w:hAnsi="宋体" w:eastAsia="宋体" w:cs="宋体"/>
          <w:b/>
          <w:color w:val="auto"/>
          <w:sz w:val="28"/>
          <w:szCs w:val="28"/>
          <w:highlight w:val="none"/>
        </w:rPr>
        <w:t>附件1-1</w:t>
      </w:r>
      <w:bookmarkEnd w:id="136"/>
      <w:bookmarkEnd w:id="137"/>
    </w:p>
    <w:p w14:paraId="403EDEDC">
      <w:pPr>
        <w:adjustRightInd w:val="0"/>
        <w:snapToGrid w:val="0"/>
        <w:spacing w:line="360" w:lineRule="auto"/>
        <w:jc w:val="center"/>
        <w:rPr>
          <w:rFonts w:hint="eastAsia" w:ascii="宋体" w:hAnsi="宋体" w:eastAsia="宋体" w:cs="宋体"/>
          <w:b/>
          <w:color w:val="auto"/>
          <w:sz w:val="28"/>
          <w:szCs w:val="28"/>
          <w:highlight w:val="none"/>
        </w:rPr>
      </w:pPr>
      <w:bookmarkStart w:id="138" w:name="_Toc10861_WPSOffice_Level1"/>
      <w:bookmarkStart w:id="139" w:name="_Toc2549_WPSOffice_Level1"/>
      <w:bookmarkStart w:id="140" w:name="_Toc5620_WPSOffice_Level1"/>
      <w:r>
        <w:rPr>
          <w:rFonts w:hint="eastAsia" w:ascii="宋体" w:hAnsi="宋体" w:eastAsia="宋体" w:cs="宋体"/>
          <w:b/>
          <w:color w:val="auto"/>
          <w:sz w:val="28"/>
          <w:szCs w:val="28"/>
          <w:highlight w:val="none"/>
        </w:rPr>
        <w:t>法定代表人身份证明</w:t>
      </w:r>
      <w:bookmarkEnd w:id="138"/>
      <w:bookmarkEnd w:id="139"/>
      <w:bookmarkEnd w:id="140"/>
    </w:p>
    <w:p w14:paraId="5397F833">
      <w:pPr>
        <w:tabs>
          <w:tab w:val="left" w:pos="3880"/>
        </w:tabs>
        <w:autoSpaceDE w:val="0"/>
        <w:autoSpaceDN w:val="0"/>
        <w:adjustRightInd w:val="0"/>
        <w:snapToGrid w:val="0"/>
        <w:spacing w:before="156" w:beforeLines="50" w:line="360" w:lineRule="auto"/>
        <w:ind w:left="100" w:right="-20"/>
        <w:jc w:val="left"/>
        <w:rPr>
          <w:rFonts w:hint="eastAsia" w:ascii="宋体" w:hAnsi="宋体" w:eastAsia="宋体" w:cs="宋体"/>
          <w:color w:val="auto"/>
          <w:kern w:val="0"/>
          <w:position w:val="-4"/>
          <w:szCs w:val="21"/>
          <w:highlight w:val="none"/>
        </w:rPr>
      </w:pPr>
    </w:p>
    <w:p w14:paraId="05412535">
      <w:pPr>
        <w:tabs>
          <w:tab w:val="left" w:pos="3880"/>
        </w:tabs>
        <w:autoSpaceDE w:val="0"/>
        <w:autoSpaceDN w:val="0"/>
        <w:adjustRightInd w:val="0"/>
        <w:snapToGrid w:val="0"/>
        <w:spacing w:before="156" w:beforeLines="50" w:line="360" w:lineRule="auto"/>
        <w:ind w:left="10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position w:val="-4"/>
          <w:szCs w:val="21"/>
          <w:highlight w:val="none"/>
        </w:rPr>
        <w:t>供应商名</w:t>
      </w:r>
      <w:r>
        <w:rPr>
          <w:rFonts w:hint="eastAsia" w:ascii="宋体" w:hAnsi="宋体" w:eastAsia="宋体" w:cs="宋体"/>
          <w:color w:val="auto"/>
          <w:spacing w:val="-2"/>
          <w:kern w:val="0"/>
          <w:position w:val="-4"/>
          <w:szCs w:val="21"/>
          <w:highlight w:val="none"/>
        </w:rPr>
        <w:t>称</w:t>
      </w:r>
      <w:r>
        <w:rPr>
          <w:rFonts w:hint="eastAsia" w:ascii="宋体" w:hAnsi="宋体" w:eastAsia="宋体" w:cs="宋体"/>
          <w:color w:val="auto"/>
          <w:kern w:val="0"/>
          <w:position w:val="-4"/>
          <w:szCs w:val="21"/>
          <w:highlight w:val="none"/>
        </w:rPr>
        <w:t>：</w:t>
      </w:r>
      <w:r>
        <w:rPr>
          <w:rFonts w:hint="eastAsia" w:ascii="宋体" w:hAnsi="宋体" w:eastAsia="宋体" w:cs="宋体"/>
          <w:color w:val="auto"/>
          <w:szCs w:val="21"/>
          <w:highlight w:val="none"/>
          <w:u w:val="single"/>
        </w:rPr>
        <w:t xml:space="preserve">                 </w:t>
      </w:r>
    </w:p>
    <w:p w14:paraId="0388892A">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统一社会信用代码：</w:t>
      </w:r>
      <w:r>
        <w:rPr>
          <w:rFonts w:hint="eastAsia" w:ascii="宋体" w:hAnsi="宋体" w:eastAsia="宋体" w:cs="宋体"/>
          <w:color w:val="auto"/>
          <w:szCs w:val="21"/>
          <w:highlight w:val="none"/>
          <w:u w:val="single"/>
        </w:rPr>
        <w:t xml:space="preserve">                 </w:t>
      </w:r>
    </w:p>
    <w:p w14:paraId="26094BC2">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注册地址：</w:t>
      </w:r>
      <w:r>
        <w:rPr>
          <w:rFonts w:hint="eastAsia" w:ascii="宋体" w:hAnsi="宋体" w:eastAsia="宋体" w:cs="宋体"/>
          <w:color w:val="auto"/>
          <w:szCs w:val="21"/>
          <w:highlight w:val="none"/>
          <w:u w:val="single"/>
        </w:rPr>
        <w:t xml:space="preserve">                 </w:t>
      </w:r>
    </w:p>
    <w:p w14:paraId="0F8BF03F">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position w:val="-2"/>
          <w:szCs w:val="21"/>
          <w:highlight w:val="none"/>
        </w:rPr>
        <w:t>姓名</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position w:val="-2"/>
          <w:szCs w:val="21"/>
          <w:highlight w:val="none"/>
        </w:rPr>
        <w:t>性别</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position w:val="-2"/>
          <w:szCs w:val="21"/>
          <w:highlight w:val="none"/>
        </w:rPr>
        <w:t>年</w:t>
      </w:r>
      <w:r>
        <w:rPr>
          <w:rFonts w:hint="eastAsia" w:ascii="宋体" w:hAnsi="宋体" w:eastAsia="宋体" w:cs="宋体"/>
          <w:color w:val="auto"/>
          <w:spacing w:val="-2"/>
          <w:kern w:val="0"/>
          <w:position w:val="-2"/>
          <w:szCs w:val="21"/>
          <w:highlight w:val="none"/>
        </w:rPr>
        <w:t>龄</w:t>
      </w:r>
      <w:r>
        <w:rPr>
          <w:rFonts w:hint="eastAsia" w:ascii="宋体" w:hAnsi="宋体" w:eastAsia="宋体" w:cs="宋体"/>
          <w:color w:val="auto"/>
          <w:kern w:val="0"/>
          <w:position w:val="-2"/>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position w:val="-2"/>
          <w:szCs w:val="21"/>
          <w:highlight w:val="none"/>
        </w:rPr>
        <w:t>职</w:t>
      </w:r>
      <w:r>
        <w:rPr>
          <w:rFonts w:hint="eastAsia" w:ascii="宋体" w:hAnsi="宋体" w:eastAsia="宋体" w:cs="宋体"/>
          <w:color w:val="auto"/>
          <w:spacing w:val="-2"/>
          <w:kern w:val="0"/>
          <w:position w:val="-2"/>
          <w:szCs w:val="21"/>
          <w:highlight w:val="none"/>
        </w:rPr>
        <w:t>务</w:t>
      </w:r>
      <w:r>
        <w:rPr>
          <w:rFonts w:hint="eastAsia" w:ascii="宋体" w:hAnsi="宋体" w:eastAsia="宋体" w:cs="宋体"/>
          <w:color w:val="auto"/>
          <w:kern w:val="0"/>
          <w:position w:val="-2"/>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position w:val="-2"/>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供应商</w:t>
      </w:r>
      <w:r>
        <w:rPr>
          <w:rFonts w:hint="eastAsia" w:ascii="宋体" w:hAnsi="宋体" w:eastAsia="宋体" w:cs="宋体"/>
          <w:color w:val="auto"/>
          <w:spacing w:val="-2"/>
          <w:kern w:val="0"/>
          <w:position w:val="-2"/>
          <w:szCs w:val="21"/>
          <w:highlight w:val="none"/>
        </w:rPr>
        <w:t>名</w:t>
      </w:r>
      <w:r>
        <w:rPr>
          <w:rFonts w:hint="eastAsia" w:ascii="宋体" w:hAnsi="宋体" w:eastAsia="宋体" w:cs="宋体"/>
          <w:color w:val="auto"/>
          <w:kern w:val="0"/>
          <w:position w:val="-2"/>
          <w:szCs w:val="21"/>
          <w:highlight w:val="none"/>
        </w:rPr>
        <w:t>称</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position w:val="-2"/>
          <w:szCs w:val="21"/>
          <w:highlight w:val="none"/>
        </w:rPr>
        <w:t>的</w:t>
      </w:r>
      <w:r>
        <w:rPr>
          <w:rFonts w:hint="eastAsia" w:ascii="宋体" w:hAnsi="宋体" w:eastAsia="宋体" w:cs="宋体"/>
          <w:color w:val="auto"/>
          <w:spacing w:val="-2"/>
          <w:kern w:val="0"/>
          <w:position w:val="-2"/>
          <w:szCs w:val="21"/>
          <w:highlight w:val="none"/>
        </w:rPr>
        <w:t>法定</w:t>
      </w:r>
      <w:r>
        <w:rPr>
          <w:rFonts w:hint="eastAsia" w:ascii="宋体" w:hAnsi="宋体" w:eastAsia="宋体" w:cs="宋体"/>
          <w:color w:val="auto"/>
          <w:kern w:val="0"/>
          <w:position w:val="-2"/>
          <w:szCs w:val="21"/>
          <w:highlight w:val="none"/>
        </w:rPr>
        <w:t>代表</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kern w:val="0"/>
          <w:position w:val="-2"/>
          <w:szCs w:val="21"/>
          <w:highlight w:val="none"/>
        </w:rPr>
        <w:t>（</w:t>
      </w:r>
      <w:r>
        <w:rPr>
          <w:rFonts w:hint="eastAsia" w:ascii="宋体" w:hAnsi="宋体" w:eastAsia="宋体" w:cs="宋体"/>
          <w:color w:val="auto"/>
          <w:spacing w:val="-2"/>
          <w:kern w:val="0"/>
          <w:position w:val="-2"/>
          <w:szCs w:val="21"/>
          <w:highlight w:val="none"/>
        </w:rPr>
        <w:t>单</w:t>
      </w:r>
      <w:r>
        <w:rPr>
          <w:rFonts w:hint="eastAsia" w:ascii="宋体" w:hAnsi="宋体" w:eastAsia="宋体" w:cs="宋体"/>
          <w:color w:val="auto"/>
          <w:kern w:val="0"/>
          <w:position w:val="-2"/>
          <w:szCs w:val="21"/>
          <w:highlight w:val="none"/>
        </w:rPr>
        <w:t>位</w:t>
      </w:r>
      <w:r>
        <w:rPr>
          <w:rFonts w:hint="eastAsia" w:ascii="宋体" w:hAnsi="宋体" w:eastAsia="宋体" w:cs="宋体"/>
          <w:color w:val="auto"/>
          <w:spacing w:val="-2"/>
          <w:kern w:val="0"/>
          <w:position w:val="-2"/>
          <w:szCs w:val="21"/>
          <w:highlight w:val="none"/>
        </w:rPr>
        <w:t>负</w:t>
      </w:r>
      <w:r>
        <w:rPr>
          <w:rFonts w:hint="eastAsia" w:ascii="宋体" w:hAnsi="宋体" w:eastAsia="宋体" w:cs="宋体"/>
          <w:color w:val="auto"/>
          <w:kern w:val="0"/>
          <w:position w:val="-2"/>
          <w:szCs w:val="21"/>
          <w:highlight w:val="none"/>
        </w:rPr>
        <w:t>责</w:t>
      </w:r>
      <w:r>
        <w:rPr>
          <w:rFonts w:hint="eastAsia" w:ascii="宋体" w:hAnsi="宋体" w:eastAsia="宋体" w:cs="宋体"/>
          <w:color w:val="auto"/>
          <w:spacing w:val="-2"/>
          <w:kern w:val="0"/>
          <w:position w:val="-2"/>
          <w:szCs w:val="21"/>
          <w:highlight w:val="none"/>
        </w:rPr>
        <w:t>人</w:t>
      </w:r>
      <w:r>
        <w:rPr>
          <w:rFonts w:hint="eastAsia" w:ascii="宋体" w:hAnsi="宋体" w:eastAsia="宋体" w:cs="宋体"/>
          <w:color w:val="auto"/>
          <w:spacing w:val="-106"/>
          <w:kern w:val="0"/>
          <w:position w:val="-2"/>
          <w:szCs w:val="21"/>
          <w:highlight w:val="none"/>
        </w:rPr>
        <w:t>）</w:t>
      </w:r>
      <w:r>
        <w:rPr>
          <w:rFonts w:hint="eastAsia" w:ascii="宋体" w:hAnsi="宋体" w:eastAsia="宋体" w:cs="宋体"/>
          <w:color w:val="auto"/>
          <w:kern w:val="0"/>
          <w:position w:val="-2"/>
          <w:szCs w:val="21"/>
          <w:highlight w:val="none"/>
        </w:rPr>
        <w:t>。</w:t>
      </w:r>
    </w:p>
    <w:p w14:paraId="386C5C63">
      <w:pPr>
        <w:autoSpaceDE w:val="0"/>
        <w:autoSpaceDN w:val="0"/>
        <w:adjustRightInd w:val="0"/>
        <w:snapToGrid w:val="0"/>
        <w:spacing w:before="156" w:beforeLines="50" w:line="360" w:lineRule="auto"/>
        <w:ind w:left="52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明。</w:t>
      </w:r>
    </w:p>
    <w:p w14:paraId="43AF6194">
      <w:pPr>
        <w:autoSpaceDE w:val="0"/>
        <w:autoSpaceDN w:val="0"/>
        <w:adjustRightInd w:val="0"/>
        <w:snapToGrid w:val="0"/>
        <w:spacing w:before="156" w:beforeLines="50" w:line="360" w:lineRule="auto"/>
        <w:ind w:left="100" w:right="4231"/>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附：</w:t>
      </w: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身</w:t>
      </w:r>
      <w:r>
        <w:rPr>
          <w:rFonts w:hint="eastAsia" w:ascii="宋体" w:hAnsi="宋体" w:eastAsia="宋体" w:cs="宋体"/>
          <w:color w:val="auto"/>
          <w:spacing w:val="-2"/>
          <w:kern w:val="0"/>
          <w:szCs w:val="21"/>
          <w:highlight w:val="none"/>
        </w:rPr>
        <w:t>份</w:t>
      </w:r>
      <w:r>
        <w:rPr>
          <w:rFonts w:hint="eastAsia" w:ascii="宋体" w:hAnsi="宋体" w:eastAsia="宋体" w:cs="宋体"/>
          <w:color w:val="auto"/>
          <w:kern w:val="0"/>
          <w:szCs w:val="21"/>
          <w:highlight w:val="none"/>
        </w:rPr>
        <w:t>证</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0"/>
        <w:gridCol w:w="4150"/>
      </w:tblGrid>
      <w:tr w14:paraId="05CB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4150" w:type="dxa"/>
            <w:vAlign w:val="center"/>
          </w:tcPr>
          <w:p w14:paraId="57E05585">
            <w:pPr>
              <w:adjustRightInd w:val="0"/>
              <w:snapToGrid w:val="0"/>
              <w:spacing w:before="156" w:beforeLines="50" w:line="360" w:lineRule="auto"/>
              <w:jc w:val="center"/>
              <w:rPr>
                <w:rFonts w:hint="eastAsia" w:ascii="宋体" w:hAnsi="宋体" w:eastAsia="宋体" w:cs="宋体"/>
                <w:color w:val="auto"/>
                <w:szCs w:val="21"/>
                <w:highlight w:val="none"/>
                <w:vertAlign w:val="baseline"/>
              </w:rPr>
            </w:pPr>
            <w:r>
              <w:rPr>
                <w:rFonts w:hint="eastAsia" w:ascii="宋体" w:hAnsi="宋体" w:eastAsia="宋体" w:cs="宋体"/>
                <w:color w:val="auto"/>
                <w:szCs w:val="21"/>
                <w:highlight w:val="none"/>
                <w:vertAlign w:val="baseline"/>
                <w:lang w:val="en-US" w:eastAsia="zh-CN"/>
              </w:rPr>
              <w:t>法人身份证复印件（正面）</w:t>
            </w:r>
          </w:p>
        </w:tc>
        <w:tc>
          <w:tcPr>
            <w:tcW w:w="4150" w:type="dxa"/>
            <w:vAlign w:val="center"/>
          </w:tcPr>
          <w:p w14:paraId="588F68AF">
            <w:pPr>
              <w:adjustRightInd w:val="0"/>
              <w:snapToGrid w:val="0"/>
              <w:spacing w:before="156" w:beforeLines="50" w:line="360" w:lineRule="auto"/>
              <w:jc w:val="center"/>
              <w:rPr>
                <w:rFonts w:hint="eastAsia" w:ascii="宋体" w:hAnsi="宋体" w:eastAsia="宋体" w:cs="宋体"/>
                <w:color w:val="auto"/>
                <w:szCs w:val="21"/>
                <w:highlight w:val="none"/>
                <w:vertAlign w:val="baseline"/>
              </w:rPr>
            </w:pPr>
            <w:r>
              <w:rPr>
                <w:rFonts w:hint="eastAsia" w:ascii="宋体" w:hAnsi="宋体" w:eastAsia="宋体" w:cs="宋体"/>
                <w:color w:val="auto"/>
                <w:szCs w:val="21"/>
                <w:highlight w:val="none"/>
                <w:vertAlign w:val="baseline"/>
                <w:lang w:val="en-US" w:eastAsia="zh-CN"/>
              </w:rPr>
              <w:t>法人身份证复印件（反面）</w:t>
            </w:r>
          </w:p>
        </w:tc>
      </w:tr>
    </w:tbl>
    <w:p w14:paraId="72EAA401">
      <w:pPr>
        <w:adjustRightInd w:val="0"/>
        <w:snapToGrid w:val="0"/>
        <w:spacing w:before="156" w:beforeLines="50" w:line="360" w:lineRule="auto"/>
        <w:rPr>
          <w:rFonts w:hint="eastAsia" w:ascii="宋体" w:hAnsi="宋体" w:eastAsia="宋体" w:cs="宋体"/>
          <w:color w:val="auto"/>
          <w:szCs w:val="21"/>
          <w:highlight w:val="none"/>
        </w:rPr>
      </w:pPr>
    </w:p>
    <w:p w14:paraId="716DF239">
      <w:pPr>
        <w:pStyle w:val="23"/>
        <w:ind w:left="0" w:leftChars="0" w:firstLine="0"/>
        <w:jc w:val="left"/>
        <w:rPr>
          <w:rFonts w:hint="eastAsia" w:ascii="宋体" w:hAnsi="宋体" w:eastAsia="宋体" w:cs="宋体"/>
          <w:color w:val="auto"/>
          <w:szCs w:val="21"/>
          <w:highlight w:val="none"/>
        </w:rPr>
      </w:pPr>
    </w:p>
    <w:p w14:paraId="472A221E">
      <w:pPr>
        <w:pStyle w:val="23"/>
        <w:ind w:left="0" w:leftChars="0" w:firstLine="0"/>
        <w:jc w:val="left"/>
        <w:rPr>
          <w:rFonts w:hint="eastAsia" w:ascii="宋体" w:hAnsi="宋体" w:eastAsia="宋体" w:cs="宋体"/>
          <w:color w:val="auto"/>
          <w:szCs w:val="21"/>
          <w:highlight w:val="none"/>
        </w:rPr>
      </w:pPr>
    </w:p>
    <w:p w14:paraId="4339A1D2">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注：供应商代表为法定代表人（单位负责人）的提供。供应商为自然人的无需提供。</w:t>
      </w:r>
    </w:p>
    <w:p w14:paraId="07FDF394">
      <w:pPr>
        <w:adjustRightInd w:val="0"/>
        <w:snapToGrid w:val="0"/>
        <w:spacing w:before="156" w:beforeLines="50" w:line="360" w:lineRule="auto"/>
        <w:rPr>
          <w:rFonts w:hint="eastAsia" w:ascii="宋体" w:hAnsi="宋体" w:eastAsia="宋体" w:cs="宋体"/>
          <w:color w:val="auto"/>
          <w:szCs w:val="21"/>
          <w:highlight w:val="none"/>
        </w:rPr>
      </w:pPr>
    </w:p>
    <w:p w14:paraId="15441953">
      <w:pPr>
        <w:pStyle w:val="12"/>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供应商名称(盖单位公章)：</w:t>
      </w:r>
    </w:p>
    <w:p w14:paraId="5174B9F5">
      <w:pPr>
        <w:adjustRightInd w:val="0"/>
        <w:snapToGrid w:val="0"/>
        <w:spacing w:before="156" w:beforeLines="50" w:line="360" w:lineRule="auto"/>
        <w:ind w:right="24"/>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209404C">
      <w:pPr>
        <w:adjustRightInd w:val="0"/>
        <w:snapToGrid w:val="0"/>
        <w:spacing w:before="156" w:beforeLines="50" w:line="360" w:lineRule="auto"/>
        <w:rPr>
          <w:rFonts w:hint="eastAsia" w:ascii="宋体" w:hAnsi="宋体" w:eastAsia="宋体" w:cs="宋体"/>
          <w:color w:val="auto"/>
          <w:szCs w:val="21"/>
          <w:highlight w:val="none"/>
        </w:rPr>
      </w:pPr>
    </w:p>
    <w:p w14:paraId="37071DF1">
      <w:pPr>
        <w:adjustRightInd w:val="0"/>
        <w:snapToGrid w:val="0"/>
        <w:spacing w:line="360" w:lineRule="auto"/>
        <w:ind w:right="42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372927C8">
      <w:pPr>
        <w:widowControl/>
        <w:spacing w:line="360" w:lineRule="auto"/>
        <w:jc w:val="left"/>
        <w:rPr>
          <w:rFonts w:hint="eastAsia" w:ascii="宋体" w:hAnsi="宋体" w:eastAsia="宋体" w:cs="宋体"/>
          <w:color w:val="auto"/>
          <w:sz w:val="30"/>
          <w:szCs w:val="30"/>
          <w:highlight w:val="none"/>
        </w:rPr>
      </w:pPr>
      <w:r>
        <w:rPr>
          <w:rFonts w:hint="eastAsia" w:ascii="宋体" w:hAnsi="宋体" w:eastAsia="宋体" w:cs="宋体"/>
          <w:color w:val="auto"/>
          <w:szCs w:val="21"/>
          <w:highlight w:val="none"/>
        </w:rPr>
        <w:br w:type="page"/>
      </w:r>
      <w:bookmarkStart w:id="141" w:name="_Toc18773_WPSOffice_Level1"/>
      <w:bookmarkStart w:id="142" w:name="_Toc6144_WPSOffice_Level1"/>
      <w:bookmarkStart w:id="143" w:name="_Toc20008_WPSOffice_Level1"/>
      <w:bookmarkStart w:id="144" w:name="_Toc30934_WPSOffice_Level1"/>
      <w:r>
        <w:rPr>
          <w:rFonts w:hint="eastAsia" w:ascii="宋体" w:hAnsi="宋体" w:eastAsia="宋体" w:cs="宋体"/>
          <w:b/>
          <w:color w:val="auto"/>
          <w:sz w:val="28"/>
          <w:szCs w:val="28"/>
          <w:highlight w:val="none"/>
        </w:rPr>
        <w:t>附件1-2</w:t>
      </w:r>
      <w:bookmarkEnd w:id="141"/>
      <w:bookmarkEnd w:id="142"/>
      <w:bookmarkEnd w:id="143"/>
      <w:bookmarkEnd w:id="144"/>
    </w:p>
    <w:p w14:paraId="6F94DA6B">
      <w:pPr>
        <w:adjustRightInd w:val="0"/>
        <w:snapToGrid w:val="0"/>
        <w:spacing w:line="360" w:lineRule="auto"/>
        <w:jc w:val="center"/>
        <w:rPr>
          <w:rFonts w:hint="eastAsia" w:ascii="宋体" w:hAnsi="宋体" w:eastAsia="宋体" w:cs="宋体"/>
          <w:b/>
          <w:color w:val="auto"/>
          <w:sz w:val="28"/>
          <w:szCs w:val="28"/>
          <w:highlight w:val="none"/>
        </w:rPr>
      </w:pPr>
      <w:bookmarkStart w:id="145" w:name="_Toc24304_WPSOffice_Level1"/>
      <w:bookmarkStart w:id="146" w:name="_Toc31180_WPSOffice_Level1"/>
      <w:bookmarkStart w:id="147" w:name="_Toc20526_WPSOffice_Level1"/>
      <w:bookmarkStart w:id="148" w:name="_Toc8095_WPSOffice_Level1"/>
      <w:r>
        <w:rPr>
          <w:rFonts w:hint="eastAsia" w:ascii="宋体" w:hAnsi="宋体" w:eastAsia="宋体" w:cs="宋体"/>
          <w:b/>
          <w:color w:val="auto"/>
          <w:sz w:val="28"/>
          <w:szCs w:val="28"/>
          <w:highlight w:val="none"/>
        </w:rPr>
        <w:t>法定代表人授权委托书</w:t>
      </w:r>
      <w:bookmarkEnd w:id="145"/>
      <w:bookmarkEnd w:id="146"/>
      <w:bookmarkEnd w:id="147"/>
      <w:bookmarkEnd w:id="148"/>
    </w:p>
    <w:p w14:paraId="5D37C363">
      <w:pPr>
        <w:adjustRightInd w:val="0"/>
        <w:snapToGrid w:val="0"/>
        <w:spacing w:line="360" w:lineRule="auto"/>
        <w:jc w:val="center"/>
        <w:rPr>
          <w:rFonts w:hint="eastAsia" w:ascii="宋体" w:hAnsi="宋体" w:eastAsia="宋体" w:cs="宋体"/>
          <w:b/>
          <w:color w:val="auto"/>
          <w:sz w:val="28"/>
          <w:szCs w:val="28"/>
          <w:highlight w:val="none"/>
        </w:rPr>
      </w:pPr>
    </w:p>
    <w:p w14:paraId="25C51D79">
      <w:pPr>
        <w:autoSpaceDE w:val="0"/>
        <w:autoSpaceDN w:val="0"/>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（姓名、职务）系</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名称）的法定代表人（</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（姓名、职务）为我方代理人。代理人根据授权，以我方名义：(1)签署、澄清、补正、修改、撤回、提交</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（项目名称、</w:t>
      </w:r>
      <w:r>
        <w:rPr>
          <w:rFonts w:hint="eastAsia" w:ascii="宋体" w:hAnsi="宋体" w:eastAsia="宋体" w:cs="宋体"/>
          <w:color w:val="auto"/>
          <w:szCs w:val="21"/>
          <w:highlight w:val="none"/>
        </w:rPr>
        <w:t>政府</w:t>
      </w:r>
      <w:r>
        <w:rPr>
          <w:rFonts w:hint="eastAsia" w:ascii="宋体" w:hAnsi="宋体" w:eastAsia="宋体" w:cs="宋体"/>
          <w:color w:val="auto"/>
          <w:kern w:val="0"/>
          <w:szCs w:val="21"/>
          <w:highlight w:val="none"/>
        </w:rPr>
        <w:t>采购编号、委托代理编号）响应文件；(2)签署并重新提交响应文件及最后报价；(3)退出谈判（如可能）；(4)签订合同和处理有关事宜，其法律后果由我方承担。</w:t>
      </w:r>
    </w:p>
    <w:p w14:paraId="6C044465">
      <w:pPr>
        <w:autoSpaceDE w:val="0"/>
        <w:autoSpaceDN w:val="0"/>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45984453">
      <w:pPr>
        <w:adjustRightInd w:val="0"/>
        <w:snapToGrid w:val="0"/>
        <w:spacing w:before="156" w:beforeLines="50" w:line="360" w:lineRule="auto"/>
        <w:ind w:firstLine="435"/>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0968AE64">
      <w:pPr>
        <w:adjustRightInd w:val="0"/>
        <w:snapToGrid w:val="0"/>
        <w:spacing w:before="156" w:beforeLines="50" w:line="360" w:lineRule="auto"/>
        <w:ind w:firstLine="435"/>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本授权书于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日签字生效，特此声明。</w:t>
      </w:r>
    </w:p>
    <w:p w14:paraId="142E664F">
      <w:pPr>
        <w:adjustRightInd w:val="0"/>
        <w:snapToGrid w:val="0"/>
        <w:spacing w:before="156" w:beforeLines="50" w:line="360" w:lineRule="auto"/>
        <w:ind w:firstLine="420" w:firstLineChars="200"/>
        <w:rPr>
          <w:rFonts w:hint="eastAsia" w:ascii="宋体" w:hAnsi="宋体" w:eastAsia="宋体" w:cs="宋体"/>
          <w:color w:val="auto"/>
          <w:szCs w:val="21"/>
          <w:highlight w:val="none"/>
          <w:vertAlign w:val="baseline"/>
        </w:rPr>
      </w:pPr>
      <w:r>
        <w:rPr>
          <w:rFonts w:hint="eastAsia" w:ascii="宋体" w:hAnsi="宋体" w:eastAsia="宋体" w:cs="宋体"/>
          <w:color w:val="auto"/>
          <w:szCs w:val="21"/>
          <w:highlight w:val="none"/>
        </w:rPr>
        <w:t>附：委托代理人身份证复印件及法定代表人身份证明(附件1，原件)</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0"/>
        <w:gridCol w:w="4150"/>
      </w:tblGrid>
      <w:tr w14:paraId="283E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4150" w:type="dxa"/>
            <w:vAlign w:val="center"/>
          </w:tcPr>
          <w:p w14:paraId="7AE01664">
            <w:pPr>
              <w:adjustRightInd w:val="0"/>
              <w:snapToGrid w:val="0"/>
              <w:spacing w:before="156" w:beforeLines="50" w:line="360" w:lineRule="auto"/>
              <w:jc w:val="center"/>
              <w:rPr>
                <w:rFonts w:hint="eastAsia" w:ascii="宋体" w:hAnsi="宋体" w:eastAsia="宋体" w:cs="宋体"/>
                <w:color w:val="auto"/>
                <w:szCs w:val="21"/>
                <w:highlight w:val="none"/>
                <w:vertAlign w:val="baseline"/>
                <w:lang w:val="en-US" w:eastAsia="zh-CN"/>
              </w:rPr>
            </w:pPr>
            <w:r>
              <w:rPr>
                <w:rFonts w:hint="eastAsia" w:ascii="宋体" w:hAnsi="宋体" w:eastAsia="宋体" w:cs="宋体"/>
                <w:color w:val="auto"/>
                <w:szCs w:val="21"/>
                <w:highlight w:val="none"/>
                <w:vertAlign w:val="baseline"/>
                <w:lang w:val="en-US" w:eastAsia="zh-CN"/>
              </w:rPr>
              <w:t>法人身份证复印件（正面）</w:t>
            </w:r>
          </w:p>
        </w:tc>
        <w:tc>
          <w:tcPr>
            <w:tcW w:w="4150" w:type="dxa"/>
            <w:vAlign w:val="center"/>
          </w:tcPr>
          <w:p w14:paraId="56BCCFA8">
            <w:pPr>
              <w:adjustRightInd w:val="0"/>
              <w:snapToGrid w:val="0"/>
              <w:spacing w:before="156" w:beforeLines="50" w:line="360" w:lineRule="auto"/>
              <w:jc w:val="center"/>
              <w:rPr>
                <w:rFonts w:hint="eastAsia" w:ascii="宋体" w:hAnsi="宋体" w:eastAsia="宋体" w:cs="宋体"/>
                <w:color w:val="auto"/>
                <w:szCs w:val="21"/>
                <w:highlight w:val="none"/>
                <w:vertAlign w:val="baseline"/>
              </w:rPr>
            </w:pPr>
            <w:r>
              <w:rPr>
                <w:rFonts w:hint="eastAsia" w:ascii="宋体" w:hAnsi="宋体" w:eastAsia="宋体" w:cs="宋体"/>
                <w:color w:val="auto"/>
                <w:szCs w:val="21"/>
                <w:highlight w:val="none"/>
                <w:vertAlign w:val="baseline"/>
                <w:lang w:val="en-US" w:eastAsia="zh-CN"/>
              </w:rPr>
              <w:t>法人身份证复印件（反面）</w:t>
            </w:r>
          </w:p>
        </w:tc>
      </w:tr>
      <w:tr w14:paraId="02E5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4150" w:type="dxa"/>
            <w:vAlign w:val="center"/>
          </w:tcPr>
          <w:p w14:paraId="3F6DE903">
            <w:pPr>
              <w:adjustRightInd w:val="0"/>
              <w:snapToGrid w:val="0"/>
              <w:spacing w:before="156" w:beforeLines="50" w:line="360" w:lineRule="auto"/>
              <w:jc w:val="center"/>
              <w:rPr>
                <w:rFonts w:hint="eastAsia" w:ascii="宋体" w:hAnsi="宋体" w:eastAsia="宋体" w:cs="宋体"/>
                <w:color w:val="auto"/>
                <w:szCs w:val="21"/>
                <w:highlight w:val="none"/>
                <w:vertAlign w:val="baseline"/>
              </w:rPr>
            </w:pPr>
            <w:r>
              <w:rPr>
                <w:rFonts w:hint="eastAsia" w:ascii="宋体" w:hAnsi="宋体" w:eastAsia="宋体" w:cs="宋体"/>
                <w:color w:val="auto"/>
                <w:szCs w:val="21"/>
                <w:highlight w:val="none"/>
                <w:vertAlign w:val="baseline"/>
                <w:lang w:val="en-US" w:eastAsia="zh-CN"/>
              </w:rPr>
              <w:t>授权代表身份证复印件（正面）</w:t>
            </w:r>
          </w:p>
        </w:tc>
        <w:tc>
          <w:tcPr>
            <w:tcW w:w="4150" w:type="dxa"/>
            <w:vAlign w:val="center"/>
          </w:tcPr>
          <w:p w14:paraId="4B904F38">
            <w:pPr>
              <w:adjustRightInd w:val="0"/>
              <w:snapToGrid w:val="0"/>
              <w:spacing w:before="156" w:beforeLines="50" w:line="360" w:lineRule="auto"/>
              <w:jc w:val="center"/>
              <w:rPr>
                <w:rFonts w:hint="eastAsia" w:ascii="宋体" w:hAnsi="宋体" w:eastAsia="宋体" w:cs="宋体"/>
                <w:color w:val="auto"/>
                <w:szCs w:val="21"/>
                <w:highlight w:val="none"/>
                <w:vertAlign w:val="baseline"/>
              </w:rPr>
            </w:pPr>
            <w:r>
              <w:rPr>
                <w:rFonts w:hint="eastAsia" w:ascii="宋体" w:hAnsi="宋体" w:eastAsia="宋体" w:cs="宋体"/>
                <w:color w:val="auto"/>
                <w:szCs w:val="21"/>
                <w:highlight w:val="none"/>
                <w:vertAlign w:val="baseline"/>
                <w:lang w:val="en-US" w:eastAsia="zh-CN"/>
              </w:rPr>
              <w:t>权代表身份证复印件（反面）</w:t>
            </w:r>
          </w:p>
        </w:tc>
      </w:tr>
    </w:tbl>
    <w:p w14:paraId="2D8CBBE6">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10DA0FC8">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7C9804E9">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注：供应商代表不是供应商的法定代表人（单位负责人）的提供。供应商为自然人的无需提供。</w:t>
      </w:r>
    </w:p>
    <w:p w14:paraId="5BF91E93">
      <w:pPr>
        <w:adjustRightInd w:val="0"/>
        <w:snapToGrid w:val="0"/>
        <w:spacing w:line="360" w:lineRule="auto"/>
        <w:ind w:right="420"/>
        <w:rPr>
          <w:rFonts w:hint="eastAsia" w:ascii="宋体" w:hAnsi="宋体" w:eastAsia="宋体" w:cs="宋体"/>
          <w:color w:val="auto"/>
          <w:szCs w:val="21"/>
          <w:highlight w:val="none"/>
        </w:rPr>
      </w:pPr>
    </w:p>
    <w:p w14:paraId="2C84A83D">
      <w:pPr>
        <w:adjustRightInd w:val="0"/>
        <w:snapToGrid w:val="0"/>
        <w:spacing w:line="360" w:lineRule="auto"/>
        <w:ind w:right="420"/>
        <w:rPr>
          <w:rFonts w:hint="eastAsia" w:ascii="宋体" w:hAnsi="宋体" w:eastAsia="宋体" w:cs="宋体"/>
          <w:color w:val="auto"/>
          <w:szCs w:val="21"/>
          <w:highlight w:val="none"/>
        </w:rPr>
      </w:pPr>
    </w:p>
    <w:p w14:paraId="74FCA44A">
      <w:pPr>
        <w:adjustRightInd w:val="0"/>
        <w:snapToGrid w:val="0"/>
        <w:spacing w:line="360" w:lineRule="auto"/>
        <w:ind w:right="420"/>
        <w:rPr>
          <w:rFonts w:hint="eastAsia" w:ascii="宋体" w:hAnsi="宋体" w:eastAsia="宋体" w:cs="宋体"/>
          <w:color w:val="auto"/>
          <w:szCs w:val="21"/>
          <w:highlight w:val="none"/>
        </w:rPr>
      </w:pPr>
    </w:p>
    <w:p w14:paraId="09B5B3DC">
      <w:pPr>
        <w:adjustRightInd w:val="0"/>
        <w:snapToGrid w:val="0"/>
        <w:spacing w:line="360" w:lineRule="auto"/>
        <w:ind w:right="420"/>
        <w:rPr>
          <w:rFonts w:hint="eastAsia" w:ascii="宋体" w:hAnsi="宋体" w:eastAsia="宋体" w:cs="宋体"/>
          <w:color w:val="auto"/>
          <w:szCs w:val="21"/>
          <w:highlight w:val="none"/>
        </w:rPr>
      </w:pPr>
    </w:p>
    <w:p w14:paraId="5D5919EF">
      <w:pPr>
        <w:adjustRightInd w:val="0"/>
        <w:snapToGrid w:val="0"/>
        <w:spacing w:line="360" w:lineRule="auto"/>
        <w:ind w:right="420"/>
        <w:rPr>
          <w:rFonts w:hint="eastAsia" w:ascii="宋体" w:hAnsi="宋体" w:eastAsia="宋体" w:cs="宋体"/>
          <w:color w:val="auto"/>
          <w:szCs w:val="21"/>
          <w:highlight w:val="none"/>
        </w:rPr>
      </w:pPr>
    </w:p>
    <w:p w14:paraId="4BC636BB">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法定代表人（签字）：</w:t>
      </w:r>
      <w:r>
        <w:rPr>
          <w:rFonts w:hint="eastAsia" w:ascii="宋体" w:hAnsi="宋体" w:eastAsia="宋体" w:cs="宋体"/>
          <w:color w:val="auto"/>
          <w:szCs w:val="21"/>
          <w:highlight w:val="none"/>
          <w:u w:val="single"/>
        </w:rPr>
        <w:t xml:space="preserve">                     </w:t>
      </w:r>
    </w:p>
    <w:p w14:paraId="0928AFC6">
      <w:pPr>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委托代理人（签字）：</w:t>
      </w:r>
      <w:r>
        <w:rPr>
          <w:rFonts w:hint="eastAsia" w:ascii="宋体" w:hAnsi="宋体" w:eastAsia="宋体" w:cs="宋体"/>
          <w:color w:val="auto"/>
          <w:szCs w:val="21"/>
          <w:highlight w:val="none"/>
          <w:u w:val="single"/>
        </w:rPr>
        <w:t xml:space="preserve">                     </w:t>
      </w:r>
    </w:p>
    <w:p w14:paraId="45848C34">
      <w:pPr>
        <w:adjustRightInd w:val="0"/>
        <w:snapToGrid w:val="0"/>
        <w:spacing w:line="360" w:lineRule="auto"/>
        <w:ind w:right="24"/>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CDB6CD2">
      <w:pPr>
        <w:adjustRightInd w:val="0"/>
        <w:snapToGrid w:val="0"/>
        <w:spacing w:line="360" w:lineRule="auto"/>
        <w:ind w:right="420" w:firstLine="5355" w:firstLineChars="2550"/>
        <w:jc w:val="left"/>
        <w:rPr>
          <w:rFonts w:hint="eastAsia" w:ascii="宋体" w:hAnsi="宋体" w:eastAsia="宋体" w:cs="宋体"/>
          <w:color w:val="auto"/>
          <w:szCs w:val="21"/>
          <w:highlight w:val="none"/>
        </w:rPr>
      </w:pPr>
    </w:p>
    <w:p w14:paraId="35425413">
      <w:pPr>
        <w:spacing w:line="360" w:lineRule="auto"/>
        <w:rPr>
          <w:rFonts w:hint="eastAsia" w:ascii="宋体" w:hAnsi="宋体" w:eastAsia="宋体" w:cs="宋体"/>
          <w:b/>
          <w:color w:val="auto"/>
          <w:highlight w:val="none"/>
        </w:rPr>
      </w:pPr>
    </w:p>
    <w:p w14:paraId="069A6420">
      <w:pPr>
        <w:spacing w:line="360" w:lineRule="auto"/>
        <w:rPr>
          <w:rFonts w:hint="eastAsia" w:ascii="宋体" w:hAnsi="宋体" w:eastAsia="宋体" w:cs="宋体"/>
          <w:color w:val="auto"/>
          <w:sz w:val="28"/>
          <w:szCs w:val="28"/>
          <w:highlight w:val="none"/>
        </w:rPr>
      </w:pPr>
      <w:r>
        <w:rPr>
          <w:rFonts w:hint="eastAsia" w:ascii="宋体" w:hAnsi="宋体" w:eastAsia="宋体" w:cs="宋体"/>
          <w:b/>
          <w:color w:val="auto"/>
          <w:highlight w:val="none"/>
        </w:rPr>
        <w:br w:type="page"/>
      </w:r>
      <w:r>
        <w:rPr>
          <w:rFonts w:hint="eastAsia" w:ascii="宋体" w:hAnsi="宋体" w:eastAsia="宋体" w:cs="宋体"/>
          <w:b/>
          <w:color w:val="auto"/>
          <w:sz w:val="28"/>
          <w:szCs w:val="28"/>
          <w:highlight w:val="none"/>
        </w:rPr>
        <w:t>附件2</w:t>
      </w:r>
    </w:p>
    <w:p w14:paraId="4E4B9954">
      <w:pPr>
        <w:adjustRightInd w:val="0"/>
        <w:snapToGrid w:val="0"/>
        <w:spacing w:line="360" w:lineRule="auto"/>
        <w:jc w:val="center"/>
        <w:rPr>
          <w:rFonts w:hint="eastAsia" w:ascii="宋体" w:hAnsi="宋体" w:eastAsia="宋体" w:cs="宋体"/>
          <w:b/>
          <w:color w:val="auto"/>
          <w:sz w:val="28"/>
          <w:szCs w:val="28"/>
          <w:highlight w:val="none"/>
        </w:rPr>
      </w:pPr>
      <w:bookmarkStart w:id="149" w:name="_Toc21845_WPSOffice_Level1"/>
      <w:bookmarkStart w:id="150" w:name="_Toc31857_WPSOffice_Level1"/>
      <w:bookmarkStart w:id="151" w:name="_Toc31331_WPSOffice_Level1"/>
      <w:bookmarkStart w:id="152" w:name="_Toc4898_WPSOffice_Level1"/>
      <w:r>
        <w:rPr>
          <w:rFonts w:hint="eastAsia" w:ascii="宋体" w:hAnsi="宋体" w:eastAsia="宋体" w:cs="宋体"/>
          <w:b/>
          <w:color w:val="auto"/>
          <w:sz w:val="28"/>
          <w:szCs w:val="28"/>
          <w:highlight w:val="none"/>
        </w:rPr>
        <w:t>工程质量保修书</w:t>
      </w:r>
      <w:bookmarkEnd w:id="149"/>
      <w:bookmarkEnd w:id="150"/>
      <w:bookmarkEnd w:id="151"/>
      <w:bookmarkEnd w:id="152"/>
    </w:p>
    <w:p w14:paraId="491D23CA">
      <w:pPr>
        <w:adjustRightInd w:val="0"/>
        <w:snapToGrid w:val="0"/>
        <w:spacing w:line="360" w:lineRule="auto"/>
        <w:rPr>
          <w:rFonts w:hint="eastAsia" w:ascii="宋体" w:hAnsi="宋体" w:eastAsia="宋体" w:cs="宋体"/>
          <w:color w:val="auto"/>
          <w:sz w:val="24"/>
          <w:szCs w:val="18"/>
          <w:highlight w:val="none"/>
        </w:rPr>
      </w:pPr>
    </w:p>
    <w:p w14:paraId="65796D30">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发包人：（全称）</w:t>
      </w:r>
    </w:p>
    <w:p w14:paraId="41762256">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承包人：（全称）</w:t>
      </w:r>
    </w:p>
    <w:p w14:paraId="2EDB8822">
      <w:pPr>
        <w:adjustRightInd w:val="0"/>
        <w:snapToGrid w:val="0"/>
        <w:spacing w:line="360" w:lineRule="auto"/>
        <w:ind w:firstLine="480"/>
        <w:rPr>
          <w:rFonts w:hint="eastAsia" w:ascii="宋体" w:hAnsi="宋体" w:eastAsia="宋体" w:cs="宋体"/>
          <w:color w:val="auto"/>
          <w:szCs w:val="21"/>
          <w:highlight w:val="none"/>
          <w:u w:val="single"/>
        </w:rPr>
      </w:pPr>
    </w:p>
    <w:p w14:paraId="7BA9751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保证（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37DCFD37">
      <w:pPr>
        <w:adjustRightInd w:val="0"/>
        <w:snapToGrid w:val="0"/>
        <w:spacing w:line="360" w:lineRule="auto"/>
        <w:ind w:firstLine="422" w:firstLineChars="200"/>
        <w:rPr>
          <w:rFonts w:hint="eastAsia" w:ascii="宋体" w:hAnsi="宋体" w:eastAsia="宋体" w:cs="宋体"/>
          <w:b/>
          <w:color w:val="auto"/>
          <w:szCs w:val="21"/>
          <w:highlight w:val="none"/>
        </w:rPr>
      </w:pPr>
      <w:bookmarkStart w:id="153" w:name="_Toc1233_WPSOffice_Level1"/>
      <w:bookmarkStart w:id="154" w:name="_Toc32058_WPSOffice_Level1"/>
      <w:bookmarkStart w:id="155" w:name="_Toc4579_WPSOffice_Level1"/>
      <w:bookmarkStart w:id="156" w:name="_Toc1134_WPSOffice_Level1"/>
      <w:r>
        <w:rPr>
          <w:rFonts w:hint="eastAsia" w:ascii="宋体" w:hAnsi="宋体" w:eastAsia="宋体" w:cs="宋体"/>
          <w:b/>
          <w:color w:val="auto"/>
          <w:szCs w:val="21"/>
          <w:highlight w:val="none"/>
        </w:rPr>
        <w:t>1 质量保修范围</w:t>
      </w:r>
      <w:bookmarkEnd w:id="153"/>
      <w:bookmarkEnd w:id="154"/>
      <w:bookmarkEnd w:id="155"/>
      <w:bookmarkEnd w:id="156"/>
    </w:p>
    <w:p w14:paraId="6A288A5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修范围包括地基基础工程、主体结构工程、屋面防水工程、有防水要求的卫生间、房间、外墙面的防渗漏工程、电气管线工程、给排水管道工程、设备安装工程、供热、供冷系统工程、装饰装修工程以及双方约定其他项目。具体质量保修范围，双方约定如下：</w:t>
      </w:r>
    </w:p>
    <w:p w14:paraId="67E0BC1D">
      <w:pPr>
        <w:adjustRightInd w:val="0"/>
        <w:snapToGrid w:val="0"/>
        <w:spacing w:line="360" w:lineRule="auto"/>
        <w:ind w:firstLine="420" w:firstLineChars="200"/>
        <w:rPr>
          <w:rFonts w:hint="eastAsia" w:ascii="宋体" w:hAnsi="宋体" w:eastAsia="宋体" w:cs="宋体"/>
          <w:color w:val="auto"/>
          <w:szCs w:val="21"/>
          <w:highlight w:val="none"/>
        </w:rPr>
      </w:pPr>
      <w:bookmarkStart w:id="157" w:name="_Toc16443_WPSOffice_Level1"/>
      <w:bookmarkStart w:id="158" w:name="_Toc27884_WPSOffice_Level1"/>
      <w:bookmarkStart w:id="159" w:name="_Toc6069_WPSOffice_Level1"/>
      <w:bookmarkStart w:id="160" w:name="_Toc1477_WPSOffice_Level1"/>
      <w:r>
        <w:rPr>
          <w:rFonts w:hint="eastAsia" w:ascii="宋体" w:hAnsi="宋体" w:eastAsia="宋体" w:cs="宋体"/>
          <w:color w:val="auto"/>
          <w:szCs w:val="21"/>
          <w:highlight w:val="none"/>
        </w:rPr>
        <w:t>（1）施工现场全部配套附属工程，包含室外地坪、散水、排水沟、围墙、道路、台阶、坡道、绿化配套土建、场地硬化及所有配套附属构筑物，均纳入整体质量保修范围。</w:t>
      </w:r>
    </w:p>
    <w:p w14:paraId="08E91D4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（2）项目整体成品保护及配套功能性设施，包含工程完工后所有安装配套辅材、固定构件、配套收口、细部处理、成品修复及现场整改完善内容，全部纳入保修范围。</w:t>
      </w:r>
    </w:p>
    <w:p w14:paraId="670B7AC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（3）投标人投标文件、施工方案中承诺实施的所有施工内容、优化措施及增设配套工程，无论是否列入图纸及清单，均属于承包人保修范围，保修期内出现质量缺陷均由承包人无偿维修、更换、整改。</w:t>
      </w:r>
    </w:p>
    <w:p w14:paraId="4088033A">
      <w:pPr>
        <w:adjustRightInd w:val="0"/>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 质量保修期</w:t>
      </w:r>
      <w:bookmarkEnd w:id="157"/>
      <w:bookmarkEnd w:id="158"/>
      <w:bookmarkEnd w:id="159"/>
      <w:bookmarkEnd w:id="160"/>
    </w:p>
    <w:p w14:paraId="6AAB346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 质量保修期从工程实际竣工验收合格之日起计算。单项竣工验收的工程，按单项工程分别计算质量保修期。</w:t>
      </w:r>
    </w:p>
    <w:p w14:paraId="042C3C7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 双方根据《建设工程质量管理条例》及有关规定，约定本工程质量保修期如下：</w:t>
      </w:r>
    </w:p>
    <w:p w14:paraId="3D511C8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（1）地基基础工程、主体结构工程为设计文件规定的合理使用年限；</w:t>
      </w:r>
    </w:p>
    <w:p w14:paraId="65AB425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（2）屋面防水工程、有防水要求的卫生间、房间和外墙面的防渗漏工程为：</w:t>
      </w:r>
      <w:r>
        <w:rPr>
          <w:rFonts w:hint="eastAsia" w:ascii="宋体" w:hAnsi="宋体" w:eastAsia="宋体" w:cs="宋体"/>
          <w:color w:val="auto"/>
          <w:szCs w:val="21"/>
          <w:highlight w:val="none"/>
          <w:u w:val="single"/>
          <w:lang w:val="en-US" w:eastAsia="zh-CN"/>
        </w:rPr>
        <w:t>5</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p>
    <w:p w14:paraId="1BCEE13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（3）电气管线工程、给排水管道、设备安装工程为：</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rPr>
        <w:t>年；</w:t>
      </w:r>
    </w:p>
    <w:p w14:paraId="3F99FFC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（4）供热、供冷系统工程为：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个采暖期、供冷期；</w:t>
      </w:r>
    </w:p>
    <w:p w14:paraId="71772B0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（5）装饰装修工程为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rPr>
        <w:t>年；</w:t>
      </w:r>
    </w:p>
    <w:p w14:paraId="659ED6A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（6）其他项目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rPr>
        <w:t>年。</w:t>
      </w:r>
    </w:p>
    <w:p w14:paraId="5EDEF89B">
      <w:pPr>
        <w:adjustRightInd w:val="0"/>
        <w:snapToGrid w:val="0"/>
        <w:spacing w:line="360" w:lineRule="auto"/>
        <w:ind w:firstLine="422" w:firstLineChars="200"/>
        <w:rPr>
          <w:rFonts w:hint="eastAsia" w:ascii="宋体" w:hAnsi="宋体" w:eastAsia="宋体" w:cs="宋体"/>
          <w:b/>
          <w:color w:val="auto"/>
          <w:szCs w:val="21"/>
          <w:highlight w:val="none"/>
        </w:rPr>
      </w:pPr>
      <w:bookmarkStart w:id="161" w:name="_Toc17463_WPSOffice_Level1"/>
      <w:bookmarkStart w:id="162" w:name="_Toc12014_WPSOffice_Level1"/>
      <w:bookmarkStart w:id="163" w:name="_Toc14491_WPSOffice_Level1"/>
      <w:bookmarkStart w:id="164" w:name="_Toc28457_WPSOffice_Level1"/>
      <w:r>
        <w:rPr>
          <w:rFonts w:hint="eastAsia" w:ascii="宋体" w:hAnsi="宋体" w:eastAsia="宋体" w:cs="宋体"/>
          <w:b/>
          <w:color w:val="auto"/>
          <w:szCs w:val="21"/>
          <w:highlight w:val="none"/>
        </w:rPr>
        <w:t>3 质量保修责任</w:t>
      </w:r>
      <w:bookmarkEnd w:id="161"/>
      <w:bookmarkEnd w:id="162"/>
      <w:bookmarkEnd w:id="163"/>
      <w:bookmarkEnd w:id="164"/>
    </w:p>
    <w:p w14:paraId="3A7933E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 属于保修范围的项目，承包人应在接到通知后的7天内派人保修，承包人不在约定期限内派人保修，发包人可自行或指派第三方保修。</w:t>
      </w:r>
    </w:p>
    <w:p w14:paraId="0102009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 发生紧急抢修事故的，承包人在接到通知后，应立即到达事故现场抢修。</w:t>
      </w:r>
    </w:p>
    <w:p w14:paraId="48E9AE7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 在国家规定的工程合理使用期限内，承包人应确保地基基础工程和主体结构的安全和质量。凡出现其质量问题，应立即报告当地建设行政主管部门，由设计单位提出保修方案，承包人应立即实施保修。</w:t>
      </w:r>
    </w:p>
    <w:p w14:paraId="6875F27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 质量保修完成后，由发包人组织验收。</w:t>
      </w:r>
    </w:p>
    <w:p w14:paraId="7359CB2B">
      <w:pPr>
        <w:adjustRightInd w:val="0"/>
        <w:snapToGrid w:val="0"/>
        <w:spacing w:line="360" w:lineRule="auto"/>
        <w:ind w:firstLine="422" w:firstLineChars="200"/>
        <w:rPr>
          <w:rFonts w:hint="eastAsia" w:ascii="宋体" w:hAnsi="宋体" w:eastAsia="宋体" w:cs="宋体"/>
          <w:b/>
          <w:color w:val="auto"/>
          <w:szCs w:val="21"/>
          <w:highlight w:val="none"/>
        </w:rPr>
      </w:pPr>
      <w:bookmarkStart w:id="165" w:name="_Toc15815_WPSOffice_Level1"/>
      <w:bookmarkStart w:id="166" w:name="_Toc6121_WPSOffice_Level1"/>
      <w:bookmarkStart w:id="167" w:name="_Toc654_WPSOffice_Level1"/>
      <w:bookmarkStart w:id="168" w:name="_Toc7703_WPSOffice_Level1"/>
      <w:r>
        <w:rPr>
          <w:rFonts w:hint="eastAsia" w:ascii="宋体" w:hAnsi="宋体" w:eastAsia="宋体" w:cs="宋体"/>
          <w:b/>
          <w:color w:val="auto"/>
          <w:szCs w:val="21"/>
          <w:highlight w:val="none"/>
        </w:rPr>
        <w:t>4 质量保修费用</w:t>
      </w:r>
      <w:bookmarkEnd w:id="165"/>
      <w:bookmarkEnd w:id="166"/>
      <w:bookmarkEnd w:id="167"/>
      <w:bookmarkEnd w:id="168"/>
    </w:p>
    <w:p w14:paraId="53A9247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质量保修费用及相关的损害赔偿费，由造成质量缺陷的责任方承担。</w:t>
      </w:r>
    </w:p>
    <w:p w14:paraId="2B3E08BB">
      <w:pPr>
        <w:adjustRightInd w:val="0"/>
        <w:snapToGrid w:val="0"/>
        <w:spacing w:line="360" w:lineRule="auto"/>
        <w:ind w:firstLine="422" w:firstLineChars="200"/>
        <w:rPr>
          <w:rFonts w:hint="eastAsia" w:ascii="宋体" w:hAnsi="宋体" w:eastAsia="宋体" w:cs="宋体"/>
          <w:b/>
          <w:color w:val="auto"/>
          <w:szCs w:val="21"/>
          <w:highlight w:val="none"/>
        </w:rPr>
      </w:pPr>
      <w:bookmarkStart w:id="169" w:name="_Toc15103_WPSOffice_Level1"/>
      <w:bookmarkStart w:id="170" w:name="_Toc22358_WPSOffice_Level1"/>
      <w:bookmarkStart w:id="171" w:name="_Toc1819_WPSOffice_Level1"/>
      <w:bookmarkStart w:id="172" w:name="_Toc24904_WPSOffice_Level1"/>
      <w:r>
        <w:rPr>
          <w:rFonts w:hint="eastAsia" w:ascii="宋体" w:hAnsi="宋体" w:eastAsia="宋体" w:cs="宋体"/>
          <w:b/>
          <w:color w:val="auto"/>
          <w:szCs w:val="21"/>
          <w:highlight w:val="none"/>
        </w:rPr>
        <w:t>5 质量保证金</w:t>
      </w:r>
      <w:bookmarkEnd w:id="169"/>
      <w:bookmarkEnd w:id="170"/>
      <w:bookmarkEnd w:id="171"/>
      <w:bookmarkEnd w:id="172"/>
    </w:p>
    <w:p w14:paraId="6417B49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质量保证金的使用、约定、支付、返还与本合同的质量保证金赋予的约定一致。</w:t>
      </w:r>
    </w:p>
    <w:p w14:paraId="1514FF15">
      <w:pPr>
        <w:adjustRightInd w:val="0"/>
        <w:snapToGrid w:val="0"/>
        <w:spacing w:line="360" w:lineRule="auto"/>
        <w:ind w:firstLine="422" w:firstLineChars="200"/>
        <w:rPr>
          <w:rFonts w:hint="eastAsia" w:ascii="宋体" w:hAnsi="宋体" w:eastAsia="宋体" w:cs="宋体"/>
          <w:b/>
          <w:color w:val="auto"/>
          <w:szCs w:val="21"/>
          <w:highlight w:val="none"/>
        </w:rPr>
      </w:pPr>
      <w:bookmarkStart w:id="173" w:name="_Toc7561_WPSOffice_Level1"/>
      <w:bookmarkStart w:id="174" w:name="_Toc21863_WPSOffice_Level1"/>
      <w:bookmarkStart w:id="175" w:name="_Toc5370_WPSOffice_Level1"/>
      <w:bookmarkStart w:id="176" w:name="_Toc12087_WPSOffice_Level1"/>
      <w:r>
        <w:rPr>
          <w:rFonts w:hint="eastAsia" w:ascii="宋体" w:hAnsi="宋体" w:eastAsia="宋体" w:cs="宋体"/>
          <w:b/>
          <w:color w:val="auto"/>
          <w:szCs w:val="21"/>
          <w:highlight w:val="none"/>
        </w:rPr>
        <w:t>6 其他</w:t>
      </w:r>
      <w:bookmarkEnd w:id="173"/>
      <w:bookmarkEnd w:id="174"/>
      <w:bookmarkEnd w:id="175"/>
      <w:bookmarkEnd w:id="176"/>
    </w:p>
    <w:p w14:paraId="09118875">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6.1 双方约定的其它工程质量保修事项：</w:t>
      </w:r>
    </w:p>
    <w:p w14:paraId="3D9E68C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 本工程质量保修书，由发包人承包人在工程竣工验收前签署，作为合同附件，其有效期限至保修期满。</w:t>
      </w:r>
    </w:p>
    <w:p w14:paraId="374ACCB2">
      <w:pPr>
        <w:adjustRightInd w:val="0"/>
        <w:snapToGrid w:val="0"/>
        <w:spacing w:line="360" w:lineRule="auto"/>
        <w:ind w:firstLine="480"/>
        <w:rPr>
          <w:rFonts w:hint="eastAsia" w:ascii="宋体" w:hAnsi="宋体" w:eastAsia="宋体" w:cs="宋体"/>
          <w:color w:val="auto"/>
          <w:szCs w:val="21"/>
          <w:highlight w:val="none"/>
        </w:rPr>
      </w:pPr>
    </w:p>
    <w:p w14:paraId="13CB0E34">
      <w:pPr>
        <w:adjustRightInd w:val="0"/>
        <w:snapToGrid w:val="0"/>
        <w:spacing w:line="360" w:lineRule="auto"/>
        <w:ind w:firstLine="480"/>
        <w:rPr>
          <w:rFonts w:hint="eastAsia" w:ascii="宋体" w:hAnsi="宋体" w:eastAsia="宋体" w:cs="宋体"/>
          <w:color w:val="auto"/>
          <w:szCs w:val="21"/>
          <w:highlight w:val="none"/>
        </w:rPr>
      </w:pPr>
    </w:p>
    <w:p w14:paraId="5EA55046">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发包人（公章）：</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承包人（公章）：</w:t>
      </w:r>
    </w:p>
    <w:p w14:paraId="11C65373">
      <w:pPr>
        <w:adjustRightInd w:val="0"/>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法定代表人（签字或盖章）：</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法定代表人（签字或盖章）：</w:t>
      </w:r>
    </w:p>
    <w:p w14:paraId="3BA74434">
      <w:pPr>
        <w:adjustRightInd w:val="0"/>
        <w:snapToGrid w:val="0"/>
        <w:spacing w:line="360" w:lineRule="auto"/>
        <w:ind w:firstLine="2520" w:firstLineChars="1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 xml:space="preserve">年月日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年月日</w:t>
      </w:r>
    </w:p>
    <w:p w14:paraId="5D3B2BFB">
      <w:pPr>
        <w:spacing w:line="360" w:lineRule="auto"/>
        <w:rPr>
          <w:rFonts w:hint="eastAsia" w:ascii="宋体" w:hAnsi="宋体" w:eastAsia="宋体" w:cs="宋体"/>
          <w:b/>
          <w:color w:val="auto"/>
          <w:highlight w:val="none"/>
        </w:rPr>
      </w:pPr>
    </w:p>
    <w:p w14:paraId="1BBAF7BD">
      <w:pPr>
        <w:adjustRightInd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highlight w:val="none"/>
        </w:rPr>
        <w:br w:type="page"/>
      </w:r>
      <w:r>
        <w:rPr>
          <w:rFonts w:hint="eastAsia" w:ascii="宋体" w:hAnsi="宋体" w:eastAsia="宋体" w:cs="宋体"/>
          <w:b/>
          <w:color w:val="auto"/>
          <w:sz w:val="28"/>
          <w:szCs w:val="28"/>
          <w:highlight w:val="none"/>
        </w:rPr>
        <w:t>二、磋商保证金缴纳证明材料</w:t>
      </w:r>
    </w:p>
    <w:p w14:paraId="1A37C393">
      <w:pPr>
        <w:pStyle w:val="12"/>
        <w:adjustRightInd w:val="0"/>
        <w:snapToGrid w:val="0"/>
        <w:spacing w:before="156" w:beforeLines="50" w:line="360" w:lineRule="auto"/>
        <w:rPr>
          <w:rFonts w:hint="eastAsia" w:ascii="宋体" w:hAnsi="宋体" w:eastAsia="宋体" w:cs="宋体"/>
          <w:color w:val="auto"/>
          <w:highlight w:val="none"/>
        </w:rPr>
      </w:pPr>
    </w:p>
    <w:p w14:paraId="52D42BA0">
      <w:pPr>
        <w:jc w:val="center"/>
        <w:textAlignment w:val="center"/>
        <w:rPr>
          <w:rFonts w:hint="eastAsia" w:ascii="宋体" w:hAnsi="宋体" w:eastAsia="宋体" w:cs="宋体"/>
          <w:color w:val="auto"/>
          <w:sz w:val="32"/>
          <w:highlight w:val="none"/>
        </w:rPr>
      </w:pPr>
      <w:r>
        <w:rPr>
          <w:rFonts w:hint="eastAsia" w:ascii="宋体" w:hAnsi="宋体" w:eastAsia="宋体" w:cs="宋体"/>
          <w:b/>
          <w:bCs/>
          <w:color w:val="auto"/>
          <w:sz w:val="32"/>
          <w:highlight w:val="none"/>
        </w:rPr>
        <w:t>免交投标保证金承诺书</w:t>
      </w:r>
    </w:p>
    <w:p w14:paraId="26C65310">
      <w:pPr>
        <w:jc w:val="left"/>
        <w:textAlignment w:val="center"/>
        <w:rPr>
          <w:rFonts w:hint="eastAsia" w:ascii="宋体" w:hAnsi="宋体" w:eastAsia="宋体" w:cs="宋体"/>
          <w:color w:val="auto"/>
          <w:szCs w:val="21"/>
          <w:highlight w:val="none"/>
        </w:rPr>
      </w:pPr>
    </w:p>
    <w:p w14:paraId="59428D8E">
      <w:pPr>
        <w:spacing w:line="360" w:lineRule="auto"/>
        <w:jc w:val="left"/>
        <w:textAlignment w:val="cente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（采购人、采购代理机构）</w:t>
      </w:r>
    </w:p>
    <w:p w14:paraId="15CB59EE">
      <w:pPr>
        <w:spacing w:line="360" w:lineRule="auto"/>
        <w:ind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因本项目不收取保证金，我公司承诺，如有下列情形之一的，同意向采购人缴纳采购项目预算金额2%（相当于应收投标保证金的标准）的违约金，并承担相关法律责任、接受财政部门的相关处罚。</w:t>
      </w:r>
    </w:p>
    <w:p w14:paraId="004C7A43">
      <w:pPr>
        <w:numPr>
          <w:ilvl w:val="0"/>
          <w:numId w:val="5"/>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中标、成交后无正当理由不与采购人签订合同的；</w:t>
      </w:r>
    </w:p>
    <w:p w14:paraId="1CB6F53B">
      <w:pPr>
        <w:numPr>
          <w:ilvl w:val="0"/>
          <w:numId w:val="5"/>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未经采购人同意，将中标、成交项目分包方式履行合同的；</w:t>
      </w:r>
    </w:p>
    <w:p w14:paraId="6CD4D397">
      <w:pPr>
        <w:numPr>
          <w:ilvl w:val="0"/>
          <w:numId w:val="5"/>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在提交投标（响应）文件截止时间后撤回投标（响应）文件的；</w:t>
      </w:r>
    </w:p>
    <w:p w14:paraId="1AEA6F57">
      <w:pPr>
        <w:numPr>
          <w:ilvl w:val="0"/>
          <w:numId w:val="5"/>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在投标（响应）文件中提交虚假材料的</w:t>
      </w:r>
    </w:p>
    <w:p w14:paraId="2F79AFF7">
      <w:pPr>
        <w:numPr>
          <w:ilvl w:val="0"/>
          <w:numId w:val="5"/>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与采购人、其他供应商或者采购代理机构恶意串通的；</w:t>
      </w:r>
    </w:p>
    <w:p w14:paraId="657A5B4F">
      <w:pPr>
        <w:numPr>
          <w:ilvl w:val="0"/>
          <w:numId w:val="5"/>
        </w:numPr>
        <w:spacing w:line="360" w:lineRule="auto"/>
        <w:ind w:left="0"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法律法规或者采购文件规定的其他情形的。</w:t>
      </w:r>
    </w:p>
    <w:p w14:paraId="2F6D70E2">
      <w:pPr>
        <w:spacing w:line="360" w:lineRule="auto"/>
        <w:ind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35125D83">
      <w:pPr>
        <w:jc w:val="left"/>
        <w:textAlignment w:val="center"/>
        <w:rPr>
          <w:rFonts w:hint="eastAsia" w:ascii="宋体" w:hAnsi="宋体" w:eastAsia="宋体" w:cs="宋体"/>
          <w:color w:val="auto"/>
          <w:szCs w:val="21"/>
          <w:highlight w:val="none"/>
        </w:rPr>
      </w:pPr>
    </w:p>
    <w:p w14:paraId="78E8B072">
      <w:pPr>
        <w:ind w:firstLine="440" w:firstLineChars="200"/>
        <w:jc w:val="left"/>
        <w:textAlignment w:val="center"/>
        <w:rPr>
          <w:rFonts w:hint="eastAsia" w:ascii="宋体" w:hAnsi="宋体" w:eastAsia="宋体" w:cs="宋体"/>
          <w:color w:val="auto"/>
          <w:sz w:val="22"/>
          <w:szCs w:val="21"/>
          <w:highlight w:val="none"/>
          <w:u w:val="single"/>
        </w:rPr>
      </w:pPr>
      <w:r>
        <w:rPr>
          <w:rFonts w:hint="eastAsia" w:ascii="宋体" w:hAnsi="宋体" w:eastAsia="宋体" w:cs="宋体"/>
          <w:color w:val="auto"/>
          <w:sz w:val="22"/>
          <w:szCs w:val="21"/>
          <w:highlight w:val="none"/>
        </w:rPr>
        <w:t>供应商名称（单位盖章）：</w:t>
      </w:r>
      <w:r>
        <w:rPr>
          <w:rFonts w:hint="eastAsia" w:ascii="宋体" w:hAnsi="宋体" w:eastAsia="宋体" w:cs="宋体"/>
          <w:color w:val="auto"/>
          <w:sz w:val="22"/>
          <w:szCs w:val="21"/>
          <w:highlight w:val="none"/>
          <w:u w:val="single"/>
        </w:rPr>
        <w:t xml:space="preserve">                            </w:t>
      </w:r>
    </w:p>
    <w:p w14:paraId="676A7394">
      <w:pPr>
        <w:ind w:firstLine="420" w:firstLineChars="200"/>
        <w:jc w:val="left"/>
        <w:textAlignment w:val="center"/>
        <w:rPr>
          <w:rFonts w:hint="eastAsia" w:ascii="宋体" w:hAnsi="宋体" w:eastAsia="宋体" w:cs="宋体"/>
          <w:color w:val="auto"/>
          <w:szCs w:val="21"/>
          <w:highlight w:val="none"/>
          <w:u w:val="single"/>
        </w:rPr>
      </w:pPr>
    </w:p>
    <w:p w14:paraId="35A99442">
      <w:pPr>
        <w:ind w:firstLine="420" w:firstLineChars="200"/>
        <w:jc w:val="left"/>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256624C">
      <w:pPr>
        <w:pStyle w:val="30"/>
        <w:rPr>
          <w:rFonts w:hint="eastAsia" w:ascii="宋体" w:hAnsi="宋体" w:eastAsia="宋体" w:cs="宋体"/>
          <w:color w:val="auto"/>
          <w:highlight w:val="none"/>
        </w:rPr>
      </w:pPr>
    </w:p>
    <w:p w14:paraId="6D5505D9">
      <w:pPr>
        <w:pStyle w:val="30"/>
        <w:rPr>
          <w:rFonts w:hint="eastAsia" w:ascii="宋体" w:hAnsi="宋体" w:eastAsia="宋体" w:cs="宋体"/>
          <w:color w:val="auto"/>
          <w:highlight w:val="none"/>
        </w:rPr>
      </w:pPr>
    </w:p>
    <w:p w14:paraId="78CCE63C">
      <w:pPr>
        <w:pStyle w:val="30"/>
        <w:rPr>
          <w:rFonts w:hint="eastAsia" w:ascii="宋体" w:hAnsi="宋体" w:eastAsia="宋体" w:cs="宋体"/>
          <w:color w:val="auto"/>
          <w:highlight w:val="none"/>
        </w:rPr>
      </w:pPr>
    </w:p>
    <w:p w14:paraId="0A90A414">
      <w:pPr>
        <w:adjustRightInd w:val="0"/>
        <w:snapToGrid w:val="0"/>
        <w:spacing w:line="360" w:lineRule="auto"/>
        <w:jc w:val="center"/>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32"/>
          <w:szCs w:val="32"/>
          <w:highlight w:val="none"/>
        </w:rPr>
        <w:br w:type="page"/>
      </w:r>
      <w:bookmarkStart w:id="177" w:name="_Toc17971"/>
      <w:r>
        <w:rPr>
          <w:rFonts w:hint="eastAsia" w:ascii="宋体" w:hAnsi="宋体" w:eastAsia="宋体" w:cs="宋体"/>
          <w:b/>
          <w:color w:val="auto"/>
          <w:sz w:val="28"/>
          <w:szCs w:val="28"/>
          <w:highlight w:val="none"/>
        </w:rPr>
        <w:t>三、供应商的资格证明资料</w:t>
      </w:r>
      <w:bookmarkEnd w:id="177"/>
    </w:p>
    <w:p w14:paraId="29244338">
      <w:pPr>
        <w:adjustRightInd w:val="0"/>
        <w:snapToGrid w:val="0"/>
        <w:spacing w:line="360" w:lineRule="auto"/>
        <w:rPr>
          <w:rFonts w:hint="eastAsia" w:ascii="宋体" w:hAnsi="宋体" w:eastAsia="宋体" w:cs="宋体"/>
          <w:b/>
          <w:color w:val="auto"/>
          <w:sz w:val="28"/>
          <w:szCs w:val="28"/>
          <w:highlight w:val="none"/>
        </w:rPr>
      </w:pPr>
      <w:bookmarkStart w:id="178" w:name="_Toc24959_WPSOffice_Level1"/>
      <w:bookmarkStart w:id="179" w:name="_Toc31369_WPSOffice_Level1"/>
      <w:r>
        <w:rPr>
          <w:rFonts w:hint="eastAsia" w:ascii="宋体" w:hAnsi="宋体" w:eastAsia="宋体" w:cs="宋体"/>
          <w:b/>
          <w:color w:val="auto"/>
          <w:sz w:val="28"/>
          <w:szCs w:val="28"/>
          <w:highlight w:val="none"/>
        </w:rPr>
        <w:t>附件3-1</w:t>
      </w:r>
      <w:bookmarkEnd w:id="178"/>
      <w:bookmarkEnd w:id="179"/>
    </w:p>
    <w:p w14:paraId="51465242">
      <w:pPr>
        <w:adjustRightInd w:val="0"/>
        <w:snapToGrid w:val="0"/>
        <w:spacing w:line="360" w:lineRule="auto"/>
        <w:jc w:val="center"/>
        <w:rPr>
          <w:rFonts w:hint="eastAsia" w:ascii="宋体" w:hAnsi="宋体" w:eastAsia="宋体" w:cs="宋体"/>
          <w:b/>
          <w:color w:val="auto"/>
          <w:sz w:val="28"/>
          <w:szCs w:val="28"/>
          <w:highlight w:val="none"/>
        </w:rPr>
      </w:pPr>
      <w:bookmarkStart w:id="180" w:name="_Toc14734_WPSOffice_Level1"/>
      <w:bookmarkStart w:id="181" w:name="_Toc26400_WPSOffice_Level1"/>
      <w:bookmarkStart w:id="182" w:name="_Toc25954_WPSOffice_Level1"/>
      <w:bookmarkStart w:id="183" w:name="_Toc7833_WPSOffice_Level1"/>
      <w:r>
        <w:rPr>
          <w:rFonts w:hint="eastAsia" w:ascii="宋体" w:hAnsi="宋体" w:eastAsia="宋体" w:cs="宋体"/>
          <w:b/>
          <w:color w:val="auto"/>
          <w:sz w:val="28"/>
          <w:szCs w:val="28"/>
          <w:highlight w:val="none"/>
        </w:rPr>
        <w:t>供应商基本情况表</w:t>
      </w:r>
      <w:bookmarkEnd w:id="180"/>
      <w:bookmarkEnd w:id="181"/>
      <w:bookmarkEnd w:id="182"/>
      <w:bookmarkEnd w:id="183"/>
    </w:p>
    <w:p w14:paraId="736CE9C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盖供应商单位章</w:t>
      </w:r>
    </w:p>
    <w:tbl>
      <w:tblPr>
        <w:tblStyle w:val="24"/>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49"/>
        <w:gridCol w:w="299"/>
        <w:gridCol w:w="1713"/>
        <w:gridCol w:w="1345"/>
        <w:gridCol w:w="915"/>
        <w:gridCol w:w="38"/>
        <w:gridCol w:w="908"/>
        <w:gridCol w:w="422"/>
        <w:gridCol w:w="117"/>
        <w:gridCol w:w="2350"/>
      </w:tblGrid>
      <w:tr w14:paraId="520777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6" w:hRule="atLeast"/>
        </w:trPr>
        <w:tc>
          <w:tcPr>
            <w:tcW w:w="1548" w:type="dxa"/>
            <w:gridSpan w:val="2"/>
            <w:tcBorders>
              <w:tl2br w:val="nil"/>
              <w:tr2bl w:val="nil"/>
            </w:tcBorders>
            <w:vAlign w:val="center"/>
          </w:tcPr>
          <w:p w14:paraId="3482373A">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p>
        </w:tc>
        <w:tc>
          <w:tcPr>
            <w:tcW w:w="4011" w:type="dxa"/>
            <w:gridSpan w:val="4"/>
            <w:tcBorders>
              <w:tl2br w:val="nil"/>
              <w:tr2bl w:val="nil"/>
            </w:tcBorders>
            <w:vAlign w:val="center"/>
          </w:tcPr>
          <w:p w14:paraId="0899C029">
            <w:pPr>
              <w:topLinePunct/>
              <w:spacing w:line="360" w:lineRule="auto"/>
              <w:jc w:val="center"/>
              <w:rPr>
                <w:rFonts w:hint="eastAsia" w:ascii="宋体" w:hAnsi="宋体" w:eastAsia="宋体" w:cs="宋体"/>
                <w:color w:val="auto"/>
                <w:szCs w:val="21"/>
                <w:highlight w:val="none"/>
              </w:rPr>
            </w:pPr>
          </w:p>
        </w:tc>
        <w:tc>
          <w:tcPr>
            <w:tcW w:w="1330" w:type="dxa"/>
            <w:gridSpan w:val="2"/>
            <w:tcBorders>
              <w:tl2br w:val="nil"/>
              <w:tr2bl w:val="nil"/>
            </w:tcBorders>
            <w:vAlign w:val="center"/>
          </w:tcPr>
          <w:p w14:paraId="2EFFD81A">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2467" w:type="dxa"/>
            <w:gridSpan w:val="2"/>
            <w:tcBorders>
              <w:tl2br w:val="nil"/>
              <w:tr2bl w:val="nil"/>
            </w:tcBorders>
            <w:vAlign w:val="center"/>
          </w:tcPr>
          <w:p w14:paraId="12F3EB45">
            <w:pPr>
              <w:topLinePunct/>
              <w:spacing w:line="360" w:lineRule="auto"/>
              <w:jc w:val="center"/>
              <w:rPr>
                <w:rFonts w:hint="eastAsia" w:ascii="宋体" w:hAnsi="宋体" w:eastAsia="宋体" w:cs="宋体"/>
                <w:color w:val="auto"/>
                <w:szCs w:val="21"/>
                <w:highlight w:val="none"/>
              </w:rPr>
            </w:pPr>
          </w:p>
        </w:tc>
      </w:tr>
      <w:tr w14:paraId="04370B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trPr>
        <w:tc>
          <w:tcPr>
            <w:tcW w:w="1548" w:type="dxa"/>
            <w:gridSpan w:val="2"/>
            <w:vMerge w:val="restart"/>
            <w:tcBorders>
              <w:tl2br w:val="nil"/>
              <w:tr2bl w:val="nil"/>
            </w:tcBorders>
            <w:vAlign w:val="center"/>
          </w:tcPr>
          <w:p w14:paraId="1FB87B20">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联系方式</w:t>
            </w:r>
          </w:p>
        </w:tc>
        <w:tc>
          <w:tcPr>
            <w:tcW w:w="1713" w:type="dxa"/>
            <w:tcBorders>
              <w:tl2br w:val="nil"/>
              <w:tr2bl w:val="nil"/>
            </w:tcBorders>
            <w:vAlign w:val="center"/>
          </w:tcPr>
          <w:p w14:paraId="6A313D1C">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联系人</w:t>
            </w:r>
          </w:p>
        </w:tc>
        <w:tc>
          <w:tcPr>
            <w:tcW w:w="2298" w:type="dxa"/>
            <w:gridSpan w:val="3"/>
            <w:tcBorders>
              <w:tl2br w:val="nil"/>
              <w:tr2bl w:val="nil"/>
            </w:tcBorders>
            <w:vAlign w:val="center"/>
          </w:tcPr>
          <w:p w14:paraId="319D8A30">
            <w:pPr>
              <w:topLinePunct/>
              <w:spacing w:line="360" w:lineRule="auto"/>
              <w:jc w:val="center"/>
              <w:rPr>
                <w:rFonts w:hint="eastAsia" w:ascii="宋体" w:hAnsi="宋体" w:eastAsia="宋体" w:cs="宋体"/>
                <w:color w:val="auto"/>
                <w:szCs w:val="21"/>
                <w:highlight w:val="none"/>
              </w:rPr>
            </w:pPr>
          </w:p>
        </w:tc>
        <w:tc>
          <w:tcPr>
            <w:tcW w:w="1330" w:type="dxa"/>
            <w:gridSpan w:val="2"/>
            <w:tcBorders>
              <w:tl2br w:val="nil"/>
              <w:tr2bl w:val="nil"/>
            </w:tcBorders>
            <w:vAlign w:val="center"/>
          </w:tcPr>
          <w:p w14:paraId="5B33CB73">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电    话</w:t>
            </w:r>
          </w:p>
        </w:tc>
        <w:tc>
          <w:tcPr>
            <w:tcW w:w="2467" w:type="dxa"/>
            <w:gridSpan w:val="2"/>
            <w:tcBorders>
              <w:tl2br w:val="nil"/>
              <w:tr2bl w:val="nil"/>
            </w:tcBorders>
            <w:vAlign w:val="center"/>
          </w:tcPr>
          <w:p w14:paraId="26279B64">
            <w:pPr>
              <w:topLinePunct/>
              <w:spacing w:line="360" w:lineRule="auto"/>
              <w:jc w:val="center"/>
              <w:rPr>
                <w:rFonts w:hint="eastAsia" w:ascii="宋体" w:hAnsi="宋体" w:eastAsia="宋体" w:cs="宋体"/>
                <w:color w:val="auto"/>
                <w:szCs w:val="21"/>
                <w:highlight w:val="none"/>
              </w:rPr>
            </w:pPr>
          </w:p>
        </w:tc>
      </w:tr>
      <w:tr w14:paraId="252AED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trPr>
        <w:tc>
          <w:tcPr>
            <w:tcW w:w="1548" w:type="dxa"/>
            <w:gridSpan w:val="2"/>
            <w:vMerge w:val="continue"/>
            <w:tcBorders>
              <w:tl2br w:val="nil"/>
              <w:tr2bl w:val="nil"/>
            </w:tcBorders>
            <w:vAlign w:val="center"/>
          </w:tcPr>
          <w:p w14:paraId="1783FB9A">
            <w:pPr>
              <w:topLinePunct/>
              <w:spacing w:line="360" w:lineRule="auto"/>
              <w:jc w:val="center"/>
              <w:rPr>
                <w:rFonts w:hint="eastAsia" w:ascii="宋体" w:hAnsi="宋体" w:eastAsia="宋体" w:cs="宋体"/>
                <w:color w:val="auto"/>
                <w:szCs w:val="21"/>
                <w:highlight w:val="none"/>
              </w:rPr>
            </w:pPr>
          </w:p>
        </w:tc>
        <w:tc>
          <w:tcPr>
            <w:tcW w:w="1713" w:type="dxa"/>
            <w:tcBorders>
              <w:tl2br w:val="nil"/>
              <w:tr2bl w:val="nil"/>
            </w:tcBorders>
            <w:vAlign w:val="center"/>
          </w:tcPr>
          <w:p w14:paraId="289C26AB">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传  真</w:t>
            </w:r>
          </w:p>
        </w:tc>
        <w:tc>
          <w:tcPr>
            <w:tcW w:w="2298" w:type="dxa"/>
            <w:gridSpan w:val="3"/>
            <w:tcBorders>
              <w:tl2br w:val="nil"/>
              <w:tr2bl w:val="nil"/>
            </w:tcBorders>
            <w:vAlign w:val="center"/>
          </w:tcPr>
          <w:p w14:paraId="40393D47">
            <w:pPr>
              <w:topLinePunct/>
              <w:spacing w:line="360" w:lineRule="auto"/>
              <w:jc w:val="center"/>
              <w:rPr>
                <w:rFonts w:hint="eastAsia" w:ascii="宋体" w:hAnsi="宋体" w:eastAsia="宋体" w:cs="宋体"/>
                <w:color w:val="auto"/>
                <w:szCs w:val="21"/>
                <w:highlight w:val="none"/>
              </w:rPr>
            </w:pPr>
          </w:p>
        </w:tc>
        <w:tc>
          <w:tcPr>
            <w:tcW w:w="1330" w:type="dxa"/>
            <w:gridSpan w:val="2"/>
            <w:tcBorders>
              <w:tl2br w:val="nil"/>
              <w:tr2bl w:val="nil"/>
            </w:tcBorders>
            <w:vAlign w:val="center"/>
          </w:tcPr>
          <w:p w14:paraId="16F9DF91">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电子邮箱</w:t>
            </w:r>
          </w:p>
        </w:tc>
        <w:tc>
          <w:tcPr>
            <w:tcW w:w="2467" w:type="dxa"/>
            <w:gridSpan w:val="2"/>
            <w:tcBorders>
              <w:tl2br w:val="nil"/>
              <w:tr2bl w:val="nil"/>
            </w:tcBorders>
            <w:vAlign w:val="center"/>
          </w:tcPr>
          <w:p w14:paraId="0AD69619">
            <w:pPr>
              <w:topLinePunct/>
              <w:spacing w:line="360" w:lineRule="auto"/>
              <w:jc w:val="center"/>
              <w:rPr>
                <w:rFonts w:hint="eastAsia" w:ascii="宋体" w:hAnsi="宋体" w:eastAsia="宋体" w:cs="宋体"/>
                <w:color w:val="auto"/>
                <w:szCs w:val="21"/>
                <w:highlight w:val="none"/>
              </w:rPr>
            </w:pPr>
          </w:p>
        </w:tc>
      </w:tr>
      <w:tr w14:paraId="2EF3C5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1548" w:type="dxa"/>
            <w:gridSpan w:val="2"/>
            <w:vMerge w:val="restart"/>
            <w:tcBorders>
              <w:tl2br w:val="nil"/>
              <w:tr2bl w:val="nil"/>
            </w:tcBorders>
            <w:vAlign w:val="center"/>
          </w:tcPr>
          <w:p w14:paraId="6C6B8191">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w:t>
            </w:r>
          </w:p>
        </w:tc>
        <w:tc>
          <w:tcPr>
            <w:tcW w:w="4011" w:type="dxa"/>
            <w:gridSpan w:val="4"/>
            <w:tcBorders>
              <w:tl2br w:val="nil"/>
              <w:tr2bl w:val="nil"/>
            </w:tcBorders>
            <w:vAlign w:val="center"/>
          </w:tcPr>
          <w:p w14:paraId="56BD55A3">
            <w:pPr>
              <w:topLinePunct/>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统一社会信用代码或注册号</w:t>
            </w:r>
          </w:p>
        </w:tc>
        <w:tc>
          <w:tcPr>
            <w:tcW w:w="3797" w:type="dxa"/>
            <w:gridSpan w:val="4"/>
            <w:tcBorders>
              <w:tl2br w:val="nil"/>
              <w:tr2bl w:val="nil"/>
            </w:tcBorders>
            <w:vAlign w:val="center"/>
          </w:tcPr>
          <w:p w14:paraId="56DCC728">
            <w:pPr>
              <w:topLinePunct/>
              <w:spacing w:line="360" w:lineRule="auto"/>
              <w:ind w:firstLine="105" w:firstLineChars="50"/>
              <w:jc w:val="center"/>
              <w:rPr>
                <w:rFonts w:hint="eastAsia" w:ascii="宋体" w:hAnsi="宋体" w:eastAsia="宋体" w:cs="宋体"/>
                <w:color w:val="auto"/>
                <w:szCs w:val="21"/>
                <w:highlight w:val="none"/>
              </w:rPr>
            </w:pPr>
          </w:p>
        </w:tc>
      </w:tr>
      <w:tr w14:paraId="18B39A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1548" w:type="dxa"/>
            <w:gridSpan w:val="2"/>
            <w:vMerge w:val="continue"/>
            <w:tcBorders>
              <w:tl2br w:val="nil"/>
              <w:tr2bl w:val="nil"/>
            </w:tcBorders>
            <w:vAlign w:val="center"/>
          </w:tcPr>
          <w:p w14:paraId="0BD4A99A">
            <w:pPr>
              <w:topLinePunct/>
              <w:spacing w:line="360" w:lineRule="auto"/>
              <w:jc w:val="center"/>
              <w:rPr>
                <w:rFonts w:hint="eastAsia" w:ascii="宋体" w:hAnsi="宋体" w:eastAsia="宋体" w:cs="宋体"/>
                <w:color w:val="auto"/>
                <w:szCs w:val="21"/>
                <w:highlight w:val="none"/>
              </w:rPr>
            </w:pPr>
          </w:p>
        </w:tc>
        <w:tc>
          <w:tcPr>
            <w:tcW w:w="1713" w:type="dxa"/>
            <w:tcBorders>
              <w:tl2br w:val="nil"/>
              <w:tr2bl w:val="nil"/>
            </w:tcBorders>
            <w:vAlign w:val="center"/>
          </w:tcPr>
          <w:p w14:paraId="3D16A7B9">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住所</w:t>
            </w:r>
          </w:p>
        </w:tc>
        <w:tc>
          <w:tcPr>
            <w:tcW w:w="6095" w:type="dxa"/>
            <w:gridSpan w:val="7"/>
            <w:tcBorders>
              <w:tl2br w:val="nil"/>
              <w:tr2bl w:val="nil"/>
            </w:tcBorders>
            <w:vAlign w:val="center"/>
          </w:tcPr>
          <w:p w14:paraId="59A000DE">
            <w:pPr>
              <w:topLinePunct/>
              <w:spacing w:line="360" w:lineRule="auto"/>
              <w:ind w:firstLine="105" w:firstLineChars="50"/>
              <w:jc w:val="center"/>
              <w:rPr>
                <w:rFonts w:hint="eastAsia" w:ascii="宋体" w:hAnsi="宋体" w:eastAsia="宋体" w:cs="宋体"/>
                <w:color w:val="auto"/>
                <w:szCs w:val="21"/>
                <w:highlight w:val="none"/>
              </w:rPr>
            </w:pPr>
          </w:p>
        </w:tc>
      </w:tr>
      <w:tr w14:paraId="2F23F0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1548" w:type="dxa"/>
            <w:gridSpan w:val="2"/>
            <w:vMerge w:val="continue"/>
            <w:tcBorders>
              <w:tl2br w:val="nil"/>
              <w:tr2bl w:val="nil"/>
            </w:tcBorders>
            <w:vAlign w:val="center"/>
          </w:tcPr>
          <w:p w14:paraId="61FDD523">
            <w:pPr>
              <w:topLinePunct/>
              <w:spacing w:line="360" w:lineRule="auto"/>
              <w:jc w:val="center"/>
              <w:rPr>
                <w:rFonts w:hint="eastAsia" w:ascii="宋体" w:hAnsi="宋体" w:eastAsia="宋体" w:cs="宋体"/>
                <w:color w:val="auto"/>
                <w:szCs w:val="21"/>
                <w:highlight w:val="none"/>
              </w:rPr>
            </w:pPr>
          </w:p>
        </w:tc>
        <w:tc>
          <w:tcPr>
            <w:tcW w:w="1713" w:type="dxa"/>
            <w:tcBorders>
              <w:tl2br w:val="nil"/>
              <w:tr2bl w:val="nil"/>
            </w:tcBorders>
            <w:vAlign w:val="center"/>
          </w:tcPr>
          <w:p w14:paraId="773C1104">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2298" w:type="dxa"/>
            <w:gridSpan w:val="3"/>
            <w:tcBorders>
              <w:tl2br w:val="nil"/>
              <w:tr2bl w:val="nil"/>
            </w:tcBorders>
            <w:vAlign w:val="center"/>
          </w:tcPr>
          <w:p w14:paraId="1D4A18C6">
            <w:pPr>
              <w:topLinePunct/>
              <w:spacing w:line="360" w:lineRule="auto"/>
              <w:ind w:firstLine="105" w:firstLineChars="50"/>
              <w:jc w:val="center"/>
              <w:rPr>
                <w:rFonts w:hint="eastAsia" w:ascii="宋体" w:hAnsi="宋体" w:eastAsia="宋体" w:cs="宋体"/>
                <w:color w:val="auto"/>
                <w:szCs w:val="21"/>
                <w:highlight w:val="none"/>
              </w:rPr>
            </w:pPr>
          </w:p>
        </w:tc>
        <w:tc>
          <w:tcPr>
            <w:tcW w:w="1330" w:type="dxa"/>
            <w:gridSpan w:val="2"/>
            <w:tcBorders>
              <w:tl2br w:val="nil"/>
              <w:tr2bl w:val="nil"/>
            </w:tcBorders>
            <w:vAlign w:val="center"/>
          </w:tcPr>
          <w:p w14:paraId="700A8B05">
            <w:pPr>
              <w:topLinePunct/>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注册资本</w:t>
            </w:r>
          </w:p>
        </w:tc>
        <w:tc>
          <w:tcPr>
            <w:tcW w:w="2467" w:type="dxa"/>
            <w:gridSpan w:val="2"/>
            <w:tcBorders>
              <w:tl2br w:val="nil"/>
              <w:tr2bl w:val="nil"/>
            </w:tcBorders>
            <w:vAlign w:val="center"/>
          </w:tcPr>
          <w:p w14:paraId="53BFAF16">
            <w:pPr>
              <w:topLinePunct/>
              <w:spacing w:line="360" w:lineRule="auto"/>
              <w:ind w:firstLine="105" w:firstLineChars="50"/>
              <w:jc w:val="center"/>
              <w:rPr>
                <w:rFonts w:hint="eastAsia" w:ascii="宋体" w:hAnsi="宋体" w:eastAsia="宋体" w:cs="宋体"/>
                <w:color w:val="auto"/>
                <w:szCs w:val="21"/>
                <w:highlight w:val="none"/>
              </w:rPr>
            </w:pPr>
          </w:p>
        </w:tc>
      </w:tr>
      <w:tr w14:paraId="4986AF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1548" w:type="dxa"/>
            <w:gridSpan w:val="2"/>
            <w:vMerge w:val="continue"/>
            <w:tcBorders>
              <w:tl2br w:val="nil"/>
              <w:tr2bl w:val="nil"/>
            </w:tcBorders>
            <w:vAlign w:val="center"/>
          </w:tcPr>
          <w:p w14:paraId="55988570">
            <w:pPr>
              <w:topLinePunct/>
              <w:spacing w:line="360" w:lineRule="auto"/>
              <w:jc w:val="center"/>
              <w:rPr>
                <w:rFonts w:hint="eastAsia" w:ascii="宋体" w:hAnsi="宋体" w:eastAsia="宋体" w:cs="宋体"/>
                <w:color w:val="auto"/>
                <w:szCs w:val="21"/>
                <w:highlight w:val="none"/>
              </w:rPr>
            </w:pPr>
          </w:p>
        </w:tc>
        <w:tc>
          <w:tcPr>
            <w:tcW w:w="1713" w:type="dxa"/>
            <w:tcBorders>
              <w:tl2br w:val="nil"/>
              <w:tr2bl w:val="nil"/>
            </w:tcBorders>
            <w:vAlign w:val="center"/>
          </w:tcPr>
          <w:p w14:paraId="4627C9C8">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发证机关</w:t>
            </w:r>
          </w:p>
        </w:tc>
        <w:tc>
          <w:tcPr>
            <w:tcW w:w="2298" w:type="dxa"/>
            <w:gridSpan w:val="3"/>
            <w:tcBorders>
              <w:tl2br w:val="nil"/>
              <w:tr2bl w:val="nil"/>
            </w:tcBorders>
            <w:vAlign w:val="center"/>
          </w:tcPr>
          <w:p w14:paraId="172DA672">
            <w:pPr>
              <w:topLinePunct/>
              <w:spacing w:line="360" w:lineRule="auto"/>
              <w:ind w:firstLine="105" w:firstLineChars="50"/>
              <w:jc w:val="center"/>
              <w:rPr>
                <w:rFonts w:hint="eastAsia" w:ascii="宋体" w:hAnsi="宋体" w:eastAsia="宋体" w:cs="宋体"/>
                <w:color w:val="auto"/>
                <w:szCs w:val="21"/>
                <w:highlight w:val="none"/>
              </w:rPr>
            </w:pPr>
          </w:p>
        </w:tc>
        <w:tc>
          <w:tcPr>
            <w:tcW w:w="1330" w:type="dxa"/>
            <w:gridSpan w:val="2"/>
            <w:tcBorders>
              <w:tl2br w:val="nil"/>
              <w:tr2bl w:val="nil"/>
            </w:tcBorders>
            <w:vAlign w:val="center"/>
          </w:tcPr>
          <w:p w14:paraId="3AF284B5">
            <w:pPr>
              <w:topLinePunct/>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2467" w:type="dxa"/>
            <w:gridSpan w:val="2"/>
            <w:tcBorders>
              <w:tl2br w:val="nil"/>
              <w:tr2bl w:val="nil"/>
            </w:tcBorders>
            <w:vAlign w:val="center"/>
          </w:tcPr>
          <w:p w14:paraId="7BF4BFD2">
            <w:pPr>
              <w:topLinePunct/>
              <w:spacing w:line="360" w:lineRule="auto"/>
              <w:ind w:firstLine="105" w:firstLineChars="50"/>
              <w:jc w:val="center"/>
              <w:rPr>
                <w:rFonts w:hint="eastAsia" w:ascii="宋体" w:hAnsi="宋体" w:eastAsia="宋体" w:cs="宋体"/>
                <w:color w:val="auto"/>
                <w:szCs w:val="21"/>
                <w:highlight w:val="none"/>
              </w:rPr>
            </w:pPr>
          </w:p>
        </w:tc>
      </w:tr>
      <w:tr w14:paraId="0A15BA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5" w:hRule="atLeast"/>
        </w:trPr>
        <w:tc>
          <w:tcPr>
            <w:tcW w:w="1548" w:type="dxa"/>
            <w:gridSpan w:val="2"/>
            <w:vMerge w:val="continue"/>
            <w:tcBorders>
              <w:tl2br w:val="nil"/>
              <w:tr2bl w:val="nil"/>
            </w:tcBorders>
            <w:vAlign w:val="center"/>
          </w:tcPr>
          <w:p w14:paraId="19891273">
            <w:pPr>
              <w:topLinePunct/>
              <w:spacing w:line="360" w:lineRule="auto"/>
              <w:jc w:val="center"/>
              <w:rPr>
                <w:rFonts w:hint="eastAsia" w:ascii="宋体" w:hAnsi="宋体" w:eastAsia="宋体" w:cs="宋体"/>
                <w:color w:val="auto"/>
                <w:szCs w:val="21"/>
                <w:highlight w:val="none"/>
              </w:rPr>
            </w:pPr>
          </w:p>
        </w:tc>
        <w:tc>
          <w:tcPr>
            <w:tcW w:w="1713" w:type="dxa"/>
            <w:tcBorders>
              <w:tl2br w:val="nil"/>
              <w:tr2bl w:val="nil"/>
            </w:tcBorders>
            <w:vAlign w:val="center"/>
          </w:tcPr>
          <w:p w14:paraId="6C957E0F">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营业范围</w:t>
            </w:r>
          </w:p>
        </w:tc>
        <w:tc>
          <w:tcPr>
            <w:tcW w:w="6095" w:type="dxa"/>
            <w:gridSpan w:val="7"/>
            <w:tcBorders>
              <w:tl2br w:val="nil"/>
              <w:tr2bl w:val="nil"/>
            </w:tcBorders>
            <w:vAlign w:val="center"/>
          </w:tcPr>
          <w:p w14:paraId="731790E1">
            <w:pPr>
              <w:topLinePunct/>
              <w:spacing w:line="360" w:lineRule="auto"/>
              <w:ind w:firstLine="105" w:firstLineChars="50"/>
              <w:jc w:val="center"/>
              <w:rPr>
                <w:rFonts w:hint="eastAsia" w:ascii="宋体" w:hAnsi="宋体" w:eastAsia="宋体" w:cs="宋体"/>
                <w:color w:val="auto"/>
                <w:szCs w:val="21"/>
                <w:highlight w:val="none"/>
              </w:rPr>
            </w:pPr>
          </w:p>
        </w:tc>
      </w:tr>
      <w:tr w14:paraId="6EB1C5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4" w:hRule="atLeast"/>
        </w:trPr>
        <w:tc>
          <w:tcPr>
            <w:tcW w:w="3261" w:type="dxa"/>
            <w:gridSpan w:val="3"/>
            <w:tcBorders>
              <w:tl2br w:val="nil"/>
              <w:tr2bl w:val="nil"/>
            </w:tcBorders>
            <w:vAlign w:val="center"/>
          </w:tcPr>
          <w:p w14:paraId="7CF3DB17">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基本账户开户行</w:t>
            </w:r>
          </w:p>
        </w:tc>
        <w:tc>
          <w:tcPr>
            <w:tcW w:w="2260" w:type="dxa"/>
            <w:gridSpan w:val="2"/>
            <w:tcBorders>
              <w:tl2br w:val="nil"/>
              <w:tr2bl w:val="nil"/>
            </w:tcBorders>
            <w:vAlign w:val="center"/>
          </w:tcPr>
          <w:p w14:paraId="2831ACAA">
            <w:pPr>
              <w:topLinePunct/>
              <w:spacing w:line="360" w:lineRule="auto"/>
              <w:jc w:val="center"/>
              <w:rPr>
                <w:rFonts w:hint="eastAsia" w:ascii="宋体" w:hAnsi="宋体" w:eastAsia="宋体" w:cs="宋体"/>
                <w:color w:val="auto"/>
                <w:szCs w:val="21"/>
                <w:highlight w:val="none"/>
              </w:rPr>
            </w:pPr>
          </w:p>
        </w:tc>
        <w:tc>
          <w:tcPr>
            <w:tcW w:w="1485" w:type="dxa"/>
            <w:gridSpan w:val="4"/>
            <w:tcBorders>
              <w:tl2br w:val="nil"/>
              <w:tr2bl w:val="nil"/>
            </w:tcBorders>
            <w:vAlign w:val="center"/>
          </w:tcPr>
          <w:p w14:paraId="683BD734">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2350" w:type="dxa"/>
            <w:tcBorders>
              <w:tl2br w:val="nil"/>
              <w:tr2bl w:val="nil"/>
            </w:tcBorders>
            <w:vAlign w:val="center"/>
          </w:tcPr>
          <w:p w14:paraId="49410819">
            <w:pPr>
              <w:topLinePunct/>
              <w:spacing w:line="360" w:lineRule="auto"/>
              <w:jc w:val="center"/>
              <w:rPr>
                <w:rFonts w:hint="eastAsia" w:ascii="宋体" w:hAnsi="宋体" w:eastAsia="宋体" w:cs="宋体"/>
                <w:color w:val="auto"/>
                <w:szCs w:val="21"/>
                <w:highlight w:val="none"/>
              </w:rPr>
            </w:pPr>
          </w:p>
        </w:tc>
      </w:tr>
      <w:tr w14:paraId="774473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4" w:hRule="atLeast"/>
        </w:trPr>
        <w:tc>
          <w:tcPr>
            <w:tcW w:w="3261" w:type="dxa"/>
            <w:gridSpan w:val="3"/>
            <w:tcBorders>
              <w:tl2br w:val="nil"/>
              <w:tr2bl w:val="nil"/>
            </w:tcBorders>
            <w:vAlign w:val="center"/>
          </w:tcPr>
          <w:p w14:paraId="257C6CBC">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税务登记机关</w:t>
            </w:r>
          </w:p>
        </w:tc>
        <w:tc>
          <w:tcPr>
            <w:tcW w:w="6095" w:type="dxa"/>
            <w:gridSpan w:val="7"/>
            <w:tcBorders>
              <w:tl2br w:val="nil"/>
              <w:tr2bl w:val="nil"/>
            </w:tcBorders>
            <w:vAlign w:val="center"/>
          </w:tcPr>
          <w:p w14:paraId="54076E09">
            <w:pPr>
              <w:topLinePunct/>
              <w:spacing w:line="360" w:lineRule="auto"/>
              <w:jc w:val="center"/>
              <w:rPr>
                <w:rFonts w:hint="eastAsia" w:ascii="宋体" w:hAnsi="宋体" w:eastAsia="宋体" w:cs="宋体"/>
                <w:color w:val="auto"/>
                <w:szCs w:val="21"/>
                <w:highlight w:val="none"/>
              </w:rPr>
            </w:pPr>
          </w:p>
        </w:tc>
      </w:tr>
      <w:tr w14:paraId="4FFA57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4" w:hRule="atLeast"/>
        </w:trPr>
        <w:tc>
          <w:tcPr>
            <w:tcW w:w="3261" w:type="dxa"/>
            <w:gridSpan w:val="3"/>
            <w:tcBorders>
              <w:tl2br w:val="nil"/>
              <w:tr2bl w:val="nil"/>
            </w:tcBorders>
            <w:vAlign w:val="center"/>
          </w:tcPr>
          <w:p w14:paraId="071DC513">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资质名称</w:t>
            </w:r>
          </w:p>
        </w:tc>
        <w:tc>
          <w:tcPr>
            <w:tcW w:w="1345" w:type="dxa"/>
            <w:tcBorders>
              <w:tl2br w:val="nil"/>
              <w:tr2bl w:val="nil"/>
            </w:tcBorders>
            <w:vAlign w:val="center"/>
          </w:tcPr>
          <w:p w14:paraId="19B8998E">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等级</w:t>
            </w:r>
          </w:p>
        </w:tc>
        <w:tc>
          <w:tcPr>
            <w:tcW w:w="1861" w:type="dxa"/>
            <w:gridSpan w:val="3"/>
            <w:tcBorders>
              <w:tl2br w:val="nil"/>
              <w:tr2bl w:val="nil"/>
            </w:tcBorders>
            <w:vAlign w:val="center"/>
          </w:tcPr>
          <w:p w14:paraId="3E8FBF93">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证书号</w:t>
            </w:r>
          </w:p>
        </w:tc>
        <w:tc>
          <w:tcPr>
            <w:tcW w:w="2889" w:type="dxa"/>
            <w:gridSpan w:val="3"/>
            <w:tcBorders>
              <w:tl2br w:val="nil"/>
              <w:tr2bl w:val="nil"/>
            </w:tcBorders>
            <w:vAlign w:val="center"/>
          </w:tcPr>
          <w:p w14:paraId="6BDCD110">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发证机关</w:t>
            </w:r>
          </w:p>
        </w:tc>
      </w:tr>
      <w:tr w14:paraId="5A87FA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4" w:hRule="atLeast"/>
        </w:trPr>
        <w:tc>
          <w:tcPr>
            <w:tcW w:w="3261" w:type="dxa"/>
            <w:gridSpan w:val="3"/>
            <w:tcBorders>
              <w:tl2br w:val="nil"/>
              <w:tr2bl w:val="nil"/>
            </w:tcBorders>
            <w:vAlign w:val="center"/>
          </w:tcPr>
          <w:p w14:paraId="7B035457">
            <w:pPr>
              <w:topLinePunct/>
              <w:spacing w:line="360" w:lineRule="auto"/>
              <w:jc w:val="center"/>
              <w:rPr>
                <w:rFonts w:hint="eastAsia" w:ascii="宋体" w:hAnsi="宋体" w:eastAsia="宋体" w:cs="宋体"/>
                <w:color w:val="auto"/>
                <w:szCs w:val="21"/>
                <w:highlight w:val="none"/>
              </w:rPr>
            </w:pPr>
          </w:p>
        </w:tc>
        <w:tc>
          <w:tcPr>
            <w:tcW w:w="1345" w:type="dxa"/>
            <w:tcBorders>
              <w:tl2br w:val="nil"/>
              <w:tr2bl w:val="nil"/>
            </w:tcBorders>
            <w:vAlign w:val="center"/>
          </w:tcPr>
          <w:p w14:paraId="2B5CD399">
            <w:pPr>
              <w:topLinePunct/>
              <w:spacing w:line="360" w:lineRule="auto"/>
              <w:jc w:val="center"/>
              <w:rPr>
                <w:rFonts w:hint="eastAsia" w:ascii="宋体" w:hAnsi="宋体" w:eastAsia="宋体" w:cs="宋体"/>
                <w:color w:val="auto"/>
                <w:szCs w:val="21"/>
                <w:highlight w:val="none"/>
              </w:rPr>
            </w:pPr>
          </w:p>
        </w:tc>
        <w:tc>
          <w:tcPr>
            <w:tcW w:w="1861" w:type="dxa"/>
            <w:gridSpan w:val="3"/>
            <w:tcBorders>
              <w:tl2br w:val="nil"/>
              <w:tr2bl w:val="nil"/>
            </w:tcBorders>
            <w:vAlign w:val="center"/>
          </w:tcPr>
          <w:p w14:paraId="7FF0390B">
            <w:pPr>
              <w:topLinePunct/>
              <w:spacing w:line="360" w:lineRule="auto"/>
              <w:jc w:val="center"/>
              <w:rPr>
                <w:rFonts w:hint="eastAsia" w:ascii="宋体" w:hAnsi="宋体" w:eastAsia="宋体" w:cs="宋体"/>
                <w:color w:val="auto"/>
                <w:szCs w:val="21"/>
                <w:highlight w:val="none"/>
              </w:rPr>
            </w:pPr>
          </w:p>
        </w:tc>
        <w:tc>
          <w:tcPr>
            <w:tcW w:w="2889" w:type="dxa"/>
            <w:gridSpan w:val="3"/>
            <w:tcBorders>
              <w:tl2br w:val="nil"/>
              <w:tr2bl w:val="nil"/>
            </w:tcBorders>
            <w:vAlign w:val="center"/>
          </w:tcPr>
          <w:p w14:paraId="00F7AB15">
            <w:pPr>
              <w:topLinePunct/>
              <w:spacing w:line="360" w:lineRule="auto"/>
              <w:jc w:val="center"/>
              <w:rPr>
                <w:rFonts w:hint="eastAsia" w:ascii="宋体" w:hAnsi="宋体" w:eastAsia="宋体" w:cs="宋体"/>
                <w:color w:val="auto"/>
                <w:szCs w:val="21"/>
                <w:highlight w:val="none"/>
              </w:rPr>
            </w:pPr>
          </w:p>
        </w:tc>
      </w:tr>
      <w:tr w14:paraId="2B38F3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4" w:hRule="atLeast"/>
        </w:trPr>
        <w:tc>
          <w:tcPr>
            <w:tcW w:w="3261" w:type="dxa"/>
            <w:gridSpan w:val="3"/>
            <w:tcBorders>
              <w:tl2br w:val="nil"/>
              <w:tr2bl w:val="nil"/>
            </w:tcBorders>
            <w:vAlign w:val="center"/>
          </w:tcPr>
          <w:p w14:paraId="01AB7EC2">
            <w:pPr>
              <w:topLinePunct/>
              <w:spacing w:line="360" w:lineRule="auto"/>
              <w:jc w:val="center"/>
              <w:rPr>
                <w:rFonts w:hint="eastAsia" w:ascii="宋体" w:hAnsi="宋体" w:eastAsia="宋体" w:cs="宋体"/>
                <w:color w:val="auto"/>
                <w:szCs w:val="21"/>
                <w:highlight w:val="none"/>
              </w:rPr>
            </w:pPr>
          </w:p>
        </w:tc>
        <w:tc>
          <w:tcPr>
            <w:tcW w:w="1345" w:type="dxa"/>
            <w:tcBorders>
              <w:tl2br w:val="nil"/>
              <w:tr2bl w:val="nil"/>
            </w:tcBorders>
            <w:vAlign w:val="center"/>
          </w:tcPr>
          <w:p w14:paraId="00ED116A">
            <w:pPr>
              <w:topLinePunct/>
              <w:spacing w:line="360" w:lineRule="auto"/>
              <w:jc w:val="center"/>
              <w:rPr>
                <w:rFonts w:hint="eastAsia" w:ascii="宋体" w:hAnsi="宋体" w:eastAsia="宋体" w:cs="宋体"/>
                <w:color w:val="auto"/>
                <w:szCs w:val="21"/>
                <w:highlight w:val="none"/>
              </w:rPr>
            </w:pPr>
          </w:p>
        </w:tc>
        <w:tc>
          <w:tcPr>
            <w:tcW w:w="1861" w:type="dxa"/>
            <w:gridSpan w:val="3"/>
            <w:tcBorders>
              <w:tl2br w:val="nil"/>
              <w:tr2bl w:val="nil"/>
            </w:tcBorders>
            <w:vAlign w:val="center"/>
          </w:tcPr>
          <w:p w14:paraId="46D58284">
            <w:pPr>
              <w:topLinePunct/>
              <w:spacing w:line="360" w:lineRule="auto"/>
              <w:jc w:val="center"/>
              <w:rPr>
                <w:rFonts w:hint="eastAsia" w:ascii="宋体" w:hAnsi="宋体" w:eastAsia="宋体" w:cs="宋体"/>
                <w:color w:val="auto"/>
                <w:szCs w:val="21"/>
                <w:highlight w:val="none"/>
              </w:rPr>
            </w:pPr>
          </w:p>
        </w:tc>
        <w:tc>
          <w:tcPr>
            <w:tcW w:w="2889" w:type="dxa"/>
            <w:gridSpan w:val="3"/>
            <w:tcBorders>
              <w:tl2br w:val="nil"/>
              <w:tr2bl w:val="nil"/>
            </w:tcBorders>
            <w:vAlign w:val="center"/>
          </w:tcPr>
          <w:p w14:paraId="739271B5">
            <w:pPr>
              <w:topLinePunct/>
              <w:spacing w:line="360" w:lineRule="auto"/>
              <w:jc w:val="center"/>
              <w:rPr>
                <w:rFonts w:hint="eastAsia" w:ascii="宋体" w:hAnsi="宋体" w:eastAsia="宋体" w:cs="宋体"/>
                <w:color w:val="auto"/>
                <w:szCs w:val="21"/>
                <w:highlight w:val="none"/>
              </w:rPr>
            </w:pPr>
          </w:p>
        </w:tc>
      </w:tr>
      <w:tr w14:paraId="4B6018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4" w:hRule="atLeast"/>
        </w:trPr>
        <w:tc>
          <w:tcPr>
            <w:tcW w:w="3261" w:type="dxa"/>
            <w:gridSpan w:val="3"/>
            <w:tcBorders>
              <w:tl2br w:val="nil"/>
              <w:tr2bl w:val="nil"/>
            </w:tcBorders>
            <w:vAlign w:val="center"/>
          </w:tcPr>
          <w:p w14:paraId="12F89FC9">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体系认证名称</w:t>
            </w:r>
          </w:p>
        </w:tc>
        <w:tc>
          <w:tcPr>
            <w:tcW w:w="1345" w:type="dxa"/>
            <w:tcBorders>
              <w:tl2br w:val="nil"/>
              <w:tr2bl w:val="nil"/>
            </w:tcBorders>
            <w:vAlign w:val="center"/>
          </w:tcPr>
          <w:p w14:paraId="2B6633D8">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p>
        </w:tc>
        <w:tc>
          <w:tcPr>
            <w:tcW w:w="1861" w:type="dxa"/>
            <w:gridSpan w:val="3"/>
            <w:tcBorders>
              <w:tl2br w:val="nil"/>
              <w:tr2bl w:val="nil"/>
            </w:tcBorders>
            <w:vAlign w:val="center"/>
          </w:tcPr>
          <w:p w14:paraId="5F98E309">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证书号</w:t>
            </w:r>
          </w:p>
        </w:tc>
        <w:tc>
          <w:tcPr>
            <w:tcW w:w="2889" w:type="dxa"/>
            <w:gridSpan w:val="3"/>
            <w:tcBorders>
              <w:tl2br w:val="nil"/>
              <w:tr2bl w:val="nil"/>
            </w:tcBorders>
            <w:vAlign w:val="center"/>
          </w:tcPr>
          <w:p w14:paraId="2CB0211F">
            <w:pPr>
              <w:topLinePunct/>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发证单位</w:t>
            </w:r>
          </w:p>
        </w:tc>
      </w:tr>
      <w:tr w14:paraId="018FF8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34" w:hRule="atLeast"/>
        </w:trPr>
        <w:tc>
          <w:tcPr>
            <w:tcW w:w="3261" w:type="dxa"/>
            <w:gridSpan w:val="3"/>
            <w:tcBorders>
              <w:tl2br w:val="nil"/>
              <w:tr2bl w:val="nil"/>
            </w:tcBorders>
            <w:vAlign w:val="center"/>
          </w:tcPr>
          <w:p w14:paraId="45E4E01E">
            <w:pPr>
              <w:topLinePunct/>
              <w:spacing w:line="360" w:lineRule="auto"/>
              <w:jc w:val="center"/>
              <w:rPr>
                <w:rFonts w:hint="eastAsia" w:ascii="宋体" w:hAnsi="宋体" w:eastAsia="宋体" w:cs="宋体"/>
                <w:color w:val="auto"/>
                <w:szCs w:val="21"/>
                <w:highlight w:val="none"/>
              </w:rPr>
            </w:pPr>
          </w:p>
        </w:tc>
        <w:tc>
          <w:tcPr>
            <w:tcW w:w="1345" w:type="dxa"/>
            <w:tcBorders>
              <w:tl2br w:val="nil"/>
              <w:tr2bl w:val="nil"/>
            </w:tcBorders>
            <w:vAlign w:val="center"/>
          </w:tcPr>
          <w:p w14:paraId="301E928A">
            <w:pPr>
              <w:topLinePunct/>
              <w:spacing w:line="360" w:lineRule="auto"/>
              <w:jc w:val="center"/>
              <w:rPr>
                <w:rFonts w:hint="eastAsia" w:ascii="宋体" w:hAnsi="宋体" w:eastAsia="宋体" w:cs="宋体"/>
                <w:color w:val="auto"/>
                <w:szCs w:val="21"/>
                <w:highlight w:val="none"/>
              </w:rPr>
            </w:pPr>
          </w:p>
        </w:tc>
        <w:tc>
          <w:tcPr>
            <w:tcW w:w="1861" w:type="dxa"/>
            <w:gridSpan w:val="3"/>
            <w:tcBorders>
              <w:tl2br w:val="nil"/>
              <w:tr2bl w:val="nil"/>
            </w:tcBorders>
            <w:vAlign w:val="center"/>
          </w:tcPr>
          <w:p w14:paraId="45106604">
            <w:pPr>
              <w:topLinePunct/>
              <w:spacing w:line="360" w:lineRule="auto"/>
              <w:jc w:val="center"/>
              <w:rPr>
                <w:rFonts w:hint="eastAsia" w:ascii="宋体" w:hAnsi="宋体" w:eastAsia="宋体" w:cs="宋体"/>
                <w:color w:val="auto"/>
                <w:szCs w:val="21"/>
                <w:highlight w:val="none"/>
              </w:rPr>
            </w:pPr>
          </w:p>
        </w:tc>
        <w:tc>
          <w:tcPr>
            <w:tcW w:w="2889" w:type="dxa"/>
            <w:gridSpan w:val="3"/>
            <w:tcBorders>
              <w:tl2br w:val="nil"/>
              <w:tr2bl w:val="nil"/>
            </w:tcBorders>
            <w:vAlign w:val="center"/>
          </w:tcPr>
          <w:p w14:paraId="50A4BCEC">
            <w:pPr>
              <w:topLinePunct/>
              <w:spacing w:line="360" w:lineRule="auto"/>
              <w:jc w:val="center"/>
              <w:rPr>
                <w:rFonts w:hint="eastAsia" w:ascii="宋体" w:hAnsi="宋体" w:eastAsia="宋体" w:cs="宋体"/>
                <w:color w:val="auto"/>
                <w:szCs w:val="21"/>
                <w:highlight w:val="none"/>
              </w:rPr>
            </w:pPr>
          </w:p>
        </w:tc>
      </w:tr>
      <w:tr w14:paraId="407546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62" w:hRule="atLeast"/>
        </w:trPr>
        <w:tc>
          <w:tcPr>
            <w:tcW w:w="1249" w:type="dxa"/>
            <w:tcBorders>
              <w:tl2br w:val="nil"/>
              <w:tr2bl w:val="nil"/>
            </w:tcBorders>
            <w:vAlign w:val="center"/>
          </w:tcPr>
          <w:p w14:paraId="61B8EC0D">
            <w:pPr>
              <w:topLinePunct/>
              <w:spacing w:line="360" w:lineRule="auto"/>
              <w:ind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8107" w:type="dxa"/>
            <w:gridSpan w:val="9"/>
            <w:tcBorders>
              <w:tl2br w:val="nil"/>
              <w:tr2bl w:val="nil"/>
            </w:tcBorders>
            <w:vAlign w:val="center"/>
          </w:tcPr>
          <w:p w14:paraId="7C3EA67E">
            <w:pPr>
              <w:spacing w:line="360" w:lineRule="auto"/>
              <w:rPr>
                <w:rFonts w:hint="eastAsia" w:ascii="宋体" w:hAnsi="宋体" w:eastAsia="宋体" w:cs="宋体"/>
                <w:color w:val="auto"/>
                <w:szCs w:val="21"/>
                <w:highlight w:val="none"/>
              </w:rPr>
            </w:pPr>
          </w:p>
        </w:tc>
      </w:tr>
    </w:tbl>
    <w:p w14:paraId="54DEC0FB">
      <w:pPr>
        <w:topLinePunct/>
        <w:adjustRightInd w:val="0"/>
        <w:snapToGrid w:val="0"/>
        <w:spacing w:line="360" w:lineRule="auto"/>
        <w:rPr>
          <w:rFonts w:hint="eastAsia" w:ascii="宋体" w:hAnsi="宋体" w:eastAsia="宋体" w:cs="宋体"/>
          <w:color w:val="auto"/>
          <w:szCs w:val="21"/>
          <w:highlight w:val="none"/>
        </w:rPr>
      </w:pPr>
    </w:p>
    <w:p w14:paraId="5E03ECE3">
      <w:pPr>
        <w:spacing w:line="360" w:lineRule="auto"/>
        <w:rPr>
          <w:rFonts w:hint="eastAsia" w:ascii="宋体" w:hAnsi="宋体" w:eastAsia="宋体" w:cs="宋体"/>
          <w:color w:val="auto"/>
          <w:sz w:val="30"/>
          <w:szCs w:val="30"/>
          <w:highlight w:val="none"/>
        </w:rPr>
      </w:pPr>
    </w:p>
    <w:p w14:paraId="644A9CBC">
      <w:pPr>
        <w:spacing w:line="360" w:lineRule="auto"/>
        <w:rPr>
          <w:rFonts w:hint="eastAsia" w:ascii="宋体" w:hAnsi="宋体" w:eastAsia="宋体" w:cs="宋体"/>
          <w:color w:val="auto"/>
          <w:sz w:val="30"/>
          <w:szCs w:val="30"/>
          <w:highlight w:val="none"/>
        </w:rPr>
      </w:pPr>
    </w:p>
    <w:p w14:paraId="617A9AB9">
      <w:pPr>
        <w:spacing w:line="360" w:lineRule="auto"/>
        <w:rPr>
          <w:rFonts w:hint="eastAsia" w:ascii="宋体" w:hAnsi="宋体" w:eastAsia="宋体" w:cs="宋体"/>
          <w:color w:val="auto"/>
          <w:sz w:val="30"/>
          <w:szCs w:val="30"/>
          <w:highlight w:val="none"/>
        </w:rPr>
      </w:pPr>
    </w:p>
    <w:p w14:paraId="48AB699C">
      <w:pPr>
        <w:adjustRightInd w:val="0"/>
        <w:snapToGrid w:val="0"/>
        <w:spacing w:line="360" w:lineRule="auto"/>
        <w:rPr>
          <w:rFonts w:hint="eastAsia" w:ascii="宋体" w:hAnsi="宋体" w:eastAsia="宋体" w:cs="宋体"/>
          <w:b/>
          <w:color w:val="auto"/>
          <w:sz w:val="28"/>
          <w:szCs w:val="28"/>
          <w:highlight w:val="none"/>
        </w:rPr>
      </w:pPr>
      <w:bookmarkStart w:id="184" w:name="_Toc28694_WPSOffice_Level1"/>
      <w:bookmarkStart w:id="185" w:name="_Toc28701_WPSOffice_Level1"/>
      <w:r>
        <w:rPr>
          <w:rFonts w:hint="eastAsia" w:ascii="宋体" w:hAnsi="宋体" w:eastAsia="宋体" w:cs="宋体"/>
          <w:b/>
          <w:color w:val="auto"/>
          <w:sz w:val="28"/>
          <w:szCs w:val="28"/>
          <w:highlight w:val="none"/>
        </w:rPr>
        <w:t>附件3-2</w:t>
      </w:r>
      <w:bookmarkEnd w:id="184"/>
      <w:bookmarkEnd w:id="185"/>
    </w:p>
    <w:p w14:paraId="70B7DDEE">
      <w:pPr>
        <w:adjustRightInd w:val="0"/>
        <w:snapToGrid w:val="0"/>
        <w:spacing w:line="360" w:lineRule="auto"/>
        <w:jc w:val="center"/>
        <w:rPr>
          <w:rFonts w:hint="eastAsia" w:ascii="宋体" w:hAnsi="宋体" w:eastAsia="宋体" w:cs="宋体"/>
          <w:color w:val="auto"/>
          <w:sz w:val="30"/>
          <w:szCs w:val="30"/>
          <w:highlight w:val="none"/>
        </w:rPr>
      </w:pPr>
      <w:bookmarkStart w:id="186" w:name="_Toc15310_WPSOffice_Level1"/>
      <w:bookmarkStart w:id="187" w:name="_Toc2897_WPSOffice_Level1"/>
      <w:bookmarkStart w:id="188" w:name="_Toc9654_WPSOffice_Level1"/>
      <w:bookmarkStart w:id="189" w:name="_Toc20130_WPSOffice_Level1"/>
      <w:r>
        <w:rPr>
          <w:rFonts w:hint="eastAsia" w:ascii="宋体" w:hAnsi="宋体" w:eastAsia="宋体" w:cs="宋体"/>
          <w:b/>
          <w:color w:val="auto"/>
          <w:sz w:val="28"/>
          <w:szCs w:val="28"/>
          <w:highlight w:val="none"/>
        </w:rPr>
        <w:t>磋商文件规定的基本资格条件证明资料</w:t>
      </w:r>
      <w:bookmarkEnd w:id="186"/>
      <w:bookmarkEnd w:id="187"/>
      <w:bookmarkEnd w:id="188"/>
      <w:bookmarkEnd w:id="189"/>
    </w:p>
    <w:p w14:paraId="556BCD83">
      <w:pPr>
        <w:autoSpaceDE w:val="0"/>
        <w:autoSpaceDN w:val="0"/>
        <w:adjustRightInd w:val="0"/>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符合法定条件的供应商凭《湖南省政府采购供应商资格承诺函》（格式见附件）参与政府采购活动，也可通过在金融机构办理电子增信取得对应信用星级参与政府采购活动和电子卖场交易，无需提供财务状况、缴纳税收和社会保障资金等资格证明材料。）</w:t>
      </w:r>
    </w:p>
    <w:p w14:paraId="2B233796">
      <w:pPr>
        <w:autoSpaceDE w:val="0"/>
        <w:autoSpaceDN w:val="0"/>
        <w:adjustRightInd w:val="0"/>
        <w:jc w:val="center"/>
        <w:rPr>
          <w:rFonts w:hint="eastAsia" w:ascii="宋体" w:hAnsi="宋体" w:eastAsia="宋体" w:cs="宋体"/>
          <w:color w:val="auto"/>
          <w:kern w:val="0"/>
          <w:sz w:val="30"/>
          <w:szCs w:val="30"/>
          <w:highlight w:val="none"/>
        </w:rPr>
      </w:pPr>
    </w:p>
    <w:p w14:paraId="74BC3E2C">
      <w:pPr>
        <w:autoSpaceDE w:val="0"/>
        <w:autoSpaceDN w:val="0"/>
        <w:adjustRightInd w:val="0"/>
        <w:jc w:val="center"/>
        <w:rPr>
          <w:rFonts w:hint="eastAsia" w:ascii="宋体" w:hAnsi="宋体" w:eastAsia="宋体" w:cs="宋体"/>
          <w:color w:val="auto"/>
          <w:kern w:val="0"/>
          <w:sz w:val="30"/>
          <w:szCs w:val="30"/>
          <w:highlight w:val="none"/>
        </w:rPr>
      </w:pPr>
      <w:r>
        <w:rPr>
          <w:rFonts w:hint="eastAsia" w:ascii="宋体" w:hAnsi="宋体" w:eastAsia="宋体" w:cs="宋体"/>
          <w:color w:val="auto"/>
          <w:kern w:val="0"/>
          <w:sz w:val="30"/>
          <w:szCs w:val="30"/>
          <w:highlight w:val="none"/>
        </w:rPr>
        <w:t>湖南省政府采购供应商资格承诺函</w:t>
      </w:r>
    </w:p>
    <w:p w14:paraId="2C799ECF">
      <w:pPr>
        <w:autoSpaceDE w:val="0"/>
        <w:autoSpaceDN w:val="0"/>
        <w:adjustRightIn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BD40075">
      <w:pPr>
        <w:autoSpaceDE w:val="0"/>
        <w:autoSpaceDN w:val="0"/>
        <w:adjustRightIn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按照《政府采购促进中小企业发展管理办法》（ 财库〔2020〕46 号），本公司企业规模为：□大型  □中型  □小型  □微型</w:t>
      </w:r>
    </w:p>
    <w:p w14:paraId="2599E211">
      <w:pPr>
        <w:autoSpaceDE w:val="0"/>
        <w:autoSpaceDN w:val="0"/>
        <w:adjustRightInd w:val="0"/>
        <w:spacing w:line="360" w:lineRule="auto"/>
        <w:ind w:firstLine="420" w:firstLineChars="200"/>
        <w:jc w:val="left"/>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公司（单位）名称（盖章）：</w:t>
      </w:r>
      <w:r>
        <w:rPr>
          <w:rFonts w:hint="eastAsia" w:ascii="宋体" w:hAnsi="宋体" w:eastAsia="宋体" w:cs="宋体"/>
          <w:bCs/>
          <w:color w:val="auto"/>
          <w:szCs w:val="21"/>
          <w:highlight w:val="none"/>
          <w:u w:val="single"/>
        </w:rPr>
        <w:t xml:space="preserve">       </w:t>
      </w:r>
    </w:p>
    <w:p w14:paraId="0178B7AD">
      <w:pPr>
        <w:autoSpaceDE w:val="0"/>
        <w:autoSpaceDN w:val="0"/>
        <w:adjustRightIn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月</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w:t>
      </w:r>
    </w:p>
    <w:p w14:paraId="7B624662">
      <w:pPr>
        <w:autoSpaceDE w:val="0"/>
        <w:autoSpaceDN w:val="0"/>
        <w:adjustRightInd w:val="0"/>
        <w:spacing w:line="360" w:lineRule="auto"/>
        <w:jc w:val="left"/>
        <w:rPr>
          <w:rFonts w:hint="eastAsia" w:ascii="宋体" w:hAnsi="宋体" w:eastAsia="宋体" w:cs="宋体"/>
          <w:bCs/>
          <w:color w:val="auto"/>
          <w:szCs w:val="21"/>
          <w:highlight w:val="none"/>
        </w:rPr>
      </w:pPr>
    </w:p>
    <w:p w14:paraId="29BCAD6A">
      <w:pPr>
        <w:autoSpaceDE w:val="0"/>
        <w:autoSpaceDN w:val="0"/>
        <w:adjustRightInd w:val="0"/>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机构代码：</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、注册登记机构：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、日期：</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、有效期：</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、注册资本：</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、地址：</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、经济行业：</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、经济性质：</w:t>
      </w:r>
      <w:r>
        <w:rPr>
          <w:rFonts w:hint="eastAsia" w:ascii="宋体" w:hAnsi="宋体" w:eastAsia="宋体" w:cs="宋体"/>
          <w:bCs/>
          <w:color w:val="auto"/>
          <w:szCs w:val="21"/>
          <w:highlight w:val="none"/>
          <w:u w:val="single"/>
        </w:rPr>
        <w:t xml:space="preserve">       </w:t>
      </w:r>
    </w:p>
    <w:p w14:paraId="4B2981F7">
      <w:pPr>
        <w:autoSpaceDE w:val="0"/>
        <w:autoSpaceDN w:val="0"/>
        <w:adjustRightInd w:val="0"/>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法定代表人（负责人）姓名（签字）、身份证号、手机号：</w:t>
      </w:r>
      <w:r>
        <w:rPr>
          <w:rFonts w:hint="eastAsia" w:ascii="宋体" w:hAnsi="宋体" w:eastAsia="宋体" w:cs="宋体"/>
          <w:bCs/>
          <w:color w:val="auto"/>
          <w:szCs w:val="21"/>
          <w:highlight w:val="none"/>
          <w:u w:val="single"/>
        </w:rPr>
        <w:t xml:space="preserve">       </w:t>
      </w:r>
    </w:p>
    <w:p w14:paraId="744C1E67">
      <w:pPr>
        <w:spacing w:line="360" w:lineRule="auto"/>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授权代表人姓名（签字）、身份证号、手机号：</w:t>
      </w:r>
      <w:r>
        <w:rPr>
          <w:rFonts w:hint="eastAsia" w:ascii="宋体" w:hAnsi="宋体" w:eastAsia="宋体" w:cs="宋体"/>
          <w:bCs/>
          <w:color w:val="auto"/>
          <w:szCs w:val="21"/>
          <w:highlight w:val="none"/>
          <w:u w:val="single"/>
        </w:rPr>
        <w:t xml:space="preserve">     </w:t>
      </w:r>
    </w:p>
    <w:p w14:paraId="245648FE">
      <w:pPr>
        <w:pStyle w:val="30"/>
        <w:rPr>
          <w:rFonts w:hint="eastAsia" w:ascii="宋体" w:hAnsi="宋体" w:eastAsia="宋体" w:cs="宋体"/>
          <w:color w:val="auto"/>
          <w:highlight w:val="none"/>
        </w:rPr>
      </w:pPr>
    </w:p>
    <w:p w14:paraId="01E243F8">
      <w:pPr>
        <w:pStyle w:val="30"/>
        <w:rPr>
          <w:rFonts w:hint="eastAsia" w:ascii="宋体" w:hAnsi="宋体" w:eastAsia="宋体" w:cs="宋体"/>
          <w:color w:val="auto"/>
          <w:highlight w:val="none"/>
        </w:rPr>
      </w:pPr>
    </w:p>
    <w:p w14:paraId="01A822FA">
      <w:pPr>
        <w:pStyle w:val="30"/>
        <w:rPr>
          <w:rFonts w:hint="eastAsia" w:ascii="宋体" w:hAnsi="宋体" w:eastAsia="宋体" w:cs="宋体"/>
          <w:color w:val="auto"/>
          <w:highlight w:val="none"/>
        </w:rPr>
      </w:pPr>
    </w:p>
    <w:p w14:paraId="5E6DA80D">
      <w:pPr>
        <w:pStyle w:val="30"/>
        <w:rPr>
          <w:rFonts w:hint="eastAsia" w:ascii="宋体" w:hAnsi="宋体" w:eastAsia="宋体" w:cs="宋体"/>
          <w:color w:val="auto"/>
          <w:highlight w:val="none"/>
        </w:rPr>
      </w:pPr>
    </w:p>
    <w:p w14:paraId="5436DE25">
      <w:pPr>
        <w:pStyle w:val="30"/>
        <w:rPr>
          <w:rFonts w:hint="eastAsia" w:ascii="宋体" w:hAnsi="宋体" w:eastAsia="宋体" w:cs="宋体"/>
          <w:color w:val="auto"/>
          <w:highlight w:val="none"/>
        </w:rPr>
      </w:pPr>
    </w:p>
    <w:p w14:paraId="76FF06AE">
      <w:pPr>
        <w:spacing w:line="360" w:lineRule="auto"/>
        <w:rPr>
          <w:rFonts w:hint="eastAsia" w:ascii="宋体" w:hAnsi="宋体" w:eastAsia="宋体" w:cs="宋体"/>
          <w:bCs/>
          <w:color w:val="auto"/>
          <w:szCs w:val="21"/>
          <w:highlight w:val="none"/>
        </w:rPr>
        <w:sectPr>
          <w:headerReference r:id="rId4" w:type="default"/>
          <w:footerReference r:id="rId5" w:type="default"/>
          <w:pgSz w:w="11906" w:h="16838"/>
          <w:pgMar w:top="1134" w:right="1361" w:bottom="1134" w:left="1361" w:header="680" w:footer="992" w:gutter="0"/>
          <w:pgBorders>
            <w:top w:val="none" w:sz="0" w:space="0"/>
            <w:left w:val="none" w:sz="0" w:space="0"/>
            <w:bottom w:val="none" w:sz="0" w:space="0"/>
            <w:right w:val="none" w:sz="0" w:space="0"/>
          </w:pgBorders>
          <w:cols w:space="720" w:num="1"/>
          <w:docGrid w:type="lines" w:linePitch="312" w:charSpace="0"/>
        </w:sectPr>
      </w:pPr>
    </w:p>
    <w:p w14:paraId="31F2543F">
      <w:pPr>
        <w:adjustRightInd w:val="0"/>
        <w:snapToGrid w:val="0"/>
        <w:spacing w:line="360" w:lineRule="auto"/>
        <w:rPr>
          <w:rFonts w:hint="eastAsia" w:ascii="宋体" w:hAnsi="宋体" w:eastAsia="宋体" w:cs="宋体"/>
          <w:b/>
          <w:color w:val="auto"/>
          <w:sz w:val="28"/>
          <w:szCs w:val="28"/>
          <w:highlight w:val="none"/>
        </w:rPr>
      </w:pPr>
      <w:bookmarkStart w:id="190" w:name="_Toc18477_WPSOffice_Level1"/>
      <w:bookmarkStart w:id="191" w:name="_Toc31224_WPSOffice_Level1"/>
      <w:bookmarkStart w:id="192" w:name="_Toc25311_WPSOffice_Level1"/>
      <w:bookmarkStart w:id="193" w:name="_Toc1373_WPSOffice_Level1"/>
      <w:r>
        <w:rPr>
          <w:rFonts w:hint="eastAsia" w:ascii="宋体" w:hAnsi="宋体" w:eastAsia="宋体" w:cs="宋体"/>
          <w:b/>
          <w:color w:val="auto"/>
          <w:sz w:val="28"/>
          <w:szCs w:val="28"/>
          <w:highlight w:val="none"/>
        </w:rPr>
        <w:t>附件3-3</w:t>
      </w:r>
      <w:bookmarkEnd w:id="190"/>
      <w:bookmarkEnd w:id="191"/>
      <w:bookmarkEnd w:id="192"/>
      <w:bookmarkEnd w:id="193"/>
    </w:p>
    <w:p w14:paraId="0A787A83">
      <w:pPr>
        <w:adjustRightInd w:val="0"/>
        <w:snapToGrid w:val="0"/>
        <w:spacing w:line="360" w:lineRule="auto"/>
        <w:jc w:val="center"/>
        <w:rPr>
          <w:rFonts w:hint="eastAsia" w:ascii="宋体" w:hAnsi="宋体" w:eastAsia="宋体" w:cs="宋体"/>
          <w:b/>
          <w:color w:val="auto"/>
          <w:sz w:val="28"/>
          <w:szCs w:val="28"/>
          <w:highlight w:val="none"/>
        </w:rPr>
      </w:pPr>
      <w:bookmarkStart w:id="194" w:name="_Toc19594_WPSOffice_Level1"/>
      <w:bookmarkStart w:id="195" w:name="_Toc22447_WPSOffice_Level1"/>
      <w:bookmarkStart w:id="196" w:name="_Toc20928_WPSOffice_Level1"/>
      <w:bookmarkStart w:id="197" w:name="_Toc11257_WPSOffice_Level1"/>
      <w:r>
        <w:rPr>
          <w:rFonts w:hint="eastAsia" w:ascii="宋体" w:hAnsi="宋体" w:eastAsia="宋体" w:cs="宋体"/>
          <w:b/>
          <w:color w:val="auto"/>
          <w:sz w:val="28"/>
          <w:szCs w:val="28"/>
          <w:highlight w:val="none"/>
        </w:rPr>
        <w:t>磋商文件规定的特定资格条件证明资料</w:t>
      </w:r>
      <w:bookmarkEnd w:id="194"/>
      <w:bookmarkEnd w:id="195"/>
      <w:bookmarkEnd w:id="196"/>
      <w:bookmarkEnd w:id="197"/>
    </w:p>
    <w:p w14:paraId="315C7157">
      <w:pPr>
        <w:spacing w:line="360" w:lineRule="auto"/>
        <w:rPr>
          <w:rFonts w:hint="eastAsia" w:ascii="宋体" w:hAnsi="宋体" w:eastAsia="宋体" w:cs="宋体"/>
          <w:color w:val="auto"/>
          <w:szCs w:val="21"/>
          <w:highlight w:val="none"/>
        </w:rPr>
      </w:pPr>
    </w:p>
    <w:p w14:paraId="6285602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备注：1、提供第二章 磋商须知第3.1款供应商特定资格条件证明资料的复印件。</w:t>
      </w:r>
    </w:p>
    <w:p w14:paraId="266A991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2、项目负责人无在建工程，由供应商自行承诺，并对真实性负责。格式自拟。</w:t>
      </w:r>
    </w:p>
    <w:p w14:paraId="1684E23E">
      <w:pPr>
        <w:pStyle w:val="30"/>
        <w:rPr>
          <w:rFonts w:hint="eastAsia" w:ascii="宋体" w:hAnsi="宋体" w:eastAsia="宋体" w:cs="宋体"/>
          <w:color w:val="auto"/>
          <w:highlight w:val="none"/>
        </w:rPr>
      </w:pPr>
    </w:p>
    <w:p w14:paraId="6F87334F">
      <w:pPr>
        <w:pStyle w:val="30"/>
        <w:rPr>
          <w:rFonts w:hint="eastAsia" w:ascii="宋体" w:hAnsi="宋体" w:eastAsia="宋体" w:cs="宋体"/>
          <w:color w:val="auto"/>
          <w:highlight w:val="none"/>
        </w:rPr>
      </w:pPr>
    </w:p>
    <w:p w14:paraId="598D9969">
      <w:pPr>
        <w:pStyle w:val="30"/>
        <w:rPr>
          <w:rFonts w:hint="eastAsia" w:ascii="宋体" w:hAnsi="宋体" w:eastAsia="宋体" w:cs="宋体"/>
          <w:color w:val="auto"/>
          <w:highlight w:val="none"/>
        </w:rPr>
      </w:pPr>
    </w:p>
    <w:p w14:paraId="257BDDDD">
      <w:pPr>
        <w:spacing w:line="360" w:lineRule="auto"/>
        <w:rPr>
          <w:rFonts w:hint="eastAsia" w:ascii="宋体" w:hAnsi="宋体" w:eastAsia="宋体" w:cs="宋体"/>
          <w:color w:val="auto"/>
          <w:szCs w:val="21"/>
          <w:highlight w:val="none"/>
        </w:rPr>
      </w:pPr>
    </w:p>
    <w:p w14:paraId="3E078E19">
      <w:pPr>
        <w:spacing w:line="360" w:lineRule="auto"/>
        <w:rPr>
          <w:rFonts w:hint="eastAsia" w:ascii="宋体" w:hAnsi="宋体" w:eastAsia="宋体" w:cs="宋体"/>
          <w:color w:val="auto"/>
          <w:sz w:val="30"/>
          <w:szCs w:val="30"/>
          <w:highlight w:val="none"/>
        </w:rPr>
        <w:sectPr>
          <w:pgSz w:w="11906" w:h="16838"/>
          <w:pgMar w:top="1418" w:right="1134" w:bottom="1134" w:left="1418" w:header="851" w:footer="850" w:gutter="0"/>
          <w:pgBorders>
            <w:top w:val="none" w:sz="0" w:space="0"/>
            <w:left w:val="none" w:sz="0" w:space="0"/>
            <w:bottom w:val="none" w:sz="0" w:space="0"/>
            <w:right w:val="none" w:sz="0" w:space="0"/>
          </w:pgBorders>
          <w:cols w:space="720" w:num="1"/>
          <w:docGrid w:type="lines" w:linePitch="312" w:charSpace="0"/>
        </w:sectPr>
      </w:pPr>
    </w:p>
    <w:p w14:paraId="060CBA46">
      <w:pPr>
        <w:adjustRightInd w:val="0"/>
        <w:snapToGrid w:val="0"/>
        <w:spacing w:line="360" w:lineRule="auto"/>
        <w:rPr>
          <w:rFonts w:hint="eastAsia" w:ascii="宋体" w:hAnsi="宋体" w:eastAsia="宋体" w:cs="宋体"/>
          <w:b/>
          <w:color w:val="auto"/>
          <w:sz w:val="28"/>
          <w:szCs w:val="28"/>
          <w:highlight w:val="none"/>
        </w:rPr>
      </w:pPr>
      <w:bookmarkStart w:id="198" w:name="_Toc21405_WPSOffice_Level1"/>
      <w:bookmarkStart w:id="199" w:name="_Toc25117_WPSOffice_Level1"/>
      <w:bookmarkStart w:id="200" w:name="_Toc27106_WPSOffice_Level1"/>
      <w:bookmarkStart w:id="201" w:name="_Toc7036_WPSOffice_Level1"/>
      <w:r>
        <w:rPr>
          <w:rFonts w:hint="eastAsia" w:ascii="宋体" w:hAnsi="宋体" w:eastAsia="宋体" w:cs="宋体"/>
          <w:b/>
          <w:color w:val="auto"/>
          <w:sz w:val="28"/>
          <w:szCs w:val="28"/>
          <w:highlight w:val="none"/>
        </w:rPr>
        <w:t>附件3-4</w:t>
      </w:r>
      <w:bookmarkEnd w:id="198"/>
      <w:bookmarkEnd w:id="199"/>
      <w:bookmarkEnd w:id="200"/>
      <w:bookmarkEnd w:id="201"/>
    </w:p>
    <w:p w14:paraId="36775AD1">
      <w:pPr>
        <w:pStyle w:val="3"/>
        <w:spacing w:before="0" w:after="0" w:line="360" w:lineRule="auto"/>
        <w:jc w:val="center"/>
        <w:rPr>
          <w:rFonts w:hint="eastAsia" w:ascii="宋体" w:hAnsi="宋体" w:eastAsia="宋体" w:cs="宋体"/>
          <w:b/>
          <w:bCs/>
          <w:color w:val="auto"/>
          <w:sz w:val="28"/>
          <w:szCs w:val="28"/>
          <w:highlight w:val="none"/>
        </w:rPr>
      </w:pPr>
      <w:bookmarkStart w:id="202" w:name="_Toc30433"/>
      <w:r>
        <w:rPr>
          <w:rFonts w:hint="eastAsia" w:ascii="宋体" w:hAnsi="宋体" w:eastAsia="宋体" w:cs="宋体"/>
          <w:b/>
          <w:bCs/>
          <w:color w:val="auto"/>
          <w:sz w:val="28"/>
          <w:szCs w:val="28"/>
          <w:highlight w:val="none"/>
        </w:rPr>
        <w:t>承 诺 书</w:t>
      </w:r>
      <w:bookmarkEnd w:id="202"/>
    </w:p>
    <w:p w14:paraId="27CD23DA">
      <w:pPr>
        <w:snapToGrid w:val="0"/>
        <w:spacing w:line="360" w:lineRule="auto"/>
        <w:rPr>
          <w:rFonts w:hint="eastAsia" w:ascii="宋体" w:hAnsi="宋体" w:eastAsia="宋体" w:cs="宋体"/>
          <w:color w:val="auto"/>
          <w:highlight w:val="none"/>
        </w:rPr>
      </w:pPr>
    </w:p>
    <w:p w14:paraId="42160760">
      <w:pPr>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人名称）：</w:t>
      </w:r>
    </w:p>
    <w:p w14:paraId="0CE0E2FC">
      <w:pPr>
        <w:snapToGrid w:val="0"/>
        <w:spacing w:line="360" w:lineRule="auto"/>
        <w:rPr>
          <w:rFonts w:hint="eastAsia" w:ascii="宋体" w:hAnsi="宋体" w:eastAsia="宋体" w:cs="宋体"/>
          <w:color w:val="auto"/>
          <w:highlight w:val="none"/>
        </w:rPr>
      </w:pPr>
    </w:p>
    <w:p w14:paraId="7B5759E1">
      <w:pPr>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我方在此声明：</w:t>
      </w:r>
    </w:p>
    <w:p w14:paraId="004B4B8C">
      <w:pPr>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1.我方拟派往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采购</w:t>
      </w:r>
      <w:r>
        <w:rPr>
          <w:rFonts w:hint="eastAsia" w:ascii="宋体" w:hAnsi="宋体" w:eastAsia="宋体" w:cs="宋体"/>
          <w:color w:val="auto"/>
          <w:highlight w:val="none"/>
          <w:u w:val="single"/>
        </w:rPr>
        <w:t xml:space="preserve">项目及标段       </w:t>
      </w:r>
      <w:r>
        <w:rPr>
          <w:rFonts w:hint="eastAsia" w:ascii="宋体" w:hAnsi="宋体" w:eastAsia="宋体" w:cs="宋体"/>
          <w:color w:val="auto"/>
          <w:highlight w:val="none"/>
        </w:rPr>
        <w:t xml:space="preserve"> 的项目</w:t>
      </w:r>
      <w:r>
        <w:rPr>
          <w:rFonts w:hint="eastAsia" w:ascii="宋体" w:hAnsi="宋体" w:eastAsia="宋体" w:cs="宋体"/>
          <w:color w:val="auto"/>
          <w:highlight w:val="none"/>
          <w:lang w:val="en-US" w:eastAsia="zh-CN"/>
        </w:rPr>
        <w:t>负责人</w:t>
      </w:r>
      <w:r>
        <w:rPr>
          <w:rFonts w:hint="eastAsia" w:ascii="宋体" w:hAnsi="宋体" w:eastAsia="宋体" w:cs="宋体"/>
          <w:color w:val="auto"/>
          <w:highlight w:val="none"/>
        </w:rPr>
        <w:t>能够到位履行职责，如不能到位，我方自愿接受处罚和被予不良行为记录。</w:t>
      </w:r>
    </w:p>
    <w:p w14:paraId="67EA7B81">
      <w:pPr>
        <w:snapToGrid w:val="0"/>
        <w:spacing w:line="360" w:lineRule="auto"/>
        <w:ind w:firstLine="420" w:firstLineChars="200"/>
        <w:rPr>
          <w:rFonts w:hint="eastAsia" w:ascii="宋体" w:hAnsi="宋体" w:eastAsia="宋体" w:cs="宋体"/>
          <w:color w:val="auto"/>
          <w:highlight w:val="none"/>
          <w:lang w:val="sq-AL"/>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val="sq-AL"/>
        </w:rPr>
        <w:t>.我方严格遵守相关法律法规规定，没有串通投标、资质挂靠等违法、违规行为，</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sq-AL"/>
        </w:rPr>
        <w:t>文件所投入的管理、技术人员均为我公司正式在职人员。</w:t>
      </w:r>
    </w:p>
    <w:p w14:paraId="47069305">
      <w:pPr>
        <w:snapToGrid w:val="0"/>
        <w:spacing w:line="360" w:lineRule="auto"/>
        <w:ind w:firstLine="420" w:firstLineChars="200"/>
        <w:rPr>
          <w:rFonts w:hint="eastAsia" w:ascii="宋体" w:hAnsi="宋体" w:eastAsia="宋体" w:cs="宋体"/>
          <w:color w:val="auto"/>
          <w:highlight w:val="none"/>
          <w:lang w:val="sq-AL"/>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val="sq-AL"/>
        </w:rPr>
        <w:t>.我方保证提供的资质、业绩等证明材料真实、合法、有效，</w:t>
      </w:r>
      <w:r>
        <w:rPr>
          <w:rFonts w:hint="eastAsia" w:ascii="宋体" w:hAnsi="宋体" w:eastAsia="宋体" w:cs="宋体"/>
          <w:color w:val="auto"/>
          <w:highlight w:val="none"/>
        </w:rPr>
        <w:t>并愿意承担因我方就此弄虚作假所引起的一切后果。</w:t>
      </w:r>
    </w:p>
    <w:p w14:paraId="2B165F7D">
      <w:pPr>
        <w:snapToGrid w:val="0"/>
        <w:spacing w:line="360" w:lineRule="auto"/>
        <w:ind w:firstLine="420" w:firstLineChars="200"/>
        <w:rPr>
          <w:rFonts w:hint="eastAsia" w:ascii="宋体" w:hAnsi="宋体" w:eastAsia="宋体" w:cs="宋体"/>
          <w:color w:val="auto"/>
          <w:highlight w:val="none"/>
          <w:lang w:val="sq-AL"/>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val="sq-AL"/>
        </w:rPr>
        <w:t>.我方不参与不正当竞争，不向</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lang w:val="sq-AL"/>
        </w:rPr>
        <w:t>人、</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lang w:val="sq-AL"/>
        </w:rPr>
        <w:t>代理机构、交易中心、评标专家以及行业监督部门行贿以谋取不正当利益。</w:t>
      </w:r>
    </w:p>
    <w:p w14:paraId="6E9FCA1C">
      <w:pPr>
        <w:snapToGrid w:val="0"/>
        <w:spacing w:line="360" w:lineRule="auto"/>
        <w:ind w:firstLine="420" w:firstLineChars="200"/>
        <w:rPr>
          <w:rFonts w:hint="eastAsia" w:ascii="宋体" w:hAnsi="宋体" w:eastAsia="宋体" w:cs="宋体"/>
          <w:color w:val="auto"/>
          <w:highlight w:val="none"/>
          <w:lang w:val="sq-AL"/>
        </w:rPr>
      </w:pPr>
      <w:r>
        <w:rPr>
          <w:rFonts w:hint="eastAsia" w:ascii="宋体" w:hAnsi="宋体" w:eastAsia="宋体" w:cs="宋体"/>
          <w:color w:val="auto"/>
          <w:highlight w:val="none"/>
          <w:lang w:val="sq-AL"/>
        </w:rPr>
        <w:t>6.我方严格按照</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lang w:val="sq-AL"/>
        </w:rPr>
        <w:t>、</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sq-AL"/>
        </w:rPr>
        <w:t>文件约定签订合同，不将中标项目转包或违法分包。</w:t>
      </w:r>
    </w:p>
    <w:p w14:paraId="7D10DF07">
      <w:pPr>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sq-AL"/>
        </w:rPr>
        <w:t>7.</w:t>
      </w:r>
      <w:r>
        <w:rPr>
          <w:rFonts w:hint="eastAsia" w:ascii="宋体" w:hAnsi="宋体" w:eastAsia="宋体" w:cs="宋体"/>
          <w:color w:val="auto"/>
          <w:highlight w:val="none"/>
        </w:rPr>
        <w:t>一旦我方中标，坚决维护农民工的合法权益，按时足额支付农民工工资，绝不拖欠。</w:t>
      </w:r>
    </w:p>
    <w:p w14:paraId="154F79E3">
      <w:pPr>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特此承诺！</w:t>
      </w:r>
    </w:p>
    <w:p w14:paraId="379B2A7C">
      <w:pPr>
        <w:snapToGrid w:val="0"/>
        <w:spacing w:line="360" w:lineRule="auto"/>
        <w:ind w:firstLine="420" w:firstLineChars="200"/>
        <w:rPr>
          <w:rFonts w:hint="eastAsia" w:ascii="宋体" w:hAnsi="宋体" w:eastAsia="宋体" w:cs="宋体"/>
          <w:color w:val="auto"/>
          <w:highlight w:val="none"/>
        </w:rPr>
      </w:pPr>
    </w:p>
    <w:p w14:paraId="41069318">
      <w:pPr>
        <w:snapToGrid w:val="0"/>
        <w:spacing w:line="360" w:lineRule="auto"/>
        <w:ind w:firstLine="420" w:firstLineChars="200"/>
        <w:rPr>
          <w:rFonts w:hint="eastAsia" w:ascii="宋体" w:hAnsi="宋体" w:eastAsia="宋体" w:cs="宋体"/>
          <w:color w:val="auto"/>
          <w:highlight w:val="none"/>
        </w:rPr>
      </w:pPr>
    </w:p>
    <w:p w14:paraId="2F30251B">
      <w:pPr>
        <w:snapToGrid w:val="0"/>
        <w:spacing w:line="360" w:lineRule="auto"/>
        <w:ind w:firstLine="420" w:firstLineChars="200"/>
        <w:jc w:val="righ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人：（盖单位章）</w:t>
      </w:r>
    </w:p>
    <w:p w14:paraId="6A36AD61">
      <w:pPr>
        <w:snapToGrid w:val="0"/>
        <w:spacing w:line="360" w:lineRule="auto"/>
        <w:ind w:firstLine="420" w:firstLineChars="200"/>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法定代表人或其委托代理人：（签字或盖章）</w:t>
      </w:r>
    </w:p>
    <w:p w14:paraId="111092D8">
      <w:pPr>
        <w:snapToGrid w:val="0"/>
        <w:spacing w:line="360" w:lineRule="auto"/>
        <w:ind w:firstLine="420" w:firstLineChars="200"/>
        <w:jc w:val="right"/>
        <w:rPr>
          <w:rFonts w:hint="eastAsia" w:ascii="宋体" w:hAnsi="宋体" w:eastAsia="宋体" w:cs="宋体"/>
          <w:color w:val="auto"/>
          <w:highlight w:val="none"/>
        </w:rPr>
        <w:sectPr>
          <w:pgSz w:w="11906" w:h="16838"/>
          <w:pgMar w:top="1418" w:right="1134" w:bottom="1134" w:left="1418" w:header="851" w:footer="850"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highlight w:val="none"/>
        </w:rPr>
        <w:t xml:space="preserve">   年   月  日</w:t>
      </w:r>
    </w:p>
    <w:p w14:paraId="4B291C0D">
      <w:pPr>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附件3-4</w:t>
      </w:r>
    </w:p>
    <w:p w14:paraId="467D99AE">
      <w:pPr>
        <w:pStyle w:val="8"/>
        <w:jc w:val="center"/>
        <w:rPr>
          <w:rFonts w:hint="eastAsia"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rPr>
        <w:t>其他说明</w:t>
      </w:r>
    </w:p>
    <w:p w14:paraId="2D20E231">
      <w:pPr>
        <w:adjustRightInd w:val="0"/>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                           供应商认为需要提供的评审资料及其他说明</w:t>
      </w:r>
    </w:p>
    <w:p w14:paraId="35AC065A">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color w:val="auto"/>
          <w:kern w:val="0"/>
          <w:szCs w:val="21"/>
          <w:highlight w:val="none"/>
        </w:rPr>
        <w:br w:type="page"/>
      </w:r>
      <w:bookmarkStart w:id="203" w:name="_Toc11956_WPSOffice_Level1"/>
      <w:bookmarkStart w:id="204" w:name="_Toc24547_WPSOffice_Level1"/>
      <w:bookmarkStart w:id="205" w:name="_Toc14837_WPSOffice_Level1"/>
      <w:bookmarkStart w:id="206" w:name="_Toc17176_WPSOffice_Level1"/>
      <w:r>
        <w:rPr>
          <w:rFonts w:hint="eastAsia" w:ascii="宋体" w:hAnsi="宋体" w:eastAsia="宋体" w:cs="宋体"/>
          <w:b/>
          <w:color w:val="auto"/>
          <w:sz w:val="28"/>
          <w:szCs w:val="28"/>
          <w:highlight w:val="none"/>
        </w:rPr>
        <w:t>四、施工方案说明</w:t>
      </w:r>
      <w:bookmarkEnd w:id="203"/>
      <w:bookmarkEnd w:id="204"/>
      <w:bookmarkEnd w:id="205"/>
      <w:bookmarkEnd w:id="206"/>
    </w:p>
    <w:p w14:paraId="1AD2E150">
      <w:pPr>
        <w:adjustRightInd w:val="0"/>
        <w:snapToGrid w:val="0"/>
        <w:spacing w:line="360" w:lineRule="auto"/>
        <w:rPr>
          <w:rFonts w:hint="eastAsia" w:ascii="宋体" w:hAnsi="宋体" w:eastAsia="宋体" w:cs="宋体"/>
          <w:b/>
          <w:color w:val="auto"/>
          <w:sz w:val="28"/>
          <w:szCs w:val="28"/>
          <w:highlight w:val="none"/>
        </w:rPr>
      </w:pPr>
      <w:bookmarkStart w:id="207" w:name="_Toc17702_WPSOffice_Level1"/>
      <w:bookmarkStart w:id="208" w:name="_Toc19866_WPSOffice_Level1"/>
      <w:bookmarkStart w:id="209" w:name="_Toc26447_WPSOffice_Level1"/>
      <w:bookmarkStart w:id="210" w:name="_Toc16954_WPSOffice_Level1"/>
      <w:r>
        <w:rPr>
          <w:rFonts w:hint="eastAsia" w:ascii="宋体" w:hAnsi="宋体" w:eastAsia="宋体" w:cs="宋体"/>
          <w:b/>
          <w:color w:val="auto"/>
          <w:sz w:val="28"/>
          <w:szCs w:val="28"/>
          <w:highlight w:val="none"/>
        </w:rPr>
        <w:t>附件4-1</w:t>
      </w:r>
      <w:bookmarkEnd w:id="207"/>
      <w:bookmarkEnd w:id="208"/>
      <w:bookmarkEnd w:id="209"/>
      <w:bookmarkEnd w:id="210"/>
    </w:p>
    <w:p w14:paraId="5A9677E4">
      <w:pPr>
        <w:pStyle w:val="13"/>
        <w:adjustRightInd w:val="0"/>
        <w:snapToGrid w:val="0"/>
        <w:spacing w:line="360" w:lineRule="auto"/>
        <w:ind w:firstLine="420" w:firstLineChars="200"/>
        <w:outlineLvl w:val="0"/>
        <w:rPr>
          <w:rFonts w:hint="eastAsia" w:ascii="宋体" w:hAnsi="宋体" w:eastAsia="宋体" w:cs="宋体"/>
          <w:bCs/>
          <w:color w:val="auto"/>
          <w:sz w:val="21"/>
          <w:szCs w:val="21"/>
          <w:highlight w:val="none"/>
        </w:rPr>
      </w:pPr>
    </w:p>
    <w:p w14:paraId="3EEE7654">
      <w:pPr>
        <w:pStyle w:val="13"/>
        <w:adjustRightInd w:val="0"/>
        <w:snapToGrid w:val="0"/>
        <w:spacing w:line="360" w:lineRule="auto"/>
        <w:ind w:firstLine="420" w:firstLineChars="200"/>
        <w:outlineLvl w:val="0"/>
        <w:rPr>
          <w:rFonts w:hint="eastAsia" w:ascii="宋体" w:hAnsi="宋体" w:eastAsia="宋体" w:cs="宋体"/>
          <w:color w:val="auto"/>
          <w:sz w:val="21"/>
          <w:szCs w:val="21"/>
          <w:highlight w:val="none"/>
        </w:rPr>
      </w:pPr>
      <w:bookmarkStart w:id="211" w:name="_Toc6479"/>
      <w:r>
        <w:rPr>
          <w:rFonts w:hint="eastAsia" w:ascii="宋体" w:hAnsi="宋体" w:eastAsia="宋体" w:cs="宋体"/>
          <w:bCs/>
          <w:color w:val="auto"/>
          <w:sz w:val="21"/>
          <w:szCs w:val="21"/>
          <w:highlight w:val="none"/>
        </w:rPr>
        <w:t>说明：投标供应商须根据项目特点编写技术标（施工组织设计）。技术标为明标，内容包括但不限于：</w:t>
      </w:r>
      <w:r>
        <w:rPr>
          <w:rFonts w:hint="eastAsia" w:ascii="宋体" w:hAnsi="宋体" w:eastAsia="宋体" w:cs="宋体"/>
          <w:color w:val="auto"/>
          <w:sz w:val="21"/>
          <w:szCs w:val="21"/>
          <w:highlight w:val="none"/>
        </w:rPr>
        <w:t>⑴施工方案与技术措施、⑵工程进度计划与保证措施、⑶质量管理体系与措施、⑷安全管理体系与措施、⑸文明施工现场措施。</w:t>
      </w:r>
      <w:bookmarkEnd w:id="211"/>
    </w:p>
    <w:p w14:paraId="06B23DE5">
      <w:pPr>
        <w:spacing w:line="360" w:lineRule="auto"/>
        <w:rPr>
          <w:rFonts w:hint="eastAsia" w:ascii="宋体" w:hAnsi="宋体" w:eastAsia="宋体" w:cs="宋体"/>
          <w:color w:val="auto"/>
          <w:szCs w:val="21"/>
          <w:highlight w:val="none"/>
        </w:rPr>
      </w:pPr>
    </w:p>
    <w:p w14:paraId="7C4B8C9C">
      <w:pPr>
        <w:spacing w:line="360" w:lineRule="auto"/>
        <w:rPr>
          <w:rFonts w:hint="eastAsia" w:ascii="宋体" w:hAnsi="宋体" w:eastAsia="宋体" w:cs="宋体"/>
          <w:color w:val="auto"/>
          <w:szCs w:val="21"/>
          <w:highlight w:val="none"/>
        </w:rPr>
      </w:pPr>
    </w:p>
    <w:p w14:paraId="39B5C4A4">
      <w:pPr>
        <w:adjustRightInd w:val="0"/>
        <w:snapToGrid w:val="0"/>
        <w:spacing w:line="360" w:lineRule="auto"/>
        <w:rPr>
          <w:rFonts w:hint="eastAsia" w:ascii="宋体" w:hAnsi="宋体" w:eastAsia="宋体" w:cs="宋体"/>
          <w:b/>
          <w:color w:val="auto"/>
          <w:sz w:val="28"/>
          <w:szCs w:val="28"/>
          <w:highlight w:val="none"/>
        </w:rPr>
      </w:pPr>
      <w:bookmarkStart w:id="212" w:name="_Toc9744_WPSOffice_Level1"/>
      <w:bookmarkStart w:id="213" w:name="_Toc29288_WPSOffice_Level1"/>
      <w:bookmarkStart w:id="214" w:name="_Toc18430_WPSOffice_Level1"/>
      <w:bookmarkStart w:id="215" w:name="_Toc10050_WPSOffice_Level1"/>
      <w:r>
        <w:rPr>
          <w:rFonts w:hint="eastAsia" w:ascii="宋体" w:hAnsi="宋体" w:eastAsia="宋体" w:cs="宋体"/>
          <w:b/>
          <w:color w:val="auto"/>
          <w:sz w:val="28"/>
          <w:szCs w:val="28"/>
          <w:highlight w:val="none"/>
        </w:rPr>
        <w:t>附件4-2</w:t>
      </w:r>
      <w:bookmarkEnd w:id="212"/>
      <w:bookmarkEnd w:id="213"/>
      <w:bookmarkEnd w:id="214"/>
      <w:bookmarkEnd w:id="215"/>
    </w:p>
    <w:p w14:paraId="35E7326D">
      <w:pPr>
        <w:spacing w:line="360" w:lineRule="auto"/>
        <w:jc w:val="center"/>
        <w:rPr>
          <w:rFonts w:hint="eastAsia" w:ascii="宋体" w:hAnsi="宋体" w:eastAsia="宋体" w:cs="宋体"/>
          <w:color w:val="auto"/>
          <w:szCs w:val="21"/>
          <w:highlight w:val="none"/>
        </w:rPr>
      </w:pPr>
      <w:bookmarkStart w:id="216" w:name="_Toc17324_WPSOffice_Level1"/>
      <w:bookmarkStart w:id="217" w:name="_Toc7795_WPSOffice_Level1"/>
      <w:bookmarkStart w:id="218" w:name="_Toc3751_WPSOffice_Level1"/>
      <w:bookmarkStart w:id="219" w:name="_Toc3329_WPSOffice_Level1"/>
      <w:r>
        <w:rPr>
          <w:rFonts w:hint="eastAsia" w:ascii="宋体" w:hAnsi="宋体" w:eastAsia="宋体" w:cs="宋体"/>
          <w:b/>
          <w:color w:val="auto"/>
          <w:sz w:val="28"/>
          <w:szCs w:val="28"/>
          <w:highlight w:val="none"/>
        </w:rPr>
        <w:t>主要人员简历表</w:t>
      </w:r>
      <w:bookmarkEnd w:id="216"/>
      <w:bookmarkEnd w:id="217"/>
      <w:bookmarkEnd w:id="218"/>
      <w:bookmarkEnd w:id="219"/>
    </w:p>
    <w:tbl>
      <w:tblPr>
        <w:tblStyle w:val="24"/>
        <w:tblW w:w="0" w:type="auto"/>
        <w:tblInd w:w="96"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4"/>
        <w:gridCol w:w="833"/>
        <w:gridCol w:w="2664"/>
        <w:gridCol w:w="428"/>
        <w:gridCol w:w="1515"/>
        <w:gridCol w:w="583"/>
        <w:gridCol w:w="1795"/>
      </w:tblGrid>
      <w:tr w14:paraId="1B89EA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2097" w:type="dxa"/>
            <w:gridSpan w:val="2"/>
            <w:vAlign w:val="center"/>
          </w:tcPr>
          <w:p w14:paraId="21157C2E">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664" w:type="dxa"/>
            <w:vAlign w:val="center"/>
          </w:tcPr>
          <w:p w14:paraId="286DF515">
            <w:pPr>
              <w:spacing w:line="360" w:lineRule="auto"/>
              <w:jc w:val="center"/>
              <w:rPr>
                <w:rFonts w:hint="eastAsia" w:ascii="宋体" w:hAnsi="宋体" w:eastAsia="宋体" w:cs="宋体"/>
                <w:color w:val="auto"/>
                <w:highlight w:val="none"/>
              </w:rPr>
            </w:pPr>
          </w:p>
        </w:tc>
        <w:tc>
          <w:tcPr>
            <w:tcW w:w="2526" w:type="dxa"/>
            <w:gridSpan w:val="3"/>
            <w:vAlign w:val="center"/>
          </w:tcPr>
          <w:p w14:paraId="23FEC1CD">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1795" w:type="dxa"/>
            <w:vAlign w:val="center"/>
          </w:tcPr>
          <w:p w14:paraId="33A7E592">
            <w:pPr>
              <w:spacing w:line="360" w:lineRule="auto"/>
              <w:jc w:val="center"/>
              <w:rPr>
                <w:rFonts w:hint="eastAsia" w:ascii="宋体" w:hAnsi="宋体" w:eastAsia="宋体" w:cs="宋体"/>
                <w:color w:val="auto"/>
                <w:highlight w:val="none"/>
              </w:rPr>
            </w:pPr>
          </w:p>
        </w:tc>
      </w:tr>
      <w:tr w14:paraId="647C91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6" w:hRule="exact"/>
        </w:trPr>
        <w:tc>
          <w:tcPr>
            <w:tcW w:w="2097" w:type="dxa"/>
            <w:gridSpan w:val="2"/>
            <w:vAlign w:val="center"/>
          </w:tcPr>
          <w:p w14:paraId="25E8304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职务</w:t>
            </w:r>
          </w:p>
        </w:tc>
        <w:tc>
          <w:tcPr>
            <w:tcW w:w="2664" w:type="dxa"/>
            <w:vAlign w:val="center"/>
          </w:tcPr>
          <w:p w14:paraId="1BDC8985">
            <w:pPr>
              <w:spacing w:line="360" w:lineRule="auto"/>
              <w:jc w:val="center"/>
              <w:rPr>
                <w:rFonts w:hint="eastAsia" w:ascii="宋体" w:hAnsi="宋体" w:eastAsia="宋体" w:cs="宋体"/>
                <w:color w:val="auto"/>
                <w:highlight w:val="none"/>
              </w:rPr>
            </w:pPr>
          </w:p>
        </w:tc>
        <w:tc>
          <w:tcPr>
            <w:tcW w:w="2526" w:type="dxa"/>
            <w:gridSpan w:val="3"/>
            <w:vAlign w:val="center"/>
          </w:tcPr>
          <w:p w14:paraId="34000A57">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795" w:type="dxa"/>
            <w:vAlign w:val="center"/>
          </w:tcPr>
          <w:p w14:paraId="795C85A7">
            <w:pPr>
              <w:spacing w:line="360" w:lineRule="auto"/>
              <w:jc w:val="center"/>
              <w:rPr>
                <w:rFonts w:hint="eastAsia" w:ascii="宋体" w:hAnsi="宋体" w:eastAsia="宋体" w:cs="宋体"/>
                <w:color w:val="auto"/>
                <w:highlight w:val="none"/>
              </w:rPr>
            </w:pPr>
          </w:p>
        </w:tc>
      </w:tr>
      <w:tr w14:paraId="2FC190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exact"/>
        </w:trPr>
        <w:tc>
          <w:tcPr>
            <w:tcW w:w="2097" w:type="dxa"/>
            <w:gridSpan w:val="2"/>
            <w:vAlign w:val="center"/>
          </w:tcPr>
          <w:p w14:paraId="47D8F8A3">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毕业学校、专业</w:t>
            </w:r>
          </w:p>
        </w:tc>
        <w:tc>
          <w:tcPr>
            <w:tcW w:w="6985" w:type="dxa"/>
            <w:gridSpan w:val="5"/>
            <w:vAlign w:val="center"/>
          </w:tcPr>
          <w:p w14:paraId="38B45F28">
            <w:pPr>
              <w:spacing w:line="360" w:lineRule="auto"/>
              <w:jc w:val="center"/>
              <w:rPr>
                <w:rFonts w:hint="eastAsia" w:ascii="宋体" w:hAnsi="宋体" w:eastAsia="宋体" w:cs="宋体"/>
                <w:color w:val="auto"/>
                <w:highlight w:val="none"/>
              </w:rPr>
            </w:pPr>
          </w:p>
        </w:tc>
      </w:tr>
      <w:tr w14:paraId="42EC35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5" w:hRule="exact"/>
        </w:trPr>
        <w:tc>
          <w:tcPr>
            <w:tcW w:w="2097" w:type="dxa"/>
            <w:gridSpan w:val="2"/>
            <w:vAlign w:val="center"/>
          </w:tcPr>
          <w:p w14:paraId="5E4D671E">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身份证号</w:t>
            </w:r>
          </w:p>
        </w:tc>
        <w:tc>
          <w:tcPr>
            <w:tcW w:w="2664" w:type="dxa"/>
            <w:vAlign w:val="center"/>
          </w:tcPr>
          <w:p w14:paraId="298D8BA1">
            <w:pPr>
              <w:spacing w:line="360" w:lineRule="auto"/>
              <w:jc w:val="center"/>
              <w:rPr>
                <w:rFonts w:hint="eastAsia" w:ascii="宋体" w:hAnsi="宋体" w:eastAsia="宋体" w:cs="宋体"/>
                <w:color w:val="auto"/>
                <w:highlight w:val="none"/>
              </w:rPr>
            </w:pPr>
          </w:p>
        </w:tc>
        <w:tc>
          <w:tcPr>
            <w:tcW w:w="2526" w:type="dxa"/>
            <w:gridSpan w:val="3"/>
            <w:vAlign w:val="center"/>
          </w:tcPr>
          <w:p w14:paraId="7E274D67">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拟在本合同任职</w:t>
            </w:r>
          </w:p>
        </w:tc>
        <w:tc>
          <w:tcPr>
            <w:tcW w:w="1795" w:type="dxa"/>
            <w:vAlign w:val="center"/>
          </w:tcPr>
          <w:p w14:paraId="4C48158B">
            <w:pPr>
              <w:spacing w:line="360" w:lineRule="auto"/>
              <w:ind w:right="-105" w:rightChars="-50"/>
              <w:jc w:val="center"/>
              <w:rPr>
                <w:rFonts w:hint="eastAsia" w:ascii="宋体" w:hAnsi="宋体" w:eastAsia="宋体" w:cs="宋体"/>
                <w:color w:val="auto"/>
                <w:highlight w:val="none"/>
              </w:rPr>
            </w:pPr>
          </w:p>
        </w:tc>
      </w:tr>
      <w:tr w14:paraId="401398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5" w:hRule="exact"/>
        </w:trPr>
        <w:tc>
          <w:tcPr>
            <w:tcW w:w="2097" w:type="dxa"/>
            <w:gridSpan w:val="2"/>
            <w:vAlign w:val="center"/>
          </w:tcPr>
          <w:p w14:paraId="04A83418">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执业资格证</w:t>
            </w:r>
          </w:p>
        </w:tc>
        <w:tc>
          <w:tcPr>
            <w:tcW w:w="2664" w:type="dxa"/>
            <w:vAlign w:val="center"/>
          </w:tcPr>
          <w:p w14:paraId="25CF5D60">
            <w:pPr>
              <w:spacing w:line="360" w:lineRule="auto"/>
              <w:jc w:val="center"/>
              <w:rPr>
                <w:rFonts w:hint="eastAsia" w:ascii="宋体" w:hAnsi="宋体" w:eastAsia="宋体" w:cs="宋体"/>
                <w:color w:val="auto"/>
                <w:highlight w:val="none"/>
              </w:rPr>
            </w:pPr>
          </w:p>
        </w:tc>
        <w:tc>
          <w:tcPr>
            <w:tcW w:w="2526" w:type="dxa"/>
            <w:gridSpan w:val="3"/>
            <w:vAlign w:val="center"/>
          </w:tcPr>
          <w:p w14:paraId="09C5CD0C">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执业资格证书号</w:t>
            </w:r>
          </w:p>
        </w:tc>
        <w:tc>
          <w:tcPr>
            <w:tcW w:w="1795" w:type="dxa"/>
            <w:vAlign w:val="center"/>
          </w:tcPr>
          <w:p w14:paraId="7A2F460B">
            <w:pPr>
              <w:spacing w:line="360" w:lineRule="auto"/>
              <w:ind w:right="-105" w:rightChars="-50"/>
              <w:jc w:val="center"/>
              <w:rPr>
                <w:rFonts w:hint="eastAsia" w:ascii="宋体" w:hAnsi="宋体" w:eastAsia="宋体" w:cs="宋体"/>
                <w:color w:val="auto"/>
                <w:highlight w:val="none"/>
              </w:rPr>
            </w:pPr>
          </w:p>
        </w:tc>
      </w:tr>
      <w:tr w14:paraId="38AAF0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3" w:hRule="exact"/>
        </w:trPr>
        <w:tc>
          <w:tcPr>
            <w:tcW w:w="9082" w:type="dxa"/>
            <w:gridSpan w:val="7"/>
            <w:vAlign w:val="center"/>
          </w:tcPr>
          <w:p w14:paraId="7AC1F36B">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近三年承担项目情况</w:t>
            </w:r>
          </w:p>
        </w:tc>
      </w:tr>
      <w:tr w14:paraId="3263E9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4F4DB868">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时间</w:t>
            </w:r>
          </w:p>
        </w:tc>
        <w:tc>
          <w:tcPr>
            <w:tcW w:w="3925" w:type="dxa"/>
            <w:gridSpan w:val="3"/>
            <w:vAlign w:val="center"/>
          </w:tcPr>
          <w:p w14:paraId="1EE5E543">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类似项目名称</w:t>
            </w:r>
          </w:p>
        </w:tc>
        <w:tc>
          <w:tcPr>
            <w:tcW w:w="1515" w:type="dxa"/>
            <w:vAlign w:val="center"/>
          </w:tcPr>
          <w:p w14:paraId="4848C85E">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担任职务</w:t>
            </w:r>
          </w:p>
        </w:tc>
        <w:tc>
          <w:tcPr>
            <w:tcW w:w="2378" w:type="dxa"/>
            <w:gridSpan w:val="2"/>
            <w:vAlign w:val="center"/>
          </w:tcPr>
          <w:p w14:paraId="7CBA835B">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项目单位名称及电话</w:t>
            </w:r>
          </w:p>
        </w:tc>
      </w:tr>
      <w:tr w14:paraId="6552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3B14669E">
            <w:pPr>
              <w:spacing w:line="360" w:lineRule="auto"/>
              <w:jc w:val="center"/>
              <w:rPr>
                <w:rFonts w:hint="eastAsia" w:ascii="宋体" w:hAnsi="宋体" w:eastAsia="宋体" w:cs="宋体"/>
                <w:color w:val="auto"/>
                <w:highlight w:val="none"/>
              </w:rPr>
            </w:pPr>
          </w:p>
        </w:tc>
        <w:tc>
          <w:tcPr>
            <w:tcW w:w="3925" w:type="dxa"/>
            <w:gridSpan w:val="3"/>
            <w:vAlign w:val="center"/>
          </w:tcPr>
          <w:p w14:paraId="5389385C">
            <w:pPr>
              <w:spacing w:line="360" w:lineRule="auto"/>
              <w:jc w:val="center"/>
              <w:rPr>
                <w:rFonts w:hint="eastAsia" w:ascii="宋体" w:hAnsi="宋体" w:eastAsia="宋体" w:cs="宋体"/>
                <w:color w:val="auto"/>
                <w:highlight w:val="none"/>
              </w:rPr>
            </w:pPr>
          </w:p>
        </w:tc>
        <w:tc>
          <w:tcPr>
            <w:tcW w:w="1515" w:type="dxa"/>
            <w:vAlign w:val="center"/>
          </w:tcPr>
          <w:p w14:paraId="48162B50">
            <w:pPr>
              <w:spacing w:line="360" w:lineRule="auto"/>
              <w:jc w:val="center"/>
              <w:rPr>
                <w:rFonts w:hint="eastAsia" w:ascii="宋体" w:hAnsi="宋体" w:eastAsia="宋体" w:cs="宋体"/>
                <w:color w:val="auto"/>
                <w:highlight w:val="none"/>
              </w:rPr>
            </w:pPr>
          </w:p>
        </w:tc>
        <w:tc>
          <w:tcPr>
            <w:tcW w:w="2378" w:type="dxa"/>
            <w:gridSpan w:val="2"/>
            <w:vAlign w:val="center"/>
          </w:tcPr>
          <w:p w14:paraId="01D800A9">
            <w:pPr>
              <w:spacing w:line="360" w:lineRule="auto"/>
              <w:jc w:val="center"/>
              <w:rPr>
                <w:rFonts w:hint="eastAsia" w:ascii="宋体" w:hAnsi="宋体" w:eastAsia="宋体" w:cs="宋体"/>
                <w:color w:val="auto"/>
                <w:highlight w:val="none"/>
              </w:rPr>
            </w:pPr>
          </w:p>
        </w:tc>
      </w:tr>
      <w:tr w14:paraId="049748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7E54E343">
            <w:pPr>
              <w:spacing w:line="360" w:lineRule="auto"/>
              <w:jc w:val="center"/>
              <w:rPr>
                <w:rFonts w:hint="eastAsia" w:ascii="宋体" w:hAnsi="宋体" w:eastAsia="宋体" w:cs="宋体"/>
                <w:color w:val="auto"/>
                <w:highlight w:val="none"/>
              </w:rPr>
            </w:pPr>
          </w:p>
        </w:tc>
        <w:tc>
          <w:tcPr>
            <w:tcW w:w="3925" w:type="dxa"/>
            <w:gridSpan w:val="3"/>
            <w:vAlign w:val="center"/>
          </w:tcPr>
          <w:p w14:paraId="756D2082">
            <w:pPr>
              <w:spacing w:line="360" w:lineRule="auto"/>
              <w:jc w:val="center"/>
              <w:rPr>
                <w:rFonts w:hint="eastAsia" w:ascii="宋体" w:hAnsi="宋体" w:eastAsia="宋体" w:cs="宋体"/>
                <w:color w:val="auto"/>
                <w:highlight w:val="none"/>
              </w:rPr>
            </w:pPr>
          </w:p>
        </w:tc>
        <w:tc>
          <w:tcPr>
            <w:tcW w:w="1515" w:type="dxa"/>
            <w:vAlign w:val="center"/>
          </w:tcPr>
          <w:p w14:paraId="4C2811BC">
            <w:pPr>
              <w:spacing w:line="360" w:lineRule="auto"/>
              <w:jc w:val="center"/>
              <w:rPr>
                <w:rFonts w:hint="eastAsia" w:ascii="宋体" w:hAnsi="宋体" w:eastAsia="宋体" w:cs="宋体"/>
                <w:color w:val="auto"/>
                <w:highlight w:val="none"/>
              </w:rPr>
            </w:pPr>
          </w:p>
        </w:tc>
        <w:tc>
          <w:tcPr>
            <w:tcW w:w="2378" w:type="dxa"/>
            <w:gridSpan w:val="2"/>
            <w:vAlign w:val="center"/>
          </w:tcPr>
          <w:p w14:paraId="2BC01E1E">
            <w:pPr>
              <w:spacing w:line="360" w:lineRule="auto"/>
              <w:jc w:val="center"/>
              <w:rPr>
                <w:rFonts w:hint="eastAsia" w:ascii="宋体" w:hAnsi="宋体" w:eastAsia="宋体" w:cs="宋体"/>
                <w:color w:val="auto"/>
                <w:highlight w:val="none"/>
              </w:rPr>
            </w:pPr>
          </w:p>
        </w:tc>
      </w:tr>
      <w:tr w14:paraId="60C469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1E6127E3">
            <w:pPr>
              <w:spacing w:line="360" w:lineRule="auto"/>
              <w:jc w:val="center"/>
              <w:rPr>
                <w:rFonts w:hint="eastAsia" w:ascii="宋体" w:hAnsi="宋体" w:eastAsia="宋体" w:cs="宋体"/>
                <w:color w:val="auto"/>
                <w:highlight w:val="none"/>
              </w:rPr>
            </w:pPr>
          </w:p>
        </w:tc>
        <w:tc>
          <w:tcPr>
            <w:tcW w:w="3925" w:type="dxa"/>
            <w:gridSpan w:val="3"/>
            <w:vAlign w:val="center"/>
          </w:tcPr>
          <w:p w14:paraId="7ADCA288">
            <w:pPr>
              <w:spacing w:line="360" w:lineRule="auto"/>
              <w:jc w:val="center"/>
              <w:rPr>
                <w:rFonts w:hint="eastAsia" w:ascii="宋体" w:hAnsi="宋体" w:eastAsia="宋体" w:cs="宋体"/>
                <w:color w:val="auto"/>
                <w:highlight w:val="none"/>
              </w:rPr>
            </w:pPr>
          </w:p>
        </w:tc>
        <w:tc>
          <w:tcPr>
            <w:tcW w:w="1515" w:type="dxa"/>
            <w:vAlign w:val="center"/>
          </w:tcPr>
          <w:p w14:paraId="71027D6F">
            <w:pPr>
              <w:spacing w:line="360" w:lineRule="auto"/>
              <w:jc w:val="center"/>
              <w:rPr>
                <w:rFonts w:hint="eastAsia" w:ascii="宋体" w:hAnsi="宋体" w:eastAsia="宋体" w:cs="宋体"/>
                <w:color w:val="auto"/>
                <w:highlight w:val="none"/>
              </w:rPr>
            </w:pPr>
          </w:p>
        </w:tc>
        <w:tc>
          <w:tcPr>
            <w:tcW w:w="2378" w:type="dxa"/>
            <w:gridSpan w:val="2"/>
            <w:vAlign w:val="center"/>
          </w:tcPr>
          <w:p w14:paraId="36B504E4">
            <w:pPr>
              <w:spacing w:line="360" w:lineRule="auto"/>
              <w:jc w:val="center"/>
              <w:rPr>
                <w:rFonts w:hint="eastAsia" w:ascii="宋体" w:hAnsi="宋体" w:eastAsia="宋体" w:cs="宋体"/>
                <w:color w:val="auto"/>
                <w:highlight w:val="none"/>
              </w:rPr>
            </w:pPr>
          </w:p>
        </w:tc>
      </w:tr>
      <w:tr w14:paraId="31467C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3" w:hRule="exact"/>
        </w:trPr>
        <w:tc>
          <w:tcPr>
            <w:tcW w:w="1264" w:type="dxa"/>
            <w:vAlign w:val="center"/>
          </w:tcPr>
          <w:p w14:paraId="344194F7">
            <w:pPr>
              <w:spacing w:line="360" w:lineRule="auto"/>
              <w:jc w:val="center"/>
              <w:rPr>
                <w:rFonts w:hint="eastAsia" w:ascii="宋体" w:hAnsi="宋体" w:eastAsia="宋体" w:cs="宋体"/>
                <w:color w:val="auto"/>
                <w:highlight w:val="none"/>
              </w:rPr>
            </w:pPr>
          </w:p>
        </w:tc>
        <w:tc>
          <w:tcPr>
            <w:tcW w:w="3925" w:type="dxa"/>
            <w:gridSpan w:val="3"/>
            <w:vAlign w:val="center"/>
          </w:tcPr>
          <w:p w14:paraId="18B02BED">
            <w:pPr>
              <w:spacing w:line="360" w:lineRule="auto"/>
              <w:jc w:val="center"/>
              <w:rPr>
                <w:rFonts w:hint="eastAsia" w:ascii="宋体" w:hAnsi="宋体" w:eastAsia="宋体" w:cs="宋体"/>
                <w:color w:val="auto"/>
                <w:highlight w:val="none"/>
              </w:rPr>
            </w:pPr>
          </w:p>
        </w:tc>
        <w:tc>
          <w:tcPr>
            <w:tcW w:w="1515" w:type="dxa"/>
            <w:vAlign w:val="center"/>
          </w:tcPr>
          <w:p w14:paraId="6A4D9786">
            <w:pPr>
              <w:spacing w:line="360" w:lineRule="auto"/>
              <w:jc w:val="center"/>
              <w:rPr>
                <w:rFonts w:hint="eastAsia" w:ascii="宋体" w:hAnsi="宋体" w:eastAsia="宋体" w:cs="宋体"/>
                <w:color w:val="auto"/>
                <w:highlight w:val="none"/>
              </w:rPr>
            </w:pPr>
          </w:p>
        </w:tc>
        <w:tc>
          <w:tcPr>
            <w:tcW w:w="2378" w:type="dxa"/>
            <w:gridSpan w:val="2"/>
            <w:vAlign w:val="center"/>
          </w:tcPr>
          <w:p w14:paraId="57C00CE7">
            <w:pPr>
              <w:spacing w:line="360" w:lineRule="auto"/>
              <w:jc w:val="center"/>
              <w:rPr>
                <w:rFonts w:hint="eastAsia" w:ascii="宋体" w:hAnsi="宋体" w:eastAsia="宋体" w:cs="宋体"/>
                <w:color w:val="auto"/>
                <w:highlight w:val="none"/>
              </w:rPr>
            </w:pPr>
          </w:p>
        </w:tc>
      </w:tr>
    </w:tbl>
    <w:p w14:paraId="29C8ABA6">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说明</w:t>
      </w:r>
      <w:r>
        <w:rPr>
          <w:rFonts w:hint="eastAsia" w:ascii="宋体" w:hAnsi="宋体" w:eastAsia="宋体" w:cs="宋体"/>
          <w:color w:val="auto"/>
          <w:highlight w:val="none"/>
        </w:rPr>
        <w:t>：</w:t>
      </w:r>
      <w:r>
        <w:rPr>
          <w:rFonts w:hint="eastAsia" w:ascii="宋体" w:hAnsi="宋体" w:eastAsia="宋体" w:cs="宋体"/>
          <w:color w:val="auto"/>
          <w:szCs w:val="21"/>
          <w:highlight w:val="none"/>
        </w:rPr>
        <w:t>主要人员身份证、注册建造师证书、安全生产考核合格证</w:t>
      </w:r>
      <w:r>
        <w:rPr>
          <w:rFonts w:hint="eastAsia" w:ascii="宋体" w:hAnsi="宋体" w:eastAsia="宋体" w:cs="宋体"/>
          <w:color w:val="auto"/>
          <w:kern w:val="0"/>
          <w:szCs w:val="21"/>
          <w:highlight w:val="none"/>
        </w:rPr>
        <w:t>。</w:t>
      </w:r>
    </w:p>
    <w:p w14:paraId="72224E7E">
      <w:pPr>
        <w:pStyle w:val="13"/>
        <w:adjustRightInd w:val="0"/>
        <w:snapToGrid w:val="0"/>
        <w:spacing w:line="360" w:lineRule="auto"/>
        <w:outlineLvl w:val="0"/>
        <w:rPr>
          <w:rFonts w:hint="eastAsia" w:ascii="宋体" w:hAnsi="宋体" w:eastAsia="宋体" w:cs="宋体"/>
          <w:color w:val="auto"/>
          <w:sz w:val="21"/>
          <w:szCs w:val="21"/>
          <w:highlight w:val="none"/>
        </w:rPr>
      </w:pPr>
    </w:p>
    <w:p w14:paraId="20DFBD6C">
      <w:pPr>
        <w:pStyle w:val="13"/>
        <w:adjustRightInd w:val="0"/>
        <w:snapToGrid w:val="0"/>
        <w:spacing w:line="360" w:lineRule="auto"/>
        <w:outlineLvl w:val="0"/>
        <w:rPr>
          <w:rFonts w:hint="eastAsia" w:ascii="宋体" w:hAnsi="宋体" w:eastAsia="宋体" w:cs="宋体"/>
          <w:bCs/>
          <w:color w:val="auto"/>
          <w:sz w:val="21"/>
          <w:szCs w:val="21"/>
          <w:highlight w:val="none"/>
        </w:rPr>
      </w:pPr>
      <w:bookmarkStart w:id="220" w:name="_Toc4432"/>
      <w:r>
        <w:rPr>
          <w:rFonts w:hint="eastAsia" w:ascii="宋体" w:hAnsi="宋体" w:eastAsia="宋体" w:cs="宋体"/>
          <w:color w:val="auto"/>
          <w:sz w:val="21"/>
          <w:szCs w:val="21"/>
          <w:highlight w:val="none"/>
        </w:rPr>
        <w:t>供应商名称：</w:t>
      </w:r>
      <w:bookmarkEnd w:id="220"/>
      <w:r>
        <w:rPr>
          <w:rFonts w:hint="eastAsia" w:ascii="宋体" w:hAnsi="宋体" w:eastAsia="宋体" w:cs="宋体"/>
          <w:color w:val="auto"/>
          <w:szCs w:val="21"/>
          <w:highlight w:val="none"/>
          <w:u w:val="single"/>
        </w:rPr>
        <w:t xml:space="preserve">        </w:t>
      </w:r>
    </w:p>
    <w:p w14:paraId="51D77B2F">
      <w:pPr>
        <w:adjustRightInd w:val="0"/>
        <w:snapToGrid w:val="0"/>
        <w:spacing w:line="360" w:lineRule="auto"/>
        <w:outlineLvl w:val="0"/>
        <w:rPr>
          <w:rFonts w:hint="eastAsia" w:ascii="宋体" w:hAnsi="宋体" w:eastAsia="宋体" w:cs="宋体"/>
          <w:color w:val="auto"/>
          <w:szCs w:val="21"/>
          <w:highlight w:val="none"/>
          <w:u w:val="single"/>
        </w:rPr>
      </w:pPr>
      <w:bookmarkStart w:id="221" w:name="_Toc21855"/>
      <w:r>
        <w:rPr>
          <w:rFonts w:hint="eastAsia" w:ascii="宋体" w:hAnsi="宋体" w:eastAsia="宋体" w:cs="宋体"/>
          <w:color w:val="auto"/>
          <w:szCs w:val="21"/>
          <w:highlight w:val="none"/>
        </w:rPr>
        <w:t>法定代表人或其委托代理人(签字或盖章)：</w:t>
      </w:r>
      <w:bookmarkEnd w:id="221"/>
      <w:r>
        <w:rPr>
          <w:rFonts w:hint="eastAsia" w:ascii="宋体" w:hAnsi="宋体" w:eastAsia="宋体" w:cs="宋体"/>
          <w:color w:val="auto"/>
          <w:szCs w:val="21"/>
          <w:highlight w:val="none"/>
          <w:u w:val="single"/>
        </w:rPr>
        <w:t xml:space="preserve">        </w:t>
      </w:r>
    </w:p>
    <w:p w14:paraId="30CCD852">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41388A2">
      <w:pPr>
        <w:adjustRightInd w:val="0"/>
        <w:snapToGrid w:val="0"/>
        <w:spacing w:line="360" w:lineRule="auto"/>
        <w:jc w:val="center"/>
        <w:outlineLvl w:val="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bookmarkStart w:id="222" w:name="_Toc26411"/>
      <w:r>
        <w:rPr>
          <w:rFonts w:hint="eastAsia" w:ascii="宋体" w:hAnsi="宋体" w:eastAsia="宋体" w:cs="宋体"/>
          <w:b/>
          <w:color w:val="auto"/>
          <w:sz w:val="30"/>
          <w:szCs w:val="30"/>
          <w:highlight w:val="none"/>
        </w:rPr>
        <w:t>五、技术/商务响应与偏离表</w:t>
      </w:r>
      <w:bookmarkEnd w:id="222"/>
    </w:p>
    <w:p w14:paraId="4A6E9FD6">
      <w:pPr>
        <w:adjustRightInd w:val="0"/>
        <w:snapToGrid w:val="0"/>
        <w:spacing w:line="360" w:lineRule="auto"/>
        <w:ind w:left="-88" w:leftChars="-42" w:firstLine="315" w:firstLineChars="150"/>
        <w:rPr>
          <w:rFonts w:hint="eastAsia" w:ascii="宋体" w:hAnsi="宋体" w:eastAsia="宋体" w:cs="宋体"/>
          <w:color w:val="auto"/>
          <w:szCs w:val="21"/>
          <w:highlight w:val="none"/>
          <w:u w:val="single"/>
        </w:rPr>
      </w:pPr>
    </w:p>
    <w:tbl>
      <w:tblPr>
        <w:tblStyle w:val="2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79"/>
        <w:gridCol w:w="1803"/>
        <w:gridCol w:w="2085"/>
        <w:gridCol w:w="2783"/>
        <w:gridCol w:w="1299"/>
        <w:gridCol w:w="708"/>
      </w:tblGrid>
      <w:tr w14:paraId="3F3F94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2" w:hRule="atLeast"/>
          <w:jc w:val="center"/>
        </w:trPr>
        <w:tc>
          <w:tcPr>
            <w:tcW w:w="679" w:type="dxa"/>
            <w:vAlign w:val="center"/>
          </w:tcPr>
          <w:p w14:paraId="5EEB1FB6">
            <w:pPr>
              <w:adjustRightInd w:val="0"/>
              <w:snapToGrid w:val="0"/>
              <w:spacing w:line="360" w:lineRule="auto"/>
              <w:ind w:left="-88" w:leftChars="-42"/>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1803" w:type="dxa"/>
            <w:vAlign w:val="center"/>
          </w:tcPr>
          <w:p w14:paraId="4E541E32">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磋商文件条目号</w:t>
            </w:r>
          </w:p>
        </w:tc>
        <w:tc>
          <w:tcPr>
            <w:tcW w:w="2085" w:type="dxa"/>
            <w:vAlign w:val="center"/>
          </w:tcPr>
          <w:p w14:paraId="6FA0AF04">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采购规格/商务条款</w:t>
            </w:r>
          </w:p>
        </w:tc>
        <w:tc>
          <w:tcPr>
            <w:tcW w:w="2783" w:type="dxa"/>
            <w:vAlign w:val="center"/>
          </w:tcPr>
          <w:p w14:paraId="5A0EC55C">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响应文件的规格/商务条款</w:t>
            </w:r>
          </w:p>
        </w:tc>
        <w:tc>
          <w:tcPr>
            <w:tcW w:w="1299" w:type="dxa"/>
            <w:vAlign w:val="center"/>
          </w:tcPr>
          <w:p w14:paraId="4331F278">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响应与偏离</w:t>
            </w:r>
          </w:p>
        </w:tc>
        <w:tc>
          <w:tcPr>
            <w:tcW w:w="708" w:type="dxa"/>
            <w:vAlign w:val="center"/>
          </w:tcPr>
          <w:p w14:paraId="23EB5879">
            <w:pPr>
              <w:adjustRightInd w:val="0"/>
              <w:snapToGrid w:val="0"/>
              <w:spacing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280FC7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626AD8A3">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25AAD51B">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010C2494">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3933B046">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68BFC803">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576963F4">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63E8EA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15CC8C73">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65B5375D">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24848E9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61D46EB2">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4B728325">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43AAD62F">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1DE9AD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61C57D8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4465BFF9">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7C7840C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2E8AF581">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295F2CE5">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7F710F27">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34F666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6F140ED9">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1AEA6B6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54D17BDB">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6CB3FCC7">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0191A3C2">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3EE63BF5">
            <w:pPr>
              <w:adjustRightInd w:val="0"/>
              <w:snapToGrid w:val="0"/>
              <w:spacing w:line="360" w:lineRule="auto"/>
              <w:ind w:left="-88" w:leftChars="-42"/>
              <w:jc w:val="center"/>
              <w:rPr>
                <w:rFonts w:hint="eastAsia" w:ascii="宋体" w:hAnsi="宋体" w:eastAsia="宋体" w:cs="宋体"/>
                <w:color w:val="auto"/>
                <w:szCs w:val="21"/>
                <w:highlight w:val="none"/>
              </w:rPr>
            </w:pPr>
          </w:p>
        </w:tc>
      </w:tr>
      <w:tr w14:paraId="124A2C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34" w:hRule="atLeast"/>
          <w:jc w:val="center"/>
        </w:trPr>
        <w:tc>
          <w:tcPr>
            <w:tcW w:w="679" w:type="dxa"/>
          </w:tcPr>
          <w:p w14:paraId="22429178">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803" w:type="dxa"/>
            <w:vAlign w:val="center"/>
          </w:tcPr>
          <w:p w14:paraId="2718B77C">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085" w:type="dxa"/>
            <w:vAlign w:val="center"/>
          </w:tcPr>
          <w:p w14:paraId="4D249525">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2783" w:type="dxa"/>
            <w:vAlign w:val="center"/>
          </w:tcPr>
          <w:p w14:paraId="68656E6A">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1299" w:type="dxa"/>
            <w:vAlign w:val="center"/>
          </w:tcPr>
          <w:p w14:paraId="6879B4FA">
            <w:pPr>
              <w:adjustRightInd w:val="0"/>
              <w:snapToGrid w:val="0"/>
              <w:spacing w:line="360" w:lineRule="auto"/>
              <w:ind w:left="-88" w:leftChars="-42"/>
              <w:jc w:val="center"/>
              <w:rPr>
                <w:rFonts w:hint="eastAsia" w:ascii="宋体" w:hAnsi="宋体" w:eastAsia="宋体" w:cs="宋体"/>
                <w:color w:val="auto"/>
                <w:szCs w:val="21"/>
                <w:highlight w:val="none"/>
              </w:rPr>
            </w:pPr>
          </w:p>
        </w:tc>
        <w:tc>
          <w:tcPr>
            <w:tcW w:w="708" w:type="dxa"/>
            <w:vAlign w:val="center"/>
          </w:tcPr>
          <w:p w14:paraId="775BEE6B">
            <w:pPr>
              <w:adjustRightInd w:val="0"/>
              <w:snapToGrid w:val="0"/>
              <w:spacing w:line="360" w:lineRule="auto"/>
              <w:ind w:left="-88" w:leftChars="-42"/>
              <w:jc w:val="center"/>
              <w:rPr>
                <w:rFonts w:hint="eastAsia" w:ascii="宋体" w:hAnsi="宋体" w:eastAsia="宋体" w:cs="宋体"/>
                <w:color w:val="auto"/>
                <w:szCs w:val="21"/>
                <w:highlight w:val="none"/>
              </w:rPr>
            </w:pPr>
          </w:p>
        </w:tc>
      </w:tr>
    </w:tbl>
    <w:p w14:paraId="34FA37C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0F640DE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1、“响应与偏离”应注明“响应”或“偏离”。</w:t>
      </w:r>
    </w:p>
    <w:p w14:paraId="2AA3065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2、属磋商文件规定可能变动的内容在“说明”栏中注明。</w:t>
      </w:r>
    </w:p>
    <w:p w14:paraId="77C1215C">
      <w:pPr>
        <w:adjustRightInd w:val="0"/>
        <w:snapToGrid w:val="0"/>
        <w:spacing w:line="360" w:lineRule="auto"/>
        <w:rPr>
          <w:rFonts w:hint="eastAsia" w:ascii="宋体" w:hAnsi="宋体" w:eastAsia="宋体" w:cs="宋体"/>
          <w:color w:val="auto"/>
          <w:szCs w:val="21"/>
          <w:highlight w:val="none"/>
        </w:rPr>
      </w:pPr>
    </w:p>
    <w:p w14:paraId="2B3BFCF5">
      <w:pPr>
        <w:pStyle w:val="13"/>
        <w:adjustRightInd w:val="0"/>
        <w:snapToGrid w:val="0"/>
        <w:spacing w:line="360" w:lineRule="auto"/>
        <w:outlineLvl w:val="0"/>
        <w:rPr>
          <w:rFonts w:hint="eastAsia" w:ascii="宋体" w:hAnsi="宋体" w:eastAsia="宋体" w:cs="宋体"/>
          <w:bCs/>
          <w:color w:val="auto"/>
          <w:sz w:val="21"/>
          <w:szCs w:val="21"/>
          <w:highlight w:val="none"/>
        </w:rPr>
      </w:pPr>
      <w:bookmarkStart w:id="223" w:name="_Toc12624"/>
      <w:r>
        <w:rPr>
          <w:rFonts w:hint="eastAsia" w:ascii="宋体" w:hAnsi="宋体" w:eastAsia="宋体" w:cs="宋体"/>
          <w:color w:val="auto"/>
          <w:sz w:val="21"/>
          <w:szCs w:val="21"/>
          <w:highlight w:val="none"/>
        </w:rPr>
        <w:t>供应商名称（盖单位章）：</w:t>
      </w:r>
      <w:bookmarkEnd w:id="223"/>
      <w:r>
        <w:rPr>
          <w:rFonts w:hint="eastAsia" w:ascii="宋体" w:hAnsi="宋体" w:eastAsia="宋体" w:cs="宋体"/>
          <w:color w:val="auto"/>
          <w:szCs w:val="21"/>
          <w:highlight w:val="none"/>
          <w:u w:val="single"/>
        </w:rPr>
        <w:t xml:space="preserve">        </w:t>
      </w:r>
    </w:p>
    <w:p w14:paraId="32C7054D">
      <w:pPr>
        <w:adjustRightInd w:val="0"/>
        <w:snapToGrid w:val="0"/>
        <w:spacing w:line="360" w:lineRule="auto"/>
        <w:outlineLvl w:val="0"/>
        <w:rPr>
          <w:rFonts w:hint="eastAsia" w:ascii="宋体" w:hAnsi="宋体" w:eastAsia="宋体" w:cs="宋体"/>
          <w:color w:val="auto"/>
          <w:szCs w:val="21"/>
          <w:highlight w:val="none"/>
        </w:rPr>
      </w:pPr>
      <w:bookmarkStart w:id="224" w:name="_Toc18422"/>
      <w:r>
        <w:rPr>
          <w:rFonts w:hint="eastAsia" w:ascii="宋体" w:hAnsi="宋体" w:eastAsia="宋体" w:cs="宋体"/>
          <w:color w:val="auto"/>
          <w:szCs w:val="21"/>
          <w:highlight w:val="none"/>
        </w:rPr>
        <w:t>法定代表人或其委托代理人(签字或盖章)：</w:t>
      </w:r>
      <w:bookmarkEnd w:id="224"/>
      <w:r>
        <w:rPr>
          <w:rFonts w:hint="eastAsia" w:ascii="宋体" w:hAnsi="宋体" w:eastAsia="宋体" w:cs="宋体"/>
          <w:color w:val="auto"/>
          <w:szCs w:val="21"/>
          <w:highlight w:val="none"/>
          <w:u w:val="single"/>
        </w:rPr>
        <w:t xml:space="preserve">        </w:t>
      </w:r>
    </w:p>
    <w:p w14:paraId="5DE9CD66">
      <w:pPr>
        <w:adjustRightInd w:val="0"/>
        <w:snapToGrid w:val="0"/>
        <w:spacing w:line="360" w:lineRule="auto"/>
        <w:outlineLvl w:val="0"/>
        <w:rPr>
          <w:rFonts w:hint="eastAsia" w:ascii="宋体" w:hAnsi="宋体" w:eastAsia="宋体" w:cs="宋体"/>
          <w:color w:val="auto"/>
          <w:szCs w:val="21"/>
          <w:highlight w:val="none"/>
        </w:rPr>
      </w:pPr>
      <w:bookmarkStart w:id="225" w:name="_Toc2487"/>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bookmarkEnd w:id="225"/>
    </w:p>
    <w:p w14:paraId="773D62FB">
      <w:pPr>
        <w:adjustRightInd w:val="0"/>
        <w:snapToGrid w:val="0"/>
        <w:spacing w:line="360" w:lineRule="auto"/>
        <w:rPr>
          <w:rFonts w:hint="eastAsia" w:ascii="宋体" w:hAnsi="宋体" w:eastAsia="宋体" w:cs="宋体"/>
          <w:color w:val="auto"/>
          <w:szCs w:val="21"/>
          <w:highlight w:val="none"/>
        </w:rPr>
      </w:pPr>
    </w:p>
    <w:p w14:paraId="62DAF074">
      <w:pPr>
        <w:pStyle w:val="3"/>
        <w:spacing w:line="360" w:lineRule="exact"/>
        <w:jc w:val="center"/>
        <w:rPr>
          <w:rFonts w:hint="eastAsia" w:ascii="宋体" w:hAnsi="宋体" w:eastAsia="宋体" w:cs="宋体"/>
          <w:color w:val="auto"/>
          <w:kern w:val="32"/>
          <w:szCs w:val="24"/>
          <w:highlight w:val="none"/>
        </w:rPr>
      </w:pPr>
      <w:r>
        <w:rPr>
          <w:rFonts w:hint="eastAsia" w:ascii="宋体" w:hAnsi="宋体" w:eastAsia="宋体" w:cs="宋体"/>
          <w:color w:val="auto"/>
          <w:sz w:val="32"/>
          <w:highlight w:val="none"/>
        </w:rPr>
        <w:br w:type="page"/>
      </w:r>
      <w:bookmarkStart w:id="226" w:name="_Toc17548"/>
      <w:r>
        <w:rPr>
          <w:rFonts w:hint="eastAsia" w:ascii="宋体" w:hAnsi="宋体" w:eastAsia="宋体" w:cs="宋体"/>
          <w:color w:val="auto"/>
          <w:sz w:val="32"/>
          <w:highlight w:val="none"/>
        </w:rPr>
        <w:t>六、 报价一览表及报价文件</w:t>
      </w:r>
      <w:bookmarkEnd w:id="226"/>
    </w:p>
    <w:p w14:paraId="6F8F3C3F">
      <w:pPr>
        <w:tabs>
          <w:tab w:val="left" w:pos="3600"/>
        </w:tabs>
        <w:adjustRightInd w:val="0"/>
        <w:snapToGrid w:val="0"/>
        <w:spacing w:line="360" w:lineRule="auto"/>
        <w:jc w:val="center"/>
        <w:rPr>
          <w:rFonts w:hint="eastAsia" w:ascii="宋体" w:hAnsi="宋体" w:eastAsia="宋体" w:cs="宋体"/>
          <w:b/>
          <w:color w:val="auto"/>
          <w:sz w:val="32"/>
          <w:szCs w:val="32"/>
          <w:highlight w:val="none"/>
        </w:rPr>
      </w:pPr>
    </w:p>
    <w:p w14:paraId="0111E569">
      <w:pPr>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附件6-1</w:t>
      </w:r>
    </w:p>
    <w:p w14:paraId="4726D574">
      <w:pPr>
        <w:pStyle w:val="31"/>
        <w:ind w:firstLine="0" w:firstLineChars="0"/>
        <w:jc w:val="center"/>
        <w:rPr>
          <w:rFonts w:hint="eastAsia" w:ascii="宋体" w:hAnsi="宋体" w:eastAsia="宋体" w:cs="宋体"/>
          <w:color w:val="auto"/>
          <w:highlight w:val="none"/>
        </w:rPr>
      </w:pPr>
      <w:r>
        <w:rPr>
          <w:rFonts w:hint="eastAsia" w:ascii="宋体" w:hAnsi="宋体" w:eastAsia="宋体" w:cs="宋体"/>
          <w:b/>
          <w:color w:val="auto"/>
          <w:sz w:val="28"/>
          <w:szCs w:val="28"/>
          <w:highlight w:val="none"/>
        </w:rPr>
        <w:t>报价一览表</w:t>
      </w:r>
    </w:p>
    <w:tbl>
      <w:tblPr>
        <w:tblStyle w:val="24"/>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3163"/>
      </w:tblGrid>
      <w:tr w14:paraId="1CA20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620" w:type="dxa"/>
            <w:tcBorders>
              <w:top w:val="double" w:color="auto" w:sz="4" w:space="0"/>
              <w:left w:val="double" w:color="auto" w:sz="4" w:space="0"/>
              <w:bottom w:val="single" w:color="auto" w:sz="6" w:space="0"/>
              <w:right w:val="single" w:color="auto" w:sz="6" w:space="0"/>
            </w:tcBorders>
            <w:vAlign w:val="center"/>
          </w:tcPr>
          <w:p w14:paraId="7D7B2C13">
            <w:pPr>
              <w:tabs>
                <w:tab w:val="left" w:pos="403"/>
                <w:tab w:val="center" w:pos="3781"/>
              </w:tabs>
              <w:spacing w:line="360" w:lineRule="auto"/>
              <w:ind w:right="-5206" w:rightChars="-2479"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项目名称</w:t>
            </w:r>
          </w:p>
        </w:tc>
        <w:tc>
          <w:tcPr>
            <w:tcW w:w="3060" w:type="dxa"/>
            <w:tcBorders>
              <w:top w:val="double" w:color="auto" w:sz="4" w:space="0"/>
              <w:left w:val="single" w:color="auto" w:sz="6" w:space="0"/>
              <w:bottom w:val="single" w:color="auto" w:sz="6" w:space="0"/>
              <w:right w:val="single" w:color="auto" w:sz="6" w:space="0"/>
            </w:tcBorders>
            <w:vAlign w:val="center"/>
          </w:tcPr>
          <w:p w14:paraId="0C3FB760">
            <w:pPr>
              <w:spacing w:line="360" w:lineRule="auto"/>
              <w:jc w:val="center"/>
              <w:rPr>
                <w:rFonts w:hint="eastAsia" w:ascii="宋体" w:hAnsi="宋体" w:eastAsia="宋体" w:cs="宋体"/>
                <w:color w:val="auto"/>
                <w:szCs w:val="21"/>
                <w:highlight w:val="none"/>
              </w:rPr>
            </w:pPr>
          </w:p>
        </w:tc>
        <w:tc>
          <w:tcPr>
            <w:tcW w:w="1620" w:type="dxa"/>
            <w:tcBorders>
              <w:top w:val="double" w:color="auto" w:sz="4" w:space="0"/>
              <w:left w:val="single" w:color="auto" w:sz="6" w:space="0"/>
              <w:right w:val="single" w:color="auto" w:sz="6" w:space="0"/>
            </w:tcBorders>
            <w:vAlign w:val="center"/>
          </w:tcPr>
          <w:p w14:paraId="2F7396C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政府采购</w:t>
            </w:r>
            <w:r>
              <w:rPr>
                <w:rFonts w:hint="eastAsia" w:ascii="宋体" w:hAnsi="宋体" w:eastAsia="宋体" w:cs="宋体"/>
                <w:color w:val="auto"/>
                <w:szCs w:val="21"/>
                <w:highlight w:val="none"/>
              </w:rPr>
              <w:t>编号</w:t>
            </w:r>
          </w:p>
        </w:tc>
        <w:tc>
          <w:tcPr>
            <w:tcW w:w="3163" w:type="dxa"/>
            <w:tcBorders>
              <w:top w:val="double" w:color="auto" w:sz="4" w:space="0"/>
              <w:left w:val="single" w:color="auto" w:sz="6" w:space="0"/>
              <w:right w:val="double" w:color="auto" w:sz="4" w:space="0"/>
            </w:tcBorders>
            <w:vAlign w:val="center"/>
          </w:tcPr>
          <w:p w14:paraId="625D5E47">
            <w:pPr>
              <w:spacing w:line="360" w:lineRule="auto"/>
              <w:jc w:val="center"/>
              <w:rPr>
                <w:rFonts w:hint="eastAsia" w:ascii="宋体" w:hAnsi="宋体" w:eastAsia="宋体" w:cs="宋体"/>
                <w:color w:val="auto"/>
                <w:szCs w:val="21"/>
                <w:highlight w:val="none"/>
              </w:rPr>
            </w:pPr>
          </w:p>
        </w:tc>
      </w:tr>
      <w:tr w14:paraId="0B1996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449A02B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品目分类编码</w:t>
            </w:r>
          </w:p>
        </w:tc>
        <w:tc>
          <w:tcPr>
            <w:tcW w:w="7843" w:type="dxa"/>
            <w:gridSpan w:val="3"/>
            <w:tcBorders>
              <w:top w:val="single" w:color="auto" w:sz="6" w:space="0"/>
              <w:left w:val="single" w:color="auto" w:sz="6" w:space="0"/>
              <w:bottom w:val="single" w:color="auto" w:sz="6" w:space="0"/>
              <w:right w:val="double" w:color="auto" w:sz="4" w:space="0"/>
            </w:tcBorders>
            <w:vAlign w:val="center"/>
          </w:tcPr>
          <w:p w14:paraId="70163DFF">
            <w:pPr>
              <w:spacing w:line="360" w:lineRule="auto"/>
              <w:rPr>
                <w:rFonts w:hint="eastAsia" w:ascii="宋体" w:hAnsi="宋体" w:eastAsia="宋体" w:cs="宋体"/>
                <w:color w:val="auto"/>
                <w:szCs w:val="21"/>
                <w:highlight w:val="none"/>
              </w:rPr>
            </w:pPr>
          </w:p>
        </w:tc>
      </w:tr>
      <w:tr w14:paraId="0A0483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1620" w:type="dxa"/>
            <w:tcBorders>
              <w:top w:val="single" w:color="auto" w:sz="6" w:space="0"/>
              <w:left w:val="double" w:color="auto" w:sz="4" w:space="0"/>
              <w:right w:val="single" w:color="auto" w:sz="6" w:space="0"/>
            </w:tcBorders>
            <w:vAlign w:val="center"/>
          </w:tcPr>
          <w:p w14:paraId="4F219A9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w:t>
            </w:r>
          </w:p>
        </w:tc>
        <w:tc>
          <w:tcPr>
            <w:tcW w:w="7843" w:type="dxa"/>
            <w:gridSpan w:val="3"/>
            <w:tcBorders>
              <w:top w:val="single" w:color="auto" w:sz="6" w:space="0"/>
              <w:left w:val="single" w:color="auto" w:sz="6" w:space="0"/>
              <w:bottom w:val="single" w:color="auto" w:sz="6" w:space="0"/>
              <w:right w:val="double" w:color="auto" w:sz="4" w:space="0"/>
            </w:tcBorders>
            <w:vAlign w:val="center"/>
          </w:tcPr>
          <w:p w14:paraId="2FA5B90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大写：元人民币整</w:t>
            </w:r>
          </w:p>
          <w:p w14:paraId="6E63114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小写：元人民币整</w:t>
            </w:r>
          </w:p>
        </w:tc>
      </w:tr>
      <w:tr w14:paraId="1740F7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4" w:space="0"/>
              <w:right w:val="single" w:color="auto" w:sz="6" w:space="0"/>
            </w:tcBorders>
            <w:vAlign w:val="center"/>
          </w:tcPr>
          <w:p w14:paraId="1C72F60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合同工期</w:t>
            </w:r>
          </w:p>
        </w:tc>
        <w:tc>
          <w:tcPr>
            <w:tcW w:w="7843" w:type="dxa"/>
            <w:gridSpan w:val="3"/>
            <w:tcBorders>
              <w:top w:val="single" w:color="auto" w:sz="6" w:space="0"/>
              <w:left w:val="single" w:color="auto" w:sz="6" w:space="0"/>
              <w:bottom w:val="single" w:color="auto" w:sz="4" w:space="0"/>
              <w:right w:val="double" w:color="auto" w:sz="4" w:space="0"/>
            </w:tcBorders>
            <w:vAlign w:val="center"/>
          </w:tcPr>
          <w:p w14:paraId="1EB91AF1">
            <w:pPr>
              <w:spacing w:line="360" w:lineRule="auto"/>
              <w:rPr>
                <w:rFonts w:hint="eastAsia" w:ascii="宋体" w:hAnsi="宋体" w:eastAsia="宋体" w:cs="宋体"/>
                <w:color w:val="auto"/>
                <w:szCs w:val="21"/>
                <w:highlight w:val="none"/>
              </w:rPr>
            </w:pPr>
          </w:p>
        </w:tc>
      </w:tr>
      <w:tr w14:paraId="11555E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4" w:space="0"/>
              <w:left w:val="double" w:color="auto" w:sz="4" w:space="0"/>
              <w:right w:val="single" w:color="auto" w:sz="6" w:space="0"/>
            </w:tcBorders>
            <w:vAlign w:val="center"/>
          </w:tcPr>
          <w:p w14:paraId="67A0601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质量标准</w:t>
            </w:r>
          </w:p>
        </w:tc>
        <w:tc>
          <w:tcPr>
            <w:tcW w:w="7843" w:type="dxa"/>
            <w:gridSpan w:val="3"/>
            <w:tcBorders>
              <w:top w:val="single" w:color="auto" w:sz="4" w:space="0"/>
              <w:left w:val="single" w:color="auto" w:sz="6" w:space="0"/>
              <w:bottom w:val="single" w:color="auto" w:sz="6" w:space="0"/>
              <w:right w:val="double" w:color="auto" w:sz="4" w:space="0"/>
            </w:tcBorders>
            <w:vAlign w:val="center"/>
          </w:tcPr>
          <w:p w14:paraId="244383E5">
            <w:pPr>
              <w:spacing w:line="360" w:lineRule="auto"/>
              <w:rPr>
                <w:rFonts w:hint="eastAsia" w:ascii="宋体" w:hAnsi="宋体" w:eastAsia="宋体" w:cs="宋体"/>
                <w:color w:val="auto"/>
                <w:szCs w:val="21"/>
                <w:highlight w:val="none"/>
              </w:rPr>
            </w:pPr>
          </w:p>
        </w:tc>
      </w:tr>
      <w:tr w14:paraId="527907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6" w:space="0"/>
              <w:right w:val="single" w:color="auto" w:sz="6" w:space="0"/>
            </w:tcBorders>
            <w:vAlign w:val="center"/>
          </w:tcPr>
          <w:p w14:paraId="4CB4807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保修承诺</w:t>
            </w:r>
          </w:p>
        </w:tc>
        <w:tc>
          <w:tcPr>
            <w:tcW w:w="7843" w:type="dxa"/>
            <w:gridSpan w:val="3"/>
            <w:tcBorders>
              <w:top w:val="single" w:color="auto" w:sz="6" w:space="0"/>
              <w:left w:val="single" w:color="auto" w:sz="6" w:space="0"/>
              <w:bottom w:val="single" w:color="auto" w:sz="6" w:space="0"/>
              <w:right w:val="double" w:color="auto" w:sz="4" w:space="0"/>
            </w:tcBorders>
            <w:vAlign w:val="center"/>
          </w:tcPr>
          <w:p w14:paraId="16AECBAE">
            <w:pPr>
              <w:spacing w:line="360" w:lineRule="auto"/>
              <w:rPr>
                <w:rFonts w:hint="eastAsia" w:ascii="宋体" w:hAnsi="宋体" w:eastAsia="宋体" w:cs="宋体"/>
                <w:iCs/>
                <w:color w:val="auto"/>
                <w:szCs w:val="21"/>
                <w:highlight w:val="none"/>
              </w:rPr>
            </w:pPr>
          </w:p>
        </w:tc>
      </w:tr>
      <w:tr w14:paraId="6CFA55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6" w:space="0"/>
              <w:right w:val="single" w:color="auto" w:sz="6" w:space="0"/>
            </w:tcBorders>
            <w:vAlign w:val="center"/>
          </w:tcPr>
          <w:p w14:paraId="368579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7843" w:type="dxa"/>
            <w:gridSpan w:val="3"/>
            <w:tcBorders>
              <w:top w:val="single" w:color="auto" w:sz="6" w:space="0"/>
              <w:left w:val="single" w:color="auto" w:sz="6" w:space="0"/>
              <w:bottom w:val="single" w:color="auto" w:sz="6" w:space="0"/>
              <w:right w:val="double" w:color="auto" w:sz="4" w:space="0"/>
            </w:tcBorders>
            <w:vAlign w:val="center"/>
          </w:tcPr>
          <w:p w14:paraId="09062E4A">
            <w:pPr>
              <w:spacing w:line="360" w:lineRule="auto"/>
              <w:rPr>
                <w:rFonts w:hint="eastAsia" w:ascii="宋体" w:hAnsi="宋体" w:eastAsia="宋体" w:cs="宋体"/>
                <w:color w:val="auto"/>
                <w:szCs w:val="21"/>
                <w:highlight w:val="none"/>
              </w:rPr>
            </w:pPr>
          </w:p>
        </w:tc>
      </w:tr>
      <w:tr w14:paraId="40A86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double" w:color="auto" w:sz="4" w:space="0"/>
              <w:right w:val="single" w:color="auto" w:sz="6" w:space="0"/>
            </w:tcBorders>
            <w:vAlign w:val="center"/>
          </w:tcPr>
          <w:p w14:paraId="0CB76B5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  注</w:t>
            </w:r>
          </w:p>
        </w:tc>
        <w:tc>
          <w:tcPr>
            <w:tcW w:w="7843" w:type="dxa"/>
            <w:gridSpan w:val="3"/>
            <w:tcBorders>
              <w:top w:val="single" w:color="auto" w:sz="6" w:space="0"/>
              <w:left w:val="single" w:color="auto" w:sz="6" w:space="0"/>
              <w:bottom w:val="double" w:color="auto" w:sz="4" w:space="0"/>
              <w:right w:val="double" w:color="auto" w:sz="4" w:space="0"/>
            </w:tcBorders>
            <w:vAlign w:val="center"/>
          </w:tcPr>
          <w:p w14:paraId="2C10A903">
            <w:pPr>
              <w:spacing w:line="360" w:lineRule="auto"/>
              <w:rPr>
                <w:rFonts w:hint="eastAsia" w:ascii="宋体" w:hAnsi="宋体" w:eastAsia="宋体" w:cs="宋体"/>
                <w:color w:val="auto"/>
                <w:szCs w:val="21"/>
                <w:highlight w:val="none"/>
              </w:rPr>
            </w:pPr>
          </w:p>
        </w:tc>
      </w:tr>
    </w:tbl>
    <w:p w14:paraId="4B4ACA66">
      <w:pPr>
        <w:adjustRightInd w:val="0"/>
        <w:snapToGrid w:val="0"/>
        <w:spacing w:line="360" w:lineRule="auto"/>
        <w:ind w:left="-88" w:leftChars="-42"/>
        <w:rPr>
          <w:rFonts w:hint="eastAsia" w:ascii="宋体" w:hAnsi="宋体" w:eastAsia="宋体" w:cs="宋体"/>
          <w:color w:val="auto"/>
          <w:szCs w:val="21"/>
          <w:highlight w:val="none"/>
        </w:rPr>
      </w:pPr>
    </w:p>
    <w:p w14:paraId="623EEC6C">
      <w:pPr>
        <w:pStyle w:val="13"/>
        <w:adjustRightInd w:val="0"/>
        <w:snapToGrid w:val="0"/>
        <w:spacing w:line="360" w:lineRule="auto"/>
        <w:outlineLvl w:val="0"/>
        <w:rPr>
          <w:rFonts w:hint="eastAsia" w:ascii="宋体" w:hAnsi="宋体" w:eastAsia="宋体" w:cs="宋体"/>
          <w:bCs/>
          <w:color w:val="auto"/>
          <w:sz w:val="21"/>
          <w:szCs w:val="21"/>
          <w:highlight w:val="none"/>
        </w:rPr>
      </w:pPr>
      <w:bookmarkStart w:id="227" w:name="_Toc8243"/>
      <w:r>
        <w:rPr>
          <w:rFonts w:hint="eastAsia" w:ascii="宋体" w:hAnsi="宋体" w:eastAsia="宋体" w:cs="宋体"/>
          <w:color w:val="auto"/>
          <w:sz w:val="21"/>
          <w:szCs w:val="21"/>
          <w:highlight w:val="none"/>
        </w:rPr>
        <w:t>供应商名称：</w:t>
      </w:r>
      <w:bookmarkEnd w:id="227"/>
      <w:r>
        <w:rPr>
          <w:rFonts w:hint="eastAsia" w:ascii="宋体" w:hAnsi="宋体" w:eastAsia="宋体" w:cs="宋体"/>
          <w:color w:val="auto"/>
          <w:szCs w:val="21"/>
          <w:highlight w:val="none"/>
          <w:u w:val="single"/>
        </w:rPr>
        <w:t xml:space="preserve">        </w:t>
      </w:r>
    </w:p>
    <w:p w14:paraId="7D91EE56">
      <w:pPr>
        <w:adjustRightInd w:val="0"/>
        <w:snapToGrid w:val="0"/>
        <w:spacing w:line="360" w:lineRule="auto"/>
        <w:outlineLvl w:val="0"/>
        <w:rPr>
          <w:rFonts w:hint="eastAsia" w:ascii="宋体" w:hAnsi="宋体" w:eastAsia="宋体" w:cs="宋体"/>
          <w:color w:val="auto"/>
          <w:szCs w:val="21"/>
          <w:highlight w:val="none"/>
          <w:u w:val="single"/>
        </w:rPr>
      </w:pPr>
      <w:bookmarkStart w:id="228" w:name="_Toc888"/>
      <w:r>
        <w:rPr>
          <w:rFonts w:hint="eastAsia" w:ascii="宋体" w:hAnsi="宋体" w:eastAsia="宋体" w:cs="宋体"/>
          <w:color w:val="auto"/>
          <w:szCs w:val="21"/>
          <w:highlight w:val="none"/>
        </w:rPr>
        <w:t>法定代表人或其委托代理人(签字或盖章)：</w:t>
      </w:r>
      <w:bookmarkEnd w:id="228"/>
      <w:r>
        <w:rPr>
          <w:rFonts w:hint="eastAsia" w:ascii="宋体" w:hAnsi="宋体" w:eastAsia="宋体" w:cs="宋体"/>
          <w:color w:val="auto"/>
          <w:szCs w:val="21"/>
          <w:highlight w:val="none"/>
          <w:u w:val="single"/>
        </w:rPr>
        <w:t xml:space="preserve">        </w:t>
      </w:r>
    </w:p>
    <w:p w14:paraId="182FC873">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6737B69">
      <w:pPr>
        <w:adjustRightInd w:val="0"/>
        <w:snapToGrid w:val="0"/>
        <w:spacing w:line="360" w:lineRule="auto"/>
        <w:rPr>
          <w:rFonts w:hint="eastAsia" w:ascii="宋体" w:hAnsi="宋体" w:eastAsia="宋体" w:cs="宋体"/>
          <w:color w:val="auto"/>
          <w:szCs w:val="21"/>
          <w:highlight w:val="none"/>
        </w:rPr>
      </w:pPr>
    </w:p>
    <w:p w14:paraId="05FF7494">
      <w:pPr>
        <w:adjustRightInd w:val="0"/>
        <w:snapToGrid w:val="0"/>
        <w:spacing w:line="360" w:lineRule="auto"/>
        <w:rPr>
          <w:rFonts w:hint="eastAsia" w:ascii="宋体" w:hAnsi="宋体" w:eastAsia="宋体" w:cs="宋体"/>
          <w:b/>
          <w:color w:val="auto"/>
          <w:szCs w:val="21"/>
          <w:highlight w:val="none"/>
        </w:rPr>
        <w:sectPr>
          <w:pgSz w:w="11906" w:h="16838"/>
          <w:pgMar w:top="1418" w:right="1134" w:bottom="1134" w:left="1418" w:header="851" w:footer="850"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b/>
          <w:color w:val="auto"/>
          <w:szCs w:val="21"/>
          <w:highlight w:val="none"/>
        </w:rPr>
        <w:t>注：首次报价表须装订在响应文件中。</w:t>
      </w:r>
    </w:p>
    <w:p w14:paraId="49DF76E2">
      <w:pPr>
        <w:adjustRightInd w:val="0"/>
        <w:snapToGrid w:val="0"/>
        <w:spacing w:line="360" w:lineRule="auto"/>
        <w:rPr>
          <w:rFonts w:hint="eastAsia" w:ascii="宋体" w:hAnsi="宋体" w:eastAsia="宋体" w:cs="宋体"/>
          <w:color w:val="auto"/>
          <w:highlight w:val="none"/>
        </w:rPr>
      </w:pPr>
      <w:bookmarkStart w:id="229" w:name="_Toc500269631"/>
      <w:bookmarkStart w:id="230" w:name="_Toc500271419"/>
      <w:bookmarkStart w:id="231" w:name="_Toc500271160"/>
      <w:bookmarkStart w:id="232" w:name="_Toc500271331"/>
      <w:r>
        <w:rPr>
          <w:rFonts w:hint="eastAsia" w:ascii="宋体" w:hAnsi="宋体" w:eastAsia="宋体" w:cs="宋体"/>
          <w:b/>
          <w:color w:val="auto"/>
          <w:sz w:val="28"/>
          <w:szCs w:val="28"/>
          <w:highlight w:val="none"/>
        </w:rPr>
        <w:t>附件6-2</w:t>
      </w:r>
    </w:p>
    <w:p w14:paraId="6271F1CC">
      <w:pPr>
        <w:pStyle w:val="31"/>
        <w:ind w:firstLine="0" w:firstLineChars="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分项报价表</w:t>
      </w:r>
    </w:p>
    <w:p w14:paraId="7AB3C644">
      <w:pPr>
        <w:pStyle w:val="4"/>
        <w:spacing w:before="0" w:after="0" w:line="360" w:lineRule="auto"/>
        <w:jc w:val="center"/>
        <w:rPr>
          <w:rFonts w:hint="eastAsia" w:ascii="宋体" w:hAnsi="宋体" w:eastAsia="宋体" w:cs="宋体"/>
          <w:color w:val="auto"/>
          <w:highlight w:val="none"/>
        </w:rPr>
      </w:pPr>
      <w:bookmarkStart w:id="233" w:name="_Toc26344"/>
      <w:r>
        <w:rPr>
          <w:rFonts w:hint="eastAsia" w:ascii="宋体" w:hAnsi="宋体" w:eastAsia="宋体" w:cs="宋体"/>
          <w:color w:val="auto"/>
          <w:highlight w:val="none"/>
        </w:rPr>
        <w:t>工程量清单</w:t>
      </w:r>
      <w:bookmarkEnd w:id="229"/>
      <w:bookmarkEnd w:id="230"/>
      <w:bookmarkEnd w:id="231"/>
      <w:bookmarkEnd w:id="232"/>
      <w:bookmarkEnd w:id="233"/>
    </w:p>
    <w:p w14:paraId="6AFD0D41">
      <w:pPr>
        <w:autoSpaceDE w:val="0"/>
        <w:autoSpaceDN w:val="0"/>
        <w:adjustRightInd w:val="0"/>
        <w:spacing w:before="64" w:line="360" w:lineRule="auto"/>
        <w:ind w:right="-23" w:firstLine="420" w:firstLineChars="200"/>
        <w:jc w:val="left"/>
        <w:rPr>
          <w:rFonts w:hint="eastAsia" w:ascii="宋体" w:hAnsi="宋体" w:eastAsia="宋体" w:cs="宋体"/>
          <w:bCs/>
          <w:color w:val="auto"/>
          <w:kern w:val="0"/>
          <w:szCs w:val="21"/>
          <w:highlight w:val="none"/>
        </w:rPr>
      </w:pPr>
      <w:bookmarkStart w:id="234" w:name="_Toc40993568"/>
      <w:bookmarkStart w:id="235" w:name="_Toc9178592"/>
      <w:bookmarkStart w:id="236" w:name="_Toc300678595"/>
      <w:r>
        <w:rPr>
          <w:rFonts w:hint="eastAsia" w:ascii="宋体" w:hAnsi="宋体" w:eastAsia="宋体" w:cs="宋体"/>
          <w:bCs/>
          <w:color w:val="auto"/>
          <w:kern w:val="0"/>
          <w:szCs w:val="21"/>
          <w:highlight w:val="none"/>
        </w:rPr>
        <w:t>1.已标价工程量清单内容</w:t>
      </w:r>
      <w:bookmarkEnd w:id="234"/>
      <w:bookmarkEnd w:id="235"/>
      <w:bookmarkEnd w:id="236"/>
    </w:p>
    <w:p w14:paraId="17374C4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（1）投标总价封面；</w:t>
      </w:r>
    </w:p>
    <w:p w14:paraId="5FD0903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（2）投标总价扉页</w:t>
      </w:r>
    </w:p>
    <w:p w14:paraId="68C1D0C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（3）工程计价总说明</w:t>
      </w:r>
    </w:p>
    <w:p w14:paraId="2303683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（4）建设项目投标报价汇总表</w:t>
      </w:r>
    </w:p>
    <w:p w14:paraId="217D7D0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（5）单项工程投标报价汇总表</w:t>
      </w:r>
    </w:p>
    <w:p w14:paraId="74ABF48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（6）单位工程投标报价汇总表</w:t>
      </w:r>
    </w:p>
    <w:p w14:paraId="3054B23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（7）分部分项工程项目清单与措施项目清单计价表</w:t>
      </w:r>
    </w:p>
    <w:p w14:paraId="63C462C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（8）综合单价分析表</w:t>
      </w:r>
    </w:p>
    <w:p w14:paraId="224E6DE3">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（9）总价措施项目清单计费表</w:t>
      </w:r>
    </w:p>
    <w:p w14:paraId="727ABF7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（10）绿色施工安全防护措施项目费计价表（招投标）</w:t>
      </w:r>
    </w:p>
    <w:p w14:paraId="382F3BE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（11）其他项目清单与计价汇总表</w:t>
      </w:r>
    </w:p>
    <w:p w14:paraId="61BF8C2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（12）暂列金额明细表</w:t>
      </w:r>
    </w:p>
    <w:p w14:paraId="468C5E4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（13）材料暂估单价及调整表</w:t>
      </w:r>
    </w:p>
    <w:p w14:paraId="4BEEE37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（14）专业工程/分部分项工程暂估价及结算价表</w:t>
      </w:r>
    </w:p>
    <w:p w14:paraId="1C75F0F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（15）计日工表</w:t>
      </w:r>
    </w:p>
    <w:p w14:paraId="4B1A6B2D">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（16）总承包服务费计价表</w:t>
      </w:r>
    </w:p>
    <w:p w14:paraId="5F14621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（17）部分其他项目费计价表</w:t>
      </w:r>
    </w:p>
    <w:p w14:paraId="77B63BF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（18）发包人提供材料一览表</w:t>
      </w:r>
    </w:p>
    <w:p w14:paraId="727E249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（19）人工、材料、机械汇总表</w:t>
      </w:r>
    </w:p>
    <w:p w14:paraId="145570C2">
      <w:pPr>
        <w:autoSpaceDE w:val="0"/>
        <w:autoSpaceDN w:val="0"/>
        <w:adjustRightInd w:val="0"/>
        <w:snapToGrid w:val="0"/>
        <w:spacing w:before="64" w:line="360" w:lineRule="auto"/>
        <w:ind w:right="-23"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说明：以上表格如为空白表格，可不提供。</w:t>
      </w:r>
      <w:bookmarkStart w:id="237" w:name="_Toc40993569"/>
    </w:p>
    <w:bookmarkEnd w:id="237"/>
    <w:p w14:paraId="14FDC073">
      <w:pPr>
        <w:adjustRightInd w:val="0"/>
        <w:snapToGrid w:val="0"/>
        <w:spacing w:line="360" w:lineRule="auto"/>
        <w:ind w:left="-88" w:leftChars="-42"/>
        <w:jc w:val="center"/>
        <w:rPr>
          <w:rFonts w:hint="eastAsia" w:ascii="宋体" w:hAnsi="宋体" w:eastAsia="宋体" w:cs="宋体"/>
          <w:b/>
          <w:color w:val="auto"/>
          <w:sz w:val="32"/>
          <w:szCs w:val="32"/>
          <w:highlight w:val="none"/>
        </w:rPr>
      </w:pPr>
    </w:p>
    <w:p w14:paraId="159C290D">
      <w:pPr>
        <w:adjustRightInd w:val="0"/>
        <w:snapToGrid w:val="0"/>
        <w:spacing w:line="360" w:lineRule="auto"/>
        <w:ind w:left="-88" w:leftChars="-42"/>
        <w:jc w:val="center"/>
        <w:rPr>
          <w:rFonts w:hint="eastAsia" w:ascii="宋体" w:hAnsi="宋体" w:eastAsia="宋体" w:cs="宋体"/>
          <w:b/>
          <w:color w:val="auto"/>
          <w:sz w:val="32"/>
          <w:szCs w:val="32"/>
          <w:highlight w:val="none"/>
        </w:rPr>
      </w:pPr>
    </w:p>
    <w:p w14:paraId="219D4E27">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5F000052">
      <w:pPr>
        <w:adjustRightInd w:val="0"/>
        <w:snapToGrid w:val="0"/>
        <w:spacing w:line="360" w:lineRule="auto"/>
        <w:ind w:left="-88" w:leftChars="-42"/>
        <w:jc w:val="cente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七、提供享受政府采购政策优惠的证明资料和清单表</w:t>
      </w:r>
    </w:p>
    <w:p w14:paraId="6621CA20">
      <w:pPr>
        <w:widowControl/>
        <w:snapToGrid w:val="0"/>
        <w:spacing w:line="360" w:lineRule="auto"/>
        <w:jc w:val="center"/>
        <w:rPr>
          <w:rFonts w:hint="eastAsia" w:ascii="宋体" w:hAnsi="宋体" w:eastAsia="宋体" w:cs="宋体"/>
          <w:b/>
          <w:color w:val="auto"/>
          <w:spacing w:val="6"/>
          <w:sz w:val="28"/>
          <w:highlight w:val="none"/>
        </w:rPr>
      </w:pPr>
    </w:p>
    <w:p w14:paraId="760F1D43">
      <w:pPr>
        <w:widowControl/>
        <w:snapToGrid w:val="0"/>
        <w:spacing w:line="360" w:lineRule="auto"/>
        <w:jc w:val="left"/>
        <w:rPr>
          <w:rFonts w:hint="eastAsia" w:ascii="宋体" w:hAnsi="宋体" w:eastAsia="宋体" w:cs="宋体"/>
          <w:b/>
          <w:color w:val="auto"/>
          <w:spacing w:val="6"/>
          <w:sz w:val="28"/>
          <w:highlight w:val="none"/>
        </w:rPr>
      </w:pPr>
      <w:r>
        <w:rPr>
          <w:rFonts w:hint="eastAsia" w:ascii="宋体" w:hAnsi="宋体" w:eastAsia="宋体" w:cs="宋体"/>
          <w:b/>
          <w:color w:val="auto"/>
          <w:spacing w:val="6"/>
          <w:sz w:val="28"/>
          <w:highlight w:val="none"/>
          <w:lang w:val="en-US" w:eastAsia="zh-CN"/>
        </w:rPr>
        <w:t>附件7.1</w:t>
      </w:r>
      <w:r>
        <w:rPr>
          <w:rFonts w:hint="eastAsia" w:ascii="宋体" w:hAnsi="宋体" w:eastAsia="宋体" w:cs="宋体"/>
          <w:b/>
          <w:color w:val="auto"/>
          <w:spacing w:val="6"/>
          <w:sz w:val="28"/>
          <w:highlight w:val="none"/>
        </w:rPr>
        <w:t>中小企业声明函</w:t>
      </w:r>
    </w:p>
    <w:p w14:paraId="2E4711B0">
      <w:pPr>
        <w:pStyle w:val="38"/>
        <w:rPr>
          <w:rFonts w:hint="eastAsia" w:ascii="宋体" w:hAnsi="宋体" w:eastAsia="宋体" w:cs="宋体"/>
          <w:color w:val="auto"/>
          <w:highlight w:val="none"/>
        </w:rPr>
      </w:pPr>
      <w:r>
        <w:rPr>
          <w:rFonts w:hint="eastAsia" w:ascii="宋体" w:hAnsi="宋体" w:eastAsia="宋体" w:cs="宋体"/>
          <w:b/>
          <w:color w:val="auto"/>
          <w:spacing w:val="6"/>
          <w:sz w:val="28"/>
          <w:highlight w:val="none"/>
        </w:rPr>
        <w:t>中小企业声明函</w:t>
      </w:r>
    </w:p>
    <w:p w14:paraId="60C135BC">
      <w:pPr>
        <w:widowControl/>
        <w:snapToGrid w:val="0"/>
        <w:spacing w:line="420" w:lineRule="exact"/>
        <w:ind w:firstLine="442"/>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本公司（联合体）郑重声明，根据《政府采购促进中小企业发展管理办法》（财库﹝2020﹞46号）的规定，本公司（联合体）参加</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（单位名称）的</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项目名称）采购活动，工程的施工单位全部为符合政策要求的小微企业（或者：服务全部由符合政策要求的小微企业承接）。相关企业（含联合体中的小微企业、签订分包意向协议的小微企业）的具体情况如下：</w:t>
      </w:r>
    </w:p>
    <w:p w14:paraId="0AEC400B">
      <w:pPr>
        <w:widowControl/>
        <w:numPr>
          <w:ilvl w:val="0"/>
          <w:numId w:val="6"/>
        </w:numPr>
        <w:snapToGrid w:val="0"/>
        <w:spacing w:line="420" w:lineRule="exact"/>
        <w:ind w:firstLine="442"/>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（标的名称），属于</w:t>
      </w:r>
      <w:r>
        <w:rPr>
          <w:rFonts w:hint="eastAsia" w:ascii="宋体" w:hAnsi="宋体" w:eastAsia="宋体" w:cs="宋体"/>
          <w:color w:val="auto"/>
          <w:spacing w:val="6"/>
          <w:szCs w:val="22"/>
          <w:highlight w:val="none"/>
          <w:u w:val="single"/>
        </w:rPr>
        <w:t xml:space="preserve"> 建筑业  </w:t>
      </w:r>
      <w:r>
        <w:rPr>
          <w:rFonts w:hint="eastAsia" w:ascii="宋体" w:hAnsi="宋体" w:eastAsia="宋体" w:cs="宋体"/>
          <w:color w:val="auto"/>
          <w:spacing w:val="6"/>
          <w:szCs w:val="22"/>
          <w:highlight w:val="none"/>
        </w:rPr>
        <w:t>（采购文件中明确的所属行业）；承建（承接）企业为</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（企业名称），从业人员    人，营业收入为     万元，资产总额为</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万元，属于</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（小型企业、微型企业）；</w:t>
      </w:r>
    </w:p>
    <w:p w14:paraId="3CE0822A">
      <w:pPr>
        <w:widowControl/>
        <w:numPr>
          <w:ilvl w:val="0"/>
          <w:numId w:val="6"/>
        </w:numPr>
        <w:snapToGrid w:val="0"/>
        <w:spacing w:line="420" w:lineRule="exact"/>
        <w:ind w:firstLine="442"/>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（标的名称），属于</w:t>
      </w:r>
      <w:r>
        <w:rPr>
          <w:rFonts w:hint="eastAsia" w:ascii="宋体" w:hAnsi="宋体" w:eastAsia="宋体" w:cs="宋体"/>
          <w:color w:val="auto"/>
          <w:spacing w:val="6"/>
          <w:szCs w:val="22"/>
          <w:highlight w:val="none"/>
          <w:u w:val="single"/>
        </w:rPr>
        <w:t xml:space="preserve">  建筑业  </w:t>
      </w:r>
      <w:r>
        <w:rPr>
          <w:rFonts w:hint="eastAsia" w:ascii="宋体" w:hAnsi="宋体" w:eastAsia="宋体" w:cs="宋体"/>
          <w:color w:val="auto"/>
          <w:spacing w:val="6"/>
          <w:szCs w:val="22"/>
          <w:highlight w:val="none"/>
        </w:rPr>
        <w:t>（采购文件中明确的所属行业）；承建（承接）企业为</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（企业名称），从业人员    人，营业收入为     万元，资产总额为</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万元，属于</w:t>
      </w:r>
      <w:r>
        <w:rPr>
          <w:rFonts w:hint="eastAsia" w:ascii="宋体" w:hAnsi="宋体" w:eastAsia="宋体" w:cs="宋体"/>
          <w:color w:val="auto"/>
          <w:spacing w:val="6"/>
          <w:szCs w:val="22"/>
          <w:highlight w:val="none"/>
          <w:u w:val="single"/>
        </w:rPr>
        <w:t xml:space="preserve">       </w:t>
      </w:r>
      <w:r>
        <w:rPr>
          <w:rFonts w:hint="eastAsia" w:ascii="宋体" w:hAnsi="宋体" w:eastAsia="宋体" w:cs="宋体"/>
          <w:color w:val="auto"/>
          <w:spacing w:val="6"/>
          <w:szCs w:val="22"/>
          <w:highlight w:val="none"/>
        </w:rPr>
        <w:t>（小型企业、微型企业）；</w:t>
      </w:r>
    </w:p>
    <w:p w14:paraId="2A05AE89">
      <w:pPr>
        <w:widowControl/>
        <w:snapToGrid w:val="0"/>
        <w:spacing w:line="420" w:lineRule="exact"/>
        <w:ind w:left="442"/>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w:t>
      </w:r>
    </w:p>
    <w:p w14:paraId="114CC369">
      <w:pPr>
        <w:widowControl/>
        <w:snapToGrid w:val="0"/>
        <w:spacing w:line="420" w:lineRule="exact"/>
        <w:ind w:firstLine="444" w:firstLineChars="200"/>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以上企业，不属于大、中企业的分支机构，不存在控股股东为大、中企业的情形，也不存在与大、中企业的负责人为同一人的情形。</w:t>
      </w:r>
    </w:p>
    <w:p w14:paraId="347E424E">
      <w:pPr>
        <w:widowControl/>
        <w:snapToGrid w:val="0"/>
        <w:spacing w:line="420" w:lineRule="exact"/>
        <w:ind w:firstLine="444" w:firstLineChars="200"/>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本企业对上述声明内容的真实性负责。如有虚假，将依法承担相应责任。</w:t>
      </w:r>
    </w:p>
    <w:p w14:paraId="028F3733">
      <w:pPr>
        <w:pStyle w:val="38"/>
        <w:rPr>
          <w:rFonts w:hint="eastAsia" w:ascii="宋体" w:hAnsi="宋体" w:eastAsia="宋体" w:cs="宋体"/>
          <w:color w:val="auto"/>
          <w:spacing w:val="6"/>
          <w:szCs w:val="22"/>
          <w:highlight w:val="none"/>
        </w:rPr>
      </w:pPr>
    </w:p>
    <w:p w14:paraId="0A659742">
      <w:pPr>
        <w:rPr>
          <w:rFonts w:hint="eastAsia" w:ascii="宋体" w:hAnsi="宋体" w:eastAsia="宋体" w:cs="宋体"/>
          <w:color w:val="auto"/>
          <w:highlight w:val="none"/>
        </w:rPr>
      </w:pPr>
    </w:p>
    <w:p w14:paraId="399030AA">
      <w:pPr>
        <w:widowControl/>
        <w:snapToGrid w:val="0"/>
        <w:spacing w:line="500" w:lineRule="exact"/>
        <w:ind w:left="5678" w:leftChars="2704"/>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企业名称（盖章）：</w:t>
      </w:r>
    </w:p>
    <w:p w14:paraId="0D781F35">
      <w:pPr>
        <w:widowControl/>
        <w:snapToGrid w:val="0"/>
        <w:spacing w:line="500" w:lineRule="exact"/>
        <w:ind w:left="5678" w:leftChars="2704"/>
        <w:jc w:val="left"/>
        <w:rPr>
          <w:rFonts w:hint="eastAsia" w:ascii="宋体" w:hAnsi="宋体" w:eastAsia="宋体" w:cs="宋体"/>
          <w:color w:val="auto"/>
          <w:spacing w:val="6"/>
          <w:szCs w:val="22"/>
          <w:highlight w:val="none"/>
        </w:rPr>
      </w:pPr>
      <w:r>
        <w:rPr>
          <w:rFonts w:hint="eastAsia" w:ascii="宋体" w:hAnsi="宋体" w:eastAsia="宋体" w:cs="宋体"/>
          <w:color w:val="auto"/>
          <w:spacing w:val="6"/>
          <w:szCs w:val="22"/>
          <w:highlight w:val="none"/>
        </w:rPr>
        <w:t>日期：</w:t>
      </w:r>
    </w:p>
    <w:p w14:paraId="12096CEE">
      <w:pPr>
        <w:widowControl/>
        <w:snapToGrid w:val="0"/>
        <w:spacing w:line="360" w:lineRule="auto"/>
        <w:jc w:val="center"/>
        <w:rPr>
          <w:rFonts w:hint="eastAsia" w:ascii="宋体" w:hAnsi="宋体" w:eastAsia="宋体" w:cs="宋体"/>
          <w:b/>
          <w:color w:val="auto"/>
          <w:spacing w:val="6"/>
          <w:sz w:val="28"/>
          <w:highlight w:val="none"/>
        </w:rPr>
      </w:pPr>
    </w:p>
    <w:p w14:paraId="56F6401C">
      <w:pPr>
        <w:pStyle w:val="38"/>
        <w:spacing w:line="320" w:lineRule="exact"/>
        <w:ind w:left="0"/>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说明：1、填写前请认真阅读《工业和信息化部、国家统计局、国家发展和改革委员会、财政部关于印发中小企业划型标准规定的通知》（工信部联企业【2011】300号）和《财政部 工业和信息化部关于印发＜政府采购促进中小企业发展暂行办法＞的通知》(财库【2020】46号)相关规定。</w:t>
      </w:r>
    </w:p>
    <w:p w14:paraId="3E5EF576">
      <w:pPr>
        <w:widowControl/>
        <w:snapToGrid w:val="0"/>
        <w:spacing w:line="320" w:lineRule="exact"/>
        <w:jc w:val="left"/>
        <w:rPr>
          <w:rFonts w:hint="eastAsia" w:ascii="宋体" w:hAnsi="宋体" w:eastAsia="宋体" w:cs="宋体"/>
          <w:b/>
          <w:color w:val="auto"/>
          <w:spacing w:val="6"/>
          <w:sz w:val="18"/>
          <w:szCs w:val="18"/>
          <w:highlight w:val="none"/>
        </w:rPr>
      </w:pPr>
      <w:r>
        <w:rPr>
          <w:rFonts w:hint="eastAsia" w:ascii="宋体" w:hAnsi="宋体" w:eastAsia="宋体" w:cs="宋体"/>
          <w:color w:val="auto"/>
          <w:spacing w:val="6"/>
          <w:sz w:val="18"/>
          <w:szCs w:val="18"/>
          <w:highlight w:val="none"/>
        </w:rPr>
        <w:t>2、从业人员、营业收入、资产总额填报上一年度数据，无上一年度数据的新成立企业可不填报</w:t>
      </w:r>
      <w:r>
        <w:rPr>
          <w:rFonts w:hint="eastAsia" w:ascii="宋体" w:hAnsi="宋体" w:eastAsia="宋体" w:cs="宋体"/>
          <w:b/>
          <w:color w:val="auto"/>
          <w:spacing w:val="6"/>
          <w:sz w:val="18"/>
          <w:szCs w:val="18"/>
          <w:highlight w:val="none"/>
        </w:rPr>
        <w:t>。</w:t>
      </w:r>
    </w:p>
    <w:p w14:paraId="40443130">
      <w:pPr>
        <w:pStyle w:val="32"/>
        <w:rPr>
          <w:rFonts w:hint="eastAsia" w:ascii="宋体" w:hAnsi="宋体" w:eastAsia="宋体" w:cs="宋体"/>
          <w:color w:val="auto"/>
          <w:highlight w:val="none"/>
        </w:rPr>
        <w:sectPr>
          <w:pgSz w:w="11906" w:h="16838"/>
          <w:pgMar w:top="1418" w:right="1134" w:bottom="1134" w:left="1418" w:header="851" w:footer="850" w:gutter="0"/>
          <w:pgBorders>
            <w:top w:val="none" w:sz="0" w:space="0"/>
            <w:left w:val="none" w:sz="0" w:space="0"/>
            <w:bottom w:val="none" w:sz="0" w:space="0"/>
            <w:right w:val="none" w:sz="0" w:space="0"/>
          </w:pgBorders>
          <w:cols w:space="720" w:num="1"/>
          <w:docGrid w:type="lines" w:linePitch="312" w:charSpace="0"/>
        </w:sectPr>
      </w:pPr>
    </w:p>
    <w:p w14:paraId="56C4D903">
      <w:pPr>
        <w:widowControl/>
        <w:adjustRightInd w:val="0"/>
        <w:snapToGrid w:val="0"/>
        <w:spacing w:line="360" w:lineRule="auto"/>
        <w:rPr>
          <w:rFonts w:hint="eastAsia" w:ascii="宋体" w:hAnsi="宋体" w:eastAsia="宋体" w:cs="宋体"/>
          <w:b/>
          <w:color w:val="auto"/>
          <w:kern w:val="0"/>
          <w:sz w:val="28"/>
          <w:szCs w:val="28"/>
          <w:highlight w:val="none"/>
        </w:rPr>
      </w:pPr>
    </w:p>
    <w:p w14:paraId="24D22F6D">
      <w:pPr>
        <w:adjustRightInd w:val="0"/>
        <w:snapToGrid w:val="0"/>
        <w:spacing w:line="360" w:lineRule="auto"/>
        <w:ind w:left="-88" w:leftChars="-42"/>
        <w:jc w:val="left"/>
        <w:rPr>
          <w:rFonts w:hint="eastAsia" w:ascii="宋体" w:hAnsi="宋体" w:eastAsia="宋体" w:cs="宋体"/>
          <w:b/>
          <w:color w:val="auto"/>
          <w:sz w:val="28"/>
          <w:szCs w:val="28"/>
          <w:highlight w:val="none"/>
        </w:rPr>
      </w:pPr>
      <w:bookmarkStart w:id="238" w:name="_Toc24992_WPSOffice_Level1"/>
      <w:bookmarkStart w:id="239" w:name="_Toc12706_WPSOffice_Level1"/>
      <w:bookmarkStart w:id="240" w:name="_Toc3712_WPSOffice_Level1"/>
      <w:bookmarkStart w:id="241" w:name="_Toc12644_WPSOffice_Level1"/>
      <w:r>
        <w:rPr>
          <w:rFonts w:hint="eastAsia" w:ascii="宋体" w:hAnsi="宋体" w:eastAsia="宋体" w:cs="宋体"/>
          <w:b/>
          <w:color w:val="auto"/>
          <w:sz w:val="28"/>
          <w:szCs w:val="28"/>
          <w:highlight w:val="none"/>
        </w:rPr>
        <w:t>附7-</w:t>
      </w:r>
      <w:r>
        <w:rPr>
          <w:rFonts w:hint="eastAsia" w:ascii="宋体" w:hAnsi="宋体" w:eastAsia="宋体" w:cs="宋体"/>
          <w:b/>
          <w:color w:val="auto"/>
          <w:sz w:val="28"/>
          <w:szCs w:val="28"/>
          <w:highlight w:val="none"/>
          <w:lang w:val="en-US" w:eastAsia="zh-CN"/>
        </w:rPr>
        <w:t>2</w:t>
      </w:r>
      <w:r>
        <w:rPr>
          <w:rFonts w:hint="eastAsia" w:ascii="宋体" w:hAnsi="宋体" w:eastAsia="宋体" w:cs="宋体"/>
          <w:b/>
          <w:color w:val="auto"/>
          <w:sz w:val="28"/>
          <w:szCs w:val="28"/>
          <w:highlight w:val="none"/>
        </w:rPr>
        <w:t xml:space="preserve"> 疾人福利性单位声明函</w:t>
      </w:r>
      <w:bookmarkEnd w:id="238"/>
      <w:bookmarkEnd w:id="239"/>
      <w:bookmarkEnd w:id="240"/>
      <w:bookmarkEnd w:id="241"/>
    </w:p>
    <w:p w14:paraId="36F55ED6">
      <w:pPr>
        <w:adjustRightInd w:val="0"/>
        <w:snapToGrid w:val="0"/>
        <w:spacing w:line="360" w:lineRule="auto"/>
        <w:ind w:left="-88" w:leftChars="-42"/>
        <w:jc w:val="center"/>
        <w:rPr>
          <w:rFonts w:hint="eastAsia" w:ascii="宋体" w:hAnsi="宋体" w:eastAsia="宋体" w:cs="宋体"/>
          <w:b/>
          <w:color w:val="auto"/>
          <w:szCs w:val="21"/>
          <w:highlight w:val="none"/>
        </w:rPr>
      </w:pPr>
      <w:bookmarkStart w:id="242" w:name="_Toc9384_WPSOffice_Level1"/>
      <w:bookmarkStart w:id="243" w:name="_Toc412_WPSOffice_Level1"/>
      <w:bookmarkStart w:id="244" w:name="_Toc30285_WPSOffice_Level1"/>
      <w:bookmarkStart w:id="245" w:name="_Toc2706_WPSOffice_Level1"/>
      <w:r>
        <w:rPr>
          <w:rFonts w:hint="eastAsia" w:ascii="宋体" w:hAnsi="宋体" w:eastAsia="宋体" w:cs="宋体"/>
          <w:b/>
          <w:color w:val="auto"/>
          <w:szCs w:val="21"/>
          <w:highlight w:val="none"/>
        </w:rPr>
        <w:t>(不属于残疾人福利性单位的无需填写)</w:t>
      </w:r>
      <w:bookmarkEnd w:id="242"/>
      <w:bookmarkEnd w:id="243"/>
      <w:bookmarkEnd w:id="244"/>
      <w:bookmarkEnd w:id="245"/>
    </w:p>
    <w:p w14:paraId="332BE997">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2BF5B051">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CE53636">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6536DDD0">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3BAB8236">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560B394A">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bookmarkStart w:id="246" w:name="_Toc8092_WPSOffice_Level1"/>
      <w:bookmarkStart w:id="247" w:name="_Toc15659_WPSOffice_Level1"/>
      <w:bookmarkStart w:id="248" w:name="_Toc31494_WPSOffice_Level1"/>
      <w:bookmarkStart w:id="249" w:name="_Toc30515_WPSOffice_Level1"/>
      <w:r>
        <w:rPr>
          <w:rFonts w:hint="eastAsia" w:ascii="宋体" w:hAnsi="宋体" w:eastAsia="宋体" w:cs="宋体"/>
          <w:color w:val="auto"/>
          <w:spacing w:val="6"/>
          <w:szCs w:val="21"/>
          <w:highlight w:val="none"/>
        </w:rPr>
        <w:t>单位名称（盖章）：</w:t>
      </w:r>
      <w:bookmarkEnd w:id="246"/>
      <w:bookmarkEnd w:id="247"/>
      <w:bookmarkEnd w:id="248"/>
      <w:bookmarkEnd w:id="249"/>
    </w:p>
    <w:p w14:paraId="06B309B9">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bookmarkStart w:id="250" w:name="_Toc16187_WPSOffice_Level1"/>
      <w:bookmarkStart w:id="251" w:name="_Toc26830_WPSOffice_Level1"/>
      <w:bookmarkStart w:id="252" w:name="_Toc11805_WPSOffice_Level1"/>
      <w:bookmarkStart w:id="253" w:name="_Toc22081_WPSOffice_Level1"/>
      <w:r>
        <w:rPr>
          <w:rFonts w:hint="eastAsia" w:ascii="宋体" w:hAnsi="宋体" w:eastAsia="宋体" w:cs="宋体"/>
          <w:color w:val="auto"/>
          <w:spacing w:val="6"/>
          <w:szCs w:val="21"/>
          <w:highlight w:val="none"/>
        </w:rPr>
        <w:t>日  期：</w:t>
      </w:r>
      <w:bookmarkEnd w:id="250"/>
      <w:bookmarkEnd w:id="251"/>
      <w:bookmarkEnd w:id="252"/>
      <w:bookmarkEnd w:id="253"/>
    </w:p>
    <w:p w14:paraId="5343B188">
      <w:pPr>
        <w:widowControl/>
        <w:adjustRightInd w:val="0"/>
        <w:snapToGrid w:val="0"/>
        <w:spacing w:line="360" w:lineRule="auto"/>
        <w:jc w:val="left"/>
        <w:rPr>
          <w:rFonts w:hint="eastAsia" w:ascii="宋体" w:hAnsi="宋体" w:eastAsia="宋体" w:cs="宋体"/>
          <w:color w:val="auto"/>
          <w:kern w:val="0"/>
          <w:szCs w:val="21"/>
          <w:highlight w:val="none"/>
        </w:rPr>
      </w:pPr>
    </w:p>
    <w:p w14:paraId="6EB922E9">
      <w:pPr>
        <w:widowControl/>
        <w:adjustRightInd w:val="0"/>
        <w:snapToGrid w:val="0"/>
        <w:spacing w:line="360" w:lineRule="auto"/>
        <w:jc w:val="left"/>
        <w:rPr>
          <w:rFonts w:hint="eastAsia" w:ascii="宋体" w:hAnsi="宋体" w:eastAsia="宋体" w:cs="宋体"/>
          <w:color w:val="auto"/>
          <w:kern w:val="0"/>
          <w:szCs w:val="21"/>
          <w:highlight w:val="none"/>
        </w:rPr>
      </w:pPr>
    </w:p>
    <w:p w14:paraId="7B1A2266">
      <w:pPr>
        <w:widowControl/>
        <w:adjustRightInd w:val="0"/>
        <w:snapToGrid w:val="0"/>
        <w:spacing w:line="360" w:lineRule="auto"/>
        <w:rPr>
          <w:rFonts w:hint="eastAsia" w:ascii="宋体" w:hAnsi="宋体" w:eastAsia="宋体" w:cs="宋体"/>
          <w:color w:val="auto"/>
          <w:kern w:val="0"/>
          <w:szCs w:val="21"/>
          <w:highlight w:val="none"/>
        </w:rPr>
      </w:pPr>
    </w:p>
    <w:p w14:paraId="65EEA58C">
      <w:pPr>
        <w:widowControl/>
        <w:adjustRightInd w:val="0"/>
        <w:snapToGrid w:val="0"/>
        <w:spacing w:line="360" w:lineRule="auto"/>
        <w:rPr>
          <w:rFonts w:hint="eastAsia" w:ascii="宋体" w:hAnsi="宋体" w:eastAsia="宋体" w:cs="宋体"/>
          <w:color w:val="auto"/>
          <w:kern w:val="0"/>
          <w:szCs w:val="21"/>
          <w:highlight w:val="none"/>
        </w:rPr>
      </w:pPr>
    </w:p>
    <w:p w14:paraId="6B0FB8E4">
      <w:pPr>
        <w:adjustRightInd w:val="0"/>
        <w:snapToGrid w:val="0"/>
        <w:spacing w:line="360" w:lineRule="auto"/>
        <w:ind w:left="-88" w:leftChars="-42"/>
        <w:jc w:val="left"/>
        <w:rPr>
          <w:rFonts w:hint="eastAsia" w:ascii="宋体" w:hAnsi="宋体" w:eastAsia="宋体" w:cs="宋体"/>
          <w:b/>
          <w:color w:val="auto"/>
          <w:sz w:val="28"/>
          <w:szCs w:val="28"/>
          <w:highlight w:val="none"/>
        </w:rPr>
      </w:pPr>
      <w:bookmarkStart w:id="254" w:name="_Toc30227_WPSOffice_Level1"/>
      <w:bookmarkStart w:id="255" w:name="_Toc8355_WPSOffice_Level1"/>
      <w:bookmarkStart w:id="256" w:name="_Toc12337_WPSOffice_Level1"/>
      <w:bookmarkStart w:id="257" w:name="_Toc3283_WPSOffice_Level1"/>
      <w:r>
        <w:rPr>
          <w:rFonts w:hint="eastAsia" w:ascii="宋体" w:hAnsi="宋体" w:eastAsia="宋体" w:cs="宋体"/>
          <w:b/>
          <w:color w:val="auto"/>
          <w:sz w:val="28"/>
          <w:szCs w:val="28"/>
          <w:highlight w:val="none"/>
        </w:rPr>
        <w:t>附7-</w:t>
      </w: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 xml:space="preserve">  监狱企业证明资料</w:t>
      </w:r>
      <w:bookmarkEnd w:id="254"/>
      <w:bookmarkEnd w:id="255"/>
      <w:bookmarkEnd w:id="256"/>
      <w:bookmarkEnd w:id="257"/>
    </w:p>
    <w:p w14:paraId="69AB6772">
      <w:pPr>
        <w:adjustRightInd w:val="0"/>
        <w:snapToGrid w:val="0"/>
        <w:spacing w:line="360" w:lineRule="auto"/>
        <w:jc w:val="center"/>
        <w:rPr>
          <w:rFonts w:hint="eastAsia" w:ascii="宋体" w:hAnsi="宋体" w:eastAsia="宋体" w:cs="宋体"/>
          <w:b/>
          <w:color w:val="auto"/>
          <w:spacing w:val="6"/>
          <w:szCs w:val="21"/>
          <w:highlight w:val="none"/>
        </w:rPr>
      </w:pPr>
      <w:bookmarkStart w:id="258" w:name="_Toc7645_WPSOffice_Level1"/>
      <w:bookmarkStart w:id="259" w:name="_Toc23652_WPSOffice_Level1"/>
      <w:bookmarkStart w:id="260" w:name="_Toc9873_WPSOffice_Level1"/>
      <w:bookmarkStart w:id="261" w:name="_Toc17116_WPSOffice_Level1"/>
      <w:r>
        <w:rPr>
          <w:rFonts w:hint="eastAsia" w:ascii="宋体" w:hAnsi="宋体" w:eastAsia="宋体" w:cs="宋体"/>
          <w:b/>
          <w:color w:val="auto"/>
          <w:spacing w:val="6"/>
          <w:szCs w:val="21"/>
          <w:highlight w:val="none"/>
        </w:rPr>
        <w:t>(不属于监狱企业的无需提供)</w:t>
      </w:r>
      <w:bookmarkEnd w:id="258"/>
      <w:bookmarkEnd w:id="259"/>
      <w:bookmarkEnd w:id="260"/>
      <w:bookmarkEnd w:id="261"/>
    </w:p>
    <w:p w14:paraId="31879DA8">
      <w:pPr>
        <w:adjustRightInd w:val="0"/>
        <w:snapToGrid w:val="0"/>
        <w:spacing w:line="360" w:lineRule="auto"/>
        <w:rPr>
          <w:rFonts w:hint="eastAsia" w:ascii="宋体" w:hAnsi="宋体" w:eastAsia="宋体" w:cs="宋体"/>
          <w:color w:val="auto"/>
          <w:szCs w:val="21"/>
          <w:highlight w:val="none"/>
        </w:rPr>
      </w:pPr>
    </w:p>
    <w:p w14:paraId="6AD1E756">
      <w:pPr>
        <w:adjustRightInd w:val="0"/>
        <w:snapToGrid w:val="0"/>
        <w:spacing w:line="360" w:lineRule="auto"/>
        <w:ind w:firstLine="444" w:firstLineChars="200"/>
        <w:rPr>
          <w:rFonts w:hint="eastAsia" w:ascii="宋体" w:hAnsi="宋体" w:eastAsia="宋体" w:cs="宋体"/>
          <w:color w:val="auto"/>
          <w:szCs w:val="21"/>
          <w:highlight w:val="none"/>
        </w:rPr>
      </w:pPr>
      <w:r>
        <w:rPr>
          <w:rFonts w:hint="eastAsia" w:ascii="宋体" w:hAnsi="宋体" w:eastAsia="宋体" w:cs="宋体"/>
          <w:bCs/>
          <w:color w:val="auto"/>
          <w:spacing w:val="6"/>
          <w:kern w:val="0"/>
          <w:szCs w:val="21"/>
          <w:highlight w:val="none"/>
        </w:rPr>
        <w:t>备注：</w:t>
      </w:r>
      <w:r>
        <w:rPr>
          <w:rFonts w:hint="eastAsia" w:ascii="宋体" w:hAnsi="宋体" w:eastAsia="宋体" w:cs="宋体"/>
          <w:color w:val="auto"/>
          <w:szCs w:val="21"/>
          <w:highlight w:val="none"/>
        </w:rPr>
        <w:t>按</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财政部 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1730C220">
      <w:pPr>
        <w:widowControl/>
        <w:adjustRightInd w:val="0"/>
        <w:snapToGrid w:val="0"/>
        <w:spacing w:line="360" w:lineRule="auto"/>
        <w:rPr>
          <w:rFonts w:hint="eastAsia" w:ascii="宋体" w:hAnsi="宋体" w:eastAsia="宋体" w:cs="宋体"/>
          <w:b/>
          <w:color w:val="auto"/>
          <w:kern w:val="0"/>
          <w:sz w:val="28"/>
          <w:szCs w:val="28"/>
          <w:highlight w:val="none"/>
        </w:rPr>
      </w:pPr>
    </w:p>
    <w:p w14:paraId="7E2F9BA1">
      <w:pPr>
        <w:widowControl/>
        <w:adjustRightInd w:val="0"/>
        <w:snapToGrid w:val="0"/>
        <w:spacing w:line="360" w:lineRule="auto"/>
        <w:rPr>
          <w:rFonts w:hint="eastAsia" w:ascii="宋体" w:hAnsi="宋体" w:eastAsia="宋体" w:cs="宋体"/>
          <w:b/>
          <w:color w:val="auto"/>
          <w:kern w:val="0"/>
          <w:sz w:val="28"/>
          <w:szCs w:val="28"/>
          <w:highlight w:val="none"/>
        </w:rPr>
      </w:pPr>
    </w:p>
    <w:p w14:paraId="1AD33DD3">
      <w:pPr>
        <w:widowControl/>
        <w:adjustRightInd w:val="0"/>
        <w:snapToGrid w:val="0"/>
        <w:spacing w:line="360" w:lineRule="auto"/>
        <w:rPr>
          <w:rFonts w:hint="eastAsia" w:ascii="宋体" w:hAnsi="宋体" w:eastAsia="宋体" w:cs="宋体"/>
          <w:b/>
          <w:color w:val="auto"/>
          <w:kern w:val="0"/>
          <w:sz w:val="28"/>
          <w:szCs w:val="28"/>
          <w:highlight w:val="none"/>
        </w:rPr>
      </w:pPr>
    </w:p>
    <w:p w14:paraId="0E27D7A2">
      <w:pPr>
        <w:widowControl/>
        <w:adjustRightInd w:val="0"/>
        <w:snapToGrid w:val="0"/>
        <w:spacing w:line="360" w:lineRule="auto"/>
        <w:rPr>
          <w:rFonts w:hint="eastAsia" w:ascii="宋体" w:hAnsi="宋体" w:eastAsia="宋体" w:cs="宋体"/>
          <w:color w:val="auto"/>
          <w:kern w:val="0"/>
          <w:sz w:val="24"/>
          <w:highlight w:val="none"/>
        </w:rPr>
      </w:pPr>
    </w:p>
    <w:p w14:paraId="298D9B20">
      <w:pPr>
        <w:widowControl/>
        <w:adjustRightInd w:val="0"/>
        <w:snapToGrid w:val="0"/>
        <w:spacing w:line="360" w:lineRule="auto"/>
        <w:rPr>
          <w:rFonts w:hint="eastAsia" w:ascii="宋体" w:hAnsi="宋体" w:eastAsia="宋体" w:cs="宋体"/>
          <w:color w:val="auto"/>
          <w:kern w:val="0"/>
          <w:sz w:val="24"/>
          <w:highlight w:val="none"/>
        </w:rPr>
      </w:pPr>
    </w:p>
    <w:p w14:paraId="1B77F1D1">
      <w:pPr>
        <w:widowControl/>
        <w:adjustRightInd w:val="0"/>
        <w:snapToGrid w:val="0"/>
        <w:spacing w:line="360" w:lineRule="auto"/>
        <w:rPr>
          <w:rFonts w:hint="eastAsia" w:ascii="宋体" w:hAnsi="宋体" w:eastAsia="宋体" w:cs="宋体"/>
          <w:color w:val="auto"/>
          <w:kern w:val="0"/>
          <w:sz w:val="24"/>
          <w:highlight w:val="none"/>
        </w:rPr>
      </w:pPr>
    </w:p>
    <w:p w14:paraId="2CFD6CCE">
      <w:pPr>
        <w:widowControl/>
        <w:adjustRightInd w:val="0"/>
        <w:snapToGrid w:val="0"/>
        <w:spacing w:line="360" w:lineRule="auto"/>
        <w:rPr>
          <w:rFonts w:hint="eastAsia" w:ascii="宋体" w:hAnsi="宋体" w:eastAsia="宋体" w:cs="宋体"/>
          <w:color w:val="auto"/>
          <w:kern w:val="0"/>
          <w:sz w:val="24"/>
          <w:highlight w:val="none"/>
        </w:rPr>
      </w:pPr>
    </w:p>
    <w:p w14:paraId="3B57EB05">
      <w:pPr>
        <w:adjustRightInd w:val="0"/>
        <w:snapToGrid w:val="0"/>
        <w:spacing w:line="360" w:lineRule="auto"/>
        <w:ind w:left="-88" w:leftChars="-42"/>
        <w:jc w:val="left"/>
        <w:rPr>
          <w:rFonts w:hint="eastAsia" w:ascii="宋体" w:hAnsi="宋体" w:eastAsia="宋体" w:cs="宋体"/>
          <w:b/>
          <w:color w:val="auto"/>
          <w:sz w:val="28"/>
          <w:szCs w:val="28"/>
          <w:highlight w:val="none"/>
        </w:rPr>
      </w:pPr>
      <w:bookmarkStart w:id="262" w:name="_Toc25710_WPSOffice_Level1"/>
      <w:bookmarkStart w:id="263" w:name="_Toc23717_WPSOffice_Level1"/>
    </w:p>
    <w:p w14:paraId="56D8A710">
      <w:pPr>
        <w:adjustRightInd w:val="0"/>
        <w:snapToGrid w:val="0"/>
        <w:spacing w:before="50" w:line="360" w:lineRule="auto"/>
        <w:rPr>
          <w:rFonts w:hint="eastAsia" w:ascii="宋体" w:hAnsi="宋体" w:eastAsia="宋体" w:cs="宋体"/>
          <w:color w:val="auto"/>
          <w:sz w:val="30"/>
          <w:szCs w:val="30"/>
          <w:highlight w:val="none"/>
          <w:lang w:val="en-US" w:eastAsia="zh-CN"/>
        </w:rPr>
      </w:pPr>
      <w:r>
        <w:rPr>
          <w:rFonts w:hint="eastAsia" w:ascii="宋体" w:hAnsi="宋体" w:eastAsia="宋体" w:cs="宋体"/>
          <w:b/>
          <w:color w:val="auto"/>
          <w:sz w:val="28"/>
          <w:szCs w:val="28"/>
          <w:highlight w:val="none"/>
        </w:rPr>
        <w:t>附件7-</w:t>
      </w:r>
      <w:bookmarkEnd w:id="262"/>
      <w:bookmarkEnd w:id="263"/>
      <w:r>
        <w:rPr>
          <w:rFonts w:hint="eastAsia" w:ascii="宋体" w:hAnsi="宋体" w:eastAsia="宋体" w:cs="宋体"/>
          <w:b/>
          <w:color w:val="auto"/>
          <w:sz w:val="28"/>
          <w:szCs w:val="28"/>
          <w:highlight w:val="none"/>
          <w:lang w:val="en-US" w:eastAsia="zh-CN"/>
        </w:rPr>
        <w:t>4</w:t>
      </w:r>
    </w:p>
    <w:p w14:paraId="07287E04">
      <w:pPr>
        <w:adjustRightInd w:val="0"/>
        <w:snapToGrid w:val="0"/>
        <w:spacing w:before="50" w:line="360" w:lineRule="auto"/>
        <w:jc w:val="center"/>
        <w:rPr>
          <w:rFonts w:hint="eastAsia" w:ascii="宋体" w:hAnsi="宋体" w:eastAsia="宋体" w:cs="宋体"/>
          <w:b/>
          <w:color w:val="auto"/>
          <w:sz w:val="28"/>
          <w:szCs w:val="28"/>
          <w:highlight w:val="none"/>
        </w:rPr>
      </w:pPr>
      <w:bookmarkStart w:id="264" w:name="_Toc15102_WPSOffice_Level1"/>
      <w:bookmarkStart w:id="265" w:name="_Toc24042_WPSOffice_Level1"/>
      <w:bookmarkStart w:id="266" w:name="_Toc30146_WPSOffice_Level1"/>
      <w:bookmarkStart w:id="267" w:name="_Toc18744_WPSOffice_Level1"/>
      <w:r>
        <w:rPr>
          <w:rFonts w:hint="eastAsia" w:ascii="宋体" w:hAnsi="宋体" w:eastAsia="宋体" w:cs="宋体"/>
          <w:b/>
          <w:color w:val="auto"/>
          <w:sz w:val="28"/>
          <w:szCs w:val="28"/>
          <w:highlight w:val="none"/>
        </w:rPr>
        <w:t>提供节能产品、环境标志产品清单</w:t>
      </w:r>
      <w:bookmarkEnd w:id="264"/>
      <w:bookmarkEnd w:id="265"/>
      <w:bookmarkEnd w:id="266"/>
      <w:bookmarkEnd w:id="267"/>
    </w:p>
    <w:p w14:paraId="64CBBD63">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p w14:paraId="3C971034">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代理编号： </w:t>
      </w:r>
    </w:p>
    <w:tbl>
      <w:tblPr>
        <w:tblStyle w:val="24"/>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1CA012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vAlign w:val="center"/>
          </w:tcPr>
          <w:p w14:paraId="0C5DE57C">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本公司对本表的真实性负责。如有虚假，将依法承担相应责任。</w:t>
            </w:r>
          </w:p>
        </w:tc>
      </w:tr>
      <w:tr w14:paraId="20DD2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09866FE1">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739" w:type="dxa"/>
            <w:vAlign w:val="center"/>
          </w:tcPr>
          <w:p w14:paraId="1A649CA3">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709" w:type="dxa"/>
            <w:vAlign w:val="center"/>
          </w:tcPr>
          <w:p w14:paraId="740EF649">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850" w:type="dxa"/>
            <w:vAlign w:val="center"/>
          </w:tcPr>
          <w:p w14:paraId="15D7B203">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993" w:type="dxa"/>
            <w:vAlign w:val="center"/>
          </w:tcPr>
          <w:p w14:paraId="41E8A995">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1984" w:type="dxa"/>
            <w:vAlign w:val="center"/>
          </w:tcPr>
          <w:p w14:paraId="131074F7">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c>
          <w:tcPr>
            <w:tcW w:w="1843" w:type="dxa"/>
            <w:vAlign w:val="center"/>
          </w:tcPr>
          <w:p w14:paraId="67C7C963">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p>
        </w:tc>
      </w:tr>
      <w:tr w14:paraId="691EC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312928B8">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1739" w:type="dxa"/>
            <w:vAlign w:val="center"/>
          </w:tcPr>
          <w:p w14:paraId="6B5F7598">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货物名称</w:t>
            </w:r>
          </w:p>
        </w:tc>
        <w:tc>
          <w:tcPr>
            <w:tcW w:w="709" w:type="dxa"/>
            <w:vAlign w:val="center"/>
          </w:tcPr>
          <w:p w14:paraId="47C9A6F5">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数量</w:t>
            </w:r>
          </w:p>
        </w:tc>
        <w:tc>
          <w:tcPr>
            <w:tcW w:w="850" w:type="dxa"/>
            <w:vAlign w:val="center"/>
          </w:tcPr>
          <w:p w14:paraId="28F3BE4D">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单价</w:t>
            </w:r>
          </w:p>
        </w:tc>
        <w:tc>
          <w:tcPr>
            <w:tcW w:w="993" w:type="dxa"/>
            <w:vAlign w:val="center"/>
          </w:tcPr>
          <w:p w14:paraId="2FD98E7B">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总额</w:t>
            </w:r>
          </w:p>
        </w:tc>
        <w:tc>
          <w:tcPr>
            <w:tcW w:w="1984" w:type="dxa"/>
            <w:vAlign w:val="center"/>
          </w:tcPr>
          <w:p w14:paraId="4C121246">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货物制造商名称</w:t>
            </w:r>
          </w:p>
        </w:tc>
        <w:tc>
          <w:tcPr>
            <w:tcW w:w="1843" w:type="dxa"/>
            <w:vAlign w:val="center"/>
          </w:tcPr>
          <w:p w14:paraId="714739B7">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政策功能编码</w:t>
            </w:r>
          </w:p>
        </w:tc>
      </w:tr>
      <w:tr w14:paraId="07D3DF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64DC9957">
            <w:pPr>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节能产品</w:t>
            </w:r>
          </w:p>
        </w:tc>
      </w:tr>
      <w:tr w14:paraId="7E7B8D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07FB117">
            <w:pPr>
              <w:spacing w:line="360" w:lineRule="auto"/>
              <w:jc w:val="center"/>
              <w:rPr>
                <w:rFonts w:hint="eastAsia" w:ascii="宋体" w:hAnsi="宋体" w:eastAsia="宋体" w:cs="宋体"/>
                <w:b/>
                <w:color w:val="auto"/>
                <w:szCs w:val="21"/>
                <w:highlight w:val="none"/>
              </w:rPr>
            </w:pPr>
          </w:p>
        </w:tc>
        <w:tc>
          <w:tcPr>
            <w:tcW w:w="1739" w:type="dxa"/>
            <w:vAlign w:val="center"/>
          </w:tcPr>
          <w:p w14:paraId="6C8F201D">
            <w:pPr>
              <w:spacing w:line="360" w:lineRule="auto"/>
              <w:jc w:val="center"/>
              <w:rPr>
                <w:rFonts w:hint="eastAsia" w:ascii="宋体" w:hAnsi="宋体" w:eastAsia="宋体" w:cs="宋体"/>
                <w:b/>
                <w:color w:val="auto"/>
                <w:szCs w:val="21"/>
                <w:highlight w:val="none"/>
              </w:rPr>
            </w:pPr>
          </w:p>
        </w:tc>
        <w:tc>
          <w:tcPr>
            <w:tcW w:w="709" w:type="dxa"/>
            <w:vAlign w:val="center"/>
          </w:tcPr>
          <w:p w14:paraId="2327E5AD">
            <w:pPr>
              <w:spacing w:line="360" w:lineRule="auto"/>
              <w:jc w:val="center"/>
              <w:rPr>
                <w:rFonts w:hint="eastAsia" w:ascii="宋体" w:hAnsi="宋体" w:eastAsia="宋体" w:cs="宋体"/>
                <w:b/>
                <w:color w:val="auto"/>
                <w:szCs w:val="21"/>
                <w:highlight w:val="none"/>
              </w:rPr>
            </w:pPr>
          </w:p>
        </w:tc>
        <w:tc>
          <w:tcPr>
            <w:tcW w:w="850" w:type="dxa"/>
            <w:vAlign w:val="center"/>
          </w:tcPr>
          <w:p w14:paraId="300C11FF">
            <w:pPr>
              <w:spacing w:line="360" w:lineRule="auto"/>
              <w:jc w:val="center"/>
              <w:rPr>
                <w:rFonts w:hint="eastAsia" w:ascii="宋体" w:hAnsi="宋体" w:eastAsia="宋体" w:cs="宋体"/>
                <w:b/>
                <w:color w:val="auto"/>
                <w:szCs w:val="21"/>
                <w:highlight w:val="none"/>
              </w:rPr>
            </w:pPr>
          </w:p>
        </w:tc>
        <w:tc>
          <w:tcPr>
            <w:tcW w:w="993" w:type="dxa"/>
            <w:vAlign w:val="center"/>
          </w:tcPr>
          <w:p w14:paraId="41C6264B">
            <w:pPr>
              <w:spacing w:line="360" w:lineRule="auto"/>
              <w:jc w:val="left"/>
              <w:rPr>
                <w:rFonts w:hint="eastAsia" w:ascii="宋体" w:hAnsi="宋体" w:eastAsia="宋体" w:cs="宋体"/>
                <w:b/>
                <w:color w:val="auto"/>
                <w:szCs w:val="21"/>
                <w:highlight w:val="none"/>
              </w:rPr>
            </w:pPr>
          </w:p>
        </w:tc>
        <w:tc>
          <w:tcPr>
            <w:tcW w:w="1984" w:type="dxa"/>
            <w:vAlign w:val="center"/>
          </w:tcPr>
          <w:p w14:paraId="55196172">
            <w:pPr>
              <w:spacing w:line="360" w:lineRule="auto"/>
              <w:jc w:val="center"/>
              <w:rPr>
                <w:rFonts w:hint="eastAsia" w:ascii="宋体" w:hAnsi="宋体" w:eastAsia="宋体" w:cs="宋体"/>
                <w:b/>
                <w:color w:val="auto"/>
                <w:szCs w:val="21"/>
                <w:highlight w:val="none"/>
              </w:rPr>
            </w:pPr>
          </w:p>
        </w:tc>
        <w:tc>
          <w:tcPr>
            <w:tcW w:w="1843" w:type="dxa"/>
          </w:tcPr>
          <w:p w14:paraId="4B49CC19">
            <w:pPr>
              <w:spacing w:line="360" w:lineRule="auto"/>
              <w:jc w:val="center"/>
              <w:rPr>
                <w:rFonts w:hint="eastAsia" w:ascii="宋体" w:hAnsi="宋体" w:eastAsia="宋体" w:cs="宋体"/>
                <w:b/>
                <w:color w:val="auto"/>
                <w:szCs w:val="21"/>
                <w:highlight w:val="none"/>
              </w:rPr>
            </w:pPr>
          </w:p>
        </w:tc>
      </w:tr>
      <w:tr w14:paraId="373C1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E5ADDE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vAlign w:val="center"/>
          </w:tcPr>
          <w:p w14:paraId="0FAF0F27">
            <w:pPr>
              <w:spacing w:line="360" w:lineRule="auto"/>
              <w:jc w:val="center"/>
              <w:rPr>
                <w:rFonts w:hint="eastAsia" w:ascii="宋体" w:hAnsi="宋体" w:eastAsia="宋体" w:cs="宋体"/>
                <w:b/>
                <w:color w:val="auto"/>
                <w:szCs w:val="21"/>
                <w:highlight w:val="none"/>
              </w:rPr>
            </w:pPr>
          </w:p>
        </w:tc>
        <w:tc>
          <w:tcPr>
            <w:tcW w:w="709" w:type="dxa"/>
            <w:vAlign w:val="center"/>
          </w:tcPr>
          <w:p w14:paraId="6E350F93">
            <w:pPr>
              <w:spacing w:line="360" w:lineRule="auto"/>
              <w:jc w:val="center"/>
              <w:rPr>
                <w:rFonts w:hint="eastAsia" w:ascii="宋体" w:hAnsi="宋体" w:eastAsia="宋体" w:cs="宋体"/>
                <w:b/>
                <w:color w:val="auto"/>
                <w:szCs w:val="21"/>
                <w:highlight w:val="none"/>
              </w:rPr>
            </w:pPr>
          </w:p>
        </w:tc>
        <w:tc>
          <w:tcPr>
            <w:tcW w:w="850" w:type="dxa"/>
            <w:vAlign w:val="center"/>
          </w:tcPr>
          <w:p w14:paraId="65142231">
            <w:pPr>
              <w:spacing w:line="360" w:lineRule="auto"/>
              <w:jc w:val="center"/>
              <w:rPr>
                <w:rFonts w:hint="eastAsia" w:ascii="宋体" w:hAnsi="宋体" w:eastAsia="宋体" w:cs="宋体"/>
                <w:b/>
                <w:color w:val="auto"/>
                <w:szCs w:val="21"/>
                <w:highlight w:val="none"/>
              </w:rPr>
            </w:pPr>
          </w:p>
        </w:tc>
        <w:tc>
          <w:tcPr>
            <w:tcW w:w="993" w:type="dxa"/>
            <w:vAlign w:val="center"/>
          </w:tcPr>
          <w:p w14:paraId="6118A3A5">
            <w:pPr>
              <w:spacing w:line="360" w:lineRule="auto"/>
              <w:jc w:val="left"/>
              <w:rPr>
                <w:rFonts w:hint="eastAsia" w:ascii="宋体" w:hAnsi="宋体" w:eastAsia="宋体" w:cs="宋体"/>
                <w:b/>
                <w:color w:val="auto"/>
                <w:szCs w:val="21"/>
                <w:highlight w:val="none"/>
              </w:rPr>
            </w:pPr>
          </w:p>
        </w:tc>
        <w:tc>
          <w:tcPr>
            <w:tcW w:w="1984" w:type="dxa"/>
            <w:vAlign w:val="center"/>
          </w:tcPr>
          <w:p w14:paraId="291B16DC">
            <w:pPr>
              <w:spacing w:line="360" w:lineRule="auto"/>
              <w:jc w:val="center"/>
              <w:rPr>
                <w:rFonts w:hint="eastAsia" w:ascii="宋体" w:hAnsi="宋体" w:eastAsia="宋体" w:cs="宋体"/>
                <w:b/>
                <w:color w:val="auto"/>
                <w:szCs w:val="21"/>
                <w:highlight w:val="none"/>
              </w:rPr>
            </w:pPr>
          </w:p>
        </w:tc>
        <w:tc>
          <w:tcPr>
            <w:tcW w:w="1843" w:type="dxa"/>
          </w:tcPr>
          <w:p w14:paraId="3A3450A6">
            <w:pPr>
              <w:spacing w:line="360" w:lineRule="auto"/>
              <w:jc w:val="center"/>
              <w:rPr>
                <w:rFonts w:hint="eastAsia" w:ascii="宋体" w:hAnsi="宋体" w:eastAsia="宋体" w:cs="宋体"/>
                <w:b/>
                <w:color w:val="auto"/>
                <w:szCs w:val="21"/>
                <w:highlight w:val="none"/>
              </w:rPr>
            </w:pPr>
          </w:p>
        </w:tc>
      </w:tr>
      <w:tr w14:paraId="0C56AA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2503E794">
            <w:pPr>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环境标志产品</w:t>
            </w:r>
          </w:p>
        </w:tc>
      </w:tr>
      <w:tr w14:paraId="289046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7F93A91">
            <w:pPr>
              <w:spacing w:line="360" w:lineRule="auto"/>
              <w:jc w:val="center"/>
              <w:rPr>
                <w:rFonts w:hint="eastAsia" w:ascii="宋体" w:hAnsi="宋体" w:eastAsia="宋体" w:cs="宋体"/>
                <w:b/>
                <w:color w:val="auto"/>
                <w:szCs w:val="21"/>
                <w:highlight w:val="none"/>
              </w:rPr>
            </w:pPr>
          </w:p>
        </w:tc>
        <w:tc>
          <w:tcPr>
            <w:tcW w:w="1739" w:type="dxa"/>
            <w:vAlign w:val="center"/>
          </w:tcPr>
          <w:p w14:paraId="6F683524">
            <w:pPr>
              <w:spacing w:line="360" w:lineRule="auto"/>
              <w:jc w:val="center"/>
              <w:rPr>
                <w:rFonts w:hint="eastAsia" w:ascii="宋体" w:hAnsi="宋体" w:eastAsia="宋体" w:cs="宋体"/>
                <w:b/>
                <w:color w:val="auto"/>
                <w:szCs w:val="21"/>
                <w:highlight w:val="none"/>
              </w:rPr>
            </w:pPr>
          </w:p>
        </w:tc>
        <w:tc>
          <w:tcPr>
            <w:tcW w:w="709" w:type="dxa"/>
            <w:vAlign w:val="center"/>
          </w:tcPr>
          <w:p w14:paraId="5BC63DA5">
            <w:pPr>
              <w:spacing w:line="360" w:lineRule="auto"/>
              <w:jc w:val="center"/>
              <w:rPr>
                <w:rFonts w:hint="eastAsia" w:ascii="宋体" w:hAnsi="宋体" w:eastAsia="宋体" w:cs="宋体"/>
                <w:b/>
                <w:color w:val="auto"/>
                <w:szCs w:val="21"/>
                <w:highlight w:val="none"/>
              </w:rPr>
            </w:pPr>
          </w:p>
        </w:tc>
        <w:tc>
          <w:tcPr>
            <w:tcW w:w="850" w:type="dxa"/>
            <w:vAlign w:val="center"/>
          </w:tcPr>
          <w:p w14:paraId="77D34640">
            <w:pPr>
              <w:spacing w:line="360" w:lineRule="auto"/>
              <w:jc w:val="center"/>
              <w:rPr>
                <w:rFonts w:hint="eastAsia" w:ascii="宋体" w:hAnsi="宋体" w:eastAsia="宋体" w:cs="宋体"/>
                <w:b/>
                <w:color w:val="auto"/>
                <w:szCs w:val="21"/>
                <w:highlight w:val="none"/>
              </w:rPr>
            </w:pPr>
          </w:p>
        </w:tc>
        <w:tc>
          <w:tcPr>
            <w:tcW w:w="993" w:type="dxa"/>
            <w:vAlign w:val="center"/>
          </w:tcPr>
          <w:p w14:paraId="7E23636C">
            <w:pPr>
              <w:spacing w:line="360" w:lineRule="auto"/>
              <w:jc w:val="left"/>
              <w:rPr>
                <w:rFonts w:hint="eastAsia" w:ascii="宋体" w:hAnsi="宋体" w:eastAsia="宋体" w:cs="宋体"/>
                <w:b/>
                <w:color w:val="auto"/>
                <w:szCs w:val="21"/>
                <w:highlight w:val="none"/>
              </w:rPr>
            </w:pPr>
          </w:p>
        </w:tc>
        <w:tc>
          <w:tcPr>
            <w:tcW w:w="1984" w:type="dxa"/>
            <w:vAlign w:val="center"/>
          </w:tcPr>
          <w:p w14:paraId="50E4F775">
            <w:pPr>
              <w:spacing w:line="360" w:lineRule="auto"/>
              <w:jc w:val="center"/>
              <w:rPr>
                <w:rFonts w:hint="eastAsia" w:ascii="宋体" w:hAnsi="宋体" w:eastAsia="宋体" w:cs="宋体"/>
                <w:b/>
                <w:color w:val="auto"/>
                <w:szCs w:val="21"/>
                <w:highlight w:val="none"/>
              </w:rPr>
            </w:pPr>
          </w:p>
        </w:tc>
        <w:tc>
          <w:tcPr>
            <w:tcW w:w="1843" w:type="dxa"/>
          </w:tcPr>
          <w:p w14:paraId="7843DFAD">
            <w:pPr>
              <w:spacing w:line="360" w:lineRule="auto"/>
              <w:jc w:val="center"/>
              <w:rPr>
                <w:rFonts w:hint="eastAsia" w:ascii="宋体" w:hAnsi="宋体" w:eastAsia="宋体" w:cs="宋体"/>
                <w:b/>
                <w:color w:val="auto"/>
                <w:szCs w:val="21"/>
                <w:highlight w:val="none"/>
              </w:rPr>
            </w:pPr>
          </w:p>
        </w:tc>
      </w:tr>
      <w:tr w14:paraId="0F4540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400C42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vAlign w:val="center"/>
          </w:tcPr>
          <w:p w14:paraId="676061BD">
            <w:pPr>
              <w:spacing w:line="360" w:lineRule="auto"/>
              <w:jc w:val="center"/>
              <w:rPr>
                <w:rFonts w:hint="eastAsia" w:ascii="宋体" w:hAnsi="宋体" w:eastAsia="宋体" w:cs="宋体"/>
                <w:b/>
                <w:color w:val="auto"/>
                <w:szCs w:val="21"/>
                <w:highlight w:val="none"/>
              </w:rPr>
            </w:pPr>
          </w:p>
        </w:tc>
        <w:tc>
          <w:tcPr>
            <w:tcW w:w="709" w:type="dxa"/>
            <w:vAlign w:val="center"/>
          </w:tcPr>
          <w:p w14:paraId="08BC3E4C">
            <w:pPr>
              <w:spacing w:line="360" w:lineRule="auto"/>
              <w:jc w:val="center"/>
              <w:rPr>
                <w:rFonts w:hint="eastAsia" w:ascii="宋体" w:hAnsi="宋体" w:eastAsia="宋体" w:cs="宋体"/>
                <w:b/>
                <w:color w:val="auto"/>
                <w:szCs w:val="21"/>
                <w:highlight w:val="none"/>
              </w:rPr>
            </w:pPr>
          </w:p>
        </w:tc>
        <w:tc>
          <w:tcPr>
            <w:tcW w:w="850" w:type="dxa"/>
            <w:vAlign w:val="center"/>
          </w:tcPr>
          <w:p w14:paraId="4ACA01B9">
            <w:pPr>
              <w:spacing w:line="360" w:lineRule="auto"/>
              <w:jc w:val="center"/>
              <w:rPr>
                <w:rFonts w:hint="eastAsia" w:ascii="宋体" w:hAnsi="宋体" w:eastAsia="宋体" w:cs="宋体"/>
                <w:b/>
                <w:color w:val="auto"/>
                <w:szCs w:val="21"/>
                <w:highlight w:val="none"/>
              </w:rPr>
            </w:pPr>
          </w:p>
        </w:tc>
        <w:tc>
          <w:tcPr>
            <w:tcW w:w="993" w:type="dxa"/>
            <w:vAlign w:val="center"/>
          </w:tcPr>
          <w:p w14:paraId="1CE9C5E4">
            <w:pPr>
              <w:spacing w:line="360" w:lineRule="auto"/>
              <w:jc w:val="left"/>
              <w:rPr>
                <w:rFonts w:hint="eastAsia" w:ascii="宋体" w:hAnsi="宋体" w:eastAsia="宋体" w:cs="宋体"/>
                <w:b/>
                <w:color w:val="auto"/>
                <w:szCs w:val="21"/>
                <w:highlight w:val="none"/>
              </w:rPr>
            </w:pPr>
          </w:p>
        </w:tc>
        <w:tc>
          <w:tcPr>
            <w:tcW w:w="1984" w:type="dxa"/>
            <w:vAlign w:val="center"/>
          </w:tcPr>
          <w:p w14:paraId="12B4E392">
            <w:pPr>
              <w:spacing w:line="360" w:lineRule="auto"/>
              <w:jc w:val="center"/>
              <w:rPr>
                <w:rFonts w:hint="eastAsia" w:ascii="宋体" w:hAnsi="宋体" w:eastAsia="宋体" w:cs="宋体"/>
                <w:b/>
                <w:color w:val="auto"/>
                <w:szCs w:val="21"/>
                <w:highlight w:val="none"/>
              </w:rPr>
            </w:pPr>
          </w:p>
        </w:tc>
        <w:tc>
          <w:tcPr>
            <w:tcW w:w="1843" w:type="dxa"/>
          </w:tcPr>
          <w:p w14:paraId="159CAF7D">
            <w:pPr>
              <w:spacing w:line="360" w:lineRule="auto"/>
              <w:jc w:val="center"/>
              <w:rPr>
                <w:rFonts w:hint="eastAsia" w:ascii="宋体" w:hAnsi="宋体" w:eastAsia="宋体" w:cs="宋体"/>
                <w:b/>
                <w:color w:val="auto"/>
                <w:szCs w:val="21"/>
                <w:highlight w:val="none"/>
              </w:rPr>
            </w:pPr>
          </w:p>
        </w:tc>
      </w:tr>
    </w:tbl>
    <w:p w14:paraId="528FC60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0BF4E54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1、本表用于计算节能产品、环境标志产品的政策功能加分或价格扣除。</w:t>
      </w:r>
    </w:p>
    <w:p w14:paraId="09B552C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2、栏目7“政策功能编码”是指货物的中国环境标志认证证书编号、节能标志认证证书号(货物同时属于节能产品、环境标志产品的，只填写一种)。</w:t>
      </w:r>
    </w:p>
    <w:p w14:paraId="0680724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3、栏目4“单价”为综合单价，包含货物所有隐含的内容，如运输费、保险费、管理费和利润等。</w:t>
      </w:r>
    </w:p>
    <w:p w14:paraId="34C7B9B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4、未按上述要求提供、填写的，评审时本表所有优惠不予以考虑。</w:t>
      </w:r>
    </w:p>
    <w:p w14:paraId="565D2567">
      <w:pPr>
        <w:spacing w:line="360" w:lineRule="auto"/>
        <w:rPr>
          <w:rFonts w:hint="eastAsia" w:ascii="宋体" w:hAnsi="宋体" w:eastAsia="宋体" w:cs="宋体"/>
          <w:color w:val="auto"/>
          <w:szCs w:val="21"/>
          <w:highlight w:val="none"/>
        </w:rPr>
      </w:pPr>
    </w:p>
    <w:p w14:paraId="3B9FEBC1">
      <w:pPr>
        <w:spacing w:line="360" w:lineRule="auto"/>
        <w:rPr>
          <w:rFonts w:hint="eastAsia" w:ascii="宋体" w:hAnsi="宋体" w:eastAsia="宋体" w:cs="宋体"/>
          <w:color w:val="auto"/>
          <w:szCs w:val="21"/>
          <w:highlight w:val="none"/>
        </w:rPr>
      </w:pPr>
    </w:p>
    <w:p w14:paraId="2D025EEF">
      <w:pPr>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6"/>
          <w:kern w:val="0"/>
          <w:szCs w:val="21"/>
          <w:highlight w:val="none"/>
        </w:rPr>
        <w:t>供应商</w:t>
      </w:r>
      <w:r>
        <w:rPr>
          <w:rFonts w:hint="eastAsia" w:ascii="宋体" w:hAnsi="宋体" w:eastAsia="宋体" w:cs="宋体"/>
          <w:color w:val="auto"/>
          <w:szCs w:val="21"/>
          <w:highlight w:val="none"/>
        </w:rPr>
        <w:t>名称（盖单位章）：</w:t>
      </w:r>
    </w:p>
    <w:p w14:paraId="1BA9130E">
      <w:pPr>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6"/>
          <w:kern w:val="0"/>
          <w:szCs w:val="21"/>
          <w:highlight w:val="none"/>
        </w:rPr>
        <w:t>供应商</w:t>
      </w:r>
      <w:r>
        <w:rPr>
          <w:rFonts w:hint="eastAsia" w:ascii="宋体" w:hAnsi="宋体" w:eastAsia="宋体" w:cs="宋体"/>
          <w:color w:val="auto"/>
          <w:szCs w:val="21"/>
          <w:highlight w:val="none"/>
        </w:rPr>
        <w:t>代表（签字或盖章）：</w:t>
      </w:r>
    </w:p>
    <w:p w14:paraId="1F61C87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日期：年月日</w:t>
      </w:r>
    </w:p>
    <w:p w14:paraId="718EE404">
      <w:pPr>
        <w:widowControl/>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bCs/>
          <w:color w:val="auto"/>
          <w:sz w:val="32"/>
          <w:szCs w:val="32"/>
          <w:highlight w:val="none"/>
        </w:rPr>
        <w:t>八、供应商认为需提供的其它资料及说明</w:t>
      </w:r>
    </w:p>
    <w:p w14:paraId="2C0EE7F5">
      <w:pPr>
        <w:adjustRightInd w:val="0"/>
        <w:snapToGrid w:val="0"/>
        <w:spacing w:line="360" w:lineRule="auto"/>
        <w:ind w:firstLine="420" w:firstLineChars="200"/>
        <w:rPr>
          <w:rFonts w:hint="eastAsia" w:ascii="宋体" w:hAnsi="宋体" w:eastAsia="宋体" w:cs="宋体"/>
          <w:color w:val="auto"/>
          <w:szCs w:val="21"/>
          <w:highlight w:val="none"/>
        </w:rPr>
      </w:pPr>
    </w:p>
    <w:p w14:paraId="6A2E1BD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提供磋商文件或评分标准需要提供的相关证明文件复印件，</w:t>
      </w:r>
      <w:r>
        <w:rPr>
          <w:rFonts w:hint="eastAsia" w:ascii="宋体" w:hAnsi="宋体" w:eastAsia="宋体" w:cs="宋体"/>
          <w:b/>
          <w:color w:val="auto"/>
          <w:szCs w:val="21"/>
          <w:highlight w:val="none"/>
        </w:rPr>
        <w:t>包括但不限于：</w:t>
      </w:r>
    </w:p>
    <w:p w14:paraId="419AB6A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1、类似</w:t>
      </w:r>
      <w:r>
        <w:rPr>
          <w:rFonts w:hint="eastAsia" w:ascii="宋体" w:hAnsi="宋体" w:eastAsia="宋体" w:cs="宋体"/>
          <w:color w:val="auto"/>
          <w:kern w:val="0"/>
          <w:szCs w:val="21"/>
          <w:highlight w:val="none"/>
        </w:rPr>
        <w:t>项目证明资料；</w:t>
      </w:r>
    </w:p>
    <w:p w14:paraId="69644562">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2、企业认证情况</w:t>
      </w:r>
      <w:r>
        <w:rPr>
          <w:rFonts w:hint="eastAsia" w:ascii="宋体" w:hAnsi="宋体" w:eastAsia="宋体" w:cs="宋体"/>
          <w:color w:val="auto"/>
          <w:kern w:val="0"/>
          <w:szCs w:val="21"/>
          <w:highlight w:val="none"/>
        </w:rPr>
        <w:t>；</w:t>
      </w:r>
    </w:p>
    <w:p w14:paraId="10AF7CD9">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3、企业和项目负责人无不良行为记录的承诺，或不良行为记录的情况说明。格式自拟。</w:t>
      </w:r>
    </w:p>
    <w:p w14:paraId="3B8463B9">
      <w:pPr>
        <w:adjustRightInd w:val="0"/>
        <w:snapToGrid w:val="0"/>
        <w:spacing w:line="360" w:lineRule="auto"/>
        <w:ind w:left="-88" w:leftChars="-42"/>
        <w:jc w:val="center"/>
        <w:outlineLvl w:val="0"/>
        <w:rPr>
          <w:rFonts w:hint="eastAsia" w:ascii="宋体" w:hAnsi="宋体" w:eastAsia="宋体" w:cs="宋体"/>
          <w:b/>
          <w:color w:val="auto"/>
          <w:szCs w:val="21"/>
          <w:highlight w:val="none"/>
        </w:rPr>
      </w:pPr>
    </w:p>
    <w:p w14:paraId="422D9C84">
      <w:pPr>
        <w:adjustRightInd w:val="0"/>
        <w:snapToGrid w:val="0"/>
        <w:spacing w:line="360" w:lineRule="auto"/>
        <w:ind w:left="-88" w:leftChars="-42"/>
        <w:jc w:val="center"/>
        <w:rPr>
          <w:rFonts w:hint="eastAsia" w:ascii="宋体" w:hAnsi="宋体" w:eastAsia="宋体" w:cs="宋体"/>
          <w:b/>
          <w:bCs/>
          <w:color w:val="auto"/>
          <w:sz w:val="32"/>
          <w:szCs w:val="32"/>
          <w:highlight w:val="none"/>
        </w:rPr>
        <w:sectPr>
          <w:pgSz w:w="11906" w:h="16838"/>
          <w:pgMar w:top="1440" w:right="1531" w:bottom="1440" w:left="1531" w:header="851" w:footer="992" w:gutter="0"/>
          <w:pgBorders>
            <w:top w:val="none" w:sz="0" w:space="0"/>
            <w:left w:val="none" w:sz="0" w:space="0"/>
            <w:bottom w:val="none" w:sz="0" w:space="0"/>
            <w:right w:val="none" w:sz="0" w:space="0"/>
          </w:pgBorders>
          <w:cols w:space="720" w:num="1"/>
          <w:docGrid w:type="lines" w:linePitch="312" w:charSpace="0"/>
        </w:sectPr>
      </w:pPr>
    </w:p>
    <w:p w14:paraId="25B918FF">
      <w:pPr>
        <w:adjustRightInd w:val="0"/>
        <w:snapToGrid w:val="0"/>
        <w:spacing w:line="360" w:lineRule="auto"/>
        <w:ind w:left="-88" w:leftChars="-42"/>
        <w:rPr>
          <w:rFonts w:hint="eastAsia" w:ascii="宋体" w:hAnsi="宋体" w:eastAsia="宋体" w:cs="宋体"/>
          <w:color w:val="auto"/>
          <w:sz w:val="32"/>
          <w:szCs w:val="32"/>
          <w:highlight w:val="none"/>
        </w:rPr>
      </w:pPr>
    </w:p>
    <w:p w14:paraId="573D5AAC">
      <w:pPr>
        <w:widowControl/>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九、最后报价（现场提供）</w:t>
      </w:r>
    </w:p>
    <w:p w14:paraId="6093D87A">
      <w:pPr>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附件9-1</w:t>
      </w:r>
    </w:p>
    <w:p w14:paraId="1A29F684">
      <w:pPr>
        <w:adjustRightInd w:val="0"/>
        <w:snapToGrid w:val="0"/>
        <w:spacing w:before="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最后报价一览表</w:t>
      </w:r>
    </w:p>
    <w:tbl>
      <w:tblPr>
        <w:tblStyle w:val="24"/>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281217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7CEB6C5E">
            <w:pPr>
              <w:tabs>
                <w:tab w:val="left" w:pos="403"/>
                <w:tab w:val="center" w:pos="3781"/>
              </w:tabs>
              <w:spacing w:line="360" w:lineRule="auto"/>
              <w:ind w:right="-5206" w:rightChars="-2479"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3A82F9AE">
            <w:pPr>
              <w:spacing w:line="360" w:lineRule="auto"/>
              <w:jc w:val="center"/>
              <w:rPr>
                <w:rFonts w:hint="eastAsia" w:ascii="宋体" w:hAnsi="宋体" w:eastAsia="宋体" w:cs="宋体"/>
                <w:color w:val="auto"/>
                <w:szCs w:val="21"/>
                <w:highlight w:val="none"/>
              </w:rPr>
            </w:pPr>
          </w:p>
        </w:tc>
        <w:tc>
          <w:tcPr>
            <w:tcW w:w="1620" w:type="dxa"/>
            <w:tcBorders>
              <w:top w:val="double" w:color="auto" w:sz="4" w:space="0"/>
              <w:left w:val="single" w:color="auto" w:sz="6" w:space="0"/>
              <w:bottom w:val="single" w:color="auto" w:sz="6" w:space="0"/>
              <w:right w:val="single" w:color="auto" w:sz="6" w:space="0"/>
            </w:tcBorders>
            <w:vAlign w:val="center"/>
          </w:tcPr>
          <w:p w14:paraId="0699076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政府采购编号</w:t>
            </w:r>
          </w:p>
        </w:tc>
        <w:tc>
          <w:tcPr>
            <w:tcW w:w="2520" w:type="dxa"/>
            <w:tcBorders>
              <w:top w:val="double" w:color="auto" w:sz="4" w:space="0"/>
              <w:left w:val="single" w:color="auto" w:sz="6" w:space="0"/>
              <w:bottom w:val="single" w:color="auto" w:sz="6" w:space="0"/>
              <w:right w:val="double" w:color="auto" w:sz="4" w:space="0"/>
            </w:tcBorders>
            <w:vAlign w:val="center"/>
          </w:tcPr>
          <w:p w14:paraId="4DAD5290">
            <w:pPr>
              <w:spacing w:line="360" w:lineRule="auto"/>
              <w:jc w:val="center"/>
              <w:rPr>
                <w:rFonts w:hint="eastAsia" w:ascii="宋体" w:hAnsi="宋体" w:eastAsia="宋体" w:cs="宋体"/>
                <w:color w:val="auto"/>
                <w:szCs w:val="21"/>
                <w:highlight w:val="none"/>
              </w:rPr>
            </w:pPr>
          </w:p>
        </w:tc>
      </w:tr>
      <w:tr w14:paraId="7FF2F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5D181CC7">
            <w:pPr>
              <w:tabs>
                <w:tab w:val="left" w:pos="403"/>
                <w:tab w:val="center" w:pos="3781"/>
              </w:tabs>
              <w:spacing w:line="360" w:lineRule="auto"/>
              <w:ind w:right="-5206" w:rightChars="-2479"/>
              <w:rPr>
                <w:rFonts w:hint="eastAsia" w:ascii="宋体" w:hAnsi="宋体" w:eastAsia="宋体" w:cs="宋体"/>
                <w:color w:val="auto"/>
                <w:szCs w:val="21"/>
                <w:highlight w:val="none"/>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36C050B7">
            <w:pPr>
              <w:spacing w:line="360" w:lineRule="auto"/>
              <w:jc w:val="center"/>
              <w:rPr>
                <w:rFonts w:hint="eastAsia" w:ascii="宋体" w:hAnsi="宋体" w:eastAsia="宋体" w:cs="宋体"/>
                <w:color w:val="auto"/>
                <w:szCs w:val="21"/>
                <w:highlight w:val="none"/>
              </w:rPr>
            </w:pPr>
          </w:p>
        </w:tc>
        <w:tc>
          <w:tcPr>
            <w:tcW w:w="1620" w:type="dxa"/>
            <w:tcBorders>
              <w:top w:val="single" w:color="auto" w:sz="6" w:space="0"/>
              <w:left w:val="single" w:color="auto" w:sz="6" w:space="0"/>
              <w:bottom w:val="single" w:color="auto" w:sz="6" w:space="0"/>
              <w:right w:val="single" w:color="auto" w:sz="6" w:space="0"/>
            </w:tcBorders>
            <w:vAlign w:val="center"/>
          </w:tcPr>
          <w:p w14:paraId="0E48C07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采购代理编号</w:t>
            </w:r>
          </w:p>
        </w:tc>
        <w:tc>
          <w:tcPr>
            <w:tcW w:w="2520" w:type="dxa"/>
            <w:tcBorders>
              <w:top w:val="single" w:color="auto" w:sz="6" w:space="0"/>
              <w:left w:val="single" w:color="auto" w:sz="6" w:space="0"/>
              <w:bottom w:val="single" w:color="auto" w:sz="6" w:space="0"/>
              <w:right w:val="double" w:color="auto" w:sz="4" w:space="0"/>
            </w:tcBorders>
            <w:vAlign w:val="center"/>
          </w:tcPr>
          <w:p w14:paraId="02601937">
            <w:pPr>
              <w:spacing w:line="360" w:lineRule="auto"/>
              <w:jc w:val="center"/>
              <w:rPr>
                <w:rFonts w:hint="eastAsia" w:ascii="宋体" w:hAnsi="宋体" w:eastAsia="宋体" w:cs="宋体"/>
                <w:color w:val="auto"/>
                <w:szCs w:val="21"/>
                <w:highlight w:val="none"/>
              </w:rPr>
            </w:pPr>
          </w:p>
        </w:tc>
      </w:tr>
      <w:tr w14:paraId="13AE3D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093E3A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品目分类编码</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27D2D2AA">
            <w:pPr>
              <w:spacing w:line="360" w:lineRule="auto"/>
              <w:rPr>
                <w:rFonts w:hint="eastAsia" w:ascii="宋体" w:hAnsi="宋体" w:eastAsia="宋体" w:cs="宋体"/>
                <w:color w:val="auto"/>
                <w:szCs w:val="21"/>
                <w:highlight w:val="none"/>
              </w:rPr>
            </w:pPr>
          </w:p>
        </w:tc>
      </w:tr>
      <w:tr w14:paraId="6FF5F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1620" w:type="dxa"/>
            <w:tcBorders>
              <w:top w:val="single" w:color="auto" w:sz="6" w:space="0"/>
              <w:left w:val="double" w:color="auto" w:sz="4" w:space="0"/>
              <w:right w:val="single" w:color="auto" w:sz="6" w:space="0"/>
            </w:tcBorders>
            <w:vAlign w:val="center"/>
          </w:tcPr>
          <w:p w14:paraId="380EC1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0AB3289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大写：元人民币整</w:t>
            </w:r>
          </w:p>
          <w:p w14:paraId="4C3E227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小写：元人民币整</w:t>
            </w:r>
          </w:p>
        </w:tc>
      </w:tr>
      <w:tr w14:paraId="03E83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4" w:space="0"/>
              <w:right w:val="single" w:color="auto" w:sz="6" w:space="0"/>
            </w:tcBorders>
            <w:vAlign w:val="center"/>
          </w:tcPr>
          <w:p w14:paraId="19760D0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合同工期</w:t>
            </w:r>
          </w:p>
        </w:tc>
        <w:tc>
          <w:tcPr>
            <w:tcW w:w="7200" w:type="dxa"/>
            <w:gridSpan w:val="3"/>
            <w:tcBorders>
              <w:top w:val="single" w:color="auto" w:sz="6" w:space="0"/>
              <w:left w:val="single" w:color="auto" w:sz="6" w:space="0"/>
              <w:bottom w:val="single" w:color="auto" w:sz="4" w:space="0"/>
              <w:right w:val="double" w:color="auto" w:sz="4" w:space="0"/>
            </w:tcBorders>
            <w:vAlign w:val="center"/>
          </w:tcPr>
          <w:p w14:paraId="17DE354D">
            <w:pPr>
              <w:spacing w:line="360" w:lineRule="auto"/>
              <w:rPr>
                <w:rFonts w:hint="eastAsia" w:ascii="宋体" w:hAnsi="宋体" w:eastAsia="宋体" w:cs="宋体"/>
                <w:color w:val="auto"/>
                <w:szCs w:val="21"/>
                <w:highlight w:val="none"/>
              </w:rPr>
            </w:pPr>
          </w:p>
        </w:tc>
      </w:tr>
      <w:tr w14:paraId="5E4D0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4" w:space="0"/>
              <w:left w:val="double" w:color="auto" w:sz="4" w:space="0"/>
              <w:right w:val="single" w:color="auto" w:sz="6" w:space="0"/>
            </w:tcBorders>
            <w:vAlign w:val="center"/>
          </w:tcPr>
          <w:p w14:paraId="12D0ECC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质量标准</w:t>
            </w:r>
          </w:p>
        </w:tc>
        <w:tc>
          <w:tcPr>
            <w:tcW w:w="7200" w:type="dxa"/>
            <w:gridSpan w:val="3"/>
            <w:tcBorders>
              <w:top w:val="single" w:color="auto" w:sz="4" w:space="0"/>
              <w:left w:val="single" w:color="auto" w:sz="6" w:space="0"/>
              <w:bottom w:val="single" w:color="auto" w:sz="6" w:space="0"/>
              <w:right w:val="double" w:color="auto" w:sz="4" w:space="0"/>
            </w:tcBorders>
            <w:vAlign w:val="center"/>
          </w:tcPr>
          <w:p w14:paraId="5C9B3D54">
            <w:pPr>
              <w:spacing w:line="360" w:lineRule="auto"/>
              <w:rPr>
                <w:rFonts w:hint="eastAsia" w:ascii="宋体" w:hAnsi="宋体" w:eastAsia="宋体" w:cs="宋体"/>
                <w:color w:val="auto"/>
                <w:szCs w:val="21"/>
                <w:highlight w:val="none"/>
              </w:rPr>
            </w:pPr>
          </w:p>
        </w:tc>
      </w:tr>
      <w:tr w14:paraId="3EABC0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6" w:space="0"/>
              <w:right w:val="single" w:color="auto" w:sz="6" w:space="0"/>
            </w:tcBorders>
            <w:vAlign w:val="center"/>
          </w:tcPr>
          <w:p w14:paraId="10804D5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保修承诺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514FCDCB">
            <w:pPr>
              <w:spacing w:line="360" w:lineRule="auto"/>
              <w:rPr>
                <w:rFonts w:hint="eastAsia" w:ascii="宋体" w:hAnsi="宋体" w:eastAsia="宋体" w:cs="宋体"/>
                <w:iCs/>
                <w:color w:val="auto"/>
                <w:szCs w:val="21"/>
                <w:highlight w:val="none"/>
              </w:rPr>
            </w:pPr>
          </w:p>
        </w:tc>
      </w:tr>
      <w:tr w14:paraId="696967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single" w:color="auto" w:sz="6" w:space="0"/>
              <w:right w:val="single" w:color="auto" w:sz="6" w:space="0"/>
            </w:tcBorders>
            <w:vAlign w:val="center"/>
          </w:tcPr>
          <w:p w14:paraId="4855ACF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2CA31707">
            <w:pPr>
              <w:spacing w:line="360" w:lineRule="auto"/>
              <w:rPr>
                <w:rFonts w:hint="eastAsia" w:ascii="宋体" w:hAnsi="宋体" w:eastAsia="宋体" w:cs="宋体"/>
                <w:color w:val="auto"/>
                <w:szCs w:val="21"/>
                <w:highlight w:val="none"/>
              </w:rPr>
            </w:pPr>
          </w:p>
        </w:tc>
      </w:tr>
      <w:tr w14:paraId="56DF36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tcBorders>
              <w:top w:val="single" w:color="auto" w:sz="6" w:space="0"/>
              <w:left w:val="double" w:color="auto" w:sz="4" w:space="0"/>
              <w:bottom w:val="double" w:color="auto" w:sz="4" w:space="0"/>
              <w:right w:val="single" w:color="auto" w:sz="6" w:space="0"/>
            </w:tcBorders>
            <w:vAlign w:val="center"/>
          </w:tcPr>
          <w:p w14:paraId="7F9491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  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14:paraId="1BE74BD1">
            <w:pPr>
              <w:spacing w:line="360" w:lineRule="auto"/>
              <w:rPr>
                <w:rFonts w:hint="eastAsia" w:ascii="宋体" w:hAnsi="宋体" w:eastAsia="宋体" w:cs="宋体"/>
                <w:color w:val="auto"/>
                <w:szCs w:val="21"/>
                <w:highlight w:val="none"/>
              </w:rPr>
            </w:pPr>
          </w:p>
        </w:tc>
      </w:tr>
    </w:tbl>
    <w:p w14:paraId="1154289E">
      <w:pPr>
        <w:adjustRightInd w:val="0"/>
        <w:snapToGrid w:val="0"/>
        <w:spacing w:line="360" w:lineRule="auto"/>
        <w:ind w:left="-88" w:leftChars="-42"/>
        <w:rPr>
          <w:rFonts w:hint="eastAsia" w:ascii="宋体" w:hAnsi="宋体" w:eastAsia="宋体" w:cs="宋体"/>
          <w:color w:val="auto"/>
          <w:szCs w:val="21"/>
          <w:highlight w:val="none"/>
        </w:rPr>
      </w:pPr>
    </w:p>
    <w:p w14:paraId="66916F61">
      <w:pPr>
        <w:pStyle w:val="13"/>
        <w:adjustRightInd w:val="0"/>
        <w:snapToGrid w:val="0"/>
        <w:spacing w:line="360" w:lineRule="auto"/>
        <w:outlineLvl w:val="0"/>
        <w:rPr>
          <w:rFonts w:hint="eastAsia" w:ascii="宋体" w:hAnsi="宋体" w:eastAsia="宋体" w:cs="宋体"/>
          <w:bCs/>
          <w:color w:val="auto"/>
          <w:sz w:val="21"/>
          <w:szCs w:val="21"/>
          <w:highlight w:val="none"/>
        </w:rPr>
      </w:pPr>
      <w:bookmarkStart w:id="268" w:name="_Toc1293"/>
      <w:r>
        <w:rPr>
          <w:rFonts w:hint="eastAsia" w:ascii="宋体" w:hAnsi="宋体" w:eastAsia="宋体" w:cs="宋体"/>
          <w:color w:val="auto"/>
          <w:sz w:val="21"/>
          <w:szCs w:val="21"/>
          <w:highlight w:val="none"/>
        </w:rPr>
        <w:t>供应商名称：</w:t>
      </w:r>
      <w:bookmarkEnd w:id="268"/>
      <w:r>
        <w:rPr>
          <w:rFonts w:hint="eastAsia" w:ascii="宋体" w:hAnsi="宋体" w:eastAsia="宋体" w:cs="宋体"/>
          <w:color w:val="auto"/>
          <w:szCs w:val="21"/>
          <w:highlight w:val="none"/>
          <w:u w:val="single"/>
        </w:rPr>
        <w:t xml:space="preserve">        </w:t>
      </w:r>
    </w:p>
    <w:p w14:paraId="1903E59B">
      <w:pPr>
        <w:adjustRightInd w:val="0"/>
        <w:snapToGrid w:val="0"/>
        <w:spacing w:line="360" w:lineRule="auto"/>
        <w:outlineLvl w:val="0"/>
        <w:rPr>
          <w:rFonts w:hint="eastAsia" w:ascii="宋体" w:hAnsi="宋体" w:eastAsia="宋体" w:cs="宋体"/>
          <w:color w:val="auto"/>
          <w:szCs w:val="21"/>
          <w:highlight w:val="none"/>
          <w:u w:val="single"/>
        </w:rPr>
      </w:pPr>
      <w:bookmarkStart w:id="269" w:name="_Toc16559"/>
      <w:r>
        <w:rPr>
          <w:rFonts w:hint="eastAsia" w:ascii="宋体" w:hAnsi="宋体" w:eastAsia="宋体" w:cs="宋体"/>
          <w:color w:val="auto"/>
          <w:szCs w:val="21"/>
          <w:highlight w:val="none"/>
        </w:rPr>
        <w:t>法定代表人或其委托代理人(签字或盖章)：</w:t>
      </w:r>
      <w:bookmarkEnd w:id="269"/>
      <w:r>
        <w:rPr>
          <w:rFonts w:hint="eastAsia" w:ascii="宋体" w:hAnsi="宋体" w:eastAsia="宋体" w:cs="宋体"/>
          <w:color w:val="auto"/>
          <w:szCs w:val="21"/>
          <w:highlight w:val="none"/>
          <w:u w:val="single"/>
        </w:rPr>
        <w:t xml:space="preserve">        </w:t>
      </w:r>
    </w:p>
    <w:p w14:paraId="57DECAF4">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8FB840F">
      <w:pPr>
        <w:adjustRightInd w:val="0"/>
        <w:snapToGrid w:val="0"/>
        <w:spacing w:line="360" w:lineRule="auto"/>
        <w:ind w:left="-88" w:leftChars="-42" w:firstLine="105" w:firstLineChars="50"/>
        <w:rPr>
          <w:rFonts w:hint="eastAsia" w:ascii="宋体" w:hAnsi="宋体" w:eastAsia="宋体" w:cs="宋体"/>
          <w:color w:val="auto"/>
          <w:szCs w:val="21"/>
          <w:highlight w:val="none"/>
        </w:rPr>
      </w:pPr>
    </w:p>
    <w:p w14:paraId="1E897E48">
      <w:pPr>
        <w:adjustRightInd w:val="0"/>
        <w:snapToGrid w:val="0"/>
        <w:spacing w:line="360" w:lineRule="auto"/>
        <w:ind w:left="-88" w:leftChars="-42" w:firstLine="105" w:firstLineChars="50"/>
        <w:rPr>
          <w:rFonts w:hint="eastAsia" w:ascii="宋体" w:hAnsi="宋体" w:eastAsia="宋体" w:cs="宋体"/>
          <w:color w:val="auto"/>
          <w:szCs w:val="21"/>
          <w:highlight w:val="none"/>
        </w:rPr>
      </w:pPr>
    </w:p>
    <w:p w14:paraId="021FD493">
      <w:pPr>
        <w:pStyle w:val="31"/>
        <w:rPr>
          <w:rFonts w:hint="eastAsia" w:ascii="宋体" w:hAnsi="宋体" w:eastAsia="宋体" w:cs="宋体"/>
          <w:color w:val="auto"/>
          <w:szCs w:val="21"/>
          <w:highlight w:val="none"/>
        </w:rPr>
      </w:pPr>
    </w:p>
    <w:p w14:paraId="2072EDBC">
      <w:pPr>
        <w:adjustRightInd w:val="0"/>
        <w:snapToGrid w:val="0"/>
        <w:spacing w:line="360" w:lineRule="auto"/>
        <w:ind w:left="-88" w:leftChars="-42" w:firstLine="105" w:firstLineChars="5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注：最终报价一览表和分项报价表在最后报价环节时单独密封递交，不装订在响应文件中，由各供应商现场提供，未按要求提供最后报价的视为无效投标。</w:t>
      </w:r>
    </w:p>
    <w:p w14:paraId="12D26962">
      <w:pPr>
        <w:pStyle w:val="31"/>
        <w:rPr>
          <w:rFonts w:hint="eastAsia" w:ascii="宋体" w:hAnsi="宋体" w:eastAsia="宋体" w:cs="宋体"/>
          <w:color w:val="auto"/>
          <w:szCs w:val="21"/>
          <w:highlight w:val="none"/>
        </w:rPr>
        <w:sectPr>
          <w:headerReference r:id="rId6" w:type="default"/>
          <w:footerReference r:id="rId7" w:type="default"/>
          <w:footerReference r:id="rId8" w:type="even"/>
          <w:type w:val="continuous"/>
          <w:pgSz w:w="11906" w:h="16838"/>
          <w:pgMar w:top="1474" w:right="1474" w:bottom="1276" w:left="1588" w:header="851" w:footer="992" w:gutter="0"/>
          <w:pgBorders>
            <w:top w:val="none" w:sz="0" w:space="0"/>
            <w:left w:val="none" w:sz="0" w:space="0"/>
            <w:bottom w:val="none" w:sz="0" w:space="0"/>
            <w:right w:val="none" w:sz="0" w:space="0"/>
          </w:pgBorders>
          <w:cols w:space="720" w:num="1"/>
          <w:docGrid w:type="lines" w:linePitch="312" w:charSpace="0"/>
        </w:sectPr>
      </w:pPr>
    </w:p>
    <w:p w14:paraId="1469E994">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b/>
          <w:color w:val="auto"/>
          <w:sz w:val="28"/>
          <w:szCs w:val="28"/>
          <w:highlight w:val="none"/>
        </w:rPr>
        <w:t>附件9-2</w:t>
      </w:r>
    </w:p>
    <w:p w14:paraId="27525CC5">
      <w:pPr>
        <w:pStyle w:val="31"/>
        <w:ind w:firstLine="0" w:firstLineChars="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分项报价表</w:t>
      </w:r>
    </w:p>
    <w:p w14:paraId="724BB058">
      <w:pPr>
        <w:pStyle w:val="4"/>
        <w:spacing w:before="0" w:after="0" w:line="360" w:lineRule="auto"/>
        <w:jc w:val="center"/>
        <w:rPr>
          <w:rFonts w:hint="eastAsia" w:ascii="宋体" w:hAnsi="宋体" w:eastAsia="宋体" w:cs="宋体"/>
          <w:color w:val="auto"/>
          <w:highlight w:val="none"/>
        </w:rPr>
      </w:pPr>
      <w:bookmarkStart w:id="270" w:name="_Toc15688"/>
      <w:r>
        <w:rPr>
          <w:rFonts w:hint="eastAsia" w:ascii="宋体" w:hAnsi="宋体" w:eastAsia="宋体" w:cs="宋体"/>
          <w:color w:val="auto"/>
          <w:highlight w:val="none"/>
        </w:rPr>
        <w:t>工程量清单</w:t>
      </w:r>
      <w:bookmarkEnd w:id="270"/>
    </w:p>
    <w:p w14:paraId="4A6966FA">
      <w:pPr>
        <w:autoSpaceDE w:val="0"/>
        <w:autoSpaceDN w:val="0"/>
        <w:adjustRightInd w:val="0"/>
        <w:spacing w:before="64" w:line="360" w:lineRule="auto"/>
        <w:ind w:right="-23"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1.已标价工程量清单内容</w:t>
      </w:r>
    </w:p>
    <w:p w14:paraId="3974914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（1）投标总价封面；</w:t>
      </w:r>
    </w:p>
    <w:p w14:paraId="097DF20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（2）投标总价扉页</w:t>
      </w:r>
    </w:p>
    <w:p w14:paraId="552C0D1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（3）工程计价总说明</w:t>
      </w:r>
    </w:p>
    <w:p w14:paraId="4EEE2A9B">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（4）建设项目投标报价汇总表</w:t>
      </w:r>
    </w:p>
    <w:p w14:paraId="5A556A3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（5）单项工程投标报价汇总表</w:t>
      </w:r>
    </w:p>
    <w:p w14:paraId="46147AA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（6）单位工程投标报价汇总表</w:t>
      </w:r>
    </w:p>
    <w:p w14:paraId="7E962B5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（7）分部分项工程项目清单与措施项目清单计价表</w:t>
      </w:r>
    </w:p>
    <w:p w14:paraId="1F40B1A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（8）综合单价分析表</w:t>
      </w:r>
    </w:p>
    <w:p w14:paraId="32DF112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（9）总价措施项目清单计费表</w:t>
      </w:r>
    </w:p>
    <w:p w14:paraId="766F990D">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（10）绿色施工安全防护措施项目费计价表（招投标）</w:t>
      </w:r>
    </w:p>
    <w:p w14:paraId="5D6D5E1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（11）其他项目清单与计价汇总表</w:t>
      </w:r>
    </w:p>
    <w:p w14:paraId="2DA6AD9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（12）暂列金额明细表</w:t>
      </w:r>
    </w:p>
    <w:p w14:paraId="40312ABB">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（13）材料暂估单价及调整表</w:t>
      </w:r>
    </w:p>
    <w:p w14:paraId="2777C4A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（14）专业工程/分部分项工程暂估价及结算价表</w:t>
      </w:r>
    </w:p>
    <w:p w14:paraId="35D0313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（15）计日工表</w:t>
      </w:r>
    </w:p>
    <w:p w14:paraId="6FBD7D0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（16）总承包服务费计价表</w:t>
      </w:r>
    </w:p>
    <w:p w14:paraId="6D41F29B">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（17）部分其他项目费计价表</w:t>
      </w:r>
    </w:p>
    <w:p w14:paraId="4690589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（18）发包人提供材料一览表</w:t>
      </w:r>
    </w:p>
    <w:p w14:paraId="585B057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（19）人工、材料、机械汇总表</w:t>
      </w:r>
    </w:p>
    <w:p w14:paraId="36BBF7EA">
      <w:pPr>
        <w:autoSpaceDE w:val="0"/>
        <w:autoSpaceDN w:val="0"/>
        <w:adjustRightInd w:val="0"/>
        <w:snapToGrid w:val="0"/>
        <w:spacing w:before="64" w:line="360" w:lineRule="auto"/>
        <w:ind w:right="-23"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rPr>
        <w:t>说明：以上表格如为空白表格，可不提供。</w:t>
      </w:r>
    </w:p>
    <w:p w14:paraId="066C0A42">
      <w:pPr>
        <w:adjustRightInd w:val="0"/>
        <w:snapToGrid w:val="0"/>
        <w:spacing w:line="360" w:lineRule="auto"/>
        <w:rPr>
          <w:rFonts w:hint="eastAsia" w:ascii="宋体" w:hAnsi="宋体" w:eastAsia="宋体" w:cs="宋体"/>
          <w:color w:val="auto"/>
          <w:szCs w:val="21"/>
          <w:highlight w:val="none"/>
        </w:rPr>
      </w:pPr>
    </w:p>
    <w:p w14:paraId="2D45D6F3">
      <w:pPr>
        <w:adjustRightInd w:val="0"/>
        <w:snapToGrid w:val="0"/>
        <w:spacing w:line="360" w:lineRule="auto"/>
        <w:ind w:left="-88" w:leftChars="-42" w:firstLine="105" w:firstLineChars="5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注：最终报价一览表和分项报价表在最后报价环节时单独密封递交，不装订在响应文件中，由各供应商现场提供，未按要求提供最后报价的视为无效投标。</w:t>
      </w:r>
    </w:p>
    <w:p w14:paraId="0777FD6B">
      <w:pPr>
        <w:spacing w:line="360" w:lineRule="auto"/>
        <w:rPr>
          <w:rFonts w:hint="eastAsia" w:ascii="宋体" w:hAnsi="宋体" w:eastAsia="宋体" w:cs="宋体"/>
          <w:color w:val="auto"/>
          <w:highlight w:val="none"/>
        </w:rPr>
      </w:pPr>
    </w:p>
    <w:sectPr>
      <w:pgSz w:w="11906" w:h="16838"/>
      <w:pgMar w:top="1474" w:right="1474" w:bottom="1276" w:left="158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69C3B28-86D1-4BC1-889A-CCD825BCCAE9}"/>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48007BD7-4FBF-4A01-AC9D-4278AEEB16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F666000-E76B-455C-9813-F24E7CDDC33B}"/>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4" w:fontKey="{BBE3BA85-CCFE-4AFD-A870-02D2111EDB77}"/>
  </w:font>
  <w:font w:name="华文中宋">
    <w:panose1 w:val="02010600040101010101"/>
    <w:charset w:val="86"/>
    <w:family w:val="auto"/>
    <w:pitch w:val="default"/>
    <w:sig w:usb0="00000287" w:usb1="080F0000" w:usb2="00000000" w:usb3="00000000" w:csb0="0004009F" w:csb1="DFD70000"/>
    <w:embedRegular r:id="rId5" w:fontKey="{FEA71E69-E8D6-4D6D-B8BF-037ACC0714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20032">
    <w:pPr>
      <w:pStyle w:val="1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3E61FB">
                          <w:pPr>
                            <w:pStyle w:val="1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C3E61FB">
                    <w:pPr>
                      <w:pStyle w:val="1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6C11E">
    <w:pPr>
      <w:pStyle w:val="1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5583B">
                          <w:pPr>
                            <w:pStyle w:val="15"/>
                            <w:jc w:val="center"/>
                          </w:pPr>
                          <w:r>
                            <w:fldChar w:fldCharType="begin"/>
                          </w:r>
                          <w:r>
                            <w:instrText xml:space="preserve"> PAGE   \* MERGEFORMAT </w:instrText>
                          </w:r>
                          <w:r>
                            <w:fldChar w:fldCharType="separate"/>
                          </w:r>
                          <w:r>
                            <w:rPr>
                              <w:lang w:val="zh-CN"/>
                            </w:rPr>
                            <w:t>58</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A55583B">
                    <w:pPr>
                      <w:pStyle w:val="15"/>
                      <w:jc w:val="center"/>
                    </w:pPr>
                    <w:r>
                      <w:fldChar w:fldCharType="begin"/>
                    </w:r>
                    <w:r>
                      <w:instrText xml:space="preserve"> PAGE   \* MERGEFORMAT </w:instrText>
                    </w:r>
                    <w:r>
                      <w:fldChar w:fldCharType="separate"/>
                    </w:r>
                    <w:r>
                      <w:rPr>
                        <w:lang w:val="zh-CN"/>
                      </w:rPr>
                      <w:t>58</w:t>
                    </w:r>
                    <w:r>
                      <w:rPr>
                        <w:lang w:val="zh-CN"/>
                      </w:rPr>
                      <w:fldChar w:fldCharType="end"/>
                    </w:r>
                  </w:p>
                </w:txbxContent>
              </v:textbox>
            </v:shape>
          </w:pict>
        </mc:Fallback>
      </mc:AlternateContent>
    </w:r>
  </w:p>
  <w:p w14:paraId="028E51B0">
    <w:pPr>
      <w:pStyle w:val="15"/>
      <w:rPr>
        <w:szCs w:val="3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254BE">
    <w:pPr>
      <w:pStyle w:val="15"/>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41846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6205" cy="418465"/>
                      </a:xfrm>
                      <a:prstGeom prst="rect">
                        <a:avLst/>
                      </a:prstGeom>
                      <a:noFill/>
                      <a:ln>
                        <a:noFill/>
                      </a:ln>
                    </wps:spPr>
                    <wps:txbx>
                      <w:txbxContent>
                        <w:p w14:paraId="3AED8DBD">
                          <w:pPr>
                            <w:pStyle w:val="15"/>
                          </w:pPr>
                          <w:r>
                            <w:fldChar w:fldCharType="begin"/>
                          </w:r>
                          <w:r>
                            <w:instrText xml:space="preserve"> PAGE  \* MERGEFORMAT </w:instrText>
                          </w:r>
                          <w:r>
                            <w:fldChar w:fldCharType="separate"/>
                          </w:r>
                          <w:r>
                            <w:t>79</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32.95pt;width:9.15pt;mso-position-horizontal:center;mso-position-horizontal-relative:margin;mso-wrap-style:none;z-index:251659264;mso-width-relative:page;mso-height-relative:page;" filled="f" stroked="f" coordsize="21600,21600" o:gfxdata="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MRaDnRAAAAAwEAAA8AAAAAAAAAAQAgAAAAIgAAAGRycy9kb3du&#10;cmV2LnhtbFBLAQIUABQAAAAIAIdO4kBMPIKjzQEAAJcDAAAOAAAAAAAAAAEAIAAAACABAABkcnMv&#10;ZTJvRG9jLnhtbFBLBQYAAAAABgAGAFkBAABfBQAAAAA=&#10;">
              <v:fill on="f" focussize="0,0"/>
              <v:stroke on="f"/>
              <v:imagedata o:title=""/>
              <o:lock v:ext="edit" aspectratio="f"/>
              <v:textbox inset="0mm,0mm,0mm,0mm" style="mso-fit-shape-to-text:t;">
                <w:txbxContent>
                  <w:p w14:paraId="3AED8DBD">
                    <w:pPr>
                      <w:pStyle w:val="15"/>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1742">
    <w:pPr>
      <w:pStyle w:val="15"/>
      <w:framePr w:wrap="around" w:vAnchor="text" w:hAnchor="margin" w:xAlign="right" w:y="1"/>
      <w:rPr>
        <w:rStyle w:val="28"/>
      </w:rPr>
    </w:pPr>
    <w:r>
      <w:fldChar w:fldCharType="begin"/>
    </w:r>
    <w:r>
      <w:rPr>
        <w:rStyle w:val="28"/>
      </w:rPr>
      <w:instrText xml:space="preserve">PAGE  </w:instrText>
    </w:r>
    <w:r>
      <w:fldChar w:fldCharType="end"/>
    </w:r>
  </w:p>
  <w:p w14:paraId="3F26CF22">
    <w:pPr>
      <w:pStyle w:val="1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B218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7EAA4">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0CE2C"/>
    <w:multiLevelType w:val="singleLevel"/>
    <w:tmpl w:val="8960CE2C"/>
    <w:lvl w:ilvl="0" w:tentative="0">
      <w:start w:val="3"/>
      <w:numFmt w:val="decimal"/>
      <w:suff w:val="nothing"/>
      <w:lvlText w:val="%1、"/>
      <w:lvlJc w:val="left"/>
    </w:lvl>
  </w:abstractNum>
  <w:abstractNum w:abstractNumId="1">
    <w:nsid w:val="959FBFA3"/>
    <w:multiLevelType w:val="singleLevel"/>
    <w:tmpl w:val="959FBFA3"/>
    <w:lvl w:ilvl="0" w:tentative="0">
      <w:start w:val="1"/>
      <w:numFmt w:val="decimal"/>
      <w:suff w:val="nothing"/>
      <w:lvlText w:val="（%1）"/>
      <w:lvlJc w:val="left"/>
    </w:lvl>
  </w:abstractNum>
  <w:abstractNum w:abstractNumId="2">
    <w:nsid w:val="A54CA5A5"/>
    <w:multiLevelType w:val="singleLevel"/>
    <w:tmpl w:val="A54CA5A5"/>
    <w:lvl w:ilvl="0" w:tentative="0">
      <w:start w:val="1"/>
      <w:numFmt w:val="decimal"/>
      <w:suff w:val="space"/>
      <w:lvlText w:val="%1."/>
      <w:lvlJc w:val="left"/>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5"/>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4">
    <w:nsid w:val="42385960"/>
    <w:multiLevelType w:val="singleLevel"/>
    <w:tmpl w:val="42385960"/>
    <w:lvl w:ilvl="0" w:tentative="0">
      <w:start w:val="1"/>
      <w:numFmt w:val="decimal"/>
      <w:suff w:val="nothing"/>
      <w:lvlText w:val="（%1）"/>
      <w:lvlJc w:val="left"/>
    </w:lvl>
  </w:abstractNum>
  <w:abstractNum w:abstractNumId="5">
    <w:nsid w:val="603760B7"/>
    <w:multiLevelType w:val="multilevel"/>
    <w:tmpl w:val="603760B7"/>
    <w:lvl w:ilvl="0" w:tentative="0">
      <w:start w:val="1"/>
      <w:numFmt w:val="japaneseCounting"/>
      <w:lvlText w:val="（%1）"/>
      <w:lvlJc w:val="left"/>
      <w:pPr>
        <w:ind w:left="1146" w:hanging="72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hMmFhNDMzOWUxZDY0NDg3ODE1Y2ZiNjk2MmRlMTcifQ=="/>
    <w:docVar w:name="KSO_WPS_MARK_KEY" w:val="c25a6930-a392-49c1-be2b-3cee8c89089f"/>
  </w:docVars>
  <w:rsids>
    <w:rsidRoot w:val="685A718E"/>
    <w:rsid w:val="000114FB"/>
    <w:rsid w:val="00013E31"/>
    <w:rsid w:val="00021ABA"/>
    <w:rsid w:val="0002214B"/>
    <w:rsid w:val="000326C3"/>
    <w:rsid w:val="00060998"/>
    <w:rsid w:val="00067586"/>
    <w:rsid w:val="00070109"/>
    <w:rsid w:val="00071B78"/>
    <w:rsid w:val="000801A7"/>
    <w:rsid w:val="000A54AB"/>
    <w:rsid w:val="000A7A0F"/>
    <w:rsid w:val="000B1083"/>
    <w:rsid w:val="000C5CBE"/>
    <w:rsid w:val="000D5D09"/>
    <w:rsid w:val="000D62DF"/>
    <w:rsid w:val="000F5454"/>
    <w:rsid w:val="001016BE"/>
    <w:rsid w:val="001226B5"/>
    <w:rsid w:val="001A3467"/>
    <w:rsid w:val="001A67AA"/>
    <w:rsid w:val="001B03CD"/>
    <w:rsid w:val="001D4C7B"/>
    <w:rsid w:val="001E64BC"/>
    <w:rsid w:val="001F0299"/>
    <w:rsid w:val="001F0937"/>
    <w:rsid w:val="001F1C2D"/>
    <w:rsid w:val="00200E47"/>
    <w:rsid w:val="00206FCA"/>
    <w:rsid w:val="0021461E"/>
    <w:rsid w:val="00241768"/>
    <w:rsid w:val="00243547"/>
    <w:rsid w:val="00244D40"/>
    <w:rsid w:val="0026447D"/>
    <w:rsid w:val="00284738"/>
    <w:rsid w:val="00285EF6"/>
    <w:rsid w:val="002D064E"/>
    <w:rsid w:val="002D1658"/>
    <w:rsid w:val="002E426E"/>
    <w:rsid w:val="002F4C53"/>
    <w:rsid w:val="002F795E"/>
    <w:rsid w:val="00322560"/>
    <w:rsid w:val="00342DB9"/>
    <w:rsid w:val="003445E7"/>
    <w:rsid w:val="00355912"/>
    <w:rsid w:val="00361B75"/>
    <w:rsid w:val="00374714"/>
    <w:rsid w:val="00375EF3"/>
    <w:rsid w:val="00377DF8"/>
    <w:rsid w:val="00383619"/>
    <w:rsid w:val="00387812"/>
    <w:rsid w:val="0039230D"/>
    <w:rsid w:val="00397E01"/>
    <w:rsid w:val="003A0CDF"/>
    <w:rsid w:val="003C5BAB"/>
    <w:rsid w:val="003D4F0A"/>
    <w:rsid w:val="004026DF"/>
    <w:rsid w:val="00402F2F"/>
    <w:rsid w:val="00407CB6"/>
    <w:rsid w:val="00413161"/>
    <w:rsid w:val="0042787D"/>
    <w:rsid w:val="0043327B"/>
    <w:rsid w:val="00453705"/>
    <w:rsid w:val="0046550B"/>
    <w:rsid w:val="00473EE1"/>
    <w:rsid w:val="00486FE4"/>
    <w:rsid w:val="004D1BB7"/>
    <w:rsid w:val="00501792"/>
    <w:rsid w:val="00512AD7"/>
    <w:rsid w:val="0052251B"/>
    <w:rsid w:val="005339F2"/>
    <w:rsid w:val="00534120"/>
    <w:rsid w:val="00534997"/>
    <w:rsid w:val="00534A00"/>
    <w:rsid w:val="00546B8D"/>
    <w:rsid w:val="0057065C"/>
    <w:rsid w:val="0057641B"/>
    <w:rsid w:val="005934CC"/>
    <w:rsid w:val="005A7828"/>
    <w:rsid w:val="005B4FA6"/>
    <w:rsid w:val="005C0BC7"/>
    <w:rsid w:val="005D7DCF"/>
    <w:rsid w:val="005E395B"/>
    <w:rsid w:val="005E3E63"/>
    <w:rsid w:val="006100E1"/>
    <w:rsid w:val="00616F62"/>
    <w:rsid w:val="00617CAB"/>
    <w:rsid w:val="00620E52"/>
    <w:rsid w:val="00624362"/>
    <w:rsid w:val="00625818"/>
    <w:rsid w:val="00635845"/>
    <w:rsid w:val="006360BD"/>
    <w:rsid w:val="00644B7F"/>
    <w:rsid w:val="00654C3C"/>
    <w:rsid w:val="006618DD"/>
    <w:rsid w:val="0066381E"/>
    <w:rsid w:val="006674FD"/>
    <w:rsid w:val="00670212"/>
    <w:rsid w:val="0067576F"/>
    <w:rsid w:val="00682AB0"/>
    <w:rsid w:val="0069264B"/>
    <w:rsid w:val="006A6677"/>
    <w:rsid w:val="006C08FB"/>
    <w:rsid w:val="006D063B"/>
    <w:rsid w:val="006F08F6"/>
    <w:rsid w:val="006F226C"/>
    <w:rsid w:val="00741278"/>
    <w:rsid w:val="00751072"/>
    <w:rsid w:val="00767714"/>
    <w:rsid w:val="007705A8"/>
    <w:rsid w:val="00790783"/>
    <w:rsid w:val="00795F18"/>
    <w:rsid w:val="007A3FE4"/>
    <w:rsid w:val="007B0D5C"/>
    <w:rsid w:val="007B21F7"/>
    <w:rsid w:val="007B3901"/>
    <w:rsid w:val="007B505E"/>
    <w:rsid w:val="007C1D56"/>
    <w:rsid w:val="007D42E5"/>
    <w:rsid w:val="007D529B"/>
    <w:rsid w:val="007E16DC"/>
    <w:rsid w:val="007F6B98"/>
    <w:rsid w:val="008042C1"/>
    <w:rsid w:val="00805226"/>
    <w:rsid w:val="008079DA"/>
    <w:rsid w:val="00827154"/>
    <w:rsid w:val="00840BF3"/>
    <w:rsid w:val="0085763D"/>
    <w:rsid w:val="00862234"/>
    <w:rsid w:val="00877E52"/>
    <w:rsid w:val="00892F23"/>
    <w:rsid w:val="008B0CAF"/>
    <w:rsid w:val="008B56CA"/>
    <w:rsid w:val="008B7A49"/>
    <w:rsid w:val="008C338A"/>
    <w:rsid w:val="008C532A"/>
    <w:rsid w:val="008D533D"/>
    <w:rsid w:val="008D6F4E"/>
    <w:rsid w:val="008E4718"/>
    <w:rsid w:val="008F5F01"/>
    <w:rsid w:val="0090114A"/>
    <w:rsid w:val="00903BB1"/>
    <w:rsid w:val="0090469F"/>
    <w:rsid w:val="00914B90"/>
    <w:rsid w:val="00920B19"/>
    <w:rsid w:val="00922C2D"/>
    <w:rsid w:val="00927F46"/>
    <w:rsid w:val="009349A7"/>
    <w:rsid w:val="00956909"/>
    <w:rsid w:val="00957F19"/>
    <w:rsid w:val="00966895"/>
    <w:rsid w:val="0096771C"/>
    <w:rsid w:val="00972166"/>
    <w:rsid w:val="00985B7D"/>
    <w:rsid w:val="009A0626"/>
    <w:rsid w:val="009B0229"/>
    <w:rsid w:val="009B765F"/>
    <w:rsid w:val="009C79C0"/>
    <w:rsid w:val="009D1313"/>
    <w:rsid w:val="009D280C"/>
    <w:rsid w:val="009E2FBF"/>
    <w:rsid w:val="009F08D3"/>
    <w:rsid w:val="00A16BE5"/>
    <w:rsid w:val="00A16FDE"/>
    <w:rsid w:val="00A235DB"/>
    <w:rsid w:val="00A264E3"/>
    <w:rsid w:val="00A3297B"/>
    <w:rsid w:val="00A32F6A"/>
    <w:rsid w:val="00A46D63"/>
    <w:rsid w:val="00A51DE6"/>
    <w:rsid w:val="00A5226B"/>
    <w:rsid w:val="00A54B7D"/>
    <w:rsid w:val="00A64D1F"/>
    <w:rsid w:val="00A8045E"/>
    <w:rsid w:val="00A80E2B"/>
    <w:rsid w:val="00A83D3E"/>
    <w:rsid w:val="00A96C0B"/>
    <w:rsid w:val="00AB1BBF"/>
    <w:rsid w:val="00AD092A"/>
    <w:rsid w:val="00AF386F"/>
    <w:rsid w:val="00B17880"/>
    <w:rsid w:val="00B23F8A"/>
    <w:rsid w:val="00B46E09"/>
    <w:rsid w:val="00B56EAC"/>
    <w:rsid w:val="00B809CA"/>
    <w:rsid w:val="00B92B77"/>
    <w:rsid w:val="00BB35ED"/>
    <w:rsid w:val="00BE14A7"/>
    <w:rsid w:val="00BE1D22"/>
    <w:rsid w:val="00BF2AD8"/>
    <w:rsid w:val="00C00645"/>
    <w:rsid w:val="00C13D38"/>
    <w:rsid w:val="00C1795B"/>
    <w:rsid w:val="00C2128C"/>
    <w:rsid w:val="00C26621"/>
    <w:rsid w:val="00C62D93"/>
    <w:rsid w:val="00C84FCC"/>
    <w:rsid w:val="00C873D0"/>
    <w:rsid w:val="00C8782E"/>
    <w:rsid w:val="00C91A88"/>
    <w:rsid w:val="00CA4177"/>
    <w:rsid w:val="00CE7FE9"/>
    <w:rsid w:val="00D46EF2"/>
    <w:rsid w:val="00D5418A"/>
    <w:rsid w:val="00D6616A"/>
    <w:rsid w:val="00D6782C"/>
    <w:rsid w:val="00D813DF"/>
    <w:rsid w:val="00D83D2E"/>
    <w:rsid w:val="00D93863"/>
    <w:rsid w:val="00D97BE4"/>
    <w:rsid w:val="00DD1E8F"/>
    <w:rsid w:val="00DD331A"/>
    <w:rsid w:val="00DE2EAD"/>
    <w:rsid w:val="00E10383"/>
    <w:rsid w:val="00E15833"/>
    <w:rsid w:val="00E2226B"/>
    <w:rsid w:val="00E2778E"/>
    <w:rsid w:val="00E31263"/>
    <w:rsid w:val="00E34D0E"/>
    <w:rsid w:val="00E36287"/>
    <w:rsid w:val="00E40809"/>
    <w:rsid w:val="00E40E7F"/>
    <w:rsid w:val="00E46483"/>
    <w:rsid w:val="00E4773A"/>
    <w:rsid w:val="00E47AAA"/>
    <w:rsid w:val="00E54463"/>
    <w:rsid w:val="00E71201"/>
    <w:rsid w:val="00E928E2"/>
    <w:rsid w:val="00EA7897"/>
    <w:rsid w:val="00EB1834"/>
    <w:rsid w:val="00EB60B2"/>
    <w:rsid w:val="00EE3E3A"/>
    <w:rsid w:val="00EE7CD2"/>
    <w:rsid w:val="00EF3B82"/>
    <w:rsid w:val="00F0002F"/>
    <w:rsid w:val="00F0064C"/>
    <w:rsid w:val="00F37C51"/>
    <w:rsid w:val="00F50DE0"/>
    <w:rsid w:val="00F80DF9"/>
    <w:rsid w:val="00F83269"/>
    <w:rsid w:val="00F92F67"/>
    <w:rsid w:val="00FA6097"/>
    <w:rsid w:val="00FD5EAB"/>
    <w:rsid w:val="00FF12A5"/>
    <w:rsid w:val="00FF4D65"/>
    <w:rsid w:val="017727CF"/>
    <w:rsid w:val="01937DFE"/>
    <w:rsid w:val="026F1180"/>
    <w:rsid w:val="02FC5F9B"/>
    <w:rsid w:val="037B196F"/>
    <w:rsid w:val="03824AAC"/>
    <w:rsid w:val="03EB70C9"/>
    <w:rsid w:val="03FD2384"/>
    <w:rsid w:val="03FE4B43"/>
    <w:rsid w:val="03FE65B7"/>
    <w:rsid w:val="040C75CD"/>
    <w:rsid w:val="04C3735B"/>
    <w:rsid w:val="04F26581"/>
    <w:rsid w:val="05674F5E"/>
    <w:rsid w:val="058A0668"/>
    <w:rsid w:val="069D228B"/>
    <w:rsid w:val="06C5794E"/>
    <w:rsid w:val="06E02B32"/>
    <w:rsid w:val="073C5B49"/>
    <w:rsid w:val="07485E01"/>
    <w:rsid w:val="07CD5A5C"/>
    <w:rsid w:val="088A7337"/>
    <w:rsid w:val="08B03E69"/>
    <w:rsid w:val="0A232C00"/>
    <w:rsid w:val="0AAC34DD"/>
    <w:rsid w:val="0AFE0466"/>
    <w:rsid w:val="0B1221F5"/>
    <w:rsid w:val="0B212DFC"/>
    <w:rsid w:val="0B4D5E1A"/>
    <w:rsid w:val="0BCD6AE0"/>
    <w:rsid w:val="0C032891"/>
    <w:rsid w:val="0C2A627E"/>
    <w:rsid w:val="0D1C7D1F"/>
    <w:rsid w:val="0E370B89"/>
    <w:rsid w:val="0E990EFC"/>
    <w:rsid w:val="0ED77696"/>
    <w:rsid w:val="0EEF6D6E"/>
    <w:rsid w:val="0F4C320E"/>
    <w:rsid w:val="0FDF026A"/>
    <w:rsid w:val="10182E93"/>
    <w:rsid w:val="10CA5CE4"/>
    <w:rsid w:val="11317258"/>
    <w:rsid w:val="11405FA6"/>
    <w:rsid w:val="11423ACC"/>
    <w:rsid w:val="118603DE"/>
    <w:rsid w:val="11F41685"/>
    <w:rsid w:val="120004D9"/>
    <w:rsid w:val="121A313E"/>
    <w:rsid w:val="121E0096"/>
    <w:rsid w:val="1307603F"/>
    <w:rsid w:val="133752AE"/>
    <w:rsid w:val="14526094"/>
    <w:rsid w:val="145461DF"/>
    <w:rsid w:val="145F2878"/>
    <w:rsid w:val="14746A60"/>
    <w:rsid w:val="14F254AD"/>
    <w:rsid w:val="156829ED"/>
    <w:rsid w:val="16582B51"/>
    <w:rsid w:val="16856D95"/>
    <w:rsid w:val="176F4EEF"/>
    <w:rsid w:val="17C76AD9"/>
    <w:rsid w:val="17F031FE"/>
    <w:rsid w:val="17F370EE"/>
    <w:rsid w:val="181B6E25"/>
    <w:rsid w:val="182D6E2A"/>
    <w:rsid w:val="18957CD0"/>
    <w:rsid w:val="18D91CAB"/>
    <w:rsid w:val="18DA6D63"/>
    <w:rsid w:val="19013179"/>
    <w:rsid w:val="19D43730"/>
    <w:rsid w:val="19FD047B"/>
    <w:rsid w:val="1A4174DF"/>
    <w:rsid w:val="1A8E3EAA"/>
    <w:rsid w:val="1B443DCE"/>
    <w:rsid w:val="1BFA295D"/>
    <w:rsid w:val="1C305D75"/>
    <w:rsid w:val="1C580648"/>
    <w:rsid w:val="1C681456"/>
    <w:rsid w:val="1C744D56"/>
    <w:rsid w:val="1C934B0A"/>
    <w:rsid w:val="1CDD1B18"/>
    <w:rsid w:val="1CE2194A"/>
    <w:rsid w:val="1D8D60CF"/>
    <w:rsid w:val="1DCE59D1"/>
    <w:rsid w:val="1E0A3BC4"/>
    <w:rsid w:val="1E0F2EDF"/>
    <w:rsid w:val="1E9A46E9"/>
    <w:rsid w:val="1F0D5683"/>
    <w:rsid w:val="1F845EBA"/>
    <w:rsid w:val="2000702C"/>
    <w:rsid w:val="203A1AF4"/>
    <w:rsid w:val="20976E67"/>
    <w:rsid w:val="20D83B05"/>
    <w:rsid w:val="22F56196"/>
    <w:rsid w:val="23B720F8"/>
    <w:rsid w:val="244016C1"/>
    <w:rsid w:val="24584614"/>
    <w:rsid w:val="245E2A8E"/>
    <w:rsid w:val="2492221D"/>
    <w:rsid w:val="257B2256"/>
    <w:rsid w:val="25C5596C"/>
    <w:rsid w:val="25DE361A"/>
    <w:rsid w:val="26062EC3"/>
    <w:rsid w:val="2778201C"/>
    <w:rsid w:val="27BC35E5"/>
    <w:rsid w:val="28132693"/>
    <w:rsid w:val="284D4A89"/>
    <w:rsid w:val="289351B4"/>
    <w:rsid w:val="28BF67A1"/>
    <w:rsid w:val="29DF48AB"/>
    <w:rsid w:val="29F34083"/>
    <w:rsid w:val="2A7903E8"/>
    <w:rsid w:val="2A8B6810"/>
    <w:rsid w:val="2A9F5694"/>
    <w:rsid w:val="2AAD1B87"/>
    <w:rsid w:val="2AC57F99"/>
    <w:rsid w:val="2B1C580A"/>
    <w:rsid w:val="2B9B3F23"/>
    <w:rsid w:val="2BCE0EB2"/>
    <w:rsid w:val="2C0F5639"/>
    <w:rsid w:val="2C3F422F"/>
    <w:rsid w:val="2C8E4DEE"/>
    <w:rsid w:val="2CC316B7"/>
    <w:rsid w:val="2CD0422B"/>
    <w:rsid w:val="2CE0346E"/>
    <w:rsid w:val="2D4D587B"/>
    <w:rsid w:val="2E37171D"/>
    <w:rsid w:val="2EAE27F4"/>
    <w:rsid w:val="2EB8626D"/>
    <w:rsid w:val="2F177EEF"/>
    <w:rsid w:val="3010626B"/>
    <w:rsid w:val="30751901"/>
    <w:rsid w:val="311C5A68"/>
    <w:rsid w:val="315224D1"/>
    <w:rsid w:val="315577A3"/>
    <w:rsid w:val="317457EC"/>
    <w:rsid w:val="31AB2B9E"/>
    <w:rsid w:val="31CB13C9"/>
    <w:rsid w:val="31ED2E60"/>
    <w:rsid w:val="3202541F"/>
    <w:rsid w:val="320A3D3B"/>
    <w:rsid w:val="3240746F"/>
    <w:rsid w:val="32A02D40"/>
    <w:rsid w:val="32C91500"/>
    <w:rsid w:val="32E40C96"/>
    <w:rsid w:val="332B21BB"/>
    <w:rsid w:val="339715FE"/>
    <w:rsid w:val="33BB353F"/>
    <w:rsid w:val="346A21A8"/>
    <w:rsid w:val="347C3613"/>
    <w:rsid w:val="34E23E1A"/>
    <w:rsid w:val="3521787E"/>
    <w:rsid w:val="35577297"/>
    <w:rsid w:val="35EC5AF2"/>
    <w:rsid w:val="37893E9E"/>
    <w:rsid w:val="379F3730"/>
    <w:rsid w:val="37EC4B4C"/>
    <w:rsid w:val="38D806EF"/>
    <w:rsid w:val="390534CD"/>
    <w:rsid w:val="398264E7"/>
    <w:rsid w:val="39CD3FCC"/>
    <w:rsid w:val="3A647D60"/>
    <w:rsid w:val="3B13316D"/>
    <w:rsid w:val="3C2B7832"/>
    <w:rsid w:val="3C4903E1"/>
    <w:rsid w:val="3C89430A"/>
    <w:rsid w:val="3CBA23BA"/>
    <w:rsid w:val="3D7D3089"/>
    <w:rsid w:val="3DB82D12"/>
    <w:rsid w:val="3DBE4F57"/>
    <w:rsid w:val="3DE22FC3"/>
    <w:rsid w:val="3DE85102"/>
    <w:rsid w:val="3EA71D5C"/>
    <w:rsid w:val="3EE45ADC"/>
    <w:rsid w:val="3EE7677F"/>
    <w:rsid w:val="3F133C6D"/>
    <w:rsid w:val="3F1849DB"/>
    <w:rsid w:val="3F42436A"/>
    <w:rsid w:val="3F5860E5"/>
    <w:rsid w:val="3F9D202E"/>
    <w:rsid w:val="3FE312E4"/>
    <w:rsid w:val="406867FC"/>
    <w:rsid w:val="40911F88"/>
    <w:rsid w:val="40B62A7B"/>
    <w:rsid w:val="40F164FD"/>
    <w:rsid w:val="418E2292"/>
    <w:rsid w:val="41B75401"/>
    <w:rsid w:val="41D41C6F"/>
    <w:rsid w:val="41F335E3"/>
    <w:rsid w:val="42100EF9"/>
    <w:rsid w:val="42B06238"/>
    <w:rsid w:val="434846C3"/>
    <w:rsid w:val="435C15CD"/>
    <w:rsid w:val="438F113C"/>
    <w:rsid w:val="44263186"/>
    <w:rsid w:val="44817E8C"/>
    <w:rsid w:val="44855162"/>
    <w:rsid w:val="454F7785"/>
    <w:rsid w:val="45B83FEA"/>
    <w:rsid w:val="46537607"/>
    <w:rsid w:val="46B43698"/>
    <w:rsid w:val="46D509C3"/>
    <w:rsid w:val="46EB3CE3"/>
    <w:rsid w:val="47235525"/>
    <w:rsid w:val="474E2A4A"/>
    <w:rsid w:val="47724A1D"/>
    <w:rsid w:val="478A52AA"/>
    <w:rsid w:val="47953C4F"/>
    <w:rsid w:val="47E86474"/>
    <w:rsid w:val="48837CE2"/>
    <w:rsid w:val="489D7611"/>
    <w:rsid w:val="48A21B5E"/>
    <w:rsid w:val="48C8318B"/>
    <w:rsid w:val="48D83DF3"/>
    <w:rsid w:val="495E3099"/>
    <w:rsid w:val="49C9008D"/>
    <w:rsid w:val="49E52C6C"/>
    <w:rsid w:val="49E72C3A"/>
    <w:rsid w:val="49F61A9B"/>
    <w:rsid w:val="4A151E78"/>
    <w:rsid w:val="4A3B6DC1"/>
    <w:rsid w:val="4A6537AC"/>
    <w:rsid w:val="4A8C758B"/>
    <w:rsid w:val="4B4039B8"/>
    <w:rsid w:val="4B43578C"/>
    <w:rsid w:val="4B8E67B3"/>
    <w:rsid w:val="4BEB4B20"/>
    <w:rsid w:val="4BFE7B5F"/>
    <w:rsid w:val="4C984458"/>
    <w:rsid w:val="4CC72CAB"/>
    <w:rsid w:val="4D2830E0"/>
    <w:rsid w:val="4DA20825"/>
    <w:rsid w:val="4DCB2216"/>
    <w:rsid w:val="4DD00A22"/>
    <w:rsid w:val="4DF23BA9"/>
    <w:rsid w:val="4E846C56"/>
    <w:rsid w:val="4ED73AE2"/>
    <w:rsid w:val="4F655C1E"/>
    <w:rsid w:val="4F893F63"/>
    <w:rsid w:val="4FE67916"/>
    <w:rsid w:val="5003209D"/>
    <w:rsid w:val="501B5D37"/>
    <w:rsid w:val="50272689"/>
    <w:rsid w:val="50324731"/>
    <w:rsid w:val="50760AC1"/>
    <w:rsid w:val="50C973FB"/>
    <w:rsid w:val="50D85C66"/>
    <w:rsid w:val="51181B78"/>
    <w:rsid w:val="5181771E"/>
    <w:rsid w:val="51AA02F7"/>
    <w:rsid w:val="51F169F8"/>
    <w:rsid w:val="52616423"/>
    <w:rsid w:val="52717B53"/>
    <w:rsid w:val="52B43572"/>
    <w:rsid w:val="532C190B"/>
    <w:rsid w:val="53312A7E"/>
    <w:rsid w:val="53366924"/>
    <w:rsid w:val="53656BCB"/>
    <w:rsid w:val="536F1AF1"/>
    <w:rsid w:val="538F3C48"/>
    <w:rsid w:val="53D21C6B"/>
    <w:rsid w:val="5479658F"/>
    <w:rsid w:val="55546EF7"/>
    <w:rsid w:val="55A316B2"/>
    <w:rsid w:val="55B70C33"/>
    <w:rsid w:val="565C2A6E"/>
    <w:rsid w:val="568C5C8E"/>
    <w:rsid w:val="569071B7"/>
    <w:rsid w:val="56BC7A14"/>
    <w:rsid w:val="57192BB8"/>
    <w:rsid w:val="57E55C1C"/>
    <w:rsid w:val="587E2A16"/>
    <w:rsid w:val="58823D7B"/>
    <w:rsid w:val="58E2783D"/>
    <w:rsid w:val="58ED6CAC"/>
    <w:rsid w:val="592C6E69"/>
    <w:rsid w:val="59994F75"/>
    <w:rsid w:val="59A446A1"/>
    <w:rsid w:val="5A7C2933"/>
    <w:rsid w:val="5AEE605F"/>
    <w:rsid w:val="5B8A3673"/>
    <w:rsid w:val="5BB16D8C"/>
    <w:rsid w:val="5BD14DFE"/>
    <w:rsid w:val="5BDF629C"/>
    <w:rsid w:val="5CA42512"/>
    <w:rsid w:val="5CC677A2"/>
    <w:rsid w:val="5CDE5E81"/>
    <w:rsid w:val="5CEF3B55"/>
    <w:rsid w:val="5CF50D2A"/>
    <w:rsid w:val="5D1458EA"/>
    <w:rsid w:val="5D2D101B"/>
    <w:rsid w:val="5D667AEC"/>
    <w:rsid w:val="5E2558D5"/>
    <w:rsid w:val="5F0D073E"/>
    <w:rsid w:val="5F265747"/>
    <w:rsid w:val="5F500DF9"/>
    <w:rsid w:val="5F5C4CC1"/>
    <w:rsid w:val="5F6C0451"/>
    <w:rsid w:val="5F8A2976"/>
    <w:rsid w:val="5FB044BC"/>
    <w:rsid w:val="60430294"/>
    <w:rsid w:val="607166B9"/>
    <w:rsid w:val="608763D3"/>
    <w:rsid w:val="60B531C6"/>
    <w:rsid w:val="60C02F39"/>
    <w:rsid w:val="60F356A3"/>
    <w:rsid w:val="612B1454"/>
    <w:rsid w:val="613227E3"/>
    <w:rsid w:val="618F32AC"/>
    <w:rsid w:val="619256B6"/>
    <w:rsid w:val="61EF3877"/>
    <w:rsid w:val="622E3D73"/>
    <w:rsid w:val="62547635"/>
    <w:rsid w:val="62B03953"/>
    <w:rsid w:val="62C93798"/>
    <w:rsid w:val="62ED4876"/>
    <w:rsid w:val="631D301E"/>
    <w:rsid w:val="63937237"/>
    <w:rsid w:val="63957059"/>
    <w:rsid w:val="63980CD8"/>
    <w:rsid w:val="63A412B9"/>
    <w:rsid w:val="63DC15B5"/>
    <w:rsid w:val="63FF08D9"/>
    <w:rsid w:val="64813139"/>
    <w:rsid w:val="64BE7818"/>
    <w:rsid w:val="64CD49AF"/>
    <w:rsid w:val="6545218B"/>
    <w:rsid w:val="658C1FA6"/>
    <w:rsid w:val="65C96527"/>
    <w:rsid w:val="65EF37F3"/>
    <w:rsid w:val="664375E8"/>
    <w:rsid w:val="66DE39BE"/>
    <w:rsid w:val="67000C8D"/>
    <w:rsid w:val="671A04B3"/>
    <w:rsid w:val="677772D0"/>
    <w:rsid w:val="67874F27"/>
    <w:rsid w:val="67957627"/>
    <w:rsid w:val="67B406B2"/>
    <w:rsid w:val="67B77B71"/>
    <w:rsid w:val="6841330B"/>
    <w:rsid w:val="685A718E"/>
    <w:rsid w:val="68DD74D8"/>
    <w:rsid w:val="68F330E1"/>
    <w:rsid w:val="69731AF1"/>
    <w:rsid w:val="6A1C121F"/>
    <w:rsid w:val="6A647785"/>
    <w:rsid w:val="6AF40772"/>
    <w:rsid w:val="6B166CD1"/>
    <w:rsid w:val="6B4A24D7"/>
    <w:rsid w:val="6C314DB0"/>
    <w:rsid w:val="6C6A090B"/>
    <w:rsid w:val="6C9E199D"/>
    <w:rsid w:val="6CAA6BF1"/>
    <w:rsid w:val="6CFC1EF7"/>
    <w:rsid w:val="6CFC7850"/>
    <w:rsid w:val="6D0A5DFB"/>
    <w:rsid w:val="6D321539"/>
    <w:rsid w:val="6D65164A"/>
    <w:rsid w:val="6D88378A"/>
    <w:rsid w:val="6DB8616B"/>
    <w:rsid w:val="6E4D0AE3"/>
    <w:rsid w:val="6E947696"/>
    <w:rsid w:val="6EBC193D"/>
    <w:rsid w:val="6EBF279E"/>
    <w:rsid w:val="6EC26D02"/>
    <w:rsid w:val="70180DF5"/>
    <w:rsid w:val="70611DE4"/>
    <w:rsid w:val="70701516"/>
    <w:rsid w:val="707F16AF"/>
    <w:rsid w:val="70B022F4"/>
    <w:rsid w:val="71010AD2"/>
    <w:rsid w:val="7225308B"/>
    <w:rsid w:val="723075BE"/>
    <w:rsid w:val="723D2D95"/>
    <w:rsid w:val="7324356F"/>
    <w:rsid w:val="73784094"/>
    <w:rsid w:val="746960C4"/>
    <w:rsid w:val="748C0004"/>
    <w:rsid w:val="74EF1774"/>
    <w:rsid w:val="75494870"/>
    <w:rsid w:val="758D7B90"/>
    <w:rsid w:val="759F7DF7"/>
    <w:rsid w:val="75A0564D"/>
    <w:rsid w:val="75EB4C99"/>
    <w:rsid w:val="75F95225"/>
    <w:rsid w:val="75FE45EA"/>
    <w:rsid w:val="764C3455"/>
    <w:rsid w:val="7661577B"/>
    <w:rsid w:val="767E1BCE"/>
    <w:rsid w:val="76C80B5C"/>
    <w:rsid w:val="77183DD1"/>
    <w:rsid w:val="779E16ED"/>
    <w:rsid w:val="785624C3"/>
    <w:rsid w:val="78856E5B"/>
    <w:rsid w:val="78A63E02"/>
    <w:rsid w:val="79113171"/>
    <w:rsid w:val="792079C7"/>
    <w:rsid w:val="7A49421E"/>
    <w:rsid w:val="7A747905"/>
    <w:rsid w:val="7AEF4E49"/>
    <w:rsid w:val="7AF32A54"/>
    <w:rsid w:val="7B371CEA"/>
    <w:rsid w:val="7B9949F9"/>
    <w:rsid w:val="7BAA4047"/>
    <w:rsid w:val="7C11784A"/>
    <w:rsid w:val="7C573443"/>
    <w:rsid w:val="7C7C441E"/>
    <w:rsid w:val="7CE90B9A"/>
    <w:rsid w:val="7D3D4162"/>
    <w:rsid w:val="7D44679E"/>
    <w:rsid w:val="7D731D61"/>
    <w:rsid w:val="7D743A49"/>
    <w:rsid w:val="7DB00B53"/>
    <w:rsid w:val="7DC36EAF"/>
    <w:rsid w:val="7E5C45A3"/>
    <w:rsid w:val="7EFE1824"/>
    <w:rsid w:val="7F07479C"/>
    <w:rsid w:val="7F151466"/>
    <w:rsid w:val="7F2D74D9"/>
    <w:rsid w:val="7F96063C"/>
    <w:rsid w:val="7FE24F7C"/>
    <w:rsid w:val="7FE71A67"/>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b/>
      <w:bCs/>
      <w:kern w:val="32"/>
      <w:sz w:val="32"/>
      <w:szCs w:val="32"/>
    </w:rPr>
  </w:style>
  <w:style w:type="paragraph" w:styleId="3">
    <w:name w:val="heading 2"/>
    <w:basedOn w:val="1"/>
    <w:next w:val="1"/>
    <w:qFormat/>
    <w:uiPriority w:val="99"/>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jc w:val="left"/>
      <w:outlineLvl w:val="2"/>
    </w:pPr>
    <w:rPr>
      <w:b/>
      <w:bCs/>
      <w:sz w:val="24"/>
      <w:szCs w:val="32"/>
    </w:rPr>
  </w:style>
  <w:style w:type="paragraph" w:styleId="5">
    <w:name w:val="heading 4"/>
    <w:basedOn w:val="1"/>
    <w:next w:val="1"/>
    <w:qFormat/>
    <w:uiPriority w:val="9"/>
    <w:pPr>
      <w:keepNext/>
      <w:keepLines/>
      <w:spacing w:before="280" w:after="290"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tLeast"/>
      <w:ind w:firstLine="420"/>
      <w:textAlignment w:val="baseline"/>
    </w:pPr>
    <w:rPr>
      <w:szCs w:val="20"/>
    </w:rPr>
  </w:style>
  <w:style w:type="paragraph" w:styleId="7">
    <w:name w:val="annotation text"/>
    <w:basedOn w:val="1"/>
    <w:semiHidden/>
    <w:qFormat/>
    <w:uiPriority w:val="0"/>
    <w:pPr>
      <w:jc w:val="left"/>
    </w:pPr>
  </w:style>
  <w:style w:type="paragraph" w:styleId="8">
    <w:name w:val="Body Text"/>
    <w:basedOn w:val="1"/>
    <w:qFormat/>
    <w:uiPriority w:val="1"/>
    <w:pPr>
      <w:spacing w:after="120"/>
    </w:pPr>
    <w:rPr>
      <w:sz w:val="20"/>
    </w:rPr>
  </w:style>
  <w:style w:type="paragraph" w:styleId="9">
    <w:name w:val="Body Text Indent"/>
    <w:basedOn w:val="1"/>
    <w:next w:val="10"/>
    <w:link w:val="41"/>
    <w:qFormat/>
    <w:uiPriority w:val="99"/>
    <w:pPr>
      <w:spacing w:after="120"/>
      <w:ind w:left="420" w:leftChars="200"/>
    </w:pPr>
  </w:style>
  <w:style w:type="paragraph" w:styleId="10">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11">
    <w:name w:val="toc 3"/>
    <w:basedOn w:val="1"/>
    <w:next w:val="1"/>
    <w:qFormat/>
    <w:uiPriority w:val="0"/>
    <w:pPr>
      <w:ind w:left="840" w:leftChars="400"/>
    </w:pPr>
  </w:style>
  <w:style w:type="paragraph" w:styleId="12">
    <w:name w:val="Plain Text"/>
    <w:basedOn w:val="1"/>
    <w:qFormat/>
    <w:uiPriority w:val="0"/>
    <w:rPr>
      <w:rFonts w:ascii="宋体" w:hAnsi="Courier New" w:cs="Courier New"/>
      <w:szCs w:val="21"/>
    </w:rPr>
  </w:style>
  <w:style w:type="paragraph" w:styleId="13">
    <w:name w:val="Date"/>
    <w:basedOn w:val="1"/>
    <w:next w:val="1"/>
    <w:qFormat/>
    <w:uiPriority w:val="0"/>
    <w:rPr>
      <w:sz w:val="24"/>
      <w:szCs w:val="20"/>
    </w:rPr>
  </w:style>
  <w:style w:type="paragraph" w:styleId="14">
    <w:name w:val="Balloon Text"/>
    <w:basedOn w:val="1"/>
    <w:link w:val="40"/>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style>
  <w:style w:type="paragraph" w:styleId="18">
    <w:name w:val="footnote text"/>
    <w:qFormat/>
    <w:uiPriority w:val="0"/>
    <w:pPr>
      <w:widowControl w:val="0"/>
      <w:snapToGrid w:val="0"/>
    </w:pPr>
    <w:rPr>
      <w:rFonts w:ascii="Times New Roman" w:hAnsi="Times New Roman" w:eastAsia="宋体" w:cs="Times New Roman"/>
      <w:kern w:val="2"/>
      <w:sz w:val="18"/>
      <w:szCs w:val="24"/>
      <w:lang w:val="en-US" w:eastAsia="zh-CN" w:bidi="ar-SA"/>
    </w:rPr>
  </w:style>
  <w:style w:type="paragraph" w:styleId="19">
    <w:name w:val="index 7"/>
    <w:basedOn w:val="1"/>
    <w:next w:val="1"/>
    <w:qFormat/>
    <w:uiPriority w:val="0"/>
    <w:pPr>
      <w:ind w:left="2520"/>
    </w:pPr>
  </w:style>
  <w:style w:type="paragraph" w:styleId="20">
    <w:name w:val="toc 2"/>
    <w:basedOn w:val="1"/>
    <w:next w:val="1"/>
    <w:unhideWhenUsed/>
    <w:qFormat/>
    <w:uiPriority w:val="39"/>
    <w:pPr>
      <w:ind w:left="420" w:leftChars="200"/>
    </w:p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annotation subject"/>
    <w:basedOn w:val="7"/>
    <w:next w:val="1"/>
    <w:semiHidden/>
    <w:qFormat/>
    <w:uiPriority w:val="0"/>
    <w:rPr>
      <w:b/>
      <w:bCs/>
    </w:rPr>
  </w:style>
  <w:style w:type="paragraph" w:styleId="23">
    <w:name w:val="Body Text First Indent 2"/>
    <w:basedOn w:val="9"/>
    <w:next w:val="6"/>
    <w:qFormat/>
    <w:uiPriority w:val="0"/>
    <w:pPr>
      <w:ind w:firstLine="420"/>
    </w:pPr>
  </w:style>
  <w:style w:type="table" w:styleId="25">
    <w:name w:val="Table Grid"/>
    <w:basedOn w:val="24"/>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page number"/>
    <w:qFormat/>
    <w:uiPriority w:val="0"/>
  </w:style>
  <w:style w:type="character" w:styleId="29">
    <w:name w:val="annotation reference"/>
    <w:basedOn w:val="26"/>
    <w:qFormat/>
    <w:uiPriority w:val="0"/>
    <w:rPr>
      <w:sz w:val="21"/>
      <w:szCs w:val="21"/>
    </w:rPr>
  </w:style>
  <w:style w:type="paragraph" w:customStyle="1" w:styleId="30">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列出段落1"/>
    <w:basedOn w:val="1"/>
    <w:qFormat/>
    <w:uiPriority w:val="99"/>
    <w:pPr>
      <w:ind w:firstLine="420" w:firstLineChars="200"/>
    </w:pPr>
    <w:rPr>
      <w:szCs w:val="22"/>
    </w:rPr>
  </w:style>
  <w:style w:type="paragraph" w:customStyle="1" w:styleId="3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3">
    <w:name w:val="正  文"/>
    <w:basedOn w:val="1"/>
    <w:next w:val="1"/>
    <w:qFormat/>
    <w:uiPriority w:val="0"/>
    <w:pPr>
      <w:spacing w:line="360" w:lineRule="auto"/>
      <w:ind w:firstLine="560" w:firstLineChars="200"/>
    </w:pPr>
    <w:rPr>
      <w:rFonts w:ascii="仿宋_GB2312" w:hAnsi="仿宋_GB2312" w:cs="仿宋_GB2312"/>
      <w:sz w:val="28"/>
      <w:szCs w:val="28"/>
    </w:rPr>
  </w:style>
  <w:style w:type="paragraph" w:styleId="34">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5">
    <w:name w:val="标题 5（有编号）（绿盟科技）"/>
    <w:basedOn w:val="1"/>
    <w:next w:val="1"/>
    <w:qFormat/>
    <w:uiPriority w:val="0"/>
    <w:pPr>
      <w:keepNext/>
      <w:keepLines/>
      <w:numPr>
        <w:ilvl w:val="4"/>
        <w:numId w:val="1"/>
      </w:numPr>
      <w:spacing w:before="280" w:after="156" w:line="377" w:lineRule="auto"/>
      <w:outlineLvl w:val="4"/>
    </w:pPr>
    <w:rPr>
      <w:rFonts w:ascii="Arial" w:hAnsi="Arial" w:eastAsia="黑体"/>
      <w:b/>
      <w:szCs w:val="28"/>
    </w:rPr>
  </w:style>
  <w:style w:type="character" w:customStyle="1" w:styleId="36">
    <w:name w:val="NormalCharacter"/>
    <w:qFormat/>
    <w:uiPriority w:val="0"/>
  </w:style>
  <w:style w:type="paragraph" w:styleId="37">
    <w:name w:val="List Paragraph"/>
    <w:basedOn w:val="1"/>
    <w:qFormat/>
    <w:uiPriority w:val="99"/>
    <w:pPr>
      <w:ind w:firstLine="420" w:firstLineChars="200"/>
    </w:pPr>
    <w:rPr>
      <w:szCs w:val="22"/>
    </w:rPr>
  </w:style>
  <w:style w:type="paragraph" w:customStyle="1" w:styleId="38">
    <w:name w:val="目录 81"/>
    <w:basedOn w:val="1"/>
    <w:next w:val="1"/>
    <w:qFormat/>
    <w:uiPriority w:val="99"/>
    <w:pPr>
      <w:ind w:left="2940"/>
    </w:pPr>
    <w:rPr>
      <w:rFonts w:ascii="Calibri"/>
    </w:rPr>
  </w:style>
  <w:style w:type="paragraph" w:customStyle="1" w:styleId="39">
    <w:name w:val="列出段落2"/>
    <w:basedOn w:val="1"/>
    <w:qFormat/>
    <w:uiPriority w:val="0"/>
    <w:pPr>
      <w:ind w:firstLine="420" w:firstLineChars="200"/>
    </w:pPr>
    <w:rPr>
      <w:rFonts w:ascii="Calibri" w:hAnsi="Calibri" w:eastAsia="微软雅黑"/>
      <w:szCs w:val="22"/>
    </w:rPr>
  </w:style>
  <w:style w:type="character" w:customStyle="1" w:styleId="40">
    <w:name w:val="批注框文本 Char"/>
    <w:basedOn w:val="26"/>
    <w:link w:val="14"/>
    <w:qFormat/>
    <w:uiPriority w:val="0"/>
    <w:rPr>
      <w:kern w:val="2"/>
      <w:sz w:val="18"/>
      <w:szCs w:val="18"/>
    </w:rPr>
  </w:style>
  <w:style w:type="character" w:customStyle="1" w:styleId="41">
    <w:name w:val="正文文本缩进 Char"/>
    <w:basedOn w:val="26"/>
    <w:link w:val="9"/>
    <w:qFormat/>
    <w:uiPriority w:val="99"/>
    <w:rPr>
      <w:kern w:val="2"/>
      <w:sz w:val="21"/>
      <w:szCs w:val="24"/>
    </w:rPr>
  </w:style>
  <w:style w:type="paragraph" w:customStyle="1" w:styleId="42">
    <w:name w:val="CM99"/>
    <w:basedOn w:val="1"/>
    <w:next w:val="1"/>
    <w:qFormat/>
    <w:uiPriority w:val="0"/>
    <w:pPr>
      <w:autoSpaceDE w:val="0"/>
      <w:autoSpaceDN w:val="0"/>
      <w:adjustRightInd w:val="0"/>
      <w:spacing w:after="443"/>
      <w:jc w:val="left"/>
    </w:pPr>
    <w:rPr>
      <w:rFonts w:ascii="宋体"/>
      <w:kern w:val="0"/>
      <w:sz w:val="24"/>
      <w:szCs w:val="20"/>
    </w:rPr>
  </w:style>
  <w:style w:type="paragraph" w:customStyle="1" w:styleId="43">
    <w:name w:val="CM91"/>
    <w:basedOn w:val="1"/>
    <w:next w:val="1"/>
    <w:qFormat/>
    <w:uiPriority w:val="0"/>
    <w:pPr>
      <w:autoSpaceDE w:val="0"/>
      <w:autoSpaceDN w:val="0"/>
      <w:adjustRightInd w:val="0"/>
      <w:spacing w:after="160"/>
      <w:jc w:val="left"/>
    </w:pPr>
    <w:rPr>
      <w:rFonts w:ascii="宋体"/>
      <w:kern w:val="0"/>
      <w:sz w:val="24"/>
      <w:szCs w:val="20"/>
    </w:rPr>
  </w:style>
  <w:style w:type="paragraph" w:customStyle="1" w:styleId="44">
    <w:name w:val="正文缩进1"/>
    <w:basedOn w:val="1"/>
    <w:qFormat/>
    <w:uiPriority w:val="0"/>
    <w:pPr>
      <w:ind w:firstLine="200" w:firstLineChars="200"/>
    </w:pPr>
  </w:style>
  <w:style w:type="paragraph" w:customStyle="1" w:styleId="45">
    <w:name w:val="Normal_0_1"/>
    <w:qFormat/>
    <w:uiPriority w:val="0"/>
    <w:rPr>
      <w:rFonts w:ascii="Times New Roman" w:hAnsi="Times New Roman" w:eastAsia="Times New Roman" w:cs="Times New Roman"/>
      <w:sz w:val="24"/>
      <w:szCs w:val="24"/>
      <w:lang w:val="en-US" w:eastAsia="zh-CN" w:bidi="ar-SA"/>
    </w:rPr>
  </w:style>
  <w:style w:type="character" w:customStyle="1" w:styleId="46">
    <w:name w:val="font21"/>
    <w:basedOn w:val="26"/>
    <w:qFormat/>
    <w:uiPriority w:val="0"/>
    <w:rPr>
      <w:rFonts w:hint="default" w:ascii="Times New Roman" w:hAnsi="Times New Roman" w:cs="Times New Roman"/>
      <w:color w:val="000000"/>
      <w:sz w:val="18"/>
      <w:szCs w:val="18"/>
      <w:u w:val="none"/>
    </w:rPr>
  </w:style>
  <w:style w:type="character" w:customStyle="1" w:styleId="47">
    <w:name w:val="font31"/>
    <w:basedOn w:val="26"/>
    <w:qFormat/>
    <w:uiPriority w:val="0"/>
    <w:rPr>
      <w:rFonts w:hint="eastAsia" w:ascii="宋体" w:hAnsi="宋体" w:eastAsia="宋体" w:cs="宋体"/>
      <w:color w:val="000000"/>
      <w:sz w:val="18"/>
      <w:szCs w:val="18"/>
      <w:u w:val="none"/>
    </w:rPr>
  </w:style>
  <w:style w:type="character" w:customStyle="1" w:styleId="48">
    <w:name w:val="font51"/>
    <w:basedOn w:val="26"/>
    <w:qFormat/>
    <w:uiPriority w:val="0"/>
    <w:rPr>
      <w:rFonts w:hint="default" w:ascii="Times New Roman" w:hAnsi="Times New Roman" w:cs="Times New Roman"/>
      <w:b/>
      <w:bCs/>
      <w:color w:val="000000"/>
      <w:sz w:val="18"/>
      <w:szCs w:val="18"/>
      <w:u w:val="none"/>
    </w:rPr>
  </w:style>
  <w:style w:type="character" w:customStyle="1" w:styleId="49">
    <w:name w:val="font11"/>
    <w:basedOn w:val="26"/>
    <w:qFormat/>
    <w:uiPriority w:val="0"/>
    <w:rPr>
      <w:rFonts w:hint="eastAsia" w:ascii="宋体" w:hAnsi="宋体" w:eastAsia="宋体" w:cs="宋体"/>
      <w:b/>
      <w:bCs/>
      <w:color w:val="000000"/>
      <w:sz w:val="18"/>
      <w:szCs w:val="18"/>
      <w:u w:val="none"/>
    </w:rPr>
  </w:style>
  <w:style w:type="paragraph" w:customStyle="1" w:styleId="50">
    <w:name w:val="Normal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正文文本缩进_0"/>
    <w:basedOn w:val="52"/>
    <w:semiHidden/>
    <w:unhideWhenUsed/>
    <w:qFormat/>
    <w:uiPriority w:val="0"/>
    <w:pPr>
      <w:spacing w:after="120"/>
      <w:ind w:left="420" w:leftChars="200"/>
    </w:pPr>
  </w:style>
  <w:style w:type="paragraph" w:customStyle="1" w:styleId="52">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
    <w:name w:val="Table Text"/>
    <w:basedOn w:val="1"/>
    <w:semiHidden/>
    <w:qFormat/>
    <w:uiPriority w:val="0"/>
    <w:rPr>
      <w:rFonts w:ascii="宋体" w:hAnsi="宋体" w:eastAsia="宋体" w:cs="宋体"/>
      <w:sz w:val="20"/>
      <w:szCs w:val="20"/>
      <w:lang w:val="en-US" w:eastAsia="en-US" w:bidi="ar-SA"/>
    </w:rPr>
  </w:style>
  <w:style w:type="table" w:customStyle="1" w:styleId="54">
    <w:name w:val="Table Normal"/>
    <w:qFormat/>
    <w:uiPriority w:val="0"/>
    <w:tblPr>
      <w:tblCellMar>
        <w:top w:w="0" w:type="dxa"/>
        <w:left w:w="0" w:type="dxa"/>
        <w:bottom w:w="0" w:type="dxa"/>
        <w:right w:w="0" w:type="dxa"/>
      </w:tblCellMar>
    </w:tblPr>
  </w:style>
  <w:style w:type="paragraph" w:customStyle="1" w:styleId="55">
    <w:name w:val="样式1"/>
    <w:basedOn w:val="1"/>
    <w:link w:val="56"/>
    <w:qFormat/>
    <w:uiPriority w:val="0"/>
    <w:pPr>
      <w:tabs>
        <w:tab w:val="left" w:pos="360"/>
      </w:tabs>
      <w:adjustRightInd w:val="0"/>
      <w:ind w:left="360" w:hanging="360"/>
      <w:textAlignment w:val="baseline"/>
    </w:pPr>
    <w:rPr>
      <w:rFonts w:ascii="宋体" w:hAnsi="宋体"/>
      <w:kern w:val="0"/>
      <w:szCs w:val="21"/>
    </w:rPr>
  </w:style>
  <w:style w:type="character" w:customStyle="1" w:styleId="56">
    <w:name w:val="样式1 Char"/>
    <w:link w:val="55"/>
    <w:qFormat/>
    <w:uiPriority w:val="0"/>
    <w:rPr>
      <w:rFonts w:ascii="宋体" w:hAnsi="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header" Target="header1.xml"/><Relationship Id="rId39" Type="http://schemas.openxmlformats.org/officeDocument/2006/relationships/image" Target="media/image15.wmf"/><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image" Target="media/image12.wmf"/><Relationship Id="rId32" Type="http://schemas.openxmlformats.org/officeDocument/2006/relationships/oleObject" Target="embeddings/oleObject12.bin"/><Relationship Id="rId31" Type="http://schemas.openxmlformats.org/officeDocument/2006/relationships/image" Target="media/image11.wmf"/><Relationship Id="rId30" Type="http://schemas.openxmlformats.org/officeDocument/2006/relationships/oleObject" Target="embeddings/oleObject11.bin"/><Relationship Id="rId3" Type="http://schemas.openxmlformats.org/officeDocument/2006/relationships/footer" Target="footer1.xml"/><Relationship Id="rId29" Type="http://schemas.openxmlformats.org/officeDocument/2006/relationships/image" Target="media/image10.wmf"/><Relationship Id="rId28" Type="http://schemas.openxmlformats.org/officeDocument/2006/relationships/oleObject" Target="embeddings/oleObject10.bin"/><Relationship Id="rId27" Type="http://schemas.openxmlformats.org/officeDocument/2006/relationships/image" Target="media/image9.wmf"/><Relationship Id="rId26" Type="http://schemas.openxmlformats.org/officeDocument/2006/relationships/oleObject" Target="embeddings/oleObject9.bin"/><Relationship Id="rId25" Type="http://schemas.openxmlformats.org/officeDocument/2006/relationships/image" Target="media/image8.wmf"/><Relationship Id="rId24" Type="http://schemas.openxmlformats.org/officeDocument/2006/relationships/oleObject" Target="embeddings/oleObject8.bin"/><Relationship Id="rId23" Type="http://schemas.openxmlformats.org/officeDocument/2006/relationships/image" Target="media/image7.wmf"/><Relationship Id="rId22" Type="http://schemas.openxmlformats.org/officeDocument/2006/relationships/oleObject" Target="embeddings/oleObject7.bin"/><Relationship Id="rId21" Type="http://schemas.openxmlformats.org/officeDocument/2006/relationships/image" Target="media/image6.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oleObject" Target="embeddings/oleObject5.bin"/><Relationship Id="rId17" Type="http://schemas.openxmlformats.org/officeDocument/2006/relationships/image" Target="media/image4.wmf"/><Relationship Id="rId16" Type="http://schemas.openxmlformats.org/officeDocument/2006/relationships/oleObject" Target="embeddings/oleObject4.bin"/><Relationship Id="rId15" Type="http://schemas.openxmlformats.org/officeDocument/2006/relationships/image" Target="media/image3.wmf"/><Relationship Id="rId14" Type="http://schemas.openxmlformats.org/officeDocument/2006/relationships/oleObject" Target="embeddings/oleObject3.bin"/><Relationship Id="rId13" Type="http://schemas.openxmlformats.org/officeDocument/2006/relationships/image" Target="media/image2.wmf"/><Relationship Id="rId12" Type="http://schemas.openxmlformats.org/officeDocument/2006/relationships/oleObject" Target="embeddings/oleObject2.bin"/><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DDF972-9758-498A-B060-D101D8A21E1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114</Pages>
  <Words>12349</Words>
  <Characters>13237</Characters>
  <Lines>364</Lines>
  <Paragraphs>102</Paragraphs>
  <TotalTime>6</TotalTime>
  <ScaleCrop>false</ScaleCrop>
  <LinksUpToDate>false</LinksUpToDate>
  <CharactersWithSpaces>14021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2023-04-24T07:23:00Z</dcterms:created>
  <dc:creator>第二陌</dc:creator>
  <cp:lastModifiedBy>grape</cp:lastModifiedBy>
  <cp:lastPrinted>2024-04-24T10:36:00Z</cp:lastPrinted>
  <dcterms:modified xsi:type="dcterms:W3CDTF">2026-07-10T02:25:34Z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3398ADF3A0414C5C97F39E2A1FC6CABF_13</vt:lpwstr>
  </property>
  <property fmtid="{D5CDD505-2E9C-101B-9397-08002B2CF9AE}" pid="4" name="KSOTemplateDocerSaveRecord">
    <vt:lpwstr>eyJoZGlkIjoiNDE0NWI2NzM5MWJjMWNkODAzMGQzOTU4ZDg0ZDljMjciLCJ1c2VySWQiOiIzODEyNDI1MTEifQ==</vt:lpwstr>
  </property>
</Properties>
</file>