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EC00">
      <w:pPr>
        <w:pStyle w:val="12"/>
        <w:adjustRightInd w:val="0"/>
        <w:snapToGrid w:val="0"/>
        <w:spacing w:line="360" w:lineRule="auto"/>
        <w:jc w:val="center"/>
        <w:rPr>
          <w:rFonts w:hAnsi="宋体"/>
          <w:color w:val="auto"/>
          <w:sz w:val="76"/>
          <w:szCs w:val="84"/>
          <w:highlight w:val="none"/>
        </w:rPr>
      </w:pPr>
    </w:p>
    <w:p w14:paraId="6D626697">
      <w:pPr>
        <w:pStyle w:val="12"/>
        <w:tabs>
          <w:tab w:val="center" w:pos="4819"/>
          <w:tab w:val="left" w:pos="6866"/>
        </w:tabs>
        <w:adjustRightInd w:val="0"/>
        <w:snapToGrid w:val="0"/>
        <w:spacing w:line="360" w:lineRule="auto"/>
        <w:jc w:val="left"/>
        <w:rPr>
          <w:rFonts w:hAnsi="宋体"/>
          <w:color w:val="auto"/>
          <w:sz w:val="76"/>
          <w:szCs w:val="84"/>
          <w:highlight w:val="none"/>
        </w:rPr>
      </w:pPr>
      <w:r>
        <w:rPr>
          <w:rFonts w:hAnsi="宋体"/>
          <w:color w:val="auto"/>
          <w:sz w:val="76"/>
          <w:szCs w:val="84"/>
          <w:highlight w:val="none"/>
        </w:rPr>
        <w:tab/>
      </w:r>
      <w:r>
        <w:rPr>
          <w:rFonts w:hint="eastAsia" w:hAnsi="宋体"/>
          <w:color w:val="auto"/>
          <w:sz w:val="76"/>
          <w:szCs w:val="84"/>
          <w:highlight w:val="none"/>
        </w:rPr>
        <w:t>政府采购</w:t>
      </w:r>
      <w:r>
        <w:rPr>
          <w:rFonts w:hAnsi="宋体"/>
          <w:color w:val="auto"/>
          <w:sz w:val="76"/>
          <w:szCs w:val="84"/>
          <w:highlight w:val="none"/>
        </w:rPr>
        <w:tab/>
      </w:r>
    </w:p>
    <w:p w14:paraId="4F1FFC1A">
      <w:pPr>
        <w:pStyle w:val="12"/>
        <w:adjustRightInd w:val="0"/>
        <w:snapToGrid w:val="0"/>
        <w:spacing w:line="360" w:lineRule="auto"/>
        <w:jc w:val="center"/>
        <w:rPr>
          <w:rFonts w:hAnsi="宋体"/>
          <w:color w:val="auto"/>
          <w:sz w:val="76"/>
          <w:szCs w:val="84"/>
          <w:highlight w:val="none"/>
        </w:rPr>
      </w:pPr>
      <w:r>
        <w:rPr>
          <w:rFonts w:hint="eastAsia" w:hAnsi="宋体"/>
          <w:color w:val="auto"/>
          <w:sz w:val="76"/>
          <w:szCs w:val="84"/>
          <w:highlight w:val="none"/>
        </w:rPr>
        <w:t xml:space="preserve">   竞争性磋商文件</w:t>
      </w:r>
    </w:p>
    <w:p w14:paraId="6CF61A24">
      <w:pPr>
        <w:pStyle w:val="12"/>
        <w:adjustRightInd w:val="0"/>
        <w:snapToGrid w:val="0"/>
        <w:spacing w:line="480" w:lineRule="auto"/>
        <w:ind w:firstLine="1280" w:firstLineChars="400"/>
        <w:rPr>
          <w:rFonts w:hAnsi="宋体"/>
          <w:color w:val="auto"/>
          <w:sz w:val="32"/>
          <w:szCs w:val="32"/>
          <w:highlight w:val="none"/>
        </w:rPr>
      </w:pPr>
    </w:p>
    <w:p w14:paraId="37385CD8">
      <w:pPr>
        <w:pStyle w:val="12"/>
        <w:adjustRightInd w:val="0"/>
        <w:snapToGrid w:val="0"/>
        <w:spacing w:line="480" w:lineRule="auto"/>
        <w:ind w:firstLine="640" w:firstLineChars="200"/>
        <w:jc w:val="left"/>
        <w:rPr>
          <w:rFonts w:hint="eastAsia" w:hAnsi="宋体" w:eastAsia="宋体"/>
          <w:color w:val="auto"/>
          <w:sz w:val="32"/>
          <w:szCs w:val="32"/>
          <w:highlight w:val="none"/>
          <w:u w:val="single"/>
          <w:lang w:eastAsia="zh-CN"/>
        </w:rPr>
      </w:pPr>
      <w:r>
        <w:rPr>
          <w:rFonts w:hint="eastAsia" w:hAnsi="宋体"/>
          <w:color w:val="auto"/>
          <w:sz w:val="32"/>
          <w:szCs w:val="32"/>
          <w:highlight w:val="none"/>
        </w:rPr>
        <w:t>采购项目名称：</w:t>
      </w:r>
      <w:r>
        <w:rPr>
          <w:rFonts w:hint="eastAsia" w:hAnsi="宋体"/>
          <w:color w:val="auto"/>
          <w:sz w:val="32"/>
          <w:szCs w:val="32"/>
          <w:highlight w:val="none"/>
          <w:u w:val="single"/>
          <w:lang w:eastAsia="zh-CN"/>
        </w:rPr>
        <w:t>2026年新选拔选调生集中培训项目</w:t>
      </w:r>
    </w:p>
    <w:p w14:paraId="7E2A32E8">
      <w:pPr>
        <w:pStyle w:val="12"/>
        <w:adjustRightInd w:val="0"/>
        <w:snapToGrid w:val="0"/>
        <w:spacing w:line="480" w:lineRule="auto"/>
        <w:ind w:firstLine="640" w:firstLineChars="200"/>
        <w:rPr>
          <w:rFonts w:hint="eastAsia" w:hAnsi="宋体" w:eastAsia="宋体"/>
          <w:color w:val="auto"/>
          <w:sz w:val="32"/>
          <w:szCs w:val="32"/>
          <w:highlight w:val="none"/>
          <w:u w:val="single"/>
          <w:lang w:eastAsia="zh-CN"/>
        </w:rPr>
      </w:pPr>
      <w:r>
        <w:rPr>
          <w:rFonts w:hint="eastAsia" w:hAnsi="宋体"/>
          <w:color w:val="auto"/>
          <w:sz w:val="32"/>
          <w:szCs w:val="32"/>
          <w:highlight w:val="none"/>
        </w:rPr>
        <w:t>采   购   人：</w:t>
      </w:r>
      <w:r>
        <w:rPr>
          <w:rFonts w:hint="eastAsia" w:hAnsi="宋体"/>
          <w:color w:val="auto"/>
          <w:sz w:val="32"/>
          <w:szCs w:val="32"/>
          <w:highlight w:val="none"/>
          <w:u w:val="single"/>
          <w:lang w:eastAsia="zh-CN"/>
        </w:rPr>
        <w:t>中共湖南省委组织部</w:t>
      </w:r>
    </w:p>
    <w:p w14:paraId="19238ABF">
      <w:pPr>
        <w:pStyle w:val="12"/>
        <w:adjustRightInd w:val="0"/>
        <w:snapToGrid w:val="0"/>
        <w:spacing w:line="480" w:lineRule="auto"/>
        <w:ind w:firstLine="640" w:firstLineChars="200"/>
        <w:rPr>
          <w:rFonts w:hAnsi="宋体"/>
          <w:color w:val="auto"/>
          <w:sz w:val="32"/>
          <w:szCs w:val="32"/>
          <w:highlight w:val="none"/>
          <w:u w:val="single"/>
        </w:rPr>
      </w:pPr>
      <w:r>
        <w:rPr>
          <w:rFonts w:hint="eastAsia" w:hAnsi="宋体"/>
          <w:color w:val="auto"/>
          <w:sz w:val="32"/>
          <w:szCs w:val="32"/>
          <w:highlight w:val="none"/>
        </w:rPr>
        <w:t>政府采购编号：</w:t>
      </w:r>
      <w:r>
        <w:rPr>
          <w:rFonts w:hint="eastAsia" w:hAnsi="宋体"/>
          <w:color w:val="auto"/>
          <w:sz w:val="32"/>
          <w:szCs w:val="32"/>
          <w:highlight w:val="none"/>
          <w:u w:val="single"/>
          <w:lang w:eastAsia="zh-CN"/>
        </w:rPr>
        <w:t xml:space="preserve">CGXM2026430000000209 </w:t>
      </w:r>
    </w:p>
    <w:p w14:paraId="130EF79D">
      <w:pPr>
        <w:pStyle w:val="12"/>
        <w:adjustRightInd w:val="0"/>
        <w:snapToGrid w:val="0"/>
        <w:spacing w:line="480" w:lineRule="auto"/>
        <w:ind w:firstLine="640" w:firstLineChars="200"/>
        <w:rPr>
          <w:rFonts w:hAnsi="宋体"/>
          <w:color w:val="auto"/>
          <w:sz w:val="32"/>
          <w:szCs w:val="32"/>
          <w:highlight w:val="none"/>
          <w:u w:val="single"/>
        </w:rPr>
      </w:pPr>
      <w:r>
        <w:rPr>
          <w:rFonts w:hint="eastAsia" w:hAnsi="宋体"/>
          <w:color w:val="auto"/>
          <w:sz w:val="32"/>
          <w:szCs w:val="32"/>
          <w:highlight w:val="none"/>
        </w:rPr>
        <w:t>委托代理编号：</w:t>
      </w:r>
      <w:r>
        <w:rPr>
          <w:rFonts w:hint="eastAsia" w:hAnsi="宋体"/>
          <w:color w:val="auto"/>
          <w:sz w:val="32"/>
          <w:szCs w:val="32"/>
          <w:highlight w:val="none"/>
          <w:u w:val="single"/>
          <w:lang w:val="en-US" w:eastAsia="zh-CN"/>
        </w:rPr>
        <w:t>JRC20250626</w:t>
      </w:r>
    </w:p>
    <w:p w14:paraId="23F6F785">
      <w:pPr>
        <w:pStyle w:val="12"/>
        <w:adjustRightInd w:val="0"/>
        <w:snapToGrid w:val="0"/>
        <w:spacing w:line="480" w:lineRule="auto"/>
        <w:ind w:firstLine="640" w:firstLineChars="200"/>
        <w:rPr>
          <w:rFonts w:hAnsi="宋体"/>
          <w:color w:val="auto"/>
          <w:sz w:val="32"/>
          <w:szCs w:val="32"/>
          <w:highlight w:val="none"/>
          <w:u w:val="single"/>
        </w:rPr>
      </w:pPr>
      <w:r>
        <w:rPr>
          <w:rFonts w:hint="eastAsia" w:hAnsi="宋体"/>
          <w:color w:val="auto"/>
          <w:sz w:val="32"/>
          <w:szCs w:val="32"/>
          <w:highlight w:val="none"/>
        </w:rPr>
        <w:t>采购代理机构：</w:t>
      </w:r>
      <w:r>
        <w:rPr>
          <w:rFonts w:hint="eastAsia" w:hAnsi="宋体"/>
          <w:color w:val="auto"/>
          <w:sz w:val="32"/>
          <w:szCs w:val="32"/>
          <w:highlight w:val="none"/>
          <w:u w:val="single"/>
        </w:rPr>
        <w:t>湖南军融创项目管理有限公司</w:t>
      </w:r>
    </w:p>
    <w:p w14:paraId="23165B94">
      <w:pPr>
        <w:pStyle w:val="12"/>
        <w:adjustRightInd w:val="0"/>
        <w:snapToGrid w:val="0"/>
        <w:spacing w:line="480" w:lineRule="auto"/>
        <w:ind w:firstLine="640" w:firstLineChars="200"/>
        <w:rPr>
          <w:rFonts w:hAnsi="宋体"/>
          <w:color w:val="auto"/>
          <w:sz w:val="32"/>
          <w:szCs w:val="32"/>
          <w:highlight w:val="none"/>
          <w:u w:val="single"/>
        </w:rPr>
      </w:pPr>
    </w:p>
    <w:p w14:paraId="7C8CFF43">
      <w:pPr>
        <w:pStyle w:val="12"/>
        <w:adjustRightInd w:val="0"/>
        <w:snapToGrid w:val="0"/>
        <w:spacing w:line="360" w:lineRule="auto"/>
        <w:rPr>
          <w:rFonts w:hAnsi="宋体"/>
          <w:b/>
          <w:color w:val="auto"/>
          <w:sz w:val="32"/>
          <w:highlight w:val="none"/>
        </w:rPr>
      </w:pPr>
    </w:p>
    <w:p w14:paraId="3880152C">
      <w:pPr>
        <w:pStyle w:val="12"/>
        <w:adjustRightInd w:val="0"/>
        <w:snapToGrid w:val="0"/>
        <w:spacing w:line="360" w:lineRule="auto"/>
        <w:rPr>
          <w:rFonts w:hAnsi="宋体"/>
          <w:b/>
          <w:color w:val="auto"/>
          <w:sz w:val="32"/>
          <w:highlight w:val="none"/>
        </w:rPr>
      </w:pPr>
    </w:p>
    <w:p w14:paraId="102325CD">
      <w:pPr>
        <w:pStyle w:val="12"/>
        <w:adjustRightInd w:val="0"/>
        <w:snapToGrid w:val="0"/>
        <w:spacing w:line="360" w:lineRule="auto"/>
        <w:jc w:val="center"/>
        <w:rPr>
          <w:rFonts w:hAnsi="宋体"/>
          <w:bCs/>
          <w:color w:val="auto"/>
          <w:sz w:val="32"/>
          <w:highlight w:val="none"/>
        </w:rPr>
      </w:pPr>
      <w:r>
        <w:rPr>
          <w:rFonts w:hint="eastAsia" w:hAnsi="宋体"/>
          <w:bCs/>
          <w:color w:val="auto"/>
          <w:sz w:val="32"/>
          <w:highlight w:val="none"/>
        </w:rPr>
        <w:t>二〇二</w:t>
      </w:r>
      <w:r>
        <w:rPr>
          <w:rFonts w:hint="eastAsia" w:hAnsi="宋体"/>
          <w:bCs/>
          <w:color w:val="auto"/>
          <w:sz w:val="32"/>
          <w:highlight w:val="none"/>
          <w:lang w:val="en-US" w:eastAsia="zh-CN"/>
        </w:rPr>
        <w:t>六</w:t>
      </w:r>
      <w:r>
        <w:rPr>
          <w:rFonts w:hint="eastAsia" w:hAnsi="宋体"/>
          <w:bCs/>
          <w:color w:val="auto"/>
          <w:sz w:val="32"/>
          <w:highlight w:val="none"/>
        </w:rPr>
        <w:t>年</w:t>
      </w:r>
      <w:r>
        <w:rPr>
          <w:rFonts w:hint="eastAsia" w:hAnsi="宋体"/>
          <w:bCs/>
          <w:color w:val="auto"/>
          <w:sz w:val="32"/>
          <w:highlight w:val="none"/>
          <w:lang w:val="en-US" w:eastAsia="zh-CN"/>
        </w:rPr>
        <w:t>七</w:t>
      </w:r>
      <w:r>
        <w:rPr>
          <w:rFonts w:hint="eastAsia" w:hAnsi="宋体"/>
          <w:bCs/>
          <w:color w:val="auto"/>
          <w:sz w:val="32"/>
          <w:highlight w:val="none"/>
        </w:rPr>
        <w:t>月</w:t>
      </w:r>
    </w:p>
    <w:p w14:paraId="76118F84">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49063ECC">
      <w:pPr>
        <w:spacing w:line="360" w:lineRule="auto"/>
        <w:jc w:val="center"/>
        <w:rPr>
          <w:rFonts w:hAnsi="宋体" w:cs="宋体"/>
          <w:b/>
          <w:bCs/>
          <w:color w:val="auto"/>
          <w:spacing w:val="160"/>
          <w:sz w:val="32"/>
          <w:szCs w:val="32"/>
          <w:highlight w:val="none"/>
        </w:rPr>
      </w:pPr>
      <w:r>
        <w:rPr>
          <w:rFonts w:hint="eastAsia" w:hAnsi="宋体" w:cs="宋体"/>
          <w:b/>
          <w:bCs/>
          <w:color w:val="auto"/>
          <w:spacing w:val="160"/>
          <w:sz w:val="32"/>
          <w:szCs w:val="32"/>
          <w:highlight w:val="none"/>
        </w:rPr>
        <w:t>目录</w:t>
      </w:r>
    </w:p>
    <w:p w14:paraId="0F521617">
      <w:pPr>
        <w:pStyle w:val="12"/>
        <w:adjustRightInd w:val="0"/>
        <w:snapToGrid w:val="0"/>
        <w:spacing w:line="360" w:lineRule="auto"/>
        <w:rPr>
          <w:rFonts w:hAnsi="宋体"/>
          <w:b/>
          <w:color w:val="auto"/>
          <w:sz w:val="24"/>
          <w:szCs w:val="24"/>
          <w:highlight w:val="none"/>
        </w:rPr>
      </w:pPr>
    </w:p>
    <w:p w14:paraId="45D5CF78">
      <w:pPr>
        <w:pStyle w:val="12"/>
        <w:adjustRightInd w:val="0"/>
        <w:snapToGrid w:val="0"/>
        <w:spacing w:line="480" w:lineRule="auto"/>
        <w:rPr>
          <w:rFonts w:hAnsi="宋体"/>
          <w:b/>
          <w:color w:val="auto"/>
          <w:highlight w:val="none"/>
        </w:rPr>
      </w:pPr>
      <w:r>
        <w:rPr>
          <w:rFonts w:hint="eastAsia" w:hAnsi="宋体"/>
          <w:b/>
          <w:color w:val="auto"/>
          <w:highlight w:val="none"/>
        </w:rPr>
        <w:t>第一章  磋商邀请</w:t>
      </w:r>
    </w:p>
    <w:p w14:paraId="59C352CC">
      <w:pPr>
        <w:pStyle w:val="12"/>
        <w:adjustRightInd w:val="0"/>
        <w:snapToGrid w:val="0"/>
        <w:spacing w:line="480" w:lineRule="auto"/>
        <w:rPr>
          <w:rFonts w:hAnsi="宋体"/>
          <w:b/>
          <w:color w:val="auto"/>
          <w:highlight w:val="none"/>
        </w:rPr>
      </w:pPr>
      <w:r>
        <w:rPr>
          <w:rFonts w:hint="eastAsia" w:hAnsi="宋体"/>
          <w:b/>
          <w:color w:val="auto"/>
          <w:highlight w:val="none"/>
        </w:rPr>
        <w:t>第二章  磋商须知</w:t>
      </w:r>
    </w:p>
    <w:p w14:paraId="18B1D92B">
      <w:pPr>
        <w:tabs>
          <w:tab w:val="left" w:pos="1440"/>
        </w:tabs>
        <w:adjustRightInd w:val="0"/>
        <w:snapToGrid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磋商须知前附表</w:t>
      </w:r>
    </w:p>
    <w:p w14:paraId="7CA64C83">
      <w:pPr>
        <w:tabs>
          <w:tab w:val="left" w:pos="1440"/>
        </w:tabs>
        <w:adjustRightInd w:val="0"/>
        <w:snapToGrid w:val="0"/>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磋商须知正文</w:t>
      </w:r>
    </w:p>
    <w:p w14:paraId="54445449">
      <w:pPr>
        <w:tabs>
          <w:tab w:val="left" w:pos="1440"/>
        </w:tabs>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一、说明</w:t>
      </w:r>
    </w:p>
    <w:p w14:paraId="4A9DCCAA">
      <w:pPr>
        <w:tabs>
          <w:tab w:val="left" w:pos="1440"/>
        </w:tabs>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磋商</w:t>
      </w:r>
      <w:r>
        <w:rPr>
          <w:rFonts w:hint="eastAsia" w:ascii="宋体" w:hAnsi="宋体"/>
          <w:color w:val="auto"/>
          <w:szCs w:val="21"/>
          <w:highlight w:val="none"/>
        </w:rPr>
        <w:t>文件</w:t>
      </w:r>
    </w:p>
    <w:p w14:paraId="190C9372">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三、响应文件</w:t>
      </w:r>
    </w:p>
    <w:p w14:paraId="06E65539">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四、响应文件的递交</w:t>
      </w:r>
    </w:p>
    <w:p w14:paraId="756114BC">
      <w:pPr>
        <w:adjustRightInd w:val="0"/>
        <w:snapToGrid w:val="0"/>
        <w:spacing w:line="480" w:lineRule="auto"/>
        <w:ind w:firstLine="630" w:firstLineChars="300"/>
        <w:rPr>
          <w:rFonts w:ascii="宋体" w:hAnsi="宋体"/>
          <w:bCs/>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响应文件</w:t>
      </w:r>
      <w:r>
        <w:rPr>
          <w:rFonts w:hint="eastAsia" w:ascii="宋体" w:hAnsi="宋体"/>
          <w:bCs/>
          <w:color w:val="auto"/>
          <w:szCs w:val="21"/>
          <w:highlight w:val="none"/>
        </w:rPr>
        <w:t>的</w:t>
      </w:r>
      <w:r>
        <w:rPr>
          <w:rFonts w:hint="eastAsia" w:ascii="宋体" w:hAnsi="宋体"/>
          <w:color w:val="auto"/>
          <w:szCs w:val="21"/>
          <w:highlight w:val="none"/>
        </w:rPr>
        <w:t>磋商与评审</w:t>
      </w:r>
    </w:p>
    <w:p w14:paraId="66F20F26">
      <w:pPr>
        <w:adjustRightInd w:val="0"/>
        <w:snapToGrid w:val="0"/>
        <w:spacing w:line="480" w:lineRule="auto"/>
        <w:ind w:firstLine="630" w:firstLineChars="300"/>
        <w:rPr>
          <w:rFonts w:ascii="宋体" w:hAnsi="宋体"/>
          <w:color w:val="auto"/>
          <w:szCs w:val="21"/>
          <w:highlight w:val="none"/>
        </w:rPr>
      </w:pPr>
      <w:r>
        <w:rPr>
          <w:rFonts w:hint="eastAsia" w:ascii="宋体" w:hAnsi="宋体"/>
          <w:color w:val="auto"/>
          <w:szCs w:val="21"/>
          <w:highlight w:val="none"/>
        </w:rPr>
        <w:t>六、成交结果信息公布与授予合同</w:t>
      </w:r>
    </w:p>
    <w:p w14:paraId="4E75D65C">
      <w:pPr>
        <w:adjustRightInd w:val="0"/>
        <w:snapToGrid w:val="0"/>
        <w:spacing w:line="480" w:lineRule="auto"/>
        <w:ind w:firstLine="630" w:firstLineChars="300"/>
        <w:jc w:val="left"/>
        <w:rPr>
          <w:rFonts w:ascii="宋体" w:hAnsi="宋体"/>
          <w:color w:val="auto"/>
          <w:szCs w:val="21"/>
          <w:highlight w:val="none"/>
        </w:rPr>
      </w:pPr>
      <w:r>
        <w:rPr>
          <w:rFonts w:hint="eastAsia" w:ascii="宋体" w:hAnsi="宋体"/>
          <w:color w:val="auto"/>
          <w:szCs w:val="21"/>
          <w:highlight w:val="none"/>
        </w:rPr>
        <w:t>七、其他规定</w:t>
      </w:r>
    </w:p>
    <w:p w14:paraId="57593263">
      <w:pPr>
        <w:adjustRightInd w:val="0"/>
        <w:snapToGrid w:val="0"/>
        <w:spacing w:line="480" w:lineRule="auto"/>
        <w:rPr>
          <w:rFonts w:ascii="宋体" w:hAnsi="宋体"/>
          <w:b/>
          <w:color w:val="auto"/>
          <w:szCs w:val="21"/>
          <w:highlight w:val="none"/>
        </w:rPr>
      </w:pPr>
      <w:r>
        <w:rPr>
          <w:rFonts w:hint="eastAsia" w:ascii="宋体" w:hAnsi="宋体"/>
          <w:b/>
          <w:color w:val="auto"/>
          <w:szCs w:val="21"/>
          <w:highlight w:val="none"/>
        </w:rPr>
        <w:t>第三章  政府采购合同格式</w:t>
      </w:r>
    </w:p>
    <w:p w14:paraId="1DF1009B">
      <w:pPr>
        <w:adjustRightInd w:val="0"/>
        <w:snapToGrid w:val="0"/>
        <w:spacing w:line="480" w:lineRule="auto"/>
        <w:rPr>
          <w:rFonts w:ascii="宋体" w:hAnsi="宋体"/>
          <w:b/>
          <w:color w:val="auto"/>
          <w:szCs w:val="21"/>
          <w:highlight w:val="none"/>
        </w:rPr>
      </w:pPr>
      <w:r>
        <w:rPr>
          <w:rFonts w:hint="eastAsia" w:ascii="宋体" w:hAnsi="宋体"/>
          <w:b/>
          <w:color w:val="auto"/>
          <w:szCs w:val="21"/>
          <w:highlight w:val="none"/>
        </w:rPr>
        <w:t xml:space="preserve">第四章  </w:t>
      </w:r>
      <w:r>
        <w:rPr>
          <w:rFonts w:hint="eastAsia" w:hAnsi="宋体"/>
          <w:b/>
          <w:color w:val="auto"/>
          <w:szCs w:val="21"/>
          <w:highlight w:val="none"/>
        </w:rPr>
        <w:t>采购需求</w:t>
      </w:r>
    </w:p>
    <w:p w14:paraId="0212E92A">
      <w:pPr>
        <w:pStyle w:val="12"/>
        <w:adjustRightInd w:val="0"/>
        <w:snapToGrid w:val="0"/>
        <w:spacing w:line="480" w:lineRule="auto"/>
        <w:rPr>
          <w:rFonts w:hAnsi="宋体"/>
          <w:b/>
          <w:color w:val="auto"/>
          <w:highlight w:val="none"/>
        </w:rPr>
      </w:pPr>
      <w:r>
        <w:rPr>
          <w:rFonts w:hint="eastAsia" w:hAnsi="宋体"/>
          <w:b/>
          <w:color w:val="auto"/>
          <w:highlight w:val="none"/>
        </w:rPr>
        <w:t>第五章  响应文件组成</w:t>
      </w:r>
    </w:p>
    <w:p w14:paraId="48421677">
      <w:pPr>
        <w:pStyle w:val="12"/>
        <w:adjustRightInd w:val="0"/>
        <w:snapToGrid w:val="0"/>
        <w:spacing w:line="360" w:lineRule="auto"/>
        <w:rPr>
          <w:rFonts w:hAnsi="宋体"/>
          <w:b/>
          <w:color w:val="auto"/>
          <w:sz w:val="24"/>
          <w:highlight w:val="none"/>
        </w:rPr>
      </w:pPr>
    </w:p>
    <w:p w14:paraId="5D85CCF7">
      <w:pPr>
        <w:spacing w:line="360" w:lineRule="exact"/>
        <w:rPr>
          <w:rFonts w:ascii="黑体" w:eastAsia="黑体"/>
          <w:b/>
          <w:color w:val="auto"/>
          <w:sz w:val="24"/>
          <w:highlight w:val="none"/>
        </w:rPr>
      </w:pPr>
    </w:p>
    <w:p w14:paraId="6E3B65D1">
      <w:pPr>
        <w:spacing w:line="360" w:lineRule="exact"/>
        <w:rPr>
          <w:rFonts w:ascii="黑体" w:eastAsia="黑体"/>
          <w:b/>
          <w:color w:val="auto"/>
          <w:sz w:val="24"/>
          <w:highlight w:val="none"/>
        </w:rPr>
      </w:pPr>
    </w:p>
    <w:p w14:paraId="5EE2853B">
      <w:pPr>
        <w:spacing w:line="360" w:lineRule="exact"/>
        <w:rPr>
          <w:rFonts w:ascii="黑体" w:eastAsia="黑体"/>
          <w:b/>
          <w:color w:val="auto"/>
          <w:sz w:val="24"/>
          <w:highlight w:val="none"/>
        </w:rPr>
      </w:pPr>
    </w:p>
    <w:p w14:paraId="68FCBDE6">
      <w:pPr>
        <w:spacing w:line="360" w:lineRule="exact"/>
        <w:rPr>
          <w:rFonts w:ascii="黑体" w:eastAsia="黑体"/>
          <w:b/>
          <w:color w:val="auto"/>
          <w:sz w:val="24"/>
          <w:highlight w:val="none"/>
        </w:rPr>
      </w:pPr>
    </w:p>
    <w:p w14:paraId="01E57154">
      <w:pPr>
        <w:spacing w:line="360" w:lineRule="exact"/>
        <w:rPr>
          <w:rFonts w:ascii="黑体" w:eastAsia="黑体"/>
          <w:b/>
          <w:color w:val="auto"/>
          <w:sz w:val="24"/>
          <w:highlight w:val="none"/>
        </w:rPr>
      </w:pPr>
    </w:p>
    <w:p w14:paraId="68E66BAE">
      <w:pPr>
        <w:jc w:val="center"/>
        <w:rPr>
          <w:rFonts w:ascii="黑体" w:hAnsi="宋体" w:eastAsia="黑体"/>
          <w:color w:val="auto"/>
          <w:sz w:val="32"/>
          <w:szCs w:val="32"/>
          <w:highlight w:val="none"/>
        </w:rPr>
      </w:pPr>
    </w:p>
    <w:p w14:paraId="0B408182">
      <w:pPr>
        <w:jc w:val="center"/>
        <w:rPr>
          <w:rFonts w:ascii="黑体" w:hAnsi="宋体" w:eastAsia="黑体"/>
          <w:color w:val="auto"/>
          <w:sz w:val="32"/>
          <w:szCs w:val="32"/>
          <w:highlight w:val="none"/>
        </w:rPr>
      </w:pPr>
    </w:p>
    <w:p w14:paraId="39B3C026">
      <w:pPr>
        <w:jc w:val="center"/>
        <w:rPr>
          <w:rFonts w:ascii="黑体" w:hAnsi="宋体" w:eastAsia="黑体"/>
          <w:color w:val="auto"/>
          <w:sz w:val="32"/>
          <w:szCs w:val="32"/>
          <w:highlight w:val="none"/>
        </w:rPr>
      </w:pPr>
    </w:p>
    <w:p w14:paraId="590509DC">
      <w:pPr>
        <w:jc w:val="center"/>
        <w:rPr>
          <w:rFonts w:ascii="黑体" w:hAnsi="宋体" w:eastAsia="黑体"/>
          <w:color w:val="auto"/>
          <w:sz w:val="32"/>
          <w:szCs w:val="32"/>
          <w:highlight w:val="none"/>
        </w:rPr>
      </w:pPr>
    </w:p>
    <w:p w14:paraId="6742E8E6">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031DFF74">
      <w:pPr>
        <w:adjustRightInd w:val="0"/>
        <w:snapToGrid w:val="0"/>
        <w:spacing w:line="288" w:lineRule="auto"/>
        <w:jc w:val="center"/>
        <w:outlineLvl w:val="0"/>
        <w:rPr>
          <w:rFonts w:ascii="宋体" w:hAnsi="宋体" w:cs="宋体"/>
          <w:color w:val="auto"/>
          <w:kern w:val="0"/>
          <w:szCs w:val="21"/>
          <w:highlight w:val="none"/>
        </w:rPr>
      </w:pPr>
      <w:r>
        <w:rPr>
          <w:rFonts w:hint="eastAsia" w:ascii="宋体" w:hAnsi="宋体" w:cs="宋体"/>
          <w:b/>
          <w:color w:val="auto"/>
          <w:sz w:val="32"/>
          <w:szCs w:val="32"/>
          <w:highlight w:val="none"/>
        </w:rPr>
        <w:t>第一章 磋商邀请</w:t>
      </w:r>
    </w:p>
    <w:p w14:paraId="6EAF4658">
      <w:pPr>
        <w:adjustRightInd w:val="0"/>
        <w:snapToGrid w:val="0"/>
        <w:spacing w:line="360" w:lineRule="auto"/>
        <w:jc w:val="left"/>
        <w:rPr>
          <w:rFonts w:ascii="宋体" w:hAnsi="宋体" w:cs="宋体"/>
          <w:color w:val="auto"/>
          <w:szCs w:val="21"/>
          <w:highlight w:val="none"/>
        </w:rPr>
      </w:pPr>
    </w:p>
    <w:p w14:paraId="6F7E5FDE">
      <w:pPr>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eastAsia="zh-CN"/>
        </w:rPr>
        <w:t>2026年新选拔选调生集中培训项目</w:t>
      </w:r>
      <w:r>
        <w:rPr>
          <w:rFonts w:hint="eastAsia" w:ascii="宋体" w:hAnsi="宋体" w:cs="宋体"/>
          <w:color w:val="auto"/>
          <w:szCs w:val="21"/>
          <w:highlight w:val="none"/>
        </w:rPr>
        <w:t>（政府采购编号：</w:t>
      </w:r>
      <w:r>
        <w:rPr>
          <w:rFonts w:hint="eastAsia" w:ascii="宋体" w:hAnsi="宋体" w:cs="宋体"/>
          <w:color w:val="auto"/>
          <w:szCs w:val="21"/>
          <w:highlight w:val="none"/>
          <w:u w:val="single"/>
          <w:lang w:eastAsia="zh-CN"/>
        </w:rPr>
        <w:t xml:space="preserve">CGXM2026430000000209 </w:t>
      </w:r>
      <w:r>
        <w:rPr>
          <w:rFonts w:hint="eastAsia" w:ascii="宋体" w:hAnsi="宋体" w:cs="宋体"/>
          <w:color w:val="auto"/>
          <w:szCs w:val="21"/>
          <w:highlight w:val="none"/>
        </w:rPr>
        <w:t>，委托代理编号：</w:t>
      </w:r>
      <w:r>
        <w:rPr>
          <w:rFonts w:hint="eastAsia" w:ascii="宋体" w:hAnsi="宋体" w:cs="宋体"/>
          <w:color w:val="auto"/>
          <w:szCs w:val="21"/>
          <w:highlight w:val="none"/>
          <w:u w:val="single"/>
          <w:lang w:val="en-US" w:eastAsia="zh-CN"/>
        </w:rPr>
        <w:t>JRC20250626</w:t>
      </w:r>
      <w:r>
        <w:rPr>
          <w:rFonts w:hint="eastAsia" w:ascii="宋体" w:hAnsi="宋体" w:cs="宋体"/>
          <w:color w:val="auto"/>
          <w:szCs w:val="21"/>
          <w:highlight w:val="none"/>
        </w:rPr>
        <w:t>）进行竞争性磋商采购。</w:t>
      </w:r>
      <w:r>
        <w:rPr>
          <w:rStyle w:val="37"/>
          <w:rFonts w:hint="eastAsia" w:ascii="宋体" w:hAnsi="宋体" w:cs="宋体"/>
          <w:color w:val="auto"/>
          <w:szCs w:val="21"/>
          <w:highlight w:val="none"/>
        </w:rPr>
        <w:t>现采用</w:t>
      </w:r>
      <w:r>
        <w:rPr>
          <w:rFonts w:hint="eastAsia" w:ascii="宋体" w:hAnsi="宋体" w:cs="宋体"/>
          <w:color w:val="auto"/>
          <w:szCs w:val="21"/>
          <w:highlight w:val="none"/>
        </w:rPr>
        <w:t>公告征集</w:t>
      </w:r>
      <w:r>
        <w:rPr>
          <w:rStyle w:val="37"/>
          <w:rFonts w:hint="eastAsia" w:ascii="宋体" w:hAnsi="宋体" w:cs="宋体"/>
          <w:color w:val="auto"/>
          <w:szCs w:val="21"/>
          <w:highlight w:val="none"/>
        </w:rPr>
        <w:t>的方式</w:t>
      </w:r>
      <w:r>
        <w:rPr>
          <w:rFonts w:hint="eastAsia" w:ascii="宋体" w:hAnsi="宋体" w:cs="宋体"/>
          <w:color w:val="auto"/>
          <w:highlight w:val="none"/>
        </w:rPr>
        <w:t>，邀请符合资格条件的供应商参与本次政府采购活动。</w:t>
      </w:r>
    </w:p>
    <w:p w14:paraId="7C661494">
      <w:pPr>
        <w:numPr>
          <w:ilvl w:val="0"/>
          <w:numId w:val="1"/>
        </w:numPr>
        <w:adjustRightInd w:val="0"/>
        <w:snapToGrid w:val="0"/>
        <w:spacing w:line="360" w:lineRule="auto"/>
        <w:ind w:firstLine="211" w:firstLineChars="100"/>
        <w:outlineLvl w:val="1"/>
        <w:rPr>
          <w:rFonts w:ascii="宋体" w:hAnsi="宋体" w:cs="宋体"/>
          <w:b/>
          <w:color w:val="auto"/>
          <w:szCs w:val="21"/>
          <w:highlight w:val="none"/>
        </w:rPr>
      </w:pPr>
      <w:r>
        <w:rPr>
          <w:rFonts w:hint="eastAsia" w:ascii="宋体" w:hAnsi="宋体" w:cs="宋体"/>
          <w:b/>
          <w:color w:val="auto"/>
          <w:szCs w:val="21"/>
          <w:highlight w:val="none"/>
        </w:rPr>
        <w:t>采购项目基本概况</w:t>
      </w:r>
    </w:p>
    <w:p w14:paraId="02FD6242">
      <w:pPr>
        <w:pStyle w:val="12"/>
        <w:adjustRightInd w:val="0"/>
        <w:snapToGrid w:val="0"/>
        <w:spacing w:line="360" w:lineRule="auto"/>
        <w:ind w:firstLine="210" w:firstLineChars="100"/>
        <w:jc w:val="left"/>
        <w:rPr>
          <w:rFonts w:hint="eastAsia" w:hAnsi="宋体" w:eastAsia="宋体" w:cs="宋体"/>
          <w:color w:val="auto"/>
          <w:highlight w:val="none"/>
          <w:lang w:eastAsia="zh-CN"/>
        </w:rPr>
      </w:pPr>
      <w:r>
        <w:rPr>
          <w:rFonts w:hint="eastAsia" w:hAnsi="宋体" w:cs="宋体"/>
          <w:color w:val="auto"/>
          <w:highlight w:val="none"/>
        </w:rPr>
        <w:t>（一）采购项目名称：</w:t>
      </w:r>
      <w:r>
        <w:rPr>
          <w:rFonts w:hint="eastAsia" w:hAnsi="宋体" w:cs="宋体"/>
          <w:color w:val="auto"/>
          <w:highlight w:val="none"/>
          <w:u w:val="single"/>
          <w:lang w:eastAsia="zh-CN"/>
        </w:rPr>
        <w:t>2026年新选拔选调生集中培训项目</w:t>
      </w:r>
    </w:p>
    <w:p w14:paraId="346C85B9">
      <w:pPr>
        <w:pStyle w:val="12"/>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（二）采购计划编号：</w:t>
      </w:r>
      <w:r>
        <w:rPr>
          <w:rFonts w:hint="eastAsia" w:hAnsi="宋体" w:cs="宋体"/>
          <w:color w:val="auto"/>
          <w:highlight w:val="none"/>
          <w:u w:val="single"/>
          <w:lang w:eastAsia="zh-CN"/>
        </w:rPr>
        <w:t xml:space="preserve">CGXM2026430000000209 </w:t>
      </w:r>
    </w:p>
    <w:p w14:paraId="773DBBDD">
      <w:pPr>
        <w:pStyle w:val="12"/>
        <w:adjustRightInd w:val="0"/>
        <w:snapToGrid w:val="0"/>
        <w:spacing w:line="360" w:lineRule="auto"/>
        <w:ind w:firstLine="210" w:firstLineChars="100"/>
        <w:jc w:val="left"/>
        <w:rPr>
          <w:rFonts w:hint="eastAsia" w:hAnsi="宋体" w:eastAsia="宋体" w:cs="宋体"/>
          <w:color w:val="auto"/>
          <w:highlight w:val="none"/>
          <w:u w:val="single"/>
          <w:lang w:eastAsia="zh-CN"/>
        </w:rPr>
      </w:pPr>
      <w:r>
        <w:rPr>
          <w:rFonts w:hint="eastAsia" w:hAnsi="宋体" w:cs="宋体"/>
          <w:color w:val="auto"/>
          <w:highlight w:val="none"/>
        </w:rPr>
        <w:t>（三）委托代理编号：</w:t>
      </w:r>
      <w:r>
        <w:rPr>
          <w:rFonts w:hint="eastAsia" w:hAnsi="宋体" w:cs="宋体"/>
          <w:color w:val="auto"/>
          <w:highlight w:val="none"/>
          <w:u w:val="single"/>
          <w:lang w:eastAsia="zh-CN"/>
        </w:rPr>
        <w:t>JRC20250626</w:t>
      </w:r>
    </w:p>
    <w:p w14:paraId="587695D5">
      <w:pPr>
        <w:pStyle w:val="12"/>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（四）采购项目基本内容情况：</w:t>
      </w:r>
    </w:p>
    <w:p w14:paraId="2C016671">
      <w:pPr>
        <w:pStyle w:val="12"/>
        <w:adjustRightInd w:val="0"/>
        <w:snapToGrid w:val="0"/>
        <w:spacing w:line="360" w:lineRule="auto"/>
        <w:ind w:firstLine="420" w:firstLineChars="200"/>
        <w:jc w:val="left"/>
        <w:rPr>
          <w:rFonts w:hAnsi="宋体" w:cs="宋体"/>
          <w:color w:val="auto"/>
          <w:highlight w:val="none"/>
          <w:u w:val="single"/>
        </w:rPr>
      </w:pPr>
      <w:r>
        <w:rPr>
          <w:rFonts w:hint="eastAsia" w:hAnsi="宋体" w:cs="宋体"/>
          <w:color w:val="auto"/>
          <w:highlight w:val="none"/>
        </w:rPr>
        <w:t>1、本次采购范围包括：</w:t>
      </w:r>
      <w:r>
        <w:rPr>
          <w:rFonts w:hint="eastAsia" w:hAnsi="宋体" w:cs="宋体"/>
          <w:color w:val="auto"/>
          <w:highlight w:val="none"/>
          <w:u w:val="single"/>
          <w:lang w:val="en-US" w:eastAsia="zh-CN"/>
        </w:rPr>
        <w:t>2026年</w:t>
      </w:r>
      <w:r>
        <w:rPr>
          <w:rFonts w:hint="eastAsia" w:hAnsi="宋体" w:cs="宋体"/>
          <w:color w:val="auto"/>
          <w:highlight w:val="none"/>
          <w:u w:val="single"/>
          <w:lang w:eastAsia="zh-CN"/>
        </w:rPr>
        <w:t>新选拔选调生培训</w:t>
      </w:r>
    </w:p>
    <w:p w14:paraId="43D45FB3">
      <w:pPr>
        <w:pStyle w:val="12"/>
        <w:adjustRightInd w:val="0"/>
        <w:snapToGrid w:val="0"/>
        <w:spacing w:line="360" w:lineRule="auto"/>
        <w:ind w:firstLine="420" w:firstLineChars="200"/>
        <w:jc w:val="left"/>
        <w:rPr>
          <w:rFonts w:hint="default" w:hAnsi="宋体" w:eastAsia="宋体" w:cs="Times New Roman"/>
          <w:b/>
          <w:color w:val="auto"/>
          <w:highlight w:val="none"/>
          <w:lang w:val="en-US" w:eastAsia="zh-CN"/>
        </w:rPr>
      </w:pPr>
      <w:r>
        <w:rPr>
          <w:rFonts w:hAnsi="宋体"/>
          <w:color w:val="auto"/>
          <w:highlight w:val="none"/>
        </w:rPr>
        <w:t>2</w:t>
      </w:r>
      <w:r>
        <w:rPr>
          <w:rFonts w:hint="eastAsia" w:hAnsi="宋体"/>
          <w:color w:val="auto"/>
          <w:highlight w:val="none"/>
        </w:rPr>
        <w:t>、</w:t>
      </w:r>
      <w:r>
        <w:rPr>
          <w:rFonts w:hint="eastAsia" w:hAnsi="宋体"/>
          <w:color w:val="auto"/>
          <w:highlight w:val="none"/>
        </w:rPr>
        <w:t>履约时间：</w:t>
      </w:r>
      <w:r>
        <w:rPr>
          <w:rFonts w:hint="eastAsia" w:hAnsi="宋体" w:cs="宋体"/>
          <w:color w:val="auto"/>
          <w:highlight w:val="none"/>
          <w:u w:val="single"/>
          <w:lang w:val="en-US" w:eastAsia="zh-CN"/>
        </w:rPr>
        <w:t>5天</w:t>
      </w:r>
    </w:p>
    <w:p w14:paraId="693569A7">
      <w:pPr>
        <w:pStyle w:val="12"/>
        <w:adjustRightInd w:val="0"/>
        <w:snapToGrid w:val="0"/>
        <w:spacing w:line="360" w:lineRule="auto"/>
        <w:ind w:firstLine="420" w:firstLineChars="200"/>
        <w:jc w:val="left"/>
        <w:rPr>
          <w:rFonts w:hAnsi="宋体" w:cs="Times New Roman"/>
          <w:color w:val="auto"/>
          <w:highlight w:val="none"/>
        </w:rPr>
      </w:pPr>
      <w:r>
        <w:rPr>
          <w:rFonts w:hAnsi="宋体"/>
          <w:color w:val="auto"/>
          <w:highlight w:val="none"/>
        </w:rPr>
        <w:t>3</w:t>
      </w:r>
      <w:r>
        <w:rPr>
          <w:rFonts w:hint="eastAsia" w:hAnsi="宋体"/>
          <w:color w:val="auto"/>
          <w:highlight w:val="none"/>
        </w:rPr>
        <w:t>、履约地点：</w:t>
      </w:r>
      <w:r>
        <w:rPr>
          <w:rFonts w:hint="eastAsia" w:hAnsi="宋体" w:cs="宋体"/>
          <w:color w:val="auto"/>
          <w:highlight w:val="none"/>
          <w:u w:val="single"/>
        </w:rPr>
        <w:t>采购人指定地点</w:t>
      </w:r>
      <w:r>
        <w:rPr>
          <w:rFonts w:hint="eastAsia" w:hAnsi="宋体"/>
          <w:color w:val="auto"/>
          <w:highlight w:val="none"/>
          <w:u w:val="single"/>
        </w:rPr>
        <w:t>。</w:t>
      </w:r>
    </w:p>
    <w:p w14:paraId="06C3C3FF">
      <w:pPr>
        <w:pStyle w:val="12"/>
        <w:adjustRightInd w:val="0"/>
        <w:snapToGrid w:val="0"/>
        <w:spacing w:line="360" w:lineRule="auto"/>
        <w:ind w:firstLine="420" w:firstLineChars="200"/>
        <w:jc w:val="left"/>
        <w:rPr>
          <w:rFonts w:hint="eastAsia" w:hAnsi="宋体"/>
          <w:color w:val="auto"/>
          <w:highlight w:val="none"/>
          <w:u w:val="single"/>
        </w:rPr>
      </w:pPr>
      <w:r>
        <w:rPr>
          <w:rFonts w:hAnsi="宋体"/>
          <w:color w:val="auto"/>
          <w:highlight w:val="none"/>
        </w:rPr>
        <w:t>4</w:t>
      </w:r>
      <w:r>
        <w:rPr>
          <w:rFonts w:hint="eastAsia" w:hAnsi="宋体"/>
          <w:color w:val="auto"/>
          <w:highlight w:val="none"/>
        </w:rPr>
        <w:t>、预算金额：</w:t>
      </w:r>
      <w:r>
        <w:rPr>
          <w:rFonts w:hint="eastAsia" w:hAnsi="宋体"/>
          <w:color w:val="auto"/>
          <w:highlight w:val="none"/>
          <w:u w:val="single"/>
          <w:lang w:val="en-US" w:eastAsia="zh-CN"/>
        </w:rPr>
        <w:t>198</w:t>
      </w:r>
      <w:r>
        <w:rPr>
          <w:rFonts w:hint="eastAsia" w:hAnsi="宋体"/>
          <w:color w:val="auto"/>
          <w:highlight w:val="none"/>
          <w:u w:val="single"/>
        </w:rPr>
        <w:t>万元。</w:t>
      </w:r>
    </w:p>
    <w:p w14:paraId="07FF60A0">
      <w:pPr>
        <w:pStyle w:val="12"/>
        <w:adjustRightInd w:val="0"/>
        <w:snapToGrid w:val="0"/>
        <w:spacing w:line="360" w:lineRule="auto"/>
        <w:ind w:firstLine="420" w:firstLineChars="200"/>
        <w:jc w:val="left"/>
        <w:rPr>
          <w:rFonts w:hint="default" w:hAnsi="宋体"/>
          <w:color w:val="auto"/>
          <w:highlight w:val="none"/>
          <w:u w:val="single"/>
          <w:lang w:val="en-US" w:eastAsia="zh-CN"/>
        </w:rPr>
      </w:pPr>
      <w:r>
        <w:rPr>
          <w:rFonts w:hint="eastAsia" w:hAnsi="宋体"/>
          <w:color w:val="auto"/>
          <w:highlight w:val="none"/>
          <w:lang w:val="en-US" w:eastAsia="zh-CN"/>
        </w:rPr>
        <w:t>5、采购品目：</w:t>
      </w:r>
      <w:r>
        <w:rPr>
          <w:rFonts w:hint="eastAsia" w:hAnsi="宋体"/>
          <w:color w:val="auto"/>
          <w:highlight w:val="none"/>
          <w:u w:val="single"/>
          <w:lang w:val="en-US" w:eastAsia="zh-CN"/>
        </w:rPr>
        <w:t>C02060000-培训服务</w:t>
      </w:r>
    </w:p>
    <w:p w14:paraId="4A602C32">
      <w:pPr>
        <w:pStyle w:val="12"/>
        <w:adjustRightInd w:val="0"/>
        <w:snapToGrid w:val="0"/>
        <w:spacing w:line="360" w:lineRule="auto"/>
        <w:ind w:firstLine="420" w:firstLineChars="200"/>
        <w:jc w:val="left"/>
        <w:rPr>
          <w:rFonts w:hint="eastAsia" w:hAnsi="宋体"/>
          <w:color w:val="auto"/>
          <w:highlight w:val="none"/>
          <w:u w:val="single"/>
        </w:rPr>
      </w:pPr>
      <w:r>
        <w:rPr>
          <w:rFonts w:hint="eastAsia" w:hAnsi="宋体"/>
          <w:color w:val="auto"/>
          <w:highlight w:val="none"/>
          <w:lang w:val="en-US" w:eastAsia="zh-CN"/>
        </w:rPr>
        <w:t>6、标的行业划型：</w:t>
      </w:r>
      <w:r>
        <w:rPr>
          <w:rFonts w:hint="eastAsia" w:hAnsi="宋体"/>
          <w:color w:val="auto"/>
          <w:highlight w:val="none"/>
          <w:u w:val="single"/>
          <w:lang w:val="en-US" w:eastAsia="zh-CN"/>
        </w:rPr>
        <w:t>其他未列明行业</w:t>
      </w:r>
    </w:p>
    <w:p w14:paraId="608D060F">
      <w:pPr>
        <w:numPr>
          <w:ilvl w:val="0"/>
          <w:numId w:val="1"/>
        </w:numPr>
        <w:adjustRightInd w:val="0"/>
        <w:snapToGrid w:val="0"/>
        <w:spacing w:line="360" w:lineRule="auto"/>
        <w:ind w:firstLine="211" w:firstLineChars="100"/>
        <w:outlineLvl w:val="1"/>
        <w:rPr>
          <w:rFonts w:hAnsi="宋体" w:cs="宋体"/>
          <w:b/>
          <w:bCs/>
          <w:color w:val="auto"/>
          <w:highlight w:val="none"/>
        </w:rPr>
      </w:pPr>
      <w:r>
        <w:rPr>
          <w:rFonts w:hint="eastAsia" w:hAnsi="宋体" w:cs="宋体"/>
          <w:b/>
          <w:bCs/>
          <w:color w:val="auto"/>
          <w:highlight w:val="none"/>
        </w:rPr>
        <w:t>供应商资格要求</w:t>
      </w:r>
    </w:p>
    <w:p w14:paraId="028E3B8E">
      <w:pPr>
        <w:pStyle w:val="12"/>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（一）基本资格条件：供应商应当符合《政府采购法》第二十二条第一款的规定，并提供以下资格证明文件：</w:t>
      </w:r>
    </w:p>
    <w:p w14:paraId="236924DC">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1、供应商法人营业执照副本复印件；</w:t>
      </w:r>
    </w:p>
    <w:p w14:paraId="7860D616">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2、法定代表人授权委托书原件及双方身份证复印件；</w:t>
      </w:r>
    </w:p>
    <w:p w14:paraId="6CCF3355">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3、供应商税务登记证(国税或地税)复印件；</w:t>
      </w:r>
    </w:p>
    <w:p w14:paraId="60113A84">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4、供应商社会保险登记证或缴纳社会保险的凭证复印件，事业单位的社保适应相关改制规定。</w:t>
      </w:r>
    </w:p>
    <w:p w14:paraId="139EEEE2">
      <w:pPr>
        <w:pStyle w:val="9"/>
        <w:ind w:firstLine="420" w:firstLineChars="200"/>
        <w:rPr>
          <w:rFonts w:hAnsi="宋体" w:cs="宋体"/>
          <w:color w:val="auto"/>
          <w:highlight w:val="none"/>
        </w:rPr>
      </w:pPr>
      <w:r>
        <w:rPr>
          <w:rFonts w:hint="eastAsia" w:ascii="宋体" w:hAnsi="宋体" w:cs="宋体"/>
          <w:color w:val="auto"/>
          <w:highlight w:val="none"/>
        </w:rPr>
        <w:t>5、</w:t>
      </w:r>
      <w:r>
        <w:rPr>
          <w:rFonts w:hint="eastAsia" w:hAnsi="宋体" w:cs="宋体"/>
          <w:color w:val="auto"/>
          <w:highlight w:val="none"/>
        </w:rPr>
        <w:t>参加政府采购活动前三年内，在经营活动中没有重大违法记录。</w:t>
      </w:r>
    </w:p>
    <w:p w14:paraId="48415588">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注：供应商提供“三证合一”营业执照，视同为持有营业执照、组织机构代码证和税务登记证；如办理了“五证合一”， 视同为持有营业执照、组织机构代码证和税务登记证，社保登记证，符合基本资格条件的相关条款。</w:t>
      </w:r>
    </w:p>
    <w:p w14:paraId="4D15D827">
      <w:pPr>
        <w:pStyle w:val="12"/>
        <w:numPr>
          <w:ilvl w:val="0"/>
          <w:numId w:val="2"/>
        </w:numPr>
        <w:adjustRightInd w:val="0"/>
        <w:snapToGrid w:val="0"/>
        <w:spacing w:line="360" w:lineRule="auto"/>
        <w:ind w:firstLine="210" w:firstLineChars="100"/>
        <w:jc w:val="left"/>
        <w:rPr>
          <w:rFonts w:hint="default" w:hAnsi="宋体" w:cs="宋体"/>
          <w:color w:val="auto"/>
          <w:highlight w:val="none"/>
          <w:lang w:val="en-US" w:eastAsia="zh-CN"/>
        </w:rPr>
      </w:pPr>
      <w:r>
        <w:rPr>
          <w:rFonts w:hint="eastAsia" w:hAnsi="宋体" w:cs="宋体"/>
          <w:color w:val="auto"/>
          <w:highlight w:val="none"/>
        </w:rPr>
        <w:t>特定资格条件：</w:t>
      </w:r>
      <w:r>
        <w:rPr>
          <w:rFonts w:hint="eastAsia" w:hAnsi="宋体" w:cs="宋体"/>
          <w:color w:val="auto"/>
          <w:highlight w:val="none"/>
          <w:lang w:val="en-US" w:eastAsia="zh-CN"/>
        </w:rPr>
        <w:t>无</w:t>
      </w:r>
    </w:p>
    <w:p w14:paraId="72A8AEF8">
      <w:pPr>
        <w:pStyle w:val="9"/>
        <w:ind w:firstLine="210" w:firstLineChars="100"/>
        <w:rPr>
          <w:rFonts w:hint="eastAsia" w:hAnsi="宋体" w:cs="宋体"/>
          <w:color w:val="auto"/>
          <w:highlight w:val="none"/>
        </w:rPr>
      </w:pPr>
      <w:r>
        <w:rPr>
          <w:rFonts w:hint="eastAsia" w:hAnsi="宋体" w:cs="宋体"/>
          <w:color w:val="auto"/>
          <w:highlight w:val="none"/>
        </w:rPr>
        <w:t>（三）联合体响应（投标）</w:t>
      </w:r>
      <w:r>
        <w:rPr>
          <w:rFonts w:hint="eastAsia" w:hAnsi="宋体" w:cs="宋体"/>
          <w:color w:val="auto"/>
          <w:highlight w:val="none"/>
          <w:lang w:eastAsia="zh-CN"/>
        </w:rPr>
        <w:t>：</w:t>
      </w:r>
      <w:r>
        <w:rPr>
          <w:rFonts w:hint="eastAsia" w:hAnsi="宋体" w:cs="宋体"/>
          <w:color w:val="auto"/>
          <w:highlight w:val="none"/>
        </w:rPr>
        <w:t>本次采购 不接受 联合体响应（投标）</w:t>
      </w:r>
    </w:p>
    <w:p w14:paraId="2490A943">
      <w:pPr>
        <w:pStyle w:val="12"/>
        <w:numPr>
          <w:ilvl w:val="0"/>
          <w:numId w:val="2"/>
        </w:numPr>
        <w:adjustRightInd w:val="0"/>
        <w:snapToGrid w:val="0"/>
        <w:spacing w:line="360" w:lineRule="auto"/>
        <w:ind w:firstLine="210" w:firstLineChars="100"/>
        <w:jc w:val="left"/>
        <w:rPr>
          <w:rFonts w:hint="eastAsia" w:hAnsi="宋体" w:cs="宋体"/>
          <w:color w:val="auto"/>
          <w:highlight w:val="none"/>
          <w:lang w:val="en-US" w:eastAsia="zh-CN"/>
        </w:rPr>
      </w:pPr>
      <w:r>
        <w:rPr>
          <w:rFonts w:hint="eastAsia" w:hAnsi="宋体" w:cs="宋体"/>
          <w:color w:val="auto"/>
          <w:highlight w:val="none"/>
          <w:lang w:val="en-US" w:eastAsia="zh-CN"/>
        </w:rPr>
        <w:t>禁止参加情形：</w:t>
      </w:r>
      <w:r>
        <w:rPr>
          <w:rFonts w:hint="eastAsia" w:hAnsi="宋体" w:cs="宋体"/>
          <w:color w:val="auto"/>
          <w:highlight w:val="none"/>
          <w:lang w:val="en-US" w:eastAsia="zh-CN"/>
        </w:rPr>
        <w:tab/>
      </w:r>
    </w:p>
    <w:p w14:paraId="379F852D">
      <w:pPr>
        <w:pStyle w:val="9"/>
        <w:ind w:firstLine="630" w:firstLineChars="300"/>
        <w:rPr>
          <w:rFonts w:hint="eastAsia" w:hAnsi="宋体" w:cs="宋体"/>
          <w:color w:val="auto"/>
          <w:highlight w:val="none"/>
          <w:lang w:val="en-US" w:eastAsia="zh-CN"/>
        </w:rPr>
      </w:pPr>
      <w:r>
        <w:rPr>
          <w:rFonts w:hint="eastAsia" w:hAnsi="宋体" w:cs="宋体"/>
          <w:color w:val="auto"/>
          <w:highlight w:val="none"/>
          <w:lang w:val="en-US" w:eastAsia="zh-CN"/>
        </w:rPr>
        <w:t>1、单位负责人为同一人或者存在直接控股、管理关系的不同供应商，不得参加同一合同项下的政府采购活动。</w:t>
      </w:r>
    </w:p>
    <w:p w14:paraId="5EA85718">
      <w:pPr>
        <w:pStyle w:val="9"/>
        <w:ind w:firstLine="630" w:firstLineChars="300"/>
        <w:rPr>
          <w:rFonts w:hint="eastAsia" w:hAnsi="宋体" w:cs="宋体"/>
          <w:color w:val="auto"/>
          <w:highlight w:val="none"/>
          <w:lang w:val="en-US" w:eastAsia="zh-CN"/>
        </w:rPr>
      </w:pPr>
      <w:r>
        <w:rPr>
          <w:rFonts w:hint="eastAsia" w:hAnsi="宋体" w:cs="宋体"/>
          <w:color w:val="auto"/>
          <w:highlight w:val="none"/>
          <w:lang w:val="en-US" w:eastAsia="zh-CN"/>
        </w:rPr>
        <w:t>2、为本采购项目提供整体设计、规范编制或者项目管理、监理、检测等服务的，不得再参加此项目的其他采购活动。</w:t>
      </w:r>
    </w:p>
    <w:p w14:paraId="511F1062">
      <w:pPr>
        <w:pStyle w:val="9"/>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3、列入失信被执行人、重大税收违法失信主体名单、政府采购严重违法失信行为记录名单的，拒绝其参与政府采购活动。</w:t>
      </w:r>
    </w:p>
    <w:p w14:paraId="61772667">
      <w:pPr>
        <w:pStyle w:val="9"/>
        <w:ind w:firstLine="420" w:firstLineChars="200"/>
        <w:rPr>
          <w:rFonts w:hint="eastAsia" w:hAnsi="宋体" w:cs="宋体"/>
          <w:color w:val="auto"/>
          <w:highlight w:val="none"/>
          <w:lang w:val="en-US" w:eastAsia="zh-CN"/>
        </w:rPr>
      </w:pPr>
      <w:r>
        <w:rPr>
          <w:rFonts w:hint="eastAsia" w:hAnsi="宋体" w:cs="宋体"/>
          <w:color w:val="auto"/>
          <w:highlight w:val="none"/>
          <w:lang w:val="en-US" w:eastAsia="zh-CN"/>
        </w:rPr>
        <w:t>4、法律、行政法规规定的其他条件。</w:t>
      </w:r>
    </w:p>
    <w:p w14:paraId="2C487336">
      <w:pPr>
        <w:pStyle w:val="12"/>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五</w:t>
      </w:r>
      <w:r>
        <w:rPr>
          <w:rFonts w:hint="eastAsia" w:hAnsi="宋体" w:cs="宋体"/>
          <w:color w:val="auto"/>
          <w:highlight w:val="none"/>
        </w:rPr>
        <w:t>）资格审查时，通过信用中国网站(www.creditchina.gov.cn)、中国政府采购网(www.ccgp.gov.cn)渠道查询供应商信用记录，对列入失信被执行人、重大税收违法案件当事人名单、政府采购严重违法失信行为记录名单，其响应无效，无效响应供应商的信用记录查询结果截图将作为项目材料的组成部分。</w:t>
      </w:r>
    </w:p>
    <w:p w14:paraId="60DC1DDB">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信用信息查询的截止时点：至本项目响应截止时间止。</w:t>
      </w:r>
    </w:p>
    <w:p w14:paraId="3DF3D8A0">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信用信息查询记录的具体方式：采购人或采购代理机构在开标后在规定的查询渠道进行查询。</w:t>
      </w:r>
    </w:p>
    <w:p w14:paraId="00B7E5F9">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信用信息查询记录证据留存的具体方式：查询记录的网上打印件。</w:t>
      </w:r>
    </w:p>
    <w:p w14:paraId="5648A4A6">
      <w:pPr>
        <w:pStyle w:val="12"/>
        <w:adjustRightInd w:val="0"/>
        <w:snapToGrid w:val="0"/>
        <w:spacing w:line="360" w:lineRule="auto"/>
        <w:ind w:firstLine="420" w:firstLineChars="200"/>
        <w:jc w:val="left"/>
        <w:rPr>
          <w:rFonts w:hAnsi="宋体" w:cs="宋体"/>
          <w:color w:val="auto"/>
          <w:highlight w:val="none"/>
        </w:rPr>
      </w:pPr>
      <w:r>
        <w:rPr>
          <w:rFonts w:hint="eastAsia" w:hAnsi="宋体" w:cs="宋体"/>
          <w:color w:val="auto"/>
          <w:highlight w:val="none"/>
        </w:rPr>
        <w:t>本项目拒绝有不良信用记录的供应商参与磋商。</w:t>
      </w:r>
    </w:p>
    <w:p w14:paraId="1BCF6C4B">
      <w:pPr>
        <w:pStyle w:val="12"/>
        <w:adjustRightInd w:val="0"/>
        <w:snapToGrid w:val="0"/>
        <w:spacing w:line="360" w:lineRule="auto"/>
        <w:ind w:firstLine="210" w:firstLineChars="100"/>
        <w:jc w:val="left"/>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六</w:t>
      </w:r>
      <w:r>
        <w:rPr>
          <w:rFonts w:hint="eastAsia" w:hAnsi="宋体" w:cs="宋体"/>
          <w:color w:val="auto"/>
          <w:highlight w:val="none"/>
        </w:rPr>
        <w:t>）供应商应报名领取本项目磋商文件。</w:t>
      </w:r>
    </w:p>
    <w:p w14:paraId="17301666">
      <w:pPr>
        <w:numPr>
          <w:ilvl w:val="0"/>
          <w:numId w:val="1"/>
        </w:numPr>
        <w:adjustRightInd w:val="0"/>
        <w:snapToGrid w:val="0"/>
        <w:spacing w:line="360" w:lineRule="auto"/>
        <w:ind w:firstLine="211" w:firstLineChars="100"/>
        <w:outlineLvl w:val="1"/>
        <w:rPr>
          <w:rFonts w:ascii="宋体" w:hAnsi="宋体" w:cs="宋体"/>
          <w:b/>
          <w:bCs/>
          <w:color w:val="auto"/>
          <w:highlight w:val="none"/>
        </w:rPr>
      </w:pPr>
      <w:r>
        <w:rPr>
          <w:rFonts w:hint="eastAsia" w:ascii="宋体" w:hAnsi="宋体" w:cs="宋体"/>
          <w:b/>
          <w:bCs/>
          <w:color w:val="auto"/>
          <w:highlight w:val="none"/>
        </w:rPr>
        <w:t>获取磋商文件的时间、地点、方式及售价</w:t>
      </w:r>
    </w:p>
    <w:p w14:paraId="71AA234F">
      <w:pPr>
        <w:pStyle w:val="12"/>
        <w:adjustRightInd w:val="0"/>
        <w:snapToGrid w:val="0"/>
        <w:spacing w:line="360" w:lineRule="auto"/>
        <w:ind w:firstLine="420" w:firstLineChars="200"/>
        <w:jc w:val="left"/>
        <w:rPr>
          <w:rFonts w:hAnsi="宋体" w:cs="宋体"/>
          <w:bCs/>
          <w:color w:val="auto"/>
          <w:highlight w:val="none"/>
        </w:rPr>
      </w:pPr>
      <w:r>
        <w:rPr>
          <w:rFonts w:hint="eastAsia" w:hAnsi="宋体" w:cs="宋体"/>
          <w:bCs/>
          <w:color w:val="auto"/>
          <w:highlight w:val="none"/>
        </w:rPr>
        <w:t>凡有意参加磋商采购活动的供应商，请于</w:t>
      </w:r>
      <w:r>
        <w:rPr>
          <w:rFonts w:hint="eastAsia" w:hAnsi="宋体" w:cs="宋体"/>
          <w:color w:val="auto"/>
          <w:highlight w:val="none"/>
          <w:u w:val="single"/>
          <w:lang w:eastAsia="zh-CN"/>
        </w:rPr>
        <w:t>2026</w:t>
      </w:r>
      <w:r>
        <w:rPr>
          <w:rFonts w:hint="eastAsia" w:ascii="宋体" w:hAnsi="宋体" w:cs="宋体"/>
          <w:color w:val="auto"/>
          <w:highlight w:val="none"/>
          <w:u w:val="none"/>
        </w:rPr>
        <w:t>年</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 xml:space="preserve">7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3</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hAnsi="宋体" w:cs="宋体"/>
          <w:bCs/>
          <w:color w:val="auto"/>
          <w:highlight w:val="none"/>
        </w:rPr>
        <w:t>起至</w:t>
      </w:r>
      <w:r>
        <w:rPr>
          <w:rFonts w:hint="eastAsia" w:hAnsi="宋体" w:cs="宋体"/>
          <w:color w:val="auto"/>
          <w:highlight w:val="none"/>
          <w:u w:val="single"/>
          <w:lang w:eastAsia="zh-CN"/>
        </w:rPr>
        <w:t>2026</w:t>
      </w:r>
      <w:r>
        <w:rPr>
          <w:rFonts w:hint="eastAsia" w:ascii="宋体" w:hAnsi="宋体" w:cs="宋体"/>
          <w:color w:val="auto"/>
          <w:highlight w:val="none"/>
          <w:u w:val="none"/>
        </w:rPr>
        <w:t>年</w:t>
      </w:r>
      <w:r>
        <w:rPr>
          <w:rFonts w:hint="eastAsia" w:hAnsi="宋体" w:cs="宋体"/>
          <w:color w:val="auto"/>
          <w:highlight w:val="none"/>
          <w:u w:val="single"/>
          <w:lang w:val="en-US" w:eastAsia="zh-CN"/>
        </w:rPr>
        <w:t xml:space="preserve">  7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10</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hAnsi="宋体" w:cs="宋体"/>
          <w:bCs/>
          <w:color w:val="auto"/>
          <w:highlight w:val="none"/>
        </w:rPr>
        <w:t>，每日上午9:00时到12:00时，下午</w:t>
      </w:r>
      <w:r>
        <w:rPr>
          <w:rFonts w:hint="eastAsia" w:hAnsi="宋体" w:cs="宋体"/>
          <w:bCs/>
          <w:color w:val="auto"/>
          <w:highlight w:val="none"/>
          <w:lang w:val="en-US" w:eastAsia="zh-CN"/>
        </w:rPr>
        <w:t>3</w:t>
      </w:r>
      <w:r>
        <w:rPr>
          <w:rFonts w:hint="eastAsia" w:hAnsi="宋体" w:cs="宋体"/>
          <w:bCs/>
          <w:color w:val="auto"/>
          <w:highlight w:val="none"/>
        </w:rPr>
        <w:t>:00时到5:00时(北京时间，节假日除外)，持供应商营业执照副本复印件、法定代表人身份证明（委托代理人报名领取磋商文件：授权委托书附法定代表人身份证明及授权委托人身份证明复印件)、本人身份证原件到长沙市芙蓉区五一路249号湘域中央二栋1505室报名领取磋商文件。所递交资料均须加盖供应商公章。</w:t>
      </w:r>
    </w:p>
    <w:p w14:paraId="65E11D3D">
      <w:pPr>
        <w:numPr>
          <w:ilvl w:val="0"/>
          <w:numId w:val="1"/>
        </w:numPr>
        <w:adjustRightInd w:val="0"/>
        <w:snapToGrid w:val="0"/>
        <w:spacing w:line="360" w:lineRule="auto"/>
        <w:ind w:firstLine="211" w:firstLineChars="100"/>
        <w:outlineLvl w:val="1"/>
        <w:rPr>
          <w:rFonts w:ascii="宋体" w:hAnsi="宋体" w:cs="宋体"/>
          <w:b/>
          <w:bCs/>
          <w:color w:val="auto"/>
          <w:highlight w:val="none"/>
        </w:rPr>
      </w:pPr>
      <w:r>
        <w:rPr>
          <w:rFonts w:hint="eastAsia" w:ascii="宋体" w:hAnsi="宋体" w:cs="宋体"/>
          <w:b/>
          <w:bCs/>
          <w:color w:val="auto"/>
          <w:highlight w:val="none"/>
        </w:rPr>
        <w:t>响应文件递交的截止时间、开启时间及地点</w:t>
      </w:r>
    </w:p>
    <w:p w14:paraId="762CE29B">
      <w:pPr>
        <w:pStyle w:val="12"/>
        <w:adjustRightInd w:val="0"/>
        <w:snapToGrid w:val="0"/>
        <w:spacing w:line="360" w:lineRule="auto"/>
        <w:ind w:firstLine="210" w:firstLineChars="100"/>
        <w:jc w:val="left"/>
        <w:rPr>
          <w:rFonts w:hAnsi="宋体" w:cs="宋体"/>
          <w:bCs/>
          <w:color w:val="auto"/>
          <w:highlight w:val="none"/>
        </w:rPr>
      </w:pPr>
      <w:r>
        <w:rPr>
          <w:rFonts w:hint="eastAsia" w:hAnsi="宋体" w:cs="宋体"/>
          <w:bCs/>
          <w:color w:val="auto"/>
          <w:highlight w:val="none"/>
        </w:rPr>
        <w:t>（一）提交首次响应文件的截止时间为</w:t>
      </w:r>
      <w:r>
        <w:rPr>
          <w:rFonts w:hint="eastAsia" w:hAnsi="宋体" w:cs="宋体"/>
          <w:color w:val="auto"/>
          <w:highlight w:val="none"/>
          <w:u w:val="single"/>
          <w:lang w:eastAsia="zh-CN"/>
        </w:rPr>
        <w:t>2026</w:t>
      </w:r>
      <w:r>
        <w:rPr>
          <w:rFonts w:hint="eastAsia" w:ascii="宋体" w:hAnsi="宋体" w:cs="宋体"/>
          <w:color w:val="auto"/>
          <w:highlight w:val="none"/>
          <w:u w:val="none"/>
        </w:rPr>
        <w:t>年</w:t>
      </w:r>
      <w:r>
        <w:rPr>
          <w:rFonts w:hint="eastAsia" w:hAnsi="宋体" w:cs="宋体"/>
          <w:color w:val="auto"/>
          <w:highlight w:val="none"/>
          <w:u w:val="single"/>
          <w:lang w:val="en-US" w:eastAsia="zh-CN"/>
        </w:rPr>
        <w:t xml:space="preserve">  7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14</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szCs w:val="21"/>
          <w:highlight w:val="none"/>
          <w:u w:val="single"/>
          <w:lang w:val="en-US" w:eastAsia="zh-CN"/>
        </w:rPr>
        <w:t xml:space="preserve"> </w:t>
      </w:r>
      <w:r>
        <w:rPr>
          <w:rFonts w:hint="eastAsia" w:hAnsi="宋体" w:cs="宋体"/>
          <w:color w:val="auto"/>
          <w:szCs w:val="21"/>
          <w:highlight w:val="none"/>
          <w:u w:val="single"/>
          <w:lang w:val="en-US" w:eastAsia="zh-CN"/>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hAnsi="宋体" w:cs="宋体"/>
          <w:color w:val="auto"/>
          <w:szCs w:val="21"/>
          <w:highlight w:val="none"/>
          <w:u w:val="single"/>
          <w:lang w:val="en-US" w:eastAsia="zh-CN"/>
        </w:rPr>
        <w:t>00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w:t>
      </w:r>
      <w:r>
        <w:rPr>
          <w:rFonts w:hint="eastAsia" w:hAnsi="宋体" w:cs="宋体"/>
          <w:bCs/>
          <w:color w:val="auto"/>
          <w:highlight w:val="none"/>
        </w:rPr>
        <w:t>(北京时间)，地点为</w:t>
      </w:r>
      <w:r>
        <w:rPr>
          <w:rFonts w:hint="eastAsia" w:hAnsi="宋体" w:cs="宋体"/>
          <w:bCs/>
          <w:color w:val="auto"/>
          <w:highlight w:val="none"/>
          <w:u w:val="single"/>
        </w:rPr>
        <w:t>长沙市芙蓉区五一路249号湘域中央二栋150</w:t>
      </w:r>
      <w:r>
        <w:rPr>
          <w:rFonts w:hint="eastAsia" w:hAnsi="宋体" w:cs="宋体"/>
          <w:bCs/>
          <w:color w:val="auto"/>
          <w:highlight w:val="none"/>
          <w:u w:val="single"/>
          <w:lang w:val="en-US" w:eastAsia="zh-CN"/>
        </w:rPr>
        <w:t>8</w:t>
      </w:r>
      <w:r>
        <w:rPr>
          <w:rFonts w:hint="eastAsia" w:hAnsi="宋体" w:cs="宋体"/>
          <w:bCs/>
          <w:color w:val="auto"/>
          <w:highlight w:val="none"/>
          <w:u w:val="single"/>
        </w:rPr>
        <w:t>室（湖南军融创项目管理有限公司开标室）</w:t>
      </w:r>
      <w:r>
        <w:rPr>
          <w:rFonts w:hint="eastAsia" w:hAnsi="宋体" w:cs="宋体"/>
          <w:bCs/>
          <w:color w:val="auto"/>
          <w:highlight w:val="none"/>
        </w:rPr>
        <w:t>。</w:t>
      </w:r>
    </w:p>
    <w:p w14:paraId="3F2B06B9">
      <w:pPr>
        <w:adjustRightInd w:val="0"/>
        <w:snapToGrid w:val="0"/>
        <w:spacing w:line="360" w:lineRule="auto"/>
        <w:ind w:firstLine="210" w:firstLineChars="100"/>
        <w:rPr>
          <w:rFonts w:ascii="宋体" w:hAnsi="宋体" w:cs="宋体"/>
          <w:bCs/>
          <w:color w:val="auto"/>
          <w:szCs w:val="21"/>
          <w:highlight w:val="none"/>
        </w:rPr>
      </w:pPr>
      <w:r>
        <w:rPr>
          <w:rFonts w:hint="eastAsia" w:ascii="宋体" w:hAnsi="宋体" w:cs="宋体"/>
          <w:bCs/>
          <w:color w:val="auto"/>
          <w:szCs w:val="21"/>
          <w:highlight w:val="none"/>
        </w:rPr>
        <w:t>（二）逾期送达或者不按磋商文件要求密封或者不按磋商文件的要求提供保证金的响应文件，采购人或采购代理机构将拒绝接收。</w:t>
      </w:r>
    </w:p>
    <w:p w14:paraId="25D5A49B">
      <w:pPr>
        <w:numPr>
          <w:ilvl w:val="0"/>
          <w:numId w:val="1"/>
        </w:numPr>
        <w:adjustRightInd w:val="0"/>
        <w:snapToGrid w:val="0"/>
        <w:spacing w:line="360" w:lineRule="auto"/>
        <w:ind w:firstLine="211" w:firstLineChars="100"/>
        <w:outlineLvl w:val="1"/>
        <w:rPr>
          <w:rFonts w:ascii="宋体" w:hAnsi="宋体" w:cs="宋体"/>
          <w:b/>
          <w:color w:val="auto"/>
          <w:szCs w:val="21"/>
          <w:highlight w:val="none"/>
        </w:rPr>
      </w:pPr>
      <w:r>
        <w:rPr>
          <w:rFonts w:hint="eastAsia" w:ascii="宋体" w:hAnsi="宋体" w:cs="宋体"/>
          <w:b/>
          <w:color w:val="auto"/>
          <w:szCs w:val="21"/>
          <w:highlight w:val="none"/>
        </w:rPr>
        <w:t xml:space="preserve">采购人及采购代理机构联系方式 </w:t>
      </w:r>
    </w:p>
    <w:p w14:paraId="0EB65B9C">
      <w:pPr>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采 购 人：</w:t>
      </w:r>
      <w:r>
        <w:rPr>
          <w:rFonts w:hint="eastAsia" w:ascii="宋体" w:hAnsi="宋体" w:cs="宋体"/>
          <w:color w:val="auto"/>
          <w:highlight w:val="none"/>
          <w:u w:val="single"/>
          <w:lang w:eastAsia="zh-CN"/>
        </w:rPr>
        <w:t>中共湖南省委组织部</w:t>
      </w:r>
    </w:p>
    <w:p w14:paraId="066DE9AC">
      <w:pPr>
        <w:adjustRightInd w:val="0"/>
        <w:snapToGrid w:val="0"/>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w:t>
      </w:r>
      <w:r>
        <w:rPr>
          <w:rFonts w:hint="eastAsia" w:ascii="宋体" w:hAnsi="宋体" w:cs="宋体"/>
          <w:color w:val="auto"/>
          <w:highlight w:val="none"/>
          <w:lang w:val="en-US" w:eastAsia="zh-CN"/>
        </w:rPr>
        <w:t xml:space="preserve"> </w:t>
      </w:r>
      <w:r>
        <w:rPr>
          <w:rFonts w:hint="eastAsia" w:ascii="宋体" w:hAnsi="宋体" w:cs="宋体"/>
          <w:color w:val="auto"/>
          <w:highlight w:val="none"/>
        </w:rPr>
        <w:t>系</w:t>
      </w:r>
      <w:r>
        <w:rPr>
          <w:rFonts w:hint="eastAsia" w:ascii="宋体" w:hAnsi="宋体" w:cs="宋体"/>
          <w:color w:val="auto"/>
          <w:highlight w:val="none"/>
          <w:lang w:val="en-US" w:eastAsia="zh-CN"/>
        </w:rPr>
        <w:t xml:space="preserve"> </w:t>
      </w:r>
      <w:r>
        <w:rPr>
          <w:rFonts w:hint="eastAsia" w:ascii="宋体" w:hAnsi="宋体" w:cs="宋体"/>
          <w:color w:val="auto"/>
          <w:highlight w:val="none"/>
        </w:rPr>
        <w:t>人：</w:t>
      </w:r>
      <w:r>
        <w:rPr>
          <w:rFonts w:hint="eastAsia" w:ascii="宋体" w:hAnsi="宋体" w:cs="宋体"/>
          <w:color w:val="auto"/>
          <w:highlight w:val="none"/>
          <w:u w:val="single"/>
          <w:lang w:val="en-US" w:eastAsia="zh-CN"/>
        </w:rPr>
        <w:t xml:space="preserve">章飞钹 </w:t>
      </w:r>
      <w:r>
        <w:rPr>
          <w:rFonts w:hint="eastAsia" w:ascii="宋体" w:hAnsi="宋体" w:cs="宋体"/>
          <w:color w:val="auto"/>
          <w:highlight w:val="none"/>
          <w:lang w:val="en-US" w:eastAsia="zh-CN"/>
        </w:rPr>
        <w:t xml:space="preserve"> </w:t>
      </w:r>
    </w:p>
    <w:p w14:paraId="69D0A2BF">
      <w:pPr>
        <w:adjustRightInd w:val="0"/>
        <w:snapToGrid w:val="0"/>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 xml:space="preserve">电  </w:t>
      </w:r>
      <w:r>
        <w:rPr>
          <w:rFonts w:hint="eastAsia" w:ascii="宋体" w:hAnsi="宋体" w:cs="宋体"/>
          <w:color w:val="auto"/>
          <w:highlight w:val="none"/>
          <w:lang w:val="en-US" w:eastAsia="zh-CN"/>
        </w:rPr>
        <w:t xml:space="preserve">  </w:t>
      </w:r>
      <w:r>
        <w:rPr>
          <w:rFonts w:hint="eastAsia" w:ascii="宋体" w:hAnsi="宋体" w:cs="宋体"/>
          <w:color w:val="auto"/>
          <w:highlight w:val="none"/>
        </w:rPr>
        <w:t>话：</w:t>
      </w:r>
      <w:r>
        <w:rPr>
          <w:rFonts w:hint="eastAsia" w:ascii="宋体" w:hAnsi="宋体" w:cs="宋体"/>
          <w:color w:val="auto"/>
          <w:highlight w:val="none"/>
          <w:u w:val="single"/>
          <w:lang w:val="en-US" w:eastAsia="zh-CN"/>
        </w:rPr>
        <w:t>0731-81127703</w:t>
      </w:r>
    </w:p>
    <w:p w14:paraId="039D3CF8">
      <w:pPr>
        <w:adjustRightInd w:val="0"/>
        <w:snapToGrid w:val="0"/>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lang w:eastAsia="zh-CN"/>
        </w:rPr>
        <w:t>湖南省长沙市芙蓉区韶山路1号</w:t>
      </w:r>
      <w:r>
        <w:rPr>
          <w:rFonts w:hint="eastAsia" w:ascii="宋体" w:hAnsi="宋体" w:cs="宋体"/>
          <w:color w:val="auto"/>
          <w:highlight w:val="none"/>
          <w:u w:val="single"/>
        </w:rPr>
        <w:t xml:space="preserve"> </w:t>
      </w:r>
    </w:p>
    <w:p w14:paraId="1AA60EE0">
      <w:pPr>
        <w:adjustRightInd w:val="0"/>
        <w:snapToGrid w:val="0"/>
        <w:spacing w:line="360" w:lineRule="auto"/>
        <w:ind w:firstLine="420" w:firstLineChars="200"/>
        <w:rPr>
          <w:rFonts w:ascii="宋体" w:hAnsi="宋体" w:cs="宋体"/>
          <w:bCs/>
          <w:color w:val="auto"/>
          <w:szCs w:val="21"/>
          <w:highlight w:val="none"/>
        </w:rPr>
      </w:pPr>
    </w:p>
    <w:p w14:paraId="7492FB8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代理机构：</w:t>
      </w:r>
      <w:r>
        <w:rPr>
          <w:rFonts w:hint="eastAsia" w:ascii="宋体" w:hAnsi="宋体" w:cs="宋体"/>
          <w:color w:val="auto"/>
          <w:szCs w:val="21"/>
          <w:highlight w:val="none"/>
          <w:u w:val="single"/>
        </w:rPr>
        <w:t>湖南军融创项目管理有限公司</w:t>
      </w:r>
    </w:p>
    <w:p w14:paraId="13042DED">
      <w:pPr>
        <w:adjustRightInd w:val="0"/>
        <w:snapToGrid w:val="0"/>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lang w:eastAsia="zh-CN"/>
        </w:rPr>
        <w:t>蒋玲、刘伟</w:t>
      </w:r>
    </w:p>
    <w:p w14:paraId="7F1DB8A1">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highlight w:val="none"/>
          <w:u w:val="single"/>
        </w:rPr>
        <w:t>0731-84716368</w:t>
      </w:r>
    </w:p>
    <w:p w14:paraId="291C0891">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地    址：</w:t>
      </w:r>
      <w:r>
        <w:rPr>
          <w:rFonts w:hint="eastAsia" w:ascii="宋体" w:hAnsi="宋体" w:cs="宋体"/>
          <w:color w:val="auto"/>
          <w:highlight w:val="none"/>
          <w:u w:val="single"/>
        </w:rPr>
        <w:t>长沙市芙蓉区五一路249号湘域中央二栋1505室</w:t>
      </w:r>
    </w:p>
    <w:p w14:paraId="3EED302D">
      <w:pPr>
        <w:pStyle w:val="12"/>
        <w:adjustRightInd w:val="0"/>
        <w:snapToGrid w:val="0"/>
        <w:spacing w:line="360" w:lineRule="auto"/>
        <w:ind w:left="23" w:leftChars="11" w:firstLine="420" w:firstLineChars="200"/>
        <w:jc w:val="right"/>
        <w:rPr>
          <w:rFonts w:hAnsi="宋体" w:cs="宋体"/>
          <w:color w:val="auto"/>
          <w:highlight w:val="none"/>
        </w:rPr>
      </w:pPr>
      <w:r>
        <w:rPr>
          <w:rFonts w:hint="eastAsia" w:hAnsi="宋体" w:cs="宋体"/>
          <w:color w:val="auto"/>
          <w:highlight w:val="none"/>
          <w:lang w:eastAsia="zh-CN"/>
        </w:rPr>
        <w:t>2026年</w:t>
      </w:r>
      <w:r>
        <w:rPr>
          <w:rFonts w:hint="eastAsia" w:hAnsi="宋体" w:cs="宋体"/>
          <w:color w:val="auto"/>
          <w:highlight w:val="none"/>
          <w:lang w:val="en-US" w:eastAsia="zh-CN"/>
        </w:rPr>
        <w:t>7</w:t>
      </w:r>
      <w:r>
        <w:rPr>
          <w:rFonts w:hint="eastAsia" w:hAnsi="宋体" w:cs="宋体"/>
          <w:color w:val="auto"/>
          <w:highlight w:val="none"/>
        </w:rPr>
        <w:t>月</w:t>
      </w:r>
    </w:p>
    <w:p w14:paraId="1E9380B3">
      <w:pPr>
        <w:rPr>
          <w:rFonts w:ascii="宋体" w:hAnsi="宋体" w:cs="宋体"/>
          <w:b/>
          <w:color w:val="auto"/>
          <w:sz w:val="32"/>
          <w:szCs w:val="32"/>
          <w:highlight w:val="none"/>
        </w:rPr>
      </w:pPr>
    </w:p>
    <w:p w14:paraId="011864D0">
      <w:p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第二章 磋商须知</w:t>
      </w:r>
    </w:p>
    <w:p w14:paraId="48A76B32">
      <w:pPr>
        <w:adjustRightInd w:val="0"/>
        <w:snapToGrid w:val="0"/>
        <w:spacing w:line="360" w:lineRule="auto"/>
        <w:jc w:val="center"/>
        <w:outlineLvl w:val="1"/>
        <w:rPr>
          <w:rFonts w:hAnsi="宋体" w:cs="宋体"/>
          <w:b/>
          <w:color w:val="auto"/>
          <w:highlight w:val="none"/>
        </w:rPr>
      </w:pPr>
      <w:r>
        <w:rPr>
          <w:rFonts w:hint="eastAsia" w:hAnsi="宋体" w:cs="宋体"/>
          <w:b/>
          <w:color w:val="auto"/>
          <w:highlight w:val="none"/>
        </w:rPr>
        <w:t>磋商须知前附表</w:t>
      </w:r>
    </w:p>
    <w:tbl>
      <w:tblPr>
        <w:tblStyle w:val="22"/>
        <w:tblW w:w="98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2115"/>
        <w:gridCol w:w="1815"/>
        <w:gridCol w:w="4147"/>
      </w:tblGrid>
      <w:tr w14:paraId="6D3D27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762" w:type="dxa"/>
            <w:vAlign w:val="center"/>
          </w:tcPr>
          <w:p w14:paraId="334612CE">
            <w:pPr>
              <w:adjustRightInd w:val="0"/>
              <w:snapToGrid w:val="0"/>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15" w:type="dxa"/>
            <w:vAlign w:val="center"/>
          </w:tcPr>
          <w:p w14:paraId="6516B916">
            <w:pPr>
              <w:adjustRightInd w:val="0"/>
              <w:snapToGrid w:val="0"/>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962" w:type="dxa"/>
            <w:gridSpan w:val="2"/>
            <w:vAlign w:val="center"/>
          </w:tcPr>
          <w:p w14:paraId="5FC7F147">
            <w:pPr>
              <w:adjustRightInd w:val="0"/>
              <w:snapToGrid w:val="0"/>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编列内容规定</w:t>
            </w:r>
          </w:p>
        </w:tc>
      </w:tr>
      <w:tr w14:paraId="5404F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05A644E8">
            <w:pPr>
              <w:adjustRightInd w:val="0"/>
              <w:snapToGrid w:val="0"/>
              <w:spacing w:line="288" w:lineRule="auto"/>
              <w:jc w:val="left"/>
              <w:rPr>
                <w:rFonts w:ascii="宋体" w:hAnsi="宋体" w:cs="宋体"/>
                <w:color w:val="auto"/>
                <w:szCs w:val="21"/>
                <w:highlight w:val="none"/>
              </w:rPr>
            </w:pPr>
            <w:r>
              <w:rPr>
                <w:rFonts w:hint="eastAsia" w:ascii="宋体" w:hAnsi="宋体" w:cs="宋体"/>
                <w:b/>
                <w:color w:val="auto"/>
                <w:szCs w:val="21"/>
                <w:highlight w:val="none"/>
              </w:rPr>
              <w:t>一、说明</w:t>
            </w:r>
          </w:p>
        </w:tc>
      </w:tr>
      <w:tr w14:paraId="354D6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6B31C013">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第二章第1.1款</w:t>
            </w:r>
          </w:p>
        </w:tc>
        <w:tc>
          <w:tcPr>
            <w:tcW w:w="2115" w:type="dxa"/>
            <w:vAlign w:val="center"/>
          </w:tcPr>
          <w:p w14:paraId="48FD530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采购项目</w:t>
            </w:r>
          </w:p>
        </w:tc>
        <w:tc>
          <w:tcPr>
            <w:tcW w:w="5962" w:type="dxa"/>
            <w:gridSpan w:val="2"/>
            <w:vAlign w:val="center"/>
          </w:tcPr>
          <w:p w14:paraId="50D67292">
            <w:pPr>
              <w:adjustRightInd w:val="0"/>
              <w:snapToGrid w:val="0"/>
              <w:spacing w:before="120" w:beforeLines="50" w:line="288" w:lineRule="auto"/>
              <w:jc w:val="left"/>
              <w:rPr>
                <w:rFonts w:hint="eastAsia" w:ascii="宋体" w:hAnsi="宋体" w:eastAsia="宋体" w:cs="宋体"/>
                <w:color w:val="auto"/>
                <w:szCs w:val="21"/>
                <w:highlight w:val="none"/>
                <w:lang w:eastAsia="zh-CN"/>
              </w:rPr>
            </w:pPr>
            <w:r>
              <w:rPr>
                <w:rFonts w:hint="eastAsia" w:hAnsi="宋体" w:cs="宋体"/>
                <w:color w:val="auto"/>
                <w:highlight w:val="none"/>
                <w:lang w:eastAsia="zh-CN"/>
              </w:rPr>
              <w:t>2026年新选拔选调生集中培训项目</w:t>
            </w:r>
          </w:p>
        </w:tc>
      </w:tr>
      <w:tr w14:paraId="577042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EC73FE8">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第二章第2.1款</w:t>
            </w:r>
          </w:p>
        </w:tc>
        <w:tc>
          <w:tcPr>
            <w:tcW w:w="2115" w:type="dxa"/>
            <w:vAlign w:val="center"/>
          </w:tcPr>
          <w:p w14:paraId="796470D0">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5962" w:type="dxa"/>
            <w:gridSpan w:val="2"/>
            <w:vAlign w:val="center"/>
          </w:tcPr>
          <w:p w14:paraId="52635FD4">
            <w:pPr>
              <w:adjustRightInd w:val="0"/>
              <w:snapToGrid w:val="0"/>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highlight w:val="none"/>
                <w:lang w:eastAsia="zh-CN"/>
              </w:rPr>
              <w:t>中共湖南省委组织部</w:t>
            </w:r>
          </w:p>
          <w:p w14:paraId="0156B36C">
            <w:pPr>
              <w:adjustRightInd w:val="0"/>
              <w:snapToGrid w:val="0"/>
              <w:spacing w:line="360" w:lineRule="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 xml:space="preserve">章飞钹  </w:t>
            </w:r>
          </w:p>
          <w:p w14:paraId="297147DB">
            <w:pPr>
              <w:adjustRightInd w:val="0"/>
              <w:snapToGrid w:val="0"/>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lang w:val="en-US" w:eastAsia="zh-CN"/>
              </w:rPr>
              <w:t>0731-81127703</w:t>
            </w:r>
          </w:p>
          <w:p w14:paraId="4F4266C8">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lang w:eastAsia="zh-CN"/>
              </w:rPr>
              <w:t>湖南省长沙市芙蓉区韶山路1号</w:t>
            </w:r>
          </w:p>
        </w:tc>
      </w:tr>
      <w:tr w14:paraId="2E096A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1D2C1E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第二章第2.2款</w:t>
            </w:r>
          </w:p>
        </w:tc>
        <w:tc>
          <w:tcPr>
            <w:tcW w:w="2115" w:type="dxa"/>
            <w:vAlign w:val="center"/>
          </w:tcPr>
          <w:p w14:paraId="064CFC0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962" w:type="dxa"/>
            <w:gridSpan w:val="2"/>
          </w:tcPr>
          <w:p w14:paraId="057CE553">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名  称：湖南军融创项目管理有限公司</w:t>
            </w:r>
          </w:p>
          <w:p w14:paraId="16CD1F80">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地  址：长沙市芙蓉区五一路249号湘域中央二栋1505室</w:t>
            </w:r>
          </w:p>
          <w:p w14:paraId="1687F1AE">
            <w:pPr>
              <w:adjustRightInd w:val="0"/>
              <w:snapToGrid w:val="0"/>
              <w:spacing w:line="360" w:lineRule="auto"/>
              <w:jc w:val="left"/>
              <w:rPr>
                <w:rFonts w:hint="eastAsia"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eastAsia="zh-CN"/>
              </w:rPr>
              <w:t>蒋玲、刘伟</w:t>
            </w:r>
          </w:p>
          <w:p w14:paraId="7003153D">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电  话：0731-84716368</w:t>
            </w:r>
          </w:p>
          <w:p w14:paraId="709E56C8">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传  真：0731-84716368</w:t>
            </w:r>
          </w:p>
        </w:tc>
      </w:tr>
      <w:tr w14:paraId="43892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1C0F2D4">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第二章第2.3款</w:t>
            </w:r>
          </w:p>
        </w:tc>
        <w:tc>
          <w:tcPr>
            <w:tcW w:w="2115" w:type="dxa"/>
            <w:vAlign w:val="center"/>
          </w:tcPr>
          <w:p w14:paraId="092A0FA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供应商的邀请方式</w:t>
            </w:r>
          </w:p>
        </w:tc>
        <w:tc>
          <w:tcPr>
            <w:tcW w:w="5962" w:type="dxa"/>
            <w:gridSpan w:val="2"/>
            <w:vAlign w:val="center"/>
          </w:tcPr>
          <w:p w14:paraId="494997C1">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发布公告</w:t>
            </w:r>
          </w:p>
          <w:p w14:paraId="5107434D">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从省级以上财政部门建立的供应商库中随机抽取</w:t>
            </w:r>
          </w:p>
          <w:p w14:paraId="014736A0">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采购人和评审专家分别书面推荐的方式</w:t>
            </w:r>
          </w:p>
        </w:tc>
      </w:tr>
      <w:tr w14:paraId="2D7C88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607E4F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第二章第3.1款</w:t>
            </w:r>
          </w:p>
        </w:tc>
        <w:tc>
          <w:tcPr>
            <w:tcW w:w="2115" w:type="dxa"/>
            <w:vAlign w:val="center"/>
          </w:tcPr>
          <w:p w14:paraId="41FA3B7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5962" w:type="dxa"/>
            <w:gridSpan w:val="2"/>
          </w:tcPr>
          <w:p w14:paraId="526BDF34">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（一）基本资格条件：供应商应当符合《政府采购法》第二十二条第一款的规定，并提供以下资格证明文件：</w:t>
            </w:r>
          </w:p>
          <w:p w14:paraId="3F3829E1">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1、供应商法人营业执照副本复印件；</w:t>
            </w:r>
          </w:p>
          <w:p w14:paraId="655D9206">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2、法定代表人授权委托书原件及双方身份证复印件；</w:t>
            </w:r>
          </w:p>
          <w:p w14:paraId="5F82DF2F">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3、供应商税务登记证(国税或地税)复印件；</w:t>
            </w:r>
          </w:p>
          <w:p w14:paraId="480BB81B">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4、供应商社会保险登记证或缴纳社会保险的凭证复印件，事业单位的社保适应相关改制规定。</w:t>
            </w:r>
          </w:p>
          <w:p w14:paraId="3385E834">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E6537DD">
            <w:pPr>
              <w:adjustRightInd w:val="0"/>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注：供应商提供“三证合一”营业执照，视同为持有营业执照、组织机构代码证和税务登记证；如办理了“五证合一”， 视同为持有营业执照、组织机构代码证和税务登记证，社保登记证，符合基本资格条件的相关条款。</w:t>
            </w:r>
            <w:r>
              <w:rPr>
                <w:rFonts w:hint="eastAsia" w:ascii="宋体" w:hAnsi="宋体" w:cs="宋体"/>
                <w:color w:val="auto"/>
                <w:highlight w:val="none"/>
              </w:rPr>
              <w:t>提供了《湖南省政府采购供应商资格承诺函》（格式）或通过在金融机构办理电子增信取得对应信用星级（提供证明材料），无需提供财务状况、缴纳税收和社会保障资金证明材料。</w:t>
            </w:r>
          </w:p>
          <w:p w14:paraId="4FC3A8F4">
            <w:pPr>
              <w:adjustRightInd w:val="0"/>
              <w:snapToGrid w:val="0"/>
              <w:spacing w:before="120" w:beforeLines="50" w:line="288"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（二）特定资格条件：</w:t>
            </w:r>
            <w:r>
              <w:rPr>
                <w:rFonts w:hint="eastAsia" w:hAnsi="宋体" w:cs="宋体"/>
                <w:color w:val="auto"/>
                <w:highlight w:val="none"/>
                <w:lang w:val="en-US" w:eastAsia="zh-CN"/>
              </w:rPr>
              <w:t>无。</w:t>
            </w:r>
          </w:p>
        </w:tc>
      </w:tr>
      <w:tr w14:paraId="08B60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6DA2253">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第二章第6.1款</w:t>
            </w:r>
          </w:p>
        </w:tc>
        <w:tc>
          <w:tcPr>
            <w:tcW w:w="2115" w:type="dxa"/>
            <w:vAlign w:val="center"/>
          </w:tcPr>
          <w:p w14:paraId="71BAB581">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联合体形式</w:t>
            </w:r>
          </w:p>
        </w:tc>
        <w:tc>
          <w:tcPr>
            <w:tcW w:w="5962" w:type="dxa"/>
            <w:gridSpan w:val="2"/>
            <w:vAlign w:val="center"/>
          </w:tcPr>
          <w:p w14:paraId="1C407B4E">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不接受</w:t>
            </w:r>
          </w:p>
          <w:p w14:paraId="61B094BD">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接受</w:t>
            </w:r>
          </w:p>
        </w:tc>
      </w:tr>
      <w:tr w14:paraId="05E34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E1F4DE5">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第二章第6.2款</w:t>
            </w:r>
          </w:p>
        </w:tc>
        <w:tc>
          <w:tcPr>
            <w:tcW w:w="2115" w:type="dxa"/>
            <w:vAlign w:val="center"/>
          </w:tcPr>
          <w:p w14:paraId="02D92C97">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5962" w:type="dxa"/>
            <w:gridSpan w:val="2"/>
            <w:vAlign w:val="center"/>
          </w:tcPr>
          <w:p w14:paraId="4C727FA1">
            <w:pPr>
              <w:adjustRightInd w:val="0"/>
              <w:snapToGrid w:val="0"/>
              <w:spacing w:before="120" w:beforeLines="50" w:line="288" w:lineRule="auto"/>
              <w:jc w:val="left"/>
              <w:rPr>
                <w:rFonts w:ascii="宋体" w:hAnsi="宋体" w:cs="宋体"/>
                <w:color w:val="auto"/>
                <w:szCs w:val="21"/>
                <w:highlight w:val="none"/>
              </w:rPr>
            </w:pPr>
            <w:r>
              <w:rPr>
                <w:rFonts w:ascii="宋体" w:hAnsi="宋体" w:cs="宋体"/>
                <w:color w:val="auto"/>
                <w:szCs w:val="21"/>
                <w:highlight w:val="none"/>
              </w:rPr>
              <w:t>以联合体形式投标的，联合体投标的必须提供联合体协议。</w:t>
            </w:r>
          </w:p>
        </w:tc>
      </w:tr>
      <w:tr w14:paraId="5FF00B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E619F4F">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第二章第7.1款</w:t>
            </w:r>
          </w:p>
        </w:tc>
        <w:tc>
          <w:tcPr>
            <w:tcW w:w="2115" w:type="dxa"/>
            <w:vAlign w:val="center"/>
          </w:tcPr>
          <w:p w14:paraId="614E4D21">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现场勘察</w:t>
            </w:r>
          </w:p>
        </w:tc>
        <w:tc>
          <w:tcPr>
            <w:tcW w:w="5962" w:type="dxa"/>
            <w:gridSpan w:val="2"/>
            <w:vAlign w:val="center"/>
          </w:tcPr>
          <w:p w14:paraId="734AB01A">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采购人不统一组织，供应商自行踏勘。供应商</w:t>
            </w:r>
            <w:r>
              <w:rPr>
                <w:rFonts w:hint="eastAsia"/>
                <w:color w:val="auto"/>
                <w:highlight w:val="none"/>
              </w:rPr>
              <w:t>自行踏勘的费用、风险由供应商自行承担。</w:t>
            </w:r>
          </w:p>
          <w:p w14:paraId="0AA2AE43">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采购人组织，时间：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  </w:t>
            </w:r>
          </w:p>
        </w:tc>
      </w:tr>
      <w:tr w14:paraId="71254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4" w:hRule="atLeast"/>
          <w:jc w:val="center"/>
        </w:trPr>
        <w:tc>
          <w:tcPr>
            <w:tcW w:w="1762" w:type="dxa"/>
            <w:vAlign w:val="center"/>
          </w:tcPr>
          <w:p w14:paraId="4C077C62">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第二章第8.1款</w:t>
            </w:r>
          </w:p>
        </w:tc>
        <w:tc>
          <w:tcPr>
            <w:tcW w:w="2115" w:type="dxa"/>
            <w:vAlign w:val="center"/>
          </w:tcPr>
          <w:p w14:paraId="5D7B438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采购进口产品</w:t>
            </w:r>
          </w:p>
        </w:tc>
        <w:tc>
          <w:tcPr>
            <w:tcW w:w="5962" w:type="dxa"/>
            <w:gridSpan w:val="2"/>
            <w:vAlign w:val="center"/>
          </w:tcPr>
          <w:p w14:paraId="25AED23D">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本项目拒绝采购进口产品</w:t>
            </w:r>
          </w:p>
          <w:p w14:paraId="7B2AA424">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□本项目已经财政部门审核同意购买进口产品</w:t>
            </w:r>
          </w:p>
        </w:tc>
      </w:tr>
      <w:tr w14:paraId="08776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1473A89E">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第二章第9.2款</w:t>
            </w:r>
          </w:p>
        </w:tc>
        <w:tc>
          <w:tcPr>
            <w:tcW w:w="2115" w:type="dxa"/>
            <w:vAlign w:val="center"/>
          </w:tcPr>
          <w:p w14:paraId="55A2523C">
            <w:pPr>
              <w:adjustRightInd w:val="0"/>
              <w:snapToGrid w:val="0"/>
              <w:spacing w:before="120"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政府采购优先采购政策：1、节能、环境标志产品；</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、支持中小微企业发展；</w:t>
            </w:r>
          </w:p>
        </w:tc>
        <w:tc>
          <w:tcPr>
            <w:tcW w:w="5962" w:type="dxa"/>
            <w:gridSpan w:val="2"/>
            <w:vAlign w:val="center"/>
          </w:tcPr>
          <w:p w14:paraId="5A306B0A">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（1）节能、环境标志产品</w:t>
            </w:r>
          </w:p>
          <w:p w14:paraId="769208D4">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列入政府采购节能产品与环境标志产品品目清单及认证证书的，按财政部 发展改革委 生态环境部 市场监管总局关于调整优化节能产品、环境标志产品政府采购执行机制的通知》（财库〔2019〕9号）文件执行采购。</w:t>
            </w:r>
          </w:p>
          <w:p w14:paraId="050DA863">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1）在价格评审项中，给予其4％的价格扣除。</w:t>
            </w:r>
          </w:p>
          <w:p w14:paraId="4CE02EF7">
            <w:pPr>
              <w:adjustRightInd w:val="0"/>
              <w:snapToGrid w:val="0"/>
              <w:spacing w:before="120" w:beforeLines="50"/>
              <w:ind w:firstLine="210" w:firstLineChars="100"/>
              <w:jc w:val="left"/>
              <w:rPr>
                <w:rFonts w:ascii="宋体" w:hAnsi="宋体" w:cs="宋体"/>
                <w:color w:val="auto"/>
                <w:highlight w:val="none"/>
              </w:rPr>
            </w:pPr>
            <w:r>
              <w:rPr>
                <w:rFonts w:hint="eastAsia" w:ascii="宋体" w:hAnsi="宋体" w:cs="宋体"/>
                <w:color w:val="auto"/>
                <w:szCs w:val="21"/>
                <w:highlight w:val="none"/>
              </w:rPr>
              <w:t>2）在技术评审项中，给予其4％的加分。</w:t>
            </w:r>
          </w:p>
          <w:p w14:paraId="26394BA4">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）中小微企业：</w:t>
            </w:r>
          </w:p>
          <w:p w14:paraId="1D20ACDB">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根据工信部等部委发布的《关于印发中小企业划型标准规定的通知》（工信部联企业〔2011〕300号），按照本次采购标的所属行业的划型标准，符合条件的中小微企业应按照磋商文件格式要求提供《中小企业声明函》。</w:t>
            </w:r>
          </w:p>
          <w:p w14:paraId="438DA1F6">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1）根据财政部发布的</w:t>
            </w:r>
            <w:r>
              <w:rPr>
                <w:rFonts w:ascii="宋体" w:hAnsi="宋体" w:cs="宋体"/>
                <w:color w:val="auto"/>
                <w:szCs w:val="21"/>
                <w:highlight w:val="none"/>
              </w:rPr>
              <w:t>《政府采购促进中小企业发展管理办法》（财库〔2020〕46号）</w:t>
            </w:r>
            <w:r>
              <w:rPr>
                <w:rFonts w:hint="eastAsia" w:ascii="宋体" w:hAnsi="宋体" w:cs="宋体"/>
                <w:color w:val="auto"/>
                <w:szCs w:val="21"/>
                <w:highlight w:val="none"/>
              </w:rPr>
              <w:t>规定，对小型和微型企业产品的响应价格给予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%的扣除，用扣除后的价格参与评审。</w:t>
            </w:r>
          </w:p>
          <w:p w14:paraId="4A2D6B2E">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 xml:space="preserve">2）供应商是联合体的，联合体各方均为小型、微型企业的，联合体视同为小型、微型企业享受相关优惠政策；联合体中有大中型企业也有小型、微型企业的，小型、微型企业的协议合同金额占到联合体协议合同金额30%以上的，给予联合体 </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%的价格扣除。</w:t>
            </w:r>
          </w:p>
          <w:p w14:paraId="619D5583">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3）提供由省级以上监狱管理局、戒毒管理局（含新疆生产建设兵团）出具的属于监狱企业证明文件的，视同为小型和微型企业。</w:t>
            </w:r>
          </w:p>
          <w:p w14:paraId="63680ACD">
            <w:pPr>
              <w:adjustRightInd w:val="0"/>
              <w:snapToGrid w:val="0"/>
              <w:spacing w:before="120" w:beforeLines="50"/>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4）符合享受政府采购支持政策的残疾人福利性单位条件且提供《残疾人福利性单位声明函》的，视同为小型和微型企业。</w:t>
            </w:r>
          </w:p>
        </w:tc>
      </w:tr>
      <w:tr w14:paraId="53C19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Merge w:val="restart"/>
            <w:tcBorders>
              <w:top w:val="single" w:color="auto" w:sz="4" w:space="0"/>
            </w:tcBorders>
            <w:vAlign w:val="center"/>
          </w:tcPr>
          <w:p w14:paraId="16AF66EE">
            <w:pPr>
              <w:adjustRightInd w:val="0"/>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第二章第9.6款</w:t>
            </w:r>
          </w:p>
        </w:tc>
        <w:tc>
          <w:tcPr>
            <w:tcW w:w="2115" w:type="dxa"/>
            <w:tcBorders>
              <w:top w:val="single" w:color="auto" w:sz="4" w:space="0"/>
              <w:bottom w:val="single" w:color="auto" w:sz="4" w:space="0"/>
            </w:tcBorders>
            <w:vAlign w:val="center"/>
          </w:tcPr>
          <w:p w14:paraId="7E8F4DC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政府采购支持中小企业融资</w:t>
            </w:r>
          </w:p>
        </w:tc>
        <w:tc>
          <w:tcPr>
            <w:tcW w:w="5962" w:type="dxa"/>
            <w:gridSpan w:val="2"/>
            <w:tcBorders>
              <w:top w:val="single" w:color="auto" w:sz="4" w:space="0"/>
              <w:bottom w:val="single" w:color="auto" w:sz="4" w:space="0"/>
            </w:tcBorders>
            <w:vAlign w:val="center"/>
          </w:tcPr>
          <w:p w14:paraId="3ABDA40F">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有融资需求的，可向本附表附页1所列银行咨询或登录中国湖南政府采购网查询。</w:t>
            </w:r>
          </w:p>
        </w:tc>
      </w:tr>
      <w:tr w14:paraId="585C6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2" w:hRule="atLeast"/>
          <w:jc w:val="center"/>
        </w:trPr>
        <w:tc>
          <w:tcPr>
            <w:tcW w:w="1762" w:type="dxa"/>
            <w:vMerge w:val="continue"/>
            <w:vAlign w:val="center"/>
          </w:tcPr>
          <w:p w14:paraId="1F74D346">
            <w:pPr>
              <w:spacing w:line="288" w:lineRule="auto"/>
              <w:jc w:val="center"/>
              <w:rPr>
                <w:rFonts w:ascii="宋体" w:hAnsi="宋体" w:cs="宋体"/>
                <w:color w:val="auto"/>
                <w:szCs w:val="21"/>
                <w:highlight w:val="none"/>
              </w:rPr>
            </w:pPr>
          </w:p>
        </w:tc>
        <w:tc>
          <w:tcPr>
            <w:tcW w:w="2115" w:type="dxa"/>
            <w:tcBorders>
              <w:top w:val="single" w:color="auto" w:sz="4" w:space="0"/>
            </w:tcBorders>
            <w:vAlign w:val="center"/>
          </w:tcPr>
          <w:p w14:paraId="07BBFD7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政府采购信用担保</w:t>
            </w:r>
          </w:p>
        </w:tc>
        <w:tc>
          <w:tcPr>
            <w:tcW w:w="5962" w:type="dxa"/>
            <w:gridSpan w:val="2"/>
            <w:tcBorders>
              <w:top w:val="single" w:color="auto" w:sz="4" w:space="0"/>
            </w:tcBorders>
            <w:vAlign w:val="center"/>
          </w:tcPr>
          <w:p w14:paraId="0C75693E">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有履约担保或融资担保需求的，可向本附表附页2所列担保机构咨询或登录中国湖南政府采购网查询，格式见附页3。</w:t>
            </w:r>
          </w:p>
        </w:tc>
      </w:tr>
      <w:tr w14:paraId="288B3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26F05721">
            <w:pPr>
              <w:adjustRightInd w:val="0"/>
              <w:snapToGrid w:val="0"/>
              <w:spacing w:line="288" w:lineRule="auto"/>
              <w:jc w:val="left"/>
              <w:rPr>
                <w:rFonts w:ascii="宋体" w:hAnsi="宋体" w:cs="宋体"/>
                <w:b/>
                <w:color w:val="auto"/>
                <w:szCs w:val="21"/>
                <w:highlight w:val="none"/>
              </w:rPr>
            </w:pPr>
            <w:r>
              <w:rPr>
                <w:rFonts w:hint="eastAsia" w:ascii="宋体" w:hAnsi="宋体" w:cs="宋体"/>
                <w:b/>
                <w:color w:val="auto"/>
                <w:szCs w:val="21"/>
                <w:highlight w:val="none"/>
              </w:rPr>
              <w:t>二、磋商文件</w:t>
            </w:r>
          </w:p>
        </w:tc>
      </w:tr>
      <w:tr w14:paraId="1277A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9AE7D89">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第二章第10.2款</w:t>
            </w:r>
          </w:p>
        </w:tc>
        <w:tc>
          <w:tcPr>
            <w:tcW w:w="2115" w:type="dxa"/>
            <w:vAlign w:val="center"/>
          </w:tcPr>
          <w:p w14:paraId="2BAD7E7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磋商文件的可能实质性变动内容</w:t>
            </w:r>
          </w:p>
        </w:tc>
        <w:tc>
          <w:tcPr>
            <w:tcW w:w="5962" w:type="dxa"/>
            <w:gridSpan w:val="2"/>
            <w:vAlign w:val="center"/>
          </w:tcPr>
          <w:p w14:paraId="0FA15037">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否</w:t>
            </w:r>
          </w:p>
        </w:tc>
      </w:tr>
      <w:tr w14:paraId="721576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AEE2D85">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第二章第11.1款</w:t>
            </w:r>
          </w:p>
        </w:tc>
        <w:tc>
          <w:tcPr>
            <w:tcW w:w="2115" w:type="dxa"/>
            <w:vAlign w:val="center"/>
          </w:tcPr>
          <w:p w14:paraId="7EF4A47F">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提供磋商文件期限</w:t>
            </w:r>
          </w:p>
        </w:tc>
        <w:tc>
          <w:tcPr>
            <w:tcW w:w="5962" w:type="dxa"/>
            <w:gridSpan w:val="2"/>
            <w:vAlign w:val="center"/>
          </w:tcPr>
          <w:p w14:paraId="6A2B3818">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highlight w:val="none"/>
                <w:u w:val="single"/>
                <w:lang w:eastAsia="zh-CN"/>
              </w:rPr>
              <w:t>2026</w:t>
            </w:r>
            <w:r>
              <w:rPr>
                <w:rFonts w:hint="eastAsia" w:ascii="宋体" w:hAnsi="宋体" w:cs="宋体"/>
                <w:color w:val="auto"/>
                <w:highlight w:val="none"/>
                <w:u w:val="none"/>
              </w:rPr>
              <w:t>年</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 xml:space="preserve"> 7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3 </w:t>
            </w:r>
            <w:r>
              <w:rPr>
                <w:rFonts w:hint="eastAsia" w:ascii="宋体" w:hAnsi="宋体" w:cs="宋体"/>
                <w:color w:val="auto"/>
                <w:highlight w:val="none"/>
              </w:rPr>
              <w:t>日</w:t>
            </w:r>
            <w:r>
              <w:rPr>
                <w:rFonts w:hint="eastAsia" w:hAnsi="宋体" w:cs="宋体"/>
                <w:bCs/>
                <w:color w:val="auto"/>
                <w:highlight w:val="none"/>
              </w:rPr>
              <w:t>起至</w:t>
            </w:r>
            <w:r>
              <w:rPr>
                <w:rFonts w:hint="eastAsia" w:ascii="宋体" w:hAnsi="宋体" w:cs="宋体"/>
                <w:color w:val="auto"/>
                <w:highlight w:val="none"/>
                <w:u w:val="single"/>
                <w:lang w:eastAsia="zh-CN"/>
              </w:rPr>
              <w:t>2026</w:t>
            </w:r>
            <w:r>
              <w:rPr>
                <w:rFonts w:hint="eastAsia" w:ascii="宋体" w:hAnsi="宋体" w:cs="宋体"/>
                <w:color w:val="auto"/>
                <w:highlight w:val="none"/>
                <w:u w:val="none"/>
              </w:rPr>
              <w:t>年</w:t>
            </w:r>
            <w:r>
              <w:rPr>
                <w:rFonts w:hint="eastAsia" w:hAnsi="宋体" w:cs="宋体"/>
                <w:color w:val="auto"/>
                <w:highlight w:val="none"/>
                <w:u w:val="single"/>
                <w:lang w:val="en-US" w:eastAsia="zh-CN"/>
              </w:rPr>
              <w:t xml:space="preserve">  7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 xml:space="preserve">10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szCs w:val="21"/>
                <w:highlight w:val="none"/>
              </w:rPr>
              <w:t>，每日上午9:00时到12:00时，下午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:00时到5:00时(北京时间，节假日除外)</w:t>
            </w:r>
          </w:p>
        </w:tc>
      </w:tr>
      <w:tr w14:paraId="47D06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62" w:type="dxa"/>
            <w:vAlign w:val="center"/>
          </w:tcPr>
          <w:p w14:paraId="536DBC74">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第二章第11.2款</w:t>
            </w:r>
          </w:p>
        </w:tc>
        <w:tc>
          <w:tcPr>
            <w:tcW w:w="2115" w:type="dxa"/>
            <w:vAlign w:val="center"/>
          </w:tcPr>
          <w:p w14:paraId="683C522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报名领取磋商文件时应提供的资料</w:t>
            </w:r>
          </w:p>
        </w:tc>
        <w:tc>
          <w:tcPr>
            <w:tcW w:w="5962" w:type="dxa"/>
            <w:gridSpan w:val="2"/>
            <w:vAlign w:val="center"/>
          </w:tcPr>
          <w:p w14:paraId="65FA3389">
            <w:pPr>
              <w:adjustRightInd w:val="0"/>
              <w:snapToGrid w:val="0"/>
              <w:spacing w:before="120" w:beforeLines="50" w:line="288" w:lineRule="auto"/>
              <w:jc w:val="left"/>
              <w:rPr>
                <w:rFonts w:ascii="宋体" w:hAnsi="宋体" w:cs="宋体"/>
                <w:color w:val="auto"/>
                <w:highlight w:val="none"/>
              </w:rPr>
            </w:pPr>
            <w:r>
              <w:rPr>
                <w:rFonts w:hint="eastAsia" w:ascii="宋体" w:hAnsi="宋体" w:cs="宋体"/>
                <w:color w:val="auto"/>
                <w:highlight w:val="none"/>
              </w:rPr>
              <w:t>法定代表人报名领取磋商文件时：供应商法人营业执照副本复印件、本人身份证、法定代表人身份证明；</w:t>
            </w:r>
          </w:p>
          <w:p w14:paraId="0BB5DEDE">
            <w:pPr>
              <w:adjustRightInd w:val="0"/>
              <w:snapToGrid w:val="0"/>
              <w:spacing w:before="120" w:beforeLines="50" w:line="288" w:lineRule="auto"/>
              <w:jc w:val="left"/>
              <w:rPr>
                <w:rFonts w:ascii="宋体" w:hAnsi="宋体" w:cs="宋体"/>
                <w:color w:val="auto"/>
                <w:highlight w:val="none"/>
              </w:rPr>
            </w:pPr>
            <w:r>
              <w:rPr>
                <w:rFonts w:hint="eastAsia" w:ascii="宋体" w:hAnsi="宋体" w:cs="宋体"/>
                <w:color w:val="auto"/>
                <w:highlight w:val="none"/>
              </w:rPr>
              <w:t>或委托代理人报名领取磋商文件时：供应商法人营业执照副本复印件、本人身份证、授权委托书（附法定代表人身份证明及授权委托人身份证明复印件）</w:t>
            </w:r>
          </w:p>
          <w:p w14:paraId="1362AE52">
            <w:pPr>
              <w:pStyle w:val="9"/>
              <w:spacing w:line="288" w:lineRule="auto"/>
              <w:rPr>
                <w:rFonts w:ascii="宋体" w:hAnsi="宋体" w:cs="宋体"/>
                <w:color w:val="auto"/>
                <w:highlight w:val="none"/>
              </w:rPr>
            </w:pPr>
            <w:r>
              <w:rPr>
                <w:rFonts w:hint="eastAsia" w:ascii="宋体" w:hAnsi="宋体" w:cs="宋体"/>
                <w:color w:val="auto"/>
                <w:szCs w:val="21"/>
                <w:highlight w:val="none"/>
              </w:rPr>
              <w:t>所有资料均须加盖供应商公章。</w:t>
            </w:r>
          </w:p>
        </w:tc>
      </w:tr>
      <w:tr w14:paraId="718EB6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3AADA4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第二章第12.1款</w:t>
            </w:r>
          </w:p>
        </w:tc>
        <w:tc>
          <w:tcPr>
            <w:tcW w:w="2115" w:type="dxa"/>
            <w:vAlign w:val="center"/>
          </w:tcPr>
          <w:p w14:paraId="6B45A9B3">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提交首次响应文件的截止时间</w:t>
            </w:r>
          </w:p>
        </w:tc>
        <w:tc>
          <w:tcPr>
            <w:tcW w:w="5962" w:type="dxa"/>
            <w:gridSpan w:val="2"/>
            <w:vAlign w:val="center"/>
          </w:tcPr>
          <w:p w14:paraId="7352BFD5">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highlight w:val="none"/>
                <w:u w:val="single"/>
                <w:lang w:eastAsia="zh-CN"/>
              </w:rPr>
              <w:t>2026</w:t>
            </w:r>
            <w:r>
              <w:rPr>
                <w:rFonts w:hint="eastAsia" w:ascii="宋体" w:hAnsi="宋体" w:cs="宋体"/>
                <w:color w:val="auto"/>
                <w:highlight w:val="none"/>
                <w:u w:val="none"/>
              </w:rPr>
              <w:t>年</w:t>
            </w:r>
            <w:r>
              <w:rPr>
                <w:rFonts w:hint="eastAsia" w:hAnsi="宋体" w:cs="宋体"/>
                <w:color w:val="auto"/>
                <w:highlight w:val="none"/>
                <w:u w:val="single"/>
                <w:lang w:val="en-US" w:eastAsia="zh-CN"/>
              </w:rPr>
              <w:t xml:space="preserve">  7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hAnsi="宋体" w:cs="宋体"/>
                <w:color w:val="auto"/>
                <w:highlight w:val="none"/>
                <w:u w:val="single"/>
                <w:lang w:val="en-US" w:eastAsia="zh-CN"/>
              </w:rPr>
              <w:t>14</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szCs w:val="21"/>
                <w:highlight w:val="none"/>
                <w:u w:val="single"/>
                <w:lang w:val="en-US" w:eastAsia="zh-CN"/>
              </w:rPr>
              <w:t xml:space="preserve"> </w:t>
            </w:r>
            <w:r>
              <w:rPr>
                <w:rFonts w:hint="eastAsia" w:hAnsi="宋体" w:cs="宋体"/>
                <w:color w:val="auto"/>
                <w:szCs w:val="21"/>
                <w:highlight w:val="none"/>
                <w:u w:val="single"/>
                <w:lang w:val="en-US" w:eastAsia="zh-CN"/>
              </w:rPr>
              <w:t>15</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hAnsi="宋体" w:cs="宋体"/>
                <w:color w:val="auto"/>
                <w:szCs w:val="21"/>
                <w:highlight w:val="none"/>
                <w:u w:val="single"/>
                <w:lang w:val="en-US" w:eastAsia="zh-CN"/>
              </w:rPr>
              <w:t xml:space="preserve"> 00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  (北京时间)</w:t>
            </w:r>
          </w:p>
        </w:tc>
      </w:tr>
      <w:tr w14:paraId="7A9F2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20960C31">
            <w:pPr>
              <w:adjustRightInd w:val="0"/>
              <w:snapToGrid w:val="0"/>
              <w:spacing w:line="288" w:lineRule="auto"/>
              <w:jc w:val="left"/>
              <w:rPr>
                <w:rFonts w:ascii="宋体" w:hAnsi="宋体" w:cs="宋体"/>
                <w:color w:val="auto"/>
                <w:szCs w:val="21"/>
                <w:highlight w:val="none"/>
              </w:rPr>
            </w:pPr>
            <w:r>
              <w:rPr>
                <w:rFonts w:hint="eastAsia" w:ascii="宋体" w:hAnsi="宋体" w:cs="宋体"/>
                <w:b/>
                <w:color w:val="auto"/>
                <w:szCs w:val="21"/>
                <w:highlight w:val="none"/>
              </w:rPr>
              <w:t>三、响应文件的编写</w:t>
            </w:r>
          </w:p>
        </w:tc>
      </w:tr>
      <w:tr w14:paraId="2D9AF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D1ABFA8">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第二章第16.4款</w:t>
            </w:r>
          </w:p>
        </w:tc>
        <w:tc>
          <w:tcPr>
            <w:tcW w:w="2115" w:type="dxa"/>
            <w:vAlign w:val="center"/>
          </w:tcPr>
          <w:p w14:paraId="5321005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采购项目预算</w:t>
            </w:r>
          </w:p>
        </w:tc>
        <w:tc>
          <w:tcPr>
            <w:tcW w:w="5962" w:type="dxa"/>
            <w:gridSpan w:val="2"/>
            <w:vAlign w:val="center"/>
          </w:tcPr>
          <w:p w14:paraId="65E3E816">
            <w:pPr>
              <w:adjustRightInd w:val="0"/>
              <w:snapToGrid w:val="0"/>
              <w:spacing w:before="120" w:beforeLines="50" w:line="288" w:lineRule="auto"/>
              <w:jc w:val="left"/>
              <w:rPr>
                <w:rFonts w:hint="default" w:ascii="宋体" w:hAnsi="宋体" w:eastAsia="宋体" w:cs="宋体"/>
                <w:color w:val="auto"/>
                <w:szCs w:val="21"/>
                <w:highlight w:val="none"/>
                <w:lang w:val="en-US" w:eastAsia="zh-CN"/>
              </w:rPr>
            </w:pPr>
            <w:r>
              <w:rPr>
                <w:rFonts w:hint="eastAsia" w:ascii="宋体" w:hAnsi="宋体" w:cs="宋体"/>
                <w:color w:val="auto"/>
                <w:highlight w:val="none"/>
                <w:u w:val="single"/>
              </w:rPr>
              <w:t>人民币198万元</w:t>
            </w:r>
          </w:p>
        </w:tc>
      </w:tr>
      <w:tr w14:paraId="12254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762" w:type="dxa"/>
            <w:vAlign w:val="center"/>
          </w:tcPr>
          <w:p w14:paraId="7A614BD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第二章第17.3款</w:t>
            </w:r>
          </w:p>
        </w:tc>
        <w:tc>
          <w:tcPr>
            <w:tcW w:w="2115" w:type="dxa"/>
            <w:vAlign w:val="center"/>
          </w:tcPr>
          <w:p w14:paraId="3CFA0A4D">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非制造商的证明文件</w:t>
            </w:r>
          </w:p>
        </w:tc>
        <w:tc>
          <w:tcPr>
            <w:tcW w:w="5962" w:type="dxa"/>
            <w:gridSpan w:val="2"/>
            <w:vAlign w:val="center"/>
          </w:tcPr>
          <w:p w14:paraId="565F2560">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不要求提供</w:t>
            </w:r>
          </w:p>
          <w:p w14:paraId="089D308B">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要求提供：（证明文件复印件</w:t>
            </w:r>
            <w:r>
              <w:rPr>
                <w:rFonts w:hint="eastAsia" w:ascii="宋体" w:hAnsi="宋体" w:cs="宋体"/>
                <w:color w:val="auto"/>
                <w:szCs w:val="21"/>
                <w:highlight w:val="none"/>
                <w:u w:val="single"/>
              </w:rPr>
              <w:t>须加盖供应商单位公章</w:t>
            </w:r>
            <w:r>
              <w:rPr>
                <w:rFonts w:hint="eastAsia" w:ascii="宋体" w:hAnsi="宋体" w:cs="宋体"/>
                <w:color w:val="auto"/>
                <w:szCs w:val="21"/>
                <w:highlight w:val="none"/>
              </w:rPr>
              <w:t>，否则视为无效响应。）</w:t>
            </w:r>
          </w:p>
          <w:p w14:paraId="56FDFA29">
            <w:pPr>
              <w:adjustRightInd w:val="0"/>
              <w:snapToGrid w:val="0"/>
              <w:spacing w:before="120" w:beforeLines="50" w:line="288" w:lineRule="auto"/>
              <w:rPr>
                <w:rFonts w:ascii="宋体" w:hAnsi="宋体" w:cs="宋体"/>
                <w:color w:val="auto"/>
                <w:szCs w:val="21"/>
                <w:highlight w:val="none"/>
                <w:u w:val="single"/>
              </w:rPr>
            </w:pPr>
            <w:r>
              <w:rPr>
                <w:rFonts w:hint="eastAsia" w:ascii="宋体" w:hAnsi="宋体" w:cs="宋体"/>
                <w:color w:val="auto"/>
                <w:szCs w:val="21"/>
                <w:highlight w:val="none"/>
              </w:rPr>
              <w:t>经销、或代理投标货物、或为投标货物提供售后服务的证明文件。</w:t>
            </w:r>
          </w:p>
        </w:tc>
      </w:tr>
      <w:tr w14:paraId="41FEA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1BF5B8F">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第二章第18.1款</w:t>
            </w:r>
          </w:p>
        </w:tc>
        <w:tc>
          <w:tcPr>
            <w:tcW w:w="2115" w:type="dxa"/>
            <w:vAlign w:val="center"/>
          </w:tcPr>
          <w:p w14:paraId="00D98792">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样品提供及样品提交的时间、地点</w:t>
            </w:r>
          </w:p>
        </w:tc>
        <w:tc>
          <w:tcPr>
            <w:tcW w:w="5962" w:type="dxa"/>
            <w:gridSpan w:val="2"/>
            <w:vAlign w:val="center"/>
          </w:tcPr>
          <w:p w14:paraId="4373C4D2">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不要求提供</w:t>
            </w:r>
          </w:p>
          <w:p w14:paraId="015A62F1">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要求提供</w:t>
            </w:r>
          </w:p>
          <w:p w14:paraId="27EEED5A">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提交时间：/年/月/日/时/分至/时00分（北京时间）</w:t>
            </w:r>
          </w:p>
          <w:p w14:paraId="711B21F0">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地点：长沙市芙蓉区五一路249号湘域中央二栋1505室</w:t>
            </w:r>
          </w:p>
          <w:p w14:paraId="212A96BA">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要求：</w:t>
            </w:r>
          </w:p>
          <w:p w14:paraId="087829A8">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1）样品须按规定时间递交，否则不予认定。样品具体要求详见“第四章 采购需求”。</w:t>
            </w:r>
          </w:p>
          <w:p w14:paraId="7C35CB4F">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2）所有供应商的样品不予退还，成交供应商样品将留存于采购人，作为验收标准，实际制作产品质量不能低于样品质量。</w:t>
            </w:r>
          </w:p>
          <w:p w14:paraId="1FF6319C">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3）样品应包装完整并在包装上注明供应商名称、样品对应的产品在磋商文件中的包号及品目名称。除可拆除的包装以外，样品本身不应有任何体现生产来源的标记、标签、标识等。</w:t>
            </w:r>
          </w:p>
        </w:tc>
      </w:tr>
      <w:tr w14:paraId="61D30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4850DC0">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第二章第19.1款</w:t>
            </w:r>
          </w:p>
        </w:tc>
        <w:tc>
          <w:tcPr>
            <w:tcW w:w="2115" w:type="dxa"/>
            <w:vAlign w:val="center"/>
          </w:tcPr>
          <w:p w14:paraId="79B91CF6">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5962" w:type="dxa"/>
            <w:gridSpan w:val="2"/>
            <w:vAlign w:val="center"/>
          </w:tcPr>
          <w:p w14:paraId="1FC46AF1">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 不要求提供</w:t>
            </w:r>
          </w:p>
          <w:p w14:paraId="02943590">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要求提供</w:t>
            </w:r>
          </w:p>
        </w:tc>
      </w:tr>
      <w:tr w14:paraId="7D421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4AD6B0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第二章第20.1款</w:t>
            </w:r>
          </w:p>
        </w:tc>
        <w:tc>
          <w:tcPr>
            <w:tcW w:w="2115" w:type="dxa"/>
            <w:vAlign w:val="center"/>
          </w:tcPr>
          <w:p w14:paraId="7BF83B3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5962" w:type="dxa"/>
            <w:gridSpan w:val="2"/>
            <w:vAlign w:val="center"/>
          </w:tcPr>
          <w:p w14:paraId="6A813F64">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90日（日历日）</w:t>
            </w:r>
          </w:p>
        </w:tc>
      </w:tr>
      <w:tr w14:paraId="5B614F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762" w:type="dxa"/>
            <w:vMerge w:val="restart"/>
            <w:vAlign w:val="center"/>
          </w:tcPr>
          <w:p w14:paraId="731EBA7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第二章第21.1款</w:t>
            </w:r>
          </w:p>
        </w:tc>
        <w:tc>
          <w:tcPr>
            <w:tcW w:w="2115" w:type="dxa"/>
            <w:vMerge w:val="restart"/>
            <w:vAlign w:val="center"/>
          </w:tcPr>
          <w:p w14:paraId="49B3D51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响应文件副本份数</w:t>
            </w:r>
          </w:p>
        </w:tc>
        <w:tc>
          <w:tcPr>
            <w:tcW w:w="1815" w:type="dxa"/>
            <w:tcBorders>
              <w:bottom w:val="single" w:color="auto" w:sz="4" w:space="0"/>
              <w:right w:val="single" w:color="auto" w:sz="4" w:space="0"/>
            </w:tcBorders>
            <w:vAlign w:val="center"/>
          </w:tcPr>
          <w:p w14:paraId="3F083E8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4147" w:type="dxa"/>
            <w:tcBorders>
              <w:left w:val="single" w:color="auto" w:sz="4" w:space="0"/>
              <w:bottom w:val="single" w:color="auto" w:sz="4" w:space="0"/>
            </w:tcBorders>
            <w:vAlign w:val="center"/>
          </w:tcPr>
          <w:p w14:paraId="03649E00">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响应文件数量</w:t>
            </w:r>
          </w:p>
        </w:tc>
      </w:tr>
      <w:tr w14:paraId="55DEB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762" w:type="dxa"/>
            <w:vMerge w:val="continue"/>
            <w:vAlign w:val="center"/>
          </w:tcPr>
          <w:p w14:paraId="1BD25579">
            <w:pPr>
              <w:adjustRightInd w:val="0"/>
              <w:snapToGrid w:val="0"/>
              <w:spacing w:before="120" w:beforeLines="50" w:line="288" w:lineRule="auto"/>
              <w:jc w:val="center"/>
              <w:rPr>
                <w:rFonts w:ascii="宋体" w:hAnsi="宋体" w:cs="宋体"/>
                <w:color w:val="auto"/>
                <w:szCs w:val="21"/>
                <w:highlight w:val="none"/>
              </w:rPr>
            </w:pPr>
          </w:p>
        </w:tc>
        <w:tc>
          <w:tcPr>
            <w:tcW w:w="2115" w:type="dxa"/>
            <w:vMerge w:val="continue"/>
            <w:vAlign w:val="center"/>
          </w:tcPr>
          <w:p w14:paraId="66FAC975">
            <w:pPr>
              <w:adjustRightInd w:val="0"/>
              <w:snapToGrid w:val="0"/>
              <w:spacing w:before="120" w:beforeLines="50" w:line="288"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2CBADE8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资格证明文件</w:t>
            </w:r>
          </w:p>
        </w:tc>
        <w:tc>
          <w:tcPr>
            <w:tcW w:w="4147" w:type="dxa"/>
            <w:tcBorders>
              <w:top w:val="single" w:color="auto" w:sz="4" w:space="0"/>
              <w:left w:val="single" w:color="auto" w:sz="4" w:space="0"/>
              <w:bottom w:val="single" w:color="auto" w:sz="4" w:space="0"/>
            </w:tcBorders>
            <w:vAlign w:val="center"/>
          </w:tcPr>
          <w:p w14:paraId="2D4B52BF">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正本1份、副本1份</w:t>
            </w:r>
          </w:p>
        </w:tc>
      </w:tr>
      <w:tr w14:paraId="32187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762" w:type="dxa"/>
            <w:vMerge w:val="continue"/>
            <w:vAlign w:val="center"/>
          </w:tcPr>
          <w:p w14:paraId="707920CF">
            <w:pPr>
              <w:adjustRightInd w:val="0"/>
              <w:snapToGrid w:val="0"/>
              <w:spacing w:before="120" w:beforeLines="50" w:line="288" w:lineRule="auto"/>
              <w:jc w:val="center"/>
              <w:rPr>
                <w:rFonts w:ascii="宋体" w:hAnsi="宋体" w:cs="宋体"/>
                <w:color w:val="auto"/>
                <w:szCs w:val="21"/>
                <w:highlight w:val="none"/>
              </w:rPr>
            </w:pPr>
          </w:p>
        </w:tc>
        <w:tc>
          <w:tcPr>
            <w:tcW w:w="2115" w:type="dxa"/>
            <w:vMerge w:val="continue"/>
            <w:vAlign w:val="center"/>
          </w:tcPr>
          <w:p w14:paraId="6B7C5410">
            <w:pPr>
              <w:adjustRightInd w:val="0"/>
              <w:snapToGrid w:val="0"/>
              <w:spacing w:before="120" w:beforeLines="50" w:line="288"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146F1A5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商务与技术文件</w:t>
            </w:r>
          </w:p>
        </w:tc>
        <w:tc>
          <w:tcPr>
            <w:tcW w:w="4147" w:type="dxa"/>
            <w:tcBorders>
              <w:top w:val="single" w:color="auto" w:sz="4" w:space="0"/>
              <w:left w:val="single" w:color="auto" w:sz="4" w:space="0"/>
              <w:bottom w:val="single" w:color="auto" w:sz="4" w:space="0"/>
            </w:tcBorders>
            <w:vAlign w:val="center"/>
          </w:tcPr>
          <w:p w14:paraId="49A9108A">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正本1份、副本2份</w:t>
            </w:r>
          </w:p>
        </w:tc>
      </w:tr>
      <w:tr w14:paraId="79F84A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1762" w:type="dxa"/>
            <w:vMerge w:val="continue"/>
            <w:vAlign w:val="center"/>
          </w:tcPr>
          <w:p w14:paraId="5C5D3D79">
            <w:pPr>
              <w:adjustRightInd w:val="0"/>
              <w:snapToGrid w:val="0"/>
              <w:spacing w:before="120" w:beforeLines="50" w:line="288" w:lineRule="auto"/>
              <w:jc w:val="center"/>
              <w:rPr>
                <w:rFonts w:ascii="宋体" w:hAnsi="宋体" w:cs="宋体"/>
                <w:color w:val="auto"/>
                <w:szCs w:val="21"/>
                <w:highlight w:val="none"/>
              </w:rPr>
            </w:pPr>
          </w:p>
        </w:tc>
        <w:tc>
          <w:tcPr>
            <w:tcW w:w="2115" w:type="dxa"/>
            <w:vMerge w:val="continue"/>
            <w:vAlign w:val="center"/>
          </w:tcPr>
          <w:p w14:paraId="1F4CE78B">
            <w:pPr>
              <w:adjustRightInd w:val="0"/>
              <w:snapToGrid w:val="0"/>
              <w:spacing w:before="120" w:beforeLines="50" w:line="288" w:lineRule="auto"/>
              <w:jc w:val="center"/>
              <w:rPr>
                <w:rFonts w:ascii="宋体" w:hAnsi="宋体" w:cs="宋体"/>
                <w:color w:val="auto"/>
                <w:szCs w:val="21"/>
                <w:highlight w:val="none"/>
              </w:rPr>
            </w:pPr>
          </w:p>
        </w:tc>
        <w:tc>
          <w:tcPr>
            <w:tcW w:w="1815" w:type="dxa"/>
            <w:tcBorders>
              <w:top w:val="single" w:color="auto" w:sz="4" w:space="0"/>
              <w:bottom w:val="single" w:color="auto" w:sz="4" w:space="0"/>
              <w:right w:val="single" w:color="auto" w:sz="4" w:space="0"/>
            </w:tcBorders>
            <w:vAlign w:val="center"/>
          </w:tcPr>
          <w:p w14:paraId="671F035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电子文档</w:t>
            </w:r>
          </w:p>
        </w:tc>
        <w:tc>
          <w:tcPr>
            <w:tcW w:w="4147" w:type="dxa"/>
            <w:tcBorders>
              <w:top w:val="single" w:color="auto" w:sz="4" w:space="0"/>
              <w:left w:val="single" w:color="auto" w:sz="4" w:space="0"/>
              <w:bottom w:val="single" w:color="auto" w:sz="4" w:space="0"/>
            </w:tcBorders>
            <w:vAlign w:val="center"/>
          </w:tcPr>
          <w:p w14:paraId="21E8C1DD">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1份，须存储在U盘中</w:t>
            </w:r>
          </w:p>
        </w:tc>
      </w:tr>
      <w:tr w14:paraId="4E392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762" w:type="dxa"/>
            <w:vMerge w:val="continue"/>
            <w:vAlign w:val="center"/>
          </w:tcPr>
          <w:p w14:paraId="341C334A">
            <w:pPr>
              <w:adjustRightInd w:val="0"/>
              <w:snapToGrid w:val="0"/>
              <w:spacing w:before="120" w:beforeLines="50" w:line="288" w:lineRule="auto"/>
              <w:jc w:val="center"/>
              <w:rPr>
                <w:rFonts w:ascii="宋体" w:hAnsi="宋体" w:cs="宋体"/>
                <w:color w:val="auto"/>
                <w:szCs w:val="21"/>
                <w:highlight w:val="none"/>
              </w:rPr>
            </w:pPr>
          </w:p>
        </w:tc>
        <w:tc>
          <w:tcPr>
            <w:tcW w:w="2115" w:type="dxa"/>
            <w:vMerge w:val="continue"/>
            <w:vAlign w:val="center"/>
          </w:tcPr>
          <w:p w14:paraId="2A141EF0">
            <w:pPr>
              <w:adjustRightInd w:val="0"/>
              <w:snapToGrid w:val="0"/>
              <w:spacing w:before="120" w:beforeLines="50" w:line="288" w:lineRule="auto"/>
              <w:jc w:val="center"/>
              <w:rPr>
                <w:rFonts w:ascii="宋体" w:hAnsi="宋体" w:cs="宋体"/>
                <w:color w:val="auto"/>
                <w:szCs w:val="21"/>
                <w:highlight w:val="none"/>
              </w:rPr>
            </w:pPr>
          </w:p>
        </w:tc>
        <w:tc>
          <w:tcPr>
            <w:tcW w:w="5962" w:type="dxa"/>
            <w:gridSpan w:val="2"/>
            <w:tcBorders>
              <w:top w:val="single" w:color="auto" w:sz="4" w:space="0"/>
              <w:right w:val="single" w:color="auto" w:sz="4" w:space="0"/>
            </w:tcBorders>
            <w:vAlign w:val="bottom"/>
          </w:tcPr>
          <w:p w14:paraId="3738834C">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注：</w:t>
            </w:r>
          </w:p>
          <w:p w14:paraId="43516875">
            <w:pPr>
              <w:numPr>
                <w:ilvl w:val="0"/>
                <w:numId w:val="3"/>
              </w:numPr>
              <w:adjustRightInd w:val="0"/>
              <w:snapToGrid w:val="0"/>
              <w:spacing w:before="120" w:beforeLines="50" w:line="288" w:lineRule="auto"/>
              <w:rPr>
                <w:color w:val="auto"/>
                <w:highlight w:val="none"/>
              </w:rPr>
            </w:pPr>
            <w:r>
              <w:rPr>
                <w:rFonts w:hint="eastAsia"/>
                <w:color w:val="auto"/>
                <w:highlight w:val="none"/>
              </w:rPr>
              <w:t>资格证明文件独立密封包装；</w:t>
            </w:r>
          </w:p>
          <w:p w14:paraId="6CADDB9C">
            <w:pPr>
              <w:numPr>
                <w:ilvl w:val="0"/>
                <w:numId w:val="3"/>
              </w:numPr>
              <w:adjustRightInd w:val="0"/>
              <w:snapToGrid w:val="0"/>
              <w:spacing w:before="120" w:beforeLines="50" w:line="288" w:lineRule="auto"/>
              <w:rPr>
                <w:color w:val="auto"/>
                <w:highlight w:val="none"/>
              </w:rPr>
            </w:pPr>
            <w:r>
              <w:rPr>
                <w:rFonts w:hint="eastAsia"/>
                <w:color w:val="auto"/>
                <w:highlight w:val="none"/>
              </w:rPr>
              <w:t>商务技术文件正本和副本整体密封包装；</w:t>
            </w:r>
          </w:p>
          <w:p w14:paraId="6241526F">
            <w:pPr>
              <w:numPr>
                <w:ilvl w:val="0"/>
                <w:numId w:val="3"/>
              </w:numPr>
              <w:adjustRightInd w:val="0"/>
              <w:snapToGrid w:val="0"/>
              <w:spacing w:before="120" w:beforeLines="50" w:line="288" w:lineRule="auto"/>
              <w:rPr>
                <w:rFonts w:ascii="宋体" w:hAnsi="宋体" w:cs="宋体"/>
                <w:color w:val="auto"/>
                <w:highlight w:val="none"/>
              </w:rPr>
            </w:pPr>
            <w:r>
              <w:rPr>
                <w:rFonts w:hint="eastAsia" w:ascii="宋体" w:hAnsi="宋体" w:cs="宋体"/>
                <w:color w:val="auto"/>
                <w:highlight w:val="none"/>
              </w:rPr>
              <w:t>电子文件(U盘)1份，标注项目名称、供应商名称，装入资格证明文件的密封袋中；</w:t>
            </w:r>
          </w:p>
          <w:p w14:paraId="7EE77A40">
            <w:pPr>
              <w:numPr>
                <w:ilvl w:val="0"/>
                <w:numId w:val="3"/>
              </w:numPr>
              <w:adjustRightInd w:val="0"/>
              <w:snapToGrid w:val="0"/>
              <w:spacing w:before="120" w:beforeLines="50" w:line="288" w:lineRule="auto"/>
              <w:rPr>
                <w:color w:val="auto"/>
                <w:highlight w:val="none"/>
              </w:rPr>
            </w:pPr>
            <w:r>
              <w:rPr>
                <w:rFonts w:hint="eastAsia"/>
                <w:color w:val="auto"/>
                <w:highlight w:val="none"/>
              </w:rPr>
              <w:t>评分标准中注明原件查验的原件（如有），装入密封袋中，密封袋标注项目名称、原件及供应商名称等字样；</w:t>
            </w:r>
          </w:p>
          <w:p w14:paraId="74F51511">
            <w:pPr>
              <w:numPr>
                <w:ilvl w:val="0"/>
                <w:numId w:val="3"/>
              </w:numPr>
              <w:adjustRightInd w:val="0"/>
              <w:snapToGrid w:val="0"/>
              <w:spacing w:before="120" w:beforeLines="50" w:line="288" w:lineRule="auto"/>
              <w:rPr>
                <w:color w:val="auto"/>
                <w:highlight w:val="none"/>
              </w:rPr>
            </w:pPr>
            <w:r>
              <w:rPr>
                <w:rFonts w:hint="eastAsia"/>
                <w:color w:val="auto"/>
                <w:highlight w:val="none"/>
              </w:rPr>
              <w:t>资格证明文件与商务技术文件的正副本均须分开独立胶装成册。</w:t>
            </w:r>
          </w:p>
          <w:p w14:paraId="7EBEDBE3">
            <w:pPr>
              <w:numPr>
                <w:ilvl w:val="0"/>
                <w:numId w:val="3"/>
              </w:numPr>
              <w:adjustRightInd w:val="0"/>
              <w:snapToGrid w:val="0"/>
              <w:spacing w:before="120" w:beforeLines="50" w:line="288" w:lineRule="auto"/>
              <w:rPr>
                <w:color w:val="auto"/>
                <w:highlight w:val="none"/>
              </w:rPr>
            </w:pPr>
            <w:r>
              <w:rPr>
                <w:rFonts w:hint="eastAsia"/>
                <w:color w:val="auto"/>
                <w:highlight w:val="none"/>
              </w:rPr>
              <w:t>开标时，授权代表递交响应文件时须单独递交一份授权委托书原件及出示本人身份证原件。</w:t>
            </w:r>
          </w:p>
          <w:p w14:paraId="0509C26B">
            <w:pPr>
              <w:numPr>
                <w:ilvl w:val="0"/>
                <w:numId w:val="3"/>
              </w:num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参加多个标段（或包）磋商的供应商须独立制作对应标段（或包）的响应文件，不得集成在一个文件中递交，否则响应文件无效。</w:t>
            </w:r>
          </w:p>
        </w:tc>
      </w:tr>
      <w:tr w14:paraId="75B9E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6924CC7B">
            <w:pPr>
              <w:adjustRightInd w:val="0"/>
              <w:snapToGrid w:val="0"/>
              <w:spacing w:line="288" w:lineRule="auto"/>
              <w:jc w:val="left"/>
              <w:rPr>
                <w:rFonts w:ascii="宋体" w:hAnsi="宋体" w:cs="宋体"/>
                <w:b/>
                <w:bCs/>
                <w:color w:val="auto"/>
                <w:szCs w:val="21"/>
                <w:highlight w:val="none"/>
              </w:rPr>
            </w:pPr>
            <w:r>
              <w:rPr>
                <w:rFonts w:hint="eastAsia" w:ascii="宋体" w:hAnsi="宋体" w:cs="宋体"/>
                <w:b/>
                <w:color w:val="auto"/>
                <w:szCs w:val="21"/>
                <w:highlight w:val="none"/>
              </w:rPr>
              <w:t>四、响应文件的递交</w:t>
            </w:r>
          </w:p>
        </w:tc>
      </w:tr>
      <w:tr w14:paraId="6A08E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3EEA241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第二章第22.2款</w:t>
            </w:r>
          </w:p>
        </w:tc>
        <w:tc>
          <w:tcPr>
            <w:tcW w:w="2115" w:type="dxa"/>
            <w:vAlign w:val="center"/>
          </w:tcPr>
          <w:p w14:paraId="4F732D5E">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962" w:type="dxa"/>
            <w:gridSpan w:val="2"/>
            <w:vAlign w:val="center"/>
          </w:tcPr>
          <w:p w14:paraId="521E5FF0">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采购项目名称响应文件</w:t>
            </w:r>
          </w:p>
          <w:p w14:paraId="21E82E1F">
            <w:pPr>
              <w:adjustRightInd w:val="0"/>
              <w:snapToGrid w:val="0"/>
              <w:spacing w:before="120" w:beforeLines="50" w:line="288" w:lineRule="auto"/>
              <w:rPr>
                <w:rFonts w:ascii="宋体" w:hAnsi="宋体" w:cs="宋体"/>
                <w:color w:val="auto"/>
                <w:szCs w:val="21"/>
                <w:highlight w:val="none"/>
                <w:u w:val="single"/>
              </w:rPr>
            </w:pPr>
            <w:r>
              <w:rPr>
                <w:rFonts w:hint="eastAsia" w:ascii="宋体" w:hAnsi="宋体" w:cs="宋体"/>
                <w:color w:val="auto"/>
                <w:szCs w:val="21"/>
                <w:highlight w:val="none"/>
              </w:rPr>
              <w:t>政府采购编号：</w:t>
            </w:r>
          </w:p>
          <w:p w14:paraId="0C046383">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委托代理编号：</w:t>
            </w:r>
          </w:p>
          <w:p w14:paraId="15736C3A">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 xml:space="preserve">包或品目名： </w:t>
            </w:r>
          </w:p>
          <w:p w14:paraId="48FCFC91">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分册名称（第一册或第二册）：</w:t>
            </w:r>
          </w:p>
          <w:p w14:paraId="7058845A">
            <w:pPr>
              <w:adjustRightInd w:val="0"/>
              <w:snapToGrid w:val="0"/>
              <w:spacing w:before="120" w:beforeLines="50" w:line="288" w:lineRule="auto"/>
              <w:rPr>
                <w:rFonts w:ascii="宋体" w:hAnsi="宋体" w:cs="宋体"/>
                <w:color w:val="auto"/>
                <w:szCs w:val="21"/>
                <w:highlight w:val="none"/>
              </w:rPr>
            </w:pPr>
            <w:r>
              <w:rPr>
                <w:rFonts w:hint="eastAsia" w:ascii="宋体" w:hAnsi="宋体"/>
                <w:color w:val="auto"/>
                <w:szCs w:val="21"/>
                <w:highlight w:val="none"/>
              </w:rPr>
              <w:t>供应商</w:t>
            </w:r>
            <w:r>
              <w:rPr>
                <w:rFonts w:hint="eastAsia" w:ascii="宋体" w:hAnsi="宋体" w:cs="宋体"/>
                <w:color w:val="auto"/>
                <w:szCs w:val="21"/>
                <w:highlight w:val="none"/>
              </w:rPr>
              <w:t>名称：</w:t>
            </w:r>
          </w:p>
          <w:p w14:paraId="58F3BB5B">
            <w:pPr>
              <w:adjustRightInd w:val="0"/>
              <w:snapToGrid w:val="0"/>
              <w:spacing w:before="120" w:beforeLines="50" w:line="288" w:lineRule="auto"/>
              <w:rPr>
                <w:rFonts w:ascii="宋体" w:hAnsi="宋体" w:cs="宋体"/>
                <w:color w:val="auto"/>
                <w:szCs w:val="21"/>
                <w:highlight w:val="none"/>
              </w:rPr>
            </w:pPr>
            <w:r>
              <w:rPr>
                <w:rFonts w:hint="eastAsia" w:ascii="宋体" w:hAnsi="宋体" w:cs="宋体"/>
                <w:color w:val="auto"/>
                <w:szCs w:val="21"/>
                <w:highlight w:val="none"/>
              </w:rPr>
              <w:t xml:space="preserve">在年月日时分之前不得启封 </w:t>
            </w:r>
          </w:p>
        </w:tc>
      </w:tr>
      <w:tr w14:paraId="4F139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1893934">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第二章第24.1款</w:t>
            </w:r>
          </w:p>
        </w:tc>
        <w:tc>
          <w:tcPr>
            <w:tcW w:w="2115" w:type="dxa"/>
            <w:vAlign w:val="center"/>
          </w:tcPr>
          <w:p w14:paraId="3563CC6B">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5962" w:type="dxa"/>
            <w:gridSpan w:val="2"/>
            <w:vAlign w:val="center"/>
          </w:tcPr>
          <w:p w14:paraId="5642B6C1">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长沙市芙蓉区五一路249号湘域中央二栋150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室（湖南军融创项目管理有限公司开标室）。</w:t>
            </w:r>
          </w:p>
        </w:tc>
      </w:tr>
      <w:tr w14:paraId="2979C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39EC88CA">
            <w:pPr>
              <w:adjustRightInd w:val="0"/>
              <w:snapToGrid w:val="0"/>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五、响应</w:t>
            </w:r>
            <w:r>
              <w:rPr>
                <w:rFonts w:hint="eastAsia" w:ascii="宋体" w:hAnsi="宋体" w:cs="宋体"/>
                <w:b/>
                <w:color w:val="auto"/>
                <w:szCs w:val="21"/>
                <w:highlight w:val="none"/>
              </w:rPr>
              <w:t>文件</w:t>
            </w:r>
            <w:r>
              <w:rPr>
                <w:rFonts w:hint="eastAsia" w:ascii="宋体" w:hAnsi="宋体" w:cs="宋体"/>
                <w:b/>
                <w:bCs/>
                <w:color w:val="auto"/>
                <w:szCs w:val="21"/>
                <w:highlight w:val="none"/>
              </w:rPr>
              <w:t>的磋商与评审</w:t>
            </w:r>
          </w:p>
        </w:tc>
      </w:tr>
      <w:tr w14:paraId="48D5B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7AB95E9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第二章第31.2款</w:t>
            </w:r>
          </w:p>
        </w:tc>
        <w:tc>
          <w:tcPr>
            <w:tcW w:w="2115" w:type="dxa"/>
            <w:vAlign w:val="center"/>
          </w:tcPr>
          <w:p w14:paraId="764F5F72">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评审因素和标准</w:t>
            </w:r>
          </w:p>
        </w:tc>
        <w:tc>
          <w:tcPr>
            <w:tcW w:w="5962" w:type="dxa"/>
            <w:gridSpan w:val="2"/>
            <w:vAlign w:val="center"/>
          </w:tcPr>
          <w:p w14:paraId="2A820D8D">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见附页4</w:t>
            </w:r>
          </w:p>
        </w:tc>
      </w:tr>
      <w:tr w14:paraId="1EB64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296B0C11">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第二章第31.3款</w:t>
            </w:r>
          </w:p>
        </w:tc>
        <w:tc>
          <w:tcPr>
            <w:tcW w:w="2115" w:type="dxa"/>
            <w:vAlign w:val="center"/>
          </w:tcPr>
          <w:p w14:paraId="4D96C12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最后报价调整</w:t>
            </w:r>
          </w:p>
        </w:tc>
        <w:tc>
          <w:tcPr>
            <w:tcW w:w="5962" w:type="dxa"/>
            <w:gridSpan w:val="2"/>
            <w:vAlign w:val="center"/>
          </w:tcPr>
          <w:p w14:paraId="0656FB1D">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非专门面向中小企业采购的项目：给予小型和微型企业产品的价格给予10%-20%的扣除，用扣除后的价格参与评审，本项目具体扣除比例为10%。</w:t>
            </w:r>
          </w:p>
        </w:tc>
      </w:tr>
      <w:tr w14:paraId="313A4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202EDFF">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第二章第31.5款</w:t>
            </w:r>
          </w:p>
        </w:tc>
        <w:tc>
          <w:tcPr>
            <w:tcW w:w="2115" w:type="dxa"/>
            <w:vAlign w:val="center"/>
          </w:tcPr>
          <w:p w14:paraId="0EF7C0D3">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技术、商务、价格得分或总得分调整</w:t>
            </w:r>
          </w:p>
        </w:tc>
        <w:tc>
          <w:tcPr>
            <w:tcW w:w="5962" w:type="dxa"/>
            <w:gridSpan w:val="2"/>
            <w:vAlign w:val="center"/>
          </w:tcPr>
          <w:p w14:paraId="7B7FEB42">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符合第二章第9.1款规定，按第二章第31.6款规定及本款分值调整：</w:t>
            </w:r>
          </w:p>
          <w:p w14:paraId="5612631F">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1、节能产品：</w:t>
            </w:r>
          </w:p>
          <w:p w14:paraId="6EEBD3DA">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技术加分＝ 技术分值× 加分比例（比例见前附表第9.2项,下同）×（节能产品最后报价÷最后总报价）；</w:t>
            </w:r>
          </w:p>
          <w:p w14:paraId="132BA829">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价格加分＝价格分值×加分比例×（节能产品最后报价÷最后总报价）。</w:t>
            </w:r>
          </w:p>
          <w:p w14:paraId="03468011">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2、环境标志产品：</w:t>
            </w:r>
          </w:p>
          <w:p w14:paraId="62E9B0A0">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技术加分＝技术分值× 加分比例×（环境标志产品最后报价÷最后总报价）；</w:t>
            </w:r>
          </w:p>
          <w:p w14:paraId="4D823158">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价格加分＝价格分值×加分比例×（环境标志产品最后报价÷最后总报价）。</w:t>
            </w:r>
          </w:p>
        </w:tc>
      </w:tr>
      <w:tr w14:paraId="29EB8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052B9CE0">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第二章第31.6款</w:t>
            </w:r>
          </w:p>
        </w:tc>
        <w:tc>
          <w:tcPr>
            <w:tcW w:w="2115" w:type="dxa"/>
            <w:vAlign w:val="center"/>
          </w:tcPr>
          <w:p w14:paraId="3DE44802">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多处或部分获得政府采购政策优惠的计算方法</w:t>
            </w:r>
          </w:p>
        </w:tc>
        <w:tc>
          <w:tcPr>
            <w:tcW w:w="5962" w:type="dxa"/>
            <w:gridSpan w:val="2"/>
            <w:vAlign w:val="center"/>
          </w:tcPr>
          <w:p w14:paraId="49B638B1">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、符合政府采购优先采购政策的，产品只能享受节能产品、环境标志产品等产品优惠中的一项(由供应商在响应文件中选择并填报政策功能编码，评审时进行加分) 。</w:t>
            </w:r>
          </w:p>
          <w:p w14:paraId="5DD26532">
            <w:pPr>
              <w:adjustRightInd w:val="0"/>
              <w:snapToGrid w:val="0"/>
              <w:spacing w:before="120" w:beforeLines="50" w:line="288" w:lineRule="auto"/>
              <w:jc w:val="left"/>
              <w:rPr>
                <w:rFonts w:ascii="宋体" w:hAnsi="宋体" w:cs="宋体"/>
                <w:bCs/>
                <w:color w:val="auto"/>
                <w:szCs w:val="21"/>
                <w:highlight w:val="none"/>
              </w:rPr>
            </w:pPr>
            <w:r>
              <w:rPr>
                <w:rFonts w:hint="eastAsia" w:ascii="宋体" w:hAnsi="宋体" w:cs="宋体"/>
                <w:bCs/>
                <w:color w:val="auto"/>
                <w:szCs w:val="21"/>
                <w:highlight w:val="none"/>
              </w:rPr>
              <w:t>2、供应商享受支持中小企业发展政策优惠的，可以与同时享受节能产品、环境标志产品等产品优惠中的一项累加。</w:t>
            </w:r>
          </w:p>
          <w:p w14:paraId="4DB175BA">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3、同一项目中部分产品属于优先采购政策的，评审时只对该部分产品的报价实行价格扣除或加分（按该部分产品的报价占总报价的百分比调整）。</w:t>
            </w:r>
          </w:p>
        </w:tc>
      </w:tr>
      <w:tr w14:paraId="36A93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41351E2E">
            <w:pPr>
              <w:adjustRightInd w:val="0"/>
              <w:snapToGrid w:val="0"/>
              <w:spacing w:line="288" w:lineRule="auto"/>
              <w:jc w:val="left"/>
              <w:rPr>
                <w:rFonts w:ascii="宋体" w:hAnsi="宋体" w:cs="宋体"/>
                <w:color w:val="auto"/>
                <w:szCs w:val="21"/>
                <w:highlight w:val="none"/>
              </w:rPr>
            </w:pPr>
            <w:r>
              <w:rPr>
                <w:rFonts w:hint="eastAsia" w:ascii="宋体" w:hAnsi="宋体" w:cs="宋体"/>
                <w:b/>
                <w:color w:val="auto"/>
                <w:szCs w:val="21"/>
                <w:highlight w:val="none"/>
              </w:rPr>
              <w:t>六、成交结果信息公布与授予合同</w:t>
            </w:r>
          </w:p>
        </w:tc>
      </w:tr>
      <w:tr w14:paraId="4203B2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72753FC">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第二章第37.1款</w:t>
            </w:r>
          </w:p>
        </w:tc>
        <w:tc>
          <w:tcPr>
            <w:tcW w:w="2115" w:type="dxa"/>
            <w:vAlign w:val="center"/>
          </w:tcPr>
          <w:p w14:paraId="10BAD537">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财政部门指定的媒体</w:t>
            </w:r>
          </w:p>
        </w:tc>
        <w:tc>
          <w:tcPr>
            <w:tcW w:w="5962" w:type="dxa"/>
            <w:gridSpan w:val="2"/>
            <w:vAlign w:val="center"/>
          </w:tcPr>
          <w:p w14:paraId="0A5AD09E">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中国湖南政府采购网（www.ccgp-hunan.gov.cn）</w:t>
            </w:r>
          </w:p>
        </w:tc>
      </w:tr>
      <w:tr w14:paraId="73A78F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B2FA06F">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.3款</w:t>
            </w:r>
          </w:p>
        </w:tc>
        <w:tc>
          <w:tcPr>
            <w:tcW w:w="2115" w:type="dxa"/>
            <w:vAlign w:val="center"/>
          </w:tcPr>
          <w:p w14:paraId="6855E3A2">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5962" w:type="dxa"/>
            <w:gridSpan w:val="2"/>
            <w:vAlign w:val="center"/>
          </w:tcPr>
          <w:p w14:paraId="290CC47F">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不要求提供</w:t>
            </w:r>
          </w:p>
          <w:p w14:paraId="7408350F">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 要求提供，履约担保的金额为： / 元</w:t>
            </w:r>
          </w:p>
        </w:tc>
      </w:tr>
      <w:tr w14:paraId="6DE3FA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39" w:type="dxa"/>
            <w:gridSpan w:val="4"/>
            <w:vAlign w:val="center"/>
          </w:tcPr>
          <w:p w14:paraId="2531F6EC">
            <w:pPr>
              <w:adjustRightInd w:val="0"/>
              <w:snapToGrid w:val="0"/>
              <w:spacing w:line="288" w:lineRule="auto"/>
              <w:jc w:val="left"/>
              <w:rPr>
                <w:rFonts w:ascii="宋体" w:hAnsi="宋体" w:cs="宋体"/>
                <w:b/>
                <w:color w:val="auto"/>
                <w:szCs w:val="21"/>
                <w:highlight w:val="none"/>
              </w:rPr>
            </w:pPr>
            <w:r>
              <w:rPr>
                <w:rFonts w:hint="eastAsia" w:ascii="宋体" w:hAnsi="宋体" w:cs="宋体"/>
                <w:b/>
                <w:color w:val="auto"/>
                <w:szCs w:val="21"/>
                <w:highlight w:val="none"/>
              </w:rPr>
              <w:t>七、其他规定</w:t>
            </w:r>
          </w:p>
        </w:tc>
      </w:tr>
      <w:tr w14:paraId="124C6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567F676B">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.1款</w:t>
            </w:r>
          </w:p>
        </w:tc>
        <w:tc>
          <w:tcPr>
            <w:tcW w:w="2115" w:type="dxa"/>
            <w:vAlign w:val="center"/>
          </w:tcPr>
          <w:p w14:paraId="4DEE8EB9">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5962" w:type="dxa"/>
            <w:gridSpan w:val="2"/>
            <w:vAlign w:val="center"/>
          </w:tcPr>
          <w:p w14:paraId="58E2C543">
            <w:pPr>
              <w:adjustRightInd w:val="0"/>
              <w:snapToGrid w:val="0"/>
              <w:spacing w:before="120" w:beforeLines="50" w:line="288" w:lineRule="auto"/>
              <w:jc w:val="left"/>
              <w:rPr>
                <w:rFonts w:hint="eastAsia" w:hAnsi="宋体" w:cs="宋体"/>
                <w:color w:val="auto"/>
                <w:highlight w:val="none"/>
                <w:lang w:val="en-US" w:eastAsia="zh-CN"/>
              </w:rPr>
            </w:pPr>
            <w:r>
              <w:rPr>
                <w:rFonts w:hint="eastAsia" w:hAnsi="宋体" w:cs="宋体"/>
                <w:color w:val="auto"/>
                <w:highlight w:val="none"/>
                <w:lang w:val="en-US" w:eastAsia="zh-CN"/>
              </w:rPr>
              <w:t>以预算为标的，依照按计价格【2002】1980号文件的服务类差额定率累进公式计费后8折收取。共计18240元，由采购人支付。计价公式如下：</w:t>
            </w:r>
          </w:p>
          <w:tbl>
            <w:tblPr>
              <w:tblStyle w:val="22"/>
              <w:tblpPr w:leftFromText="45" w:rightFromText="45" w:vertAnchor="text" w:tblpXSpec="center"/>
              <w:tblW w:w="599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4"/>
              <w:gridCol w:w="1515"/>
              <w:gridCol w:w="1426"/>
              <w:gridCol w:w="1692"/>
            </w:tblGrid>
            <w:tr w14:paraId="20FE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blCellSpacing w:w="0" w:type="dxa"/>
                <w:jc w:val="center"/>
              </w:trPr>
              <w:tc>
                <w:tcPr>
                  <w:tcW w:w="1364" w:type="dxa"/>
                </w:tcPr>
                <w:p w14:paraId="0A7DE43E">
                  <w:pPr>
                    <w:widowControl/>
                    <w:spacing w:before="100" w:beforeAutospacing="1" w:after="100" w:afterAutospacing="1"/>
                    <w:jc w:val="left"/>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kern w:val="0"/>
                      <w:sz w:val="18"/>
                      <w:szCs w:val="18"/>
                      <w:highlight w:val="none"/>
                      <w:lang w:val="en-US" w:eastAsia="zh-CN"/>
                    </w:rPr>
                    <w:t>标的</w:t>
                  </w:r>
                  <w:r>
                    <w:rPr>
                      <w:rFonts w:hint="eastAsia" w:ascii="微软雅黑" w:hAnsi="微软雅黑" w:eastAsia="微软雅黑" w:cs="微软雅黑"/>
                      <w:b/>
                      <w:bCs/>
                      <w:color w:val="auto"/>
                      <w:kern w:val="0"/>
                      <w:sz w:val="18"/>
                      <w:szCs w:val="18"/>
                      <w:highlight w:val="none"/>
                    </w:rPr>
                    <w:t>金额（万元）</w:t>
                  </w:r>
                </w:p>
              </w:tc>
              <w:tc>
                <w:tcPr>
                  <w:tcW w:w="1515" w:type="dxa"/>
                  <w:vAlign w:val="center"/>
                </w:tcPr>
                <w:p w14:paraId="04094AF9">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kern w:val="0"/>
                      <w:sz w:val="18"/>
                      <w:szCs w:val="18"/>
                      <w:highlight w:val="none"/>
                    </w:rPr>
                    <w:t>货物招标</w:t>
                  </w:r>
                </w:p>
              </w:tc>
              <w:tc>
                <w:tcPr>
                  <w:tcW w:w="1426" w:type="dxa"/>
                  <w:vAlign w:val="center"/>
                </w:tcPr>
                <w:p w14:paraId="6DFBB03F">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kern w:val="0"/>
                      <w:sz w:val="18"/>
                      <w:szCs w:val="18"/>
                      <w:highlight w:val="none"/>
                    </w:rPr>
                    <w:t>服务招标</w:t>
                  </w:r>
                </w:p>
              </w:tc>
              <w:tc>
                <w:tcPr>
                  <w:tcW w:w="1692" w:type="dxa"/>
                  <w:vAlign w:val="center"/>
                </w:tcPr>
                <w:p w14:paraId="1AF4AC7D">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b/>
                      <w:bCs/>
                      <w:color w:val="auto"/>
                      <w:kern w:val="0"/>
                      <w:sz w:val="18"/>
                      <w:szCs w:val="18"/>
                      <w:highlight w:val="none"/>
                    </w:rPr>
                    <w:t>工程招标</w:t>
                  </w:r>
                </w:p>
              </w:tc>
            </w:tr>
            <w:tr w14:paraId="7E16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jc w:val="center"/>
              </w:trPr>
              <w:tc>
                <w:tcPr>
                  <w:tcW w:w="1364" w:type="dxa"/>
                </w:tcPr>
                <w:p w14:paraId="4846FDCA">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100以下</w:t>
                  </w:r>
                </w:p>
              </w:tc>
              <w:tc>
                <w:tcPr>
                  <w:tcW w:w="1515" w:type="dxa"/>
                </w:tcPr>
                <w:p w14:paraId="5F9490A8">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1.5%</w:t>
                  </w:r>
                </w:p>
              </w:tc>
              <w:tc>
                <w:tcPr>
                  <w:tcW w:w="1426" w:type="dxa"/>
                </w:tcPr>
                <w:p w14:paraId="1F0475DD">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1.5%</w:t>
                  </w:r>
                </w:p>
              </w:tc>
              <w:tc>
                <w:tcPr>
                  <w:tcW w:w="1692" w:type="dxa"/>
                </w:tcPr>
                <w:p w14:paraId="751C47C4">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w:t>
                  </w:r>
                </w:p>
              </w:tc>
            </w:tr>
            <w:tr w14:paraId="1477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jc w:val="center"/>
              </w:trPr>
              <w:tc>
                <w:tcPr>
                  <w:tcW w:w="1364" w:type="dxa"/>
                </w:tcPr>
                <w:p w14:paraId="08D7BE88">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100-500</w:t>
                  </w:r>
                </w:p>
              </w:tc>
              <w:tc>
                <w:tcPr>
                  <w:tcW w:w="1515" w:type="dxa"/>
                </w:tcPr>
                <w:p w14:paraId="543BCA2B">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1.1%</w:t>
                  </w:r>
                </w:p>
              </w:tc>
              <w:tc>
                <w:tcPr>
                  <w:tcW w:w="1426" w:type="dxa"/>
                </w:tcPr>
                <w:p w14:paraId="5887AD06">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0.8%</w:t>
                  </w:r>
                </w:p>
              </w:tc>
              <w:tc>
                <w:tcPr>
                  <w:tcW w:w="1692" w:type="dxa"/>
                </w:tcPr>
                <w:p w14:paraId="35325661">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0.7%</w:t>
                  </w:r>
                </w:p>
              </w:tc>
            </w:tr>
            <w:tr w14:paraId="7FF6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jc w:val="center"/>
              </w:trPr>
              <w:tc>
                <w:tcPr>
                  <w:tcW w:w="1364" w:type="dxa"/>
                </w:tcPr>
                <w:p w14:paraId="538F32E8">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500-1000</w:t>
                  </w:r>
                </w:p>
              </w:tc>
              <w:tc>
                <w:tcPr>
                  <w:tcW w:w="1515" w:type="dxa"/>
                </w:tcPr>
                <w:p w14:paraId="5DC12A8A">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0.8%</w:t>
                  </w:r>
                </w:p>
              </w:tc>
              <w:tc>
                <w:tcPr>
                  <w:tcW w:w="1426" w:type="dxa"/>
                </w:tcPr>
                <w:p w14:paraId="2C041F64">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0.45%</w:t>
                  </w:r>
                </w:p>
              </w:tc>
              <w:tc>
                <w:tcPr>
                  <w:tcW w:w="1692" w:type="dxa"/>
                </w:tcPr>
                <w:p w14:paraId="582F6630">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0.55%</w:t>
                  </w:r>
                </w:p>
              </w:tc>
            </w:tr>
            <w:tr w14:paraId="3903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jc w:val="center"/>
              </w:trPr>
              <w:tc>
                <w:tcPr>
                  <w:tcW w:w="1364" w:type="dxa"/>
                </w:tcPr>
                <w:p w14:paraId="2565F7D5">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1000-5000</w:t>
                  </w:r>
                </w:p>
              </w:tc>
              <w:tc>
                <w:tcPr>
                  <w:tcW w:w="1515" w:type="dxa"/>
                </w:tcPr>
                <w:p w14:paraId="51325E13">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0.5%</w:t>
                  </w:r>
                </w:p>
              </w:tc>
              <w:tc>
                <w:tcPr>
                  <w:tcW w:w="1426" w:type="dxa"/>
                </w:tcPr>
                <w:p w14:paraId="2AF0D41C">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0.25%</w:t>
                  </w:r>
                </w:p>
              </w:tc>
              <w:tc>
                <w:tcPr>
                  <w:tcW w:w="1692" w:type="dxa"/>
                </w:tcPr>
                <w:p w14:paraId="64047F57">
                  <w:pPr>
                    <w:widowControl/>
                    <w:spacing w:before="100" w:beforeAutospacing="1" w:after="100" w:afterAutospacing="1"/>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0.35%</w:t>
                  </w:r>
                </w:p>
              </w:tc>
            </w:tr>
          </w:tbl>
          <w:p w14:paraId="7147B6A4">
            <w:pPr>
              <w:adjustRightInd w:val="0"/>
              <w:snapToGrid w:val="0"/>
              <w:spacing w:before="120" w:beforeLines="50" w:line="288" w:lineRule="auto"/>
              <w:jc w:val="left"/>
              <w:rPr>
                <w:rFonts w:hint="eastAsia"/>
                <w:color w:val="auto"/>
                <w:highlight w:val="none"/>
              </w:rPr>
            </w:pPr>
            <w:r>
              <w:rPr>
                <w:rFonts w:hint="eastAsia"/>
                <w:color w:val="auto"/>
                <w:highlight w:val="none"/>
              </w:rPr>
              <w:t>收款人：湖南军融创项目管理有限公司</w:t>
            </w:r>
          </w:p>
          <w:p w14:paraId="36377792">
            <w:pPr>
              <w:adjustRightInd w:val="0"/>
              <w:snapToGrid w:val="0"/>
              <w:spacing w:before="120" w:beforeLines="50" w:line="288" w:lineRule="auto"/>
              <w:jc w:val="left"/>
              <w:rPr>
                <w:rFonts w:hint="eastAsia"/>
                <w:color w:val="auto"/>
                <w:highlight w:val="none"/>
              </w:rPr>
            </w:pPr>
            <w:r>
              <w:rPr>
                <w:rFonts w:hint="eastAsia"/>
                <w:color w:val="auto"/>
                <w:highlight w:val="none"/>
              </w:rPr>
              <w:t>开户银行：长沙银行股份有限公司长沙市恒泰支行</w:t>
            </w:r>
          </w:p>
          <w:p w14:paraId="5A3BBD15">
            <w:pPr>
              <w:adjustRightInd w:val="0"/>
              <w:snapToGrid w:val="0"/>
              <w:spacing w:before="120" w:beforeLines="50" w:line="288" w:lineRule="auto"/>
              <w:jc w:val="left"/>
              <w:rPr>
                <w:color w:val="auto"/>
                <w:highlight w:val="none"/>
              </w:rPr>
            </w:pPr>
            <w:r>
              <w:rPr>
                <w:rFonts w:hint="eastAsia"/>
                <w:color w:val="auto"/>
                <w:highlight w:val="none"/>
              </w:rPr>
              <w:t>银行账户：800203367108015</w:t>
            </w:r>
          </w:p>
        </w:tc>
      </w:tr>
      <w:tr w14:paraId="71C4E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762" w:type="dxa"/>
            <w:vAlign w:val="center"/>
          </w:tcPr>
          <w:p w14:paraId="48CCD632">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第二章第4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.1款</w:t>
            </w:r>
          </w:p>
        </w:tc>
        <w:tc>
          <w:tcPr>
            <w:tcW w:w="2115" w:type="dxa"/>
            <w:vAlign w:val="center"/>
          </w:tcPr>
          <w:p w14:paraId="4D39D832">
            <w:pPr>
              <w:adjustRightInd w:val="0"/>
              <w:snapToGrid w:val="0"/>
              <w:spacing w:before="120" w:beforeLines="50" w:line="288" w:lineRule="auto"/>
              <w:jc w:val="center"/>
              <w:rPr>
                <w:rFonts w:ascii="宋体" w:hAnsi="宋体" w:cs="宋体"/>
                <w:color w:val="auto"/>
                <w:szCs w:val="21"/>
                <w:highlight w:val="none"/>
              </w:rPr>
            </w:pPr>
            <w:r>
              <w:rPr>
                <w:rFonts w:hint="eastAsia" w:ascii="宋体" w:hAnsi="宋体" w:cs="宋体"/>
                <w:color w:val="auto"/>
                <w:szCs w:val="21"/>
                <w:highlight w:val="none"/>
              </w:rPr>
              <w:t>其他规定</w:t>
            </w:r>
          </w:p>
        </w:tc>
        <w:tc>
          <w:tcPr>
            <w:tcW w:w="5962" w:type="dxa"/>
            <w:gridSpan w:val="2"/>
            <w:vAlign w:val="center"/>
          </w:tcPr>
          <w:p w14:paraId="4CE55C9B">
            <w:pPr>
              <w:adjustRightInd w:val="0"/>
              <w:snapToGrid w:val="0"/>
              <w:spacing w:before="120" w:beforeLines="50" w:line="288" w:lineRule="auto"/>
              <w:jc w:val="left"/>
              <w:rPr>
                <w:rFonts w:ascii="宋体" w:hAnsi="宋体" w:cs="宋体"/>
                <w:color w:val="auto"/>
                <w:szCs w:val="21"/>
                <w:highlight w:val="none"/>
              </w:rPr>
            </w:pPr>
            <w:r>
              <w:rPr>
                <w:rFonts w:hint="eastAsia" w:ascii="宋体" w:hAnsi="宋体" w:cs="宋体"/>
                <w:color w:val="auto"/>
                <w:szCs w:val="21"/>
                <w:highlight w:val="none"/>
              </w:rPr>
              <w:t>无</w:t>
            </w:r>
          </w:p>
        </w:tc>
      </w:tr>
    </w:tbl>
    <w:p w14:paraId="1A268226">
      <w:pPr>
        <w:adjustRightInd w:val="0"/>
        <w:snapToGrid w:val="0"/>
        <w:spacing w:line="360" w:lineRule="auto"/>
        <w:rPr>
          <w:rFonts w:ascii="宋体" w:hAnsi="宋体"/>
          <w:b/>
          <w:bCs/>
          <w:color w:val="auto"/>
          <w:szCs w:val="21"/>
          <w:highlight w:val="none"/>
        </w:rPr>
      </w:pPr>
    </w:p>
    <w:p w14:paraId="73A35297">
      <w:pPr>
        <w:pStyle w:val="9"/>
        <w:rPr>
          <w:rFonts w:ascii="宋体" w:hAnsi="宋体"/>
          <w:b/>
          <w:bCs/>
          <w:color w:val="auto"/>
          <w:szCs w:val="21"/>
          <w:highlight w:val="none"/>
        </w:rPr>
      </w:pPr>
    </w:p>
    <w:p w14:paraId="267E5980">
      <w:pPr>
        <w:rPr>
          <w:rFonts w:ascii="宋体" w:hAnsi="宋体"/>
          <w:b/>
          <w:bCs/>
          <w:color w:val="auto"/>
          <w:szCs w:val="21"/>
          <w:highlight w:val="none"/>
        </w:rPr>
      </w:pPr>
      <w:r>
        <w:rPr>
          <w:rFonts w:hint="eastAsia" w:ascii="宋体" w:hAnsi="宋体"/>
          <w:b/>
          <w:bCs/>
          <w:color w:val="auto"/>
          <w:szCs w:val="21"/>
          <w:highlight w:val="none"/>
        </w:rPr>
        <w:br w:type="page"/>
      </w:r>
    </w:p>
    <w:p w14:paraId="2FB0D0E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附页1</w:t>
      </w:r>
    </w:p>
    <w:p w14:paraId="38AD5515">
      <w:pPr>
        <w:adjustRightInd w:val="0"/>
        <w:snapToGrid w:val="0"/>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22"/>
        <w:tblW w:w="96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1137"/>
        <w:gridCol w:w="3220"/>
        <w:gridCol w:w="2462"/>
      </w:tblGrid>
      <w:tr w14:paraId="5420D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486ABC7E">
            <w:pPr>
              <w:adjustRightInd w:val="0"/>
              <w:snapToGrid w:val="0"/>
              <w:spacing w:before="120"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银行名称</w:t>
            </w:r>
          </w:p>
        </w:tc>
        <w:tc>
          <w:tcPr>
            <w:tcW w:w="1137" w:type="dxa"/>
            <w:vAlign w:val="center"/>
          </w:tcPr>
          <w:p w14:paraId="060B3A22">
            <w:pPr>
              <w:adjustRightInd w:val="0"/>
              <w:snapToGrid w:val="0"/>
              <w:spacing w:before="120"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联系人</w:t>
            </w:r>
          </w:p>
        </w:tc>
        <w:tc>
          <w:tcPr>
            <w:tcW w:w="3220" w:type="dxa"/>
            <w:vAlign w:val="center"/>
          </w:tcPr>
          <w:p w14:paraId="7B37F5AD">
            <w:pPr>
              <w:adjustRightInd w:val="0"/>
              <w:snapToGrid w:val="0"/>
              <w:spacing w:before="120"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职 务</w:t>
            </w:r>
          </w:p>
        </w:tc>
        <w:tc>
          <w:tcPr>
            <w:tcW w:w="2462" w:type="dxa"/>
            <w:vAlign w:val="center"/>
          </w:tcPr>
          <w:p w14:paraId="55DB1249">
            <w:pPr>
              <w:adjustRightInd w:val="0"/>
              <w:snapToGrid w:val="0"/>
              <w:spacing w:before="120" w:beforeLines="50" w:line="312" w:lineRule="auto"/>
              <w:jc w:val="center"/>
              <w:rPr>
                <w:rFonts w:ascii="宋体" w:hAnsi="宋体"/>
                <w:b/>
                <w:color w:val="auto"/>
                <w:szCs w:val="21"/>
                <w:highlight w:val="none"/>
              </w:rPr>
            </w:pPr>
            <w:r>
              <w:rPr>
                <w:rFonts w:hint="eastAsia" w:ascii="宋体" w:hAnsi="宋体" w:cs="宋体"/>
                <w:b/>
                <w:bCs/>
                <w:color w:val="auto"/>
                <w:kern w:val="0"/>
                <w:szCs w:val="21"/>
                <w:highlight w:val="none"/>
              </w:rPr>
              <w:t>联系电话</w:t>
            </w:r>
          </w:p>
        </w:tc>
      </w:tr>
      <w:tr w14:paraId="1D006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64BE7CA3">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137" w:type="dxa"/>
            <w:vAlign w:val="center"/>
          </w:tcPr>
          <w:p w14:paraId="022F3DC2">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刘  波</w:t>
            </w:r>
          </w:p>
        </w:tc>
        <w:tc>
          <w:tcPr>
            <w:tcW w:w="3220" w:type="dxa"/>
            <w:vAlign w:val="center"/>
          </w:tcPr>
          <w:p w14:paraId="7A457D49">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2462" w:type="dxa"/>
            <w:vAlign w:val="center"/>
          </w:tcPr>
          <w:p w14:paraId="4A7E21C5">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46100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4AD968E8">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137" w:type="dxa"/>
            <w:vAlign w:val="center"/>
          </w:tcPr>
          <w:p w14:paraId="326EF255">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220" w:type="dxa"/>
            <w:vAlign w:val="center"/>
          </w:tcPr>
          <w:p w14:paraId="28E7A975">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2462" w:type="dxa"/>
            <w:vAlign w:val="center"/>
          </w:tcPr>
          <w:p w14:paraId="25E27881">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221C1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5425350F">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137" w:type="dxa"/>
            <w:vAlign w:val="center"/>
          </w:tcPr>
          <w:p w14:paraId="10C19095">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220" w:type="dxa"/>
            <w:vAlign w:val="center"/>
          </w:tcPr>
          <w:p w14:paraId="687DEA46">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2462" w:type="dxa"/>
            <w:vAlign w:val="center"/>
          </w:tcPr>
          <w:p w14:paraId="3479DA9B">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60F42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6060595F">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137" w:type="dxa"/>
            <w:vAlign w:val="center"/>
          </w:tcPr>
          <w:p w14:paraId="53D85178">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220" w:type="dxa"/>
            <w:vAlign w:val="center"/>
          </w:tcPr>
          <w:p w14:paraId="2FF5622D">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2462" w:type="dxa"/>
            <w:vAlign w:val="center"/>
          </w:tcPr>
          <w:p w14:paraId="38CD507E">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4EBF6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0E720BA7">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137" w:type="dxa"/>
            <w:vAlign w:val="center"/>
          </w:tcPr>
          <w:p w14:paraId="415CC10B">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220" w:type="dxa"/>
            <w:vAlign w:val="center"/>
          </w:tcPr>
          <w:p w14:paraId="173F1611">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支行行长</w:t>
            </w:r>
          </w:p>
        </w:tc>
        <w:tc>
          <w:tcPr>
            <w:tcW w:w="2462" w:type="dxa"/>
            <w:vAlign w:val="center"/>
          </w:tcPr>
          <w:p w14:paraId="7980FFC0">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147CC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0CB12C2F">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137" w:type="dxa"/>
            <w:vAlign w:val="center"/>
          </w:tcPr>
          <w:p w14:paraId="1B5EAEAA">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220" w:type="dxa"/>
            <w:vAlign w:val="center"/>
          </w:tcPr>
          <w:p w14:paraId="0B4A7209">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2462" w:type="dxa"/>
            <w:vAlign w:val="center"/>
          </w:tcPr>
          <w:p w14:paraId="0D340692">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29D394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0FCAA712">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137" w:type="dxa"/>
            <w:vAlign w:val="center"/>
          </w:tcPr>
          <w:p w14:paraId="294EAEA5">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220" w:type="dxa"/>
            <w:vAlign w:val="center"/>
          </w:tcPr>
          <w:p w14:paraId="441E0A69">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2462" w:type="dxa"/>
            <w:vAlign w:val="center"/>
          </w:tcPr>
          <w:p w14:paraId="75BEA283">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70F7C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435EEE20">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137" w:type="dxa"/>
            <w:vAlign w:val="center"/>
          </w:tcPr>
          <w:p w14:paraId="35B3CB95">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220" w:type="dxa"/>
            <w:vAlign w:val="center"/>
          </w:tcPr>
          <w:p w14:paraId="22BF4102">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2462" w:type="dxa"/>
            <w:vAlign w:val="center"/>
          </w:tcPr>
          <w:p w14:paraId="3B725919">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3B3153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41" w:type="dxa"/>
            <w:vAlign w:val="center"/>
          </w:tcPr>
          <w:p w14:paraId="1D8C5EE6">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137" w:type="dxa"/>
            <w:vAlign w:val="center"/>
          </w:tcPr>
          <w:p w14:paraId="3AA996BA">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220" w:type="dxa"/>
            <w:vAlign w:val="center"/>
          </w:tcPr>
          <w:p w14:paraId="72B6E6FF">
            <w:pPr>
              <w:adjustRightInd w:val="0"/>
              <w:snapToGrid w:val="0"/>
              <w:spacing w:before="120" w:beforeLines="50" w:line="312" w:lineRule="auto"/>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2462" w:type="dxa"/>
            <w:vAlign w:val="center"/>
          </w:tcPr>
          <w:p w14:paraId="18585537">
            <w:pPr>
              <w:adjustRightInd w:val="0"/>
              <w:snapToGrid w:val="0"/>
              <w:spacing w:before="120" w:beforeLines="50" w:line="312" w:lineRule="auto"/>
              <w:jc w:val="center"/>
              <w:rPr>
                <w:rFonts w:ascii="宋体" w:hAnsi="宋体"/>
                <w:color w:val="auto"/>
                <w:szCs w:val="21"/>
                <w:highlight w:val="none"/>
              </w:rPr>
            </w:pPr>
            <w:r>
              <w:rPr>
                <w:rFonts w:hint="eastAsia" w:ascii="宋体" w:hAnsi="宋体" w:cs="宋体"/>
                <w:color w:val="auto"/>
                <w:kern w:val="0"/>
                <w:szCs w:val="21"/>
                <w:highlight w:val="none"/>
              </w:rPr>
              <w:t>0731-845822141</w:t>
            </w:r>
          </w:p>
        </w:tc>
      </w:tr>
    </w:tbl>
    <w:p w14:paraId="2A624F00">
      <w:pPr>
        <w:adjustRightInd w:val="0"/>
        <w:snapToGrid w:val="0"/>
        <w:spacing w:line="360" w:lineRule="auto"/>
        <w:rPr>
          <w:rFonts w:ascii="宋体" w:hAnsi="宋体"/>
          <w:b/>
          <w:bCs/>
          <w:color w:val="auto"/>
          <w:szCs w:val="21"/>
          <w:highlight w:val="none"/>
        </w:rPr>
      </w:pPr>
    </w:p>
    <w:p w14:paraId="03F7E12C">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附页2</w:t>
      </w:r>
    </w:p>
    <w:p w14:paraId="564C8FFB">
      <w:pPr>
        <w:adjustRightInd w:val="0"/>
        <w:snapToGrid w:val="0"/>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b/>
          <w:color w:val="auto"/>
          <w:sz w:val="28"/>
          <w:szCs w:val="28"/>
          <w:highlight w:val="none"/>
        </w:rPr>
        <w:t>信用担保机构名单</w:t>
      </w:r>
    </w:p>
    <w:tbl>
      <w:tblPr>
        <w:tblStyle w:val="22"/>
        <w:tblW w:w="97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564"/>
        <w:gridCol w:w="1142"/>
        <w:gridCol w:w="3994"/>
      </w:tblGrid>
      <w:tr w14:paraId="5FA68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7FDBC56D">
            <w:pPr>
              <w:adjustRightInd w:val="0"/>
              <w:snapToGrid w:val="0"/>
              <w:spacing w:before="120"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信用担保机构</w:t>
            </w:r>
          </w:p>
        </w:tc>
        <w:tc>
          <w:tcPr>
            <w:tcW w:w="1142" w:type="dxa"/>
            <w:vAlign w:val="center"/>
          </w:tcPr>
          <w:p w14:paraId="2856BEA8">
            <w:pPr>
              <w:adjustRightInd w:val="0"/>
              <w:snapToGrid w:val="0"/>
              <w:spacing w:before="120"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联系人</w:t>
            </w:r>
          </w:p>
        </w:tc>
        <w:tc>
          <w:tcPr>
            <w:tcW w:w="3994" w:type="dxa"/>
            <w:vAlign w:val="center"/>
          </w:tcPr>
          <w:p w14:paraId="4229F99B">
            <w:pPr>
              <w:adjustRightInd w:val="0"/>
              <w:snapToGrid w:val="0"/>
              <w:spacing w:before="120" w:beforeLines="50" w:line="312"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联系电话</w:t>
            </w:r>
          </w:p>
        </w:tc>
      </w:tr>
      <w:tr w14:paraId="67A33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16FE0D81">
            <w:pPr>
              <w:adjustRightInd w:val="0"/>
              <w:snapToGrid w:val="0"/>
              <w:spacing w:before="120"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中国投资担保公司</w:t>
            </w:r>
          </w:p>
        </w:tc>
        <w:tc>
          <w:tcPr>
            <w:tcW w:w="1142" w:type="dxa"/>
            <w:vAlign w:val="center"/>
          </w:tcPr>
          <w:p w14:paraId="40F32C96">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何  嘉</w:t>
            </w:r>
          </w:p>
        </w:tc>
        <w:tc>
          <w:tcPr>
            <w:tcW w:w="3994" w:type="dxa"/>
            <w:vAlign w:val="center"/>
          </w:tcPr>
          <w:p w14:paraId="777FEC16">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010-88822659/13718642233</w:t>
            </w:r>
          </w:p>
        </w:tc>
      </w:tr>
      <w:tr w14:paraId="10C60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4D9935AF">
            <w:pPr>
              <w:adjustRightInd w:val="0"/>
              <w:snapToGrid w:val="0"/>
              <w:spacing w:before="120"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湖南省中小企业信用担保有限责任公司</w:t>
            </w:r>
          </w:p>
        </w:tc>
        <w:tc>
          <w:tcPr>
            <w:tcW w:w="1142" w:type="dxa"/>
            <w:vAlign w:val="center"/>
          </w:tcPr>
          <w:p w14:paraId="19C046D0">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蔡建雄</w:t>
            </w:r>
          </w:p>
        </w:tc>
        <w:tc>
          <w:tcPr>
            <w:tcW w:w="3994" w:type="dxa"/>
            <w:vAlign w:val="center"/>
          </w:tcPr>
          <w:p w14:paraId="081FD19A">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0731-84172390-201/15573193555</w:t>
            </w:r>
          </w:p>
        </w:tc>
      </w:tr>
      <w:tr w14:paraId="3C5B5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564" w:type="dxa"/>
            <w:vAlign w:val="center"/>
          </w:tcPr>
          <w:p w14:paraId="3A15401E">
            <w:pPr>
              <w:adjustRightInd w:val="0"/>
              <w:snapToGrid w:val="0"/>
              <w:spacing w:before="120" w:beforeLines="50" w:line="312" w:lineRule="auto"/>
              <w:rPr>
                <w:rFonts w:ascii="宋体" w:hAnsi="宋体" w:cs="宋体"/>
                <w:color w:val="auto"/>
                <w:kern w:val="0"/>
                <w:szCs w:val="21"/>
                <w:highlight w:val="none"/>
              </w:rPr>
            </w:pPr>
            <w:r>
              <w:rPr>
                <w:rFonts w:hint="eastAsia" w:ascii="宋体" w:hAnsi="宋体" w:cs="宋体"/>
                <w:color w:val="auto"/>
                <w:kern w:val="0"/>
                <w:szCs w:val="21"/>
                <w:highlight w:val="none"/>
              </w:rPr>
              <w:t>湖南农业信用担保有限公司</w:t>
            </w:r>
          </w:p>
        </w:tc>
        <w:tc>
          <w:tcPr>
            <w:tcW w:w="1142" w:type="dxa"/>
            <w:vAlign w:val="center"/>
          </w:tcPr>
          <w:p w14:paraId="014D2C6A">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彭  球</w:t>
            </w:r>
          </w:p>
          <w:p w14:paraId="0B772D91">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邓霞英</w:t>
            </w:r>
          </w:p>
        </w:tc>
        <w:tc>
          <w:tcPr>
            <w:tcW w:w="3994" w:type="dxa"/>
            <w:vAlign w:val="center"/>
          </w:tcPr>
          <w:p w14:paraId="4FC190A4">
            <w:pPr>
              <w:adjustRightInd w:val="0"/>
              <w:snapToGrid w:val="0"/>
              <w:spacing w:before="120" w:beforeLines="50" w:line="312"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0731-89761702/13875980906 0731-89761706/13574125851</w:t>
            </w:r>
          </w:p>
        </w:tc>
      </w:tr>
    </w:tbl>
    <w:p w14:paraId="1C921696">
      <w:pPr>
        <w:adjustRightInd w:val="0"/>
        <w:snapToGrid w:val="0"/>
        <w:spacing w:line="360" w:lineRule="auto"/>
        <w:rPr>
          <w:rFonts w:ascii="宋体" w:hAnsi="宋体"/>
          <w:b/>
          <w:color w:val="auto"/>
          <w:szCs w:val="21"/>
          <w:highlight w:val="none"/>
        </w:rPr>
        <w:sectPr>
          <w:headerReference r:id="rId3" w:type="default"/>
          <w:footerReference r:id="rId4" w:type="default"/>
          <w:pgSz w:w="11906" w:h="16838"/>
          <w:pgMar w:top="1587" w:right="1474" w:bottom="1474" w:left="1587" w:header="851" w:footer="992" w:gutter="0"/>
          <w:pgNumType w:fmt="decimal" w:start="1"/>
          <w:cols w:space="0" w:num="1"/>
          <w:docGrid w:linePitch="312" w:charSpace="0"/>
        </w:sectPr>
      </w:pPr>
    </w:p>
    <w:p w14:paraId="6A860F7F">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附页3</w:t>
      </w:r>
    </w:p>
    <w:p w14:paraId="58BE81B7">
      <w:pPr>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74DFD6C6">
      <w:pPr>
        <w:adjustRightInd w:val="0"/>
        <w:snapToGrid w:val="0"/>
        <w:spacing w:line="360" w:lineRule="auto"/>
        <w:ind w:firstLine="6510" w:firstLineChars="3100"/>
        <w:rPr>
          <w:rFonts w:ascii="宋体" w:hAnsi="宋体" w:cs="宋体"/>
          <w:b/>
          <w:color w:val="auto"/>
          <w:kern w:val="0"/>
          <w:szCs w:val="21"/>
          <w:highlight w:val="none"/>
        </w:rPr>
      </w:pPr>
      <w:r>
        <w:rPr>
          <w:rFonts w:hint="eastAsia" w:ascii="宋体" w:hAnsi="宋体" w:cs="宋体"/>
          <w:color w:val="auto"/>
          <w:kern w:val="0"/>
          <w:szCs w:val="21"/>
          <w:highlight w:val="none"/>
        </w:rPr>
        <w:t>编号：</w:t>
      </w:r>
    </w:p>
    <w:p w14:paraId="4E2F7E25">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（采购人）： </w:t>
      </w:r>
    </w:p>
    <w:p w14:paraId="38CDED3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你方与（以下简称供应商）于年月日签订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39B3A347">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3BA6C85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21D3D80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1．将中标项目转让给他人，或者在响应文件中未说明，且未经采购人同意，将中标项目分包给他人的；</w:t>
      </w:r>
    </w:p>
    <w:p w14:paraId="243868D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01E29A85">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74F821DC">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w:t>
      </w:r>
    </w:p>
    <w:p w14:paraId="61489A3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（二）我方的保证范围是主合同约定的合同价款总额的%数额为元（大写），币种为。（即主合同履约保证金金额）</w:t>
      </w:r>
    </w:p>
    <w:p w14:paraId="3EC3BF9E">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37FC333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652ADA9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我方保证的期间为：自本合同生效之日起至供应商按照主合同约定的供货/完工期限届满后日内。</w:t>
      </w:r>
    </w:p>
    <w:p w14:paraId="2ABEE8F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07720A76">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11411FA6">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5881BDB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79AA271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2．我方收到你方的书面索赔通知及相应证明材料，在工作日内进行核定后按照本保函的承诺承担保证责任。</w:t>
      </w:r>
    </w:p>
    <w:p w14:paraId="2E3A6A9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3A77D73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104DA9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1ECF75B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w:t>
      </w:r>
      <w:r>
        <w:rPr>
          <w:rFonts w:hint="eastAsia" w:ascii="宋体" w:hAnsi="宋体" w:cs="宋体"/>
          <w:color w:val="auto"/>
          <w:kern w:val="0"/>
          <w:szCs w:val="21"/>
          <w:highlight w:val="none"/>
          <w:lang w:eastAsia="zh-CN"/>
        </w:rPr>
        <w:t>的其他情形</w:t>
      </w:r>
      <w:r>
        <w:rPr>
          <w:rFonts w:hint="eastAsia" w:ascii="宋体" w:hAnsi="宋体" w:cs="宋体"/>
          <w:color w:val="auto"/>
          <w:kern w:val="0"/>
          <w:szCs w:val="21"/>
          <w:highlight w:val="none"/>
        </w:rPr>
        <w:t>的，我方在本保函项下的保证责任亦终止。</w:t>
      </w:r>
    </w:p>
    <w:p w14:paraId="7762A7B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1083C6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4DBDC1D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1FC1FD44">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7B58114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014BB1D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385AA0F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w:t>
      </w:r>
      <w:r>
        <w:rPr>
          <w:rFonts w:hint="eastAsia" w:ascii="宋体" w:hAnsi="宋体" w:cs="宋体"/>
          <w:b/>
          <w:bCs/>
          <w:color w:val="auto"/>
          <w:kern w:val="0"/>
          <w:szCs w:val="21"/>
          <w:highlight w:val="none"/>
        </w:rPr>
        <w:t>采购人住所地法院</w:t>
      </w:r>
      <w:r>
        <w:rPr>
          <w:rFonts w:hint="eastAsia" w:ascii="宋体" w:hAnsi="宋体" w:cs="宋体"/>
          <w:color w:val="auto"/>
          <w:kern w:val="0"/>
          <w:szCs w:val="21"/>
          <w:highlight w:val="none"/>
        </w:rPr>
        <w:t>。</w:t>
      </w:r>
    </w:p>
    <w:p w14:paraId="29ECBD07">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33D90F62">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3BCE30A2">
      <w:pPr>
        <w:tabs>
          <w:tab w:val="left" w:pos="2850"/>
        </w:tabs>
        <w:adjustRightInd w:val="0"/>
        <w:snapToGrid w:val="0"/>
        <w:spacing w:line="360" w:lineRule="auto"/>
        <w:rPr>
          <w:rFonts w:ascii="宋体" w:hAnsi="宋体" w:cs="宋体"/>
          <w:color w:val="auto"/>
          <w:kern w:val="0"/>
          <w:szCs w:val="21"/>
          <w:highlight w:val="none"/>
        </w:rPr>
      </w:pPr>
      <w:r>
        <w:rPr>
          <w:rFonts w:ascii="宋体" w:hAnsi="宋体" w:cs="宋体"/>
          <w:color w:val="auto"/>
          <w:kern w:val="0"/>
          <w:szCs w:val="21"/>
          <w:highlight w:val="none"/>
        </w:rPr>
        <w:tab/>
      </w:r>
      <w:r>
        <w:rPr>
          <w:rFonts w:hint="eastAsia" w:ascii="宋体" w:hAnsi="宋体" w:cs="宋体"/>
          <w:color w:val="auto"/>
          <w:kern w:val="0"/>
          <w:szCs w:val="21"/>
          <w:highlight w:val="none"/>
        </w:rPr>
        <w:t xml:space="preserve">          保证人：（公章） </w:t>
      </w:r>
    </w:p>
    <w:p w14:paraId="011A857D">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0C853D09">
      <w:pPr>
        <w:adjustRightInd w:val="0"/>
        <w:snapToGrid w:val="0"/>
        <w:spacing w:line="360" w:lineRule="auto"/>
        <w:rPr>
          <w:rFonts w:ascii="宋体" w:hAnsi="宋体" w:cs="宋体"/>
          <w:color w:val="auto"/>
          <w:kern w:val="0"/>
          <w:szCs w:val="21"/>
          <w:highlight w:val="none"/>
        </w:rPr>
      </w:pPr>
    </w:p>
    <w:p w14:paraId="2305B972">
      <w:pPr>
        <w:adjustRightInd w:val="0"/>
        <w:snapToGrid w:val="0"/>
        <w:spacing w:line="360" w:lineRule="auto"/>
        <w:rPr>
          <w:rFonts w:ascii="宋体" w:hAnsi="宋体" w:cs="宋体"/>
          <w:color w:val="auto"/>
          <w:kern w:val="0"/>
          <w:szCs w:val="21"/>
          <w:highlight w:val="none"/>
        </w:rPr>
      </w:pPr>
    </w:p>
    <w:p w14:paraId="7E28D743">
      <w:pPr>
        <w:adjustRightInd w:val="0"/>
        <w:snapToGrid w:val="0"/>
        <w:spacing w:line="360" w:lineRule="auto"/>
        <w:rPr>
          <w:rFonts w:ascii="宋体" w:hAnsi="宋体" w:cs="宋体"/>
          <w:color w:val="auto"/>
          <w:kern w:val="0"/>
          <w:szCs w:val="21"/>
          <w:highlight w:val="none"/>
        </w:rPr>
      </w:pPr>
    </w:p>
    <w:p w14:paraId="3D9384A8">
      <w:pPr>
        <w:adjustRightInd w:val="0"/>
        <w:snapToGrid w:val="0"/>
        <w:spacing w:line="360" w:lineRule="auto"/>
        <w:rPr>
          <w:rFonts w:ascii="宋体" w:hAnsi="宋体" w:cs="宋体"/>
          <w:color w:val="auto"/>
          <w:kern w:val="0"/>
          <w:szCs w:val="21"/>
          <w:highlight w:val="none"/>
        </w:rPr>
      </w:pPr>
    </w:p>
    <w:p w14:paraId="202C3771">
      <w:pPr>
        <w:adjustRightInd w:val="0"/>
        <w:snapToGrid w:val="0"/>
        <w:spacing w:line="360" w:lineRule="auto"/>
        <w:rPr>
          <w:rFonts w:ascii="宋体" w:hAnsi="宋体" w:cs="宋体"/>
          <w:color w:val="auto"/>
          <w:kern w:val="0"/>
          <w:szCs w:val="21"/>
          <w:highlight w:val="none"/>
        </w:rPr>
      </w:pPr>
    </w:p>
    <w:p w14:paraId="3A4918EA">
      <w:pPr>
        <w:adjustRightInd w:val="0"/>
        <w:snapToGrid w:val="0"/>
        <w:spacing w:line="360" w:lineRule="auto"/>
        <w:rPr>
          <w:rFonts w:ascii="宋体" w:hAnsi="宋体" w:cs="宋体"/>
          <w:color w:val="auto"/>
          <w:kern w:val="0"/>
          <w:szCs w:val="21"/>
          <w:highlight w:val="none"/>
        </w:rPr>
      </w:pPr>
    </w:p>
    <w:p w14:paraId="5EB01A5E">
      <w:pPr>
        <w:adjustRightInd w:val="0"/>
        <w:snapToGrid w:val="0"/>
        <w:spacing w:line="360" w:lineRule="auto"/>
        <w:rPr>
          <w:rFonts w:ascii="宋体" w:hAnsi="宋体" w:cs="宋体"/>
          <w:color w:val="auto"/>
          <w:kern w:val="0"/>
          <w:szCs w:val="21"/>
          <w:highlight w:val="none"/>
        </w:rPr>
      </w:pPr>
    </w:p>
    <w:p w14:paraId="1567C7D3">
      <w:pPr>
        <w:adjustRightInd w:val="0"/>
        <w:snapToGrid w:val="0"/>
        <w:spacing w:line="360" w:lineRule="auto"/>
        <w:rPr>
          <w:rFonts w:ascii="宋体" w:hAnsi="宋体" w:cs="宋体"/>
          <w:color w:val="auto"/>
          <w:kern w:val="0"/>
          <w:szCs w:val="21"/>
          <w:highlight w:val="none"/>
        </w:rPr>
      </w:pPr>
    </w:p>
    <w:p w14:paraId="0494C8A8">
      <w:pPr>
        <w:adjustRightInd w:val="0"/>
        <w:snapToGrid w:val="0"/>
        <w:spacing w:line="360" w:lineRule="auto"/>
        <w:rPr>
          <w:rFonts w:ascii="宋体" w:hAnsi="宋体" w:cs="宋体"/>
          <w:color w:val="auto"/>
          <w:kern w:val="0"/>
          <w:szCs w:val="21"/>
          <w:highlight w:val="none"/>
        </w:rPr>
      </w:pPr>
    </w:p>
    <w:p w14:paraId="60C981B8">
      <w:pPr>
        <w:adjustRightInd w:val="0"/>
        <w:snapToGrid w:val="0"/>
        <w:spacing w:line="360" w:lineRule="auto"/>
        <w:rPr>
          <w:rFonts w:ascii="宋体" w:hAnsi="宋体" w:cs="宋体"/>
          <w:color w:val="auto"/>
          <w:kern w:val="0"/>
          <w:szCs w:val="21"/>
          <w:highlight w:val="none"/>
        </w:rPr>
      </w:pPr>
    </w:p>
    <w:p w14:paraId="0E50DC97">
      <w:pPr>
        <w:adjustRightInd w:val="0"/>
        <w:snapToGrid w:val="0"/>
        <w:spacing w:line="360" w:lineRule="auto"/>
        <w:rPr>
          <w:rFonts w:ascii="宋体" w:hAnsi="宋体" w:cs="宋体"/>
          <w:color w:val="auto"/>
          <w:kern w:val="0"/>
          <w:szCs w:val="21"/>
          <w:highlight w:val="none"/>
        </w:rPr>
      </w:pPr>
    </w:p>
    <w:p w14:paraId="52877A08">
      <w:pPr>
        <w:adjustRightInd w:val="0"/>
        <w:snapToGrid w:val="0"/>
        <w:spacing w:line="360" w:lineRule="auto"/>
        <w:rPr>
          <w:rFonts w:ascii="宋体" w:hAnsi="宋体" w:cs="宋体"/>
          <w:color w:val="auto"/>
          <w:kern w:val="0"/>
          <w:szCs w:val="21"/>
          <w:highlight w:val="none"/>
        </w:rPr>
      </w:pPr>
    </w:p>
    <w:p w14:paraId="529A185B">
      <w:pPr>
        <w:adjustRightInd w:val="0"/>
        <w:snapToGrid w:val="0"/>
        <w:spacing w:line="360" w:lineRule="auto"/>
        <w:rPr>
          <w:rFonts w:ascii="宋体" w:hAnsi="宋体" w:cs="宋体"/>
          <w:color w:val="auto"/>
          <w:kern w:val="0"/>
          <w:szCs w:val="21"/>
          <w:highlight w:val="none"/>
        </w:rPr>
      </w:pPr>
    </w:p>
    <w:p w14:paraId="7AB21881">
      <w:pPr>
        <w:pStyle w:val="9"/>
        <w:rPr>
          <w:color w:val="auto"/>
          <w:highlight w:val="none"/>
        </w:rPr>
      </w:pPr>
    </w:p>
    <w:p w14:paraId="46BF079B">
      <w:pPr>
        <w:adjustRightInd w:val="0"/>
        <w:snapToGrid w:val="0"/>
        <w:spacing w:line="360" w:lineRule="auto"/>
        <w:jc w:val="left"/>
        <w:rPr>
          <w:rFonts w:ascii="宋体" w:hAnsi="宋体"/>
          <w:b/>
          <w:bCs/>
          <w:color w:val="auto"/>
          <w:highlight w:val="none"/>
        </w:rPr>
      </w:pPr>
      <w:r>
        <w:rPr>
          <w:rFonts w:hint="eastAsia" w:ascii="宋体" w:hAnsi="宋体"/>
          <w:b/>
          <w:bCs/>
          <w:color w:val="auto"/>
          <w:szCs w:val="21"/>
          <w:highlight w:val="none"/>
        </w:rPr>
        <w:t>附页4</w:t>
      </w:r>
    </w:p>
    <w:p w14:paraId="7663011C">
      <w:pPr>
        <w:adjustRightInd w:val="0"/>
        <w:snapToGrid w:val="0"/>
        <w:spacing w:line="360" w:lineRule="auto"/>
        <w:jc w:val="center"/>
        <w:outlineLvl w:val="1"/>
        <w:rPr>
          <w:rFonts w:ascii="宋体" w:hAnsi="宋体" w:cs="宋体"/>
          <w:b/>
          <w:color w:val="auto"/>
          <w:szCs w:val="21"/>
          <w:highlight w:val="none"/>
        </w:rPr>
      </w:pPr>
      <w:r>
        <w:rPr>
          <w:rFonts w:hint="eastAsia" w:ascii="宋体" w:hAnsi="宋体" w:cs="宋体"/>
          <w:b/>
          <w:color w:val="auto"/>
          <w:szCs w:val="21"/>
          <w:highlight w:val="none"/>
        </w:rPr>
        <w:t>评审因素和标准</w:t>
      </w:r>
    </w:p>
    <w:p w14:paraId="48DFA9EA">
      <w:pPr>
        <w:adjustRightInd w:val="0"/>
        <w:snapToGrid w:val="0"/>
        <w:spacing w:line="360" w:lineRule="auto"/>
        <w:jc w:val="left"/>
        <w:rPr>
          <w:color w:val="auto"/>
          <w:highlight w:val="none"/>
        </w:rPr>
      </w:pPr>
      <w:r>
        <w:rPr>
          <w:rFonts w:hint="eastAsia" w:ascii="宋体" w:hAnsi="宋体"/>
          <w:b/>
          <w:bCs/>
          <w:color w:val="auto"/>
          <w:highlight w:val="none"/>
        </w:rPr>
        <w:t>1、评标计分权值：</w:t>
      </w:r>
    </w:p>
    <w:tbl>
      <w:tblPr>
        <w:tblStyle w:val="22"/>
        <w:tblW w:w="5895" w:type="dxa"/>
        <w:tblInd w:w="17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505"/>
        <w:gridCol w:w="2655"/>
      </w:tblGrid>
      <w:tr w14:paraId="1863E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35" w:type="dxa"/>
            <w:tcBorders>
              <w:top w:val="double" w:color="auto" w:sz="4" w:space="0"/>
              <w:left w:val="double" w:color="auto" w:sz="4" w:space="0"/>
            </w:tcBorders>
            <w:vAlign w:val="center"/>
          </w:tcPr>
          <w:p w14:paraId="3EEDA628">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505" w:type="dxa"/>
            <w:tcBorders>
              <w:top w:val="double" w:color="auto" w:sz="4" w:space="0"/>
            </w:tcBorders>
            <w:vAlign w:val="center"/>
          </w:tcPr>
          <w:p w14:paraId="0D81F443">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     目</w:t>
            </w:r>
          </w:p>
        </w:tc>
        <w:tc>
          <w:tcPr>
            <w:tcW w:w="2655" w:type="dxa"/>
            <w:tcBorders>
              <w:top w:val="double" w:color="auto" w:sz="4" w:space="0"/>
              <w:right w:val="double" w:color="auto" w:sz="4" w:space="0"/>
            </w:tcBorders>
            <w:vAlign w:val="center"/>
          </w:tcPr>
          <w:p w14:paraId="11BC88ED">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权值的取值</w:t>
            </w:r>
          </w:p>
        </w:tc>
      </w:tr>
      <w:tr w14:paraId="316D9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35" w:type="dxa"/>
            <w:tcBorders>
              <w:left w:val="double" w:color="auto" w:sz="4" w:space="0"/>
            </w:tcBorders>
            <w:vAlign w:val="center"/>
          </w:tcPr>
          <w:p w14:paraId="616988D1">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505" w:type="dxa"/>
            <w:vAlign w:val="center"/>
          </w:tcPr>
          <w:p w14:paraId="5999090B">
            <w:pPr>
              <w:jc w:val="center"/>
              <w:rPr>
                <w:rFonts w:ascii="宋体" w:hAnsi="宋体" w:cs="宋体"/>
                <w:color w:val="auto"/>
                <w:kern w:val="0"/>
                <w:szCs w:val="21"/>
                <w:highlight w:val="none"/>
              </w:rPr>
            </w:pPr>
            <w:r>
              <w:rPr>
                <w:rFonts w:hint="eastAsia" w:ascii="宋体" w:hAnsi="宋体" w:cs="宋体"/>
                <w:color w:val="auto"/>
                <w:kern w:val="0"/>
                <w:szCs w:val="21"/>
                <w:highlight w:val="none"/>
              </w:rPr>
              <w:t>商务</w:t>
            </w:r>
          </w:p>
        </w:tc>
        <w:tc>
          <w:tcPr>
            <w:tcW w:w="2655" w:type="dxa"/>
            <w:tcBorders>
              <w:right w:val="double" w:color="auto" w:sz="4" w:space="0"/>
            </w:tcBorders>
            <w:vAlign w:val="center"/>
          </w:tcPr>
          <w:p w14:paraId="09C8A7FB">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45</w:t>
            </w:r>
          </w:p>
        </w:tc>
      </w:tr>
      <w:tr w14:paraId="2311E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35" w:type="dxa"/>
            <w:tcBorders>
              <w:left w:val="double" w:color="auto" w:sz="4" w:space="0"/>
            </w:tcBorders>
            <w:vAlign w:val="center"/>
          </w:tcPr>
          <w:p w14:paraId="4F1D7C48">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505" w:type="dxa"/>
            <w:vAlign w:val="center"/>
          </w:tcPr>
          <w:p w14:paraId="3BCCE8AE">
            <w:pPr>
              <w:jc w:val="center"/>
              <w:rPr>
                <w:rFonts w:ascii="宋体" w:hAnsi="宋体" w:cs="宋体"/>
                <w:color w:val="auto"/>
                <w:kern w:val="0"/>
                <w:szCs w:val="21"/>
                <w:highlight w:val="none"/>
              </w:rPr>
            </w:pPr>
            <w:r>
              <w:rPr>
                <w:rFonts w:hint="eastAsia" w:ascii="宋体" w:hAnsi="宋体" w:cs="宋体"/>
                <w:color w:val="auto"/>
                <w:kern w:val="0"/>
                <w:szCs w:val="21"/>
                <w:highlight w:val="none"/>
              </w:rPr>
              <w:t>技术</w:t>
            </w:r>
          </w:p>
        </w:tc>
        <w:tc>
          <w:tcPr>
            <w:tcW w:w="2655" w:type="dxa"/>
            <w:tcBorders>
              <w:right w:val="double" w:color="auto" w:sz="4" w:space="0"/>
            </w:tcBorders>
            <w:vAlign w:val="center"/>
          </w:tcPr>
          <w:p w14:paraId="5E7FBB03">
            <w:pPr>
              <w:jc w:val="center"/>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45</w:t>
            </w:r>
          </w:p>
        </w:tc>
      </w:tr>
      <w:tr w14:paraId="4CD8C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735" w:type="dxa"/>
            <w:tcBorders>
              <w:left w:val="double" w:color="auto" w:sz="4" w:space="0"/>
            </w:tcBorders>
            <w:vAlign w:val="center"/>
          </w:tcPr>
          <w:p w14:paraId="61FB2993">
            <w:pPr>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505" w:type="dxa"/>
            <w:vAlign w:val="center"/>
          </w:tcPr>
          <w:p w14:paraId="632E968D">
            <w:pPr>
              <w:jc w:val="center"/>
              <w:rPr>
                <w:rFonts w:ascii="宋体" w:hAnsi="宋体" w:cs="宋体"/>
                <w:color w:val="auto"/>
                <w:kern w:val="0"/>
                <w:szCs w:val="21"/>
                <w:highlight w:val="none"/>
              </w:rPr>
            </w:pPr>
            <w:r>
              <w:rPr>
                <w:rFonts w:hint="eastAsia" w:ascii="宋体" w:hAnsi="宋体" w:cs="宋体"/>
                <w:color w:val="auto"/>
                <w:kern w:val="0"/>
                <w:szCs w:val="21"/>
                <w:highlight w:val="none"/>
              </w:rPr>
              <w:t>价格</w:t>
            </w:r>
          </w:p>
        </w:tc>
        <w:tc>
          <w:tcPr>
            <w:tcW w:w="2655" w:type="dxa"/>
            <w:tcBorders>
              <w:right w:val="double" w:color="auto" w:sz="4" w:space="0"/>
            </w:tcBorders>
            <w:vAlign w:val="center"/>
          </w:tcPr>
          <w:p w14:paraId="2D2719A9">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14:paraId="169E1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3240" w:type="dxa"/>
            <w:gridSpan w:val="2"/>
            <w:tcBorders>
              <w:left w:val="double" w:color="auto" w:sz="4" w:space="0"/>
              <w:bottom w:val="double" w:color="auto" w:sz="4" w:space="0"/>
            </w:tcBorders>
            <w:vAlign w:val="center"/>
          </w:tcPr>
          <w:p w14:paraId="5C1B7B02">
            <w:pPr>
              <w:jc w:val="center"/>
              <w:rPr>
                <w:rFonts w:ascii="宋体" w:hAnsi="宋体" w:cs="宋体"/>
                <w:color w:val="auto"/>
                <w:kern w:val="0"/>
                <w:szCs w:val="21"/>
                <w:highlight w:val="none"/>
              </w:rPr>
            </w:pPr>
            <w:r>
              <w:rPr>
                <w:rFonts w:hint="eastAsia" w:ascii="宋体" w:hAnsi="宋体" w:cs="宋体"/>
                <w:color w:val="auto"/>
                <w:kern w:val="0"/>
                <w:szCs w:val="21"/>
                <w:highlight w:val="none"/>
              </w:rPr>
              <w:t>∑(1+2+3)=1</w:t>
            </w:r>
          </w:p>
        </w:tc>
        <w:tc>
          <w:tcPr>
            <w:tcW w:w="2655" w:type="dxa"/>
            <w:tcBorders>
              <w:bottom w:val="double" w:color="auto" w:sz="4" w:space="0"/>
              <w:right w:val="double" w:color="auto" w:sz="4" w:space="0"/>
            </w:tcBorders>
            <w:vAlign w:val="center"/>
          </w:tcPr>
          <w:p w14:paraId="2B59542E">
            <w:pPr>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14:paraId="5DA4365C">
      <w:pPr>
        <w:jc w:val="left"/>
        <w:rPr>
          <w:color w:val="auto"/>
          <w:highlight w:val="none"/>
        </w:rPr>
      </w:pPr>
    </w:p>
    <w:p w14:paraId="53923295">
      <w:pPr>
        <w:numPr>
          <w:ilvl w:val="0"/>
          <w:numId w:val="4"/>
        </w:numPr>
        <w:jc w:val="left"/>
        <w:rPr>
          <w:color w:val="auto"/>
          <w:highlight w:val="none"/>
        </w:rPr>
      </w:pPr>
      <w:r>
        <w:rPr>
          <w:rFonts w:hint="eastAsia"/>
          <w:color w:val="auto"/>
          <w:highlight w:val="none"/>
        </w:rPr>
        <w:t>综合评分表：</w:t>
      </w:r>
    </w:p>
    <w:tbl>
      <w:tblPr>
        <w:tblStyle w:val="22"/>
        <w:tblW w:w="90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0"/>
        <w:gridCol w:w="744"/>
        <w:gridCol w:w="705"/>
        <w:gridCol w:w="6919"/>
      </w:tblGrid>
      <w:tr w14:paraId="1ECCD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14:paraId="5D4E5F9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评分因素</w:t>
            </w:r>
          </w:p>
        </w:tc>
        <w:tc>
          <w:tcPr>
            <w:tcW w:w="705" w:type="dxa"/>
            <w:tcBorders>
              <w:top w:val="single" w:color="auto" w:sz="4" w:space="0"/>
              <w:left w:val="single" w:color="auto" w:sz="4" w:space="0"/>
              <w:bottom w:val="single" w:color="auto" w:sz="4" w:space="0"/>
              <w:right w:val="single" w:color="auto" w:sz="4" w:space="0"/>
            </w:tcBorders>
            <w:vAlign w:val="center"/>
          </w:tcPr>
          <w:p w14:paraId="31F41BA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6919" w:type="dxa"/>
            <w:tcBorders>
              <w:top w:val="single" w:color="auto" w:sz="4" w:space="0"/>
              <w:left w:val="single" w:color="auto" w:sz="4" w:space="0"/>
              <w:bottom w:val="single" w:color="auto" w:sz="4" w:space="0"/>
              <w:right w:val="single" w:color="auto" w:sz="4" w:space="0"/>
            </w:tcBorders>
            <w:vAlign w:val="center"/>
          </w:tcPr>
          <w:p w14:paraId="7F1EBF16">
            <w:pPr>
              <w:ind w:firstLine="42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r>
      <w:tr w14:paraId="2B11B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5" w:hRule="atLeast"/>
          <w:jc w:val="center"/>
        </w:trPr>
        <w:tc>
          <w:tcPr>
            <w:tcW w:w="680" w:type="dxa"/>
            <w:vMerge w:val="restart"/>
            <w:tcBorders>
              <w:top w:val="single" w:color="auto" w:sz="4" w:space="0"/>
              <w:left w:val="single" w:color="auto" w:sz="4" w:space="0"/>
              <w:bottom w:val="single" w:color="auto" w:sz="4" w:space="0"/>
              <w:right w:val="single" w:color="auto" w:sz="4" w:space="0"/>
            </w:tcBorders>
            <w:vAlign w:val="center"/>
          </w:tcPr>
          <w:p w14:paraId="7D2C29BC">
            <w:pPr>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商务部分</w:t>
            </w:r>
          </w:p>
        </w:tc>
        <w:tc>
          <w:tcPr>
            <w:tcW w:w="744" w:type="dxa"/>
            <w:tcBorders>
              <w:top w:val="single" w:color="auto" w:sz="4" w:space="0"/>
              <w:left w:val="single" w:color="auto" w:sz="4" w:space="0"/>
              <w:bottom w:val="single" w:color="auto" w:sz="4" w:space="0"/>
              <w:right w:val="single" w:color="auto" w:sz="4" w:space="0"/>
            </w:tcBorders>
            <w:vAlign w:val="center"/>
          </w:tcPr>
          <w:p w14:paraId="70B9AD23">
            <w:pPr>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业绩经验</w:t>
            </w:r>
          </w:p>
        </w:tc>
        <w:tc>
          <w:tcPr>
            <w:tcW w:w="705" w:type="dxa"/>
            <w:tcBorders>
              <w:top w:val="single" w:color="auto" w:sz="4" w:space="0"/>
              <w:left w:val="single" w:color="auto" w:sz="4" w:space="0"/>
              <w:bottom w:val="single" w:color="auto" w:sz="4" w:space="0"/>
              <w:right w:val="single" w:color="auto" w:sz="4" w:space="0"/>
            </w:tcBorders>
            <w:vAlign w:val="center"/>
          </w:tcPr>
          <w:p w14:paraId="50A0DA5C">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6919" w:type="dxa"/>
            <w:tcBorders>
              <w:top w:val="single" w:color="auto" w:sz="4" w:space="0"/>
              <w:left w:val="single" w:color="auto" w:sz="4" w:space="0"/>
              <w:bottom w:val="single" w:color="auto" w:sz="4" w:space="0"/>
              <w:right w:val="single" w:color="auto" w:sz="4" w:space="0"/>
            </w:tcBorders>
            <w:vAlign w:val="center"/>
          </w:tcPr>
          <w:p w14:paraId="1E341C42">
            <w:pPr>
              <w:widowControl/>
              <w:spacing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供应商近3年内具有类似</w:t>
            </w:r>
            <w:r>
              <w:rPr>
                <w:rFonts w:hint="eastAsia" w:ascii="宋体" w:hAnsi="宋体" w:cs="宋体"/>
                <w:color w:val="auto"/>
                <w:sz w:val="21"/>
                <w:szCs w:val="21"/>
                <w:highlight w:val="none"/>
                <w:lang w:val="en-US" w:eastAsia="zh-CN"/>
              </w:rPr>
              <w:t>培训</w:t>
            </w:r>
            <w:r>
              <w:rPr>
                <w:rFonts w:hint="eastAsia" w:ascii="宋体" w:hAnsi="宋体" w:cs="宋体"/>
                <w:color w:val="auto"/>
                <w:sz w:val="21"/>
                <w:szCs w:val="21"/>
                <w:highlight w:val="none"/>
              </w:rPr>
              <w:t>业绩案例，每个计</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分，最高</w:t>
            </w:r>
            <w:r>
              <w:rPr>
                <w:rFonts w:hint="eastAsia" w:ascii="宋体" w:hAnsi="宋体" w:cs="宋体"/>
                <w:color w:val="auto"/>
                <w:sz w:val="21"/>
                <w:szCs w:val="21"/>
                <w:highlight w:val="none"/>
                <w:lang w:val="en-US" w:eastAsia="zh-CN"/>
              </w:rPr>
              <w:t>计15</w:t>
            </w:r>
            <w:r>
              <w:rPr>
                <w:rFonts w:hint="eastAsia" w:ascii="宋体" w:hAnsi="宋体" w:cs="宋体"/>
                <w:color w:val="auto"/>
                <w:sz w:val="21"/>
                <w:szCs w:val="21"/>
                <w:highlight w:val="none"/>
              </w:rPr>
              <w:t>分。</w:t>
            </w:r>
          </w:p>
          <w:p w14:paraId="50E6BE76">
            <w:pPr>
              <w:widowControl/>
              <w:spacing w:line="320" w:lineRule="exact"/>
              <w:jc w:val="left"/>
              <w:rPr>
                <w:rFonts w:ascii="宋体" w:hAnsi="宋体" w:cs="宋体"/>
                <w:b/>
                <w:color w:val="auto"/>
                <w:sz w:val="21"/>
                <w:szCs w:val="21"/>
                <w:highlight w:val="none"/>
              </w:rPr>
            </w:pPr>
            <w:r>
              <w:rPr>
                <w:rFonts w:hint="eastAsia" w:ascii="宋体" w:hAnsi="宋体" w:cs="宋体"/>
                <w:bCs/>
                <w:color w:val="auto"/>
                <w:sz w:val="21"/>
                <w:szCs w:val="21"/>
                <w:highlight w:val="none"/>
              </w:rPr>
              <w:t>注：提供合同</w:t>
            </w:r>
            <w:r>
              <w:rPr>
                <w:rFonts w:hint="eastAsia" w:ascii="宋体" w:hAnsi="宋体" w:cs="宋体"/>
                <w:bCs/>
                <w:color w:val="auto"/>
                <w:sz w:val="21"/>
                <w:szCs w:val="21"/>
                <w:highlight w:val="none"/>
                <w:lang w:val="en-US" w:eastAsia="zh-CN"/>
              </w:rPr>
              <w:t>证明</w:t>
            </w:r>
            <w:r>
              <w:rPr>
                <w:rFonts w:hint="eastAsia" w:ascii="宋体" w:hAnsi="宋体" w:cs="宋体"/>
                <w:bCs/>
                <w:color w:val="auto"/>
                <w:sz w:val="21"/>
                <w:szCs w:val="21"/>
                <w:highlight w:val="none"/>
              </w:rPr>
              <w:t>复印件；业绩时间以合同签订时间为准。</w:t>
            </w:r>
          </w:p>
        </w:tc>
      </w:tr>
      <w:tr w14:paraId="5CF26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14BCFB68">
            <w:pPr>
              <w:spacing w:line="360" w:lineRule="auto"/>
              <w:jc w:val="center"/>
              <w:rPr>
                <w:rFonts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CC2450E">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师资</w:t>
            </w:r>
          </w:p>
        </w:tc>
        <w:tc>
          <w:tcPr>
            <w:tcW w:w="705" w:type="dxa"/>
            <w:tcBorders>
              <w:top w:val="single" w:color="auto" w:sz="4" w:space="0"/>
              <w:left w:val="single" w:color="auto" w:sz="4" w:space="0"/>
              <w:bottom w:val="single" w:color="auto" w:sz="4" w:space="0"/>
              <w:right w:val="single" w:color="auto" w:sz="4" w:space="0"/>
            </w:tcBorders>
            <w:vAlign w:val="center"/>
          </w:tcPr>
          <w:p w14:paraId="76F57045">
            <w:pPr>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6919" w:type="dxa"/>
            <w:tcBorders>
              <w:top w:val="single" w:color="auto" w:sz="4" w:space="0"/>
              <w:left w:val="single" w:color="auto" w:sz="4" w:space="0"/>
              <w:bottom w:val="single" w:color="auto" w:sz="4" w:space="0"/>
              <w:right w:val="single" w:color="auto" w:sz="4" w:space="0"/>
            </w:tcBorders>
            <w:vAlign w:val="center"/>
          </w:tcPr>
          <w:p w14:paraId="2487A73D">
            <w:pPr>
              <w:widowControl/>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提供授课老师的个人信息与资料，其专业职称具有中级及以上，或出版发表有关著作与著述的，每人证（或著述）计2分，共计12分，提供有关证明复印，以及社保证明。</w:t>
            </w:r>
          </w:p>
        </w:tc>
      </w:tr>
      <w:tr w14:paraId="4C714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2352FF19">
            <w:pPr>
              <w:spacing w:line="360" w:lineRule="auto"/>
              <w:jc w:val="center"/>
              <w:rPr>
                <w:rFonts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4BBFD27">
            <w:pPr>
              <w:jc w:val="center"/>
              <w:rPr>
                <w:rFonts w:hint="default" w:ascii="宋体" w:hAnsi="宋体" w:cs="宋体"/>
                <w:bCs/>
                <w:color w:val="auto"/>
                <w:sz w:val="21"/>
                <w:szCs w:val="21"/>
                <w:highlight w:val="none"/>
                <w:lang w:val="en-US" w:eastAsia="zh-CN"/>
              </w:rPr>
            </w:pPr>
            <w:r>
              <w:rPr>
                <w:rFonts w:hint="eastAsia"/>
                <w:color w:val="auto"/>
                <w:sz w:val="18"/>
                <w:szCs w:val="18"/>
                <w:highlight w:val="none"/>
                <w:lang w:val="en-US" w:eastAsia="zh-CN"/>
              </w:rPr>
              <w:t>LOGO设计</w:t>
            </w:r>
          </w:p>
        </w:tc>
        <w:tc>
          <w:tcPr>
            <w:tcW w:w="705" w:type="dxa"/>
            <w:tcBorders>
              <w:top w:val="single" w:color="auto" w:sz="4" w:space="0"/>
              <w:left w:val="single" w:color="auto" w:sz="4" w:space="0"/>
              <w:bottom w:val="single" w:color="auto" w:sz="4" w:space="0"/>
              <w:right w:val="single" w:color="auto" w:sz="4" w:space="0"/>
            </w:tcBorders>
            <w:vAlign w:val="center"/>
          </w:tcPr>
          <w:p w14:paraId="231D7EE7">
            <w:pPr>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6919" w:type="dxa"/>
            <w:tcBorders>
              <w:top w:val="single" w:color="auto" w:sz="4" w:space="0"/>
              <w:left w:val="single" w:color="auto" w:sz="4" w:space="0"/>
              <w:bottom w:val="single" w:color="auto" w:sz="4" w:space="0"/>
              <w:right w:val="single" w:color="auto" w:sz="4" w:space="0"/>
            </w:tcBorders>
            <w:vAlign w:val="center"/>
          </w:tcPr>
          <w:p w14:paraId="18099A63">
            <w:pPr>
              <w:pStyle w:val="9"/>
              <w:rPr>
                <w:rFonts w:hint="default"/>
                <w:color w:val="auto"/>
                <w:sz w:val="21"/>
                <w:szCs w:val="21"/>
                <w:highlight w:val="none"/>
                <w:lang w:val="en-US" w:eastAsia="zh-CN"/>
              </w:rPr>
            </w:pPr>
            <w:r>
              <w:rPr>
                <w:rFonts w:hint="eastAsia"/>
                <w:color w:val="auto"/>
                <w:sz w:val="21"/>
                <w:szCs w:val="21"/>
                <w:highlight w:val="none"/>
                <w:lang w:val="en-US" w:eastAsia="zh-CN"/>
              </w:rPr>
              <w:t>提供本次培训学员文化衫LOGO图案设计，（1）其设计体现培训</w:t>
            </w:r>
            <w:r>
              <w:rPr>
                <w:rFonts w:ascii="Segoe UI" w:hAnsi="Segoe UI" w:eastAsia="Segoe UI" w:cs="Segoe UI"/>
                <w:i w:val="0"/>
                <w:iCs w:val="0"/>
                <w:caps w:val="0"/>
                <w:color w:val="auto"/>
                <w:spacing w:val="0"/>
                <w:sz w:val="22"/>
                <w:szCs w:val="22"/>
                <w:highlight w:val="none"/>
              </w:rPr>
              <w:t>主题</w:t>
            </w:r>
            <w:r>
              <w:rPr>
                <w:rFonts w:hint="eastAsia" w:ascii="Segoe UI" w:hAnsi="Segoe UI" w:eastAsia="宋体" w:cs="Segoe UI"/>
                <w:i w:val="0"/>
                <w:iCs w:val="0"/>
                <w:caps w:val="0"/>
                <w:color w:val="auto"/>
                <w:spacing w:val="0"/>
                <w:sz w:val="22"/>
                <w:szCs w:val="22"/>
                <w:highlight w:val="none"/>
                <w:lang w:eastAsia="zh-CN"/>
              </w:rPr>
              <w:t>；</w:t>
            </w:r>
            <w:r>
              <w:rPr>
                <w:rFonts w:hint="eastAsia" w:ascii="Segoe UI" w:hAnsi="Segoe UI" w:cs="Segoe UI"/>
                <w:i w:val="0"/>
                <w:iCs w:val="0"/>
                <w:caps w:val="0"/>
                <w:color w:val="auto"/>
                <w:spacing w:val="0"/>
                <w:sz w:val="22"/>
                <w:szCs w:val="22"/>
                <w:highlight w:val="none"/>
                <w:lang w:val="en-US" w:eastAsia="zh-CN"/>
              </w:rPr>
              <w:t>（2）具有符号辨识度</w:t>
            </w:r>
            <w:r>
              <w:rPr>
                <w:rFonts w:hint="eastAsia"/>
                <w:color w:val="auto"/>
                <w:sz w:val="21"/>
                <w:szCs w:val="21"/>
                <w:highlight w:val="none"/>
                <w:lang w:val="en-US" w:eastAsia="zh-CN"/>
              </w:rPr>
              <w:t>，满足以上要求计6分。设计存在要素缺漏或不满足的，每项扣3分，存在</w:t>
            </w:r>
            <w:r>
              <w:rPr>
                <w:rFonts w:hint="eastAsia" w:ascii="宋体" w:hAnsi="宋体" w:cs="宋体"/>
                <w:color w:val="auto"/>
                <w:sz w:val="21"/>
                <w:szCs w:val="21"/>
                <w:highlight w:val="none"/>
              </w:rPr>
              <w:t>欠完善</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欠合理</w:t>
            </w:r>
            <w:r>
              <w:rPr>
                <w:rFonts w:hint="eastAsia"/>
                <w:color w:val="auto"/>
                <w:sz w:val="21"/>
                <w:szCs w:val="21"/>
                <w:highlight w:val="none"/>
                <w:lang w:val="en-US" w:eastAsia="zh-CN"/>
              </w:rPr>
              <w:t>，每处扣1分，扣完为止。</w:t>
            </w:r>
          </w:p>
        </w:tc>
      </w:tr>
      <w:tr w14:paraId="6566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1"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4CE5EEEE">
            <w:pPr>
              <w:spacing w:line="360" w:lineRule="auto"/>
              <w:jc w:val="center"/>
              <w:rPr>
                <w:rFonts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8911B61">
            <w:pPr>
              <w:jc w:val="center"/>
              <w:rPr>
                <w:rFonts w:ascii="宋体" w:hAnsi="宋体" w:cs="宋体"/>
                <w:bCs/>
                <w:color w:val="auto"/>
                <w:sz w:val="21"/>
                <w:szCs w:val="21"/>
                <w:highlight w:val="none"/>
              </w:rPr>
            </w:pPr>
            <w:r>
              <w:rPr>
                <w:rFonts w:hint="eastAsia"/>
                <w:color w:val="auto"/>
                <w:sz w:val="21"/>
                <w:szCs w:val="21"/>
                <w:highlight w:val="none"/>
                <w:lang w:val="en-US" w:eastAsia="zh-CN"/>
              </w:rPr>
              <w:t>供应商</w:t>
            </w:r>
            <w:r>
              <w:rPr>
                <w:rFonts w:hint="eastAsia" w:ascii="宋体" w:hAnsi="宋体" w:cs="宋体"/>
                <w:bCs/>
                <w:color w:val="auto"/>
                <w:sz w:val="21"/>
                <w:szCs w:val="21"/>
                <w:highlight w:val="none"/>
                <w:lang w:val="en-US" w:eastAsia="zh-CN"/>
              </w:rPr>
              <w:t>履约能</w:t>
            </w:r>
            <w:r>
              <w:rPr>
                <w:rFonts w:hint="eastAsia" w:ascii="宋体" w:hAnsi="宋体" w:cs="宋体"/>
                <w:bCs/>
                <w:color w:val="auto"/>
                <w:sz w:val="21"/>
                <w:szCs w:val="21"/>
                <w:highlight w:val="none"/>
              </w:rPr>
              <w:t>力</w:t>
            </w:r>
          </w:p>
        </w:tc>
        <w:tc>
          <w:tcPr>
            <w:tcW w:w="705" w:type="dxa"/>
            <w:tcBorders>
              <w:top w:val="single" w:color="auto" w:sz="4" w:space="0"/>
              <w:left w:val="single" w:color="auto" w:sz="4" w:space="0"/>
              <w:bottom w:val="single" w:color="auto" w:sz="4" w:space="0"/>
              <w:right w:val="single" w:color="auto" w:sz="4" w:space="0"/>
            </w:tcBorders>
            <w:vAlign w:val="center"/>
          </w:tcPr>
          <w:p w14:paraId="50B65C22">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w:t>
            </w:r>
          </w:p>
        </w:tc>
        <w:tc>
          <w:tcPr>
            <w:tcW w:w="6919" w:type="dxa"/>
            <w:tcBorders>
              <w:top w:val="single" w:color="auto" w:sz="4" w:space="0"/>
              <w:left w:val="single" w:color="auto" w:sz="4" w:space="0"/>
              <w:bottom w:val="single" w:color="auto" w:sz="4" w:space="0"/>
              <w:right w:val="single" w:color="auto" w:sz="4" w:space="0"/>
            </w:tcBorders>
            <w:vAlign w:val="center"/>
          </w:tcPr>
          <w:p w14:paraId="4130E3C7">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具有封闭独立且有门岗管理的培训场地，计2分；</w:t>
            </w:r>
          </w:p>
          <w:p w14:paraId="2179AABF">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具有容纳本次选调生人数规模的操场或广场且有扩音器设备，计2分，</w:t>
            </w:r>
          </w:p>
          <w:p w14:paraId="198F48B0">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具有可以容纳600人以上大礼堂并带扩音器设备的，计2分，</w:t>
            </w:r>
          </w:p>
          <w:p w14:paraId="19C51099">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具有120间独立的研讨会场地并配备桌椅等设备的，计2分，</w:t>
            </w:r>
          </w:p>
          <w:p w14:paraId="1F6782AA">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具有600间住宿房间以上的计2分，</w:t>
            </w:r>
          </w:p>
          <w:p w14:paraId="07C40A8B">
            <w:pPr>
              <w:widowControl/>
              <w:numPr>
                <w:ilvl w:val="0"/>
                <w:numId w:val="5"/>
              </w:numPr>
              <w:ind w:left="220" w:leftChars="0" w:hanging="220" w:firstLineChars="0"/>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具有可同时容纳1300人就餐的食堂场所，计2分。</w:t>
            </w:r>
          </w:p>
          <w:p w14:paraId="62D9CA7B">
            <w:pPr>
              <w:widowControl/>
              <w:textAlignment w:val="center"/>
              <w:rPr>
                <w:rFonts w:hint="default"/>
                <w:color w:val="auto"/>
                <w:sz w:val="21"/>
                <w:szCs w:val="21"/>
                <w:highlight w:val="none"/>
                <w:lang w:val="en-US" w:eastAsia="zh-CN"/>
              </w:rPr>
            </w:pPr>
            <w:r>
              <w:rPr>
                <w:rFonts w:hint="eastAsia"/>
                <w:color w:val="auto"/>
                <w:sz w:val="21"/>
                <w:szCs w:val="21"/>
                <w:highlight w:val="none"/>
                <w:lang w:val="en-US" w:eastAsia="zh-CN"/>
              </w:rPr>
              <w:t>提供照片及相关证明复印件。</w:t>
            </w:r>
          </w:p>
        </w:tc>
      </w:tr>
      <w:tr w14:paraId="38231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680" w:type="dxa"/>
            <w:vMerge w:val="restart"/>
            <w:tcBorders>
              <w:top w:val="single" w:color="auto" w:sz="4" w:space="0"/>
              <w:left w:val="single" w:color="auto" w:sz="4" w:space="0"/>
              <w:right w:val="single" w:color="auto" w:sz="4" w:space="0"/>
            </w:tcBorders>
            <w:vAlign w:val="center"/>
          </w:tcPr>
          <w:p w14:paraId="75C1C7E6">
            <w:pPr>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技术部分</w:t>
            </w:r>
          </w:p>
        </w:tc>
        <w:tc>
          <w:tcPr>
            <w:tcW w:w="744" w:type="dxa"/>
            <w:tcBorders>
              <w:top w:val="single" w:color="auto" w:sz="4" w:space="0"/>
              <w:left w:val="single" w:color="auto" w:sz="4" w:space="0"/>
              <w:bottom w:val="single" w:color="auto" w:sz="4" w:space="0"/>
              <w:right w:val="single" w:color="auto" w:sz="4" w:space="0"/>
            </w:tcBorders>
            <w:vAlign w:val="center"/>
          </w:tcPr>
          <w:p w14:paraId="4CB16CD7">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项目理解</w:t>
            </w:r>
          </w:p>
        </w:tc>
        <w:tc>
          <w:tcPr>
            <w:tcW w:w="705" w:type="dxa"/>
            <w:tcBorders>
              <w:top w:val="single" w:color="auto" w:sz="4" w:space="0"/>
              <w:left w:val="single" w:color="auto" w:sz="4" w:space="0"/>
              <w:bottom w:val="single" w:color="auto" w:sz="4" w:space="0"/>
              <w:right w:val="single" w:color="auto" w:sz="4" w:space="0"/>
            </w:tcBorders>
            <w:vAlign w:val="center"/>
          </w:tcPr>
          <w:p w14:paraId="47470621">
            <w:pPr>
              <w:jc w:val="center"/>
              <w:rPr>
                <w:rFonts w:hint="default" w:ascii="宋体" w:hAnsi="宋体" w:cs="宋体"/>
                <w:bCs/>
                <w:color w:val="auto"/>
                <w:sz w:val="21"/>
                <w:szCs w:val="21"/>
                <w:highlight w:val="none"/>
                <w:lang w:val="en-US"/>
              </w:rPr>
            </w:pPr>
            <w:r>
              <w:rPr>
                <w:rFonts w:hint="eastAsia" w:ascii="宋体" w:hAnsi="宋体" w:cs="宋体"/>
                <w:bCs/>
                <w:color w:val="auto"/>
                <w:sz w:val="21"/>
                <w:szCs w:val="21"/>
                <w:highlight w:val="none"/>
                <w:lang w:val="en-US" w:eastAsia="zh-CN"/>
              </w:rPr>
              <w:t>9</w:t>
            </w:r>
          </w:p>
        </w:tc>
        <w:tc>
          <w:tcPr>
            <w:tcW w:w="6919" w:type="dxa"/>
            <w:tcBorders>
              <w:top w:val="single" w:color="auto" w:sz="4" w:space="0"/>
              <w:left w:val="single" w:color="auto" w:sz="4" w:space="0"/>
              <w:bottom w:val="single" w:color="auto" w:sz="4" w:space="0"/>
              <w:right w:val="single" w:color="auto" w:sz="4" w:space="0"/>
            </w:tcBorders>
            <w:vAlign w:val="center"/>
          </w:tcPr>
          <w:p w14:paraId="24F7600F">
            <w:pPr>
              <w:widowControl/>
              <w:spacing w:line="320" w:lineRule="exact"/>
              <w:jc w:val="left"/>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根据供应商提供的针对本项目的理解方案，方案包含（1）培训对象特点分析全面（2）培训目标明确（3）</w:t>
            </w:r>
            <w:r>
              <w:rPr>
                <w:rFonts w:hint="eastAsia" w:ascii="宋体" w:hAnsi="宋体" w:cs="宋体"/>
                <w:color w:val="auto"/>
                <w:sz w:val="21"/>
                <w:szCs w:val="21"/>
                <w:highlight w:val="none"/>
              </w:rPr>
              <w:t>项目重难点分析</w:t>
            </w:r>
            <w:r>
              <w:rPr>
                <w:rFonts w:hint="eastAsia" w:ascii="宋体" w:hAnsi="宋体" w:cs="宋体"/>
                <w:color w:val="auto"/>
                <w:sz w:val="21"/>
                <w:szCs w:val="21"/>
                <w:highlight w:val="none"/>
                <w:lang w:val="en-US" w:eastAsia="zh-CN"/>
              </w:rPr>
              <w:t>准确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每要素计3分，共计9分，</w:t>
            </w:r>
            <w:r>
              <w:rPr>
                <w:rFonts w:hint="eastAsia" w:ascii="宋体" w:hAnsi="宋体" w:eastAsia="宋体" w:cs="宋体"/>
                <w:bCs/>
                <w:color w:val="auto"/>
                <w:spacing w:val="-6"/>
                <w:sz w:val="21"/>
                <w:szCs w:val="21"/>
                <w:highlight w:val="none"/>
              </w:rPr>
              <w:t>对应要素缺失或不符要求的，计0分，语义表达不明或是不合理的，每处扣0.5分，扣完为止。</w:t>
            </w:r>
          </w:p>
        </w:tc>
      </w:tr>
      <w:tr w14:paraId="24CBF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680" w:type="dxa"/>
            <w:vMerge w:val="continue"/>
            <w:tcBorders>
              <w:left w:val="single" w:color="auto" w:sz="4" w:space="0"/>
              <w:right w:val="single" w:color="auto" w:sz="4" w:space="0"/>
            </w:tcBorders>
            <w:vAlign w:val="center"/>
          </w:tcPr>
          <w:p w14:paraId="19EDBE3A">
            <w:pPr>
              <w:jc w:val="center"/>
              <w:rPr>
                <w:rFonts w:hint="eastAsia"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8CD9B52">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实施团队</w:t>
            </w:r>
          </w:p>
        </w:tc>
        <w:tc>
          <w:tcPr>
            <w:tcW w:w="705" w:type="dxa"/>
            <w:tcBorders>
              <w:top w:val="single" w:color="auto" w:sz="4" w:space="0"/>
              <w:left w:val="single" w:color="auto" w:sz="4" w:space="0"/>
              <w:bottom w:val="single" w:color="auto" w:sz="4" w:space="0"/>
              <w:right w:val="single" w:color="auto" w:sz="4" w:space="0"/>
            </w:tcBorders>
            <w:vAlign w:val="center"/>
          </w:tcPr>
          <w:p w14:paraId="285B9A2B">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6919" w:type="dxa"/>
            <w:tcBorders>
              <w:top w:val="single" w:color="auto" w:sz="4" w:space="0"/>
              <w:left w:val="single" w:color="auto" w:sz="4" w:space="0"/>
              <w:bottom w:val="single" w:color="auto" w:sz="4" w:space="0"/>
              <w:right w:val="single" w:color="auto" w:sz="4" w:space="0"/>
            </w:tcBorders>
            <w:vAlign w:val="center"/>
          </w:tcPr>
          <w:p w14:paraId="4C568B9C">
            <w:pPr>
              <w:widowControl/>
              <w:spacing w:line="320" w:lineRule="exact"/>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pacing w:val="-6"/>
                <w:sz w:val="21"/>
                <w:szCs w:val="21"/>
                <w:highlight w:val="none"/>
                <w:lang w:val="en-US" w:eastAsia="zh-CN"/>
              </w:rPr>
              <w:t>项目实施团队管理人员达到10人</w:t>
            </w:r>
            <w:r>
              <w:rPr>
                <w:rFonts w:hint="eastAsia" w:ascii="宋体" w:hAnsi="宋体" w:cs="宋体"/>
                <w:bCs/>
                <w:color w:val="auto"/>
                <w:spacing w:val="-6"/>
                <w:sz w:val="21"/>
                <w:szCs w:val="21"/>
                <w:highlight w:val="none"/>
                <w:lang w:val="en-US" w:eastAsia="zh-CN"/>
              </w:rPr>
              <w:t>及</w:t>
            </w:r>
            <w:r>
              <w:rPr>
                <w:rFonts w:hint="eastAsia" w:ascii="宋体" w:hAnsi="宋体" w:eastAsia="宋体" w:cs="宋体"/>
                <w:bCs/>
                <w:color w:val="auto"/>
                <w:spacing w:val="-6"/>
                <w:sz w:val="21"/>
                <w:szCs w:val="21"/>
                <w:highlight w:val="none"/>
                <w:lang w:val="en-US" w:eastAsia="zh-CN"/>
              </w:rPr>
              <w:t>以上，</w:t>
            </w:r>
            <w:r>
              <w:rPr>
                <w:rFonts w:hint="eastAsia" w:ascii="宋体" w:hAnsi="宋体" w:cs="宋体"/>
                <w:bCs/>
                <w:color w:val="auto"/>
                <w:spacing w:val="-6"/>
                <w:sz w:val="21"/>
                <w:szCs w:val="21"/>
                <w:highlight w:val="none"/>
                <w:lang w:val="en-US" w:eastAsia="zh-CN"/>
              </w:rPr>
              <w:t>提供人员名单及供应商为其缴纳社保证明材料的计3分；实施团队</w:t>
            </w:r>
            <w:r>
              <w:rPr>
                <w:rFonts w:hint="eastAsia" w:ascii="宋体" w:hAnsi="宋体" w:eastAsia="宋体" w:cs="宋体"/>
                <w:bCs/>
                <w:color w:val="auto"/>
                <w:spacing w:val="-6"/>
                <w:sz w:val="21"/>
                <w:szCs w:val="21"/>
                <w:highlight w:val="none"/>
                <w:lang w:val="en-US" w:eastAsia="zh-CN"/>
              </w:rPr>
              <w:t>组织结构设计合理</w:t>
            </w:r>
            <w:r>
              <w:rPr>
                <w:rFonts w:hint="eastAsia" w:ascii="宋体" w:hAnsi="宋体" w:cs="宋体"/>
                <w:bCs/>
                <w:color w:val="auto"/>
                <w:spacing w:val="-6"/>
                <w:sz w:val="21"/>
                <w:szCs w:val="21"/>
                <w:highlight w:val="none"/>
                <w:lang w:val="en-US" w:eastAsia="zh-CN"/>
              </w:rPr>
              <w:t>的计3分</w:t>
            </w:r>
            <w:r>
              <w:rPr>
                <w:rFonts w:hint="eastAsia" w:ascii="宋体" w:hAnsi="宋体" w:eastAsia="宋体" w:cs="宋体"/>
                <w:bCs/>
                <w:color w:val="auto"/>
                <w:spacing w:val="-6"/>
                <w:sz w:val="21"/>
                <w:szCs w:val="21"/>
                <w:highlight w:val="none"/>
                <w:lang w:val="en-US" w:eastAsia="zh-CN"/>
              </w:rPr>
              <w:t>，</w:t>
            </w:r>
            <w:r>
              <w:rPr>
                <w:rFonts w:hint="eastAsia" w:ascii="宋体" w:hAnsi="宋体" w:eastAsia="宋体" w:cs="宋体"/>
                <w:bCs/>
                <w:color w:val="auto"/>
                <w:spacing w:val="-6"/>
                <w:sz w:val="21"/>
                <w:szCs w:val="21"/>
                <w:highlight w:val="none"/>
              </w:rPr>
              <w:t>岗位</w:t>
            </w:r>
            <w:r>
              <w:rPr>
                <w:rFonts w:hint="eastAsia" w:ascii="宋体" w:hAnsi="宋体" w:eastAsia="宋体" w:cs="宋体"/>
                <w:bCs/>
                <w:color w:val="auto"/>
                <w:spacing w:val="-6"/>
                <w:sz w:val="21"/>
                <w:szCs w:val="21"/>
                <w:highlight w:val="none"/>
                <w:lang w:val="en-US" w:eastAsia="zh-CN"/>
              </w:rPr>
              <w:t>职责分明</w:t>
            </w:r>
            <w:r>
              <w:rPr>
                <w:rFonts w:hint="eastAsia" w:ascii="宋体" w:hAnsi="宋体" w:cs="宋体"/>
                <w:bCs/>
                <w:color w:val="auto"/>
                <w:spacing w:val="-6"/>
                <w:sz w:val="21"/>
                <w:szCs w:val="21"/>
                <w:highlight w:val="none"/>
                <w:lang w:val="en-US" w:eastAsia="zh-CN"/>
              </w:rPr>
              <w:t>的计3分</w:t>
            </w:r>
            <w:r>
              <w:rPr>
                <w:rFonts w:hint="eastAsia" w:ascii="宋体" w:hAnsi="宋体" w:eastAsia="宋体" w:cs="宋体"/>
                <w:bCs/>
                <w:color w:val="auto"/>
                <w:spacing w:val="-6"/>
                <w:sz w:val="21"/>
                <w:szCs w:val="21"/>
                <w:highlight w:val="none"/>
                <w:lang w:val="en-US" w:eastAsia="zh-CN"/>
              </w:rPr>
              <w:t>，</w:t>
            </w:r>
            <w:r>
              <w:rPr>
                <w:rFonts w:hint="eastAsia" w:ascii="宋体" w:hAnsi="宋体" w:cs="宋体"/>
                <w:bCs/>
                <w:color w:val="auto"/>
                <w:spacing w:val="-6"/>
                <w:sz w:val="21"/>
                <w:szCs w:val="21"/>
                <w:highlight w:val="none"/>
                <w:lang w:val="en-US" w:eastAsia="zh-CN"/>
              </w:rPr>
              <w:t>本项最高</w:t>
            </w:r>
            <w:r>
              <w:rPr>
                <w:rFonts w:hint="eastAsia" w:ascii="宋体" w:hAnsi="宋体" w:eastAsia="宋体" w:cs="宋体"/>
                <w:bCs/>
                <w:color w:val="auto"/>
                <w:spacing w:val="-6"/>
                <w:sz w:val="21"/>
                <w:szCs w:val="21"/>
                <w:highlight w:val="none"/>
                <w:lang w:val="en-US" w:eastAsia="zh-CN"/>
              </w:rPr>
              <w:t>计9分，</w:t>
            </w:r>
            <w:r>
              <w:rPr>
                <w:rFonts w:hint="eastAsia" w:ascii="宋体" w:hAnsi="宋体" w:eastAsia="宋体" w:cs="宋体"/>
                <w:bCs/>
                <w:color w:val="auto"/>
                <w:spacing w:val="-6"/>
                <w:sz w:val="21"/>
                <w:szCs w:val="21"/>
                <w:highlight w:val="none"/>
              </w:rPr>
              <w:t>对应要素缺失或</w:t>
            </w:r>
            <w:r>
              <w:rPr>
                <w:rFonts w:hint="eastAsia" w:ascii="宋体" w:hAnsi="宋体" w:cs="宋体"/>
                <w:bCs/>
                <w:color w:val="auto"/>
                <w:spacing w:val="-6"/>
                <w:sz w:val="21"/>
                <w:szCs w:val="21"/>
                <w:highlight w:val="none"/>
                <w:lang w:val="en-US" w:eastAsia="zh-CN"/>
              </w:rPr>
              <w:t>满足</w:t>
            </w:r>
            <w:r>
              <w:rPr>
                <w:rFonts w:hint="eastAsia" w:ascii="宋体" w:hAnsi="宋体" w:eastAsia="宋体" w:cs="宋体"/>
                <w:bCs/>
                <w:color w:val="auto"/>
                <w:spacing w:val="-6"/>
                <w:sz w:val="21"/>
                <w:szCs w:val="21"/>
                <w:highlight w:val="none"/>
              </w:rPr>
              <w:t>的，计0分，语</w:t>
            </w:r>
            <w:r>
              <w:rPr>
                <w:rFonts w:hint="eastAsia"/>
                <w:color w:val="auto"/>
                <w:sz w:val="21"/>
                <w:szCs w:val="21"/>
                <w:highlight w:val="none"/>
                <w:lang w:val="en-US" w:eastAsia="zh-CN"/>
              </w:rPr>
              <w:t>存在</w:t>
            </w:r>
            <w:r>
              <w:rPr>
                <w:rFonts w:hint="eastAsia" w:ascii="宋体" w:hAnsi="宋体" w:cs="宋体"/>
                <w:color w:val="auto"/>
                <w:sz w:val="21"/>
                <w:szCs w:val="21"/>
                <w:highlight w:val="none"/>
              </w:rPr>
              <w:t>欠完善</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欠合理</w:t>
            </w:r>
            <w:r>
              <w:rPr>
                <w:rFonts w:hint="eastAsia" w:ascii="宋体" w:hAnsi="宋体" w:eastAsia="宋体" w:cs="宋体"/>
                <w:bCs/>
                <w:color w:val="auto"/>
                <w:spacing w:val="-6"/>
                <w:sz w:val="21"/>
                <w:szCs w:val="21"/>
                <w:highlight w:val="none"/>
              </w:rPr>
              <w:t>，每处扣0.5分，扣完为止。</w:t>
            </w:r>
          </w:p>
        </w:tc>
      </w:tr>
      <w:tr w14:paraId="6E38B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5" w:hRule="atLeast"/>
          <w:jc w:val="center"/>
        </w:trPr>
        <w:tc>
          <w:tcPr>
            <w:tcW w:w="680" w:type="dxa"/>
            <w:vMerge w:val="continue"/>
            <w:tcBorders>
              <w:left w:val="single" w:color="auto" w:sz="4" w:space="0"/>
              <w:right w:val="single" w:color="auto" w:sz="4" w:space="0"/>
            </w:tcBorders>
            <w:vAlign w:val="center"/>
          </w:tcPr>
          <w:p w14:paraId="508C9026">
            <w:pPr>
              <w:jc w:val="center"/>
              <w:rPr>
                <w:rFonts w:hint="eastAsia"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3FB51F4">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培训方案</w:t>
            </w:r>
          </w:p>
        </w:tc>
        <w:tc>
          <w:tcPr>
            <w:tcW w:w="705" w:type="dxa"/>
            <w:tcBorders>
              <w:top w:val="single" w:color="auto" w:sz="4" w:space="0"/>
              <w:left w:val="single" w:color="auto" w:sz="4" w:space="0"/>
              <w:bottom w:val="single" w:color="auto" w:sz="4" w:space="0"/>
              <w:right w:val="single" w:color="auto" w:sz="4" w:space="0"/>
            </w:tcBorders>
            <w:vAlign w:val="center"/>
          </w:tcPr>
          <w:p w14:paraId="2B644F89">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6919" w:type="dxa"/>
            <w:tcBorders>
              <w:top w:val="single" w:color="auto" w:sz="4" w:space="0"/>
              <w:left w:val="single" w:color="auto" w:sz="4" w:space="0"/>
              <w:bottom w:val="single" w:color="auto" w:sz="4" w:space="0"/>
              <w:right w:val="single" w:color="auto" w:sz="4" w:space="0"/>
            </w:tcBorders>
            <w:vAlign w:val="center"/>
          </w:tcPr>
          <w:p w14:paraId="1B144618">
            <w:pPr>
              <w:widowControl/>
              <w:spacing w:line="320" w:lineRule="exact"/>
              <w:jc w:val="left"/>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供应商根据采购需求提供课程设计，全过程培训内容安排以及管理方案，其课程设计合乎采购需求，全过程培训安排紧凑，学员管理措施周全而严谨，</w:t>
            </w:r>
            <w:r>
              <w:rPr>
                <w:rFonts w:hint="eastAsia" w:ascii="宋体" w:hAnsi="宋体" w:eastAsia="宋体" w:cs="宋体"/>
                <w:bCs/>
                <w:color w:val="auto"/>
                <w:spacing w:val="-6"/>
                <w:sz w:val="21"/>
                <w:szCs w:val="21"/>
                <w:highlight w:val="none"/>
                <w:lang w:val="en-US" w:eastAsia="zh-CN"/>
              </w:rPr>
              <w:t>每要素计3分，</w:t>
            </w:r>
            <w:r>
              <w:rPr>
                <w:rFonts w:hint="eastAsia" w:ascii="宋体" w:hAnsi="宋体" w:cs="宋体"/>
                <w:bCs/>
                <w:color w:val="auto"/>
                <w:spacing w:val="-6"/>
                <w:sz w:val="21"/>
                <w:szCs w:val="21"/>
                <w:highlight w:val="none"/>
                <w:lang w:val="en-US" w:eastAsia="zh-CN"/>
              </w:rPr>
              <w:t>共</w:t>
            </w:r>
            <w:r>
              <w:rPr>
                <w:rFonts w:hint="eastAsia" w:ascii="宋体" w:hAnsi="宋体" w:eastAsia="宋体" w:cs="宋体"/>
                <w:bCs/>
                <w:color w:val="auto"/>
                <w:spacing w:val="-6"/>
                <w:sz w:val="21"/>
                <w:szCs w:val="21"/>
                <w:highlight w:val="none"/>
                <w:lang w:val="en-US" w:eastAsia="zh-CN"/>
              </w:rPr>
              <w:t>计9分，</w:t>
            </w:r>
            <w:r>
              <w:rPr>
                <w:rFonts w:hint="eastAsia" w:ascii="宋体" w:hAnsi="宋体" w:eastAsia="宋体" w:cs="宋体"/>
                <w:bCs/>
                <w:color w:val="auto"/>
                <w:spacing w:val="-6"/>
                <w:sz w:val="21"/>
                <w:szCs w:val="21"/>
                <w:highlight w:val="none"/>
              </w:rPr>
              <w:t>对应要素缺失或不符要求的，计0分，</w:t>
            </w:r>
            <w:r>
              <w:rPr>
                <w:rFonts w:hint="eastAsia"/>
                <w:color w:val="auto"/>
                <w:sz w:val="21"/>
                <w:szCs w:val="21"/>
                <w:highlight w:val="none"/>
                <w:lang w:val="en-US" w:eastAsia="zh-CN"/>
              </w:rPr>
              <w:t>存在</w:t>
            </w:r>
            <w:r>
              <w:rPr>
                <w:rFonts w:hint="eastAsia" w:ascii="宋体" w:hAnsi="宋体" w:cs="宋体"/>
                <w:color w:val="auto"/>
                <w:sz w:val="21"/>
                <w:szCs w:val="21"/>
                <w:highlight w:val="none"/>
              </w:rPr>
              <w:t>欠完善</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欠合理</w:t>
            </w:r>
            <w:r>
              <w:rPr>
                <w:rFonts w:hint="eastAsia" w:ascii="宋体" w:hAnsi="宋体" w:eastAsia="宋体" w:cs="宋体"/>
                <w:bCs/>
                <w:color w:val="auto"/>
                <w:spacing w:val="-6"/>
                <w:sz w:val="21"/>
                <w:szCs w:val="21"/>
                <w:highlight w:val="none"/>
              </w:rPr>
              <w:t>，每处扣0.5分，扣完为止。</w:t>
            </w:r>
          </w:p>
        </w:tc>
      </w:tr>
      <w:tr w14:paraId="6470E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680" w:type="dxa"/>
            <w:vMerge w:val="continue"/>
            <w:tcBorders>
              <w:left w:val="single" w:color="auto" w:sz="4" w:space="0"/>
              <w:right w:val="single" w:color="auto" w:sz="4" w:space="0"/>
            </w:tcBorders>
            <w:vAlign w:val="center"/>
          </w:tcPr>
          <w:p w14:paraId="52A5ADE3">
            <w:pPr>
              <w:jc w:val="center"/>
              <w:rPr>
                <w:rFonts w:hint="eastAsia"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3D885079">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后勤保障</w:t>
            </w:r>
          </w:p>
        </w:tc>
        <w:tc>
          <w:tcPr>
            <w:tcW w:w="705" w:type="dxa"/>
            <w:tcBorders>
              <w:top w:val="single" w:color="auto" w:sz="4" w:space="0"/>
              <w:left w:val="single" w:color="auto" w:sz="4" w:space="0"/>
              <w:bottom w:val="single" w:color="auto" w:sz="4" w:space="0"/>
              <w:right w:val="single" w:color="auto" w:sz="4" w:space="0"/>
            </w:tcBorders>
            <w:vAlign w:val="center"/>
          </w:tcPr>
          <w:p w14:paraId="6EA9AE11">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6919" w:type="dxa"/>
            <w:tcBorders>
              <w:top w:val="single" w:color="auto" w:sz="4" w:space="0"/>
              <w:left w:val="single" w:color="auto" w:sz="4" w:space="0"/>
              <w:bottom w:val="single" w:color="auto" w:sz="4" w:space="0"/>
              <w:right w:val="single" w:color="auto" w:sz="4" w:space="0"/>
            </w:tcBorders>
            <w:vAlign w:val="center"/>
          </w:tcPr>
          <w:p w14:paraId="10BA29E4">
            <w:pPr>
              <w:widowControl/>
              <w:spacing w:line="320" w:lineRule="exact"/>
              <w:jc w:val="left"/>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提供餐饮（含饮水），住宿与后勤保障方案，其餐饮</w:t>
            </w:r>
            <w:r>
              <w:rPr>
                <w:rFonts w:hint="eastAsia"/>
                <w:color w:val="auto"/>
                <w:sz w:val="21"/>
                <w:szCs w:val="21"/>
                <w:highlight w:val="none"/>
                <w:lang w:val="en-US" w:eastAsia="zh-CN"/>
              </w:rPr>
              <w:t>菜品供应方案丰富，优于采购需求的计4.5分；住宿条件干净整洁便于管理，</w:t>
            </w:r>
            <w:r>
              <w:rPr>
                <w:rFonts w:hint="eastAsia" w:ascii="Times New Roman" w:eastAsia="宋体"/>
                <w:color w:val="auto"/>
                <w:sz w:val="21"/>
                <w:szCs w:val="21"/>
                <w:highlight w:val="none"/>
                <w:lang w:val="en-US" w:eastAsia="zh-CN"/>
              </w:rPr>
              <w:t>优于采购需求的计</w:t>
            </w:r>
            <w:r>
              <w:rPr>
                <w:rFonts w:hint="eastAsia"/>
                <w:color w:val="auto"/>
                <w:sz w:val="21"/>
                <w:szCs w:val="21"/>
                <w:highlight w:val="none"/>
                <w:lang w:val="en-US" w:eastAsia="zh-CN"/>
              </w:rPr>
              <w:t>4.5</w:t>
            </w:r>
            <w:r>
              <w:rPr>
                <w:rFonts w:hint="eastAsia" w:ascii="Times New Roman" w:eastAsia="宋体"/>
                <w:color w:val="auto"/>
                <w:sz w:val="21"/>
                <w:szCs w:val="21"/>
                <w:highlight w:val="none"/>
                <w:lang w:val="en-US" w:eastAsia="zh-CN"/>
              </w:rPr>
              <w:t>分；</w:t>
            </w:r>
            <w:r>
              <w:rPr>
                <w:rFonts w:hint="eastAsia"/>
                <w:color w:val="auto"/>
                <w:sz w:val="21"/>
                <w:szCs w:val="21"/>
                <w:highlight w:val="none"/>
                <w:lang w:val="en-US" w:eastAsia="zh-CN"/>
              </w:rPr>
              <w:t>此项最高计</w:t>
            </w:r>
            <w:r>
              <w:rPr>
                <w:rFonts w:hint="eastAsia" w:ascii="宋体" w:hAnsi="宋体" w:eastAsia="宋体" w:cs="宋体"/>
                <w:bCs/>
                <w:color w:val="auto"/>
                <w:spacing w:val="-6"/>
                <w:sz w:val="21"/>
                <w:szCs w:val="21"/>
                <w:highlight w:val="none"/>
                <w:lang w:val="en-US" w:eastAsia="zh-CN"/>
              </w:rPr>
              <w:t>9分，</w:t>
            </w:r>
            <w:r>
              <w:rPr>
                <w:rFonts w:hint="eastAsia" w:ascii="宋体" w:hAnsi="宋体" w:eastAsia="宋体" w:cs="宋体"/>
                <w:bCs/>
                <w:color w:val="auto"/>
                <w:spacing w:val="-6"/>
                <w:sz w:val="21"/>
                <w:szCs w:val="21"/>
                <w:highlight w:val="none"/>
              </w:rPr>
              <w:t>对应要素缺失或不符要求的，计0分，语义表达不明或是不合理的，每处扣</w:t>
            </w:r>
            <w:r>
              <w:rPr>
                <w:rFonts w:hint="eastAsia" w:ascii="宋体" w:hAnsi="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rPr>
              <w:t>分，扣完为止。</w:t>
            </w:r>
          </w:p>
        </w:tc>
      </w:tr>
      <w:tr w14:paraId="36B6E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jc w:val="center"/>
        </w:trPr>
        <w:tc>
          <w:tcPr>
            <w:tcW w:w="680" w:type="dxa"/>
            <w:vMerge w:val="continue"/>
            <w:tcBorders>
              <w:left w:val="single" w:color="auto" w:sz="4" w:space="0"/>
              <w:right w:val="single" w:color="auto" w:sz="4" w:space="0"/>
            </w:tcBorders>
            <w:vAlign w:val="center"/>
          </w:tcPr>
          <w:p w14:paraId="60612F38">
            <w:pPr>
              <w:spacing w:line="360" w:lineRule="auto"/>
              <w:jc w:val="center"/>
              <w:rPr>
                <w:rFonts w:ascii="宋体" w:hAnsi="宋体" w:cs="宋体"/>
                <w:bCs/>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C3EB96B">
            <w:pPr>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应急响应措施</w:t>
            </w:r>
          </w:p>
        </w:tc>
        <w:tc>
          <w:tcPr>
            <w:tcW w:w="705" w:type="dxa"/>
            <w:tcBorders>
              <w:top w:val="single" w:color="auto" w:sz="4" w:space="0"/>
              <w:left w:val="single" w:color="auto" w:sz="4" w:space="0"/>
              <w:bottom w:val="single" w:color="auto" w:sz="4" w:space="0"/>
              <w:right w:val="single" w:color="auto" w:sz="4" w:space="0"/>
            </w:tcBorders>
            <w:vAlign w:val="center"/>
          </w:tcPr>
          <w:p w14:paraId="7FD4421C">
            <w:pPr>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6919" w:type="dxa"/>
            <w:tcBorders>
              <w:top w:val="single" w:color="auto" w:sz="4" w:space="0"/>
              <w:left w:val="single" w:color="auto" w:sz="4" w:space="0"/>
              <w:bottom w:val="single" w:color="auto" w:sz="4" w:space="0"/>
              <w:right w:val="single" w:color="auto" w:sz="4" w:space="0"/>
            </w:tcBorders>
            <w:vAlign w:val="center"/>
          </w:tcPr>
          <w:p w14:paraId="4587AFB8">
            <w:pPr>
              <w:pStyle w:val="42"/>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提供</w:t>
            </w:r>
            <w:r>
              <w:rPr>
                <w:rFonts w:hint="eastAsia" w:cs="宋体"/>
                <w:color w:val="auto"/>
                <w:sz w:val="21"/>
                <w:szCs w:val="21"/>
                <w:highlight w:val="none"/>
                <w:lang w:val="en-US" w:eastAsia="zh-CN"/>
              </w:rPr>
              <w:t>应急响应措施</w:t>
            </w:r>
            <w:r>
              <w:rPr>
                <w:rFonts w:hint="eastAsia" w:ascii="宋体" w:hAnsi="宋体" w:cs="宋体"/>
                <w:color w:val="auto"/>
                <w:sz w:val="21"/>
                <w:szCs w:val="21"/>
                <w:highlight w:val="none"/>
              </w:rPr>
              <w:t>（包括但不限于</w:t>
            </w:r>
            <w:r>
              <w:rPr>
                <w:rFonts w:hint="eastAsia" w:cs="宋体"/>
                <w:color w:val="auto"/>
                <w:sz w:val="21"/>
                <w:szCs w:val="21"/>
                <w:highlight w:val="none"/>
                <w:lang w:val="en-US" w:eastAsia="zh-CN"/>
              </w:rPr>
              <w:t>消防、餐饮、意外保险、紧急医疗保障等</w:t>
            </w:r>
            <w:r>
              <w:rPr>
                <w:rFonts w:hint="eastAsia" w:ascii="宋体" w:hAnsi="宋体" w:cs="宋体"/>
                <w:color w:val="auto"/>
                <w:sz w:val="21"/>
                <w:szCs w:val="21"/>
                <w:highlight w:val="none"/>
              </w:rPr>
              <w:t>）</w:t>
            </w:r>
            <w:r>
              <w:rPr>
                <w:rFonts w:hint="eastAsia" w:cs="宋体"/>
                <w:color w:val="auto"/>
                <w:sz w:val="21"/>
                <w:szCs w:val="21"/>
                <w:highlight w:val="none"/>
                <w:lang w:eastAsia="zh-CN"/>
              </w:rPr>
              <w:t>，</w:t>
            </w:r>
            <w:r>
              <w:rPr>
                <w:rFonts w:hint="eastAsia" w:cs="宋体"/>
                <w:color w:val="auto"/>
                <w:sz w:val="21"/>
                <w:szCs w:val="21"/>
                <w:highlight w:val="none"/>
                <w:lang w:val="en-US" w:eastAsia="zh-CN"/>
              </w:rPr>
              <w:t>潜在风险分析全面，应对措施有力可靠，计9分，</w:t>
            </w:r>
            <w:r>
              <w:rPr>
                <w:rFonts w:hint="eastAsia"/>
                <w:color w:val="auto"/>
                <w:sz w:val="21"/>
                <w:szCs w:val="21"/>
                <w:highlight w:val="none"/>
                <w:lang w:val="en-US" w:eastAsia="zh-CN"/>
              </w:rPr>
              <w:t>存在</w:t>
            </w:r>
            <w:r>
              <w:rPr>
                <w:rFonts w:hint="eastAsia" w:ascii="宋体" w:hAnsi="宋体" w:cs="宋体"/>
                <w:color w:val="auto"/>
                <w:sz w:val="21"/>
                <w:szCs w:val="21"/>
                <w:highlight w:val="none"/>
              </w:rPr>
              <w:t>欠完善</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欠合理</w:t>
            </w:r>
            <w:r>
              <w:rPr>
                <w:rFonts w:hint="eastAsia" w:ascii="宋体" w:hAnsi="宋体" w:eastAsia="宋体" w:cs="宋体"/>
                <w:bCs/>
                <w:color w:val="auto"/>
                <w:spacing w:val="-6"/>
                <w:sz w:val="21"/>
                <w:szCs w:val="21"/>
                <w:highlight w:val="none"/>
              </w:rPr>
              <w:t>，每处扣0.5分，扣完为止。</w:t>
            </w:r>
          </w:p>
        </w:tc>
      </w:tr>
      <w:tr w14:paraId="4276B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1"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38C674C4">
            <w:pPr>
              <w:jc w:val="center"/>
              <w:rPr>
                <w:rFonts w:ascii="宋体" w:hAnsi="宋体" w:cs="宋体"/>
                <w:bCs/>
                <w:color w:val="auto"/>
                <w:sz w:val="21"/>
                <w:szCs w:val="21"/>
                <w:highlight w:val="none"/>
              </w:rPr>
            </w:pPr>
            <w:r>
              <w:rPr>
                <w:rFonts w:hint="eastAsia" w:ascii="宋体" w:hAnsi="宋体" w:cs="宋体"/>
                <w:bCs/>
                <w:color w:val="auto"/>
                <w:sz w:val="21"/>
                <w:szCs w:val="21"/>
                <w:highlight w:val="none"/>
              </w:rPr>
              <w:t>价格部分</w:t>
            </w:r>
          </w:p>
        </w:tc>
        <w:tc>
          <w:tcPr>
            <w:tcW w:w="744" w:type="dxa"/>
            <w:tcBorders>
              <w:top w:val="single" w:color="auto" w:sz="4" w:space="0"/>
              <w:left w:val="single" w:color="auto" w:sz="4" w:space="0"/>
              <w:bottom w:val="single" w:color="auto" w:sz="4" w:space="0"/>
              <w:right w:val="single" w:color="auto" w:sz="4" w:space="0"/>
            </w:tcBorders>
            <w:vAlign w:val="center"/>
          </w:tcPr>
          <w:p w14:paraId="55932E05">
            <w:pPr>
              <w:jc w:val="center"/>
              <w:rPr>
                <w:rFonts w:ascii="宋体" w:hAnsi="宋体" w:cs="宋体"/>
                <w:bCs/>
                <w:color w:val="auto"/>
                <w:sz w:val="21"/>
                <w:szCs w:val="21"/>
                <w:highlight w:val="none"/>
              </w:rPr>
            </w:pPr>
            <w:r>
              <w:rPr>
                <w:rFonts w:hint="eastAsia" w:ascii="宋体" w:hAnsi="宋体" w:cs="宋体"/>
                <w:bCs/>
                <w:color w:val="auto"/>
                <w:sz w:val="21"/>
                <w:szCs w:val="21"/>
                <w:highlight w:val="none"/>
              </w:rPr>
              <w:t>最终报价</w:t>
            </w:r>
          </w:p>
        </w:tc>
        <w:tc>
          <w:tcPr>
            <w:tcW w:w="705" w:type="dxa"/>
            <w:tcBorders>
              <w:top w:val="single" w:color="auto" w:sz="4" w:space="0"/>
              <w:left w:val="single" w:color="auto" w:sz="4" w:space="0"/>
              <w:bottom w:val="single" w:color="auto" w:sz="4" w:space="0"/>
              <w:right w:val="single" w:color="auto" w:sz="4" w:space="0"/>
            </w:tcBorders>
            <w:vAlign w:val="center"/>
          </w:tcPr>
          <w:p w14:paraId="0E986343">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6919" w:type="dxa"/>
            <w:tcBorders>
              <w:top w:val="single" w:color="auto" w:sz="4" w:space="0"/>
              <w:left w:val="single" w:color="auto" w:sz="4" w:space="0"/>
              <w:bottom w:val="single" w:color="auto" w:sz="4" w:space="0"/>
              <w:right w:val="single" w:color="auto" w:sz="4" w:space="0"/>
            </w:tcBorders>
            <w:vAlign w:val="center"/>
          </w:tcPr>
          <w:p w14:paraId="5BBD1530">
            <w:pPr>
              <w:widowControl/>
              <w:spacing w:line="340" w:lineRule="exact"/>
              <w:textAlignment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以全部</w:t>
            </w:r>
            <w:r>
              <w:rPr>
                <w:rFonts w:hint="eastAsia" w:ascii="宋体" w:hAnsi="宋体" w:cs="宋体"/>
                <w:color w:val="auto"/>
                <w:sz w:val="21"/>
                <w:szCs w:val="21"/>
                <w:highlight w:val="none"/>
                <w:lang w:val="en-US" w:eastAsia="zh-CN"/>
              </w:rPr>
              <w:t>合格</w:t>
            </w:r>
            <w:r>
              <w:rPr>
                <w:rFonts w:hint="eastAsia" w:ascii="宋体" w:hAnsi="宋体" w:cs="宋体"/>
                <w:color w:val="auto"/>
                <w:sz w:val="21"/>
                <w:szCs w:val="21"/>
                <w:highlight w:val="none"/>
              </w:rPr>
              <w:t>供应商的最</w:t>
            </w:r>
            <w:r>
              <w:rPr>
                <w:rFonts w:hint="eastAsia" w:ascii="宋体" w:hAnsi="宋体" w:cs="宋体"/>
                <w:color w:val="auto"/>
                <w:sz w:val="21"/>
                <w:szCs w:val="21"/>
                <w:highlight w:val="none"/>
                <w:lang w:val="en-US" w:eastAsia="zh-CN"/>
              </w:rPr>
              <w:t>终的最</w:t>
            </w:r>
            <w:r>
              <w:rPr>
                <w:rFonts w:hint="eastAsia" w:ascii="宋体" w:hAnsi="宋体" w:cs="宋体"/>
                <w:color w:val="auto"/>
                <w:sz w:val="21"/>
                <w:szCs w:val="21"/>
                <w:highlight w:val="none"/>
              </w:rPr>
              <w:t>低报价为评审基准价（其价格分为满分）；其他供应商的价格分=（评审基准价/最终报价）×</w:t>
            </w:r>
            <w:r>
              <w:rPr>
                <w:rFonts w:hint="eastAsia" w:ascii="宋体" w:hAnsi="宋体" w:cs="宋体"/>
                <w:color w:val="auto"/>
                <w:sz w:val="21"/>
                <w:szCs w:val="21"/>
                <w:highlight w:val="none"/>
                <w:lang w:val="en-US" w:eastAsia="zh-CN"/>
              </w:rPr>
              <w:t>10</w:t>
            </w:r>
          </w:p>
        </w:tc>
      </w:tr>
      <w:tr w14:paraId="622C2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1" w:hRule="atLeast"/>
          <w:jc w:val="center"/>
        </w:trPr>
        <w:tc>
          <w:tcPr>
            <w:tcW w:w="9048" w:type="dxa"/>
            <w:gridSpan w:val="4"/>
            <w:tcBorders>
              <w:top w:val="single" w:color="auto" w:sz="4" w:space="0"/>
              <w:left w:val="single" w:color="auto" w:sz="4" w:space="0"/>
              <w:bottom w:val="single" w:color="auto" w:sz="4" w:space="0"/>
              <w:right w:val="single" w:color="auto" w:sz="4" w:space="0"/>
            </w:tcBorders>
            <w:vAlign w:val="center"/>
          </w:tcPr>
          <w:p w14:paraId="1FA1485B">
            <w:pPr>
              <w:widowControl/>
              <w:spacing w:line="340" w:lineRule="exac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有缺漏项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或缺失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是指未提供对应要素内容；不满足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或不符要求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是指方案中项目名称或项目信息与需求不符、涉及的技术规范标准等与国家或行业或采购文件要求不一致，或与国家或行业相关政策法规或管理办法不符，或与行业惯例不符。</w:t>
            </w:r>
          </w:p>
          <w:p w14:paraId="7BD38C9D">
            <w:pPr>
              <w:widowControl/>
              <w:spacing w:line="340" w:lineRule="exac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欠完善、欠合理是指具有明显缺陷，前后内容无法连贯，逻辑不通，文字内容不能清楚表达意图；或存在歧义、错别字、无条理性、方案内容空洞，或内容脱离项目实际情况，或凭空编造，或不具备实施的可能性，或套用其他项目方案，或引用错误或前后内容不一致，或存在与本项目无关的内容。</w:t>
            </w:r>
          </w:p>
        </w:tc>
      </w:tr>
    </w:tbl>
    <w:p w14:paraId="0161DE8D">
      <w:pPr>
        <w:rPr>
          <w:rFonts w:hint="eastAsia" w:ascii="黑体" w:eastAsia="黑体"/>
          <w:b/>
          <w:bCs/>
          <w:color w:val="auto"/>
          <w:sz w:val="32"/>
          <w:szCs w:val="32"/>
          <w:highlight w:val="none"/>
        </w:rPr>
      </w:pPr>
      <w:r>
        <w:rPr>
          <w:rFonts w:hint="eastAsia" w:ascii="黑体" w:eastAsia="黑体"/>
          <w:b/>
          <w:bCs/>
          <w:color w:val="auto"/>
          <w:sz w:val="32"/>
          <w:szCs w:val="32"/>
          <w:highlight w:val="none"/>
        </w:rPr>
        <w:br w:type="page"/>
      </w:r>
    </w:p>
    <w:p w14:paraId="5A606D75">
      <w:pPr>
        <w:jc w:val="center"/>
        <w:outlineLvl w:val="1"/>
        <w:rPr>
          <w:rFonts w:ascii="黑体" w:hAnsi="宋体" w:eastAsia="黑体"/>
          <w:b/>
          <w:bCs/>
          <w:color w:val="auto"/>
          <w:sz w:val="32"/>
          <w:szCs w:val="32"/>
          <w:highlight w:val="none"/>
        </w:rPr>
      </w:pPr>
      <w:r>
        <w:rPr>
          <w:rFonts w:hint="eastAsia" w:ascii="黑体" w:eastAsia="黑体"/>
          <w:b/>
          <w:bCs/>
          <w:color w:val="auto"/>
          <w:sz w:val="32"/>
          <w:szCs w:val="32"/>
          <w:highlight w:val="none"/>
        </w:rPr>
        <w:t>磋商须知</w:t>
      </w:r>
      <w:r>
        <w:rPr>
          <w:rFonts w:hint="eastAsia" w:ascii="黑体" w:hAnsi="宋体" w:eastAsia="黑体"/>
          <w:b/>
          <w:bCs/>
          <w:color w:val="auto"/>
          <w:sz w:val="32"/>
          <w:szCs w:val="32"/>
          <w:highlight w:val="none"/>
        </w:rPr>
        <w:t>正文</w:t>
      </w:r>
    </w:p>
    <w:p w14:paraId="0540D820">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宋体" w:hAnsi="宋体" w:cs="宋体"/>
          <w:b/>
          <w:bCs/>
          <w:color w:val="auto"/>
          <w:szCs w:val="21"/>
          <w:highlight w:val="none"/>
        </w:rPr>
        <w:t>说明</w:t>
      </w:r>
    </w:p>
    <w:p w14:paraId="013A3D1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1.适用范围</w:t>
      </w:r>
    </w:p>
    <w:p w14:paraId="07A8DED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 本磋商文件仅适用于磋商须知前附表(以下简称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14:paraId="5266D80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2.定义</w:t>
      </w:r>
    </w:p>
    <w:p w14:paraId="5D1102E9">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6D866C4A">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highlight w:val="none"/>
        </w:rPr>
        <w:t>磋商须知前附表。</w:t>
      </w:r>
    </w:p>
    <w:p w14:paraId="122D51AD">
      <w:pPr>
        <w:adjustRightInd w:val="0"/>
        <w:snapToGrid w:val="0"/>
        <w:spacing w:line="360" w:lineRule="auto"/>
        <w:ind w:firstLine="420" w:firstLineChars="200"/>
        <w:rPr>
          <w:rFonts w:ascii="宋体" w:hAnsi="宋体" w:cs="宋体"/>
          <w:bCs/>
          <w:color w:val="auto"/>
          <w:kern w:val="36"/>
          <w:szCs w:val="21"/>
          <w:highlight w:val="none"/>
        </w:rPr>
      </w:pPr>
      <w:r>
        <w:rPr>
          <w:rFonts w:hint="eastAsia" w:ascii="宋体" w:hAnsi="宋体"/>
          <w:color w:val="auto"/>
          <w:szCs w:val="21"/>
          <w:highlight w:val="none"/>
        </w:rPr>
        <w:t>2.3 “供应商”是指响应磋商文件要求、参加竞争性磋商采购的法人、其他组织或者自然人。本次政府采购项目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rPr>
        <w:t>磋商须知前附表</w:t>
      </w:r>
      <w:r>
        <w:rPr>
          <w:rFonts w:hint="eastAsia" w:ascii="宋体" w:hAnsi="宋体"/>
          <w:color w:val="auto"/>
          <w:szCs w:val="21"/>
          <w:highlight w:val="none"/>
        </w:rPr>
        <w:t>所述方式</w:t>
      </w:r>
      <w:r>
        <w:rPr>
          <w:rFonts w:hint="eastAsia" w:ascii="宋体" w:hAnsi="宋体" w:cs="宋体"/>
          <w:color w:val="auto"/>
          <w:kern w:val="0"/>
          <w:szCs w:val="21"/>
          <w:highlight w:val="none"/>
        </w:rPr>
        <w:t>，邀请符合资格条件的供应商提交响应文件（含资格证明资料），参与竞争性磋商采购活动。</w:t>
      </w:r>
    </w:p>
    <w:p w14:paraId="727F61A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2.4 “磋商小组”是指</w:t>
      </w:r>
      <w:r>
        <w:rPr>
          <w:rFonts w:hint="eastAsia" w:ascii="宋体" w:hAnsi="宋体" w:cs="宋体"/>
          <w:color w:val="auto"/>
          <w:kern w:val="0"/>
          <w:szCs w:val="21"/>
          <w:highlight w:val="none"/>
        </w:rPr>
        <w:t>依据财政部</w:t>
      </w:r>
      <w:r>
        <w:rPr>
          <w:rFonts w:ascii="宋体" w:hAnsi="宋体" w:cs="宋体"/>
          <w:bCs/>
          <w:color w:val="auto"/>
          <w:kern w:val="36"/>
          <w:szCs w:val="21"/>
          <w:highlight w:val="none"/>
        </w:rPr>
        <w:t>《</w:t>
      </w:r>
      <w:r>
        <w:rPr>
          <w:rFonts w:hint="eastAsia" w:ascii="宋体" w:hAnsi="宋体" w:cs="宋体"/>
          <w:bCs/>
          <w:color w:val="auto"/>
          <w:kern w:val="36"/>
          <w:szCs w:val="21"/>
          <w:highlight w:val="none"/>
        </w:rPr>
        <w:t>政府采购竞争性磋商采购方式管理暂行办法</w:t>
      </w:r>
      <w:r>
        <w:rPr>
          <w:rFonts w:ascii="宋体" w:hAnsi="宋体" w:cs="宋体"/>
          <w:bCs/>
          <w:color w:val="auto"/>
          <w:kern w:val="36"/>
          <w:szCs w:val="21"/>
          <w:highlight w:val="none"/>
        </w:rPr>
        <w:t>》</w:t>
      </w:r>
      <w:r>
        <w:rPr>
          <w:rFonts w:hint="eastAsia" w:ascii="宋体" w:hAnsi="宋体" w:cs="宋体"/>
          <w:bCs/>
          <w:color w:val="auto"/>
          <w:kern w:val="36"/>
          <w:szCs w:val="21"/>
          <w:highlight w:val="none"/>
        </w:rPr>
        <w:t>有关规定组建，依法依规</w:t>
      </w:r>
      <w:r>
        <w:rPr>
          <w:rFonts w:hint="eastAsia" w:ascii="宋体" w:hAnsi="宋体" w:cs="宋体"/>
          <w:color w:val="auto"/>
          <w:kern w:val="0"/>
          <w:szCs w:val="21"/>
          <w:highlight w:val="none"/>
        </w:rPr>
        <w:t>履行其职责和义务的机构。</w:t>
      </w:r>
    </w:p>
    <w:p w14:paraId="7094CA0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 “货物”是指各种形态和种类的物品，包括原资料、燃料、设备、产品等，详见《政府采购品目分类目录》(</w:t>
      </w:r>
      <w:r>
        <w:rPr>
          <w:rStyle w:val="25"/>
          <w:rFonts w:ascii="宋体" w:hAnsi="宋体"/>
          <w:b w:val="0"/>
          <w:color w:val="auto"/>
          <w:highlight w:val="none"/>
        </w:rPr>
        <w:t>财库</w:t>
      </w:r>
      <w:r>
        <w:rPr>
          <w:rStyle w:val="25"/>
          <w:rFonts w:hint="eastAsia" w:ascii="宋体" w:hAnsi="宋体"/>
          <w:b w:val="0"/>
          <w:color w:val="auto"/>
          <w:highlight w:val="none"/>
        </w:rPr>
        <w:t>[</w:t>
      </w:r>
      <w:r>
        <w:rPr>
          <w:rStyle w:val="25"/>
          <w:rFonts w:ascii="宋体" w:hAnsi="宋体"/>
          <w:b w:val="0"/>
          <w:color w:val="auto"/>
          <w:highlight w:val="none"/>
        </w:rPr>
        <w:t>20</w:t>
      </w:r>
      <w:r>
        <w:rPr>
          <w:rStyle w:val="25"/>
          <w:rFonts w:hint="eastAsia" w:ascii="宋体" w:hAnsi="宋体"/>
          <w:b w:val="0"/>
          <w:color w:val="auto"/>
          <w:highlight w:val="none"/>
        </w:rPr>
        <w:t>22]31</w:t>
      </w:r>
      <w:r>
        <w:rPr>
          <w:rStyle w:val="25"/>
          <w:rFonts w:ascii="宋体" w:hAnsi="宋体"/>
          <w:b w:val="0"/>
          <w:color w:val="auto"/>
          <w:highlight w:val="none"/>
        </w:rPr>
        <w:t>号</w:t>
      </w:r>
      <w:r>
        <w:rPr>
          <w:rFonts w:hint="eastAsia" w:ascii="宋体" w:hAnsi="宋体"/>
          <w:color w:val="auto"/>
          <w:szCs w:val="21"/>
          <w:highlight w:val="none"/>
        </w:rPr>
        <w:t>)。</w:t>
      </w:r>
    </w:p>
    <w:p w14:paraId="0335CD5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 “工程”是指建设工程，包括建筑物和构筑物的新建、改建、扩建、装修、拆除、修缮等，详见《政府采购品目分类目录》(</w:t>
      </w:r>
      <w:r>
        <w:rPr>
          <w:rStyle w:val="25"/>
          <w:rFonts w:ascii="宋体" w:hAnsi="宋体"/>
          <w:b w:val="0"/>
          <w:color w:val="auto"/>
          <w:highlight w:val="none"/>
        </w:rPr>
        <w:t>财库</w:t>
      </w:r>
      <w:r>
        <w:rPr>
          <w:rStyle w:val="25"/>
          <w:rFonts w:hint="eastAsia" w:ascii="宋体" w:hAnsi="宋体"/>
          <w:b w:val="0"/>
          <w:color w:val="auto"/>
          <w:highlight w:val="none"/>
        </w:rPr>
        <w:t>[</w:t>
      </w:r>
      <w:r>
        <w:rPr>
          <w:rStyle w:val="25"/>
          <w:rFonts w:ascii="宋体" w:hAnsi="宋体"/>
          <w:b w:val="0"/>
          <w:color w:val="auto"/>
          <w:highlight w:val="none"/>
        </w:rPr>
        <w:t>20</w:t>
      </w:r>
      <w:r>
        <w:rPr>
          <w:rStyle w:val="25"/>
          <w:rFonts w:hint="eastAsia" w:ascii="宋体" w:hAnsi="宋体"/>
          <w:b w:val="0"/>
          <w:color w:val="auto"/>
          <w:highlight w:val="none"/>
        </w:rPr>
        <w:t>22]31</w:t>
      </w:r>
      <w:r>
        <w:rPr>
          <w:rStyle w:val="25"/>
          <w:rFonts w:ascii="宋体" w:hAnsi="宋体"/>
          <w:b w:val="0"/>
          <w:color w:val="auto"/>
          <w:highlight w:val="none"/>
        </w:rPr>
        <w:t>号</w:t>
      </w:r>
      <w:r>
        <w:rPr>
          <w:rFonts w:hint="eastAsia" w:ascii="宋体" w:hAnsi="宋体"/>
          <w:color w:val="auto"/>
          <w:szCs w:val="21"/>
          <w:highlight w:val="none"/>
        </w:rPr>
        <w:t>)。</w:t>
      </w:r>
    </w:p>
    <w:p w14:paraId="554D52C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 “服务”是指除货物和工程以外的其他政府采购对象，详见《政府采购品目分类目录》(</w:t>
      </w:r>
      <w:r>
        <w:rPr>
          <w:rStyle w:val="25"/>
          <w:rFonts w:ascii="宋体" w:hAnsi="宋体"/>
          <w:b w:val="0"/>
          <w:color w:val="auto"/>
          <w:highlight w:val="none"/>
        </w:rPr>
        <w:t>财库</w:t>
      </w:r>
      <w:r>
        <w:rPr>
          <w:rStyle w:val="25"/>
          <w:rFonts w:hint="eastAsia" w:ascii="宋体" w:hAnsi="宋体"/>
          <w:b w:val="0"/>
          <w:color w:val="auto"/>
          <w:highlight w:val="none"/>
        </w:rPr>
        <w:t>[</w:t>
      </w:r>
      <w:r>
        <w:rPr>
          <w:rStyle w:val="25"/>
          <w:rFonts w:ascii="宋体" w:hAnsi="宋体"/>
          <w:b w:val="0"/>
          <w:color w:val="auto"/>
          <w:highlight w:val="none"/>
        </w:rPr>
        <w:t>20</w:t>
      </w:r>
      <w:r>
        <w:rPr>
          <w:rStyle w:val="25"/>
          <w:rFonts w:hint="eastAsia" w:ascii="宋体" w:hAnsi="宋体"/>
          <w:b w:val="0"/>
          <w:color w:val="auto"/>
          <w:highlight w:val="none"/>
        </w:rPr>
        <w:t>22]31</w:t>
      </w:r>
      <w:r>
        <w:rPr>
          <w:rStyle w:val="25"/>
          <w:rFonts w:ascii="宋体" w:hAnsi="宋体"/>
          <w:b w:val="0"/>
          <w:color w:val="auto"/>
          <w:highlight w:val="none"/>
        </w:rPr>
        <w:t>号</w:t>
      </w:r>
      <w:r>
        <w:rPr>
          <w:rFonts w:hint="eastAsia" w:ascii="宋体" w:hAnsi="宋体"/>
          <w:color w:val="auto"/>
          <w:szCs w:val="21"/>
          <w:highlight w:val="none"/>
        </w:rPr>
        <w:t>)。</w:t>
      </w:r>
    </w:p>
    <w:p w14:paraId="3BD156C2">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2.8</w:t>
      </w:r>
      <w:r>
        <w:rPr>
          <w:rFonts w:hint="eastAsia" w:ascii="宋体" w:hAnsi="宋体"/>
          <w:color w:val="auto"/>
          <w:szCs w:val="21"/>
          <w:highlight w:val="none"/>
        </w:rPr>
        <w:t xml:space="preserve"> 列入财政部、国家发展改革委发布的《节能产品政府采购清单》的“非强制采购节能产品”，财政部、环境保护部发布的《环境标志产品政府采购清单》的“环境标志产品”，</w:t>
      </w:r>
      <w:r>
        <w:rPr>
          <w:rFonts w:hint="eastAsia" w:hAnsi="宋体" w:cs="宋体"/>
          <w:color w:val="auto"/>
          <w:kern w:val="0"/>
          <w:highlight w:val="none"/>
          <w:lang w:val="en-US" w:eastAsia="zh-CN"/>
        </w:rPr>
        <w:t>对</w:t>
      </w:r>
      <w:r>
        <w:rPr>
          <w:rFonts w:hint="eastAsia" w:hAnsi="宋体" w:cs="宋体"/>
          <w:color w:val="auto"/>
          <w:kern w:val="0"/>
          <w:highlight w:val="none"/>
        </w:rPr>
        <w:t>中小企业执行有关政府采购政策</w:t>
      </w:r>
      <w:r>
        <w:rPr>
          <w:rFonts w:hint="eastAsia" w:ascii="宋体" w:hAnsi="宋体"/>
          <w:color w:val="auto"/>
          <w:szCs w:val="21"/>
          <w:highlight w:val="none"/>
        </w:rPr>
        <w:t>。</w:t>
      </w:r>
    </w:p>
    <w:p w14:paraId="7467673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2.9</w:t>
      </w:r>
      <w:r>
        <w:rPr>
          <w:rFonts w:hint="eastAsia" w:ascii="宋体" w:hAnsi="宋体" w:cs="宋体"/>
          <w:color w:val="auto"/>
          <w:kern w:val="0"/>
          <w:szCs w:val="21"/>
          <w:highlight w:val="none"/>
        </w:rPr>
        <w:t xml:space="preserve"> “进口产品”是指通过中国海关报关验放进入中国境内且产自关境外的产品，详见《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5C22C57E">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3.供应商的资格要求</w:t>
      </w:r>
    </w:p>
    <w:p w14:paraId="0A4E96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中规定的资格条件要求。</w:t>
      </w:r>
    </w:p>
    <w:p w14:paraId="226B69E8">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3.2供应商</w:t>
      </w:r>
      <w:r>
        <w:rPr>
          <w:rFonts w:hint="eastAsia" w:hAnsi="宋体"/>
          <w:color w:val="auto"/>
          <w:highlight w:val="none"/>
        </w:rPr>
        <w:t>为联合体形式的</w:t>
      </w:r>
      <w:r>
        <w:rPr>
          <w:rFonts w:hint="eastAsia" w:ascii="宋体" w:hAnsi="宋体"/>
          <w:color w:val="auto"/>
          <w:szCs w:val="21"/>
          <w:highlight w:val="none"/>
        </w:rPr>
        <w:t xml:space="preserve">，除应满足本章第3.1款资格条件要求及第3.3款规定外，还应遵守以下规定： </w:t>
      </w:r>
    </w:p>
    <w:p w14:paraId="2D487EEA">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（1）联合体各方应按磋商文件提供的格式签订联合体协议书，明确联合体牵头人和各方权利义务(含承担工作及工作量比例)；</w:t>
      </w:r>
    </w:p>
    <w:p w14:paraId="435C06F0">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（2）联合体中有同类资质的供应商按照联合体分工承担相同工作的，应当按照资质等级较低的供应商确定资质等级；</w:t>
      </w:r>
    </w:p>
    <w:p w14:paraId="27D3C561">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40E39EF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 供应商不得存在下列情形之一：</w:t>
      </w:r>
    </w:p>
    <w:p w14:paraId="17C51DF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031BD8A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（2）参与同一包或标段中的磋商活动时，与其他供应商的法定代表人（或者负责人）为同一人，或者与其他供应商存在直接控股、管理关系。</w:t>
      </w:r>
    </w:p>
    <w:p w14:paraId="4A38F82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受到刑事处罚，或者受到</w:t>
      </w:r>
      <w:r>
        <w:rPr>
          <w:rFonts w:hint="eastAsia" w:ascii="宋体" w:hAnsi="宋体"/>
          <w:bCs/>
          <w:color w:val="auto"/>
          <w:szCs w:val="21"/>
          <w:highlight w:val="none"/>
          <w:lang w:val="en-US" w:eastAsia="zh-CN"/>
        </w:rPr>
        <w:t>200</w:t>
      </w:r>
      <w:r>
        <w:rPr>
          <w:rFonts w:hint="eastAsia" w:ascii="宋体" w:hAnsi="宋体"/>
          <w:bCs/>
          <w:color w:val="auto"/>
          <w:szCs w:val="21"/>
          <w:highlight w:val="none"/>
        </w:rPr>
        <w:t>万元以上的罚款、责令停产停业、在一至三年内禁止参加政府采购活动、暂扣或者吊销许可证、暂扣或者吊销执照等情形之一的行政处罚，或者存在</w:t>
      </w:r>
      <w:r>
        <w:rPr>
          <w:rFonts w:hint="eastAsia" w:ascii="宋体" w:hAnsi="宋体"/>
          <w:color w:val="auto"/>
          <w:szCs w:val="21"/>
          <w:highlight w:val="none"/>
        </w:rPr>
        <w:t>财政部门认定的其他重大违法记录。</w:t>
      </w:r>
    </w:p>
    <w:p w14:paraId="016764C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 xml:space="preserve">4.参与磋商的费用 </w:t>
      </w:r>
    </w:p>
    <w:p w14:paraId="5D3C0C6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 无论磋商的结果如何，供应商应自行承担所有与竞争性磋商采购活动有关的全部费用。</w:t>
      </w:r>
    </w:p>
    <w:p w14:paraId="6776AE43">
      <w:pPr>
        <w:pStyle w:val="12"/>
        <w:adjustRightInd w:val="0"/>
        <w:snapToGrid w:val="0"/>
        <w:spacing w:line="360" w:lineRule="auto"/>
        <w:rPr>
          <w:rFonts w:hAnsi="宋体"/>
          <w:b/>
          <w:bCs/>
          <w:color w:val="auto"/>
          <w:highlight w:val="none"/>
        </w:rPr>
      </w:pPr>
      <w:r>
        <w:rPr>
          <w:rFonts w:hint="eastAsia" w:hAnsi="宋体"/>
          <w:b/>
          <w:color w:val="auto"/>
          <w:highlight w:val="none"/>
        </w:rPr>
        <w:t>5．</w:t>
      </w:r>
      <w:r>
        <w:rPr>
          <w:rFonts w:hint="eastAsia" w:hAnsi="宋体"/>
          <w:b/>
          <w:bCs/>
          <w:color w:val="auto"/>
          <w:highlight w:val="none"/>
        </w:rPr>
        <w:t>授权委托</w:t>
      </w:r>
    </w:p>
    <w:p w14:paraId="13A5F3B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5.1供应商代表为供应商法定代表人的，应具备法定代表人身份证明。供应商代表不是供应商法定代表人的，应具备法定代表人授权书，并附法定代表人身份证明。</w:t>
      </w:r>
    </w:p>
    <w:p w14:paraId="13B019EF">
      <w:pPr>
        <w:pStyle w:val="12"/>
        <w:adjustRightInd w:val="0"/>
        <w:snapToGrid w:val="0"/>
        <w:spacing w:line="360" w:lineRule="auto"/>
        <w:rPr>
          <w:rFonts w:hAnsi="宋体"/>
          <w:b/>
          <w:color w:val="auto"/>
          <w:highlight w:val="none"/>
        </w:rPr>
      </w:pPr>
      <w:r>
        <w:rPr>
          <w:rFonts w:hint="eastAsia" w:hAnsi="宋体"/>
          <w:b/>
          <w:color w:val="auto"/>
          <w:highlight w:val="none"/>
        </w:rPr>
        <w:t>6．联合体形式</w:t>
      </w:r>
    </w:p>
    <w:p w14:paraId="537E443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6.1除</w:t>
      </w:r>
      <w:r>
        <w:rPr>
          <w:rFonts w:hint="eastAsia" w:hAnsi="宋体"/>
          <w:b/>
          <w:color w:val="auto"/>
          <w:highlight w:val="none"/>
        </w:rPr>
        <w:t>磋商须知前附表</w:t>
      </w:r>
      <w:r>
        <w:rPr>
          <w:rFonts w:hint="eastAsia" w:hAnsi="宋体"/>
          <w:color w:val="auto"/>
          <w:highlight w:val="none"/>
        </w:rPr>
        <w:t>中另有规定，本次磋商采购不接受为联合体形式的供应商。</w:t>
      </w:r>
    </w:p>
    <w:p w14:paraId="64B6C5F9">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03BE80F9">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1CBF7382">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41A8997E">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rPr>
        <w:t>磋商须知前附表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1FBFC3E4">
      <w:pP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4EFB9AB6">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7.现场勘察</w:t>
      </w:r>
    </w:p>
    <w:p w14:paraId="1829474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rPr>
        <w:t>磋商须知前附表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4060F45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0AD418F4">
      <w:pPr>
        <w:adjustRightInd w:val="0"/>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0DEE0310">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8.采购进口产品</w:t>
      </w:r>
    </w:p>
    <w:p w14:paraId="2EEE26F9">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8.1除</w:t>
      </w:r>
      <w:r>
        <w:rPr>
          <w:rFonts w:hint="eastAsia" w:ascii="宋体" w:hAnsi="宋体"/>
          <w:b/>
          <w:color w:val="auto"/>
          <w:szCs w:val="21"/>
          <w:highlight w:val="none"/>
        </w:rPr>
        <w:t>磋商文件前附表</w:t>
      </w:r>
      <w:r>
        <w:rPr>
          <w:rFonts w:hint="eastAsia" w:ascii="宋体" w:hAnsi="宋体"/>
          <w:color w:val="auto"/>
          <w:szCs w:val="21"/>
          <w:highlight w:val="none"/>
        </w:rPr>
        <w:t>另有规定外，本项目</w:t>
      </w:r>
      <w:r>
        <w:rPr>
          <w:rFonts w:hint="eastAsia" w:ascii="宋体" w:hAnsi="宋体" w:cs="宋体"/>
          <w:color w:val="auto"/>
          <w:kern w:val="0"/>
          <w:szCs w:val="21"/>
          <w:highlight w:val="none"/>
        </w:rPr>
        <w:t>拒绝进口产品参加</w:t>
      </w:r>
      <w:r>
        <w:rPr>
          <w:rFonts w:hint="eastAsia" w:ascii="宋体" w:hAnsi="宋体"/>
          <w:color w:val="auto"/>
          <w:szCs w:val="21"/>
          <w:highlight w:val="none"/>
        </w:rPr>
        <w:t>竞争性磋商采购活动</w:t>
      </w:r>
      <w:r>
        <w:rPr>
          <w:rFonts w:hint="eastAsia" w:ascii="宋体" w:hAnsi="宋体" w:cs="宋体"/>
          <w:color w:val="auto"/>
          <w:kern w:val="0"/>
          <w:szCs w:val="21"/>
          <w:highlight w:val="none"/>
        </w:rPr>
        <w:t>。</w:t>
      </w:r>
    </w:p>
    <w:p w14:paraId="4D9F4220">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hint="eastAsia" w:ascii="宋体" w:hAnsi="宋体"/>
          <w:color w:val="auto"/>
          <w:szCs w:val="21"/>
          <w:highlight w:val="none"/>
        </w:rPr>
        <w:t>本章第7.1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ascii="宋体" w:hAnsi="宋体" w:cs="宋体"/>
          <w:color w:val="auto"/>
          <w:kern w:val="0"/>
          <w:szCs w:val="21"/>
          <w:highlight w:val="none"/>
        </w:rPr>
        <w:t>同意购买进口产品的</w:t>
      </w:r>
      <w:r>
        <w:rPr>
          <w:rFonts w:hint="eastAsia" w:ascii="宋体" w:hAnsi="宋体" w:cs="宋体"/>
          <w:color w:val="auto"/>
          <w:kern w:val="0"/>
          <w:szCs w:val="21"/>
          <w:highlight w:val="none"/>
        </w:rPr>
        <w:t>，</w:t>
      </w:r>
      <w:r>
        <w:rPr>
          <w:rFonts w:hint="eastAsia" w:ascii="宋体" w:hAnsi="宋体"/>
          <w:color w:val="auto"/>
          <w:szCs w:val="21"/>
          <w:highlight w:val="none"/>
        </w:rPr>
        <w:t>本项目</w:t>
      </w:r>
      <w:r>
        <w:rPr>
          <w:rFonts w:hint="eastAsia" w:ascii="宋体" w:hAnsi="宋体" w:cs="宋体"/>
          <w:color w:val="auto"/>
          <w:kern w:val="0"/>
          <w:szCs w:val="21"/>
          <w:highlight w:val="none"/>
          <w:lang w:val="zh-CN"/>
        </w:rPr>
        <w:t>采购活动</w:t>
      </w:r>
      <w:r>
        <w:rPr>
          <w:rFonts w:hint="eastAsia" w:ascii="宋体" w:hAnsi="宋体" w:cs="宋体"/>
          <w:color w:val="auto"/>
          <w:kern w:val="0"/>
          <w:szCs w:val="21"/>
          <w:highlight w:val="none"/>
        </w:rPr>
        <w:t>不</w:t>
      </w:r>
      <w:r>
        <w:rPr>
          <w:rFonts w:ascii="宋体" w:hAnsi="宋体" w:cs="宋体"/>
          <w:color w:val="auto"/>
          <w:kern w:val="0"/>
          <w:szCs w:val="21"/>
          <w:highlight w:val="none"/>
        </w:rPr>
        <w:t>限制满足</w:t>
      </w:r>
      <w:r>
        <w:rPr>
          <w:rFonts w:hint="eastAsia" w:ascii="宋体" w:hAnsi="宋体"/>
          <w:color w:val="auto"/>
          <w:szCs w:val="21"/>
          <w:highlight w:val="none"/>
        </w:rPr>
        <w:t>磋商文件要求</w:t>
      </w:r>
      <w:r>
        <w:rPr>
          <w:rFonts w:ascii="宋体" w:hAnsi="宋体" w:cs="宋体"/>
          <w:color w:val="auto"/>
          <w:kern w:val="0"/>
          <w:szCs w:val="21"/>
          <w:highlight w:val="none"/>
        </w:rPr>
        <w:t>的国内产品参与</w:t>
      </w:r>
      <w:r>
        <w:rPr>
          <w:rFonts w:hint="eastAsia" w:ascii="宋体" w:hAnsi="宋体"/>
          <w:color w:val="auto"/>
          <w:szCs w:val="21"/>
          <w:highlight w:val="none"/>
        </w:rPr>
        <w:t>竞争性磋商</w:t>
      </w:r>
      <w:r>
        <w:rPr>
          <w:rFonts w:ascii="宋体" w:hAnsi="宋体" w:cs="宋体"/>
          <w:color w:val="auto"/>
          <w:kern w:val="0"/>
          <w:szCs w:val="21"/>
          <w:highlight w:val="none"/>
        </w:rPr>
        <w:t>。</w:t>
      </w:r>
    </w:p>
    <w:p w14:paraId="1DB306AD">
      <w:pPr>
        <w:adjustRightInd w:val="0"/>
        <w:snapToGrid w:val="0"/>
        <w:spacing w:line="360" w:lineRule="auto"/>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1FA1F11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highlight w:val="none"/>
        </w:rPr>
        <w:t>磋商文件前附表。</w:t>
      </w:r>
    </w:p>
    <w:p w14:paraId="4667BFAF">
      <w:pPr>
        <w:pStyle w:val="12"/>
        <w:adjustRightInd w:val="0"/>
        <w:snapToGrid w:val="0"/>
        <w:spacing w:line="360" w:lineRule="auto"/>
        <w:ind w:firstLine="420" w:firstLineChars="200"/>
        <w:rPr>
          <w:color w:val="auto"/>
          <w:highlight w:val="none"/>
        </w:rPr>
      </w:pPr>
      <w:r>
        <w:rPr>
          <w:rFonts w:hint="eastAsia" w:hAnsi="宋体" w:cs="宋体"/>
          <w:color w:val="auto"/>
          <w:kern w:val="0"/>
          <w:highlight w:val="none"/>
        </w:rPr>
        <w:t>9.2对列入财政部、国家发展改革委发布的《节能产品政府采购清单》的“非强制采购节能产品”，财政部、环境保护部发布的《环境标志产品政府采购清单》的“环境标志产品”，中小企业，实行优先采购，按照省级以上财政部门有关政策规定，评审时进行价格扣除或加分。实行政府采购优先采购的优惠率见</w:t>
      </w:r>
      <w:r>
        <w:rPr>
          <w:rFonts w:hint="eastAsia" w:hAnsi="宋体" w:cs="宋体"/>
          <w:b/>
          <w:color w:val="auto"/>
          <w:kern w:val="0"/>
          <w:highlight w:val="none"/>
        </w:rPr>
        <w:t>磋商文件前附表。</w:t>
      </w:r>
    </w:p>
    <w:p w14:paraId="11F8DC8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5A098E38">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9.4同一项目中部分产品属于优先采购政策的，评审时只对该部分产品的报价实行价格扣除及加分。</w:t>
      </w:r>
    </w:p>
    <w:p w14:paraId="2CBB34FC">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9.5符合本章第9.1</w:t>
      </w:r>
      <w:r>
        <w:rPr>
          <w:rFonts w:hint="eastAsia" w:ascii="宋体" w:hAnsi="宋体" w:cs="宋体"/>
          <w:color w:val="auto"/>
          <w:kern w:val="0"/>
          <w:szCs w:val="21"/>
          <w:highlight w:val="none"/>
          <w:lang w:val="zh-CN"/>
        </w:rPr>
        <w:t>款、</w:t>
      </w:r>
      <w:r>
        <w:rPr>
          <w:rFonts w:hint="eastAsia" w:ascii="宋体" w:hAnsi="宋体"/>
          <w:color w:val="auto"/>
          <w:szCs w:val="21"/>
          <w:highlight w:val="none"/>
        </w:rPr>
        <w:t>第9.2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规定的，应提供相关证明资料。</w:t>
      </w:r>
    </w:p>
    <w:p w14:paraId="5AEA67B9">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9.6供应商有融资、担保需求的，具体办理流程可向</w:t>
      </w:r>
      <w:r>
        <w:rPr>
          <w:rFonts w:hint="eastAsia" w:ascii="宋体" w:hAnsi="宋体"/>
          <w:b/>
          <w:color w:val="auto"/>
          <w:szCs w:val="21"/>
          <w:highlight w:val="none"/>
        </w:rPr>
        <w:t>磋商须知前附表</w:t>
      </w:r>
      <w:r>
        <w:rPr>
          <w:rFonts w:hint="eastAsia" w:ascii="宋体" w:hAnsi="宋体"/>
          <w:color w:val="auto"/>
          <w:szCs w:val="21"/>
          <w:highlight w:val="none"/>
        </w:rPr>
        <w:t>所列金融机构和担保机构询问。</w:t>
      </w:r>
    </w:p>
    <w:p w14:paraId="30B1788B">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磋商文件</w:t>
      </w:r>
    </w:p>
    <w:p w14:paraId="105228E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10．磋商文件的组成</w:t>
      </w:r>
    </w:p>
    <w:p w14:paraId="56F38B50">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10.1 磋商文件由下列文件组成：</w:t>
      </w:r>
    </w:p>
    <w:p w14:paraId="6F02EA8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第一章 磋商邀请</w:t>
      </w:r>
    </w:p>
    <w:p w14:paraId="7DF6DC17">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第二章 磋商须知</w:t>
      </w:r>
    </w:p>
    <w:p w14:paraId="6387F13E">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第三章 政府采购合同格式条款</w:t>
      </w:r>
    </w:p>
    <w:p w14:paraId="78B85355">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第四章 采购需求</w:t>
      </w:r>
    </w:p>
    <w:p w14:paraId="7CC5BDBE">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第五章 响应文件组成</w:t>
      </w:r>
    </w:p>
    <w:p w14:paraId="7364F16D">
      <w:pPr>
        <w:pStyle w:val="12"/>
        <w:adjustRightInd w:val="0"/>
        <w:snapToGrid w:val="0"/>
        <w:spacing w:line="360" w:lineRule="auto"/>
        <w:ind w:firstLine="420" w:firstLineChars="200"/>
        <w:rPr>
          <w:rFonts w:hAnsi="宋体" w:cs="宋体"/>
          <w:color w:val="auto"/>
          <w:kern w:val="0"/>
          <w:highlight w:val="none"/>
        </w:rPr>
      </w:pPr>
      <w:r>
        <w:rPr>
          <w:rFonts w:hint="eastAsia"/>
          <w:color w:val="auto"/>
          <w:highlight w:val="none"/>
        </w:rPr>
        <w:t>10.2</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color w:val="auto"/>
          <w:highlight w:val="none"/>
        </w:rPr>
        <w:t>在</w:t>
      </w:r>
      <w:r>
        <w:rPr>
          <w:rFonts w:hint="eastAsia"/>
          <w:b/>
          <w:color w:val="auto"/>
          <w:highlight w:val="none"/>
        </w:rPr>
        <w:t>磋商须知前附表</w:t>
      </w:r>
      <w:r>
        <w:rPr>
          <w:rFonts w:hint="eastAsia"/>
          <w:color w:val="auto"/>
          <w:highlight w:val="none"/>
        </w:rPr>
        <w:t>中明确。</w:t>
      </w:r>
    </w:p>
    <w:p w14:paraId="4F73177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10.3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16F142F3">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11.磋商文件的提供期限</w:t>
      </w:r>
    </w:p>
    <w:p w14:paraId="7F656C3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11.1磋商文件的提供期限自开始发出之日起不得少于五个工作日。具体提供期限见</w:t>
      </w:r>
      <w:r>
        <w:rPr>
          <w:rFonts w:hint="eastAsia" w:ascii="宋体" w:hAnsi="宋体"/>
          <w:b/>
          <w:color w:val="auto"/>
          <w:szCs w:val="21"/>
          <w:highlight w:val="none"/>
        </w:rPr>
        <w:t>磋商文件前附表</w:t>
      </w:r>
      <w:r>
        <w:rPr>
          <w:rFonts w:hint="eastAsia" w:ascii="宋体" w:hAnsi="宋体"/>
          <w:color w:val="auto"/>
          <w:szCs w:val="21"/>
          <w:highlight w:val="none"/>
        </w:rPr>
        <w:t>。</w:t>
      </w:r>
    </w:p>
    <w:p w14:paraId="4AF0DFF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11.2供应商应持</w:t>
      </w:r>
      <w:r>
        <w:rPr>
          <w:rFonts w:hint="eastAsia" w:ascii="宋体" w:hAnsi="宋体"/>
          <w:b/>
          <w:color w:val="auto"/>
          <w:szCs w:val="21"/>
          <w:highlight w:val="none"/>
        </w:rPr>
        <w:t>磋商文件前附表</w:t>
      </w:r>
      <w:r>
        <w:rPr>
          <w:rFonts w:hint="eastAsia" w:ascii="宋体" w:hAnsi="宋体"/>
          <w:color w:val="auto"/>
          <w:szCs w:val="21"/>
          <w:highlight w:val="none"/>
        </w:rPr>
        <w:t>规定的资料领取或购买磋商文件。</w:t>
      </w:r>
    </w:p>
    <w:p w14:paraId="14740686">
      <w:pPr>
        <w:pStyle w:val="12"/>
        <w:adjustRightInd w:val="0"/>
        <w:snapToGrid w:val="0"/>
        <w:spacing w:line="360" w:lineRule="auto"/>
        <w:rPr>
          <w:rFonts w:hAnsi="宋体"/>
          <w:color w:val="auto"/>
          <w:highlight w:val="none"/>
        </w:rPr>
      </w:pPr>
      <w:r>
        <w:rPr>
          <w:rFonts w:hint="eastAsia" w:hAnsi="宋体"/>
          <w:b/>
          <w:color w:val="auto"/>
          <w:highlight w:val="none"/>
        </w:rPr>
        <w:t>12.</w:t>
      </w:r>
      <w:r>
        <w:rPr>
          <w:rFonts w:hint="eastAsia" w:hAnsi="宋体" w:cs="宋体"/>
          <w:b/>
          <w:color w:val="auto"/>
          <w:kern w:val="0"/>
          <w:highlight w:val="none"/>
        </w:rPr>
        <w:t>提交首次响应文件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51F9C550">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12.1</w:t>
      </w:r>
      <w:r>
        <w:rPr>
          <w:rFonts w:hint="eastAsia" w:hAnsi="宋体" w:cs="宋体"/>
          <w:color w:val="auto"/>
          <w:kern w:val="0"/>
          <w:highlight w:val="none"/>
        </w:rPr>
        <w:t>供应商提交首次响应文件截止</w:t>
      </w:r>
      <w:r>
        <w:rPr>
          <w:rFonts w:hint="eastAsia" w:hAnsi="宋体"/>
          <w:color w:val="auto"/>
          <w:highlight w:val="none"/>
        </w:rPr>
        <w:t>时间见</w:t>
      </w:r>
      <w:r>
        <w:rPr>
          <w:rFonts w:hint="eastAsia" w:hAnsi="宋体"/>
          <w:b/>
          <w:color w:val="auto"/>
          <w:highlight w:val="none"/>
        </w:rPr>
        <w:t>磋商须知前附表</w:t>
      </w:r>
      <w:r>
        <w:rPr>
          <w:rFonts w:hint="eastAsia" w:hAnsi="宋体"/>
          <w:color w:val="auto"/>
          <w:highlight w:val="none"/>
        </w:rPr>
        <w:t>。</w:t>
      </w:r>
    </w:p>
    <w:p w14:paraId="4D4AC6E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13.磋商文件的澄清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6F1B1FAC">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14:paraId="16D8F458">
      <w:pPr>
        <w:adjustRightInd w:val="0"/>
        <w:snapToGrid w:val="0"/>
        <w:spacing w:line="360" w:lineRule="auto"/>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13.2</w:t>
      </w:r>
      <w:r>
        <w:rPr>
          <w:rFonts w:hint="eastAsia" w:ascii="宋体" w:hAnsi="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6A7DD3E1">
      <w:pPr>
        <w:pStyle w:val="12"/>
        <w:adjustRightInd w:val="0"/>
        <w:snapToGrid w:val="0"/>
        <w:spacing w:line="360" w:lineRule="auto"/>
        <w:ind w:firstLine="420" w:firstLineChars="200"/>
        <w:rPr>
          <w:color w:val="auto"/>
          <w:highlight w:val="none"/>
        </w:rPr>
      </w:pPr>
      <w:r>
        <w:rPr>
          <w:rFonts w:hint="eastAsia"/>
          <w:color w:val="auto"/>
          <w:highlight w:val="none"/>
        </w:rPr>
        <w:t>13.2</w:t>
      </w:r>
      <w:r>
        <w:rPr>
          <w:rFonts w:hint="eastAsia" w:hAnsi="宋体" w:cs="宋体"/>
          <w:color w:val="auto"/>
          <w:kern w:val="0"/>
          <w:highlight w:val="none"/>
        </w:rPr>
        <w:t>提交首次响应文件截止时间前对磋商文件澄清或者修改内容，为磋商文件的组成部分。</w:t>
      </w:r>
    </w:p>
    <w:p w14:paraId="4F670267">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响应文件</w:t>
      </w:r>
    </w:p>
    <w:p w14:paraId="6136CF4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14.一般要求</w:t>
      </w:r>
    </w:p>
    <w:p w14:paraId="3EE97FAE">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78899C5E">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14.2 </w:t>
      </w:r>
      <w:r>
        <w:rPr>
          <w:rFonts w:hint="eastAsia" w:ascii="宋体" w:hAnsi="宋体"/>
          <w:color w:val="auto"/>
          <w:szCs w:val="21"/>
          <w:highlight w:val="none"/>
        </w:rPr>
        <w:t>供应商提交的响应文件及供应商与采购人或采购代理机构、磋商小组就有关磋商的所有来往函电均使用中文。供应商可以提交</w:t>
      </w:r>
      <w:r>
        <w:rPr>
          <w:rFonts w:hint="eastAsia" w:ascii="宋体" w:hAnsi="宋体"/>
          <w:color w:val="auto"/>
          <w:szCs w:val="21"/>
          <w:highlight w:val="none"/>
          <w:lang w:eastAsia="zh-CN"/>
        </w:rPr>
        <w:t>其他语言</w:t>
      </w:r>
      <w:r>
        <w:rPr>
          <w:rFonts w:hint="eastAsia" w:ascii="宋体" w:hAnsi="宋体"/>
          <w:color w:val="auto"/>
          <w:szCs w:val="21"/>
          <w:highlight w:val="none"/>
        </w:rPr>
        <w:t>的资料，但应附中文注释，在有差异时以中文为准。</w:t>
      </w:r>
    </w:p>
    <w:p w14:paraId="0A6A1463">
      <w:pPr>
        <w:pStyle w:val="12"/>
        <w:adjustRightInd w:val="0"/>
        <w:snapToGrid w:val="0"/>
        <w:spacing w:line="360" w:lineRule="auto"/>
        <w:ind w:firstLine="420" w:firstLineChars="200"/>
        <w:rPr>
          <w:rFonts w:hAnsi="宋体"/>
          <w:color w:val="auto"/>
          <w:highlight w:val="none"/>
        </w:rPr>
      </w:pPr>
      <w:r>
        <w:rPr>
          <w:rFonts w:hint="eastAsia" w:hAnsi="宋体"/>
          <w:bCs/>
          <w:color w:val="auto"/>
          <w:highlight w:val="none"/>
        </w:rPr>
        <w:t xml:space="preserve">14.3 </w:t>
      </w:r>
      <w:r>
        <w:rPr>
          <w:rFonts w:hint="eastAsia" w:hAnsi="宋体"/>
          <w:color w:val="auto"/>
          <w:highlight w:val="none"/>
        </w:rPr>
        <w:t>计量单位应使用我国法定计量单位，未列明时应默认为我国法定计量单位。</w:t>
      </w:r>
    </w:p>
    <w:p w14:paraId="3F0665C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2153E47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14.5 供应商应按磋商文件中提供的响应文件格式填写。</w:t>
      </w:r>
    </w:p>
    <w:p w14:paraId="642460D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3FFEA63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15.1</w:t>
      </w:r>
      <w:r>
        <w:rPr>
          <w:rFonts w:hint="eastAsia" w:hAnsi="宋体"/>
          <w:color w:val="auto"/>
          <w:highlight w:val="none"/>
        </w:rPr>
        <w:t xml:space="preserve"> 响应文件包括下列内容：</w:t>
      </w:r>
    </w:p>
    <w:p w14:paraId="33C4F69F">
      <w:pPr>
        <w:adjustRightInd w:val="0"/>
        <w:snapToGrid w:val="0"/>
        <w:spacing w:line="360" w:lineRule="auto"/>
        <w:ind w:firstLine="843" w:firstLineChars="400"/>
        <w:rPr>
          <w:rFonts w:ascii="宋体" w:hAnsi="宋体" w:cs="宋体"/>
          <w:b/>
          <w:color w:val="auto"/>
          <w:szCs w:val="21"/>
          <w:highlight w:val="none"/>
        </w:rPr>
      </w:pPr>
      <w:r>
        <w:rPr>
          <w:rFonts w:hint="eastAsia" w:ascii="宋体" w:hAnsi="宋体" w:cs="宋体"/>
          <w:b/>
          <w:color w:val="auto"/>
          <w:szCs w:val="21"/>
          <w:highlight w:val="none"/>
        </w:rPr>
        <w:t>第一册 商务技术文件</w:t>
      </w:r>
    </w:p>
    <w:p w14:paraId="7EAD7BBC">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一、磋商响应声明</w:t>
      </w:r>
    </w:p>
    <w:p w14:paraId="78F8F011">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二、分项</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表</w:t>
      </w:r>
    </w:p>
    <w:p w14:paraId="012678FE">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说明一览表</w:t>
      </w:r>
    </w:p>
    <w:p w14:paraId="3688B931">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四、商务技术响应/偏离表</w:t>
      </w:r>
    </w:p>
    <w:p w14:paraId="7E1DB78F">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五、享受政府采购政策优惠的证明资料</w:t>
      </w:r>
    </w:p>
    <w:p w14:paraId="12D90649">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六、服务符合磋商文件规定的证明文件及方案</w:t>
      </w:r>
    </w:p>
    <w:p w14:paraId="4A5F64F8">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七、供应商认为需提供的其他资料</w:t>
      </w:r>
    </w:p>
    <w:p w14:paraId="1F67A0E3">
      <w:pPr>
        <w:adjustRightInd w:val="0"/>
        <w:snapToGrid w:val="0"/>
        <w:spacing w:line="360" w:lineRule="auto"/>
        <w:ind w:left="840" w:leftChars="400"/>
        <w:jc w:val="left"/>
        <w:rPr>
          <w:rFonts w:hint="eastAsia" w:ascii="宋体" w:hAnsi="宋体" w:cs="宋体"/>
          <w:b/>
          <w:color w:val="auto"/>
          <w:szCs w:val="21"/>
          <w:highlight w:val="none"/>
        </w:rPr>
      </w:pPr>
    </w:p>
    <w:p w14:paraId="0B6B78C0">
      <w:pPr>
        <w:adjustRightInd w:val="0"/>
        <w:snapToGrid w:val="0"/>
        <w:spacing w:line="360" w:lineRule="auto"/>
        <w:ind w:left="840" w:leftChars="400"/>
        <w:jc w:val="left"/>
        <w:rPr>
          <w:rFonts w:ascii="宋体" w:hAnsi="宋体" w:cs="宋体"/>
          <w:b/>
          <w:color w:val="auto"/>
          <w:szCs w:val="21"/>
          <w:highlight w:val="none"/>
        </w:rPr>
      </w:pPr>
      <w:r>
        <w:rPr>
          <w:rFonts w:hint="eastAsia" w:ascii="宋体" w:hAnsi="宋体" w:cs="宋体"/>
          <w:b/>
          <w:color w:val="auto"/>
          <w:szCs w:val="21"/>
          <w:highlight w:val="none"/>
        </w:rPr>
        <w:t xml:space="preserve"> 资格证明文件</w:t>
      </w:r>
    </w:p>
    <w:p w14:paraId="77EA9B5D">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一、报价一览表</w:t>
      </w:r>
    </w:p>
    <w:p w14:paraId="32139863">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二、法定代表人身份证明</w:t>
      </w:r>
    </w:p>
    <w:p w14:paraId="66CE18DF">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三、授权委托书</w:t>
      </w:r>
    </w:p>
    <w:p w14:paraId="49669FCE">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四、供应商具备参加磋商的资格证明文件</w:t>
      </w:r>
    </w:p>
    <w:p w14:paraId="2CCCDC4E">
      <w:pPr>
        <w:adjustRightInd w:val="0"/>
        <w:snapToGrid w:val="0"/>
        <w:spacing w:line="360" w:lineRule="auto"/>
        <w:ind w:left="840" w:leftChars="400"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保</w:t>
      </w:r>
      <w:r>
        <w:rPr>
          <w:rFonts w:hint="eastAsia" w:ascii="宋体" w:hAnsi="宋体" w:cs="宋体"/>
          <w:bCs/>
          <w:color w:val="auto"/>
          <w:szCs w:val="21"/>
          <w:highlight w:val="none"/>
        </w:rPr>
        <w:t>证金</w:t>
      </w:r>
    </w:p>
    <w:p w14:paraId="443A7335">
      <w:pPr>
        <w:adjustRightInd w:val="0"/>
        <w:snapToGrid w:val="0"/>
        <w:spacing w:line="360" w:lineRule="auto"/>
        <w:ind w:firstLine="420" w:firstLineChars="200"/>
        <w:rPr>
          <w:rFonts w:hAnsi="宋体"/>
          <w:color w:val="auto"/>
          <w:highlight w:val="none"/>
        </w:rPr>
      </w:pPr>
      <w:r>
        <w:rPr>
          <w:rFonts w:hint="eastAsia" w:ascii="宋体" w:hAnsi="宋体"/>
          <w:color w:val="auto"/>
          <w:highlight w:val="none"/>
        </w:rPr>
        <w:t>15.2在磋商过程中，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14:paraId="19C175CE">
      <w:pPr>
        <w:adjustRightInd w:val="0"/>
        <w:snapToGrid w:val="0"/>
        <w:spacing w:line="360" w:lineRule="auto"/>
        <w:ind w:firstLine="420" w:firstLineChars="200"/>
        <w:rPr>
          <w:rFonts w:hAnsi="宋体"/>
          <w:b/>
          <w:color w:val="auto"/>
          <w:highlight w:val="none"/>
        </w:rPr>
      </w:pPr>
      <w:r>
        <w:rPr>
          <w:rFonts w:hint="eastAsia" w:ascii="宋体" w:hAnsi="宋体"/>
          <w:color w:val="auto"/>
          <w:highlight w:val="none"/>
        </w:rPr>
        <w:t>15.3</w:t>
      </w:r>
      <w:r>
        <w:rPr>
          <w:rFonts w:hint="eastAsia" w:ascii="宋体" w:hAnsi="宋体" w:cs="宋体"/>
          <w:color w:val="auto"/>
          <w:kern w:val="0"/>
          <w:szCs w:val="21"/>
          <w:highlight w:val="none"/>
        </w:rPr>
        <w:t>磋商文件规定可能发生实质性变动的，供应商应当在</w:t>
      </w:r>
      <w:r>
        <w:rPr>
          <w:rFonts w:hint="eastAsia" w:hAnsi="宋体"/>
          <w:color w:val="auto"/>
          <w:highlight w:val="none"/>
        </w:rPr>
        <w:t>《技术/商务响应与偏离表》中对应内容注明。</w:t>
      </w:r>
    </w:p>
    <w:p w14:paraId="4204B23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15.4</w:t>
      </w:r>
      <w:r>
        <w:rPr>
          <w:rFonts w:hint="eastAsia" w:ascii="宋体" w:hAnsi="宋体"/>
          <w:color w:val="auto"/>
          <w:szCs w:val="21"/>
          <w:highlight w:val="none"/>
        </w:rPr>
        <w:t>根据《政府采购法》第四十二条的规定，供应商无论成交与否，其响应文件不予退还。</w:t>
      </w:r>
    </w:p>
    <w:p w14:paraId="452E0C12">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16.报价</w:t>
      </w:r>
    </w:p>
    <w:p w14:paraId="2862E90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16.1供应商应当根据磋商文件要求和范围，以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513D3E45">
      <w:pPr>
        <w:pStyle w:val="32"/>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16.2供应商应按第五章 响应文件组成格式填写。</w:t>
      </w:r>
    </w:p>
    <w:p w14:paraId="487CD7FF">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16.3响应文件中标明的价格在合同执行过程中是固定不变的，不得以任何理由予以变更。以可变动价格提交的报价将被认为是非实质响应而被拒绝。</w:t>
      </w:r>
    </w:p>
    <w:p w14:paraId="6FDF807F">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16.4</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color w:val="auto"/>
          <w:highlight w:val="none"/>
        </w:rPr>
        <w:t>磋商须知前附表</w:t>
      </w:r>
      <w:r>
        <w:rPr>
          <w:rFonts w:hint="eastAsia" w:hAnsi="宋体"/>
          <w:color w:val="auto"/>
          <w:highlight w:val="none"/>
        </w:rPr>
        <w:t>。</w:t>
      </w:r>
    </w:p>
    <w:p w14:paraId="47744D87">
      <w:pPr>
        <w:pStyle w:val="12"/>
        <w:adjustRightInd w:val="0"/>
        <w:snapToGrid w:val="0"/>
        <w:spacing w:line="360" w:lineRule="auto"/>
        <w:rPr>
          <w:b/>
          <w:color w:val="auto"/>
          <w:highlight w:val="none"/>
        </w:rPr>
      </w:pPr>
      <w:r>
        <w:rPr>
          <w:rFonts w:hint="eastAsia"/>
          <w:b/>
          <w:color w:val="auto"/>
          <w:highlight w:val="none"/>
        </w:rPr>
        <w:t>17.供应商符合磋商文件规定的证明文件</w:t>
      </w:r>
    </w:p>
    <w:p w14:paraId="0A1D16D4">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17.1供应商应提交满足本章第3.1款规定的资格条件要求的证明文件,该证明文件作为响应文件的一部分。</w:t>
      </w:r>
    </w:p>
    <w:p w14:paraId="0CC79292">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17.2如果供应商为联合体，则应提交联合体各方资格证明文件、联合体协议。否则，在评审时将其视为无效响应。</w:t>
      </w:r>
    </w:p>
    <w:p w14:paraId="2CD72831">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17.3 除</w:t>
      </w:r>
      <w:r>
        <w:rPr>
          <w:rFonts w:hint="eastAsia" w:ascii="宋体" w:hAnsi="宋体"/>
          <w:b/>
          <w:color w:val="auto"/>
          <w:szCs w:val="21"/>
          <w:highlight w:val="none"/>
        </w:rPr>
        <w:t>磋商须知前附表</w:t>
      </w:r>
      <w:r>
        <w:rPr>
          <w:rFonts w:hint="eastAsia" w:ascii="宋体" w:hAnsi="宋体"/>
          <w:color w:val="auto"/>
          <w:szCs w:val="21"/>
          <w:highlight w:val="none"/>
        </w:rPr>
        <w:t>另有规定外，供应商提供的货物及服务不是供应商制造或拥有的，则必须提供经销</w:t>
      </w:r>
      <w:r>
        <w:rPr>
          <w:rFonts w:hint="eastAsia" w:ascii="宋体" w:hAnsi="宋体"/>
          <w:color w:val="auto"/>
          <w:szCs w:val="21"/>
          <w:highlight w:val="none"/>
          <w:lang w:eastAsia="zh-CN"/>
        </w:rPr>
        <w:t>或</w:t>
      </w:r>
      <w:r>
        <w:rPr>
          <w:rFonts w:hint="eastAsia" w:ascii="宋体" w:hAnsi="宋体"/>
          <w:color w:val="auto"/>
          <w:szCs w:val="21"/>
          <w:highlight w:val="none"/>
        </w:rPr>
        <w:t>代理采购货物</w:t>
      </w:r>
      <w:r>
        <w:rPr>
          <w:rFonts w:hint="eastAsia" w:ascii="宋体" w:hAnsi="宋体"/>
          <w:color w:val="auto"/>
          <w:szCs w:val="21"/>
          <w:highlight w:val="none"/>
          <w:lang w:eastAsia="zh-CN"/>
        </w:rPr>
        <w:t>或</w:t>
      </w:r>
      <w:r>
        <w:rPr>
          <w:rFonts w:hint="eastAsia" w:ascii="宋体" w:hAnsi="宋体"/>
          <w:color w:val="auto"/>
          <w:szCs w:val="21"/>
          <w:highlight w:val="none"/>
        </w:rPr>
        <w:t>采购货物提供售后服务的证明文件。</w:t>
      </w:r>
    </w:p>
    <w:p w14:paraId="5CCFEA3E">
      <w:pPr>
        <w:adjustRightInd w:val="0"/>
        <w:snapToGrid w:val="0"/>
        <w:spacing w:before="120" w:beforeLines="50" w:line="360" w:lineRule="auto"/>
        <w:jc w:val="left"/>
        <w:rPr>
          <w:rFonts w:ascii="宋体" w:hAnsi="宋体"/>
          <w:b/>
          <w:color w:val="auto"/>
          <w:szCs w:val="21"/>
          <w:highlight w:val="none"/>
        </w:rPr>
      </w:pPr>
      <w:r>
        <w:rPr>
          <w:rFonts w:hint="eastAsia" w:ascii="宋体" w:hAnsi="宋体"/>
          <w:b/>
          <w:color w:val="auto"/>
          <w:szCs w:val="21"/>
          <w:highlight w:val="none"/>
        </w:rPr>
        <w:t>18．样品提供</w:t>
      </w:r>
    </w:p>
    <w:p w14:paraId="070022E6">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b/>
          <w:color w:val="auto"/>
          <w:highlight w:val="none"/>
        </w:rPr>
        <w:t>磋商须知前附表</w:t>
      </w:r>
      <w:r>
        <w:rPr>
          <w:rFonts w:hint="eastAsia" w:ascii="宋体" w:hAnsi="宋体"/>
          <w:color w:val="auto"/>
          <w:szCs w:val="21"/>
          <w:highlight w:val="none"/>
        </w:rPr>
        <w:t>规定</w:t>
      </w:r>
      <w:r>
        <w:rPr>
          <w:rFonts w:hint="eastAsia" w:ascii="宋体" w:hAnsi="宋体"/>
          <w:bCs/>
          <w:color w:val="auto"/>
          <w:highlight w:val="none"/>
        </w:rPr>
        <w:t>供应商</w:t>
      </w:r>
      <w:r>
        <w:rPr>
          <w:rFonts w:hint="eastAsia" w:ascii="宋体" w:hAnsi="宋体"/>
          <w:color w:val="auto"/>
          <w:szCs w:val="21"/>
          <w:highlight w:val="none"/>
        </w:rPr>
        <w:t>在</w:t>
      </w:r>
      <w:r>
        <w:rPr>
          <w:rFonts w:hint="eastAsia" w:ascii="宋体" w:hAnsi="宋体"/>
          <w:color w:val="auto"/>
          <w:highlight w:val="none"/>
        </w:rPr>
        <w:t>磋商</w:t>
      </w:r>
      <w:r>
        <w:rPr>
          <w:rFonts w:hint="eastAsia" w:ascii="宋体" w:hAnsi="宋体"/>
          <w:color w:val="auto"/>
          <w:szCs w:val="21"/>
          <w:highlight w:val="none"/>
        </w:rPr>
        <w:t>时提供样品的，</w:t>
      </w:r>
      <w:r>
        <w:rPr>
          <w:rFonts w:hint="eastAsia" w:ascii="宋体" w:hAnsi="宋体"/>
          <w:bCs/>
          <w:color w:val="auto"/>
          <w:highlight w:val="none"/>
        </w:rPr>
        <w:t>供应商</w:t>
      </w:r>
      <w:r>
        <w:rPr>
          <w:rFonts w:ascii="宋体" w:hAnsi="宋体"/>
          <w:color w:val="auto"/>
          <w:szCs w:val="21"/>
          <w:highlight w:val="none"/>
        </w:rPr>
        <w:t>有以下情形之一的</w:t>
      </w:r>
      <w:r>
        <w:rPr>
          <w:rFonts w:hint="eastAsia" w:ascii="宋体" w:hAnsi="宋体"/>
          <w:color w:val="auto"/>
          <w:szCs w:val="21"/>
          <w:highlight w:val="none"/>
        </w:rPr>
        <w:t>，在评审时将其视为无效响应。</w:t>
      </w:r>
    </w:p>
    <w:p w14:paraId="603D0EEF">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（1）未在</w:t>
      </w:r>
      <w:r>
        <w:rPr>
          <w:rFonts w:hint="eastAsia" w:ascii="宋体" w:hAnsi="宋体"/>
          <w:b/>
          <w:color w:val="auto"/>
          <w:highlight w:val="none"/>
        </w:rPr>
        <w:t>磋商须知前附表</w:t>
      </w:r>
      <w:r>
        <w:rPr>
          <w:rFonts w:hint="eastAsia" w:ascii="宋体" w:hAnsi="宋体"/>
          <w:color w:val="auto"/>
          <w:szCs w:val="21"/>
          <w:highlight w:val="none"/>
        </w:rPr>
        <w:t>规定的提交时间、地点提交</w:t>
      </w:r>
      <w:r>
        <w:rPr>
          <w:rFonts w:ascii="宋体" w:hAnsi="宋体"/>
          <w:color w:val="auto"/>
          <w:szCs w:val="21"/>
          <w:highlight w:val="none"/>
        </w:rPr>
        <w:t>的</w:t>
      </w:r>
      <w:r>
        <w:rPr>
          <w:rFonts w:hint="eastAsia" w:ascii="宋体" w:hAnsi="宋体"/>
          <w:color w:val="auto"/>
          <w:szCs w:val="21"/>
          <w:highlight w:val="none"/>
        </w:rPr>
        <w:t>；</w:t>
      </w:r>
    </w:p>
    <w:p w14:paraId="11969EFD">
      <w:pPr>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highlight w:val="none"/>
        </w:rPr>
        <w:t>供应商</w:t>
      </w:r>
      <w:r>
        <w:rPr>
          <w:rFonts w:hint="eastAsia" w:ascii="宋体" w:hAnsi="宋体"/>
          <w:color w:val="auto"/>
          <w:szCs w:val="21"/>
          <w:highlight w:val="none"/>
        </w:rPr>
        <w:t>提供的样品与响应文件中提供样品的型号、规格不一致</w:t>
      </w:r>
      <w:r>
        <w:rPr>
          <w:rFonts w:ascii="宋体" w:hAnsi="宋体"/>
          <w:color w:val="auto"/>
          <w:szCs w:val="21"/>
          <w:highlight w:val="none"/>
        </w:rPr>
        <w:t>的</w:t>
      </w:r>
      <w:r>
        <w:rPr>
          <w:rFonts w:hint="eastAsia" w:ascii="宋体" w:hAnsi="宋体"/>
          <w:color w:val="auto"/>
          <w:szCs w:val="21"/>
          <w:highlight w:val="none"/>
        </w:rPr>
        <w:t>。</w:t>
      </w:r>
    </w:p>
    <w:p w14:paraId="693FC19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19.磋商保证金</w:t>
      </w:r>
    </w:p>
    <w:p w14:paraId="45D82AA3">
      <w:pPr>
        <w:pStyle w:val="12"/>
        <w:adjustRightInd w:val="0"/>
        <w:snapToGrid w:val="0"/>
        <w:spacing w:line="360" w:lineRule="auto"/>
        <w:ind w:firstLine="420" w:firstLineChars="200"/>
        <w:rPr>
          <w:rFonts w:hAnsi="宋体"/>
          <w:bCs/>
          <w:color w:val="auto"/>
          <w:highlight w:val="none"/>
        </w:rPr>
      </w:pPr>
      <w:r>
        <w:rPr>
          <w:rFonts w:hint="eastAsia" w:hAnsi="宋体"/>
          <w:color w:val="auto"/>
          <w:highlight w:val="none"/>
        </w:rPr>
        <w:t>19.1</w:t>
      </w:r>
      <w:r>
        <w:rPr>
          <w:rFonts w:hint="eastAsia" w:hAnsi="宋体"/>
          <w:b/>
          <w:color w:val="auto"/>
          <w:highlight w:val="none"/>
        </w:rPr>
        <w:t>磋商须知前附表</w:t>
      </w:r>
      <w:r>
        <w:rPr>
          <w:rFonts w:hint="eastAsia" w:hAnsi="宋体"/>
          <w:color w:val="auto"/>
          <w:highlight w:val="none"/>
        </w:rPr>
        <w:t>规定交纳磋商</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磋商须知前附表</w:t>
      </w:r>
      <w:r>
        <w:rPr>
          <w:rFonts w:hint="eastAsia" w:hAnsi="宋体"/>
          <w:color w:val="auto"/>
          <w:highlight w:val="none"/>
        </w:rPr>
        <w:t>规定的磋商</w:t>
      </w:r>
      <w:r>
        <w:rPr>
          <w:rFonts w:hint="eastAsia" w:hAnsi="宋体"/>
          <w:bCs/>
          <w:color w:val="auto"/>
          <w:highlight w:val="none"/>
        </w:rPr>
        <w:t>保证金形式交纳，不得以现金方式交纳</w:t>
      </w:r>
      <w:r>
        <w:rPr>
          <w:rFonts w:hint="eastAsia" w:hAnsi="宋体"/>
          <w:color w:val="auto"/>
          <w:highlight w:val="none"/>
        </w:rPr>
        <w:t>，在</w:t>
      </w:r>
      <w:r>
        <w:rPr>
          <w:rFonts w:hint="eastAsia" w:hAnsi="宋体" w:cs="宋体"/>
          <w:color w:val="auto"/>
          <w:kern w:val="0"/>
          <w:highlight w:val="none"/>
        </w:rPr>
        <w:t>提交首次响应文件截止时间</w:t>
      </w:r>
      <w:r>
        <w:rPr>
          <w:rFonts w:hint="eastAsia" w:hAnsi="宋体"/>
          <w:color w:val="auto"/>
          <w:highlight w:val="none"/>
        </w:rPr>
        <w:t>前，</w:t>
      </w:r>
      <w:r>
        <w:rPr>
          <w:rFonts w:hint="eastAsia" w:hAnsi="宋体"/>
          <w:bCs/>
          <w:color w:val="auto"/>
          <w:highlight w:val="none"/>
        </w:rPr>
        <w:t>向采购代理机构交纳不超过</w:t>
      </w:r>
      <w:r>
        <w:rPr>
          <w:rFonts w:hint="eastAsia" w:hAnsi="宋体" w:cs="宋体"/>
          <w:color w:val="auto"/>
          <w:kern w:val="0"/>
          <w:highlight w:val="none"/>
          <w:lang w:val="zh-CN"/>
        </w:rPr>
        <w:t>采购项目预算</w:t>
      </w:r>
      <w:r>
        <w:rPr>
          <w:rFonts w:hint="eastAsia" w:hAnsi="宋体" w:cs="宋体"/>
          <w:color w:val="auto"/>
          <w:kern w:val="0"/>
          <w:highlight w:val="none"/>
        </w:rPr>
        <w:t>2</w:t>
      </w:r>
      <w:r>
        <w:rPr>
          <w:rFonts w:hint="eastAsia" w:hAnsi="宋体" w:cs="宋体"/>
          <w:color w:val="auto"/>
          <w:kern w:val="0"/>
          <w:highlight w:val="none"/>
          <w:lang w:val="zh-CN"/>
        </w:rPr>
        <w:t>﹪</w:t>
      </w:r>
      <w:r>
        <w:rPr>
          <w:rFonts w:hint="eastAsia" w:hAnsi="宋体"/>
          <w:bCs/>
          <w:color w:val="auto"/>
          <w:highlight w:val="none"/>
        </w:rPr>
        <w:t>的磋商保证金(数额采用四舍五入，计算至元)</w:t>
      </w:r>
      <w:r>
        <w:rPr>
          <w:rFonts w:hint="eastAsia" w:hAnsi="宋体"/>
          <w:color w:val="auto"/>
          <w:highlight w:val="none"/>
        </w:rPr>
        <w:t>。磋商</w:t>
      </w:r>
      <w:r>
        <w:rPr>
          <w:rFonts w:hint="eastAsia" w:hAnsi="宋体"/>
          <w:bCs/>
          <w:color w:val="auto"/>
          <w:highlight w:val="none"/>
        </w:rPr>
        <w:t>保证金有效期应当与</w:t>
      </w:r>
      <w:r>
        <w:rPr>
          <w:rFonts w:hint="eastAsia" w:hAnsi="宋体"/>
          <w:color w:val="auto"/>
          <w:highlight w:val="none"/>
        </w:rPr>
        <w:t>本章第20.1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2FA06454">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19.2</w:t>
      </w:r>
      <w:r>
        <w:rPr>
          <w:rFonts w:hint="eastAsia" w:ascii="宋体" w:hAnsi="宋体" w:cs="宋体"/>
          <w:color w:val="auto"/>
          <w:kern w:val="0"/>
          <w:szCs w:val="21"/>
          <w:highlight w:val="none"/>
          <w:lang w:val="zh-CN"/>
        </w:rPr>
        <w:t>供应商为联合体的，可以由联合体中的一方或者共同交纳磋商保证金，其交纳的磋商保证金，对联合体各方均具有约束力。</w:t>
      </w:r>
    </w:p>
    <w:p w14:paraId="27E85D76">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1D77382C">
      <w:pPr>
        <w:pStyle w:val="12"/>
        <w:tabs>
          <w:tab w:val="left" w:pos="6300"/>
        </w:tabs>
        <w:adjustRightInd w:val="0"/>
        <w:snapToGrid w:val="0"/>
        <w:spacing w:line="360" w:lineRule="auto"/>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w:t>
      </w:r>
      <w:r>
        <w:rPr>
          <w:rFonts w:hint="eastAsia" w:hAnsi="宋体"/>
          <w:color w:val="auto"/>
          <w:highlight w:val="none"/>
          <w:lang w:eastAsia="zh-CN"/>
        </w:rPr>
        <w:t>合同签订后</w:t>
      </w:r>
      <w:r>
        <w:rPr>
          <w:rFonts w:hint="eastAsia" w:hAnsi="宋体"/>
          <w:color w:val="auto"/>
          <w:highlight w:val="none"/>
        </w:rPr>
        <w:t>5个工作日内退还成交供应商的磋商保证金，但因供应商自身原因导致无法及时退还的除外。</w:t>
      </w:r>
    </w:p>
    <w:p w14:paraId="62A7175F">
      <w:pPr>
        <w:pStyle w:val="12"/>
        <w:adjustRightInd w:val="0"/>
        <w:snapToGrid w:val="0"/>
        <w:spacing w:line="360" w:lineRule="auto"/>
        <w:ind w:firstLine="420" w:firstLineChars="200"/>
        <w:rPr>
          <w:color w:val="auto"/>
          <w:kern w:val="0"/>
          <w:highlight w:val="none"/>
        </w:rPr>
      </w:pPr>
      <w:r>
        <w:rPr>
          <w:rFonts w:hint="eastAsia"/>
          <w:color w:val="auto"/>
          <w:highlight w:val="none"/>
        </w:rPr>
        <w:t xml:space="preserve">19.5 </w:t>
      </w:r>
      <w:r>
        <w:rPr>
          <w:rFonts w:hint="eastAsia"/>
          <w:color w:val="auto"/>
          <w:kern w:val="0"/>
          <w:highlight w:val="none"/>
        </w:rPr>
        <w:t>有下列情形之一的，磋商保证金不予退还，并上缴本级财政国库：</w:t>
      </w:r>
    </w:p>
    <w:p w14:paraId="3090E248">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（1）供应商在提交首次响应文件截止时间后撤回响应文件的；</w:t>
      </w:r>
    </w:p>
    <w:p w14:paraId="60844056">
      <w:pPr>
        <w:widowControl/>
        <w:adjustRightInd w:val="0"/>
        <w:snapToGrid w:val="0"/>
        <w:spacing w:line="360" w:lineRule="auto"/>
        <w:ind w:firstLine="420" w:firstLineChars="200"/>
        <w:jc w:val="left"/>
        <w:rPr>
          <w:color w:val="auto"/>
          <w:kern w:val="0"/>
          <w:highlight w:val="none"/>
        </w:rPr>
      </w:pPr>
      <w:r>
        <w:rPr>
          <w:rFonts w:hint="eastAsia"/>
          <w:color w:val="auto"/>
          <w:kern w:val="0"/>
          <w:highlight w:val="none"/>
        </w:rPr>
        <w:t>（2）供应商在响应文件中提供虚假资料的；</w:t>
      </w:r>
    </w:p>
    <w:p w14:paraId="149AA83E">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color w:val="auto"/>
          <w:kern w:val="0"/>
          <w:highlight w:val="none"/>
        </w:rPr>
        <w:t>（3）</w:t>
      </w:r>
      <w:r>
        <w:rPr>
          <w:rFonts w:hint="eastAsia"/>
          <w:color w:val="auto"/>
          <w:highlight w:val="none"/>
        </w:rPr>
        <w:t>确定成交结果后，无正当理由放弃成交资格的；</w:t>
      </w:r>
    </w:p>
    <w:p w14:paraId="15FC14CD">
      <w:pPr>
        <w:widowControl/>
        <w:adjustRightInd w:val="0"/>
        <w:snapToGri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(4) 除因不可抗力或磋商文件认可的情形以外，成交供应商不与采购人签订合同的；</w:t>
      </w:r>
    </w:p>
    <w:p w14:paraId="3793DA43">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（5）供应商与采购人、其他供应商或者采购代理机构恶意串通的；</w:t>
      </w:r>
    </w:p>
    <w:p w14:paraId="325C4F6C">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（6）磋商文件规定的其他情形。</w:t>
      </w:r>
    </w:p>
    <w:p w14:paraId="52B910B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20.</w:t>
      </w:r>
      <w:r>
        <w:rPr>
          <w:rFonts w:hint="eastAsia" w:hAnsi="宋体"/>
          <w:b/>
          <w:color w:val="auto"/>
          <w:highlight w:val="none"/>
        </w:rPr>
        <w:t>响应文件</w:t>
      </w:r>
      <w:r>
        <w:rPr>
          <w:rFonts w:hint="eastAsia" w:ascii="宋体" w:hAnsi="宋体"/>
          <w:b/>
          <w:color w:val="auto"/>
          <w:szCs w:val="21"/>
          <w:highlight w:val="none"/>
        </w:rPr>
        <w:t>有效期</w:t>
      </w:r>
    </w:p>
    <w:p w14:paraId="7523F8E1">
      <w:pPr>
        <w:adjustRightInd w:val="0"/>
        <w:snapToGrid w:val="0"/>
        <w:spacing w:line="360" w:lineRule="auto"/>
        <w:ind w:firstLine="420" w:firstLineChars="200"/>
        <w:jc w:val="left"/>
        <w:rPr>
          <w:rFonts w:hAnsi="宋体"/>
          <w:color w:val="auto"/>
          <w:highlight w:val="none"/>
        </w:rPr>
      </w:pPr>
      <w:r>
        <w:rPr>
          <w:rFonts w:hint="eastAsia" w:ascii="宋体" w:hAnsi="宋体"/>
          <w:color w:val="auto"/>
          <w:highlight w:val="none"/>
        </w:rPr>
        <w:t>20.1响应文件</w:t>
      </w:r>
      <w:r>
        <w:rPr>
          <w:rFonts w:hint="eastAsia" w:ascii="宋体" w:hAnsi="宋体"/>
          <w:color w:val="auto"/>
          <w:szCs w:val="21"/>
          <w:highlight w:val="none"/>
        </w:rPr>
        <w:t>有效期见</w:t>
      </w:r>
      <w:r>
        <w:rPr>
          <w:rFonts w:hint="eastAsia" w:ascii="宋体" w:hAnsi="宋体"/>
          <w:b/>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1FA7E09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21.响应文件的签署及规定</w:t>
      </w:r>
    </w:p>
    <w:p w14:paraId="0987F5FD">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21.1响应文件的正本和副本应装订成册，正本一份，副本份数见</w:t>
      </w:r>
      <w:r>
        <w:rPr>
          <w:rFonts w:hint="eastAsia" w:hAnsi="宋体"/>
          <w:b/>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1B0D22C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7DF6D2F4">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最后报价)，一式两份，可打印或用不褪色墨水书写，但</w:t>
      </w:r>
      <w:r>
        <w:rPr>
          <w:rFonts w:hint="eastAsia" w:hAnsi="宋体"/>
          <w:color w:val="auto"/>
          <w:highlight w:val="none"/>
          <w:lang w:eastAsia="zh-CN"/>
        </w:rPr>
        <w:t>须</w:t>
      </w:r>
      <w:r>
        <w:rPr>
          <w:rFonts w:hint="eastAsia" w:hAnsi="宋体"/>
          <w:color w:val="auto"/>
          <w:highlight w:val="none"/>
        </w:rPr>
        <w:t>经法定代表人或其委托代理人签字，</w:t>
      </w:r>
      <w:r>
        <w:rPr>
          <w:rFonts w:hint="eastAsia" w:hAnsi="宋体" w:cs="宋体"/>
          <w:color w:val="auto"/>
          <w:kern w:val="0"/>
          <w:highlight w:val="none"/>
        </w:rPr>
        <w:t>或者加盖供应商单位章</w:t>
      </w:r>
      <w:r>
        <w:rPr>
          <w:rFonts w:hint="eastAsia" w:hAnsi="宋体"/>
          <w:color w:val="auto"/>
          <w:highlight w:val="none"/>
        </w:rPr>
        <w:t>。否则，将导致响应文件无效。</w:t>
      </w:r>
    </w:p>
    <w:p w14:paraId="55FFAFF5">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响应文件的递交</w:t>
      </w:r>
    </w:p>
    <w:p w14:paraId="4EBC0983">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02D1F82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22.1响应文件应密封包装，加贴封条，并在封套的封口处盖供应商单位章或者由法定代表人或其委托代理人签字。</w:t>
      </w:r>
    </w:p>
    <w:p w14:paraId="3E602524">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22.2响应文件封套上应写明的内容见</w:t>
      </w:r>
      <w:r>
        <w:rPr>
          <w:rFonts w:hint="eastAsia" w:ascii="宋体" w:hAnsi="宋体"/>
          <w:b/>
          <w:color w:val="auto"/>
          <w:szCs w:val="21"/>
          <w:highlight w:val="none"/>
        </w:rPr>
        <w:t>磋商须知前附表。</w:t>
      </w:r>
    </w:p>
    <w:p w14:paraId="087FD89F">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22.3响应文件如果未按上述规定密封和加写标记，采购人或采购代理机构将拒绝接收。</w:t>
      </w:r>
    </w:p>
    <w:p w14:paraId="4DAA151A">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23.响应文件的</w:t>
      </w:r>
      <w:r>
        <w:rPr>
          <w:rFonts w:hint="eastAsia" w:ascii="宋体" w:hAnsi="宋体" w:cs="宋体"/>
          <w:b/>
          <w:color w:val="auto"/>
          <w:kern w:val="0"/>
          <w:szCs w:val="21"/>
          <w:highlight w:val="none"/>
          <w:lang w:val="zh-CN"/>
        </w:rPr>
        <w:t>补充、修改或者撤回</w:t>
      </w:r>
    </w:p>
    <w:p w14:paraId="5078AF91">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23.1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79C464A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23.2</w:t>
      </w:r>
      <w:r>
        <w:rPr>
          <w:rFonts w:hint="eastAsia" w:hAnsi="宋体" w:cs="宋体"/>
          <w:color w:val="auto"/>
          <w:kern w:val="0"/>
          <w:highlight w:val="none"/>
          <w:lang w:val="zh-CN"/>
        </w:rPr>
        <w:t>补充、修改的内容与响应文件不一致时，以补充、修改的内容为准。</w:t>
      </w:r>
    </w:p>
    <w:p w14:paraId="096DC59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24.响应文件的递交与接收</w:t>
      </w:r>
    </w:p>
    <w:p w14:paraId="5AEB79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24.1 供应商应在</w:t>
      </w:r>
      <w:r>
        <w:rPr>
          <w:rFonts w:hint="eastAsia" w:ascii="宋体" w:hAnsi="宋体" w:cs="宋体"/>
          <w:color w:val="auto"/>
          <w:kern w:val="0"/>
          <w:szCs w:val="21"/>
          <w:highlight w:val="none"/>
        </w:rPr>
        <w:t>提交首次响应文件截止时间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b/>
          <w:color w:val="auto"/>
          <w:szCs w:val="21"/>
          <w:highlight w:val="none"/>
        </w:rPr>
        <w:t>磋商须知前附表</w:t>
      </w:r>
      <w:r>
        <w:rPr>
          <w:rFonts w:hint="eastAsia" w:ascii="宋体" w:hAnsi="宋体"/>
          <w:color w:val="auto"/>
          <w:szCs w:val="21"/>
          <w:highlight w:val="none"/>
        </w:rPr>
        <w:t>中指定的地点。</w:t>
      </w:r>
      <w:r>
        <w:rPr>
          <w:rFonts w:hint="eastAsia" w:hAnsi="宋体" w:cs="宋体"/>
          <w:color w:val="auto"/>
          <w:kern w:val="0"/>
          <w:highlight w:val="none"/>
        </w:rPr>
        <w:t>在截止时间后送达的响应文件，采购人、采购代理机构或者磋商小组应当拒收。</w:t>
      </w:r>
    </w:p>
    <w:p w14:paraId="73E1031D">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24.2</w:t>
      </w:r>
      <w:r>
        <w:rPr>
          <w:rFonts w:hint="eastAsia" w:hAnsi="宋体" w:cs="宋体"/>
          <w:color w:val="auto"/>
          <w:kern w:val="0"/>
          <w:highlight w:val="none"/>
        </w:rPr>
        <w:t>在提交首次响应文件截止时间后，</w:t>
      </w:r>
      <w:r>
        <w:rPr>
          <w:rFonts w:hint="eastAsia" w:hAnsi="宋体"/>
          <w:color w:val="auto"/>
          <w:highlight w:val="none"/>
        </w:rPr>
        <w:t>由</w:t>
      </w:r>
      <w:r>
        <w:rPr>
          <w:rFonts w:hint="eastAsia" w:hAnsi="宋体"/>
          <w:bCs/>
          <w:color w:val="auto"/>
          <w:highlight w:val="none"/>
        </w:rPr>
        <w:t>供应商代表</w:t>
      </w:r>
      <w:r>
        <w:rPr>
          <w:rFonts w:hint="eastAsia" w:hAnsi="宋体"/>
          <w:color w:val="auto"/>
          <w:highlight w:val="none"/>
        </w:rPr>
        <w:t>当场查验</w:t>
      </w:r>
      <w:r>
        <w:rPr>
          <w:rFonts w:hint="eastAsia" w:hAnsi="宋体"/>
          <w:bCs/>
          <w:color w:val="auto"/>
          <w:highlight w:val="none"/>
        </w:rPr>
        <w:t>响应文件</w:t>
      </w:r>
      <w:r>
        <w:rPr>
          <w:rFonts w:hint="eastAsia" w:hAnsi="宋体"/>
          <w:color w:val="auto"/>
          <w:highlight w:val="none"/>
        </w:rPr>
        <w:t>的密封状况，采购人或</w:t>
      </w:r>
      <w:r>
        <w:rPr>
          <w:rFonts w:hint="eastAsia" w:hAnsi="宋体"/>
          <w:bCs/>
          <w:color w:val="auto"/>
          <w:highlight w:val="none"/>
        </w:rPr>
        <w:t>采购代理机构</w:t>
      </w:r>
      <w:r>
        <w:rPr>
          <w:rFonts w:hint="eastAsia" w:hAnsi="宋体"/>
          <w:color w:val="auto"/>
          <w:highlight w:val="none"/>
        </w:rPr>
        <w:t>不当场拆封</w:t>
      </w:r>
      <w:r>
        <w:rPr>
          <w:rFonts w:hint="eastAsia" w:hAnsi="宋体"/>
          <w:bCs/>
          <w:color w:val="auto"/>
          <w:highlight w:val="none"/>
        </w:rPr>
        <w:t>响应文件</w:t>
      </w:r>
      <w:r>
        <w:rPr>
          <w:rFonts w:hint="eastAsia" w:hAnsi="宋体"/>
          <w:color w:val="auto"/>
          <w:highlight w:val="none"/>
        </w:rPr>
        <w:t>。</w:t>
      </w:r>
    </w:p>
    <w:p w14:paraId="1D026748">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响应文件的磋商与评审</w:t>
      </w:r>
    </w:p>
    <w:p w14:paraId="6B8D68DA">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25.磋商程序</w:t>
      </w:r>
    </w:p>
    <w:p w14:paraId="34F70EBB">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25.1磋商程序：响应文件审查、磋商（包括澄清）、最终报价、响应文件评审、</w:t>
      </w:r>
      <w:r>
        <w:rPr>
          <w:rFonts w:hint="eastAsia" w:ascii="宋体" w:hAnsi="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olor w:val="auto"/>
          <w:szCs w:val="21"/>
          <w:highlight w:val="none"/>
        </w:rPr>
        <w:t>本章</w:t>
      </w:r>
      <w:r>
        <w:rPr>
          <w:rFonts w:hint="eastAsia" w:hAnsi="宋体"/>
          <w:color w:val="auto"/>
          <w:highlight w:val="none"/>
        </w:rPr>
        <w:t>第</w:t>
      </w:r>
      <w:r>
        <w:rPr>
          <w:rFonts w:hint="eastAsia" w:ascii="宋体" w:hAnsi="宋体"/>
          <w:color w:val="auto"/>
          <w:highlight w:val="none"/>
        </w:rPr>
        <w:t>30.1</w:t>
      </w:r>
      <w:r>
        <w:rPr>
          <w:rFonts w:hint="eastAsia" w:ascii="宋体" w:hAnsi="宋体" w:cs="宋体"/>
          <w:color w:val="auto"/>
          <w:kern w:val="0"/>
          <w:szCs w:val="21"/>
          <w:highlight w:val="none"/>
          <w:lang w:val="zh-CN"/>
        </w:rPr>
        <w:t>款或者</w:t>
      </w:r>
      <w:r>
        <w:rPr>
          <w:rFonts w:hint="eastAsia" w:ascii="宋体" w:hAnsi="宋体"/>
          <w:color w:val="auto"/>
          <w:highlight w:val="none"/>
        </w:rPr>
        <w:t>第30.2</w:t>
      </w:r>
      <w:r>
        <w:rPr>
          <w:rFonts w:hint="eastAsia" w:ascii="宋体" w:hAnsi="宋体" w:cs="宋体"/>
          <w:color w:val="auto"/>
          <w:kern w:val="0"/>
          <w:szCs w:val="21"/>
          <w:highlight w:val="none"/>
          <w:lang w:val="zh-CN"/>
        </w:rPr>
        <w:t>款</w:t>
      </w:r>
      <w:r>
        <w:rPr>
          <w:rFonts w:hint="eastAsia" w:hAnsi="宋体"/>
          <w:color w:val="auto"/>
          <w:highlight w:val="none"/>
        </w:rPr>
        <w:t>情形</w:t>
      </w:r>
      <w:r>
        <w:rPr>
          <w:rFonts w:hint="eastAsia" w:ascii="宋体" w:hAnsi="宋体"/>
          <w:bCs/>
          <w:color w:val="auto"/>
          <w:szCs w:val="21"/>
          <w:highlight w:val="none"/>
        </w:rPr>
        <w:t>进行。</w:t>
      </w:r>
    </w:p>
    <w:p w14:paraId="00D30D62">
      <w:pPr>
        <w:widowControl/>
        <w:adjustRightInd w:val="0"/>
        <w:snapToGrid w:val="0"/>
        <w:spacing w:line="360" w:lineRule="auto"/>
        <w:rPr>
          <w:rFonts w:ascii="宋体" w:hAnsi="宋体"/>
          <w:b/>
          <w:color w:val="auto"/>
          <w:szCs w:val="21"/>
          <w:highlight w:val="none"/>
        </w:rPr>
      </w:pPr>
      <w:r>
        <w:rPr>
          <w:rFonts w:hint="eastAsia" w:ascii="宋体" w:hAnsi="宋体" w:cs="宋体"/>
          <w:b/>
          <w:color w:val="auto"/>
          <w:kern w:val="0"/>
          <w:szCs w:val="21"/>
          <w:highlight w:val="none"/>
        </w:rPr>
        <w:t>26.响应文件审查</w:t>
      </w:r>
    </w:p>
    <w:p w14:paraId="34A77E4E">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26.1 资格性审查：根据本章第3.1项规定的供应商资格条件要求，采购人及其代理机构对响应文件的资格证明等进行审查，以确定供应商是否具备磋商资格条件。</w:t>
      </w:r>
    </w:p>
    <w:p w14:paraId="61DA438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26.2符合性审查: 磋商小组对响应文件(包括首次提交的响应文件、重新提交的响应文件)的有效性、完整性和响应程度进行审查，以确定是否对磋商文件的实质性要求作出响应。</w:t>
      </w:r>
    </w:p>
    <w:p w14:paraId="6840432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7080A444">
      <w:pPr>
        <w:pStyle w:val="12"/>
        <w:adjustRightInd w:val="0"/>
        <w:snapToGrid w:val="0"/>
        <w:spacing w:line="360" w:lineRule="auto"/>
        <w:rPr>
          <w:rFonts w:hAnsi="宋体" w:cs="宋体"/>
          <w:b/>
          <w:color w:val="auto"/>
          <w:kern w:val="0"/>
          <w:highlight w:val="none"/>
        </w:rPr>
      </w:pPr>
      <w:r>
        <w:rPr>
          <w:rFonts w:hint="eastAsia" w:hAnsi="宋体" w:cs="宋体"/>
          <w:b/>
          <w:color w:val="auto"/>
          <w:kern w:val="0"/>
          <w:highlight w:val="none"/>
        </w:rPr>
        <w:t>27.实质性响应</w:t>
      </w:r>
    </w:p>
    <w:p w14:paraId="181D4D67">
      <w:pPr>
        <w:pStyle w:val="12"/>
        <w:adjustRightInd w:val="0"/>
        <w:snapToGrid w:val="0"/>
        <w:spacing w:line="360" w:lineRule="auto"/>
        <w:ind w:firstLine="420" w:firstLineChars="200"/>
        <w:rPr>
          <w:rFonts w:hAnsi="宋体" w:cs="Arial"/>
          <w:color w:val="auto"/>
          <w:kern w:val="0"/>
          <w:highlight w:val="none"/>
          <w:u w:val="single"/>
        </w:rPr>
      </w:pPr>
      <w:r>
        <w:rPr>
          <w:rFonts w:hint="eastAsia" w:hAnsi="宋体" w:cs="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w:t>
      </w:r>
      <w:r>
        <w:rPr>
          <w:rFonts w:hint="eastAsia"/>
          <w:color w:val="auto"/>
          <w:highlight w:val="none"/>
        </w:rPr>
        <w:t>指不满足</w:t>
      </w:r>
      <w:r>
        <w:rPr>
          <w:rFonts w:hint="eastAsia"/>
          <w:color w:val="auto"/>
          <w:highlight w:val="none"/>
          <w:lang w:eastAsia="zh-CN"/>
        </w:rPr>
        <w:t>或</w:t>
      </w:r>
      <w:r>
        <w:rPr>
          <w:rFonts w:hint="eastAsia"/>
          <w:color w:val="auto"/>
          <w:highlight w:val="none"/>
        </w:rPr>
        <w:t>不响应</w:t>
      </w:r>
      <w:r>
        <w:rPr>
          <w:rFonts w:hint="eastAsia" w:hAnsi="宋体"/>
          <w:color w:val="auto"/>
          <w:highlight w:val="none"/>
        </w:rPr>
        <w:t>磋商文件</w:t>
      </w:r>
      <w:r>
        <w:rPr>
          <w:rFonts w:hint="eastAsia"/>
          <w:color w:val="auto"/>
          <w:highlight w:val="none"/>
        </w:rPr>
        <w:t>的要求。</w:t>
      </w:r>
    </w:p>
    <w:p w14:paraId="2D5E8F26">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olor w:val="auto"/>
          <w:szCs w:val="21"/>
          <w:highlight w:val="none"/>
        </w:rPr>
      </w:pPr>
      <w:r>
        <w:rPr>
          <w:rFonts w:hint="eastAsia" w:ascii="宋体" w:hAnsi="宋体"/>
          <w:color w:val="auto"/>
          <w:szCs w:val="21"/>
          <w:highlight w:val="none"/>
        </w:rPr>
        <w:t>27.2</w:t>
      </w:r>
      <w:r>
        <w:rPr>
          <w:rFonts w:hint="eastAsia" w:ascii="宋体" w:hAnsi="宋体"/>
          <w:color w:val="auto"/>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olor w:val="auto"/>
          <w:szCs w:val="21"/>
          <w:highlight w:val="none"/>
        </w:rPr>
        <w:t>决定</w:t>
      </w:r>
      <w:r>
        <w:rPr>
          <w:rFonts w:hint="eastAsia" w:ascii="宋体" w:hAnsi="宋体"/>
          <w:color w:val="auto"/>
          <w:highlight w:val="none"/>
        </w:rPr>
        <w:t>响应文件</w:t>
      </w:r>
      <w:r>
        <w:rPr>
          <w:rFonts w:hint="eastAsia" w:ascii="宋体" w:hAnsi="宋体"/>
          <w:color w:val="auto"/>
          <w:szCs w:val="21"/>
          <w:highlight w:val="none"/>
        </w:rPr>
        <w:t>的响应性只根据</w:t>
      </w:r>
      <w:r>
        <w:rPr>
          <w:rFonts w:hint="eastAsia" w:ascii="宋体" w:hAnsi="宋体"/>
          <w:color w:val="auto"/>
          <w:highlight w:val="none"/>
        </w:rPr>
        <w:t>响应文件</w:t>
      </w:r>
      <w:r>
        <w:rPr>
          <w:rFonts w:hint="eastAsia" w:ascii="宋体" w:hAnsi="宋体"/>
          <w:color w:val="auto"/>
          <w:szCs w:val="21"/>
          <w:highlight w:val="none"/>
        </w:rPr>
        <w:t>本身的真实无误的内容，而不依据外部的证据。</w:t>
      </w:r>
    </w:p>
    <w:p w14:paraId="71B6A0CF">
      <w:pPr>
        <w:pStyle w:val="12"/>
        <w:adjustRightInd w:val="0"/>
        <w:snapToGrid w:val="0"/>
        <w:spacing w:line="360" w:lineRule="auto"/>
        <w:rPr>
          <w:rFonts w:cs="宋体"/>
          <w:b/>
          <w:color w:val="auto"/>
          <w:kern w:val="0"/>
          <w:highlight w:val="none"/>
        </w:rPr>
      </w:pPr>
      <w:r>
        <w:rPr>
          <w:rFonts w:hint="eastAsia" w:cs="宋体"/>
          <w:b/>
          <w:color w:val="auto"/>
          <w:kern w:val="0"/>
          <w:highlight w:val="none"/>
        </w:rPr>
        <w:t xml:space="preserve">28.无效响应 </w:t>
      </w:r>
    </w:p>
    <w:p w14:paraId="77BD964D">
      <w:pPr>
        <w:pStyle w:val="12"/>
        <w:adjustRightInd w:val="0"/>
        <w:snapToGrid w:val="0"/>
        <w:spacing w:line="360" w:lineRule="auto"/>
        <w:ind w:firstLine="411" w:firstLineChars="196"/>
        <w:rPr>
          <w:rFonts w:hAnsi="宋体" w:cs="宋体"/>
          <w:b/>
          <w:color w:val="auto"/>
          <w:kern w:val="0"/>
          <w:highlight w:val="none"/>
        </w:rPr>
      </w:pPr>
      <w:r>
        <w:rPr>
          <w:rFonts w:hint="eastAsia" w:cs="宋体"/>
          <w:color w:val="auto"/>
          <w:kern w:val="0"/>
          <w:highlight w:val="none"/>
        </w:rPr>
        <w:t>28.1</w:t>
      </w:r>
      <w:r>
        <w:rPr>
          <w:rFonts w:hint="eastAsia"/>
          <w:color w:val="auto"/>
          <w:highlight w:val="none"/>
        </w:rPr>
        <w:t>磋商小组在对资格性和符合性进行审查时，有下列情况之一的，属无效响应，</w:t>
      </w:r>
      <w:r>
        <w:rPr>
          <w:rFonts w:hint="eastAsia" w:cs="宋体"/>
          <w:color w:val="auto"/>
          <w:kern w:val="0"/>
          <w:highlight w:val="none"/>
        </w:rPr>
        <w:t>磋商小组应当告知有关供应商</w:t>
      </w:r>
      <w:r>
        <w:rPr>
          <w:rFonts w:hint="eastAsia"/>
          <w:color w:val="auto"/>
          <w:highlight w:val="none"/>
        </w:rPr>
        <w:t>：</w:t>
      </w:r>
    </w:p>
    <w:p w14:paraId="08F692C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（1）供应商不具备本章第3.1款规定的供应商资格条件要求，或存在本章第3.3款情形的；</w:t>
      </w:r>
    </w:p>
    <w:p w14:paraId="3F80632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（2）联合体不符合本章第3.2款规定的；</w:t>
      </w:r>
    </w:p>
    <w:p w14:paraId="0027D5E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（3）应交未交磋商保证金或金额不足、磋商保证金缴纳形式不符合磋商文件要求的；</w:t>
      </w:r>
    </w:p>
    <w:p w14:paraId="094DA77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（4）响应文件未按照磋商文件要求签署、盖章的；</w:t>
      </w:r>
    </w:p>
    <w:p w14:paraId="6FA465D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（4）响应文件不满足本章第27.1款规定的实质性要求的；</w:t>
      </w:r>
    </w:p>
    <w:p w14:paraId="735C094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（5）报价超过采购项目预算的；</w:t>
      </w:r>
    </w:p>
    <w:p w14:paraId="2502D68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（6）响应文件有效期不足的；</w:t>
      </w:r>
    </w:p>
    <w:p w14:paraId="58BE1FB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（7）响应文件不符合法律、规章、规范性文件和磋商文件规定及要求的。</w:t>
      </w:r>
    </w:p>
    <w:p w14:paraId="16570CFE">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29.澄清</w:t>
      </w:r>
    </w:p>
    <w:p w14:paraId="5D611D28">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25E34D8F">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29.2 最后报价计算错误修正的原则：最后报价</w:t>
      </w:r>
      <w:r>
        <w:rPr>
          <w:rFonts w:hint="eastAsia" w:ascii="宋体" w:hAnsi="宋体" w:cs="Arial"/>
          <w:color w:val="auto"/>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1CD0118E">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30.磋商</w:t>
      </w:r>
    </w:p>
    <w:p w14:paraId="314E7ED8">
      <w:pPr>
        <w:widowControl/>
        <w:adjustRightInd w:val="0"/>
        <w:snapToGrid w:val="0"/>
        <w:spacing w:line="360" w:lineRule="auto"/>
        <w:ind w:firstLine="42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30.1</w:t>
      </w:r>
      <w:r>
        <w:rPr>
          <w:rFonts w:hint="eastAsia" w:ascii="宋体" w:hAnsi="宋体"/>
          <w:color w:val="auto"/>
          <w:highlight w:val="none"/>
        </w:rPr>
        <w:t>本章第10.2项</w:t>
      </w:r>
      <w:r>
        <w:rPr>
          <w:rFonts w:hint="eastAsia" w:ascii="宋体" w:hAnsi="宋体" w:cs="宋体"/>
          <w:color w:val="auto"/>
          <w:kern w:val="0"/>
          <w:szCs w:val="21"/>
          <w:highlight w:val="none"/>
        </w:rPr>
        <w:t>未明确磋商文件实质性变动内容的，或者磋商文件明确了可能发生实质性变动内容，但在磋商过程中，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磋商文件无需发生实质性变动的，磋商小组应当直接与响应文件审查合格的供应商就价格组织多轮磋商。</w:t>
      </w:r>
    </w:p>
    <w:p w14:paraId="753A84AB">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14:paraId="269F8BF0">
      <w:pPr>
        <w:widowControl/>
        <w:tabs>
          <w:tab w:val="left" w:pos="1080"/>
          <w:tab w:val="left" w:pos="1260"/>
        </w:tabs>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52EFF905">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w:t>
      </w:r>
      <w:r>
        <w:rPr>
          <w:rFonts w:hint="eastAsia" w:ascii="宋体" w:hAnsi="宋体"/>
          <w:color w:val="auto"/>
          <w:highlight w:val="none"/>
        </w:rPr>
        <w:t>本章第10.2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明确磋商文件实质性变动内容的，</w:t>
      </w:r>
      <w:r>
        <w:rPr>
          <w:rFonts w:hint="eastAsia" w:ascii="宋体" w:hAnsi="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bCs/>
          <w:color w:val="auto"/>
          <w:szCs w:val="21"/>
          <w:highlight w:val="none"/>
        </w:rPr>
        <w:t>在每一轮磋商中，磋商小组</w:t>
      </w:r>
      <w:r>
        <w:rPr>
          <w:rFonts w:hint="eastAsia" w:ascii="宋体" w:hAnsi="宋体" w:cs="宋体"/>
          <w:color w:val="auto"/>
          <w:kern w:val="0"/>
          <w:szCs w:val="21"/>
          <w:highlight w:val="none"/>
        </w:rPr>
        <w:t>可以</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磋商文件规定和磋商情况，</w:t>
      </w:r>
      <w:r>
        <w:rPr>
          <w:rFonts w:hint="eastAsia" w:ascii="宋体" w:hAnsi="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响应文件审查合格</w:t>
      </w:r>
      <w:r>
        <w:rPr>
          <w:rFonts w:hint="eastAsia" w:ascii="宋体" w:hAnsi="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olor w:val="auto"/>
          <w:szCs w:val="21"/>
          <w:highlight w:val="none"/>
        </w:rPr>
        <w:t>根据本章第26.2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hint="eastAsia" w:ascii="宋体" w:hAnsi="宋体" w:cs="宋体"/>
          <w:color w:val="auto"/>
          <w:kern w:val="0"/>
          <w:szCs w:val="21"/>
          <w:highlight w:val="none"/>
        </w:rPr>
        <w:t>对供应商重新提交的响应文件进行审查。供应商重新提交的响应文件审查不合格的，不得进入下一轮磋商，也不得要求提交最后报价。</w:t>
      </w:r>
    </w:p>
    <w:p w14:paraId="09AFC6A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37D7FF7E">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867F911">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30.3</w:t>
      </w:r>
      <w:r>
        <w:rPr>
          <w:rFonts w:hint="eastAsia" w:ascii="宋体" w:hAnsi="宋体"/>
          <w:bCs/>
          <w:color w:val="auto"/>
          <w:highlight w:val="none"/>
        </w:rPr>
        <w:t>重</w:t>
      </w:r>
      <w:r>
        <w:rPr>
          <w:rFonts w:hint="eastAsia" w:ascii="宋体" w:hAnsi="宋体" w:cs="宋体"/>
          <w:color w:val="auto"/>
          <w:kern w:val="0"/>
          <w:highlight w:val="none"/>
        </w:rPr>
        <w:t>新提交的响应文件</w:t>
      </w:r>
      <w:r>
        <w:rPr>
          <w:rFonts w:hint="eastAsia" w:ascii="宋体" w:hAnsi="宋体"/>
          <w:color w:val="auto"/>
          <w:highlight w:val="none"/>
        </w:rPr>
        <w:t>或者最后报价应按</w:t>
      </w:r>
      <w:r>
        <w:rPr>
          <w:rFonts w:hint="eastAsia" w:ascii="宋体" w:hAnsi="宋体" w:cs="宋体"/>
          <w:color w:val="auto"/>
          <w:kern w:val="0"/>
          <w:szCs w:val="21"/>
          <w:highlight w:val="none"/>
        </w:rPr>
        <w:t>本章第</w:t>
      </w:r>
      <w:r>
        <w:rPr>
          <w:rFonts w:hint="eastAsia" w:ascii="宋体" w:hAnsi="宋体"/>
          <w:color w:val="auto"/>
          <w:highlight w:val="none"/>
        </w:rPr>
        <w:t>21.3</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由其法定代表人或其委托代理人签字或者加盖</w:t>
      </w:r>
      <w:r>
        <w:rPr>
          <w:rFonts w:hint="eastAsia" w:ascii="宋体" w:hAnsi="宋体" w:cs="宋体"/>
          <w:color w:val="auto"/>
          <w:kern w:val="0"/>
          <w:highlight w:val="none"/>
        </w:rPr>
        <w:t>供应商单位</w:t>
      </w:r>
      <w:r>
        <w:rPr>
          <w:rFonts w:hint="eastAsia" w:ascii="宋体" w:hAnsi="宋体" w:cs="宋体"/>
          <w:color w:val="auto"/>
          <w:kern w:val="0"/>
          <w:szCs w:val="21"/>
          <w:highlight w:val="none"/>
        </w:rPr>
        <w:t>章，在规定时间内密封递交给磋商小组</w:t>
      </w:r>
      <w:r>
        <w:rPr>
          <w:rFonts w:hint="eastAsia" w:ascii="宋体" w:hAnsi="宋体"/>
          <w:bCs/>
          <w:color w:val="auto"/>
          <w:szCs w:val="21"/>
          <w:highlight w:val="none"/>
        </w:rPr>
        <w:t>。</w:t>
      </w:r>
    </w:p>
    <w:p w14:paraId="6726A849">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30.4</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bCs/>
          <w:color w:val="auto"/>
          <w:szCs w:val="21"/>
          <w:highlight w:val="none"/>
        </w:rPr>
        <w:t>公布，并由供应商代表签字确认。</w:t>
      </w:r>
    </w:p>
    <w:p w14:paraId="0AD43D0D">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30.5提交首次响应文件的供应商，在提交最后报价之前，可以根据磋商情况退出磋商，</w:t>
      </w:r>
      <w:r>
        <w:rPr>
          <w:rFonts w:hint="eastAsia" w:ascii="宋体" w:hAnsi="宋体" w:cs="宋体"/>
          <w:color w:val="auto"/>
          <w:kern w:val="0"/>
          <w:highlight w:val="none"/>
        </w:rPr>
        <w:t>并书面通知采购代理机构或者磋商小组。</w:t>
      </w:r>
      <w:r>
        <w:rPr>
          <w:rFonts w:hint="eastAsia" w:ascii="宋体" w:hAnsi="宋体"/>
          <w:color w:val="auto"/>
          <w:highlight w:val="none"/>
        </w:rPr>
        <w:t>该通知由供应商法定代表人或其委托代理人签字。</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19.4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退还退出磋商的供应商的磋商保证金。</w:t>
      </w:r>
    </w:p>
    <w:p w14:paraId="4557813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bCs/>
          <w:color w:val="auto"/>
          <w:szCs w:val="21"/>
          <w:highlight w:val="none"/>
        </w:rPr>
        <w:t>30.6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新提交的响应文件和最后报价)，且又</w:t>
      </w:r>
      <w:r>
        <w:rPr>
          <w:rFonts w:hint="eastAsia" w:ascii="宋体" w:hAnsi="宋体" w:cs="宋体"/>
          <w:color w:val="auto"/>
          <w:kern w:val="0"/>
          <w:highlight w:val="none"/>
        </w:rPr>
        <w:t>未按</w:t>
      </w:r>
      <w:r>
        <w:rPr>
          <w:rFonts w:hint="eastAsia" w:ascii="宋体" w:hAnsi="宋体" w:cs="宋体"/>
          <w:color w:val="auto"/>
          <w:kern w:val="0"/>
          <w:szCs w:val="21"/>
          <w:highlight w:val="none"/>
        </w:rPr>
        <w:t>本章第</w:t>
      </w:r>
      <w:r>
        <w:rPr>
          <w:rFonts w:hint="eastAsia" w:ascii="宋体" w:hAnsi="宋体"/>
          <w:color w:val="auto"/>
          <w:highlight w:val="none"/>
        </w:rPr>
        <w:t>30.5</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退出磋商的，供应商的磋商保证金不予退还。</w:t>
      </w:r>
    </w:p>
    <w:p w14:paraId="0216061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30.7磋商文件在磋商过程中未发生实质性变动的，参加磋商供应商的次轮报价不得高于上轮报价，否则视为无效响应。</w:t>
      </w:r>
    </w:p>
    <w:p w14:paraId="6181F725">
      <w:pPr>
        <w:widowControl/>
        <w:adjustRightInd w:val="0"/>
        <w:snapToGrid w:val="0"/>
        <w:spacing w:line="360" w:lineRule="auto"/>
        <w:jc w:val="left"/>
        <w:rPr>
          <w:rFonts w:ascii="宋体" w:hAnsi="宋体"/>
          <w:b/>
          <w:bCs/>
          <w:color w:val="auto"/>
          <w:szCs w:val="21"/>
          <w:highlight w:val="none"/>
        </w:rPr>
      </w:pPr>
      <w:r>
        <w:rPr>
          <w:rFonts w:hint="eastAsia" w:ascii="宋体" w:hAnsi="宋体" w:cs="宋体"/>
          <w:b/>
          <w:color w:val="auto"/>
          <w:kern w:val="0"/>
          <w:szCs w:val="21"/>
          <w:highlight w:val="none"/>
        </w:rPr>
        <w:t>31.响应文件评审</w:t>
      </w:r>
    </w:p>
    <w:p w14:paraId="016E14EA">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31.1经磋商确定最终采购需求和提交最后报价的供应商后，由磋商小组采用综合评分法对提交最后报价的供应商的响应文件和最后报价进行综合评价。</w:t>
      </w:r>
    </w:p>
    <w:p w14:paraId="65B2C12A">
      <w:pPr>
        <w:widowControl/>
        <w:adjustRightInd w:val="0"/>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highlight w:val="none"/>
        </w:rPr>
        <w:t>磋商须知前附表。</w:t>
      </w:r>
    </w:p>
    <w:p w14:paraId="0DD2D92D">
      <w:pPr>
        <w:widowControl/>
        <w:adjustRightInd w:val="0"/>
        <w:snapToGrid w:val="0"/>
        <w:spacing w:before="120" w:beforeLines="50" w:line="360" w:lineRule="auto"/>
        <w:ind w:firstLine="420" w:firstLineChars="200"/>
        <w:jc w:val="left"/>
        <w:rPr>
          <w:rFonts w:ascii="宋体" w:hAnsi="宋体"/>
          <w:bCs/>
          <w:color w:val="auto"/>
          <w:szCs w:val="21"/>
          <w:highlight w:val="none"/>
        </w:rPr>
      </w:pPr>
      <w:r>
        <w:rPr>
          <w:rFonts w:hint="eastAsia" w:ascii="宋体" w:hAnsi="宋体" w:cs="宋体"/>
          <w:color w:val="auto"/>
          <w:kern w:val="0"/>
          <w:szCs w:val="21"/>
          <w:highlight w:val="none"/>
        </w:rPr>
        <w:t>31.3</w:t>
      </w:r>
      <w:r>
        <w:rPr>
          <w:rFonts w:hint="eastAsia" w:ascii="宋体" w:hAnsi="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08C1D51A">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52465076">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磋商报价得分=（磋商基准价/最后磋商报价）×价格权值×100</w:t>
      </w:r>
    </w:p>
    <w:p w14:paraId="4BCC2F0D">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项目评审过程中，不得去掉最后报价中的最高报价和最低报价。</w:t>
      </w:r>
    </w:p>
    <w:p w14:paraId="28D4ED22">
      <w:pPr>
        <w:widowControl/>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31.5</w:t>
      </w:r>
      <w:r>
        <w:rPr>
          <w:rFonts w:hint="eastAsia" w:ascii="宋体" w:hAnsi="宋体"/>
          <w:color w:val="auto"/>
          <w:szCs w:val="21"/>
          <w:highlight w:val="none"/>
        </w:rPr>
        <w:t>涉及政府采购政策优惠对供应商分值进行调整的，</w:t>
      </w:r>
      <w:r>
        <w:rPr>
          <w:rFonts w:hint="eastAsia" w:ascii="宋体" w:hAnsi="宋体"/>
          <w:bCs/>
          <w:color w:val="auto"/>
          <w:szCs w:val="21"/>
          <w:highlight w:val="none"/>
        </w:rPr>
        <w:t>按</w:t>
      </w:r>
      <w:r>
        <w:rPr>
          <w:rFonts w:hint="eastAsia" w:ascii="宋体" w:hAnsi="宋体"/>
          <w:b/>
          <w:color w:val="auto"/>
          <w:szCs w:val="21"/>
          <w:highlight w:val="none"/>
        </w:rPr>
        <w:t>磋商须知前附表</w:t>
      </w:r>
      <w:r>
        <w:rPr>
          <w:rFonts w:hint="eastAsia" w:ascii="宋体" w:hAnsi="宋体"/>
          <w:bCs/>
          <w:color w:val="auto"/>
          <w:szCs w:val="21"/>
          <w:highlight w:val="none"/>
        </w:rPr>
        <w:t>规定</w:t>
      </w:r>
      <w:r>
        <w:rPr>
          <w:rFonts w:hint="eastAsia" w:ascii="宋体" w:hAnsi="宋体"/>
          <w:color w:val="auto"/>
          <w:szCs w:val="21"/>
          <w:highlight w:val="none"/>
        </w:rPr>
        <w:t>调整供应商的技术、商务、价格</w:t>
      </w:r>
      <w:r>
        <w:rPr>
          <w:rFonts w:hint="eastAsia" w:ascii="宋体" w:hAnsi="宋体" w:cs="宋体"/>
          <w:color w:val="auto"/>
          <w:kern w:val="0"/>
          <w:szCs w:val="21"/>
          <w:highlight w:val="none"/>
        </w:rPr>
        <w:t>得分或总得分</w:t>
      </w:r>
      <w:r>
        <w:rPr>
          <w:rFonts w:hint="eastAsia" w:ascii="宋体" w:hAnsi="宋体"/>
          <w:color w:val="auto"/>
          <w:szCs w:val="21"/>
          <w:highlight w:val="none"/>
        </w:rPr>
        <w:t>。</w:t>
      </w:r>
    </w:p>
    <w:p w14:paraId="580FDDD4">
      <w:pPr>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31.6涉及多处或部分获得政府采购政策优惠的，其多处或部分享受政府采购优惠政策的计算方法见</w:t>
      </w:r>
      <w:r>
        <w:rPr>
          <w:rFonts w:hint="eastAsia" w:ascii="宋体" w:hAnsi="宋体"/>
          <w:b/>
          <w:color w:val="auto"/>
          <w:szCs w:val="21"/>
          <w:highlight w:val="none"/>
        </w:rPr>
        <w:t>磋商须知前附表</w:t>
      </w:r>
      <w:r>
        <w:rPr>
          <w:rFonts w:hint="eastAsia" w:ascii="宋体" w:hAnsi="宋体"/>
          <w:color w:val="auto"/>
          <w:szCs w:val="21"/>
          <w:highlight w:val="none"/>
        </w:rPr>
        <w:t>相关规定。</w:t>
      </w:r>
    </w:p>
    <w:p w14:paraId="0238C429">
      <w:pPr>
        <w:widowControl/>
        <w:adjustRightInd w:val="0"/>
        <w:snapToGrid w:val="0"/>
        <w:spacing w:before="120" w:beforeLines="5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31.7</w:t>
      </w:r>
      <w:r>
        <w:rPr>
          <w:rFonts w:hint="eastAsia" w:ascii="宋体" w:hAnsi="宋体"/>
          <w:color w:val="auto"/>
          <w:szCs w:val="21"/>
          <w:highlight w:val="none"/>
        </w:rPr>
        <w:t>评审时，磋商小组各成员应当独立对每个供应商的</w:t>
      </w:r>
      <w:r>
        <w:rPr>
          <w:rFonts w:hint="eastAsia" w:ascii="宋体" w:hAnsi="宋体"/>
          <w:bCs/>
          <w:color w:val="auto"/>
          <w:szCs w:val="21"/>
          <w:highlight w:val="none"/>
        </w:rPr>
        <w:t>响应文件</w:t>
      </w:r>
      <w:r>
        <w:rPr>
          <w:rFonts w:hint="eastAsia" w:ascii="宋体" w:hAnsi="宋体"/>
          <w:color w:val="auto"/>
          <w:szCs w:val="21"/>
          <w:highlight w:val="none"/>
        </w:rPr>
        <w:t>进行评价、评分，并按照政府采购优惠政策对最后报价进行价格扣除和技术、商务、价格加分后，汇总各供应商的总得分。</w:t>
      </w:r>
    </w:p>
    <w:p w14:paraId="5F2E1B76">
      <w:pPr>
        <w:widowControl/>
        <w:adjustRightInd w:val="0"/>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32</w:t>
      </w:r>
      <w:r>
        <w:rPr>
          <w:rFonts w:hint="eastAsia" w:ascii="宋体" w:hAnsi="宋体" w:cs="宋体"/>
          <w:b/>
          <w:color w:val="auto"/>
          <w:kern w:val="0"/>
          <w:szCs w:val="21"/>
          <w:highlight w:val="none"/>
        </w:rPr>
        <w:t>.</w:t>
      </w:r>
      <w:r>
        <w:rPr>
          <w:rFonts w:hint="eastAsia" w:ascii="宋体" w:hAnsi="宋体"/>
          <w:b/>
          <w:bCs/>
          <w:color w:val="auto"/>
          <w:szCs w:val="21"/>
          <w:highlight w:val="none"/>
        </w:rPr>
        <w:t>提出成交供应商</w:t>
      </w:r>
    </w:p>
    <w:p w14:paraId="55B86676">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32.1</w:t>
      </w:r>
      <w:r>
        <w:rPr>
          <w:rFonts w:hint="eastAsia" w:ascii="宋体" w:hAnsi="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技术指标优劣顺序推荐。符合《政府采购竞争性磋商采购方式管理暂行办法》(财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highlight w:val="none"/>
        </w:rPr>
        <w:t>可以推荐2家成交候选供应商。</w:t>
      </w:r>
    </w:p>
    <w:p w14:paraId="32E3F02E">
      <w:pPr>
        <w:tabs>
          <w:tab w:val="left" w:pos="0"/>
        </w:tabs>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33.确定成交供应商</w:t>
      </w:r>
    </w:p>
    <w:p w14:paraId="2B5E0769">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33.1采购代理机构应当在评审结束后2个工作日内将评审报告送采购人确认。</w:t>
      </w:r>
    </w:p>
    <w:p w14:paraId="002CAEEF">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24F9387">
      <w:pPr>
        <w:pStyle w:val="12"/>
        <w:adjustRightInd w:val="0"/>
        <w:snapToGrid w:val="0"/>
        <w:spacing w:line="360" w:lineRule="auto"/>
        <w:ind w:left="632" w:hanging="632" w:hangingChars="300"/>
        <w:rPr>
          <w:rFonts w:hAnsi="宋体"/>
          <w:b/>
          <w:color w:val="auto"/>
          <w:highlight w:val="none"/>
        </w:rPr>
      </w:pPr>
      <w:r>
        <w:rPr>
          <w:rFonts w:hint="eastAsia" w:hAnsi="宋体"/>
          <w:b/>
          <w:color w:val="auto"/>
          <w:highlight w:val="none"/>
        </w:rPr>
        <w:t>34.磋商终止</w:t>
      </w:r>
    </w:p>
    <w:p w14:paraId="5C845DBC">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34.1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olor w:val="auto"/>
          <w:highlight w:val="none"/>
        </w:rPr>
        <w:t>在本章第37.1款指定的媒体上</w:t>
      </w:r>
      <w:r>
        <w:rPr>
          <w:rFonts w:hint="eastAsia" w:ascii="宋体" w:hAnsi="宋体" w:cs="宋体"/>
          <w:color w:val="auto"/>
          <w:kern w:val="0"/>
          <w:szCs w:val="21"/>
          <w:highlight w:val="none"/>
        </w:rPr>
        <w:t xml:space="preserve">发布项目终止公告并说明原因，重新开展采购活动： </w:t>
      </w:r>
    </w:p>
    <w:p w14:paraId="3D089998">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14:paraId="7C70908D">
      <w:pPr>
        <w:widowControl/>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3675A45A">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（3）</w:t>
      </w:r>
      <w:r>
        <w:rPr>
          <w:rFonts w:hint="eastAsia" w:ascii="宋体" w:hAnsi="宋体"/>
          <w:bCs/>
          <w:color w:val="auto"/>
          <w:szCs w:val="21"/>
          <w:highlight w:val="none"/>
        </w:rPr>
        <w:t>除《政府采购竞争性磋商采购方式管理暂行办法》(财库〔2014〕214号)</w:t>
      </w:r>
      <w:r>
        <w:rPr>
          <w:rFonts w:hint="eastAsia" w:ascii="宋体" w:hAnsi="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highlight w:val="none"/>
        </w:rPr>
        <w:t>情形外，在采购过程中符合要求的供应商或者报价未超过采购预算的供应商不足3家的；</w:t>
      </w:r>
    </w:p>
    <w:p w14:paraId="3749D419">
      <w:pPr>
        <w:widowControl/>
        <w:adjustRightInd w:val="0"/>
        <w:snapToGrid w:val="0"/>
        <w:spacing w:line="360" w:lineRule="auto"/>
        <w:ind w:firstLine="420"/>
        <w:jc w:val="left"/>
        <w:rPr>
          <w:rFonts w:ascii="宋体" w:hAnsi="宋体"/>
          <w:bCs/>
          <w:color w:val="auto"/>
          <w:szCs w:val="21"/>
          <w:highlight w:val="none"/>
        </w:rPr>
      </w:pPr>
      <w:r>
        <w:rPr>
          <w:rFonts w:hint="eastAsia" w:ascii="宋体" w:hAnsi="宋体" w:cs="宋体"/>
          <w:color w:val="auto"/>
          <w:kern w:val="0"/>
          <w:szCs w:val="21"/>
          <w:highlight w:val="none"/>
        </w:rPr>
        <w:t>（4）因重大变故，采购任务取消的。</w:t>
      </w:r>
    </w:p>
    <w:p w14:paraId="04DA2AF7">
      <w:pPr>
        <w:widowControl/>
        <w:adjustRightInd w:val="0"/>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35．重新评审</w:t>
      </w:r>
    </w:p>
    <w:p w14:paraId="77A3F42F">
      <w:pPr>
        <w:widowControl/>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1BB527EB">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36.保密及串通行为</w:t>
      </w:r>
    </w:p>
    <w:p w14:paraId="59652D22">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36.1磋商小组成员以及与评审工作有关的人员不得泄露评审情况以及评审过程中获悉的国家秘密、商业秘密。</w:t>
      </w:r>
    </w:p>
    <w:p w14:paraId="2D5A901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或者磋商小组成员行贿或者提供其他不正当利益；不得提供虚假资料谋取成交；不得以任何方式干扰、影响采购工作。</w:t>
      </w:r>
    </w:p>
    <w:p w14:paraId="25D92A8F">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s="Arial"/>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13037199">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（一）供应商直接或者间接从采购人或者采购代理机构处获得其他供应商的相关情况并修改其响应文件或者响应文件；</w:t>
      </w:r>
    </w:p>
    <w:p w14:paraId="0F272ED1">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（二）供应商按照采购人或者采购代理机构的授意撤换、修改响应文件或者响应文件；</w:t>
      </w:r>
    </w:p>
    <w:p w14:paraId="13DD6B51">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（三）供应商之间协商报价、技术方案等响应文件或者响应文件的实质性内容；</w:t>
      </w:r>
    </w:p>
    <w:p w14:paraId="1A61F282">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7B10C905">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2A0642C6">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66603180">
      <w:pPr>
        <w:pStyle w:val="18"/>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4CB8B693">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成交结果信息公布与授予合同</w:t>
      </w:r>
    </w:p>
    <w:p w14:paraId="3973072E">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37.成交信息的公布</w:t>
      </w:r>
    </w:p>
    <w:p w14:paraId="64E42440">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color w:val="auto"/>
          <w:highlight w:val="none"/>
        </w:rPr>
        <w:t>磋商须知前附表</w:t>
      </w:r>
      <w:r>
        <w:rPr>
          <w:rFonts w:hint="eastAsia" w:hAnsi="宋体"/>
          <w:color w:val="auto"/>
          <w:highlight w:val="none"/>
        </w:rPr>
        <w:t>指定的媒体上公布。</w:t>
      </w:r>
    </w:p>
    <w:p w14:paraId="46FCE8A0">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38.成交通知</w:t>
      </w:r>
    </w:p>
    <w:p w14:paraId="576F9B47">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38.1成交供应商确定后，采购人或采购代理机构将以书面形式向成交供应商发出成交通知书。成交通知书对采购人和成交供应商具有同等法律效力。</w:t>
      </w:r>
    </w:p>
    <w:p w14:paraId="03195E77">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38.2 成交通知书是合同文件的组成部分。</w:t>
      </w:r>
    </w:p>
    <w:p w14:paraId="2A8C7382">
      <w:pPr>
        <w:tabs>
          <w:tab w:val="left" w:pos="7560"/>
          <w:tab w:val="left" w:pos="7740"/>
          <w:tab w:val="left" w:pos="7920"/>
        </w:tabs>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38.3 </w:t>
      </w:r>
      <w:r>
        <w:rPr>
          <w:rFonts w:hint="eastAsia" w:ascii="宋体" w:hAnsi="宋体"/>
          <w:color w:val="auto"/>
          <w:szCs w:val="21"/>
          <w:highlight w:val="none"/>
        </w:rPr>
        <w:t>成交供应商在收到采购代理机构的成交通知书后10日内，应按照</w:t>
      </w:r>
      <w:r>
        <w:rPr>
          <w:rFonts w:hint="eastAsia" w:ascii="宋体" w:hAnsi="宋体"/>
          <w:b/>
          <w:color w:val="auto"/>
          <w:szCs w:val="21"/>
          <w:highlight w:val="none"/>
        </w:rPr>
        <w:t>磋商须知前附表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4454491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38.4 成交供应商</w:t>
      </w:r>
      <w:r>
        <w:rPr>
          <w:rFonts w:hint="eastAsia" w:hAnsi="宋体"/>
          <w:color w:val="auto"/>
          <w:spacing w:val="4"/>
          <w:highlight w:val="none"/>
        </w:rPr>
        <w:t>没有按照本章第39.3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1FFAD5C4">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39.签订合同</w:t>
      </w:r>
    </w:p>
    <w:p w14:paraId="29E0F345">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39.1成交供应商应当在成交通知书发出之日起30日内与采购人签订政府采购合同。</w:t>
      </w:r>
    </w:p>
    <w:p w14:paraId="62E1FFB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39.2磋商文件、成交供应商的响应文件等均为签订政府采购合同的依据。</w:t>
      </w:r>
    </w:p>
    <w:p w14:paraId="48BCFBC8">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39.3 成交供应商应当按照合同约定履行义务。成交供应商不得向他人转让成交项目，也不得将成交项目分包后分别向他人转让。</w:t>
      </w:r>
    </w:p>
    <w:p w14:paraId="2980C86D">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39.4 成交供应商有下列情形之一的，责令限期改正，情节严重的，列入不良行为记录名单，在1至3年内禁止参加政府采购活动，并予以通报：</w:t>
      </w:r>
    </w:p>
    <w:p w14:paraId="59CFFD8B">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（一）成交后无正当理由不与采购人签订合同的；</w:t>
      </w:r>
    </w:p>
    <w:p w14:paraId="1BC02BBA">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25012853">
      <w:pPr>
        <w:pStyle w:val="12"/>
        <w:adjustRightInd w:val="0"/>
        <w:snapToGrid w:val="0"/>
        <w:spacing w:line="360" w:lineRule="auto"/>
        <w:ind w:firstLine="420" w:firstLineChars="200"/>
        <w:rPr>
          <w:rFonts w:hAnsi="宋体"/>
          <w:color w:val="auto"/>
          <w:highlight w:val="none"/>
        </w:rPr>
      </w:pPr>
      <w:r>
        <w:rPr>
          <w:rFonts w:hint="eastAsia" w:hAnsi="宋体"/>
          <w:color w:val="auto"/>
          <w:highlight w:val="none"/>
        </w:rPr>
        <w:t>（三）拒绝履行合同义务的；</w:t>
      </w:r>
    </w:p>
    <w:p w14:paraId="4C37F6ED">
      <w:pPr>
        <w:pStyle w:val="12"/>
        <w:adjustRightInd w:val="0"/>
        <w:snapToGrid w:val="0"/>
        <w:spacing w:line="360" w:lineRule="auto"/>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04B9C848">
      <w:pPr>
        <w:numPr>
          <w:ilvl w:val="0"/>
          <w:numId w:val="6"/>
        </w:numPr>
        <w:adjustRightInd w:val="0"/>
        <w:snapToGrid w:val="0"/>
        <w:spacing w:line="360" w:lineRule="auto"/>
        <w:outlineLvl w:val="2"/>
        <w:rPr>
          <w:rFonts w:ascii="宋体"/>
          <w:b/>
          <w:bCs/>
          <w:color w:val="auto"/>
          <w:szCs w:val="21"/>
          <w:highlight w:val="none"/>
        </w:rPr>
      </w:pPr>
      <w:r>
        <w:rPr>
          <w:rFonts w:hint="eastAsia" w:ascii="黑体" w:hAnsi="宋体" w:eastAsia="黑体"/>
          <w:b/>
          <w:bCs/>
          <w:color w:val="auto"/>
          <w:sz w:val="24"/>
          <w:highlight w:val="none"/>
        </w:rPr>
        <w:t>询问及质疑</w:t>
      </w:r>
    </w:p>
    <w:p w14:paraId="42422594">
      <w:pPr>
        <w:pStyle w:val="9"/>
        <w:numPr>
          <w:ilvl w:val="0"/>
          <w:numId w:val="0"/>
        </w:numPr>
        <w:ind w:left="420" w:leftChars="0" w:firstLine="0" w:firstLineChars="0"/>
        <w:rPr>
          <w:rFonts w:ascii="宋体"/>
          <w:color w:val="auto"/>
          <w:szCs w:val="21"/>
          <w:highlight w:val="none"/>
        </w:rPr>
      </w:pPr>
      <w:r>
        <w:rPr>
          <w:rFonts w:ascii="宋体" w:hAnsi="Times New Roman" w:eastAsia="宋体" w:cs="Times New Roman"/>
          <w:color w:val="auto"/>
          <w:kern w:val="2"/>
          <w:sz w:val="21"/>
          <w:szCs w:val="21"/>
          <w:highlight w:val="none"/>
          <w:lang w:val="en-US" w:eastAsia="zh-CN" w:bidi="ar-SA"/>
        </w:rPr>
        <w:t>4</w:t>
      </w:r>
      <w:r>
        <w:rPr>
          <w:rFonts w:hint="eastAsia" w:ascii="宋体" w:cs="Times New Roman"/>
          <w:color w:val="auto"/>
          <w:kern w:val="2"/>
          <w:sz w:val="21"/>
          <w:szCs w:val="21"/>
          <w:highlight w:val="none"/>
          <w:lang w:val="en-US" w:eastAsia="zh-CN" w:bidi="ar-SA"/>
        </w:rPr>
        <w:t>0</w:t>
      </w:r>
      <w:r>
        <w:rPr>
          <w:rFonts w:ascii="宋体" w:hAnsi="Times New Roman" w:eastAsia="宋体" w:cs="Times New Roman"/>
          <w:color w:val="auto"/>
          <w:kern w:val="2"/>
          <w:sz w:val="21"/>
          <w:szCs w:val="21"/>
          <w:highlight w:val="none"/>
          <w:lang w:val="en-US" w:eastAsia="zh-CN" w:bidi="ar-SA"/>
        </w:rPr>
        <w:t>.</w:t>
      </w:r>
      <w:r>
        <w:rPr>
          <w:rFonts w:hint="eastAsia"/>
          <w:color w:val="auto"/>
          <w:highlight w:val="none"/>
        </w:rPr>
        <w:t>询问</w:t>
      </w:r>
    </w:p>
    <w:p w14:paraId="1573EBEB">
      <w:pPr>
        <w:adjustRightInd w:val="0"/>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0</w:t>
      </w:r>
      <w:r>
        <w:rPr>
          <w:rFonts w:hint="eastAsia" w:ascii="宋体"/>
          <w:color w:val="auto"/>
          <w:szCs w:val="21"/>
          <w:highlight w:val="none"/>
        </w:rPr>
        <w:t>.1</w:t>
      </w:r>
      <w:r>
        <w:rPr>
          <w:rFonts w:hint="eastAsia" w:ascii="宋体" w:hAnsi="宋体" w:cs="宋体"/>
          <w:color w:val="auto"/>
          <w:szCs w:val="21"/>
          <w:highlight w:val="none"/>
          <w:lang w:val="zh-CN"/>
        </w:rPr>
        <w:t>投标供应商</w:t>
      </w:r>
      <w:r>
        <w:rPr>
          <w:rFonts w:hint="eastAsia" w:ascii="宋体"/>
          <w:color w:val="auto"/>
          <w:szCs w:val="21"/>
          <w:highlight w:val="none"/>
        </w:rPr>
        <w:t>应仔细阅读和检查磋商文件的全部内容。如有疑问，可以向采购人或者采购代理机构提出询问，要求采购人或者采购代理机构予以答复。询问可以采取电话、当面询问或书面等形式。</w:t>
      </w:r>
    </w:p>
    <w:p w14:paraId="75AC6DE5">
      <w:pPr>
        <w:adjustRightInd w:val="0"/>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0</w:t>
      </w:r>
      <w:r>
        <w:rPr>
          <w:rFonts w:hint="eastAsia" w:ascii="宋体"/>
          <w:color w:val="auto"/>
          <w:szCs w:val="21"/>
          <w:highlight w:val="none"/>
        </w:rPr>
        <w:t>.2采购人或者代理机构应当在3个工作日内对供应商依法提出的询问作出答复。</w:t>
      </w:r>
    </w:p>
    <w:p w14:paraId="5A966D10">
      <w:pPr>
        <w:pStyle w:val="9"/>
        <w:numPr>
          <w:ilvl w:val="0"/>
          <w:numId w:val="0"/>
        </w:numPr>
        <w:ind w:left="420" w:leftChars="0" w:firstLine="0" w:firstLineChars="0"/>
        <w:rPr>
          <w:color w:val="auto"/>
          <w:highlight w:val="none"/>
        </w:rPr>
      </w:pPr>
      <w:r>
        <w:rPr>
          <w:rFonts w:ascii="Times New Roman" w:hAnsi="Times New Roman" w:eastAsia="宋体" w:cs="Times New Roman"/>
          <w:color w:val="auto"/>
          <w:kern w:val="2"/>
          <w:sz w:val="21"/>
          <w:szCs w:val="24"/>
          <w:highlight w:val="none"/>
          <w:lang w:val="en-US" w:eastAsia="zh-CN" w:bidi="ar-SA"/>
        </w:rPr>
        <w:t>4</w:t>
      </w:r>
      <w:r>
        <w:rPr>
          <w:rFonts w:hint="eastAsia" w:cs="Times New Roman"/>
          <w:color w:val="auto"/>
          <w:kern w:val="2"/>
          <w:sz w:val="21"/>
          <w:szCs w:val="24"/>
          <w:highlight w:val="none"/>
          <w:lang w:val="en-US" w:eastAsia="zh-CN" w:bidi="ar-SA"/>
        </w:rPr>
        <w:t>1</w:t>
      </w:r>
      <w:r>
        <w:rPr>
          <w:rFonts w:ascii="Times New Roman" w:hAnsi="Times New Roman" w:eastAsia="宋体" w:cs="Times New Roman"/>
          <w:color w:val="auto"/>
          <w:kern w:val="2"/>
          <w:sz w:val="21"/>
          <w:szCs w:val="24"/>
          <w:highlight w:val="none"/>
          <w:lang w:val="en-US" w:eastAsia="zh-CN" w:bidi="ar-SA"/>
        </w:rPr>
        <w:t>.</w:t>
      </w:r>
      <w:r>
        <w:rPr>
          <w:rFonts w:hint="eastAsia"/>
          <w:color w:val="auto"/>
          <w:highlight w:val="none"/>
        </w:rPr>
        <w:t>质疑</w:t>
      </w:r>
    </w:p>
    <w:p w14:paraId="6B515F2A">
      <w:pPr>
        <w:adjustRightInd w:val="0"/>
        <w:snapToGrid w:val="0"/>
        <w:spacing w:line="360" w:lineRule="auto"/>
        <w:ind w:firstLine="420" w:firstLineChars="200"/>
        <w:jc w:val="left"/>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1</w:t>
      </w:r>
      <w:r>
        <w:rPr>
          <w:rFonts w:hint="eastAsia" w:ascii="宋体"/>
          <w:color w:val="auto"/>
          <w:szCs w:val="21"/>
          <w:highlight w:val="none"/>
        </w:rPr>
        <w:t>.1</w:t>
      </w:r>
      <w:r>
        <w:rPr>
          <w:rFonts w:hint="eastAsia" w:ascii="宋体" w:hAnsi="宋体" w:cs="宋体"/>
          <w:color w:val="auto"/>
          <w:szCs w:val="21"/>
          <w:highlight w:val="none"/>
          <w:lang w:val="zh-CN"/>
        </w:rPr>
        <w:t>投标供应商</w:t>
      </w:r>
      <w:r>
        <w:rPr>
          <w:rFonts w:hint="eastAsia" w:ascii="宋体"/>
          <w:color w:val="auto"/>
          <w:szCs w:val="21"/>
          <w:highlight w:val="none"/>
        </w:rPr>
        <w:t>认为磋商文件、磋商过程、磋商结果使自己的权益受到损害的，应当在知其权益受到损害之日起7个工作日内，以书面形式向采购人、代理机构一次性提出质疑。供应商应知其权益受到损害之日，是指：</w:t>
      </w:r>
    </w:p>
    <w:p w14:paraId="61BC3716">
      <w:pPr>
        <w:pStyle w:val="30"/>
        <w:numPr>
          <w:ilvl w:val="0"/>
          <w:numId w:val="7"/>
        </w:numPr>
        <w:ind w:left="845" w:firstLineChars="0"/>
        <w:rPr>
          <w:rFonts w:ascii="宋体" w:hAnsi="宋体" w:cs="宋体"/>
          <w:color w:val="auto"/>
          <w:sz w:val="21"/>
          <w:szCs w:val="21"/>
          <w:highlight w:val="none"/>
        </w:rPr>
      </w:pPr>
      <w:r>
        <w:rPr>
          <w:rFonts w:hint="eastAsia" w:ascii="宋体" w:hAnsi="宋体" w:cs="宋体"/>
          <w:color w:val="auto"/>
          <w:sz w:val="21"/>
          <w:szCs w:val="21"/>
          <w:highlight w:val="none"/>
        </w:rPr>
        <w:t>对磋商文件提出质疑的，为获取磋商文件之日；</w:t>
      </w:r>
    </w:p>
    <w:p w14:paraId="6C2420CD">
      <w:pPr>
        <w:pStyle w:val="30"/>
        <w:numPr>
          <w:ilvl w:val="0"/>
          <w:numId w:val="7"/>
        </w:numPr>
        <w:ind w:left="845" w:firstLineChars="0"/>
        <w:rPr>
          <w:rFonts w:ascii="宋体" w:hAnsi="宋体" w:cs="宋体"/>
          <w:color w:val="auto"/>
          <w:sz w:val="21"/>
          <w:szCs w:val="21"/>
          <w:highlight w:val="none"/>
        </w:rPr>
      </w:pPr>
      <w:r>
        <w:rPr>
          <w:rFonts w:hint="eastAsia" w:ascii="宋体" w:hAnsi="宋体" w:cs="宋体"/>
          <w:color w:val="auto"/>
          <w:sz w:val="21"/>
          <w:szCs w:val="21"/>
          <w:highlight w:val="none"/>
        </w:rPr>
        <w:t>对磋商过程提出质疑的，为各程序环节结束之日；</w:t>
      </w:r>
    </w:p>
    <w:p w14:paraId="4EE47EFE">
      <w:pPr>
        <w:pStyle w:val="30"/>
        <w:numPr>
          <w:ilvl w:val="0"/>
          <w:numId w:val="7"/>
        </w:numPr>
        <w:ind w:left="845" w:firstLineChars="0"/>
        <w:rPr>
          <w:rFonts w:ascii="宋体" w:hAnsi="宋体" w:cs="宋体"/>
          <w:color w:val="auto"/>
          <w:sz w:val="21"/>
          <w:szCs w:val="21"/>
          <w:highlight w:val="none"/>
        </w:rPr>
      </w:pPr>
      <w:r>
        <w:rPr>
          <w:rFonts w:hint="eastAsia" w:ascii="宋体" w:hAnsi="宋体" w:cs="宋体"/>
          <w:color w:val="auto"/>
          <w:sz w:val="21"/>
          <w:szCs w:val="21"/>
          <w:highlight w:val="none"/>
        </w:rPr>
        <w:t>对磋商结果提出质疑的，为结果公告期限届满之日。</w:t>
      </w:r>
    </w:p>
    <w:p w14:paraId="11C1F0E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.2提出质疑的供应商应当是参与所质疑项目采购活动的供应商，已依法获取磋商文件的，可以对该文件提出质疑。</w:t>
      </w:r>
    </w:p>
    <w:p w14:paraId="37D9294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质疑函格式应当按中国政府采购网（www.ccgp.gov.cn）“下</w:t>
      </w:r>
      <w:r>
        <w:rPr>
          <w:rFonts w:hint="eastAsia" w:ascii="宋体" w:hAnsi="宋体" w:cs="宋体"/>
          <w:color w:val="auto"/>
          <w:highlight w:val="none"/>
        </w:rPr>
        <w:t>载专区”的“政府采购供应质疑函范本”和“质疑函制作说明”制作；</w:t>
      </w:r>
    </w:p>
    <w:p w14:paraId="06B16C7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质疑函</w:t>
      </w:r>
      <w:r>
        <w:rPr>
          <w:rFonts w:hint="eastAsia" w:ascii="宋体" w:hAnsi="宋体" w:cs="宋体"/>
          <w:color w:val="auto"/>
          <w:szCs w:val="21"/>
          <w:highlight w:val="none"/>
        </w:rPr>
        <w:t>应当由相关的自然人、法定代表人、主要负责人，委托代理人签字，并加盖公章。通过委托代理人办理质疑事项的，应当提交供应商法定代表人签署的授权委托书及双方的身份证明。补交的截止时间与法定质疑期的截止时间一致。质疑人于截止时间后递交补充材料的，将被拒绝。</w:t>
      </w:r>
    </w:p>
    <w:p w14:paraId="6FBFCA6C">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质疑事项如无实质内容，仅为询问质疑人得分情况或质疑人未中标原因等情况的，代理机构、采购人可将此类质疑函作为书面询问接收，代理机构按询问程序处理。</w:t>
      </w:r>
    </w:p>
    <w:p w14:paraId="5DA48FE0">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质疑函须递交到磋商邀请代理机构指定的地点。</w:t>
      </w:r>
    </w:p>
    <w:p w14:paraId="5310B47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采购人、代理机构不得拒收质疑供应商在法定质疑期内提出的且符合内容、格式要求的质疑函，在收到质疑函后7个工作日内作出答复，并以书面形式通知质疑供应商和其他有关供应商。</w:t>
      </w:r>
    </w:p>
    <w:p w14:paraId="6A59B6D9">
      <w:pPr>
        <w:adjustRightInd w:val="0"/>
        <w:snapToGrid w:val="0"/>
        <w:spacing w:line="360" w:lineRule="auto"/>
        <w:ind w:firstLine="420" w:firstLineChars="200"/>
        <w:jc w:val="left"/>
        <w:rPr>
          <w:rFonts w:ascii="黑体" w:hAnsi="宋体" w:eastAsia="黑体"/>
          <w:b/>
          <w:bCs/>
          <w:color w:val="auto"/>
          <w:sz w:val="24"/>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质疑函不符合《政府采购质疑和投诉办法》（财政部94号令）格式与内容的相关规定，</w:t>
      </w:r>
      <w:r>
        <w:rPr>
          <w:rFonts w:hint="eastAsia" w:ascii="宋体" w:hAnsi="宋体" w:cs="宋体"/>
          <w:color w:val="auto"/>
          <w:highlight w:val="none"/>
        </w:rPr>
        <w:t xml:space="preserve">或是以传真或复印件等形式递交，代理机构有权不予受理。 </w:t>
      </w:r>
    </w:p>
    <w:p w14:paraId="247B02DA">
      <w:pPr>
        <w:numPr>
          <w:ilvl w:val="0"/>
          <w:numId w:val="6"/>
        </w:numPr>
        <w:adjustRightInd w:val="0"/>
        <w:snapToGrid w:val="0"/>
        <w:spacing w:line="360" w:lineRule="auto"/>
        <w:outlineLvl w:val="2"/>
        <w:rPr>
          <w:rFonts w:ascii="黑体" w:hAnsi="宋体" w:eastAsia="黑体"/>
          <w:b/>
          <w:bCs/>
          <w:color w:val="auto"/>
          <w:sz w:val="24"/>
          <w:highlight w:val="none"/>
        </w:rPr>
      </w:pPr>
      <w:r>
        <w:rPr>
          <w:rFonts w:hint="eastAsia" w:ascii="黑体" w:hAnsi="宋体" w:eastAsia="黑体"/>
          <w:b/>
          <w:bCs/>
          <w:color w:val="auto"/>
          <w:sz w:val="24"/>
          <w:highlight w:val="none"/>
        </w:rPr>
        <w:t>其他规定</w:t>
      </w:r>
    </w:p>
    <w:p w14:paraId="7120EE17">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val="en-US" w:eastAsia="zh-CN"/>
        </w:rPr>
        <w:t>2</w:t>
      </w:r>
      <w:r>
        <w:rPr>
          <w:rFonts w:hint="eastAsia" w:ascii="宋体" w:hAnsi="宋体"/>
          <w:b/>
          <w:color w:val="auto"/>
          <w:szCs w:val="21"/>
          <w:highlight w:val="none"/>
        </w:rPr>
        <w:t>采购代理服务费</w:t>
      </w:r>
    </w:p>
    <w:p w14:paraId="22F6F24C">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2</w:t>
      </w:r>
      <w:r>
        <w:rPr>
          <w:rFonts w:hint="eastAsia" w:ascii="宋体" w:hAnsi="宋体"/>
          <w:color w:val="auto"/>
          <w:szCs w:val="21"/>
          <w:highlight w:val="none"/>
        </w:rPr>
        <w:t>.1采购代理机构应按</w:t>
      </w:r>
      <w:r>
        <w:rPr>
          <w:rFonts w:hint="eastAsia" w:ascii="宋体" w:hAnsi="宋体"/>
          <w:b/>
          <w:color w:val="auto"/>
          <w:szCs w:val="21"/>
          <w:highlight w:val="none"/>
        </w:rPr>
        <w:t>磋商须知前附表</w:t>
      </w:r>
      <w:r>
        <w:rPr>
          <w:rFonts w:hint="eastAsia" w:ascii="宋体" w:hAnsi="宋体"/>
          <w:color w:val="auto"/>
          <w:szCs w:val="21"/>
          <w:highlight w:val="none"/>
        </w:rPr>
        <w:t>规定收取采购代理服务费。</w:t>
      </w:r>
    </w:p>
    <w:p w14:paraId="1998CF95">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2</w:t>
      </w:r>
      <w:r>
        <w:rPr>
          <w:rFonts w:hint="eastAsia" w:ascii="宋体" w:hAnsi="宋体"/>
          <w:color w:val="auto"/>
          <w:szCs w:val="21"/>
          <w:highlight w:val="none"/>
        </w:rPr>
        <w:t>.2集中采购机构不得收取采购代理服务费。</w:t>
      </w:r>
    </w:p>
    <w:p w14:paraId="3CBE1022">
      <w:pPr>
        <w:tabs>
          <w:tab w:val="left" w:pos="420"/>
          <w:tab w:val="left" w:pos="7560"/>
          <w:tab w:val="left" w:pos="7740"/>
          <w:tab w:val="left" w:pos="7920"/>
        </w:tabs>
        <w:adjustRightInd w:val="0"/>
        <w:snapToGrid w:val="0"/>
        <w:spacing w:line="360" w:lineRule="auto"/>
        <w:rPr>
          <w:rFonts w:hAnsi="宋体"/>
          <w:b/>
          <w:color w:val="auto"/>
          <w:highlight w:val="none"/>
        </w:rPr>
      </w:pPr>
      <w:r>
        <w:rPr>
          <w:rFonts w:hint="eastAsia" w:ascii="宋体" w:hAnsi="宋体"/>
          <w:b/>
          <w:color w:val="auto"/>
          <w:szCs w:val="21"/>
          <w:highlight w:val="none"/>
        </w:rPr>
        <w:t>4</w:t>
      </w:r>
      <w:r>
        <w:rPr>
          <w:rFonts w:hint="eastAsia" w:ascii="宋体" w:hAnsi="宋体"/>
          <w:b/>
          <w:color w:val="auto"/>
          <w:szCs w:val="21"/>
          <w:highlight w:val="none"/>
          <w:lang w:val="en-US" w:eastAsia="zh-CN"/>
        </w:rPr>
        <w:t>3</w:t>
      </w:r>
      <w:r>
        <w:rPr>
          <w:rFonts w:hint="eastAsia" w:ascii="宋体" w:hAnsi="宋体"/>
          <w:b/>
          <w:color w:val="auto"/>
          <w:szCs w:val="21"/>
          <w:highlight w:val="none"/>
        </w:rPr>
        <w:t>.</w:t>
      </w:r>
      <w:r>
        <w:rPr>
          <w:rFonts w:hint="eastAsia" w:hAnsi="宋体"/>
          <w:b/>
          <w:color w:val="auto"/>
          <w:highlight w:val="none"/>
        </w:rPr>
        <w:t xml:space="preserve"> 其他规定</w:t>
      </w:r>
    </w:p>
    <w:p w14:paraId="0E4CFC82">
      <w:pPr>
        <w:tabs>
          <w:tab w:val="left" w:pos="420"/>
          <w:tab w:val="left" w:pos="7560"/>
          <w:tab w:val="left" w:pos="7740"/>
          <w:tab w:val="left" w:pos="792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highlight w:val="none"/>
        </w:rPr>
        <w:t>4</w:t>
      </w:r>
      <w:r>
        <w:rPr>
          <w:rFonts w:hint="eastAsia" w:ascii="宋体" w:hAnsi="宋体"/>
          <w:color w:val="auto"/>
          <w:highlight w:val="none"/>
          <w:lang w:val="en-US" w:eastAsia="zh-CN"/>
        </w:rPr>
        <w:t>3</w:t>
      </w:r>
      <w:r>
        <w:rPr>
          <w:rFonts w:hint="eastAsia" w:ascii="宋体" w:hAnsi="宋体"/>
          <w:color w:val="auto"/>
          <w:highlight w:val="none"/>
        </w:rPr>
        <w:t>.1</w:t>
      </w:r>
      <w:r>
        <w:rPr>
          <w:rFonts w:hint="eastAsia" w:ascii="宋体" w:hAnsi="宋体"/>
          <w:color w:val="auto"/>
          <w:szCs w:val="21"/>
          <w:highlight w:val="none"/>
        </w:rPr>
        <w:t>磋商文件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6B3715AA">
      <w:pPr>
        <w:pStyle w:val="9"/>
        <w:rPr>
          <w:color w:val="auto"/>
          <w:highlight w:val="none"/>
        </w:rPr>
      </w:pPr>
    </w:p>
    <w:p w14:paraId="61C12B14">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506B9B6C">
      <w:p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第三章 政府采购合同格式</w:t>
      </w:r>
    </w:p>
    <w:p w14:paraId="1CF40D5F">
      <w:pPr>
        <w:adjustRightInd w:val="0"/>
        <w:snapToGrid w:val="0"/>
        <w:spacing w:line="360" w:lineRule="auto"/>
        <w:jc w:val="center"/>
        <w:outlineLvl w:val="1"/>
        <w:rPr>
          <w:rFonts w:ascii="黑体" w:eastAsia="黑体"/>
          <w:b/>
          <w:color w:val="auto"/>
          <w:sz w:val="32"/>
          <w:szCs w:val="32"/>
          <w:highlight w:val="none"/>
        </w:rPr>
      </w:pPr>
      <w:r>
        <w:rPr>
          <w:rFonts w:hint="eastAsia" w:ascii="黑体" w:eastAsia="黑体"/>
          <w:b/>
          <w:color w:val="auto"/>
          <w:sz w:val="32"/>
          <w:szCs w:val="32"/>
          <w:highlight w:val="none"/>
        </w:rPr>
        <w:t>一．政府采购合同协议书</w:t>
      </w:r>
    </w:p>
    <w:p w14:paraId="4D56C51F">
      <w:pPr>
        <w:jc w:val="center"/>
        <w:rPr>
          <w:rFonts w:ascii="黑体" w:eastAsia="黑体"/>
          <w:color w:val="auto"/>
          <w:sz w:val="30"/>
          <w:szCs w:val="30"/>
          <w:highlight w:val="none"/>
        </w:rPr>
      </w:pPr>
    </w:p>
    <w:p w14:paraId="6175B332">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采购合同编号：</w:t>
      </w:r>
    </w:p>
    <w:p w14:paraId="38670535">
      <w:pPr>
        <w:adjustRightInd w:val="0"/>
        <w:snapToGrid w:val="0"/>
        <w:spacing w:before="120" w:beforeLines="50" w:line="360" w:lineRule="auto"/>
        <w:ind w:firstLine="420" w:firstLineChars="200"/>
        <w:rPr>
          <w:rFonts w:ascii="宋体" w:hAnsi="宋体" w:cs="宋体"/>
          <w:color w:val="auto"/>
          <w:szCs w:val="21"/>
          <w:highlight w:val="none"/>
        </w:rPr>
      </w:pPr>
    </w:p>
    <w:p w14:paraId="06DEE6DA">
      <w:pPr>
        <w:adjustRightInd w:val="0"/>
        <w:snapToGrid w:val="0"/>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rPr>
        <w:t>采购人（全称）：（甲方）</w:t>
      </w:r>
    </w:p>
    <w:p w14:paraId="3F247F62">
      <w:pPr>
        <w:adjustRightInd w:val="0"/>
        <w:snapToGrid w:val="0"/>
        <w:spacing w:before="120" w:beforeLines="50" w:line="360" w:lineRule="auto"/>
        <w:rPr>
          <w:rFonts w:ascii="宋体" w:hAnsi="宋体" w:cs="宋体"/>
          <w:color w:val="auto"/>
          <w:szCs w:val="21"/>
          <w:highlight w:val="none"/>
        </w:rPr>
      </w:pPr>
      <w:r>
        <w:rPr>
          <w:rFonts w:hint="eastAsia" w:ascii="宋体" w:hAnsi="宋体" w:cs="宋体"/>
          <w:color w:val="auto"/>
          <w:szCs w:val="21"/>
          <w:highlight w:val="none"/>
        </w:rPr>
        <w:t>供应商（全称）：（乙方）</w:t>
      </w:r>
    </w:p>
    <w:p w14:paraId="56A566D2">
      <w:pPr>
        <w:pStyle w:val="10"/>
        <w:adjustRightInd w:val="0"/>
        <w:snapToGrid w:val="0"/>
        <w:spacing w:before="120" w:beforeLines="50" w:line="360" w:lineRule="auto"/>
        <w:rPr>
          <w:rFonts w:ascii="宋体" w:hAnsi="宋体" w:cs="宋体"/>
          <w:color w:val="auto"/>
          <w:szCs w:val="21"/>
          <w:highlight w:val="none"/>
        </w:rPr>
      </w:pPr>
    </w:p>
    <w:p w14:paraId="0316DC76">
      <w:pPr>
        <w:pStyle w:val="10"/>
        <w:adjustRightInd w:val="0"/>
        <w:snapToGrid w:val="0"/>
        <w:spacing w:after="0"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为了保护甲、乙双方合法权益，根据《中华人民共和国民法典</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中华人民共和国政府采购法》及其他有关</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、规章，双方签订本合同协议书。</w:t>
      </w:r>
    </w:p>
    <w:p w14:paraId="073EDE88">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1.项目信息</w:t>
      </w:r>
    </w:p>
    <w:p w14:paraId="46651E30">
      <w:pPr>
        <w:pStyle w:val="10"/>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（1）采购项目名称：</w:t>
      </w:r>
    </w:p>
    <w:p w14:paraId="6588FE59">
      <w:pPr>
        <w:pStyle w:val="10"/>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（2）采购计划编号：</w:t>
      </w:r>
    </w:p>
    <w:p w14:paraId="12D38A66">
      <w:pPr>
        <w:pStyle w:val="10"/>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（3）项目内容：</w:t>
      </w:r>
    </w:p>
    <w:p w14:paraId="041F09A5">
      <w:pPr>
        <w:pStyle w:val="10"/>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（4）服务要求：</w:t>
      </w:r>
    </w:p>
    <w:p w14:paraId="43C716AB">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2.合同金额</w:t>
      </w:r>
    </w:p>
    <w:p w14:paraId="010129E5">
      <w:pPr>
        <w:pStyle w:val="10"/>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（1） 合同金额小写：</w:t>
      </w:r>
    </w:p>
    <w:p w14:paraId="148034E1">
      <w:pPr>
        <w:pStyle w:val="10"/>
        <w:adjustRightInd w:val="0"/>
        <w:snapToGrid w:val="0"/>
        <w:spacing w:after="0" w:line="360" w:lineRule="auto"/>
        <w:ind w:left="0" w:leftChars="0"/>
        <w:rPr>
          <w:rFonts w:ascii="宋体" w:hAnsi="宋体" w:cs="宋体"/>
          <w:color w:val="auto"/>
          <w:szCs w:val="21"/>
          <w:highlight w:val="none"/>
          <w:u w:val="single"/>
        </w:rPr>
      </w:pPr>
      <w:r>
        <w:rPr>
          <w:rFonts w:hint="eastAsia" w:ascii="宋体" w:hAnsi="宋体" w:cs="宋体"/>
          <w:color w:val="auto"/>
          <w:szCs w:val="21"/>
          <w:highlight w:val="none"/>
        </w:rPr>
        <w:t xml:space="preserve">              大写：</w:t>
      </w:r>
    </w:p>
    <w:p w14:paraId="419C0D92">
      <w:pPr>
        <w:pStyle w:val="10"/>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（2）具体标的见附件。</w:t>
      </w:r>
    </w:p>
    <w:p w14:paraId="6FDBAAF5">
      <w:pPr>
        <w:pStyle w:val="10"/>
        <w:adjustRightInd w:val="0"/>
        <w:snapToGrid w:val="0"/>
        <w:spacing w:after="0" w:line="360" w:lineRule="auto"/>
        <w:ind w:left="0" w:leftChars="0"/>
        <w:rPr>
          <w:rFonts w:ascii="宋体" w:hAnsi="宋体" w:cs="宋体"/>
          <w:color w:val="auto"/>
          <w:szCs w:val="21"/>
          <w:highlight w:val="none"/>
        </w:rPr>
      </w:pPr>
      <w:r>
        <w:rPr>
          <w:rFonts w:hint="eastAsia" w:ascii="宋体" w:hAnsi="宋体" w:cs="宋体"/>
          <w:color w:val="auto"/>
          <w:szCs w:val="21"/>
          <w:highlight w:val="none"/>
        </w:rPr>
        <w:t>（3）合同价格形式：</w:t>
      </w:r>
    </w:p>
    <w:p w14:paraId="51F2189D">
      <w:pP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3.履行合同的时间、地点及方式：</w:t>
      </w:r>
    </w:p>
    <w:p w14:paraId="78D691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起始日期： 年月日，完成日期：年月 日。总日历天数：天。</w:t>
      </w:r>
    </w:p>
    <w:p w14:paraId="134D5A1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p>
    <w:p w14:paraId="3DBA70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p>
    <w:p w14:paraId="0C4B085A">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4.付款：</w:t>
      </w:r>
    </w:p>
    <w:p w14:paraId="687CF37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2F96552">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5.违约责任</w:t>
      </w:r>
    </w:p>
    <w:p w14:paraId="422CDE5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6.解决合同纠纷方式</w:t>
      </w:r>
    </w:p>
    <w:p w14:paraId="59D96CA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首先通过双方协商解决，协商解决不成，则通过以下途径之一解决纠纷（请在方框内划√选择）：</w:t>
      </w:r>
    </w:p>
    <w:p w14:paraId="071452C7">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 xml:space="preserve">□ 提请仲裁       </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 向</w:t>
      </w:r>
      <w:r>
        <w:rPr>
          <w:rFonts w:ascii="宋体" w:hAnsi="宋体" w:cs="宋体"/>
          <w:color w:val="auto"/>
          <w:szCs w:val="21"/>
          <w:highlight w:val="none"/>
        </w:rPr>
        <w:t>甲方所在地</w:t>
      </w:r>
      <w:r>
        <w:rPr>
          <w:rFonts w:hint="eastAsia" w:ascii="宋体" w:hAnsi="宋体" w:cs="宋体"/>
          <w:color w:val="auto"/>
          <w:szCs w:val="21"/>
          <w:highlight w:val="none"/>
        </w:rPr>
        <w:t>人民法院提起诉讼</w:t>
      </w:r>
    </w:p>
    <w:p w14:paraId="43BEF564">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7.组成合同的文件</w:t>
      </w:r>
    </w:p>
    <w:p w14:paraId="610C23C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合同由以下文件构成，如下述文件之间有任何抵触、矛盾或歧义，应按以下顺序解释：</w:t>
      </w:r>
    </w:p>
    <w:p w14:paraId="5AD9DC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（1）在采购或合同履行过程中乙方作出的承诺以及双方协商达成的变更或补充协议</w:t>
      </w:r>
    </w:p>
    <w:p w14:paraId="36D021F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（2）本合同书</w:t>
      </w:r>
    </w:p>
    <w:p w14:paraId="6DF0353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（3）成交通知书</w:t>
      </w:r>
    </w:p>
    <w:p w14:paraId="623FB5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（4）政府采购合同格式条款</w:t>
      </w:r>
    </w:p>
    <w:p w14:paraId="2AFEE5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w:t>
      </w:r>
    </w:p>
    <w:p w14:paraId="2EBB58E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w:t>
      </w:r>
    </w:p>
    <w:p w14:paraId="0C40288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（7）标准、规范及有关技术文件</w:t>
      </w:r>
    </w:p>
    <w:p w14:paraId="398BB24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538F5EF6">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8.合同生效</w:t>
      </w:r>
    </w:p>
    <w:p w14:paraId="0145D49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  生效。</w:t>
      </w:r>
    </w:p>
    <w:p w14:paraId="58B513C2">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9.合同份数</w:t>
      </w:r>
    </w:p>
    <w:p w14:paraId="7ECC7CC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份，采购人执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14B3245E">
      <w:pPr>
        <w:adjustRightInd w:val="0"/>
        <w:snapToGrid w:val="0"/>
        <w:spacing w:line="360" w:lineRule="auto"/>
        <w:rPr>
          <w:rFonts w:ascii="宋体" w:hAnsi="宋体" w:cs="宋体"/>
          <w:color w:val="auto"/>
          <w:szCs w:val="21"/>
          <w:highlight w:val="none"/>
        </w:rPr>
      </w:pPr>
    </w:p>
    <w:p w14:paraId="27199C29">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合同订立时间：年月日</w:t>
      </w:r>
    </w:p>
    <w:p w14:paraId="27E99685">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合同订立地点：</w:t>
      </w:r>
    </w:p>
    <w:p w14:paraId="4F52B760">
      <w:pPr>
        <w:adjustRightInd w:val="0"/>
        <w:snapToGrid w:val="0"/>
        <w:spacing w:line="360" w:lineRule="auto"/>
        <w:ind w:firstLine="420" w:firstLineChars="200"/>
        <w:rPr>
          <w:rFonts w:ascii="宋体" w:hAnsi="宋体" w:cs="宋体"/>
          <w:color w:val="auto"/>
          <w:szCs w:val="21"/>
          <w:highlight w:val="none"/>
        </w:rPr>
      </w:pPr>
    </w:p>
    <w:p w14:paraId="4F67E79E">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甲      方：（公章）                     乙      方：（公章）</w:t>
      </w:r>
    </w:p>
    <w:p w14:paraId="3A8418FC">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法定代表人：         法定代表人：</w:t>
      </w:r>
    </w:p>
    <w:p w14:paraId="2FE2F8B4">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委托代理人：         委托代理人：</w:t>
      </w:r>
    </w:p>
    <w:p w14:paraId="18F8A5A5">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电      话：         电      话：</w:t>
      </w:r>
    </w:p>
    <w:p w14:paraId="3417E814">
      <w:pPr>
        <w:adjustRightInd w:val="0"/>
        <w:snapToGrid w:val="0"/>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传      真：         传      真：</w:t>
      </w:r>
    </w:p>
    <w:p w14:paraId="2B4AA1B6">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开 户 银 行：</w:t>
      </w:r>
    </w:p>
    <w:p w14:paraId="74BDA867">
      <w:pPr>
        <w:adjustRightInd w:val="0"/>
        <w:snapToGrid w:val="0"/>
        <w:spacing w:line="360" w:lineRule="auto"/>
        <w:jc w:val="center"/>
        <w:rPr>
          <w:rFonts w:ascii="宋体" w:hAnsi="宋体"/>
          <w:b/>
          <w:color w:val="auto"/>
          <w:szCs w:val="21"/>
          <w:highlight w:val="none"/>
        </w:rPr>
      </w:pPr>
      <w:r>
        <w:rPr>
          <w:rFonts w:hint="eastAsia" w:ascii="宋体" w:hAnsi="宋体" w:cs="宋体"/>
          <w:color w:val="auto"/>
          <w:szCs w:val="21"/>
          <w:highlight w:val="none"/>
        </w:rPr>
        <w:t xml:space="preserve">                                    帐       号：</w:t>
      </w:r>
    </w:p>
    <w:p w14:paraId="39F959BA">
      <w:pPr>
        <w:adjustRightInd w:val="0"/>
        <w:snapToGrid w:val="0"/>
        <w:spacing w:line="360" w:lineRule="auto"/>
        <w:ind w:firstLine="420" w:firstLineChars="200"/>
        <w:rPr>
          <w:rFonts w:ascii="宋体" w:hAnsi="宋体" w:cs="宋体"/>
          <w:bCs/>
          <w:color w:val="auto"/>
          <w:szCs w:val="21"/>
          <w:highlight w:val="none"/>
        </w:rPr>
      </w:pPr>
    </w:p>
    <w:p w14:paraId="3C5CC68D">
      <w:pPr>
        <w:adjustRightInd w:val="0"/>
        <w:snapToGrid w:val="0"/>
        <w:spacing w:line="360" w:lineRule="auto"/>
        <w:jc w:val="center"/>
        <w:outlineLvl w:val="1"/>
        <w:rPr>
          <w:rFonts w:ascii="黑体" w:hAnsi="华文中宋" w:eastAsia="黑体"/>
          <w:bCs/>
          <w:color w:val="auto"/>
          <w:sz w:val="30"/>
          <w:szCs w:val="30"/>
          <w:highlight w:val="none"/>
        </w:rPr>
      </w:pPr>
      <w:r>
        <w:rPr>
          <w:rFonts w:hint="eastAsia" w:ascii="黑体" w:hAnsi="华文中宋" w:eastAsia="黑体"/>
          <w:bCs/>
          <w:color w:val="auto"/>
          <w:sz w:val="30"/>
          <w:szCs w:val="30"/>
          <w:highlight w:val="none"/>
        </w:rPr>
        <w:br w:type="page"/>
      </w:r>
      <w:r>
        <w:rPr>
          <w:rFonts w:hint="eastAsia" w:ascii="黑体" w:hAnsi="宋体" w:eastAsia="黑体"/>
          <w:b/>
          <w:bCs/>
          <w:color w:val="auto"/>
          <w:sz w:val="32"/>
          <w:szCs w:val="32"/>
          <w:highlight w:val="none"/>
        </w:rPr>
        <w:t>二、政府采购合同通用条款</w:t>
      </w:r>
    </w:p>
    <w:p w14:paraId="68AA5898">
      <w:pPr>
        <w:tabs>
          <w:tab w:val="left" w:pos="8820"/>
          <w:tab w:val="left" w:pos="9345"/>
          <w:tab w:val="left" w:pos="9765"/>
        </w:tabs>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定义</w:t>
      </w:r>
    </w:p>
    <w:p w14:paraId="3DC9B1B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574F789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（1）采购人（以下称甲方）是指使用财政性资金，通过政府采购程序向供应商购买货物、服务的国家机关、事业单位、团体组织。本次采购的甲方名称、地址见</w:t>
      </w:r>
      <w:r>
        <w:rPr>
          <w:rFonts w:hint="eastAsia" w:ascii="宋体" w:hAnsi="宋体" w:cs="宋体"/>
          <w:b/>
          <w:color w:val="auto"/>
          <w:szCs w:val="21"/>
          <w:highlight w:val="none"/>
        </w:rPr>
        <w:t>【政府采购合同专用条款】。</w:t>
      </w:r>
    </w:p>
    <w:p w14:paraId="5729B120">
      <w:pPr>
        <w:autoSpaceDE w:val="0"/>
        <w:autoSpaceDN w:val="0"/>
        <w:adjustRightInd w:val="0"/>
        <w:snapToGrid w:val="0"/>
        <w:spacing w:before="50"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（2）供应商（以下称乙方）是指参加政府采购活动而取得中标结果，并向采购人提供货物、服务的法人、其他组织或者自然人。</w:t>
      </w:r>
    </w:p>
    <w:p w14:paraId="59E26CF8">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7BCCD4FD">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（1）“合同”系指甲乙双方签署的、政府采购合同协议书中载明的甲乙双方所达成的协议，包括所有的附件、附录和上述文件所提到的构成合同的所有文件。</w:t>
      </w:r>
    </w:p>
    <w:p w14:paraId="3459B302">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（2）“合同价”系指根据本合同规定乙方在正确地完全履行合同义务后甲方应支付给乙方的价款。</w:t>
      </w:r>
    </w:p>
    <w:p w14:paraId="774FEA66">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w:t>
      </w:r>
      <w:r>
        <w:rPr>
          <w:rFonts w:hint="eastAsia" w:ascii="宋体" w:hAnsi="宋体" w:cs="宋体"/>
          <w:color w:val="auto"/>
          <w:szCs w:val="21"/>
          <w:highlight w:val="none"/>
          <w:lang w:eastAsia="zh-CN"/>
        </w:rPr>
        <w:t>及其他</w:t>
      </w:r>
      <w:r>
        <w:rPr>
          <w:rFonts w:hint="eastAsia" w:ascii="宋体" w:hAnsi="宋体" w:cs="宋体"/>
          <w:color w:val="auto"/>
          <w:szCs w:val="21"/>
          <w:highlight w:val="none"/>
        </w:rPr>
        <w:t>技术资料和材料。</w:t>
      </w:r>
    </w:p>
    <w:p w14:paraId="4B65B718">
      <w:pPr>
        <w:tabs>
          <w:tab w:val="left" w:pos="570"/>
          <w:tab w:val="left" w:pos="888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（4）“服务”系指根据合同规定，乙方应提供的技术、管理</w:t>
      </w:r>
      <w:r>
        <w:rPr>
          <w:rFonts w:hint="eastAsia" w:ascii="宋体" w:hAnsi="宋体" w:cs="宋体"/>
          <w:color w:val="auto"/>
          <w:szCs w:val="21"/>
          <w:highlight w:val="none"/>
          <w:lang w:eastAsia="zh-CN"/>
        </w:rPr>
        <w:t>和其他</w:t>
      </w:r>
      <w:r>
        <w:rPr>
          <w:rFonts w:hint="eastAsia" w:ascii="宋体" w:hAnsi="宋体" w:cs="宋体"/>
          <w:color w:val="auto"/>
          <w:szCs w:val="21"/>
          <w:highlight w:val="none"/>
        </w:rPr>
        <w:t>服务，包括但不限于：管理和质量保证、运输、保险、检验、现场准备、安装、集成、调试、培训、维修、技术支持等以及合同中规定乙方应承担</w:t>
      </w:r>
      <w:r>
        <w:rPr>
          <w:rFonts w:hint="eastAsia" w:ascii="宋体" w:hAnsi="宋体" w:cs="宋体"/>
          <w:color w:val="auto"/>
          <w:szCs w:val="21"/>
          <w:highlight w:val="none"/>
          <w:lang w:eastAsia="zh-CN"/>
        </w:rPr>
        <w:t>的其他</w:t>
      </w:r>
      <w:r>
        <w:rPr>
          <w:rFonts w:hint="eastAsia" w:ascii="宋体" w:hAnsi="宋体" w:cs="宋体"/>
          <w:color w:val="auto"/>
          <w:szCs w:val="21"/>
          <w:highlight w:val="none"/>
        </w:rPr>
        <w:t>义务。</w:t>
      </w:r>
    </w:p>
    <w:p w14:paraId="1FA0D5AD">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（5）“合同条款”系指本合同条款。</w:t>
      </w:r>
    </w:p>
    <w:p w14:paraId="3CA63FF7">
      <w:pPr>
        <w:tabs>
          <w:tab w:val="left" w:pos="570"/>
          <w:tab w:val="left" w:pos="9240"/>
          <w:tab w:val="left" w:pos="9555"/>
        </w:tabs>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（6）“项目现场”系指本合同项下货物安装、运行的现场，其名称见</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w:t>
      </w:r>
    </w:p>
    <w:p w14:paraId="5C0F9AC4">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2.合同的适用范围</w:t>
      </w:r>
    </w:p>
    <w:p w14:paraId="719C08B0">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本合同条款适用于没有被本合同其他部分的条款所取代的范围。</w:t>
      </w:r>
    </w:p>
    <w:p w14:paraId="2273D175">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合同内容根据招标文件、投标文件而确定。</w:t>
      </w:r>
    </w:p>
    <w:p w14:paraId="46998BF3">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color w:val="auto"/>
          <w:sz w:val="24"/>
          <w:highlight w:val="none"/>
        </w:rPr>
        <w:t>合同标的及金额</w:t>
      </w:r>
    </w:p>
    <w:p w14:paraId="46DD2EF3">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 合同标的及金额应与中标结果一致。</w:t>
      </w:r>
    </w:p>
    <w:p w14:paraId="7ED496C0">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color w:val="auto"/>
          <w:sz w:val="24"/>
          <w:highlight w:val="none"/>
        </w:rPr>
        <w:t>合同价款</w:t>
      </w:r>
    </w:p>
    <w:p w14:paraId="37E2713D">
      <w:pPr>
        <w:adjustRightInd w:val="0"/>
        <w:snapToGrid w:val="0"/>
        <w:spacing w:before="50" w:line="360" w:lineRule="auto"/>
        <w:ind w:firstLine="420" w:firstLineChars="200"/>
        <w:jc w:val="left"/>
        <w:rPr>
          <w:rFonts w:ascii="宋体" w:hAnsi="宋体" w:cs="宋体"/>
          <w:b/>
          <w:bCs/>
          <w:i/>
          <w:iCs/>
          <w:color w:val="auto"/>
          <w:szCs w:val="21"/>
          <w:highlight w:val="none"/>
        </w:rPr>
      </w:pPr>
      <w:r>
        <w:rPr>
          <w:rFonts w:hint="eastAsia" w:ascii="宋体" w:hAnsi="宋体" w:cs="宋体"/>
          <w:color w:val="auto"/>
          <w:szCs w:val="21"/>
          <w:highlight w:val="none"/>
        </w:rPr>
        <w:t>4.1具体合同价款见本合同第3.1条。乙方为履行本合同而发生的所有费用均应包含在合同价款中，甲方不再另行支付</w:t>
      </w:r>
      <w:r>
        <w:rPr>
          <w:rFonts w:hint="eastAsia" w:ascii="宋体" w:hAnsi="宋体" w:cs="宋体"/>
          <w:color w:val="auto"/>
          <w:szCs w:val="21"/>
          <w:highlight w:val="none"/>
          <w:lang w:eastAsia="zh-CN"/>
        </w:rPr>
        <w:t>其他任何</w:t>
      </w:r>
      <w:r>
        <w:rPr>
          <w:rFonts w:hint="eastAsia" w:ascii="宋体" w:hAnsi="宋体" w:cs="宋体"/>
          <w:color w:val="auto"/>
          <w:szCs w:val="21"/>
          <w:highlight w:val="none"/>
        </w:rPr>
        <w:t>费用。</w:t>
      </w:r>
    </w:p>
    <w:p w14:paraId="45D94180">
      <w:pPr>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5.履行合同的时间、地点和方式</w:t>
      </w:r>
    </w:p>
    <w:p w14:paraId="733BEEA4">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 乙方应当在甲方确定的时间、指定的地点履行合同，具体的交货时间、地点和方式见</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w:t>
      </w:r>
    </w:p>
    <w:p w14:paraId="44F3BA3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 乙方提供服务的应当在甲方指定的地点完成服务项目。</w:t>
      </w:r>
    </w:p>
    <w:p w14:paraId="3A96D354">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6.</w:t>
      </w:r>
      <w:r>
        <w:rPr>
          <w:rFonts w:hint="eastAsia" w:ascii="宋体" w:hAnsi="宋体" w:cs="宋体"/>
          <w:b/>
          <w:color w:val="auto"/>
          <w:sz w:val="24"/>
          <w:highlight w:val="none"/>
        </w:rPr>
        <w:t>货物的验收</w:t>
      </w:r>
    </w:p>
    <w:p w14:paraId="7C46619C">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 甲方在收到乙方交付的货物后应当及时组织验收。</w:t>
      </w:r>
    </w:p>
    <w:p w14:paraId="691277E1">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 货物的表面瑕疵，甲方应在验收时当面提出；对质量问题有异议的应在安装调试后十个工作日内提出。</w:t>
      </w:r>
    </w:p>
    <w:p w14:paraId="11A563FE">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 在验收过程中发现数量不足或有质量、技术等问题，乙方应负责按照甲方的要求采取补足、更换或退货等处理措施，并承担由此发生的一切费用和损失。</w:t>
      </w:r>
    </w:p>
    <w:p w14:paraId="1F0C9110">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6.4 甲方在乙方按合同规定交货或安装、调试后，无正当理由而拖延接收、验收或拒绝接收、验收的，应承担因此给乙方造成的直接损失。</w:t>
      </w:r>
    </w:p>
    <w:p w14:paraId="3292B958">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6.5 甲方对货物进行检查验收合格后，应当收取发票并在《交货验收单》上签署验收意见及加盖单位印章。</w:t>
      </w:r>
    </w:p>
    <w:p w14:paraId="6660C9EC">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6.6 大型或者复杂的货物采购项目，甲方可以邀请国家认可的质量检测机构参加验收工作，并由其出具验收报告单。</w:t>
      </w:r>
    </w:p>
    <w:p w14:paraId="6073DBE0">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6.7 乙方提供的进口产品，乙方应出示中华人民共和国进出口商品检验部门出具的检验证书（招标文件第五章采购需求另有约定的除外）。</w:t>
      </w:r>
    </w:p>
    <w:p w14:paraId="719B18F3">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7.货物包装要求</w:t>
      </w:r>
    </w:p>
    <w:p w14:paraId="3AF272FC">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FE31CF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 每一个包装箱内应附一份详细装箱单、质量证书和保修保养证书。</w:t>
      </w:r>
    </w:p>
    <w:p w14:paraId="2FFDB47B">
      <w:pPr>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8.运输和保险</w:t>
      </w:r>
    </w:p>
    <w:p w14:paraId="75261DC7">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8.1乙方负责办理将货物运抵本合同第5.1条规定的交货地点的一切运输事项，相关费用应包括在合同总价中。</w:t>
      </w:r>
    </w:p>
    <w:p w14:paraId="0B082857">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8.2乙方应向保险公司投保以甲方为受益人的发运合同货物发票金额的110％运输一切险。</w:t>
      </w:r>
    </w:p>
    <w:p w14:paraId="7742EAB7">
      <w:pPr>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9.质量标准和保证</w:t>
      </w:r>
    </w:p>
    <w:p w14:paraId="3C94C110">
      <w:pPr>
        <w:pStyle w:val="12"/>
        <w:adjustRightInd w:val="0"/>
        <w:snapToGrid w:val="0"/>
        <w:spacing w:before="50" w:line="360" w:lineRule="auto"/>
        <w:ind w:firstLine="420" w:firstLineChars="200"/>
        <w:jc w:val="left"/>
        <w:rPr>
          <w:rFonts w:hAnsi="宋体" w:cs="宋体"/>
          <w:b/>
          <w:color w:val="auto"/>
          <w:highlight w:val="none"/>
        </w:rPr>
      </w:pPr>
      <w:r>
        <w:rPr>
          <w:rFonts w:hint="eastAsia" w:hAnsi="宋体" w:cs="宋体"/>
          <w:color w:val="auto"/>
          <w:highlight w:val="none"/>
        </w:rPr>
        <w:t>9.1 质量标准</w:t>
      </w:r>
    </w:p>
    <w:p w14:paraId="44D14F50">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00688095">
      <w:pPr>
        <w:pStyle w:val="12"/>
        <w:adjustRightInd w:val="0"/>
        <w:snapToGrid w:val="0"/>
        <w:spacing w:before="50" w:line="360" w:lineRule="auto"/>
        <w:ind w:firstLine="420" w:firstLineChars="200"/>
        <w:jc w:val="left"/>
        <w:rPr>
          <w:rFonts w:hAnsi="宋体" w:cs="宋体"/>
          <w:color w:val="auto"/>
          <w:highlight w:val="none"/>
        </w:rPr>
      </w:pPr>
      <w:r>
        <w:rPr>
          <w:rFonts w:hint="eastAsia" w:hAnsi="宋体" w:cs="宋体"/>
          <w:color w:val="auto"/>
          <w:highlight w:val="none"/>
        </w:rPr>
        <w:t>（2）采用中华人民共和国法定计量单位。</w:t>
      </w:r>
    </w:p>
    <w:p w14:paraId="7B9F8B9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（3）乙方所出售的货物还应符合国家有关安全、环保、卫生之规定。</w:t>
      </w:r>
    </w:p>
    <w:p w14:paraId="7541861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9.2 保证</w:t>
      </w:r>
    </w:p>
    <w:p w14:paraId="36BC7FE4">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规定或乙方承诺（两者以较长的为准）的质量保证期内，本保证保持有效。</w:t>
      </w:r>
    </w:p>
    <w:p w14:paraId="53CF4A35">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4CCD5F03">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096443DF">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46D28624">
      <w:pPr>
        <w:adjustRightInd w:val="0"/>
        <w:snapToGrid w:val="0"/>
        <w:spacing w:before="50"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（5）乙方在约定的时间内未能弥补缺陷，甲方可采取必要的补救措施，但其风险和费用将由乙方承担，甲方根据合同规定对乙方行使的其他权利不受影响。</w:t>
      </w:r>
    </w:p>
    <w:p w14:paraId="209349FC">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10.权利瑕疵担保</w:t>
      </w:r>
    </w:p>
    <w:p w14:paraId="29FBFA2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10.1 乙方保证对其出售的货物享有合法的权利。</w:t>
      </w:r>
    </w:p>
    <w:p w14:paraId="7236F2A1">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10.2 乙方保证在其出售的货物上不存在任何未曾向甲方透露的担保物权，如抵押权、质押权、留置权等。</w:t>
      </w:r>
    </w:p>
    <w:p w14:paraId="369C00C1">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10.3 如甲方使用该货物构成上述侵权的，则由乙方承担全部责任。</w:t>
      </w:r>
    </w:p>
    <w:p w14:paraId="2B8719D1">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11.知识产权保护</w:t>
      </w:r>
    </w:p>
    <w:p w14:paraId="4C62D3F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 乙方对其所销售的货物应当享有知识产权或经权利人合法授权，保证没有侵犯任何第三人的知识产权和商业秘密等权利。</w:t>
      </w:r>
    </w:p>
    <w:p w14:paraId="0F70415F">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甲方使用乙方提供的货物对第三人构成侵权的，应当由乙方承担全部法律责任，给甲方造成损害的，乙方应当承担赔偿责任。</w:t>
      </w:r>
    </w:p>
    <w:p w14:paraId="1622DA81">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甲方委托乙方开发的产品，甲方享有知识产权，未经甲方许可不得转让任何第三人。</w:t>
      </w:r>
    </w:p>
    <w:p w14:paraId="1A456B0A">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12.保密义务</w:t>
      </w:r>
    </w:p>
    <w:p w14:paraId="376FE34C">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甲、乙双方在采购和履行合同过程中所获悉的对方属于保密的内容，双方均有保密义务。</w:t>
      </w:r>
    </w:p>
    <w:p w14:paraId="6545C003">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13.合同价款支付</w:t>
      </w:r>
    </w:p>
    <w:p w14:paraId="406FA89E">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13.1验收合格后，乙方出具正规发票给甲方，凭甲方开具的《政府采购合同验收报告单》办理合同价</w:t>
      </w:r>
      <w:r>
        <w:rPr>
          <w:rFonts w:hint="eastAsia" w:ascii="宋体" w:hAnsi="宋体" w:cs="宋体"/>
          <w:bCs/>
          <w:color w:val="auto"/>
          <w:szCs w:val="21"/>
          <w:highlight w:val="none"/>
        </w:rPr>
        <w:t>款</w:t>
      </w:r>
      <w:r>
        <w:rPr>
          <w:rFonts w:hint="eastAsia" w:ascii="宋体" w:hAnsi="宋体" w:cs="宋体"/>
          <w:color w:val="auto"/>
          <w:szCs w:val="21"/>
          <w:highlight w:val="none"/>
        </w:rPr>
        <w:t>结算手续。</w:t>
      </w:r>
    </w:p>
    <w:p w14:paraId="7ADE3F80">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合同价款构成中应当由财政支付的部分，甲方应当在货物验收合格后的十五个工作日内向国库管理部门申请支付，经国库管理部门审核后直接支付给乙方。</w:t>
      </w:r>
    </w:p>
    <w:p w14:paraId="29A51960">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合同价款构成中应当由甲方自行支付的部分，甲方应当在货物验收合格后十五个</w:t>
      </w:r>
      <w:r>
        <w:rPr>
          <w:rFonts w:hint="eastAsia" w:ascii="宋体" w:hAnsi="宋体" w:cs="宋体"/>
          <w:color w:val="auto"/>
          <w:szCs w:val="21"/>
          <w:highlight w:val="none"/>
          <w:lang w:eastAsia="zh-CN"/>
        </w:rPr>
        <w:t>工作日内</w:t>
      </w:r>
      <w:r>
        <w:rPr>
          <w:rFonts w:hint="eastAsia" w:ascii="宋体" w:hAnsi="宋体" w:cs="宋体"/>
          <w:color w:val="auto"/>
          <w:szCs w:val="21"/>
          <w:highlight w:val="none"/>
        </w:rPr>
        <w:t>支付。</w:t>
      </w:r>
    </w:p>
    <w:p w14:paraId="62F26429">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13.4支付合同价</w:t>
      </w:r>
      <w:r>
        <w:rPr>
          <w:rFonts w:hint="eastAsia" w:ascii="宋体" w:hAnsi="宋体" w:cs="宋体"/>
          <w:bCs/>
          <w:color w:val="auto"/>
          <w:szCs w:val="21"/>
          <w:highlight w:val="none"/>
        </w:rPr>
        <w:t>款</w:t>
      </w:r>
      <w:r>
        <w:rPr>
          <w:rFonts w:hint="eastAsia" w:ascii="宋体" w:hAnsi="宋体" w:cs="宋体"/>
          <w:color w:val="auto"/>
          <w:szCs w:val="21"/>
          <w:highlight w:val="none"/>
        </w:rPr>
        <w:t>时，一律不向乙方以外的任何第三方办理付款手续。开户行和账号以签订的政府采购合同为准，如果乙方要求变更，则乙方必须提供</w:t>
      </w:r>
      <w:r>
        <w:rPr>
          <w:rFonts w:hint="eastAsia" w:ascii="宋体" w:hAnsi="宋体" w:cs="宋体"/>
          <w:color w:val="auto"/>
          <w:szCs w:val="21"/>
          <w:highlight w:val="none"/>
          <w:lang w:eastAsia="zh-CN"/>
        </w:rPr>
        <w:t>加盖</w:t>
      </w:r>
      <w:r>
        <w:rPr>
          <w:rFonts w:hint="eastAsia" w:ascii="宋体" w:hAnsi="宋体" w:cs="宋体"/>
          <w:color w:val="auto"/>
          <w:szCs w:val="21"/>
          <w:highlight w:val="none"/>
        </w:rPr>
        <w:t>财务专用章、法定代表人签字的证明文件，报经甲方审查同意。</w:t>
      </w:r>
    </w:p>
    <w:p w14:paraId="64B8B877">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合同价款支付方式</w:t>
      </w:r>
      <w:r>
        <w:rPr>
          <w:rFonts w:hint="eastAsia" w:ascii="宋体" w:hAnsi="宋体" w:cs="宋体"/>
          <w:bCs/>
          <w:color w:val="auto"/>
          <w:szCs w:val="21"/>
          <w:highlight w:val="none"/>
        </w:rPr>
        <w:t>和条件在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中另有规定。</w:t>
      </w:r>
    </w:p>
    <w:p w14:paraId="4E2D82F5">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bCs/>
          <w:color w:val="auto"/>
          <w:sz w:val="24"/>
          <w:highlight w:val="none"/>
        </w:rPr>
        <w:t>14.</w:t>
      </w:r>
      <w:r>
        <w:rPr>
          <w:rFonts w:hint="eastAsia" w:ascii="宋体" w:hAnsi="宋体" w:cs="宋体"/>
          <w:b/>
          <w:color w:val="auto"/>
          <w:sz w:val="24"/>
          <w:highlight w:val="none"/>
        </w:rPr>
        <w:t>乙方应提供的服务</w:t>
      </w:r>
    </w:p>
    <w:p w14:paraId="4DEFDA4B">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291A09E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 乙方还应提供下列服务：</w:t>
      </w:r>
    </w:p>
    <w:p w14:paraId="684A339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68527027">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5ABB21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（3）在合同各方商定的一定期限内对所有的货物实施运行监督、维修，但前提条件是该服务并不能免除乙方在质量保证期内所承担的义务；</w:t>
      </w:r>
    </w:p>
    <w:p w14:paraId="679BD50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（4）在制造商或项目现场就货物的安装、启动、运营、维护对甲方操作人员进行培训；</w:t>
      </w:r>
    </w:p>
    <w:p w14:paraId="3A1011CB">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D7B85CE">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14.3 乙方提供的服务的费用应包含在合同价款中，甲方不再另行支付。</w:t>
      </w:r>
    </w:p>
    <w:p w14:paraId="7EFF3528">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15.违约责任</w:t>
      </w:r>
    </w:p>
    <w:p w14:paraId="4F9C3DE5">
      <w:pPr>
        <w:adjustRightInd w:val="0"/>
        <w:snapToGrid w:val="0"/>
        <w:spacing w:before="50"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15.1质量瑕疵的补救措施和索赔</w:t>
      </w:r>
    </w:p>
    <w:p w14:paraId="27B35067">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593A858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①乙方同意退货并将货款退还给甲方，由此发生的一切费用和损失由乙方承担。</w:t>
      </w:r>
    </w:p>
    <w:p w14:paraId="600196E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②根据货物的质量状况以及甲方所遭受的损失，经过甲乙双方商定降低货物的价格。</w:t>
      </w:r>
    </w:p>
    <w:p w14:paraId="7E1E050C">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59BD6ED5">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担保金，如不足以弥补甲方损失的，甲方有权进一步要求乙方赔偿。</w:t>
      </w:r>
    </w:p>
    <w:p w14:paraId="176710CC">
      <w:pPr>
        <w:autoSpaceDE w:val="0"/>
        <w:autoSpaceDN w:val="0"/>
        <w:adjustRightInd w:val="0"/>
        <w:snapToGrid w:val="0"/>
        <w:spacing w:before="50"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5B7DC862">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01FE4BB">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（2）除本合同</w:t>
      </w:r>
      <w:r>
        <w:rPr>
          <w:rFonts w:hint="eastAsia" w:ascii="宋体" w:hAnsi="宋体" w:cs="宋体"/>
          <w:bCs/>
          <w:color w:val="auto"/>
          <w:szCs w:val="21"/>
          <w:highlight w:val="none"/>
        </w:rPr>
        <w:t>第20条</w:t>
      </w:r>
      <w:r>
        <w:rPr>
          <w:rFonts w:hint="eastAsia" w:ascii="宋体" w:hAnsi="宋体" w:cs="宋体"/>
          <w:color w:val="auto"/>
          <w:szCs w:val="21"/>
          <w:highlight w:val="none"/>
        </w:rPr>
        <w:t>规定情况外，如果乙方没有按照合同规定的时间交货和提供服务，甲方有权从货款中扣除误期赔偿费而不影响合同项下的其他补救方法，赔偿费按每周（一周按七天计算，不足7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298D7AC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E1B0C53">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16.合同的变更</w:t>
      </w:r>
    </w:p>
    <w:p w14:paraId="1BF35725">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在合同履行过程中，甲、乙双方可就合同履行的时间、地点和方式等协商进行变更。协商一致后，双方应签订书面的补充协议。</w:t>
      </w:r>
    </w:p>
    <w:p w14:paraId="12CCA30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 在不改变合同其他条款的前提下，甲方有权在合同价款百分之十的范围内追加与合同标的相同的货物或服务，并就此与乙方签订补充合同，乙方不得拒绝。</w:t>
      </w:r>
    </w:p>
    <w:p w14:paraId="6B679D77">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 除双方签署书面协议，并成为合同不可分割的一部分外，本合同条件不得有任何变更。</w:t>
      </w:r>
    </w:p>
    <w:p w14:paraId="2FB00E7C">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17.合同中止与终止</w:t>
      </w:r>
    </w:p>
    <w:p w14:paraId="6DF4A56F">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17.1合同的中止</w:t>
      </w:r>
    </w:p>
    <w:p w14:paraId="1FFD10C8">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（1）合同在履行过程中，因采购计划调整，甲方可以要求中止履行，待计划确定后继续履行；</w:t>
      </w:r>
    </w:p>
    <w:p w14:paraId="14C7B647">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（2）合同履行过程中因供应商就采购过程或结果提起投诉的，甲方认为有必要或财政部门责令中止的，应当中止合同的履行。</w:t>
      </w:r>
    </w:p>
    <w:p w14:paraId="07C1E2BA">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17.2合同的终止</w:t>
      </w:r>
    </w:p>
    <w:p w14:paraId="4D2BD56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295EEEA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（2）乙方未能依照本合同约定条件履行合同，已构成根本性违约的，甲方有权终止本合同，并追究乙方的违约责任。</w:t>
      </w:r>
    </w:p>
    <w:p w14:paraId="603B47C8">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（3）如果乙方丧失履约能力或被宣告破产，甲方可在任何时候以书面形式通知乙方终止合同而不给乙方补偿。</w:t>
      </w:r>
    </w:p>
    <w:p w14:paraId="7A523C06">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（4）如果乙方在履行合同过程中有不正当竞争行为，甲方有权解除合同，并按《中华人民共和国反不正当竞争法》规定由有关部门追究其法律责任。</w:t>
      </w:r>
    </w:p>
    <w:p w14:paraId="56D9A92E">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（5）如果合同的履行将损害国家利益或社会公共利益，甲方有权终止合同的履行，给乙方造成损失的予以相应补偿。</w:t>
      </w:r>
    </w:p>
    <w:p w14:paraId="2F4C8EBA">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18.合同转让和分包</w:t>
      </w:r>
    </w:p>
    <w:p w14:paraId="74D659B3">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 乙方不得以任何形式将合同转包。</w:t>
      </w:r>
    </w:p>
    <w:p w14:paraId="1C35A8B8">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 乙方未在投标文件中说明，不得将</w:t>
      </w:r>
      <w:r>
        <w:rPr>
          <w:rFonts w:hint="eastAsia" w:ascii="宋体" w:hAnsi="宋体" w:cs="宋体"/>
          <w:bCs/>
          <w:color w:val="auto"/>
          <w:szCs w:val="21"/>
          <w:highlight w:val="none"/>
        </w:rPr>
        <w:t>合同</w:t>
      </w:r>
      <w:r>
        <w:rPr>
          <w:rFonts w:hint="eastAsia" w:ascii="宋体" w:hAnsi="宋体" w:cs="宋体"/>
          <w:color w:val="auto"/>
          <w:szCs w:val="21"/>
          <w:highlight w:val="none"/>
        </w:rPr>
        <w:t>的非主体、非关键性工作分包给他人。</w:t>
      </w:r>
    </w:p>
    <w:p w14:paraId="265C52BC">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19.不可抗力</w:t>
      </w:r>
    </w:p>
    <w:p w14:paraId="62F5CAF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 不可抗力是指合同双方不可预见、不可避免、不可克服的自然灾害和社会事件。</w:t>
      </w:r>
    </w:p>
    <w:p w14:paraId="08286B9A">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 任何一方对由于不可抗力造成的部分或全部不能履行合同不承担违约责任。但迟延履行后发生不可抗力的，不能免除责任。</w:t>
      </w:r>
    </w:p>
    <w:p w14:paraId="5E26FDFE">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16940186">
      <w:pPr>
        <w:autoSpaceDE w:val="0"/>
        <w:autoSpaceDN w:val="0"/>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20.解决争议的方法</w:t>
      </w:r>
    </w:p>
    <w:p w14:paraId="292E549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 合同各方应通过友好协商，解决在执行合同过程中所发生的或与合同有关的一切争端。如从协商开始后十日内仍不能解决，可以向财政部门提请调解。</w:t>
      </w:r>
    </w:p>
    <w:p w14:paraId="75025684">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 调解不成可以按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中约定中规定下列方式之一提起仲裁或诉讼：</w:t>
      </w:r>
    </w:p>
    <w:p w14:paraId="49105784">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（1）向甲方所在地仲裁机构提起仲裁；</w:t>
      </w:r>
    </w:p>
    <w:p w14:paraId="6799B0DD">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（2）向甲方所在地人民法院提起诉讼。</w:t>
      </w:r>
    </w:p>
    <w:p w14:paraId="5527CF62">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 如仲裁或诉讼事项不影响合同</w:t>
      </w:r>
      <w:r>
        <w:rPr>
          <w:rFonts w:hint="eastAsia" w:ascii="宋体" w:hAnsi="宋体" w:cs="宋体"/>
          <w:color w:val="auto"/>
          <w:szCs w:val="21"/>
          <w:highlight w:val="none"/>
          <w:lang w:eastAsia="zh-CN"/>
        </w:rPr>
        <w:t>其他部分</w:t>
      </w:r>
      <w:r>
        <w:rPr>
          <w:rFonts w:hint="eastAsia" w:ascii="宋体" w:hAnsi="宋体" w:cs="宋体"/>
          <w:color w:val="auto"/>
          <w:szCs w:val="21"/>
          <w:highlight w:val="none"/>
        </w:rPr>
        <w:t>的履行，则在仲裁或诉讼期间，除正在进行仲裁或诉讼的部分外，合同</w:t>
      </w:r>
      <w:r>
        <w:rPr>
          <w:rFonts w:hint="eastAsia" w:ascii="宋体" w:hAnsi="宋体" w:cs="宋体"/>
          <w:color w:val="auto"/>
          <w:szCs w:val="21"/>
          <w:highlight w:val="none"/>
          <w:lang w:eastAsia="zh-CN"/>
        </w:rPr>
        <w:t>的其他部分</w:t>
      </w:r>
      <w:r>
        <w:rPr>
          <w:rFonts w:hint="eastAsia" w:ascii="宋体" w:hAnsi="宋体" w:cs="宋体"/>
          <w:color w:val="auto"/>
          <w:szCs w:val="21"/>
          <w:highlight w:val="none"/>
        </w:rPr>
        <w:t>应继续执行。</w:t>
      </w:r>
    </w:p>
    <w:p w14:paraId="5E0ABF7C">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color w:val="auto"/>
          <w:sz w:val="24"/>
          <w:highlight w:val="none"/>
        </w:rPr>
        <w:t>21.法律适用</w:t>
      </w:r>
    </w:p>
    <w:p w14:paraId="216C8089">
      <w:pPr>
        <w:autoSpaceDE w:val="0"/>
        <w:autoSpaceDN w:val="0"/>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本合同适用中华人民共和国现行法律、行政法规和规章，如合同条款与法律、行政法规和规章不一致的，按照法律、行政法规和规章修改本合同。</w:t>
      </w:r>
    </w:p>
    <w:p w14:paraId="731AB639">
      <w:pPr>
        <w:autoSpaceDE w:val="0"/>
        <w:autoSpaceDN w:val="0"/>
        <w:adjustRightInd w:val="0"/>
        <w:snapToGrid w:val="0"/>
        <w:spacing w:before="50" w:line="360" w:lineRule="auto"/>
        <w:jc w:val="left"/>
        <w:rPr>
          <w:rFonts w:ascii="宋体" w:hAnsi="宋体" w:cs="宋体"/>
          <w:b/>
          <w:color w:val="auto"/>
          <w:sz w:val="24"/>
          <w:highlight w:val="none"/>
        </w:rPr>
      </w:pPr>
      <w:r>
        <w:rPr>
          <w:rFonts w:hint="eastAsia" w:ascii="宋体" w:hAnsi="宋体" w:cs="宋体"/>
          <w:b/>
          <w:bCs/>
          <w:color w:val="auto"/>
          <w:sz w:val="24"/>
          <w:highlight w:val="none"/>
        </w:rPr>
        <w:t>22.</w:t>
      </w:r>
      <w:r>
        <w:rPr>
          <w:rFonts w:hint="eastAsia" w:ascii="宋体" w:hAnsi="宋体" w:cs="宋体"/>
          <w:b/>
          <w:color w:val="auto"/>
          <w:sz w:val="24"/>
          <w:highlight w:val="none"/>
        </w:rPr>
        <w:t>通知</w:t>
      </w:r>
    </w:p>
    <w:p w14:paraId="4B888AE3">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22.1本合同一方给另一方的通知均应采用书面形式，传真或快递送到本合同中规定的对方的地址和办理签收手续，</w:t>
      </w:r>
    </w:p>
    <w:p w14:paraId="5EF73BEA">
      <w:pPr>
        <w:adjustRightInd w:val="0"/>
        <w:snapToGrid w:val="0"/>
        <w:spacing w:before="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22.2通知以</w:t>
      </w:r>
      <w:r>
        <w:rPr>
          <w:rFonts w:hint="eastAsia" w:ascii="宋体" w:hAnsi="宋体" w:cs="宋体"/>
          <w:color w:val="auto"/>
          <w:szCs w:val="21"/>
          <w:highlight w:val="none"/>
          <w:lang w:eastAsia="zh-CN"/>
        </w:rPr>
        <w:t>送达</w:t>
      </w:r>
      <w:r>
        <w:rPr>
          <w:rFonts w:hint="eastAsia" w:ascii="宋体" w:hAnsi="宋体" w:cs="宋体"/>
          <w:color w:val="auto"/>
          <w:szCs w:val="21"/>
          <w:highlight w:val="none"/>
        </w:rPr>
        <w:t>之日或通知书中规定的生效之日起生效，两者中以较迟之日为准。</w:t>
      </w:r>
    </w:p>
    <w:p w14:paraId="4ED7E8DF">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23. 合同未尽事项</w:t>
      </w:r>
    </w:p>
    <w:p w14:paraId="29CD6DE8">
      <w:pPr>
        <w:adjustRightInd w:val="0"/>
        <w:snapToGrid w:val="0"/>
        <w:spacing w:before="50"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p>
    <w:p w14:paraId="3A82707D">
      <w:pPr>
        <w:adjustRightInd w:val="0"/>
        <w:snapToGrid w:val="0"/>
        <w:spacing w:before="50" w:line="360" w:lineRule="auto"/>
        <w:jc w:val="left"/>
        <w:rPr>
          <w:rFonts w:ascii="宋体" w:hAnsi="宋体" w:cs="宋体"/>
          <w:b/>
          <w:bCs/>
          <w:color w:val="auto"/>
          <w:sz w:val="24"/>
          <w:highlight w:val="none"/>
        </w:rPr>
      </w:pPr>
      <w:r>
        <w:rPr>
          <w:rFonts w:hint="eastAsia" w:ascii="宋体" w:hAnsi="宋体" w:cs="宋体"/>
          <w:b/>
          <w:bCs/>
          <w:color w:val="auto"/>
          <w:sz w:val="24"/>
          <w:highlight w:val="none"/>
        </w:rPr>
        <w:t>24.合同生效</w:t>
      </w:r>
    </w:p>
    <w:p w14:paraId="747937FB">
      <w:pPr>
        <w:spacing w:line="360" w:lineRule="exact"/>
        <w:rPr>
          <w:rFonts w:ascii="黑体" w:hAnsi="宋体" w:eastAsia="黑体"/>
          <w:b/>
          <w:bCs/>
          <w:color w:val="auto"/>
          <w:sz w:val="32"/>
          <w:szCs w:val="32"/>
          <w:highlight w:val="none"/>
        </w:rPr>
      </w:pPr>
      <w:r>
        <w:rPr>
          <w:rFonts w:hint="eastAsia" w:ascii="宋体" w:hAnsi="宋体" w:cs="宋体"/>
          <w:color w:val="auto"/>
          <w:szCs w:val="21"/>
          <w:highlight w:val="none"/>
        </w:rPr>
        <w:t>24.1 本合同在合同双方签字盖章后生效。</w:t>
      </w:r>
    </w:p>
    <w:p w14:paraId="6E7ADCD4">
      <w:pPr>
        <w:spacing w:line="360" w:lineRule="exact"/>
        <w:jc w:val="center"/>
        <w:rPr>
          <w:rFonts w:ascii="黑体" w:hAnsi="宋体" w:eastAsia="黑体"/>
          <w:b/>
          <w:bCs/>
          <w:color w:val="auto"/>
          <w:sz w:val="32"/>
          <w:szCs w:val="32"/>
          <w:highlight w:val="none"/>
        </w:rPr>
      </w:pPr>
    </w:p>
    <w:p w14:paraId="22E51CAD">
      <w:pPr>
        <w:adjustRightInd w:val="0"/>
        <w:snapToGrid w:val="0"/>
        <w:spacing w:line="360" w:lineRule="auto"/>
        <w:jc w:val="center"/>
        <w:outlineLvl w:val="1"/>
        <w:rPr>
          <w:rFonts w:ascii="黑体" w:hAnsi="宋体" w:eastAsia="黑体"/>
          <w:b/>
          <w:bCs/>
          <w:color w:val="auto"/>
          <w:sz w:val="32"/>
          <w:szCs w:val="32"/>
          <w:highlight w:val="none"/>
        </w:rPr>
      </w:pPr>
      <w:r>
        <w:rPr>
          <w:rFonts w:hint="eastAsia" w:ascii="黑体" w:hAnsi="宋体" w:eastAsia="黑体"/>
          <w:b/>
          <w:bCs/>
          <w:color w:val="auto"/>
          <w:sz w:val="32"/>
          <w:szCs w:val="32"/>
          <w:highlight w:val="none"/>
        </w:rPr>
        <w:t>三、政府采购合同专用条款</w:t>
      </w:r>
    </w:p>
    <w:tbl>
      <w:tblPr>
        <w:tblStyle w:val="22"/>
        <w:tblW w:w="87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2578"/>
        <w:gridCol w:w="4050"/>
      </w:tblGrid>
      <w:tr w14:paraId="56BFA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5A431CA2">
            <w:pPr>
              <w:adjustRightInd w:val="0"/>
              <w:snapToGrid w:val="0"/>
              <w:spacing w:before="120" w:beforeLines="5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2578" w:type="dxa"/>
            <w:vAlign w:val="center"/>
          </w:tcPr>
          <w:p w14:paraId="2BB94666">
            <w:pPr>
              <w:adjustRightInd w:val="0"/>
              <w:snapToGrid w:val="0"/>
              <w:spacing w:before="120" w:beforeLines="5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条款名称</w:t>
            </w:r>
          </w:p>
        </w:tc>
        <w:tc>
          <w:tcPr>
            <w:tcW w:w="4050" w:type="dxa"/>
            <w:vAlign w:val="center"/>
          </w:tcPr>
          <w:p w14:paraId="41F95602">
            <w:pPr>
              <w:adjustRightInd w:val="0"/>
              <w:snapToGrid w:val="0"/>
              <w:spacing w:before="120" w:beforeLines="5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编列内容规定</w:t>
            </w:r>
          </w:p>
        </w:tc>
      </w:tr>
      <w:tr w14:paraId="6FEB4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130" w:type="dxa"/>
            <w:vAlign w:val="center"/>
          </w:tcPr>
          <w:p w14:paraId="15DB58B6">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）款</w:t>
            </w:r>
          </w:p>
        </w:tc>
        <w:tc>
          <w:tcPr>
            <w:tcW w:w="2578" w:type="dxa"/>
            <w:vAlign w:val="center"/>
          </w:tcPr>
          <w:p w14:paraId="230E9EC1">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甲方名称与地点</w:t>
            </w:r>
          </w:p>
        </w:tc>
        <w:tc>
          <w:tcPr>
            <w:tcW w:w="4050" w:type="dxa"/>
            <w:vAlign w:val="center"/>
          </w:tcPr>
          <w:p w14:paraId="24857120">
            <w:pPr>
              <w:pStyle w:val="9"/>
              <w:jc w:val="both"/>
              <w:rPr>
                <w:rFonts w:hint="eastAsia" w:ascii="宋体" w:hAnsi="宋体" w:cs="宋体"/>
                <w:color w:val="auto"/>
                <w:highlight w:val="none"/>
                <w:u w:val="none"/>
                <w:lang w:eastAsia="zh-CN"/>
              </w:rPr>
            </w:pPr>
            <w:r>
              <w:rPr>
                <w:rFonts w:hint="eastAsia" w:ascii="宋体" w:hAnsi="宋体" w:cs="宋体"/>
                <w:color w:val="auto"/>
                <w:highlight w:val="none"/>
                <w:u w:val="none"/>
                <w:lang w:val="en-US" w:eastAsia="zh-CN"/>
              </w:rPr>
              <w:t>甲方名称：</w:t>
            </w:r>
            <w:r>
              <w:rPr>
                <w:rFonts w:hint="eastAsia" w:ascii="宋体" w:hAnsi="宋体" w:cs="宋体"/>
                <w:color w:val="auto"/>
                <w:highlight w:val="none"/>
                <w:u w:val="none"/>
                <w:lang w:eastAsia="zh-CN"/>
              </w:rPr>
              <w:t>中共湖南省委组织部</w:t>
            </w:r>
          </w:p>
          <w:p w14:paraId="1DD402FD">
            <w:pPr>
              <w:pStyle w:val="19"/>
              <w:ind w:left="0" w:leftChars="0" w:firstLine="0" w:firstLineChars="0"/>
              <w:rPr>
                <w:rFonts w:hint="default" w:eastAsia="宋体"/>
                <w:color w:val="auto"/>
                <w:highlight w:val="none"/>
                <w:lang w:val="en-US" w:eastAsia="zh-CN"/>
              </w:rPr>
            </w:pPr>
            <w:r>
              <w:rPr>
                <w:rFonts w:hint="eastAsia"/>
                <w:color w:val="auto"/>
                <w:highlight w:val="none"/>
                <w:lang w:val="en-US" w:eastAsia="zh-CN"/>
              </w:rPr>
              <w:t>甲方地点：长沙市韶山北路1号</w:t>
            </w:r>
          </w:p>
        </w:tc>
      </w:tr>
      <w:tr w14:paraId="5406A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48E24EF5">
            <w:pPr>
              <w:adjustRightInd w:val="0"/>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第1.2（6）款</w:t>
            </w:r>
          </w:p>
        </w:tc>
        <w:tc>
          <w:tcPr>
            <w:tcW w:w="2578" w:type="dxa"/>
            <w:vAlign w:val="center"/>
          </w:tcPr>
          <w:p w14:paraId="3FEF6472">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项目现场</w:t>
            </w:r>
          </w:p>
        </w:tc>
        <w:tc>
          <w:tcPr>
            <w:tcW w:w="4050" w:type="dxa"/>
            <w:vAlign w:val="center"/>
          </w:tcPr>
          <w:p w14:paraId="0CDA6BC8">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见第四章采购需求</w:t>
            </w:r>
          </w:p>
        </w:tc>
      </w:tr>
      <w:tr w14:paraId="125B6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3B6CBEEE">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第5.1条</w:t>
            </w:r>
          </w:p>
        </w:tc>
        <w:tc>
          <w:tcPr>
            <w:tcW w:w="2578" w:type="dxa"/>
            <w:vAlign w:val="center"/>
          </w:tcPr>
          <w:p w14:paraId="5651F503">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履行合同的时间、地点及方式</w:t>
            </w:r>
          </w:p>
        </w:tc>
        <w:tc>
          <w:tcPr>
            <w:tcW w:w="4050" w:type="dxa"/>
            <w:vAlign w:val="center"/>
          </w:tcPr>
          <w:p w14:paraId="6BF4419F">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w:t>
            </w:r>
            <w:r>
              <w:rPr>
                <w:rFonts w:hint="eastAsia" w:ascii="宋体" w:hAnsi="宋体" w:cs="宋体"/>
                <w:color w:val="auto"/>
                <w:szCs w:val="21"/>
                <w:highlight w:val="none"/>
                <w:lang w:val="en-US" w:eastAsia="zh-CN"/>
              </w:rPr>
              <w:t>第四章</w:t>
            </w:r>
            <w:r>
              <w:rPr>
                <w:rFonts w:hint="eastAsia" w:ascii="宋体" w:hAnsi="宋体" w:eastAsia="宋体" w:cs="宋体"/>
                <w:color w:val="auto"/>
                <w:szCs w:val="21"/>
                <w:highlight w:val="none"/>
                <w:lang w:val="en-US" w:eastAsia="zh-CN"/>
              </w:rPr>
              <w:t>采购需求</w:t>
            </w:r>
          </w:p>
        </w:tc>
      </w:tr>
      <w:tr w14:paraId="579DB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3E2193A1">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第9.2(1) 款</w:t>
            </w:r>
          </w:p>
        </w:tc>
        <w:tc>
          <w:tcPr>
            <w:tcW w:w="2578" w:type="dxa"/>
            <w:vAlign w:val="center"/>
          </w:tcPr>
          <w:p w14:paraId="53DA7AEA">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质量保证期</w:t>
            </w:r>
          </w:p>
        </w:tc>
        <w:tc>
          <w:tcPr>
            <w:tcW w:w="4050" w:type="dxa"/>
            <w:vAlign w:val="center"/>
          </w:tcPr>
          <w:p w14:paraId="657A4FEF">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2F272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18E2075C">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第9.2(3) 款</w:t>
            </w:r>
          </w:p>
        </w:tc>
        <w:tc>
          <w:tcPr>
            <w:tcW w:w="2578" w:type="dxa"/>
            <w:vAlign w:val="center"/>
          </w:tcPr>
          <w:p w14:paraId="428EAF3C">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4050" w:type="dxa"/>
            <w:vAlign w:val="center"/>
          </w:tcPr>
          <w:p w14:paraId="7D54D32D">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30分钟内</w:t>
            </w:r>
          </w:p>
        </w:tc>
      </w:tr>
      <w:tr w14:paraId="0DE4B0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5" w:hRule="atLeast"/>
          <w:jc w:val="center"/>
        </w:trPr>
        <w:tc>
          <w:tcPr>
            <w:tcW w:w="2130" w:type="dxa"/>
            <w:vAlign w:val="center"/>
          </w:tcPr>
          <w:p w14:paraId="4E180D7C">
            <w:pPr>
              <w:adjustRightInd w:val="0"/>
              <w:snapToGrid w:val="0"/>
              <w:spacing w:before="120" w:beforeLines="50"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第13.5</w:t>
            </w:r>
            <w:r>
              <w:rPr>
                <w:rFonts w:hint="eastAsia" w:ascii="宋体" w:hAnsi="宋体" w:cs="宋体"/>
                <w:color w:val="auto"/>
                <w:szCs w:val="21"/>
                <w:highlight w:val="none"/>
                <w:lang w:val="en-US" w:eastAsia="zh-CN"/>
              </w:rPr>
              <w:t>条</w:t>
            </w:r>
          </w:p>
        </w:tc>
        <w:tc>
          <w:tcPr>
            <w:tcW w:w="2578" w:type="dxa"/>
            <w:vAlign w:val="center"/>
          </w:tcPr>
          <w:p w14:paraId="3082FFD6">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合同价款支付方式和条件</w:t>
            </w:r>
          </w:p>
        </w:tc>
        <w:tc>
          <w:tcPr>
            <w:tcW w:w="4050" w:type="dxa"/>
            <w:vAlign w:val="center"/>
          </w:tcPr>
          <w:p w14:paraId="69467103">
            <w:pPr>
              <w:bidi w:val="0"/>
              <w:spacing w:line="360" w:lineRule="auto"/>
              <w:ind w:firstLine="420" w:firstLineChars="200"/>
              <w:rPr>
                <w:rFonts w:ascii="宋体" w:hAnsi="宋体" w:cs="宋体"/>
                <w:color w:val="auto"/>
                <w:szCs w:val="21"/>
                <w:highlight w:val="none"/>
              </w:rPr>
            </w:pPr>
            <w:r>
              <w:rPr>
                <w:rFonts w:hint="eastAsia" w:ascii="Times New Roman" w:eastAsia="宋体"/>
                <w:color w:val="auto"/>
                <w:highlight w:val="none"/>
                <w:lang w:val="en-US" w:eastAsia="zh-CN"/>
              </w:rPr>
              <w:t>全部培训内容后，据实结算，依据具体学员的人数以及学员调查表一次性支付，</w:t>
            </w:r>
            <w:r>
              <w:rPr>
                <w:rFonts w:hint="eastAsia"/>
                <w:color w:val="auto"/>
                <w:highlight w:val="none"/>
              </w:rPr>
              <w:t>未达到</w:t>
            </w:r>
            <w:r>
              <w:rPr>
                <w:rFonts w:hint="eastAsia" w:eastAsia="宋体"/>
                <w:color w:val="auto"/>
                <w:highlight w:val="none"/>
                <w:lang w:eastAsia="zh-CN"/>
              </w:rPr>
              <w:t>第</w:t>
            </w:r>
            <w:r>
              <w:rPr>
                <w:rFonts w:hint="eastAsia" w:ascii="Times New Roman" w:eastAsia="宋体"/>
                <w:color w:val="auto"/>
                <w:highlight w:val="none"/>
                <w:lang w:val="en-US" w:eastAsia="zh-CN"/>
              </w:rPr>
              <w:t>五</w:t>
            </w:r>
            <w:r>
              <w:rPr>
                <w:rFonts w:hint="eastAsia" w:eastAsia="宋体"/>
                <w:color w:val="auto"/>
                <w:highlight w:val="none"/>
                <w:lang w:eastAsia="zh-CN"/>
              </w:rPr>
              <w:t>条款质量</w:t>
            </w:r>
            <w:r>
              <w:rPr>
                <w:rFonts w:hint="eastAsia" w:ascii="Times New Roman" w:eastAsia="宋体"/>
                <w:color w:val="auto"/>
                <w:highlight w:val="none"/>
                <w:lang w:val="en-US" w:eastAsia="zh-CN"/>
              </w:rPr>
              <w:t>验收</w:t>
            </w:r>
            <w:r>
              <w:rPr>
                <w:rFonts w:hint="eastAsia"/>
                <w:color w:val="auto"/>
                <w:highlight w:val="none"/>
              </w:rPr>
              <w:t>标准</w:t>
            </w:r>
            <w:r>
              <w:rPr>
                <w:rFonts w:hint="eastAsia" w:ascii="Times New Roman" w:eastAsia="宋体"/>
                <w:color w:val="auto"/>
                <w:highlight w:val="none"/>
                <w:lang w:val="en-US" w:eastAsia="zh-CN"/>
              </w:rPr>
              <w:t>的</w:t>
            </w:r>
            <w:r>
              <w:rPr>
                <w:rFonts w:hint="eastAsia" w:eastAsia="宋体"/>
                <w:color w:val="auto"/>
                <w:highlight w:val="none"/>
                <w:lang w:eastAsia="zh-CN"/>
              </w:rPr>
              <w:t>，</w:t>
            </w:r>
            <w:r>
              <w:rPr>
                <w:rFonts w:hint="eastAsia" w:ascii="Times New Roman" w:eastAsia="宋体"/>
                <w:color w:val="auto"/>
                <w:highlight w:val="none"/>
                <w:lang w:val="en-US" w:eastAsia="zh-CN"/>
              </w:rPr>
              <w:t>预设标准经考核验收后，每少一个</w:t>
            </w:r>
            <w:r>
              <w:rPr>
                <w:rFonts w:hint="eastAsia"/>
                <w:color w:val="auto"/>
                <w:highlight w:val="none"/>
              </w:rPr>
              <w:t>百分点扣</w:t>
            </w:r>
            <w:r>
              <w:rPr>
                <w:rFonts w:hint="eastAsia" w:ascii="Times New Roman" w:eastAsia="宋体"/>
                <w:color w:val="auto"/>
                <w:highlight w:val="none"/>
                <w:lang w:val="en-US" w:eastAsia="zh-CN"/>
              </w:rPr>
              <w:t>5</w:t>
            </w:r>
            <w:r>
              <w:rPr>
                <w:rFonts w:hint="eastAsia"/>
                <w:color w:val="auto"/>
                <w:highlight w:val="none"/>
              </w:rPr>
              <w:t>00元</w:t>
            </w:r>
            <w:r>
              <w:rPr>
                <w:rFonts w:hint="eastAsia" w:ascii="Times New Roman" w:eastAsia="宋体"/>
                <w:color w:val="auto"/>
                <w:highlight w:val="none"/>
                <w:lang w:val="en-US" w:eastAsia="zh-CN"/>
              </w:rPr>
              <w:t>。</w:t>
            </w:r>
          </w:p>
        </w:tc>
      </w:tr>
      <w:tr w14:paraId="7200D3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75D56A5C">
            <w:pPr>
              <w:adjustRightInd w:val="0"/>
              <w:snapToGrid w:val="0"/>
              <w:spacing w:before="120" w:beforeLines="50"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第14.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条</w:t>
            </w:r>
          </w:p>
        </w:tc>
        <w:tc>
          <w:tcPr>
            <w:tcW w:w="2578" w:type="dxa"/>
            <w:vAlign w:val="center"/>
          </w:tcPr>
          <w:p w14:paraId="0E3BFE7B">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要求</w:t>
            </w:r>
          </w:p>
        </w:tc>
        <w:tc>
          <w:tcPr>
            <w:tcW w:w="4050" w:type="dxa"/>
            <w:vAlign w:val="center"/>
          </w:tcPr>
          <w:p w14:paraId="74B8BA39">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见采购需求</w:t>
            </w:r>
          </w:p>
        </w:tc>
      </w:tr>
      <w:tr w14:paraId="673BD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134334DD">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第20.2条</w:t>
            </w:r>
          </w:p>
        </w:tc>
        <w:tc>
          <w:tcPr>
            <w:tcW w:w="2578" w:type="dxa"/>
            <w:vAlign w:val="center"/>
          </w:tcPr>
          <w:p w14:paraId="69A43A31">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解决争议的方式</w:t>
            </w:r>
          </w:p>
        </w:tc>
        <w:tc>
          <w:tcPr>
            <w:tcW w:w="4050" w:type="dxa"/>
            <w:vAlign w:val="center"/>
          </w:tcPr>
          <w:p w14:paraId="2C884767">
            <w:pPr>
              <w:adjustRightInd w:val="0"/>
              <w:snapToGrid w:val="0"/>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合同签署所在地法院诉讼</w:t>
            </w:r>
          </w:p>
        </w:tc>
      </w:tr>
      <w:tr w14:paraId="5D8635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130" w:type="dxa"/>
            <w:vAlign w:val="center"/>
          </w:tcPr>
          <w:p w14:paraId="4895A4E0">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.1条</w:t>
            </w:r>
          </w:p>
        </w:tc>
        <w:tc>
          <w:tcPr>
            <w:tcW w:w="2578" w:type="dxa"/>
            <w:vAlign w:val="center"/>
          </w:tcPr>
          <w:p w14:paraId="7983497F">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合同未尽事项</w:t>
            </w:r>
          </w:p>
        </w:tc>
        <w:tc>
          <w:tcPr>
            <w:tcW w:w="4050" w:type="dxa"/>
            <w:vAlign w:val="center"/>
          </w:tcPr>
          <w:p w14:paraId="20A4AA3C">
            <w:pPr>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友好协商</w:t>
            </w:r>
          </w:p>
        </w:tc>
      </w:tr>
    </w:tbl>
    <w:p w14:paraId="232F4640">
      <w:pPr>
        <w:spacing w:line="360" w:lineRule="exact"/>
        <w:jc w:val="center"/>
        <w:rPr>
          <w:rFonts w:ascii="黑体" w:hAnsi="宋体" w:eastAsia="黑体"/>
          <w:b/>
          <w:bCs/>
          <w:color w:val="auto"/>
          <w:sz w:val="32"/>
          <w:szCs w:val="32"/>
          <w:highlight w:val="none"/>
        </w:rPr>
      </w:pPr>
    </w:p>
    <w:p w14:paraId="0A9A746B">
      <w:pPr>
        <w:spacing w:line="360" w:lineRule="exact"/>
        <w:jc w:val="center"/>
        <w:rPr>
          <w:rFonts w:ascii="黑体" w:hAnsi="宋体" w:eastAsia="黑体"/>
          <w:b/>
          <w:bCs/>
          <w:color w:val="auto"/>
          <w:sz w:val="32"/>
          <w:szCs w:val="32"/>
          <w:highlight w:val="none"/>
        </w:rPr>
      </w:pPr>
    </w:p>
    <w:p w14:paraId="2DB874C5">
      <w:pPr>
        <w:pStyle w:val="30"/>
        <w:ind w:firstLine="480"/>
        <w:rPr>
          <w:color w:val="auto"/>
          <w:highlight w:val="none"/>
        </w:rPr>
      </w:pPr>
    </w:p>
    <w:p w14:paraId="338FB322">
      <w:pPr>
        <w:spacing w:line="360" w:lineRule="exact"/>
        <w:jc w:val="center"/>
        <w:rPr>
          <w:rFonts w:ascii="黑体" w:hAnsi="宋体" w:eastAsia="黑体"/>
          <w:b/>
          <w:bCs/>
          <w:color w:val="auto"/>
          <w:sz w:val="32"/>
          <w:szCs w:val="32"/>
          <w:highlight w:val="none"/>
        </w:rPr>
      </w:pPr>
    </w:p>
    <w:p w14:paraId="1056AB7F">
      <w:pPr>
        <w:spacing w:line="360" w:lineRule="exact"/>
        <w:jc w:val="center"/>
        <w:rPr>
          <w:rFonts w:ascii="黑体" w:hAnsi="宋体" w:eastAsia="黑体"/>
          <w:b/>
          <w:bCs/>
          <w:color w:val="auto"/>
          <w:sz w:val="32"/>
          <w:szCs w:val="32"/>
          <w:highlight w:val="none"/>
        </w:rPr>
      </w:pPr>
    </w:p>
    <w:p w14:paraId="43067BA9">
      <w:pPr>
        <w:spacing w:line="360" w:lineRule="exact"/>
        <w:jc w:val="center"/>
        <w:rPr>
          <w:rFonts w:ascii="黑体" w:hAnsi="宋体" w:eastAsia="黑体"/>
          <w:b/>
          <w:bCs/>
          <w:color w:val="auto"/>
          <w:sz w:val="32"/>
          <w:szCs w:val="32"/>
          <w:highlight w:val="none"/>
        </w:rPr>
      </w:pPr>
    </w:p>
    <w:p w14:paraId="0EDB8689">
      <w:pPr>
        <w:spacing w:line="360" w:lineRule="exact"/>
        <w:jc w:val="center"/>
        <w:rPr>
          <w:rFonts w:ascii="黑体" w:hAnsi="宋体" w:eastAsia="黑体"/>
          <w:b/>
          <w:bCs/>
          <w:color w:val="auto"/>
          <w:sz w:val="32"/>
          <w:szCs w:val="32"/>
          <w:highlight w:val="none"/>
        </w:rPr>
      </w:pPr>
    </w:p>
    <w:p w14:paraId="73412B24">
      <w:pPr>
        <w:pStyle w:val="9"/>
        <w:rPr>
          <w:color w:val="auto"/>
          <w:highlight w:val="none"/>
        </w:rPr>
      </w:pPr>
    </w:p>
    <w:p w14:paraId="3E43E40B">
      <w:pPr>
        <w:pStyle w:val="9"/>
        <w:rPr>
          <w:color w:val="auto"/>
          <w:highlight w:val="none"/>
        </w:rPr>
      </w:pPr>
    </w:p>
    <w:p w14:paraId="625F13B7">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6BACFC39">
      <w:pPr>
        <w:numPr>
          <w:ilvl w:val="0"/>
          <w:numId w:val="8"/>
        </w:num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 xml:space="preserve"> 采购需求</w:t>
      </w:r>
    </w:p>
    <w:p w14:paraId="5C9527EF">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项目概况 </w:t>
      </w:r>
    </w:p>
    <w:p w14:paraId="0BA4D3FF">
      <w:pPr>
        <w:keepNext w:val="0"/>
        <w:keepLines w:val="0"/>
        <w:pageBreakBefore w:val="0"/>
        <w:widowControl/>
        <w:numPr>
          <w:ilvl w:val="0"/>
          <w:numId w:val="10"/>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项目名称：2026年新选拔选调生集中培训项目</w:t>
      </w:r>
    </w:p>
    <w:p w14:paraId="581640D5">
      <w:pPr>
        <w:keepNext w:val="0"/>
        <w:keepLines w:val="0"/>
        <w:pageBreakBefore w:val="0"/>
        <w:widowControl/>
        <w:numPr>
          <w:ilvl w:val="0"/>
          <w:numId w:val="10"/>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color w:val="auto"/>
          <w:highlight w:val="none"/>
          <w:lang w:val="en-US"/>
        </w:rPr>
      </w:pPr>
      <w:r>
        <w:rPr>
          <w:rFonts w:hint="eastAsia" w:ascii="宋体" w:hAnsi="宋体" w:cs="宋体"/>
          <w:b w:val="0"/>
          <w:bCs w:val="0"/>
          <w:color w:val="auto"/>
          <w:kern w:val="0"/>
          <w:sz w:val="21"/>
          <w:szCs w:val="21"/>
          <w:highlight w:val="none"/>
          <w:lang w:val="en-US" w:eastAsia="zh-CN"/>
        </w:rPr>
        <w:t>项目目的：对新选拔选调生开展新入职系统性综合素质和作风纪律培训，深入学习领会习近平新时代中国特色社会主义思想和党的二十大精神，扎实开展党的政策、政治理论、廉政纪律等方面培训，重点介绍新形势下农村工作政策和工作方法，介绍优秀基层干部干事创业、成长成才的工作经验，帮助选调生强化政治意识，提升履职能力，扣好从政“第一扣”，上好实践“第一课”，立稳基层“第一步 ”。</w:t>
      </w:r>
    </w:p>
    <w:p w14:paraId="0D6B0BE1">
      <w:pPr>
        <w:keepNext w:val="0"/>
        <w:keepLines w:val="0"/>
        <w:pageBreakBefore w:val="0"/>
        <w:widowControl/>
        <w:numPr>
          <w:ilvl w:val="0"/>
          <w:numId w:val="10"/>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color w:val="auto"/>
          <w:highlight w:val="none"/>
          <w:lang w:val="en-US"/>
        </w:rPr>
      </w:pPr>
      <w:r>
        <w:rPr>
          <w:rFonts w:hint="eastAsia" w:ascii="宋体" w:hAnsi="宋体" w:cs="宋体"/>
          <w:color w:val="auto"/>
          <w:kern w:val="0"/>
          <w:sz w:val="21"/>
          <w:szCs w:val="21"/>
          <w:highlight w:val="none"/>
          <w:lang w:val="en-US" w:eastAsia="zh-CN"/>
        </w:rPr>
        <w:t>项目预算：198万元</w:t>
      </w:r>
      <w:r>
        <w:rPr>
          <w:rFonts w:hint="eastAsia" w:ascii="宋体" w:hAnsi="宋体" w:cs="宋体"/>
          <w:color w:val="auto"/>
          <w:kern w:val="0"/>
          <w:sz w:val="21"/>
          <w:szCs w:val="21"/>
          <w:highlight w:val="none"/>
          <w:lang w:val="en-US" w:eastAsia="zh-CN"/>
        </w:rPr>
        <w:t>（最高单价：1523.08/人）</w:t>
      </w:r>
    </w:p>
    <w:p w14:paraId="21A426E5">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培训规模与培训内容</w:t>
      </w:r>
    </w:p>
    <w:p w14:paraId="699F5886">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培训人数：</w:t>
      </w:r>
      <w:r>
        <w:rPr>
          <w:rFonts w:hint="eastAsia" w:ascii="宋体" w:hAnsi="宋体" w:cs="宋体"/>
          <w:color w:val="auto"/>
          <w:kern w:val="0"/>
          <w:sz w:val="21"/>
          <w:szCs w:val="21"/>
          <w:highlight w:val="none"/>
          <w:lang w:val="en-US" w:eastAsia="zh-CN"/>
        </w:rPr>
        <w:t>1300</w:t>
      </w:r>
      <w:r>
        <w:rPr>
          <w:rFonts w:hint="eastAsia" w:ascii="宋体" w:hAnsi="宋体" w:eastAsia="宋体" w:cs="宋体"/>
          <w:color w:val="auto"/>
          <w:kern w:val="0"/>
          <w:sz w:val="21"/>
          <w:szCs w:val="21"/>
          <w:highlight w:val="none"/>
          <w:lang w:val="en-US" w:eastAsia="zh-CN"/>
        </w:rPr>
        <w:t>人</w:t>
      </w:r>
    </w:p>
    <w:p w14:paraId="32C85078">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培训时间：5天(2026年8月21日之前完成）</w:t>
      </w:r>
    </w:p>
    <w:p w14:paraId="10F77F3C">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ascii="宋体" w:hAnsi="宋体" w:eastAsia="宋体" w:cs="宋体"/>
          <w:color w:val="auto"/>
          <w:szCs w:val="28"/>
          <w:highlight w:val="none"/>
          <w:lang w:val="en-US" w:eastAsia="zh-CN"/>
        </w:rPr>
      </w:pPr>
      <w:r>
        <w:rPr>
          <w:rFonts w:hint="eastAsia" w:ascii="宋体" w:hAnsi="宋体" w:eastAsia="宋体" w:cs="宋体"/>
          <w:color w:val="auto"/>
          <w:kern w:val="0"/>
          <w:sz w:val="21"/>
          <w:szCs w:val="21"/>
          <w:highlight w:val="none"/>
          <w:lang w:val="en-US" w:eastAsia="zh-CN"/>
        </w:rPr>
        <w:t>培训课时：</w:t>
      </w:r>
      <w:r>
        <w:rPr>
          <w:rFonts w:hint="eastAsia" w:ascii="宋体" w:hAnsi="宋体" w:cs="宋体"/>
          <w:color w:val="auto"/>
          <w:kern w:val="0"/>
          <w:sz w:val="21"/>
          <w:szCs w:val="21"/>
          <w:highlight w:val="none"/>
          <w:lang w:val="en-US" w:eastAsia="zh-CN"/>
        </w:rPr>
        <w:t>每个学员不低于</w:t>
      </w:r>
      <w:r>
        <w:rPr>
          <w:rFonts w:hint="eastAsia" w:ascii="宋体" w:hAnsi="宋体" w:eastAsia="宋体" w:cs="宋体"/>
          <w:color w:val="auto"/>
          <w:kern w:val="0"/>
          <w:sz w:val="21"/>
          <w:szCs w:val="21"/>
          <w:highlight w:val="none"/>
          <w:lang w:val="en-US" w:eastAsia="zh-CN"/>
        </w:rPr>
        <w:t>28</w:t>
      </w:r>
      <w:r>
        <w:rPr>
          <w:rFonts w:hint="eastAsia" w:ascii="宋体" w:hAnsi="宋体" w:cs="宋体"/>
          <w:color w:val="auto"/>
          <w:kern w:val="0"/>
          <w:sz w:val="21"/>
          <w:szCs w:val="21"/>
          <w:highlight w:val="none"/>
          <w:lang w:val="en-US" w:eastAsia="zh-CN"/>
        </w:rPr>
        <w:t>个</w:t>
      </w:r>
      <w:r>
        <w:rPr>
          <w:rFonts w:hint="eastAsia" w:ascii="宋体" w:hAnsi="宋体" w:eastAsia="宋体" w:cs="宋体"/>
          <w:color w:val="auto"/>
          <w:kern w:val="0"/>
          <w:sz w:val="21"/>
          <w:szCs w:val="21"/>
          <w:highlight w:val="none"/>
          <w:lang w:val="en-US" w:eastAsia="zh-CN"/>
        </w:rPr>
        <w:t>课时</w:t>
      </w:r>
      <w:r>
        <w:rPr>
          <w:rFonts w:hint="eastAsia" w:ascii="宋体" w:hAnsi="宋体" w:cs="宋体"/>
          <w:color w:val="auto"/>
          <w:kern w:val="0"/>
          <w:sz w:val="21"/>
          <w:szCs w:val="21"/>
          <w:highlight w:val="none"/>
          <w:lang w:val="en-US" w:eastAsia="zh-CN"/>
        </w:rPr>
        <w:t>的培训</w:t>
      </w:r>
      <w:r>
        <w:rPr>
          <w:rFonts w:hint="eastAsia" w:ascii="宋体" w:hAnsi="宋体" w:eastAsia="宋体" w:cs="宋体"/>
          <w:color w:val="auto"/>
          <w:kern w:val="0"/>
          <w:sz w:val="21"/>
          <w:szCs w:val="21"/>
          <w:highlight w:val="none"/>
          <w:lang w:val="en-US" w:eastAsia="zh-CN"/>
        </w:rPr>
        <w:t>。</w:t>
      </w:r>
    </w:p>
    <w:p w14:paraId="406AEB6E">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ascii="宋体" w:hAnsi="宋体" w:eastAsia="宋体" w:cs="宋体"/>
          <w:color w:val="auto"/>
          <w:szCs w:val="28"/>
          <w:highlight w:val="none"/>
          <w:lang w:val="en-US" w:eastAsia="zh-CN"/>
        </w:rPr>
      </w:pPr>
      <w:r>
        <w:rPr>
          <w:rFonts w:hint="eastAsia" w:ascii="宋体" w:hAnsi="宋体"/>
          <w:color w:val="auto"/>
          <w:szCs w:val="28"/>
          <w:highlight w:val="none"/>
          <w:lang w:val="en-US" w:eastAsia="zh-CN"/>
        </w:rPr>
        <w:t>每个学员应当有一套</w:t>
      </w:r>
      <w:r>
        <w:rPr>
          <w:rFonts w:hint="eastAsia" w:ascii="宋体" w:hAnsi="宋体"/>
          <w:color w:val="auto"/>
          <w:szCs w:val="28"/>
          <w:highlight w:val="none"/>
        </w:rPr>
        <w:t>培训教材和学习辅导资料等。</w:t>
      </w:r>
    </w:p>
    <w:p w14:paraId="75EB195F">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培训内容主要为习近平新时代中国特色社会主义思想、党章和党规党纪学习教育、基层工作经验方法</w:t>
      </w:r>
      <w:r>
        <w:rPr>
          <w:rFonts w:hint="eastAsia" w:ascii="宋体" w:hAnsi="宋体" w:eastAsia="宋体" w:cs="宋体"/>
          <w:color w:val="auto"/>
          <w:kern w:val="0"/>
          <w:sz w:val="21"/>
          <w:szCs w:val="21"/>
          <w:highlight w:val="none"/>
          <w:lang w:val="en-US" w:eastAsia="zh-CN"/>
        </w:rPr>
        <w:t>等</w:t>
      </w:r>
      <w:r>
        <w:rPr>
          <w:rFonts w:hint="eastAsia" w:ascii="宋体" w:hAnsi="宋体" w:cs="宋体"/>
          <w:color w:val="auto"/>
          <w:kern w:val="0"/>
          <w:sz w:val="21"/>
          <w:szCs w:val="21"/>
          <w:highlight w:val="none"/>
          <w:lang w:val="en-US" w:eastAsia="zh-CN"/>
        </w:rPr>
        <w:t>。</w:t>
      </w:r>
    </w:p>
    <w:p w14:paraId="098195E7">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培训方式有领导动员、专题辅导、经验介绍、分组研讨交流</w:t>
      </w:r>
      <w:r>
        <w:rPr>
          <w:rFonts w:hint="eastAsia" w:ascii="宋体" w:hAnsi="宋体" w:cs="宋体"/>
          <w:color w:val="auto"/>
          <w:kern w:val="0"/>
          <w:sz w:val="21"/>
          <w:szCs w:val="21"/>
          <w:highlight w:val="none"/>
          <w:lang w:val="en-US" w:eastAsia="zh-CN"/>
        </w:rPr>
        <w:t>、学习</w:t>
      </w:r>
      <w:r>
        <w:rPr>
          <w:rFonts w:hint="eastAsia" w:ascii="宋体" w:hAnsi="宋体" w:eastAsia="宋体" w:cs="宋体"/>
          <w:color w:val="auto"/>
          <w:kern w:val="0"/>
          <w:sz w:val="21"/>
          <w:szCs w:val="21"/>
          <w:highlight w:val="none"/>
          <w:lang w:val="en-US" w:eastAsia="zh-CN"/>
        </w:rPr>
        <w:t>等方式</w:t>
      </w:r>
      <w:r>
        <w:rPr>
          <w:rFonts w:hint="eastAsia" w:ascii="宋体" w:hAnsi="宋体" w:cs="宋体"/>
          <w:color w:val="auto"/>
          <w:kern w:val="0"/>
          <w:sz w:val="21"/>
          <w:szCs w:val="21"/>
          <w:highlight w:val="none"/>
          <w:lang w:val="en-US" w:eastAsia="zh-CN"/>
        </w:rPr>
        <w:t>。</w:t>
      </w:r>
    </w:p>
    <w:p w14:paraId="09316C2F">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color w:val="auto"/>
          <w:highlight w:val="none"/>
          <w:lang w:val="en-US" w:eastAsia="zh-CN"/>
        </w:rPr>
      </w:pPr>
      <w:r>
        <w:rPr>
          <w:rFonts w:hint="eastAsia" w:ascii="宋体" w:hAnsi="宋体" w:cs="宋体"/>
          <w:color w:val="auto"/>
          <w:kern w:val="0"/>
          <w:sz w:val="21"/>
          <w:szCs w:val="21"/>
          <w:highlight w:val="none"/>
          <w:lang w:val="en-US" w:eastAsia="zh-CN"/>
        </w:rPr>
        <w:t>给每个学员配备一件文化衫（印有LOGO）。</w:t>
      </w:r>
    </w:p>
    <w:p w14:paraId="51825AEA">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服务要求</w:t>
      </w:r>
    </w:p>
    <w:p w14:paraId="160EFEEC">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color w:val="auto"/>
          <w:highlight w:val="none"/>
          <w:lang w:val="en-US" w:eastAsia="zh-CN"/>
        </w:rPr>
      </w:pPr>
      <w:r>
        <w:rPr>
          <w:rFonts w:hint="eastAsia" w:ascii="宋体" w:hAnsi="宋体" w:cs="宋体"/>
          <w:color w:val="auto"/>
          <w:szCs w:val="28"/>
          <w:highlight w:val="none"/>
          <w:lang w:val="en-US" w:eastAsia="zh-CN"/>
        </w:rPr>
        <w:t>供应商应当具有项目实施团队负责组织管理本次培训任务圆满达到目的；具有健全的管理制度，特别是具有防范各类意外事件发生的应急预案和机制。</w:t>
      </w:r>
    </w:p>
    <w:p w14:paraId="191F7755">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color w:val="auto"/>
          <w:highlight w:val="none"/>
          <w:lang w:val="en-US" w:eastAsia="zh-CN"/>
        </w:rPr>
      </w:pPr>
      <w:r>
        <w:rPr>
          <w:rFonts w:hint="eastAsia"/>
          <w:color w:val="auto"/>
          <w:highlight w:val="none"/>
          <w:lang w:val="en-US" w:eastAsia="zh-CN"/>
        </w:rPr>
        <w:t>供应商应当满足采购人各种培训方式需要配套的培训会堂、教室场地与硬件设施。</w:t>
      </w:r>
    </w:p>
    <w:p w14:paraId="22053628">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szCs w:val="28"/>
          <w:highlight w:val="none"/>
          <w:lang w:val="en-US" w:eastAsia="zh-CN"/>
        </w:rPr>
        <w:t>为每位学员提供前述清单物品内容，同时提供</w:t>
      </w:r>
      <w:r>
        <w:rPr>
          <w:rFonts w:hint="eastAsia" w:ascii="宋体" w:hAnsi="宋体" w:cs="宋体"/>
          <w:color w:val="auto"/>
          <w:szCs w:val="28"/>
          <w:highlight w:val="none"/>
        </w:rPr>
        <w:t>安全饮</w:t>
      </w:r>
      <w:r>
        <w:rPr>
          <w:rFonts w:hint="eastAsia" w:ascii="宋体" w:hAnsi="宋体" w:cs="宋体"/>
          <w:color w:val="auto"/>
          <w:szCs w:val="28"/>
          <w:highlight w:val="none"/>
          <w:lang w:val="en-US" w:eastAsia="zh-CN"/>
        </w:rPr>
        <w:t>用水和自助餐</w:t>
      </w:r>
      <w:r>
        <w:rPr>
          <w:rFonts w:hint="eastAsia" w:ascii="宋体" w:hAnsi="宋体" w:cs="宋体"/>
          <w:color w:val="auto"/>
          <w:szCs w:val="28"/>
          <w:highlight w:val="none"/>
        </w:rPr>
        <w:t>食</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四荤两素一汤）</w:t>
      </w:r>
      <w:r>
        <w:rPr>
          <w:rFonts w:hint="eastAsia" w:ascii="宋体" w:hAnsi="宋体" w:cs="宋体"/>
          <w:color w:val="auto"/>
          <w:szCs w:val="28"/>
          <w:highlight w:val="none"/>
        </w:rPr>
        <w:t>、住宿等</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含空调、热水、直饮水）</w:t>
      </w:r>
      <w:r>
        <w:rPr>
          <w:rFonts w:hint="eastAsia" w:ascii="宋体" w:hAnsi="宋体" w:cs="宋体"/>
          <w:color w:val="auto"/>
          <w:szCs w:val="28"/>
          <w:highlight w:val="none"/>
        </w:rPr>
        <w:t>全部</w:t>
      </w:r>
      <w:r>
        <w:rPr>
          <w:rFonts w:hint="eastAsia" w:ascii="宋体" w:hAnsi="宋体" w:cs="宋体"/>
          <w:color w:val="auto"/>
          <w:szCs w:val="28"/>
          <w:highlight w:val="none"/>
          <w:lang w:val="en-US" w:eastAsia="zh-CN"/>
        </w:rPr>
        <w:t>后勤服务</w:t>
      </w:r>
      <w:r>
        <w:rPr>
          <w:rFonts w:hint="eastAsia" w:ascii="宋体" w:hAnsi="宋体" w:cs="宋体"/>
          <w:color w:val="auto"/>
          <w:szCs w:val="28"/>
          <w:highlight w:val="none"/>
          <w:lang w:eastAsia="zh-CN"/>
        </w:rPr>
        <w:t>。</w:t>
      </w:r>
    </w:p>
    <w:p w14:paraId="33DA6B99">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供应商应当有详细的培训服务方案，方案详实且针对性强。</w:t>
      </w:r>
    </w:p>
    <w:p w14:paraId="7872A184">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eastAsia"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应采购人要求提供</w:t>
      </w:r>
      <w:r>
        <w:rPr>
          <w:rFonts w:hint="eastAsia" w:ascii="宋体" w:hAnsi="宋体" w:eastAsia="宋体" w:cs="宋体"/>
          <w:color w:val="auto"/>
          <w:szCs w:val="28"/>
          <w:highlight w:val="none"/>
          <w:lang w:val="en-US" w:eastAsia="zh-CN"/>
        </w:rPr>
        <w:t>具备深厚理论功底专题培训</w:t>
      </w:r>
      <w:r>
        <w:rPr>
          <w:rFonts w:hint="eastAsia" w:ascii="宋体" w:hAnsi="宋体" w:cs="宋体"/>
          <w:color w:val="auto"/>
          <w:szCs w:val="28"/>
          <w:highlight w:val="none"/>
          <w:lang w:val="en-US" w:eastAsia="zh-CN"/>
        </w:rPr>
        <w:t>授课老师</w:t>
      </w:r>
      <w:r>
        <w:rPr>
          <w:rFonts w:hint="eastAsia" w:ascii="宋体" w:hAnsi="宋体" w:eastAsia="宋体" w:cs="宋体"/>
          <w:color w:val="auto"/>
          <w:szCs w:val="28"/>
          <w:highlight w:val="none"/>
          <w:lang w:val="en-US" w:eastAsia="zh-CN"/>
        </w:rPr>
        <w:t>。</w:t>
      </w:r>
    </w:p>
    <w:p w14:paraId="03015FCF">
      <w:pPr>
        <w:keepNext w:val="0"/>
        <w:keepLines w:val="0"/>
        <w:pageBreakBefore w:val="0"/>
        <w:widowControl/>
        <w:numPr>
          <w:ilvl w:val="0"/>
          <w:numId w:val="11"/>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供应商应当可以满足</w:t>
      </w:r>
      <w:r>
        <w:rPr>
          <w:rFonts w:hint="eastAsia" w:ascii="宋体" w:hAnsi="宋体" w:cs="宋体"/>
          <w:color w:val="auto"/>
          <w:szCs w:val="28"/>
          <w:highlight w:val="none"/>
          <w:lang w:val="en-US" w:eastAsia="zh-CN"/>
        </w:rPr>
        <w:t>1300</w:t>
      </w:r>
      <w:r>
        <w:rPr>
          <w:rFonts w:hint="eastAsia" w:ascii="宋体" w:hAnsi="宋体" w:eastAsia="宋体" w:cs="宋体"/>
          <w:color w:val="auto"/>
          <w:szCs w:val="28"/>
          <w:highlight w:val="none"/>
          <w:lang w:val="en-US" w:eastAsia="zh-CN"/>
        </w:rPr>
        <w:t>人的食宿，其中饮食要确保卫生和食物质量，住宿条件应当干净整洁</w:t>
      </w:r>
      <w:r>
        <w:rPr>
          <w:rFonts w:hint="eastAsia" w:ascii="宋体" w:hAnsi="宋体" w:cs="宋体"/>
          <w:color w:val="auto"/>
          <w:szCs w:val="28"/>
          <w:highlight w:val="none"/>
          <w:lang w:val="en-US" w:eastAsia="zh-CN"/>
        </w:rPr>
        <w:t>，每个房间配有</w:t>
      </w:r>
      <w:r>
        <w:rPr>
          <w:rFonts w:hint="eastAsia" w:ascii="宋体" w:hAnsi="宋体" w:cs="宋体"/>
          <w:color w:val="auto"/>
          <w:kern w:val="0"/>
          <w:sz w:val="21"/>
          <w:szCs w:val="21"/>
          <w:highlight w:val="none"/>
          <w:lang w:val="en-US" w:eastAsia="zh-CN"/>
        </w:rPr>
        <w:t>学员就寝的床褥（凉席、空调被、枕头）及洗漱用品，所有房间的空调应当可以正常供冷。</w:t>
      </w:r>
    </w:p>
    <w:p w14:paraId="373CEFDD">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color w:val="auto"/>
          <w:highlight w:val="none"/>
          <w:lang w:val="en-US" w:eastAsia="zh-CN"/>
        </w:rPr>
      </w:pPr>
      <w:r>
        <w:rPr>
          <w:rFonts w:hint="eastAsia" w:ascii="宋体" w:hAnsi="宋体"/>
          <w:color w:val="auto"/>
          <w:szCs w:val="28"/>
          <w:highlight w:val="none"/>
          <w:lang w:val="en-US" w:eastAsia="zh-CN"/>
        </w:rPr>
        <w:t>有充足预案保障学员集体</w:t>
      </w:r>
      <w:r>
        <w:rPr>
          <w:rFonts w:hint="eastAsia" w:ascii="宋体" w:hAnsi="宋体" w:cs="宋体"/>
          <w:color w:val="auto"/>
          <w:szCs w:val="28"/>
          <w:highlight w:val="none"/>
          <w:lang w:val="en-US" w:eastAsia="zh-CN"/>
        </w:rPr>
        <w:t>外出考察与学习</w:t>
      </w:r>
      <w:r>
        <w:rPr>
          <w:rFonts w:hint="eastAsia" w:ascii="宋体" w:hAnsi="宋体"/>
          <w:color w:val="auto"/>
          <w:szCs w:val="28"/>
          <w:highlight w:val="none"/>
          <w:lang w:val="en-US" w:eastAsia="zh-CN"/>
        </w:rPr>
        <w:t>行程安全与便利；</w:t>
      </w:r>
    </w:p>
    <w:p w14:paraId="2EA80B33">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对学员进行考勤</w:t>
      </w:r>
      <w:r>
        <w:rPr>
          <w:rFonts w:hint="eastAsia" w:ascii="宋体" w:hAnsi="宋体" w:cs="宋体"/>
          <w:color w:val="auto"/>
          <w:kern w:val="0"/>
          <w:sz w:val="21"/>
          <w:szCs w:val="21"/>
          <w:highlight w:val="none"/>
          <w:lang w:val="en-US" w:eastAsia="zh-CN"/>
        </w:rPr>
        <w:t>与纪律</w:t>
      </w:r>
      <w:r>
        <w:rPr>
          <w:rFonts w:hint="eastAsia" w:ascii="宋体" w:hAnsi="宋体" w:eastAsia="宋体" w:cs="宋体"/>
          <w:color w:val="auto"/>
          <w:kern w:val="0"/>
          <w:sz w:val="21"/>
          <w:szCs w:val="21"/>
          <w:highlight w:val="none"/>
          <w:lang w:val="en-US" w:eastAsia="zh-CN"/>
        </w:rPr>
        <w:t>管理。</w:t>
      </w:r>
    </w:p>
    <w:p w14:paraId="22F37DF2">
      <w:pPr>
        <w:keepNext w:val="0"/>
        <w:keepLines w:val="0"/>
        <w:pageBreakBefore w:val="0"/>
        <w:widowControl/>
        <w:numPr>
          <w:ilvl w:val="0"/>
          <w:numId w:val="12"/>
        </w:numPr>
        <w:kinsoku/>
        <w:wordWrap/>
        <w:overflowPunct/>
        <w:topLinePunct w:val="0"/>
        <w:autoSpaceDE/>
        <w:autoSpaceDN/>
        <w:bidi w:val="0"/>
        <w:adjustRightInd/>
        <w:snapToGrid/>
        <w:spacing w:before="120" w:after="120" w:line="360" w:lineRule="auto"/>
        <w:ind w:left="425" w:leftChars="0" w:hanging="425" w:firstLineChars="0"/>
        <w:textAlignment w:val="auto"/>
        <w:outlineLvl w:val="9"/>
        <w:rPr>
          <w:rFonts w:hint="default" w:eastAsia="宋体"/>
          <w:color w:val="auto"/>
          <w:highlight w:val="none"/>
          <w:lang w:val="en-US" w:eastAsia="zh-CN"/>
        </w:rPr>
      </w:pPr>
      <w:r>
        <w:rPr>
          <w:rFonts w:hint="eastAsia" w:ascii="宋体" w:hAnsi="宋体"/>
          <w:color w:val="auto"/>
          <w:szCs w:val="28"/>
          <w:highlight w:val="none"/>
          <w:lang w:val="en-US" w:eastAsia="zh-CN"/>
        </w:rPr>
        <w:t>响应时间：7*24小时，30分钟内响应，2小时解决问题。</w:t>
      </w:r>
    </w:p>
    <w:p w14:paraId="0E11B062">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p>
    <w:p w14:paraId="62F8536D">
      <w:pPr>
        <w:bidi w:val="0"/>
        <w:spacing w:line="360" w:lineRule="auto"/>
        <w:ind w:firstLine="420" w:firstLineChars="200"/>
        <w:rPr>
          <w:rFonts w:hint="eastAsia"/>
          <w:color w:val="auto"/>
          <w:highlight w:val="none"/>
          <w:lang w:val="en-US" w:eastAsia="zh-CN"/>
        </w:rPr>
      </w:pPr>
      <w:r>
        <w:rPr>
          <w:rFonts w:hint="eastAsia" w:ascii="宋体" w:hAnsi="宋体"/>
          <w:color w:val="auto"/>
          <w:szCs w:val="28"/>
          <w:highlight w:val="none"/>
        </w:rPr>
        <w:t>培训任务完成后将必备资料</w:t>
      </w:r>
      <w:r>
        <w:rPr>
          <w:rFonts w:hint="eastAsia" w:ascii="宋体" w:hAnsi="宋体"/>
          <w:color w:val="auto"/>
          <w:szCs w:val="28"/>
          <w:highlight w:val="none"/>
          <w:lang w:eastAsia="zh-CN"/>
        </w:rPr>
        <w:t>移交采购人</w:t>
      </w:r>
      <w:r>
        <w:rPr>
          <w:rFonts w:hint="eastAsia" w:ascii="宋体" w:hAnsi="宋体"/>
          <w:color w:val="auto"/>
          <w:szCs w:val="28"/>
          <w:highlight w:val="none"/>
        </w:rPr>
        <w:t>，包括（参训学员名册、住宿情况、管理员工作总结、</w:t>
      </w:r>
      <w:r>
        <w:rPr>
          <w:rFonts w:hint="eastAsia" w:ascii="宋体" w:hAnsi="宋体" w:eastAsia="宋体" w:cs="宋体"/>
          <w:color w:val="auto"/>
          <w:kern w:val="0"/>
          <w:sz w:val="21"/>
          <w:szCs w:val="21"/>
          <w:highlight w:val="none"/>
          <w:lang w:val="en-US" w:eastAsia="zh-CN"/>
        </w:rPr>
        <w:t>培训</w:t>
      </w:r>
      <w:r>
        <w:rPr>
          <w:rFonts w:hint="eastAsia" w:ascii="宋体" w:hAnsi="宋体"/>
          <w:color w:val="auto"/>
          <w:szCs w:val="28"/>
          <w:highlight w:val="none"/>
        </w:rPr>
        <w:t>手册、</w:t>
      </w:r>
      <w:r>
        <w:rPr>
          <w:rFonts w:hint="eastAsia" w:ascii="宋体" w:hAnsi="宋体"/>
          <w:color w:val="auto"/>
          <w:szCs w:val="28"/>
          <w:highlight w:val="none"/>
          <w:lang w:val="en-US" w:eastAsia="zh-CN"/>
        </w:rPr>
        <w:t>培训</w:t>
      </w:r>
      <w:r>
        <w:rPr>
          <w:rFonts w:hint="eastAsia" w:ascii="宋体" w:hAnsi="宋体"/>
          <w:color w:val="auto"/>
          <w:szCs w:val="28"/>
          <w:highlight w:val="none"/>
        </w:rPr>
        <w:t>质量评价表、培训简报、过程活动图片及</w:t>
      </w:r>
      <w:r>
        <w:rPr>
          <w:rFonts w:hint="eastAsia" w:ascii="宋体" w:hAnsi="宋体"/>
          <w:color w:val="auto"/>
          <w:szCs w:val="28"/>
          <w:highlight w:val="none"/>
          <w:lang w:val="en-US" w:eastAsia="zh-CN"/>
        </w:rPr>
        <w:t>音视频</w:t>
      </w:r>
      <w:r>
        <w:rPr>
          <w:rFonts w:hint="eastAsia" w:ascii="宋体" w:hAnsi="宋体"/>
          <w:color w:val="auto"/>
          <w:szCs w:val="28"/>
          <w:highlight w:val="none"/>
        </w:rPr>
        <w:t>资料等）</w:t>
      </w:r>
    </w:p>
    <w:p w14:paraId="65215A5A">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服务质量总体标准：</w:t>
      </w:r>
    </w:p>
    <w:tbl>
      <w:tblPr>
        <w:tblStyle w:val="22"/>
        <w:tblW w:w="4885"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1823"/>
        <w:gridCol w:w="5304"/>
        <w:gridCol w:w="1040"/>
      </w:tblGrid>
      <w:tr w14:paraId="4706B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double" w:color="auto" w:sz="4" w:space="0"/>
              <w:left w:val="double" w:color="auto" w:sz="4" w:space="0"/>
              <w:bottom w:val="single" w:color="auto" w:sz="4" w:space="0"/>
              <w:right w:val="single" w:color="auto" w:sz="4" w:space="0"/>
            </w:tcBorders>
            <w:shd w:val="clear" w:color="auto" w:fill="FFFFFF"/>
            <w:vAlign w:val="center"/>
          </w:tcPr>
          <w:p w14:paraId="666684A2">
            <w:pPr>
              <w:wordWrap w:val="0"/>
              <w:spacing w:line="40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029" w:type="pct"/>
            <w:tcBorders>
              <w:top w:val="double" w:color="auto" w:sz="4" w:space="0"/>
              <w:left w:val="single" w:color="auto" w:sz="4" w:space="0"/>
              <w:bottom w:val="single" w:color="auto" w:sz="4" w:space="0"/>
              <w:right w:val="single" w:color="auto" w:sz="4" w:space="0"/>
            </w:tcBorders>
            <w:shd w:val="clear" w:color="auto" w:fill="FFFFFF"/>
            <w:vAlign w:val="center"/>
          </w:tcPr>
          <w:p w14:paraId="4A83054F">
            <w:pPr>
              <w:wordWrap w:val="0"/>
              <w:spacing w:line="40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考核项目</w:t>
            </w:r>
          </w:p>
        </w:tc>
        <w:tc>
          <w:tcPr>
            <w:tcW w:w="2994" w:type="pct"/>
            <w:tcBorders>
              <w:top w:val="double" w:color="auto" w:sz="4" w:space="0"/>
              <w:left w:val="single" w:color="auto" w:sz="4" w:space="0"/>
              <w:bottom w:val="single" w:color="auto" w:sz="4" w:space="0"/>
              <w:right w:val="single" w:color="auto" w:sz="4" w:space="0"/>
            </w:tcBorders>
            <w:shd w:val="clear" w:color="auto" w:fill="FFFFFF"/>
            <w:vAlign w:val="center"/>
          </w:tcPr>
          <w:p w14:paraId="45C69D43">
            <w:pPr>
              <w:wordWrap w:val="0"/>
              <w:spacing w:line="40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说       明</w:t>
            </w:r>
          </w:p>
        </w:tc>
        <w:tc>
          <w:tcPr>
            <w:tcW w:w="587" w:type="pct"/>
            <w:tcBorders>
              <w:top w:val="double" w:color="auto" w:sz="4" w:space="0"/>
              <w:left w:val="single" w:color="auto" w:sz="4" w:space="0"/>
              <w:bottom w:val="single" w:color="auto" w:sz="4" w:space="0"/>
              <w:right w:val="double" w:color="auto" w:sz="4" w:space="0"/>
            </w:tcBorders>
            <w:shd w:val="clear" w:color="auto" w:fill="FFFFFF"/>
            <w:vAlign w:val="center"/>
          </w:tcPr>
          <w:p w14:paraId="7B23049D">
            <w:pPr>
              <w:wordWrap w:val="0"/>
              <w:spacing w:line="40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标 准</w:t>
            </w:r>
          </w:p>
        </w:tc>
      </w:tr>
      <w:tr w14:paraId="3216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5F570F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029" w:type="pct"/>
            <w:tcBorders>
              <w:top w:val="single" w:color="auto" w:sz="4" w:space="0"/>
              <w:left w:val="single" w:color="auto" w:sz="4" w:space="0"/>
              <w:bottom w:val="single" w:color="auto" w:sz="4" w:space="0"/>
              <w:right w:val="single" w:color="auto" w:sz="4" w:space="0"/>
            </w:tcBorders>
            <w:vAlign w:val="center"/>
          </w:tcPr>
          <w:p w14:paraId="3181CCF5">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专题授课满意率</w:t>
            </w:r>
          </w:p>
        </w:tc>
        <w:tc>
          <w:tcPr>
            <w:tcW w:w="2994" w:type="pct"/>
            <w:tcBorders>
              <w:top w:val="single" w:color="auto" w:sz="4" w:space="0"/>
              <w:left w:val="single" w:color="auto" w:sz="4" w:space="0"/>
              <w:bottom w:val="single" w:color="auto" w:sz="4" w:space="0"/>
              <w:right w:val="single" w:color="auto" w:sz="4" w:space="0"/>
            </w:tcBorders>
            <w:vAlign w:val="center"/>
          </w:tcPr>
          <w:p w14:paraId="6F3F77C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综合评定达到合格的比率</w:t>
            </w:r>
          </w:p>
        </w:tc>
        <w:tc>
          <w:tcPr>
            <w:tcW w:w="587" w:type="pct"/>
            <w:tcBorders>
              <w:top w:val="single" w:color="auto" w:sz="4" w:space="0"/>
              <w:left w:val="single" w:color="auto" w:sz="4" w:space="0"/>
              <w:bottom w:val="single" w:color="auto" w:sz="4" w:space="0"/>
              <w:right w:val="double" w:color="auto" w:sz="4" w:space="0"/>
            </w:tcBorders>
            <w:vAlign w:val="center"/>
          </w:tcPr>
          <w:p w14:paraId="730144DD">
            <w:pPr>
              <w:wordWrap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≥90%</w:t>
            </w:r>
          </w:p>
        </w:tc>
      </w:tr>
      <w:tr w14:paraId="112C4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7FA7D40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1029" w:type="pct"/>
            <w:tcBorders>
              <w:top w:val="single" w:color="auto" w:sz="4" w:space="0"/>
              <w:left w:val="single" w:color="auto" w:sz="4" w:space="0"/>
              <w:bottom w:val="single" w:color="auto" w:sz="4" w:space="0"/>
              <w:right w:val="single" w:color="auto" w:sz="4" w:space="0"/>
            </w:tcBorders>
            <w:vAlign w:val="center"/>
          </w:tcPr>
          <w:p w14:paraId="2AEA082B">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服务满意率</w:t>
            </w:r>
          </w:p>
        </w:tc>
        <w:tc>
          <w:tcPr>
            <w:tcW w:w="2994" w:type="pct"/>
            <w:tcBorders>
              <w:top w:val="single" w:color="auto" w:sz="4" w:space="0"/>
              <w:left w:val="single" w:color="auto" w:sz="4" w:space="0"/>
              <w:bottom w:val="single" w:color="auto" w:sz="4" w:space="0"/>
              <w:right w:val="single" w:color="auto" w:sz="4" w:space="0"/>
            </w:tcBorders>
            <w:vAlign w:val="center"/>
          </w:tcPr>
          <w:p w14:paraId="3160D8EA">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餐饮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住宿满意</w:t>
            </w:r>
            <w:r>
              <w:rPr>
                <w:rFonts w:hint="eastAsia" w:ascii="宋体" w:hAnsi="宋体" w:eastAsia="宋体" w:cs="宋体"/>
                <w:color w:val="auto"/>
                <w:szCs w:val="21"/>
                <w:highlight w:val="none"/>
              </w:rPr>
              <w:t>率</w:t>
            </w:r>
          </w:p>
        </w:tc>
        <w:tc>
          <w:tcPr>
            <w:tcW w:w="587" w:type="pct"/>
            <w:tcBorders>
              <w:top w:val="single" w:color="auto" w:sz="4" w:space="0"/>
              <w:left w:val="single" w:color="auto" w:sz="4" w:space="0"/>
              <w:bottom w:val="single" w:color="auto" w:sz="4" w:space="0"/>
              <w:right w:val="double" w:color="auto" w:sz="4" w:space="0"/>
            </w:tcBorders>
            <w:vAlign w:val="center"/>
          </w:tcPr>
          <w:p w14:paraId="42E120B3">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≥90%</w:t>
            </w:r>
          </w:p>
        </w:tc>
      </w:tr>
      <w:tr w14:paraId="5F570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6A56089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1029" w:type="pct"/>
            <w:tcBorders>
              <w:top w:val="single" w:color="auto" w:sz="4" w:space="0"/>
              <w:left w:val="single" w:color="auto" w:sz="4" w:space="0"/>
              <w:bottom w:val="single" w:color="auto" w:sz="4" w:space="0"/>
              <w:right w:val="single" w:color="auto" w:sz="4" w:space="0"/>
            </w:tcBorders>
            <w:vAlign w:val="center"/>
          </w:tcPr>
          <w:p w14:paraId="62C96323">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有效投诉率</w:t>
            </w:r>
          </w:p>
        </w:tc>
        <w:tc>
          <w:tcPr>
            <w:tcW w:w="2994" w:type="pct"/>
            <w:tcBorders>
              <w:top w:val="single" w:color="auto" w:sz="4" w:space="0"/>
              <w:left w:val="single" w:color="auto" w:sz="4" w:space="0"/>
              <w:bottom w:val="single" w:color="auto" w:sz="4" w:space="0"/>
              <w:right w:val="single" w:color="auto" w:sz="4" w:space="0"/>
            </w:tcBorders>
            <w:vAlign w:val="center"/>
          </w:tcPr>
          <w:p w14:paraId="0387860B">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培训期间收到</w:t>
            </w:r>
            <w:r>
              <w:rPr>
                <w:rFonts w:hint="eastAsia" w:ascii="宋体" w:hAnsi="宋体" w:eastAsia="宋体" w:cs="宋体"/>
                <w:color w:val="auto"/>
                <w:szCs w:val="21"/>
                <w:highlight w:val="none"/>
              </w:rPr>
              <w:t>各类投诉的比率</w:t>
            </w:r>
          </w:p>
        </w:tc>
        <w:tc>
          <w:tcPr>
            <w:tcW w:w="587" w:type="pct"/>
            <w:tcBorders>
              <w:top w:val="single" w:color="auto" w:sz="4" w:space="0"/>
              <w:left w:val="single" w:color="auto" w:sz="4" w:space="0"/>
              <w:bottom w:val="single" w:color="auto" w:sz="4" w:space="0"/>
              <w:right w:val="double" w:color="auto" w:sz="4" w:space="0"/>
            </w:tcBorders>
            <w:vAlign w:val="center"/>
          </w:tcPr>
          <w:p w14:paraId="1A096AE8">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tc>
      </w:tr>
      <w:tr w14:paraId="5D161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059347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p>
        </w:tc>
        <w:tc>
          <w:tcPr>
            <w:tcW w:w="1029" w:type="pct"/>
            <w:tcBorders>
              <w:top w:val="single" w:color="auto" w:sz="4" w:space="0"/>
              <w:left w:val="single" w:color="auto" w:sz="4" w:space="0"/>
              <w:bottom w:val="single" w:color="auto" w:sz="4" w:space="0"/>
              <w:right w:val="single" w:color="auto" w:sz="4" w:space="0"/>
            </w:tcBorders>
            <w:vAlign w:val="center"/>
          </w:tcPr>
          <w:p w14:paraId="10C88515">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有效服务提供率</w:t>
            </w:r>
          </w:p>
        </w:tc>
        <w:tc>
          <w:tcPr>
            <w:tcW w:w="2994" w:type="pct"/>
            <w:tcBorders>
              <w:top w:val="single" w:color="auto" w:sz="4" w:space="0"/>
              <w:left w:val="single" w:color="auto" w:sz="4" w:space="0"/>
              <w:bottom w:val="single" w:color="auto" w:sz="4" w:space="0"/>
              <w:right w:val="single" w:color="auto" w:sz="4" w:space="0"/>
            </w:tcBorders>
            <w:vAlign w:val="center"/>
          </w:tcPr>
          <w:p w14:paraId="48FB10FE">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专题讲座完成率</w:t>
            </w:r>
          </w:p>
        </w:tc>
        <w:tc>
          <w:tcPr>
            <w:tcW w:w="587" w:type="pct"/>
            <w:tcBorders>
              <w:top w:val="single" w:color="auto" w:sz="4" w:space="0"/>
              <w:left w:val="single" w:color="auto" w:sz="4" w:space="0"/>
              <w:bottom w:val="single" w:color="auto" w:sz="4" w:space="0"/>
              <w:right w:val="double" w:color="auto" w:sz="4" w:space="0"/>
            </w:tcBorders>
            <w:vAlign w:val="center"/>
          </w:tcPr>
          <w:p w14:paraId="5DE81484">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100%</w:t>
            </w:r>
          </w:p>
        </w:tc>
      </w:tr>
      <w:tr w14:paraId="27C4C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7CA12C3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c>
          <w:tcPr>
            <w:tcW w:w="1029" w:type="pct"/>
            <w:tcBorders>
              <w:top w:val="single" w:color="auto" w:sz="4" w:space="0"/>
              <w:left w:val="single" w:color="auto" w:sz="4" w:space="0"/>
              <w:bottom w:val="single" w:color="auto" w:sz="4" w:space="0"/>
              <w:right w:val="single" w:color="auto" w:sz="4" w:space="0"/>
            </w:tcBorders>
            <w:vAlign w:val="center"/>
          </w:tcPr>
          <w:p w14:paraId="78DF7B1D">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服务响应时间</w:t>
            </w:r>
          </w:p>
        </w:tc>
        <w:tc>
          <w:tcPr>
            <w:tcW w:w="2994" w:type="pct"/>
            <w:tcBorders>
              <w:top w:val="single" w:color="auto" w:sz="4" w:space="0"/>
              <w:left w:val="single" w:color="auto" w:sz="4" w:space="0"/>
              <w:bottom w:val="single" w:color="auto" w:sz="4" w:space="0"/>
              <w:right w:val="single" w:color="auto" w:sz="4" w:space="0"/>
            </w:tcBorders>
            <w:vAlign w:val="center"/>
          </w:tcPr>
          <w:p w14:paraId="7D1AD863">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从接到服务指令到提供服务的时间</w:t>
            </w:r>
          </w:p>
        </w:tc>
        <w:tc>
          <w:tcPr>
            <w:tcW w:w="587" w:type="pct"/>
            <w:tcBorders>
              <w:top w:val="single" w:color="auto" w:sz="4" w:space="0"/>
              <w:left w:val="single" w:color="auto" w:sz="4" w:space="0"/>
              <w:bottom w:val="single" w:color="auto" w:sz="4" w:space="0"/>
              <w:right w:val="double" w:color="auto" w:sz="4" w:space="0"/>
            </w:tcBorders>
            <w:vAlign w:val="center"/>
          </w:tcPr>
          <w:p w14:paraId="30F9FD92">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1小时内</w:t>
            </w:r>
          </w:p>
        </w:tc>
      </w:tr>
      <w:tr w14:paraId="47C0A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single" w:color="auto" w:sz="4" w:space="0"/>
              <w:right w:val="single" w:color="auto" w:sz="4" w:space="0"/>
            </w:tcBorders>
            <w:vAlign w:val="center"/>
          </w:tcPr>
          <w:p w14:paraId="24E38AA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7</w:t>
            </w:r>
          </w:p>
        </w:tc>
        <w:tc>
          <w:tcPr>
            <w:tcW w:w="1029" w:type="pct"/>
            <w:tcBorders>
              <w:top w:val="single" w:color="auto" w:sz="4" w:space="0"/>
              <w:left w:val="single" w:color="auto" w:sz="4" w:space="0"/>
              <w:bottom w:val="single" w:color="auto" w:sz="4" w:space="0"/>
              <w:right w:val="single" w:color="auto" w:sz="4" w:space="0"/>
            </w:tcBorders>
            <w:vAlign w:val="center"/>
          </w:tcPr>
          <w:p w14:paraId="1B1BEAF2">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服务规范率</w:t>
            </w:r>
          </w:p>
        </w:tc>
        <w:tc>
          <w:tcPr>
            <w:tcW w:w="2994" w:type="pct"/>
            <w:tcBorders>
              <w:top w:val="single" w:color="auto" w:sz="4" w:space="0"/>
              <w:left w:val="single" w:color="auto" w:sz="4" w:space="0"/>
              <w:bottom w:val="single" w:color="auto" w:sz="4" w:space="0"/>
              <w:right w:val="single" w:color="auto" w:sz="4" w:space="0"/>
            </w:tcBorders>
            <w:vAlign w:val="center"/>
          </w:tcPr>
          <w:p w14:paraId="7C6218DC">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仪容仪表以及礼貌用语等各项服务态度</w:t>
            </w:r>
          </w:p>
        </w:tc>
        <w:tc>
          <w:tcPr>
            <w:tcW w:w="587" w:type="pct"/>
            <w:tcBorders>
              <w:top w:val="single" w:color="auto" w:sz="4" w:space="0"/>
              <w:left w:val="single" w:color="auto" w:sz="4" w:space="0"/>
              <w:bottom w:val="single" w:color="auto" w:sz="4" w:space="0"/>
              <w:right w:val="double" w:color="auto" w:sz="4" w:space="0"/>
            </w:tcBorders>
            <w:vAlign w:val="center"/>
          </w:tcPr>
          <w:p w14:paraId="6E57BF20">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≥95%</w:t>
            </w:r>
          </w:p>
        </w:tc>
      </w:tr>
      <w:tr w14:paraId="459CB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 w:type="pct"/>
            <w:tcBorders>
              <w:top w:val="single" w:color="auto" w:sz="4" w:space="0"/>
              <w:left w:val="double" w:color="auto" w:sz="4" w:space="0"/>
              <w:bottom w:val="double" w:color="auto" w:sz="4" w:space="0"/>
              <w:right w:val="single" w:color="auto" w:sz="4" w:space="0"/>
            </w:tcBorders>
            <w:vAlign w:val="center"/>
          </w:tcPr>
          <w:p w14:paraId="785D4BF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029" w:type="pct"/>
            <w:tcBorders>
              <w:top w:val="single" w:color="auto" w:sz="4" w:space="0"/>
              <w:left w:val="single" w:color="auto" w:sz="4" w:space="0"/>
              <w:bottom w:val="double" w:color="auto" w:sz="4" w:space="0"/>
              <w:right w:val="single" w:color="auto" w:sz="4" w:space="0"/>
            </w:tcBorders>
            <w:vAlign w:val="center"/>
          </w:tcPr>
          <w:p w14:paraId="5E9DB25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安全</w:t>
            </w:r>
            <w:r>
              <w:rPr>
                <w:rFonts w:hint="eastAsia" w:ascii="宋体" w:hAnsi="宋体" w:eastAsia="宋体" w:cs="宋体"/>
                <w:color w:val="auto"/>
                <w:szCs w:val="21"/>
                <w:highlight w:val="none"/>
                <w:lang w:eastAsia="zh-CN"/>
              </w:rPr>
              <w:t>性</w:t>
            </w:r>
          </w:p>
        </w:tc>
        <w:tc>
          <w:tcPr>
            <w:tcW w:w="2994" w:type="pct"/>
            <w:tcBorders>
              <w:top w:val="single" w:color="auto" w:sz="4" w:space="0"/>
              <w:left w:val="single" w:color="auto" w:sz="4" w:space="0"/>
              <w:bottom w:val="double" w:color="auto" w:sz="4" w:space="0"/>
              <w:right w:val="single" w:color="auto" w:sz="4" w:space="0"/>
            </w:tcBorders>
            <w:vAlign w:val="center"/>
          </w:tcPr>
          <w:p w14:paraId="68F80053">
            <w:pPr>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培训行程</w:t>
            </w:r>
            <w:r>
              <w:rPr>
                <w:rFonts w:hint="eastAsia" w:ascii="宋体" w:hAnsi="宋体" w:eastAsia="宋体" w:cs="宋体"/>
                <w:color w:val="auto"/>
                <w:szCs w:val="21"/>
                <w:highlight w:val="none"/>
              </w:rPr>
              <w:t>中不出现任何安全事故</w:t>
            </w:r>
          </w:p>
        </w:tc>
        <w:tc>
          <w:tcPr>
            <w:tcW w:w="587" w:type="pct"/>
            <w:tcBorders>
              <w:top w:val="single" w:color="auto" w:sz="4" w:space="0"/>
              <w:left w:val="single" w:color="auto" w:sz="4" w:space="0"/>
              <w:bottom w:val="double" w:color="auto" w:sz="4" w:space="0"/>
              <w:right w:val="double" w:color="auto" w:sz="4" w:space="0"/>
            </w:tcBorders>
            <w:vAlign w:val="center"/>
          </w:tcPr>
          <w:p w14:paraId="20054C81">
            <w:pPr>
              <w:wordWrap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=100%</w:t>
            </w:r>
          </w:p>
        </w:tc>
      </w:tr>
    </w:tbl>
    <w:p w14:paraId="7DDAA31A">
      <w:pPr>
        <w:bidi w:val="0"/>
        <w:rPr>
          <w:rFonts w:hint="eastAsia"/>
          <w:color w:val="auto"/>
          <w:highlight w:val="none"/>
        </w:rPr>
      </w:pPr>
    </w:p>
    <w:p w14:paraId="01CC91BE">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验收</w:t>
      </w:r>
    </w:p>
    <w:p w14:paraId="34E1887E">
      <w:pPr>
        <w:bidi w:val="0"/>
        <w:spacing w:line="360" w:lineRule="auto"/>
        <w:ind w:firstLine="420" w:firstLineChars="200"/>
        <w:rPr>
          <w:rFonts w:hint="default" w:eastAsia="宋体"/>
          <w:color w:val="auto"/>
          <w:highlight w:val="none"/>
          <w:lang w:val="en-US" w:eastAsia="zh-CN"/>
        </w:rPr>
      </w:pPr>
      <w:r>
        <w:rPr>
          <w:rFonts w:hint="eastAsia" w:eastAsia="宋体"/>
          <w:color w:val="auto"/>
          <w:highlight w:val="none"/>
          <w:lang w:val="en-US" w:eastAsia="zh-CN"/>
        </w:rPr>
        <w:t>由采购人</w:t>
      </w:r>
      <w:r>
        <w:rPr>
          <w:rFonts w:hint="eastAsia"/>
          <w:color w:val="auto"/>
          <w:highlight w:val="none"/>
          <w:lang w:val="en-US" w:eastAsia="zh-CN"/>
        </w:rPr>
        <w:t>按预设质量标准</w:t>
      </w:r>
      <w:r>
        <w:rPr>
          <w:rFonts w:hint="eastAsia" w:eastAsia="宋体"/>
          <w:color w:val="auto"/>
          <w:highlight w:val="none"/>
          <w:lang w:val="en-US" w:eastAsia="zh-CN"/>
        </w:rPr>
        <w:t>自行组织</w:t>
      </w:r>
      <w:r>
        <w:rPr>
          <w:rFonts w:hint="eastAsia"/>
          <w:color w:val="auto"/>
          <w:highlight w:val="none"/>
          <w:lang w:val="en-US" w:eastAsia="zh-CN"/>
        </w:rPr>
        <w:t>验收。</w:t>
      </w:r>
    </w:p>
    <w:p w14:paraId="1E8B512C">
      <w:pPr>
        <w:keepNext w:val="0"/>
        <w:keepLines w:val="0"/>
        <w:pageBreakBefore w:val="0"/>
        <w:widowControl/>
        <w:numPr>
          <w:ilvl w:val="0"/>
          <w:numId w:val="9"/>
        </w:numPr>
        <w:kinsoku/>
        <w:wordWrap/>
        <w:overflowPunct/>
        <w:topLinePunct w:val="0"/>
        <w:autoSpaceDE/>
        <w:autoSpaceDN/>
        <w:bidi w:val="0"/>
        <w:adjustRightInd/>
        <w:snapToGrid/>
        <w:spacing w:before="120" w:after="120" w:line="360" w:lineRule="auto"/>
        <w:ind w:left="0" w:leftChars="0" w:firstLine="420" w:firstLineChars="0"/>
        <w:textAlignment w:val="auto"/>
        <w:outlineLvl w:val="1"/>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p w14:paraId="327C9961">
      <w:pPr>
        <w:bidi w:val="0"/>
        <w:spacing w:line="360" w:lineRule="auto"/>
        <w:ind w:firstLine="420" w:firstLineChars="200"/>
        <w:rPr>
          <w:rFonts w:hint="default"/>
          <w:color w:val="auto"/>
          <w:highlight w:val="none"/>
          <w:lang w:val="en-US" w:eastAsia="zh-CN"/>
        </w:rPr>
      </w:pPr>
      <w:r>
        <w:rPr>
          <w:rFonts w:hint="eastAsia" w:ascii="Times New Roman" w:eastAsia="宋体"/>
          <w:color w:val="auto"/>
          <w:highlight w:val="none"/>
          <w:lang w:val="en-US" w:eastAsia="zh-CN"/>
        </w:rPr>
        <w:t>全部培训内容后，据实结算，依据具体学员的人数以及学员调查表</w:t>
      </w:r>
      <w:r>
        <w:rPr>
          <w:rFonts w:hint="eastAsia"/>
          <w:color w:val="auto"/>
          <w:highlight w:val="none"/>
          <w:lang w:val="en-US" w:eastAsia="zh-CN"/>
        </w:rPr>
        <w:t>一次性支付，</w:t>
      </w:r>
      <w:r>
        <w:rPr>
          <w:rFonts w:hint="eastAsia"/>
          <w:color w:val="auto"/>
          <w:highlight w:val="none"/>
        </w:rPr>
        <w:t>未达到</w:t>
      </w:r>
      <w:r>
        <w:rPr>
          <w:rFonts w:hint="eastAsia" w:eastAsia="宋体"/>
          <w:color w:val="auto"/>
          <w:highlight w:val="none"/>
          <w:lang w:eastAsia="zh-CN"/>
        </w:rPr>
        <w:t>第</w:t>
      </w:r>
      <w:r>
        <w:rPr>
          <w:rFonts w:hint="eastAsia" w:ascii="Times New Roman" w:eastAsia="宋体"/>
          <w:color w:val="auto"/>
          <w:highlight w:val="none"/>
          <w:lang w:val="en-US" w:eastAsia="zh-CN"/>
        </w:rPr>
        <w:t>五</w:t>
      </w:r>
      <w:r>
        <w:rPr>
          <w:rFonts w:hint="eastAsia" w:eastAsia="宋体"/>
          <w:color w:val="auto"/>
          <w:highlight w:val="none"/>
          <w:lang w:eastAsia="zh-CN"/>
        </w:rPr>
        <w:t>条款质量</w:t>
      </w:r>
      <w:r>
        <w:rPr>
          <w:rFonts w:hint="eastAsia" w:ascii="Times New Roman" w:eastAsia="宋体"/>
          <w:color w:val="auto"/>
          <w:highlight w:val="none"/>
          <w:lang w:val="en-US" w:eastAsia="zh-CN"/>
        </w:rPr>
        <w:t>验收</w:t>
      </w:r>
      <w:r>
        <w:rPr>
          <w:rFonts w:hint="eastAsia"/>
          <w:color w:val="auto"/>
          <w:highlight w:val="none"/>
        </w:rPr>
        <w:t>标准</w:t>
      </w:r>
      <w:r>
        <w:rPr>
          <w:rFonts w:hint="eastAsia" w:ascii="Times New Roman" w:eastAsia="宋体"/>
          <w:color w:val="auto"/>
          <w:highlight w:val="none"/>
          <w:lang w:val="en-US" w:eastAsia="zh-CN"/>
        </w:rPr>
        <w:t>的</w:t>
      </w:r>
      <w:r>
        <w:rPr>
          <w:rFonts w:hint="eastAsia" w:eastAsia="宋体"/>
          <w:color w:val="auto"/>
          <w:highlight w:val="none"/>
          <w:lang w:eastAsia="zh-CN"/>
        </w:rPr>
        <w:t>，</w:t>
      </w:r>
      <w:r>
        <w:rPr>
          <w:rFonts w:hint="eastAsia" w:ascii="Times New Roman" w:eastAsia="宋体"/>
          <w:color w:val="auto"/>
          <w:highlight w:val="none"/>
          <w:lang w:val="en-US" w:eastAsia="zh-CN"/>
        </w:rPr>
        <w:t>预设标准经考核验收后，每少一个</w:t>
      </w:r>
      <w:r>
        <w:rPr>
          <w:rFonts w:hint="eastAsia"/>
          <w:color w:val="auto"/>
          <w:highlight w:val="none"/>
        </w:rPr>
        <w:t>百分点扣</w:t>
      </w:r>
      <w:r>
        <w:rPr>
          <w:rFonts w:hint="eastAsia" w:ascii="Times New Roman" w:eastAsia="宋体"/>
          <w:color w:val="auto"/>
          <w:highlight w:val="none"/>
          <w:lang w:val="en-US" w:eastAsia="zh-CN"/>
        </w:rPr>
        <w:t>5</w:t>
      </w:r>
      <w:r>
        <w:rPr>
          <w:rFonts w:hint="eastAsia"/>
          <w:color w:val="auto"/>
          <w:highlight w:val="none"/>
        </w:rPr>
        <w:t>00元</w:t>
      </w:r>
      <w:r>
        <w:rPr>
          <w:rFonts w:hint="eastAsia" w:ascii="Times New Roman" w:eastAsia="宋体"/>
          <w:color w:val="auto"/>
          <w:highlight w:val="none"/>
          <w:lang w:val="en-US" w:eastAsia="zh-CN"/>
        </w:rPr>
        <w:t>。</w:t>
      </w:r>
    </w:p>
    <w:p w14:paraId="64839970">
      <w:pPr>
        <w:bidi w:val="0"/>
        <w:rPr>
          <w:rFonts w:hint="eastAsia"/>
          <w:color w:val="auto"/>
          <w:highlight w:val="none"/>
        </w:rPr>
      </w:pPr>
    </w:p>
    <w:p w14:paraId="0DA2B30B">
      <w:pPr>
        <w:pStyle w:val="9"/>
        <w:rPr>
          <w:rFonts w:hint="eastAsia"/>
          <w:color w:val="auto"/>
          <w:highlight w:val="none"/>
          <w:lang w:eastAsia="zh-CN"/>
        </w:rPr>
      </w:pPr>
    </w:p>
    <w:p w14:paraId="57EBB878">
      <w:pPr>
        <w:rPr>
          <w:color w:val="auto"/>
          <w:highlight w:val="none"/>
        </w:rPr>
        <w:sectPr>
          <w:footerReference r:id="rId5" w:type="default"/>
          <w:pgSz w:w="11906" w:h="16838"/>
          <w:pgMar w:top="1587" w:right="1474" w:bottom="1474" w:left="1587" w:header="851" w:footer="992" w:gutter="0"/>
          <w:pgNumType w:fmt="decimal"/>
          <w:cols w:space="0" w:num="1"/>
          <w:docGrid w:linePitch="312" w:charSpace="0"/>
        </w:sectPr>
      </w:pPr>
    </w:p>
    <w:p w14:paraId="636DA19F">
      <w:pPr>
        <w:numPr>
          <w:ilvl w:val="0"/>
          <w:numId w:val="8"/>
        </w:numPr>
        <w:adjustRightInd w:val="0"/>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 xml:space="preserve"> 响应文件格式</w:t>
      </w:r>
    </w:p>
    <w:p w14:paraId="685FA12C">
      <w:pPr>
        <w:pStyle w:val="9"/>
        <w:rPr>
          <w:color w:val="auto"/>
          <w:highlight w:val="none"/>
        </w:rPr>
      </w:pPr>
    </w:p>
    <w:p w14:paraId="52D5F31F">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提交文件须知</w:t>
      </w:r>
    </w:p>
    <w:p w14:paraId="206E87C9">
      <w:pPr>
        <w:spacing w:line="360" w:lineRule="auto"/>
        <w:jc w:val="center"/>
        <w:rPr>
          <w:rFonts w:ascii="宋体" w:hAnsi="宋体" w:cs="宋体"/>
          <w:b/>
          <w:color w:val="auto"/>
          <w:szCs w:val="21"/>
          <w:highlight w:val="none"/>
        </w:rPr>
      </w:pPr>
    </w:p>
    <w:p w14:paraId="4B02B197">
      <w:pPr>
        <w:numPr>
          <w:ilvl w:val="0"/>
          <w:numId w:val="13"/>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本章内容仅提供格式要求，并不代表所有列出格式的文件本项目全部必须提交。本项目需提交的商务、技术文件应以【须知前附表】及第四章内容为准。</w:t>
      </w:r>
    </w:p>
    <w:p w14:paraId="0BF62A9D">
      <w:pPr>
        <w:numPr>
          <w:ilvl w:val="0"/>
          <w:numId w:val="13"/>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供应商应严格按照要求制作响应文件。全部文件应按须知规定的语言和份数提交。</w:t>
      </w:r>
    </w:p>
    <w:p w14:paraId="5513CD94">
      <w:pPr>
        <w:numPr>
          <w:ilvl w:val="0"/>
          <w:numId w:val="13"/>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响应文件应按照磋商文件的格式逐项填写，无相应内容可填的项应填写“无”、“未测试”、“没有相应指标”等明确的回答文字。</w:t>
      </w:r>
    </w:p>
    <w:p w14:paraId="6A62DB45">
      <w:pPr>
        <w:pStyle w:val="9"/>
        <w:numPr>
          <w:ilvl w:val="0"/>
          <w:numId w:val="13"/>
        </w:numPr>
        <w:spacing w:line="360" w:lineRule="auto"/>
        <w:rPr>
          <w:color w:val="auto"/>
          <w:highlight w:val="none"/>
        </w:rPr>
      </w:pPr>
      <w:r>
        <w:rPr>
          <w:rFonts w:hint="eastAsia" w:ascii="宋体" w:hAnsi="宋体" w:cs="宋体"/>
          <w:color w:val="auto"/>
          <w:szCs w:val="21"/>
          <w:highlight w:val="none"/>
        </w:rPr>
        <w:t>第二分册仅用于采购人与代理</w:t>
      </w:r>
      <w:r>
        <w:rPr>
          <w:rFonts w:hint="eastAsia" w:ascii="宋体" w:hAnsi="宋体" w:cs="宋体"/>
          <w:color w:val="auto"/>
          <w:szCs w:val="21"/>
          <w:highlight w:val="none"/>
          <w:lang w:eastAsia="zh-CN"/>
        </w:rPr>
        <w:t>机构做</w:t>
      </w:r>
      <w:r>
        <w:rPr>
          <w:rFonts w:hint="eastAsia" w:ascii="宋体" w:hAnsi="宋体" w:cs="宋体"/>
          <w:color w:val="auto"/>
          <w:szCs w:val="21"/>
          <w:highlight w:val="none"/>
        </w:rPr>
        <w:t>资格合格性审查，磋商文件中评分表中所列的各项因素内容均应当按材料格式要求编制进第一册（商务技术分册）中，磋商小组仅根据供应商编制的第一册内容进行澄清、磋商与评分，未按要求列入该册中，会导致扣分或响应被拒绝！</w:t>
      </w:r>
    </w:p>
    <w:p w14:paraId="541166F4">
      <w:pPr>
        <w:numPr>
          <w:ilvl w:val="0"/>
          <w:numId w:val="13"/>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供应商可编制资格审查索引表、评审索引表，并将评审索引表置于第一册 商务技术文件的第一页，将资格审查索引表置于第二册 资格证明文件的第一页，以便磋商小组、采购人及采购代理机构评审与审查。</w:t>
      </w:r>
    </w:p>
    <w:p w14:paraId="57AC7E83">
      <w:pPr>
        <w:numPr>
          <w:ilvl w:val="0"/>
          <w:numId w:val="13"/>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本章响应声明及资格声明应当按磋商文件提供的格式除可填报信息外不加任何内容修改地提供，证明资料的复印件应加盖供应商单位章，否则，响应无效。</w:t>
      </w:r>
    </w:p>
    <w:p w14:paraId="02837D2D">
      <w:pPr>
        <w:pStyle w:val="9"/>
        <w:rPr>
          <w:rFonts w:ascii="宋体" w:hAnsi="宋体" w:cs="宋体"/>
          <w:color w:val="auto"/>
          <w:szCs w:val="21"/>
          <w:highlight w:val="none"/>
        </w:rPr>
      </w:pPr>
    </w:p>
    <w:p w14:paraId="6DFAAED7">
      <w:pPr>
        <w:pStyle w:val="29"/>
        <w:rPr>
          <w:rFonts w:ascii="宋体" w:hAnsi="宋体" w:cs="宋体"/>
          <w:color w:val="auto"/>
          <w:szCs w:val="21"/>
          <w:highlight w:val="none"/>
        </w:rPr>
      </w:pPr>
    </w:p>
    <w:p w14:paraId="2E8D2606">
      <w:pPr>
        <w:rPr>
          <w:rFonts w:ascii="宋体" w:hAnsi="宋体" w:cs="宋体"/>
          <w:color w:val="auto"/>
          <w:szCs w:val="21"/>
          <w:highlight w:val="none"/>
        </w:rPr>
      </w:pPr>
    </w:p>
    <w:p w14:paraId="38739550">
      <w:pPr>
        <w:pStyle w:val="9"/>
        <w:rPr>
          <w:rFonts w:ascii="宋体" w:hAnsi="宋体" w:cs="宋体"/>
          <w:color w:val="auto"/>
          <w:szCs w:val="21"/>
          <w:highlight w:val="none"/>
        </w:rPr>
      </w:pPr>
    </w:p>
    <w:p w14:paraId="3F40959B">
      <w:pPr>
        <w:pStyle w:val="29"/>
        <w:rPr>
          <w:rFonts w:ascii="宋体" w:hAnsi="宋体" w:cs="宋体"/>
          <w:color w:val="auto"/>
          <w:szCs w:val="21"/>
          <w:highlight w:val="none"/>
        </w:rPr>
      </w:pPr>
    </w:p>
    <w:p w14:paraId="76F015B4">
      <w:pPr>
        <w:rPr>
          <w:color w:val="auto"/>
          <w:highlight w:val="none"/>
        </w:rPr>
      </w:pPr>
    </w:p>
    <w:p w14:paraId="0A8475E7">
      <w:pPr>
        <w:pStyle w:val="12"/>
        <w:adjustRightInd w:val="0"/>
        <w:snapToGrid w:val="0"/>
        <w:jc w:val="center"/>
        <w:rPr>
          <w:color w:val="auto"/>
          <w:highlight w:val="none"/>
        </w:rPr>
      </w:pPr>
    </w:p>
    <w:p w14:paraId="77BBF533">
      <w:pPr>
        <w:pStyle w:val="12"/>
        <w:adjustRightInd w:val="0"/>
        <w:snapToGrid w:val="0"/>
        <w:jc w:val="center"/>
        <w:rPr>
          <w:color w:val="auto"/>
          <w:highlight w:val="none"/>
        </w:rPr>
      </w:pPr>
    </w:p>
    <w:p w14:paraId="4DFDB42A">
      <w:pPr>
        <w:pStyle w:val="12"/>
        <w:adjustRightInd w:val="0"/>
        <w:snapToGrid w:val="0"/>
        <w:jc w:val="center"/>
        <w:rPr>
          <w:color w:val="auto"/>
          <w:highlight w:val="none"/>
        </w:rPr>
      </w:pPr>
    </w:p>
    <w:p w14:paraId="4B368EED">
      <w:pPr>
        <w:pStyle w:val="12"/>
        <w:adjustRightInd w:val="0"/>
        <w:snapToGrid w:val="0"/>
        <w:jc w:val="center"/>
        <w:rPr>
          <w:color w:val="auto"/>
          <w:highlight w:val="none"/>
        </w:rPr>
      </w:pPr>
    </w:p>
    <w:p w14:paraId="0811BB63">
      <w:pPr>
        <w:pStyle w:val="12"/>
        <w:adjustRightInd w:val="0"/>
        <w:snapToGrid w:val="0"/>
        <w:jc w:val="center"/>
        <w:rPr>
          <w:color w:val="auto"/>
          <w:highlight w:val="none"/>
        </w:rPr>
      </w:pPr>
    </w:p>
    <w:p w14:paraId="02B1E0BE">
      <w:pPr>
        <w:pStyle w:val="12"/>
        <w:adjustRightInd w:val="0"/>
        <w:snapToGrid w:val="0"/>
        <w:jc w:val="center"/>
        <w:rPr>
          <w:color w:val="auto"/>
          <w:highlight w:val="none"/>
        </w:rPr>
      </w:pPr>
    </w:p>
    <w:p w14:paraId="45AE13B7">
      <w:pPr>
        <w:pStyle w:val="12"/>
        <w:adjustRightInd w:val="0"/>
        <w:snapToGrid w:val="0"/>
        <w:jc w:val="center"/>
        <w:rPr>
          <w:color w:val="auto"/>
          <w:highlight w:val="none"/>
        </w:rPr>
      </w:pPr>
    </w:p>
    <w:p w14:paraId="4C36BAB5">
      <w:pPr>
        <w:pStyle w:val="12"/>
        <w:adjustRightInd w:val="0"/>
        <w:snapToGrid w:val="0"/>
        <w:jc w:val="center"/>
        <w:rPr>
          <w:color w:val="auto"/>
          <w:highlight w:val="none"/>
        </w:rPr>
      </w:pPr>
    </w:p>
    <w:p w14:paraId="71520FD6">
      <w:pPr>
        <w:pStyle w:val="12"/>
        <w:adjustRightInd w:val="0"/>
        <w:snapToGrid w:val="0"/>
        <w:jc w:val="center"/>
        <w:rPr>
          <w:color w:val="auto"/>
          <w:highlight w:val="none"/>
        </w:rPr>
      </w:pPr>
    </w:p>
    <w:p w14:paraId="69E21986">
      <w:pPr>
        <w:pStyle w:val="12"/>
        <w:adjustRightInd w:val="0"/>
        <w:snapToGrid w:val="0"/>
        <w:jc w:val="center"/>
        <w:rPr>
          <w:color w:val="auto"/>
          <w:highlight w:val="none"/>
        </w:rPr>
      </w:pPr>
    </w:p>
    <w:p w14:paraId="75385459">
      <w:pPr>
        <w:pStyle w:val="12"/>
        <w:adjustRightInd w:val="0"/>
        <w:snapToGrid w:val="0"/>
        <w:jc w:val="center"/>
        <w:rPr>
          <w:color w:val="auto"/>
          <w:highlight w:val="none"/>
        </w:rPr>
      </w:pPr>
    </w:p>
    <w:p w14:paraId="39A4A20D">
      <w:pPr>
        <w:pStyle w:val="12"/>
        <w:adjustRightInd w:val="0"/>
        <w:snapToGrid w:val="0"/>
        <w:jc w:val="center"/>
        <w:rPr>
          <w:rFonts w:hAnsi="宋体" w:cs="宋体"/>
          <w:bCs/>
          <w:color w:val="auto"/>
          <w:sz w:val="84"/>
          <w:szCs w:val="84"/>
          <w:highlight w:val="none"/>
        </w:rPr>
      </w:pPr>
      <w:r>
        <w:rPr>
          <w:color w:val="auto"/>
          <w:highlight w:val="none"/>
        </w:rPr>
        <w:br w:type="page"/>
      </w:r>
    </w:p>
    <w:p w14:paraId="1156CA08">
      <w:pPr>
        <w:pStyle w:val="12"/>
        <w:adjustRightInd w:val="0"/>
        <w:snapToGrid w:val="0"/>
        <w:jc w:val="center"/>
        <w:rPr>
          <w:rFonts w:hAnsi="宋体" w:cs="宋体"/>
          <w:bCs/>
          <w:color w:val="auto"/>
          <w:sz w:val="84"/>
          <w:szCs w:val="84"/>
          <w:highlight w:val="none"/>
        </w:rPr>
      </w:pPr>
    </w:p>
    <w:p w14:paraId="2D0269AB">
      <w:pPr>
        <w:pStyle w:val="12"/>
        <w:adjustRightInd w:val="0"/>
        <w:snapToGrid w:val="0"/>
        <w:jc w:val="center"/>
        <w:rPr>
          <w:rFonts w:hAnsi="宋体" w:cs="宋体"/>
          <w:bCs/>
          <w:color w:val="auto"/>
          <w:sz w:val="84"/>
          <w:szCs w:val="84"/>
          <w:highlight w:val="none"/>
        </w:rPr>
      </w:pPr>
      <w:r>
        <w:rPr>
          <w:rFonts w:hint="eastAsia" w:hAnsi="宋体" w:cs="宋体"/>
          <w:bCs/>
          <w:color w:val="auto"/>
          <w:sz w:val="84"/>
          <w:szCs w:val="84"/>
          <w:highlight w:val="none"/>
        </w:rPr>
        <w:t>政府采购</w:t>
      </w:r>
    </w:p>
    <w:p w14:paraId="192D49FE">
      <w:pPr>
        <w:adjustRightInd w:val="0"/>
        <w:snapToGrid w:val="0"/>
        <w:jc w:val="center"/>
        <w:rPr>
          <w:rFonts w:ascii="宋体" w:hAnsi="宋体" w:cs="宋体"/>
          <w:bCs/>
          <w:color w:val="auto"/>
          <w:sz w:val="52"/>
          <w:szCs w:val="52"/>
          <w:highlight w:val="none"/>
        </w:rPr>
      </w:pPr>
    </w:p>
    <w:p w14:paraId="4C515FDF">
      <w:pPr>
        <w:adjustRightInd w:val="0"/>
        <w:snapToGrid w:val="0"/>
        <w:jc w:val="center"/>
        <w:rPr>
          <w:rFonts w:ascii="宋体" w:hAnsi="宋体" w:cs="宋体"/>
          <w:bCs/>
          <w:color w:val="auto"/>
          <w:sz w:val="52"/>
          <w:szCs w:val="52"/>
          <w:highlight w:val="none"/>
        </w:rPr>
      </w:pPr>
      <w:r>
        <w:rPr>
          <w:rFonts w:hint="eastAsia" w:ascii="宋体" w:hAnsi="宋体" w:cs="宋体"/>
          <w:bCs/>
          <w:color w:val="auto"/>
          <w:sz w:val="52"/>
          <w:szCs w:val="52"/>
          <w:highlight w:val="none"/>
        </w:rPr>
        <w:t>竞争性磋商响应文件</w:t>
      </w:r>
    </w:p>
    <w:p w14:paraId="09966430">
      <w:pPr>
        <w:pStyle w:val="9"/>
        <w:rPr>
          <w:color w:val="auto"/>
          <w:highlight w:val="none"/>
        </w:rPr>
      </w:pPr>
    </w:p>
    <w:p w14:paraId="4836B2FD">
      <w:pPr>
        <w:pStyle w:val="3"/>
        <w:adjustRightInd w:val="0"/>
        <w:snapToGrid w:val="0"/>
        <w:jc w:val="center"/>
        <w:rPr>
          <w:rFonts w:ascii="宋体" w:hAnsi="宋体" w:cs="宋体"/>
          <w:color w:val="auto"/>
          <w:sz w:val="30"/>
          <w:szCs w:val="30"/>
          <w:highlight w:val="none"/>
        </w:rPr>
      </w:pPr>
      <w:bookmarkStart w:id="0" w:name="_Toc528307194"/>
      <w:r>
        <w:rPr>
          <w:rFonts w:hint="eastAsia" w:ascii="宋体" w:hAnsi="宋体" w:cs="宋体"/>
          <w:color w:val="auto"/>
          <w:sz w:val="30"/>
          <w:szCs w:val="30"/>
          <w:highlight w:val="none"/>
        </w:rPr>
        <w:t>第一册 商务技术文件</w:t>
      </w:r>
      <w:bookmarkEnd w:id="0"/>
    </w:p>
    <w:p w14:paraId="629DCE7C">
      <w:pPr>
        <w:adjustRightInd w:val="0"/>
        <w:snapToGrid w:val="0"/>
        <w:spacing w:line="360" w:lineRule="auto"/>
        <w:rPr>
          <w:rFonts w:ascii="宋体" w:hAnsi="宋体" w:cs="宋体"/>
          <w:color w:val="auto"/>
          <w:sz w:val="32"/>
          <w:szCs w:val="32"/>
          <w:highlight w:val="none"/>
        </w:rPr>
      </w:pPr>
    </w:p>
    <w:tbl>
      <w:tblPr>
        <w:tblStyle w:val="22"/>
        <w:tblpPr w:leftFromText="180" w:rightFromText="180" w:vertAnchor="text" w:horzAnchor="page" w:tblpX="1958" w:tblpY="601"/>
        <w:tblOverlap w:val="never"/>
        <w:tblW w:w="8739"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930"/>
        <w:gridCol w:w="5809"/>
      </w:tblGrid>
      <w:tr w14:paraId="5B2EC9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55" w:hRule="exact"/>
        </w:trPr>
        <w:tc>
          <w:tcPr>
            <w:tcW w:w="2930" w:type="dxa"/>
            <w:vAlign w:val="center"/>
          </w:tcPr>
          <w:p w14:paraId="36F0150A">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采购项目名称:</w:t>
            </w:r>
          </w:p>
        </w:tc>
        <w:tc>
          <w:tcPr>
            <w:tcW w:w="5809" w:type="dxa"/>
            <w:vAlign w:val="center"/>
          </w:tcPr>
          <w:p w14:paraId="7A99793D">
            <w:pPr>
              <w:pStyle w:val="12"/>
              <w:adjustRightInd w:val="0"/>
              <w:snapToGrid w:val="0"/>
              <w:spacing w:line="480" w:lineRule="auto"/>
              <w:rPr>
                <w:rFonts w:hAnsi="宋体" w:cs="宋体"/>
                <w:b/>
                <w:color w:val="auto"/>
                <w:sz w:val="28"/>
                <w:szCs w:val="32"/>
                <w:highlight w:val="none"/>
                <w:u w:val="single"/>
              </w:rPr>
            </w:pPr>
          </w:p>
        </w:tc>
      </w:tr>
      <w:tr w14:paraId="47DFB0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22661FF7">
            <w:pPr>
              <w:pStyle w:val="12"/>
              <w:adjustRightInd w:val="0"/>
              <w:snapToGrid w:val="0"/>
              <w:spacing w:line="480" w:lineRule="auto"/>
              <w:ind w:left="1819" w:leftChars="331" w:hanging="1124" w:hangingChars="400"/>
              <w:rPr>
                <w:rFonts w:hAnsi="宋体" w:cs="宋体"/>
                <w:color w:val="auto"/>
                <w:highlight w:val="none"/>
              </w:rPr>
            </w:pPr>
            <w:r>
              <w:rPr>
                <w:rFonts w:hint="eastAsia" w:hAnsi="宋体" w:cs="宋体"/>
                <w:b/>
                <w:color w:val="auto"/>
                <w:sz w:val="28"/>
                <w:szCs w:val="32"/>
                <w:highlight w:val="none"/>
              </w:rPr>
              <w:t>采   购   人:</w:t>
            </w:r>
          </w:p>
        </w:tc>
        <w:tc>
          <w:tcPr>
            <w:tcW w:w="5809" w:type="dxa"/>
            <w:vAlign w:val="center"/>
          </w:tcPr>
          <w:p w14:paraId="3950779E">
            <w:pPr>
              <w:pStyle w:val="12"/>
              <w:adjustRightInd w:val="0"/>
              <w:snapToGrid w:val="0"/>
              <w:spacing w:line="480" w:lineRule="auto"/>
              <w:rPr>
                <w:rFonts w:hAnsi="宋体" w:cs="宋体"/>
                <w:b/>
                <w:color w:val="auto"/>
                <w:sz w:val="28"/>
                <w:szCs w:val="32"/>
                <w:highlight w:val="none"/>
                <w:u w:val="single"/>
              </w:rPr>
            </w:pPr>
          </w:p>
        </w:tc>
      </w:tr>
      <w:tr w14:paraId="06572D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0B22550B">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政府采购编号:</w:t>
            </w:r>
          </w:p>
        </w:tc>
        <w:tc>
          <w:tcPr>
            <w:tcW w:w="5809" w:type="dxa"/>
            <w:vAlign w:val="center"/>
          </w:tcPr>
          <w:p w14:paraId="07F8994C">
            <w:pPr>
              <w:pStyle w:val="12"/>
              <w:adjustRightInd w:val="0"/>
              <w:snapToGrid w:val="0"/>
              <w:spacing w:line="480" w:lineRule="auto"/>
              <w:rPr>
                <w:rFonts w:hAnsi="宋体" w:cs="宋体"/>
                <w:b/>
                <w:color w:val="auto"/>
                <w:sz w:val="28"/>
                <w:szCs w:val="32"/>
                <w:highlight w:val="none"/>
                <w:u w:val="single"/>
              </w:rPr>
            </w:pPr>
          </w:p>
        </w:tc>
      </w:tr>
      <w:tr w14:paraId="27DB56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6D0E7AEB">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委托代理编号:</w:t>
            </w:r>
          </w:p>
        </w:tc>
        <w:tc>
          <w:tcPr>
            <w:tcW w:w="5809" w:type="dxa"/>
            <w:vAlign w:val="center"/>
          </w:tcPr>
          <w:p w14:paraId="397CED3C">
            <w:pPr>
              <w:pStyle w:val="12"/>
              <w:adjustRightInd w:val="0"/>
              <w:snapToGrid w:val="0"/>
              <w:spacing w:line="480" w:lineRule="auto"/>
              <w:rPr>
                <w:rFonts w:hAnsi="宋体" w:cs="宋体"/>
                <w:b/>
                <w:color w:val="auto"/>
                <w:sz w:val="28"/>
                <w:szCs w:val="32"/>
                <w:highlight w:val="none"/>
                <w:u w:val="single"/>
              </w:rPr>
            </w:pPr>
          </w:p>
        </w:tc>
      </w:tr>
      <w:tr w14:paraId="084E28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0231A1BD">
            <w:pPr>
              <w:pStyle w:val="12"/>
              <w:adjustRightInd w:val="0"/>
              <w:snapToGrid w:val="0"/>
              <w:spacing w:line="480" w:lineRule="auto"/>
              <w:ind w:firstLine="703" w:firstLineChars="250"/>
              <w:rPr>
                <w:rFonts w:hAnsi="宋体" w:cs="宋体"/>
                <w:b/>
                <w:color w:val="auto"/>
                <w:sz w:val="28"/>
                <w:szCs w:val="32"/>
                <w:highlight w:val="none"/>
              </w:rPr>
            </w:pPr>
            <w:r>
              <w:rPr>
                <w:rFonts w:hint="eastAsia" w:hAnsi="宋体" w:cs="宋体"/>
                <w:b/>
                <w:color w:val="auto"/>
                <w:sz w:val="28"/>
                <w:szCs w:val="32"/>
                <w:highlight w:val="none"/>
              </w:rPr>
              <w:t>采购代理机构:</w:t>
            </w:r>
          </w:p>
        </w:tc>
        <w:tc>
          <w:tcPr>
            <w:tcW w:w="5809" w:type="dxa"/>
            <w:vAlign w:val="center"/>
          </w:tcPr>
          <w:p w14:paraId="2498FD69">
            <w:pPr>
              <w:pStyle w:val="12"/>
              <w:adjustRightInd w:val="0"/>
              <w:snapToGrid w:val="0"/>
              <w:spacing w:line="480" w:lineRule="auto"/>
              <w:rPr>
                <w:rFonts w:hAnsi="宋体" w:cs="宋体"/>
                <w:b/>
                <w:color w:val="auto"/>
                <w:sz w:val="28"/>
                <w:szCs w:val="32"/>
                <w:highlight w:val="none"/>
              </w:rPr>
            </w:pPr>
          </w:p>
        </w:tc>
      </w:tr>
    </w:tbl>
    <w:p w14:paraId="21D18D12">
      <w:pPr>
        <w:pStyle w:val="12"/>
        <w:adjustRightInd w:val="0"/>
        <w:snapToGrid w:val="0"/>
        <w:spacing w:line="360" w:lineRule="auto"/>
        <w:ind w:firstLine="1988" w:firstLineChars="660"/>
        <w:rPr>
          <w:rFonts w:hAnsi="宋体" w:cs="宋体"/>
          <w:b/>
          <w:bCs/>
          <w:color w:val="auto"/>
          <w:sz w:val="30"/>
          <w:szCs w:val="30"/>
          <w:highlight w:val="none"/>
        </w:rPr>
      </w:pPr>
    </w:p>
    <w:p w14:paraId="04896F2A">
      <w:pPr>
        <w:adjustRightInd w:val="0"/>
        <w:snapToGrid w:val="0"/>
        <w:spacing w:line="360" w:lineRule="auto"/>
        <w:rPr>
          <w:rFonts w:ascii="宋体" w:hAnsi="宋体" w:cs="宋体"/>
          <w:color w:val="auto"/>
          <w:sz w:val="32"/>
          <w:szCs w:val="32"/>
          <w:highlight w:val="none"/>
        </w:rPr>
      </w:pPr>
    </w:p>
    <w:p w14:paraId="01DB1624">
      <w:pPr>
        <w:adjustRightInd w:val="0"/>
        <w:snapToGrid w:val="0"/>
        <w:spacing w:line="360" w:lineRule="auto"/>
        <w:rPr>
          <w:rFonts w:ascii="宋体" w:hAnsi="宋体" w:cs="宋体"/>
          <w:color w:val="auto"/>
          <w:sz w:val="32"/>
          <w:szCs w:val="32"/>
          <w:highlight w:val="none"/>
        </w:rPr>
      </w:pPr>
    </w:p>
    <w:p w14:paraId="779B98CC">
      <w:pPr>
        <w:adjustRightInd w:val="0"/>
        <w:snapToGrid w:val="0"/>
        <w:spacing w:line="360" w:lineRule="auto"/>
        <w:rPr>
          <w:rFonts w:ascii="宋体" w:hAnsi="宋体" w:cs="宋体"/>
          <w:color w:val="auto"/>
          <w:sz w:val="32"/>
          <w:szCs w:val="32"/>
          <w:highlight w:val="none"/>
        </w:rPr>
      </w:pPr>
    </w:p>
    <w:p w14:paraId="1E3E03F9">
      <w:pPr>
        <w:adjustRightInd w:val="0"/>
        <w:snapToGrid w:val="0"/>
        <w:spacing w:line="360" w:lineRule="auto"/>
        <w:ind w:firstLine="1920" w:firstLineChars="600"/>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供应商</w:t>
      </w:r>
    </w:p>
    <w:p w14:paraId="52BB34AB">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322C6AE">
      <w:pPr>
        <w:rPr>
          <w:rFonts w:ascii="宋体" w:hAnsi="宋体" w:cs="宋体"/>
          <w:b/>
          <w:strike/>
          <w:color w:val="auto"/>
          <w:highlight w:val="none"/>
        </w:rPr>
      </w:pPr>
      <w:r>
        <w:rPr>
          <w:rFonts w:hint="eastAsia" w:ascii="宋体" w:hAnsi="宋体" w:cs="宋体"/>
          <w:color w:val="auto"/>
          <w:highlight w:val="none"/>
          <w:u w:val="single"/>
        </w:rPr>
        <w:br w:type="page"/>
      </w:r>
      <w:bookmarkStart w:id="1" w:name="_Toc528307195"/>
    </w:p>
    <w:p w14:paraId="3DF82C55">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一、</w:t>
      </w:r>
      <w:bookmarkEnd w:id="1"/>
      <w:r>
        <w:rPr>
          <w:rFonts w:hint="eastAsia" w:ascii="黑体" w:hAnsi="宋体" w:eastAsia="黑体"/>
          <w:color w:val="auto"/>
          <w:highlight w:val="none"/>
        </w:rPr>
        <w:t>磋商响应声明</w:t>
      </w:r>
    </w:p>
    <w:p w14:paraId="2E87ED6D">
      <w:pPr>
        <w:adjustRightInd w:val="0"/>
        <w:snapToGrid w:val="0"/>
        <w:spacing w:line="360" w:lineRule="auto"/>
        <w:rPr>
          <w:rFonts w:ascii="宋体" w:hAnsi="宋体" w:cs="宋体"/>
          <w:color w:val="auto"/>
          <w:highlight w:val="none"/>
        </w:rPr>
      </w:pPr>
    </w:p>
    <w:p w14:paraId="4CF7715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致：（采购代理机构）：</w:t>
      </w:r>
    </w:p>
    <w:p w14:paraId="2E1BC91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项目名称)的竞争性磋商文件（政府采购编号： ；委托代理编号：）的全部内容，</w:t>
      </w:r>
      <w:r>
        <w:rPr>
          <w:rFonts w:hint="eastAsia" w:hAnsi="宋体"/>
          <w:color w:val="auto"/>
          <w:highlight w:val="none"/>
        </w:rPr>
        <w:t>知悉参加竞争性磋商的风险，我方承诺接受磋商文件的全部条款且无任何异议。</w:t>
      </w:r>
    </w:p>
    <w:p w14:paraId="4C909BE0">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第一册 商务技术文件</w:t>
      </w:r>
    </w:p>
    <w:p w14:paraId="4AC74DDF">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磋商响应声明</w:t>
      </w:r>
    </w:p>
    <w:p w14:paraId="60FE60FB">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分项报价表</w:t>
      </w:r>
    </w:p>
    <w:p w14:paraId="1FD5D1B3">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服务说明一览表</w:t>
      </w:r>
    </w:p>
    <w:p w14:paraId="1DA41275">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商务技术响应/偏离表</w:t>
      </w:r>
    </w:p>
    <w:p w14:paraId="77B621CD">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享受政府采购政策优惠的证明资料</w:t>
      </w:r>
    </w:p>
    <w:p w14:paraId="50C6697A">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服务符合磋商文件规定的证明文件及方案</w:t>
      </w:r>
    </w:p>
    <w:p w14:paraId="095648CF">
      <w:pPr>
        <w:widowControl/>
        <w:numPr>
          <w:ilvl w:val="0"/>
          <w:numId w:val="14"/>
        </w:num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供应商认为需提供的其他资料</w:t>
      </w:r>
    </w:p>
    <w:p w14:paraId="044DA57C">
      <w:pPr>
        <w:widowControl/>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在此，签字代表宣布同意如下：</w:t>
      </w:r>
    </w:p>
    <w:p w14:paraId="0E4D536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1、我方完全服从和尊重磋商小组所作的评定结果，同时清楚理解到报价最低并非意味着必定获得成交资格。</w:t>
      </w:r>
      <w:r>
        <w:rPr>
          <w:rFonts w:hint="eastAsia" w:ascii="宋体" w:hAnsi="宋体" w:cs="宋体"/>
          <w:color w:val="auto"/>
          <w:highlight w:val="none"/>
        </w:rPr>
        <w:t>理解贵方对磋商保密且不予解释我方未能成交的原因。</w:t>
      </w:r>
    </w:p>
    <w:p w14:paraId="6502535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2、我方已详细审查磋商文件。同意放弃因有对磋商文件内容不明及误解的权力，同意提供贵方可能要求的与响应文件有关的一切数据或资料。</w:t>
      </w:r>
    </w:p>
    <w:p w14:paraId="070A0B9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3、本次磋商有效期为自磋商文件规定的提交响应文件截止</w:t>
      </w:r>
      <w:r>
        <w:rPr>
          <w:rFonts w:hint="eastAsia" w:ascii="宋体" w:hAnsi="宋体" w:cs="宋体"/>
          <w:color w:val="auto"/>
          <w:szCs w:val="21"/>
          <w:highlight w:val="none"/>
          <w:lang w:eastAsia="zh-CN"/>
        </w:rPr>
        <w:t>之日起</w:t>
      </w:r>
      <w:r>
        <w:rPr>
          <w:rFonts w:hint="eastAsia" w:ascii="宋体" w:hAnsi="宋体" w:cs="宋体"/>
          <w:color w:val="auto"/>
          <w:szCs w:val="21"/>
          <w:highlight w:val="none"/>
          <w:u w:val="single"/>
          <w:lang w:val="en-US" w:eastAsia="zh-CN"/>
        </w:rPr>
        <w:t xml:space="preserve">  90  </w:t>
      </w:r>
      <w:r>
        <w:rPr>
          <w:rFonts w:hint="eastAsia" w:ascii="宋体" w:hAnsi="宋体" w:cs="宋体"/>
          <w:color w:val="auto"/>
          <w:szCs w:val="21"/>
          <w:highlight w:val="none"/>
        </w:rPr>
        <w:t>日历日。在磋商有效期内，我方</w:t>
      </w:r>
      <w:r>
        <w:rPr>
          <w:rFonts w:hint="eastAsia" w:ascii="宋体" w:hAnsi="宋体" w:cs="宋体"/>
          <w:color w:val="auto"/>
          <w:highlight w:val="none"/>
        </w:rPr>
        <w:t>同意遵守本响应文件中的承诺且在此期限期满之前文件</w:t>
      </w:r>
      <w:r>
        <w:rPr>
          <w:rFonts w:hint="eastAsia" w:ascii="宋体" w:hAnsi="宋体" w:cs="宋体"/>
          <w:color w:val="auto"/>
          <w:szCs w:val="21"/>
          <w:highlight w:val="none"/>
        </w:rPr>
        <w:t>对我方具有法律约束力</w:t>
      </w:r>
      <w:r>
        <w:rPr>
          <w:rFonts w:hint="eastAsia" w:ascii="宋体" w:hAnsi="宋体" w:cs="宋体"/>
          <w:color w:val="auto"/>
          <w:highlight w:val="none"/>
        </w:rPr>
        <w:t>。</w:t>
      </w:r>
    </w:p>
    <w:p w14:paraId="1592599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4、若我方成交，保证按磋商文件的规定履行合同责任和义务。承诺按磋商文件规定的标准在领取中标通知书前向贵方支付本项目招标代理服务费。 </w:t>
      </w:r>
    </w:p>
    <w:p w14:paraId="3070BC8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5、有关的一切正式往来信函请寄：</w:t>
      </w:r>
    </w:p>
    <w:p w14:paraId="2886F26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；（邮编：       ）</w:t>
      </w:r>
    </w:p>
    <w:p w14:paraId="192C0F6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电话：；传真： ；电子邮箱：</w:t>
      </w:r>
    </w:p>
    <w:p w14:paraId="00538448">
      <w:pPr>
        <w:pStyle w:val="12"/>
        <w:adjustRightInd w:val="0"/>
        <w:snapToGrid w:val="0"/>
        <w:spacing w:line="360" w:lineRule="auto"/>
        <w:rPr>
          <w:rFonts w:hAnsi="宋体" w:cs="宋体"/>
          <w:color w:val="auto"/>
          <w:highlight w:val="none"/>
        </w:rPr>
      </w:pPr>
    </w:p>
    <w:p w14:paraId="637E1EF2">
      <w:pPr>
        <w:pStyle w:val="12"/>
        <w:adjustRightInd w:val="0"/>
        <w:snapToGrid w:val="0"/>
        <w:spacing w:line="360" w:lineRule="auto"/>
        <w:rPr>
          <w:rFonts w:hAnsi="宋体" w:cs="宋体"/>
          <w:color w:val="auto"/>
          <w:highlight w:val="none"/>
        </w:rPr>
      </w:pPr>
      <w:r>
        <w:rPr>
          <w:rFonts w:hint="eastAsia" w:hAnsi="宋体" w:cs="宋体"/>
          <w:color w:val="auto"/>
          <w:highlight w:val="none"/>
        </w:rPr>
        <w:t xml:space="preserve">供应商名称（盖单位章）：                       </w:t>
      </w:r>
    </w:p>
    <w:p w14:paraId="6ADEC083">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法定代表人或其授权的代理人（签字）：</w:t>
      </w:r>
    </w:p>
    <w:p w14:paraId="792BD2D5">
      <w:pPr>
        <w:adjustRightInd w:val="0"/>
        <w:snapToGrid w:val="0"/>
        <w:spacing w:line="360" w:lineRule="auto"/>
        <w:rPr>
          <w:rFonts w:ascii="宋体" w:hAnsi="宋体" w:cs="宋体"/>
          <w:b/>
          <w:bCs/>
          <w:color w:val="auto"/>
          <w:sz w:val="28"/>
          <w:szCs w:val="28"/>
          <w:highlight w:val="none"/>
        </w:rPr>
      </w:pPr>
      <w:r>
        <w:rPr>
          <w:rFonts w:hint="eastAsia" w:ascii="宋体" w:hAnsi="宋体" w:cs="宋体"/>
          <w:color w:val="auto"/>
          <w:szCs w:val="21"/>
          <w:highlight w:val="none"/>
        </w:rPr>
        <w:t>日期：年月日</w:t>
      </w:r>
      <w:r>
        <w:rPr>
          <w:rFonts w:hint="eastAsia" w:ascii="宋体" w:hAnsi="宋体" w:cs="宋体"/>
          <w:b/>
          <w:bCs/>
          <w:color w:val="auto"/>
          <w:sz w:val="28"/>
          <w:szCs w:val="28"/>
          <w:highlight w:val="none"/>
        </w:rPr>
        <w:br w:type="page"/>
      </w:r>
    </w:p>
    <w:p w14:paraId="3E93EB17">
      <w:pPr>
        <w:pStyle w:val="4"/>
        <w:adjustRightInd w:val="0"/>
        <w:snapToGrid w:val="0"/>
        <w:spacing w:before="0" w:after="0" w:line="360" w:lineRule="auto"/>
        <w:jc w:val="center"/>
        <w:rPr>
          <w:rFonts w:ascii="宋体" w:hAnsi="宋体" w:cs="宋体"/>
          <w:color w:val="auto"/>
          <w:sz w:val="28"/>
          <w:szCs w:val="28"/>
          <w:highlight w:val="none"/>
        </w:rPr>
        <w:sectPr>
          <w:pgSz w:w="11906" w:h="16838"/>
          <w:pgMar w:top="1587" w:right="1474" w:bottom="1474" w:left="1587" w:header="851" w:footer="992" w:gutter="0"/>
          <w:pgNumType w:fmt="decimal"/>
          <w:cols w:space="0" w:num="1"/>
          <w:docGrid w:linePitch="312" w:charSpace="0"/>
        </w:sectPr>
      </w:pPr>
      <w:bookmarkStart w:id="2" w:name="_Toc528307196"/>
    </w:p>
    <w:p w14:paraId="5FF1BE26">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二、分项报价表</w:t>
      </w:r>
      <w:bookmarkEnd w:id="2"/>
    </w:p>
    <w:p w14:paraId="64804192">
      <w:pPr>
        <w:adjustRightInd w:val="0"/>
        <w:snapToGrid w:val="0"/>
        <w:spacing w:line="360" w:lineRule="auto"/>
        <w:rPr>
          <w:rFonts w:ascii="宋体" w:hAnsi="宋体" w:cs="宋体"/>
          <w:color w:val="auto"/>
          <w:szCs w:val="21"/>
          <w:highlight w:val="none"/>
        </w:rPr>
      </w:pPr>
    </w:p>
    <w:p w14:paraId="4816D30B">
      <w:pPr>
        <w:pStyle w:val="9"/>
        <w:rPr>
          <w:color w:val="auto"/>
          <w:highlight w:val="none"/>
        </w:rPr>
      </w:pPr>
    </w:p>
    <w:tbl>
      <w:tblPr>
        <w:tblStyle w:val="22"/>
        <w:tblW w:w="8647"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0" w:type="dxa"/>
          <w:bottom w:w="0" w:type="dxa"/>
          <w:right w:w="0" w:type="dxa"/>
        </w:tblCellMar>
      </w:tblPr>
      <w:tblGrid>
        <w:gridCol w:w="661"/>
        <w:gridCol w:w="1466"/>
        <w:gridCol w:w="2149"/>
        <w:gridCol w:w="900"/>
        <w:gridCol w:w="645"/>
        <w:gridCol w:w="1860"/>
        <w:gridCol w:w="966"/>
      </w:tblGrid>
      <w:tr w14:paraId="74DD390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661" w:type="dxa"/>
            <w:vMerge w:val="restart"/>
            <w:tcBorders>
              <w:bottom w:val="single" w:color="auto" w:sz="4" w:space="0"/>
              <w:right w:val="single" w:color="auto" w:sz="4" w:space="0"/>
            </w:tcBorders>
            <w:vAlign w:val="center"/>
          </w:tcPr>
          <w:p w14:paraId="1EE72819">
            <w:pPr>
              <w:pStyle w:val="18"/>
              <w:jc w:val="center"/>
              <w:rPr>
                <w:color w:val="auto"/>
                <w:kern w:val="20"/>
                <w:sz w:val="21"/>
                <w:szCs w:val="21"/>
                <w:highlight w:val="none"/>
              </w:rPr>
            </w:pPr>
            <w:r>
              <w:rPr>
                <w:rFonts w:hint="eastAsia"/>
                <w:color w:val="auto"/>
                <w:kern w:val="20"/>
                <w:sz w:val="21"/>
                <w:szCs w:val="21"/>
                <w:highlight w:val="none"/>
              </w:rPr>
              <w:t>序号</w:t>
            </w:r>
          </w:p>
        </w:tc>
        <w:tc>
          <w:tcPr>
            <w:tcW w:w="1466" w:type="dxa"/>
            <w:vMerge w:val="restart"/>
            <w:tcBorders>
              <w:left w:val="single" w:color="auto" w:sz="4" w:space="0"/>
              <w:bottom w:val="single" w:color="auto" w:sz="4" w:space="0"/>
              <w:right w:val="single" w:color="auto" w:sz="4" w:space="0"/>
            </w:tcBorders>
            <w:vAlign w:val="center"/>
          </w:tcPr>
          <w:p w14:paraId="21CA159B">
            <w:pPr>
              <w:pStyle w:val="18"/>
              <w:jc w:val="center"/>
              <w:rPr>
                <w:color w:val="auto"/>
                <w:kern w:val="20"/>
                <w:sz w:val="21"/>
                <w:szCs w:val="21"/>
                <w:highlight w:val="none"/>
              </w:rPr>
            </w:pPr>
            <w:r>
              <w:rPr>
                <w:rFonts w:hint="eastAsia"/>
                <w:color w:val="auto"/>
                <w:kern w:val="20"/>
                <w:sz w:val="21"/>
                <w:szCs w:val="21"/>
                <w:highlight w:val="none"/>
              </w:rPr>
              <w:t>分项（服务）名称</w:t>
            </w:r>
          </w:p>
        </w:tc>
        <w:tc>
          <w:tcPr>
            <w:tcW w:w="2149" w:type="dxa"/>
            <w:vMerge w:val="restart"/>
            <w:tcBorders>
              <w:left w:val="single" w:color="auto" w:sz="4" w:space="0"/>
              <w:bottom w:val="single" w:color="auto" w:sz="4" w:space="0"/>
              <w:right w:val="single" w:color="auto" w:sz="4" w:space="0"/>
            </w:tcBorders>
            <w:vAlign w:val="center"/>
          </w:tcPr>
          <w:p w14:paraId="70B809A2">
            <w:pPr>
              <w:pStyle w:val="18"/>
              <w:jc w:val="center"/>
              <w:rPr>
                <w:color w:val="auto"/>
                <w:kern w:val="20"/>
                <w:sz w:val="21"/>
                <w:szCs w:val="21"/>
                <w:highlight w:val="none"/>
              </w:rPr>
            </w:pPr>
            <w:r>
              <w:rPr>
                <w:rFonts w:hint="eastAsia"/>
                <w:color w:val="auto"/>
                <w:kern w:val="20"/>
                <w:sz w:val="21"/>
                <w:szCs w:val="21"/>
                <w:highlight w:val="none"/>
              </w:rPr>
              <w:t>内容简述(型号规格)</w:t>
            </w:r>
          </w:p>
        </w:tc>
        <w:tc>
          <w:tcPr>
            <w:tcW w:w="3405" w:type="dxa"/>
            <w:gridSpan w:val="3"/>
            <w:tcBorders>
              <w:left w:val="single" w:color="auto" w:sz="4" w:space="0"/>
              <w:bottom w:val="single" w:color="auto" w:sz="4" w:space="0"/>
              <w:right w:val="single" w:color="auto" w:sz="4" w:space="0"/>
            </w:tcBorders>
            <w:vAlign w:val="center"/>
          </w:tcPr>
          <w:p w14:paraId="52C52026">
            <w:pPr>
              <w:pStyle w:val="18"/>
              <w:jc w:val="center"/>
              <w:rPr>
                <w:color w:val="auto"/>
                <w:kern w:val="20"/>
                <w:sz w:val="21"/>
                <w:szCs w:val="21"/>
                <w:highlight w:val="none"/>
              </w:rPr>
            </w:pPr>
            <w:r>
              <w:rPr>
                <w:rFonts w:hint="eastAsia"/>
                <w:color w:val="auto"/>
                <w:kern w:val="20"/>
                <w:sz w:val="21"/>
                <w:szCs w:val="21"/>
                <w:highlight w:val="none"/>
              </w:rPr>
              <w:t>报价</w:t>
            </w:r>
          </w:p>
        </w:tc>
        <w:tc>
          <w:tcPr>
            <w:tcW w:w="966" w:type="dxa"/>
            <w:vMerge w:val="restart"/>
            <w:tcBorders>
              <w:left w:val="single" w:color="auto" w:sz="4" w:space="0"/>
              <w:bottom w:val="single" w:color="auto" w:sz="4" w:space="0"/>
            </w:tcBorders>
            <w:vAlign w:val="center"/>
          </w:tcPr>
          <w:p w14:paraId="38E139D8">
            <w:pPr>
              <w:pStyle w:val="18"/>
              <w:jc w:val="center"/>
              <w:rPr>
                <w:color w:val="auto"/>
                <w:kern w:val="20"/>
                <w:sz w:val="21"/>
                <w:szCs w:val="21"/>
                <w:highlight w:val="none"/>
              </w:rPr>
            </w:pPr>
            <w:r>
              <w:rPr>
                <w:rFonts w:hint="eastAsia"/>
                <w:color w:val="auto"/>
                <w:kern w:val="20"/>
                <w:sz w:val="21"/>
                <w:szCs w:val="21"/>
                <w:highlight w:val="none"/>
              </w:rPr>
              <w:t>备注</w:t>
            </w:r>
          </w:p>
        </w:tc>
      </w:tr>
      <w:tr w14:paraId="0AA6D0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730" w:hRule="exact"/>
        </w:trPr>
        <w:tc>
          <w:tcPr>
            <w:tcW w:w="661" w:type="dxa"/>
            <w:vMerge w:val="continue"/>
            <w:tcBorders>
              <w:top w:val="single" w:color="auto" w:sz="4" w:space="0"/>
              <w:bottom w:val="single" w:color="auto" w:sz="4" w:space="0"/>
              <w:right w:val="single" w:color="auto" w:sz="4" w:space="0"/>
            </w:tcBorders>
            <w:vAlign w:val="center"/>
          </w:tcPr>
          <w:p w14:paraId="1D38F81A">
            <w:pPr>
              <w:pStyle w:val="18"/>
              <w:jc w:val="center"/>
              <w:rPr>
                <w:color w:val="auto"/>
                <w:kern w:val="20"/>
                <w:sz w:val="21"/>
                <w:szCs w:val="21"/>
                <w:highlight w:val="none"/>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14:paraId="0A7F2B05">
            <w:pPr>
              <w:pStyle w:val="18"/>
              <w:jc w:val="center"/>
              <w:rPr>
                <w:color w:val="auto"/>
                <w:kern w:val="20"/>
                <w:sz w:val="21"/>
                <w:szCs w:val="21"/>
                <w:highlight w:val="none"/>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14:paraId="1EEA9FFE">
            <w:pPr>
              <w:pStyle w:val="18"/>
              <w:jc w:val="center"/>
              <w:rPr>
                <w:color w:val="auto"/>
                <w:kern w:val="2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A5FF05D">
            <w:pPr>
              <w:pStyle w:val="18"/>
              <w:jc w:val="center"/>
              <w:rPr>
                <w:color w:val="auto"/>
                <w:kern w:val="20"/>
                <w:sz w:val="21"/>
                <w:szCs w:val="21"/>
                <w:highlight w:val="none"/>
              </w:rPr>
            </w:pPr>
            <w:r>
              <w:rPr>
                <w:rFonts w:hint="eastAsia"/>
                <w:color w:val="auto"/>
                <w:kern w:val="20"/>
                <w:sz w:val="21"/>
                <w:szCs w:val="21"/>
                <w:highlight w:val="none"/>
              </w:rPr>
              <w:t>单价（元）</w:t>
            </w:r>
          </w:p>
        </w:tc>
        <w:tc>
          <w:tcPr>
            <w:tcW w:w="645" w:type="dxa"/>
            <w:tcBorders>
              <w:top w:val="single" w:color="auto" w:sz="4" w:space="0"/>
              <w:left w:val="single" w:color="auto" w:sz="4" w:space="0"/>
              <w:bottom w:val="single" w:color="auto" w:sz="4" w:space="0"/>
              <w:right w:val="single" w:color="auto" w:sz="4" w:space="0"/>
            </w:tcBorders>
            <w:vAlign w:val="center"/>
          </w:tcPr>
          <w:p w14:paraId="58BE1462">
            <w:pPr>
              <w:pStyle w:val="18"/>
              <w:jc w:val="center"/>
              <w:rPr>
                <w:color w:val="auto"/>
                <w:kern w:val="20"/>
                <w:sz w:val="21"/>
                <w:szCs w:val="21"/>
                <w:highlight w:val="none"/>
              </w:rPr>
            </w:pPr>
            <w:r>
              <w:rPr>
                <w:rFonts w:hint="eastAsia"/>
                <w:color w:val="auto"/>
                <w:kern w:val="20"/>
                <w:sz w:val="21"/>
                <w:szCs w:val="21"/>
                <w:highlight w:val="none"/>
              </w:rPr>
              <w:t>数量</w:t>
            </w:r>
          </w:p>
        </w:tc>
        <w:tc>
          <w:tcPr>
            <w:tcW w:w="1860" w:type="dxa"/>
            <w:tcBorders>
              <w:top w:val="single" w:color="auto" w:sz="4" w:space="0"/>
              <w:left w:val="single" w:color="auto" w:sz="4" w:space="0"/>
              <w:bottom w:val="single" w:color="auto" w:sz="4" w:space="0"/>
              <w:right w:val="single" w:color="auto" w:sz="4" w:space="0"/>
            </w:tcBorders>
            <w:vAlign w:val="center"/>
          </w:tcPr>
          <w:p w14:paraId="5EDC811B">
            <w:pPr>
              <w:pStyle w:val="18"/>
              <w:jc w:val="center"/>
              <w:rPr>
                <w:color w:val="auto"/>
                <w:kern w:val="20"/>
                <w:sz w:val="21"/>
                <w:szCs w:val="21"/>
                <w:highlight w:val="none"/>
              </w:rPr>
            </w:pPr>
            <w:r>
              <w:rPr>
                <w:rFonts w:hint="eastAsia"/>
                <w:color w:val="auto"/>
                <w:kern w:val="20"/>
                <w:sz w:val="21"/>
                <w:szCs w:val="21"/>
                <w:highlight w:val="none"/>
              </w:rPr>
              <w:t>小计（单价×数量）</w:t>
            </w:r>
          </w:p>
        </w:tc>
        <w:tc>
          <w:tcPr>
            <w:tcW w:w="966" w:type="dxa"/>
            <w:vMerge w:val="continue"/>
            <w:tcBorders>
              <w:top w:val="single" w:color="auto" w:sz="4" w:space="0"/>
              <w:left w:val="single" w:color="auto" w:sz="4" w:space="0"/>
              <w:bottom w:val="single" w:color="auto" w:sz="4" w:space="0"/>
            </w:tcBorders>
            <w:vAlign w:val="center"/>
          </w:tcPr>
          <w:p w14:paraId="3EAE08FF">
            <w:pPr>
              <w:pStyle w:val="18"/>
              <w:jc w:val="center"/>
              <w:rPr>
                <w:color w:val="auto"/>
                <w:kern w:val="20"/>
                <w:sz w:val="21"/>
                <w:szCs w:val="21"/>
                <w:highlight w:val="none"/>
              </w:rPr>
            </w:pPr>
          </w:p>
        </w:tc>
      </w:tr>
      <w:tr w14:paraId="66C351B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6" w:hRule="exact"/>
        </w:trPr>
        <w:tc>
          <w:tcPr>
            <w:tcW w:w="661" w:type="dxa"/>
            <w:tcBorders>
              <w:top w:val="single" w:color="auto" w:sz="4" w:space="0"/>
              <w:bottom w:val="single" w:color="auto" w:sz="4" w:space="0"/>
              <w:right w:val="single" w:color="auto" w:sz="4" w:space="0"/>
            </w:tcBorders>
            <w:vAlign w:val="center"/>
          </w:tcPr>
          <w:p w14:paraId="32D8A2D9">
            <w:pPr>
              <w:pStyle w:val="18"/>
              <w:jc w:val="center"/>
              <w:rPr>
                <w:color w:val="auto"/>
                <w:kern w:val="20"/>
                <w:sz w:val="21"/>
                <w:szCs w:val="21"/>
                <w:highlight w:val="none"/>
              </w:rPr>
            </w:pPr>
            <w:r>
              <w:rPr>
                <w:rFonts w:hint="eastAsia"/>
                <w:color w:val="auto"/>
                <w:kern w:val="20"/>
                <w:sz w:val="21"/>
                <w:szCs w:val="21"/>
                <w:highlight w:val="none"/>
              </w:rPr>
              <w:t>1</w:t>
            </w:r>
          </w:p>
        </w:tc>
        <w:tc>
          <w:tcPr>
            <w:tcW w:w="1466" w:type="dxa"/>
            <w:tcBorders>
              <w:top w:val="single" w:color="auto" w:sz="4" w:space="0"/>
              <w:left w:val="single" w:color="auto" w:sz="4" w:space="0"/>
              <w:bottom w:val="single" w:color="auto" w:sz="4" w:space="0"/>
              <w:right w:val="single" w:color="auto" w:sz="4" w:space="0"/>
            </w:tcBorders>
            <w:vAlign w:val="center"/>
          </w:tcPr>
          <w:p w14:paraId="0C05F1EE">
            <w:pPr>
              <w:pStyle w:val="18"/>
              <w:jc w:val="center"/>
              <w:rPr>
                <w:color w:val="auto"/>
                <w:kern w:val="20"/>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14:paraId="4BDEA422">
            <w:pPr>
              <w:pStyle w:val="18"/>
              <w:jc w:val="center"/>
              <w:rPr>
                <w:color w:val="auto"/>
                <w:kern w:val="2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894B7B2">
            <w:pPr>
              <w:pStyle w:val="18"/>
              <w:jc w:val="center"/>
              <w:rPr>
                <w:color w:val="auto"/>
                <w:kern w:val="2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39F751F0">
            <w:pPr>
              <w:pStyle w:val="18"/>
              <w:jc w:val="center"/>
              <w:rPr>
                <w:color w:val="auto"/>
                <w:kern w:val="20"/>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68083E30">
            <w:pPr>
              <w:pStyle w:val="18"/>
              <w:jc w:val="center"/>
              <w:rPr>
                <w:color w:val="auto"/>
                <w:kern w:val="20"/>
                <w:sz w:val="21"/>
                <w:szCs w:val="21"/>
                <w:highlight w:val="none"/>
              </w:rPr>
            </w:pPr>
          </w:p>
        </w:tc>
        <w:tc>
          <w:tcPr>
            <w:tcW w:w="966" w:type="dxa"/>
            <w:tcBorders>
              <w:top w:val="single" w:color="auto" w:sz="4" w:space="0"/>
              <w:left w:val="single" w:color="auto" w:sz="4" w:space="0"/>
              <w:bottom w:val="single" w:color="auto" w:sz="4" w:space="0"/>
            </w:tcBorders>
            <w:vAlign w:val="center"/>
          </w:tcPr>
          <w:p w14:paraId="25AA6C0B">
            <w:pPr>
              <w:pStyle w:val="18"/>
              <w:jc w:val="center"/>
              <w:rPr>
                <w:color w:val="auto"/>
                <w:kern w:val="20"/>
                <w:sz w:val="21"/>
                <w:szCs w:val="21"/>
                <w:highlight w:val="none"/>
              </w:rPr>
            </w:pPr>
          </w:p>
        </w:tc>
      </w:tr>
      <w:tr w14:paraId="621C0AB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661" w:type="dxa"/>
            <w:tcBorders>
              <w:top w:val="single" w:color="auto" w:sz="4" w:space="0"/>
              <w:bottom w:val="single" w:color="auto" w:sz="4" w:space="0"/>
              <w:right w:val="single" w:color="auto" w:sz="4" w:space="0"/>
            </w:tcBorders>
            <w:vAlign w:val="center"/>
          </w:tcPr>
          <w:p w14:paraId="1060C522">
            <w:pPr>
              <w:pStyle w:val="18"/>
              <w:jc w:val="center"/>
              <w:rPr>
                <w:color w:val="auto"/>
                <w:kern w:val="20"/>
                <w:sz w:val="21"/>
                <w:szCs w:val="21"/>
                <w:highlight w:val="none"/>
              </w:rPr>
            </w:pPr>
            <w:r>
              <w:rPr>
                <w:rFonts w:hint="eastAsia"/>
                <w:color w:val="auto"/>
                <w:kern w:val="20"/>
                <w:sz w:val="21"/>
                <w:szCs w:val="21"/>
                <w:highlight w:val="none"/>
              </w:rPr>
              <w:t>2</w:t>
            </w:r>
          </w:p>
        </w:tc>
        <w:tc>
          <w:tcPr>
            <w:tcW w:w="1466" w:type="dxa"/>
            <w:tcBorders>
              <w:top w:val="single" w:color="auto" w:sz="4" w:space="0"/>
              <w:left w:val="single" w:color="auto" w:sz="4" w:space="0"/>
              <w:bottom w:val="single" w:color="auto" w:sz="4" w:space="0"/>
              <w:right w:val="single" w:color="auto" w:sz="4" w:space="0"/>
            </w:tcBorders>
            <w:vAlign w:val="center"/>
          </w:tcPr>
          <w:p w14:paraId="5162E901">
            <w:pPr>
              <w:pStyle w:val="18"/>
              <w:jc w:val="center"/>
              <w:rPr>
                <w:color w:val="auto"/>
                <w:kern w:val="20"/>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14:paraId="25BE80E4">
            <w:pPr>
              <w:pStyle w:val="18"/>
              <w:jc w:val="center"/>
              <w:rPr>
                <w:color w:val="auto"/>
                <w:kern w:val="2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5BA512C">
            <w:pPr>
              <w:pStyle w:val="18"/>
              <w:jc w:val="center"/>
              <w:rPr>
                <w:color w:val="auto"/>
                <w:kern w:val="2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5050268F">
            <w:pPr>
              <w:pStyle w:val="18"/>
              <w:jc w:val="center"/>
              <w:rPr>
                <w:color w:val="auto"/>
                <w:kern w:val="20"/>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3777F273">
            <w:pPr>
              <w:pStyle w:val="18"/>
              <w:jc w:val="center"/>
              <w:rPr>
                <w:color w:val="auto"/>
                <w:kern w:val="20"/>
                <w:sz w:val="21"/>
                <w:szCs w:val="21"/>
                <w:highlight w:val="none"/>
              </w:rPr>
            </w:pPr>
          </w:p>
        </w:tc>
        <w:tc>
          <w:tcPr>
            <w:tcW w:w="966" w:type="dxa"/>
            <w:tcBorders>
              <w:top w:val="single" w:color="auto" w:sz="4" w:space="0"/>
              <w:left w:val="single" w:color="auto" w:sz="4" w:space="0"/>
              <w:bottom w:val="single" w:color="auto" w:sz="4" w:space="0"/>
            </w:tcBorders>
            <w:vAlign w:val="center"/>
          </w:tcPr>
          <w:p w14:paraId="024F93A4">
            <w:pPr>
              <w:pStyle w:val="18"/>
              <w:jc w:val="center"/>
              <w:rPr>
                <w:color w:val="auto"/>
                <w:kern w:val="20"/>
                <w:sz w:val="21"/>
                <w:szCs w:val="21"/>
                <w:highlight w:val="none"/>
              </w:rPr>
            </w:pPr>
          </w:p>
        </w:tc>
      </w:tr>
      <w:tr w14:paraId="22DA9CB1">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661" w:type="dxa"/>
            <w:tcBorders>
              <w:top w:val="single" w:color="auto" w:sz="4" w:space="0"/>
              <w:bottom w:val="single" w:color="auto" w:sz="4" w:space="0"/>
              <w:right w:val="single" w:color="auto" w:sz="4" w:space="0"/>
            </w:tcBorders>
            <w:vAlign w:val="center"/>
          </w:tcPr>
          <w:p w14:paraId="0351F942">
            <w:pPr>
              <w:pStyle w:val="18"/>
              <w:jc w:val="center"/>
              <w:rPr>
                <w:color w:val="auto"/>
                <w:kern w:val="20"/>
                <w:sz w:val="21"/>
                <w:szCs w:val="21"/>
                <w:highlight w:val="none"/>
              </w:rPr>
            </w:pPr>
            <w:r>
              <w:rPr>
                <w:rFonts w:hint="eastAsia"/>
                <w:color w:val="auto"/>
                <w:kern w:val="20"/>
                <w:sz w:val="21"/>
                <w:szCs w:val="21"/>
                <w:highlight w:val="none"/>
              </w:rPr>
              <w:t>3</w:t>
            </w:r>
          </w:p>
        </w:tc>
        <w:tc>
          <w:tcPr>
            <w:tcW w:w="1466" w:type="dxa"/>
            <w:tcBorders>
              <w:top w:val="single" w:color="auto" w:sz="4" w:space="0"/>
              <w:left w:val="single" w:color="auto" w:sz="4" w:space="0"/>
              <w:bottom w:val="single" w:color="auto" w:sz="4" w:space="0"/>
              <w:right w:val="single" w:color="auto" w:sz="4" w:space="0"/>
            </w:tcBorders>
            <w:vAlign w:val="center"/>
          </w:tcPr>
          <w:p w14:paraId="530F113E">
            <w:pPr>
              <w:pStyle w:val="18"/>
              <w:jc w:val="center"/>
              <w:rPr>
                <w:color w:val="auto"/>
                <w:kern w:val="20"/>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14:paraId="36119D33">
            <w:pPr>
              <w:pStyle w:val="18"/>
              <w:jc w:val="center"/>
              <w:rPr>
                <w:color w:val="auto"/>
                <w:kern w:val="2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48318C7">
            <w:pPr>
              <w:pStyle w:val="18"/>
              <w:jc w:val="center"/>
              <w:rPr>
                <w:color w:val="auto"/>
                <w:kern w:val="2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2EAF7E85">
            <w:pPr>
              <w:pStyle w:val="18"/>
              <w:jc w:val="center"/>
              <w:rPr>
                <w:color w:val="auto"/>
                <w:kern w:val="20"/>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117FEBAE">
            <w:pPr>
              <w:pStyle w:val="18"/>
              <w:jc w:val="center"/>
              <w:rPr>
                <w:color w:val="auto"/>
                <w:kern w:val="20"/>
                <w:sz w:val="21"/>
                <w:szCs w:val="21"/>
                <w:highlight w:val="none"/>
              </w:rPr>
            </w:pPr>
          </w:p>
        </w:tc>
        <w:tc>
          <w:tcPr>
            <w:tcW w:w="966" w:type="dxa"/>
            <w:tcBorders>
              <w:top w:val="single" w:color="auto" w:sz="4" w:space="0"/>
              <w:left w:val="single" w:color="auto" w:sz="4" w:space="0"/>
              <w:bottom w:val="single" w:color="auto" w:sz="4" w:space="0"/>
            </w:tcBorders>
            <w:vAlign w:val="center"/>
          </w:tcPr>
          <w:p w14:paraId="45BF3258">
            <w:pPr>
              <w:pStyle w:val="18"/>
              <w:jc w:val="center"/>
              <w:rPr>
                <w:color w:val="auto"/>
                <w:kern w:val="20"/>
                <w:sz w:val="21"/>
                <w:szCs w:val="21"/>
                <w:highlight w:val="none"/>
              </w:rPr>
            </w:pPr>
          </w:p>
        </w:tc>
      </w:tr>
      <w:tr w14:paraId="0BCEBBB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661" w:type="dxa"/>
            <w:tcBorders>
              <w:top w:val="single" w:color="auto" w:sz="4" w:space="0"/>
              <w:bottom w:val="single" w:color="auto" w:sz="4" w:space="0"/>
              <w:right w:val="single" w:color="auto" w:sz="4" w:space="0"/>
            </w:tcBorders>
            <w:vAlign w:val="center"/>
          </w:tcPr>
          <w:p w14:paraId="0074BF73">
            <w:pPr>
              <w:pStyle w:val="18"/>
              <w:jc w:val="center"/>
              <w:rPr>
                <w:color w:val="auto"/>
                <w:kern w:val="20"/>
                <w:sz w:val="21"/>
                <w:szCs w:val="21"/>
                <w:highlight w:val="none"/>
              </w:rPr>
            </w:pPr>
            <w:r>
              <w:rPr>
                <w:rFonts w:hint="eastAsia"/>
                <w:color w:val="auto"/>
                <w:kern w:val="20"/>
                <w:sz w:val="21"/>
                <w:szCs w:val="21"/>
                <w:highlight w:val="none"/>
              </w:rPr>
              <w:t>……</w:t>
            </w:r>
          </w:p>
        </w:tc>
        <w:tc>
          <w:tcPr>
            <w:tcW w:w="1466" w:type="dxa"/>
            <w:tcBorders>
              <w:top w:val="single" w:color="auto" w:sz="4" w:space="0"/>
              <w:left w:val="single" w:color="auto" w:sz="4" w:space="0"/>
              <w:bottom w:val="single" w:color="auto" w:sz="4" w:space="0"/>
              <w:right w:val="single" w:color="auto" w:sz="4" w:space="0"/>
            </w:tcBorders>
            <w:vAlign w:val="center"/>
          </w:tcPr>
          <w:p w14:paraId="47ACFB3E">
            <w:pPr>
              <w:pStyle w:val="18"/>
              <w:jc w:val="center"/>
              <w:rPr>
                <w:color w:val="auto"/>
                <w:kern w:val="20"/>
                <w:sz w:val="21"/>
                <w:szCs w:val="21"/>
                <w:highlight w:val="none"/>
              </w:rPr>
            </w:pPr>
            <w:r>
              <w:rPr>
                <w:rFonts w:hint="eastAsia"/>
                <w:color w:val="auto"/>
                <w:kern w:val="20"/>
                <w:sz w:val="21"/>
                <w:szCs w:val="21"/>
                <w:highlight w:val="none"/>
              </w:rPr>
              <w:t>……</w:t>
            </w:r>
          </w:p>
        </w:tc>
        <w:tc>
          <w:tcPr>
            <w:tcW w:w="2149" w:type="dxa"/>
            <w:tcBorders>
              <w:top w:val="single" w:color="auto" w:sz="4" w:space="0"/>
              <w:left w:val="single" w:color="auto" w:sz="4" w:space="0"/>
              <w:bottom w:val="single" w:color="auto" w:sz="4" w:space="0"/>
              <w:right w:val="single" w:color="auto" w:sz="4" w:space="0"/>
            </w:tcBorders>
            <w:vAlign w:val="center"/>
          </w:tcPr>
          <w:p w14:paraId="29F74CBA">
            <w:pPr>
              <w:pStyle w:val="18"/>
              <w:jc w:val="center"/>
              <w:rPr>
                <w:color w:val="auto"/>
                <w:kern w:val="2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4B43AAE">
            <w:pPr>
              <w:pStyle w:val="18"/>
              <w:jc w:val="center"/>
              <w:rPr>
                <w:color w:val="auto"/>
                <w:kern w:val="20"/>
                <w:sz w:val="21"/>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785177F6">
            <w:pPr>
              <w:pStyle w:val="18"/>
              <w:jc w:val="center"/>
              <w:rPr>
                <w:color w:val="auto"/>
                <w:kern w:val="20"/>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3CCC56AA">
            <w:pPr>
              <w:pStyle w:val="18"/>
              <w:jc w:val="center"/>
              <w:rPr>
                <w:color w:val="auto"/>
                <w:kern w:val="20"/>
                <w:sz w:val="21"/>
                <w:szCs w:val="21"/>
                <w:highlight w:val="none"/>
              </w:rPr>
            </w:pPr>
          </w:p>
        </w:tc>
        <w:tc>
          <w:tcPr>
            <w:tcW w:w="966" w:type="dxa"/>
            <w:tcBorders>
              <w:top w:val="single" w:color="auto" w:sz="4" w:space="0"/>
              <w:left w:val="single" w:color="auto" w:sz="4" w:space="0"/>
              <w:bottom w:val="single" w:color="auto" w:sz="4" w:space="0"/>
            </w:tcBorders>
            <w:vAlign w:val="center"/>
          </w:tcPr>
          <w:p w14:paraId="345231DB">
            <w:pPr>
              <w:pStyle w:val="18"/>
              <w:jc w:val="center"/>
              <w:rPr>
                <w:color w:val="auto"/>
                <w:kern w:val="20"/>
                <w:sz w:val="21"/>
                <w:szCs w:val="21"/>
                <w:highlight w:val="none"/>
              </w:rPr>
            </w:pPr>
          </w:p>
        </w:tc>
      </w:tr>
      <w:tr w14:paraId="3287AA9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0" w:type="dxa"/>
            <w:bottom w:w="0" w:type="dxa"/>
            <w:right w:w="0" w:type="dxa"/>
          </w:tblCellMar>
        </w:tblPrEx>
        <w:trPr>
          <w:trHeight w:val="415" w:hRule="exact"/>
        </w:trPr>
        <w:tc>
          <w:tcPr>
            <w:tcW w:w="4276" w:type="dxa"/>
            <w:gridSpan w:val="3"/>
            <w:tcBorders>
              <w:top w:val="single" w:color="auto" w:sz="4" w:space="0"/>
              <w:right w:val="single" w:color="auto" w:sz="4" w:space="0"/>
            </w:tcBorders>
            <w:vAlign w:val="center"/>
          </w:tcPr>
          <w:p w14:paraId="26CFB840">
            <w:pPr>
              <w:pStyle w:val="18"/>
              <w:jc w:val="center"/>
              <w:rPr>
                <w:color w:val="auto"/>
                <w:kern w:val="20"/>
                <w:sz w:val="21"/>
                <w:szCs w:val="21"/>
                <w:highlight w:val="none"/>
              </w:rPr>
            </w:pPr>
            <w:r>
              <w:rPr>
                <w:rFonts w:hint="eastAsia"/>
                <w:color w:val="auto"/>
                <w:kern w:val="20"/>
                <w:sz w:val="21"/>
                <w:szCs w:val="21"/>
                <w:highlight w:val="none"/>
              </w:rPr>
              <w:t>总价</w:t>
            </w:r>
          </w:p>
        </w:tc>
        <w:tc>
          <w:tcPr>
            <w:tcW w:w="3405" w:type="dxa"/>
            <w:gridSpan w:val="3"/>
            <w:tcBorders>
              <w:top w:val="single" w:color="auto" w:sz="4" w:space="0"/>
              <w:left w:val="single" w:color="auto" w:sz="4" w:space="0"/>
              <w:right w:val="single" w:color="auto" w:sz="4" w:space="0"/>
            </w:tcBorders>
            <w:vAlign w:val="center"/>
          </w:tcPr>
          <w:p w14:paraId="33C6D212">
            <w:pPr>
              <w:pStyle w:val="18"/>
              <w:jc w:val="center"/>
              <w:rPr>
                <w:color w:val="auto"/>
                <w:kern w:val="20"/>
                <w:sz w:val="21"/>
                <w:szCs w:val="21"/>
                <w:highlight w:val="none"/>
              </w:rPr>
            </w:pPr>
          </w:p>
        </w:tc>
        <w:tc>
          <w:tcPr>
            <w:tcW w:w="966" w:type="dxa"/>
            <w:tcBorders>
              <w:top w:val="single" w:color="auto" w:sz="4" w:space="0"/>
              <w:left w:val="single" w:color="auto" w:sz="4" w:space="0"/>
            </w:tcBorders>
            <w:vAlign w:val="center"/>
          </w:tcPr>
          <w:p w14:paraId="47A77535">
            <w:pPr>
              <w:pStyle w:val="18"/>
              <w:jc w:val="center"/>
              <w:rPr>
                <w:color w:val="auto"/>
                <w:kern w:val="20"/>
                <w:sz w:val="21"/>
                <w:szCs w:val="21"/>
                <w:highlight w:val="none"/>
              </w:rPr>
            </w:pPr>
          </w:p>
        </w:tc>
      </w:tr>
    </w:tbl>
    <w:p w14:paraId="607F25BE">
      <w:pPr>
        <w:adjustRightInd w:val="0"/>
        <w:snapToGrid w:val="0"/>
        <w:spacing w:line="360" w:lineRule="auto"/>
        <w:rPr>
          <w:rFonts w:ascii="宋体" w:hAnsi="宋体" w:cs="宋体"/>
          <w:color w:val="auto"/>
          <w:szCs w:val="21"/>
          <w:highlight w:val="none"/>
        </w:rPr>
      </w:pPr>
    </w:p>
    <w:p w14:paraId="1AB2759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482CDD8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p>
    <w:p w14:paraId="11BC4988">
      <w:pPr>
        <w:adjustRightInd w:val="0"/>
        <w:snapToGrid w:val="0"/>
        <w:spacing w:line="360" w:lineRule="auto"/>
        <w:rPr>
          <w:rFonts w:ascii="宋体" w:hAnsi="宋体" w:cs="宋体"/>
          <w:color w:val="auto"/>
          <w:kern w:val="0"/>
          <w:szCs w:val="21"/>
          <w:highlight w:val="none"/>
        </w:rPr>
        <w:sectPr>
          <w:pgSz w:w="11906" w:h="16838"/>
          <w:pgMar w:top="1587" w:right="1474" w:bottom="1474" w:left="1587" w:header="851" w:footer="992" w:gutter="0"/>
          <w:pgNumType w:fmt="decimal"/>
          <w:cols w:space="0" w:num="1"/>
          <w:docGrid w:linePitch="312" w:charSpace="0"/>
        </w:sectPr>
      </w:pPr>
      <w:r>
        <w:rPr>
          <w:rFonts w:hint="eastAsia" w:ascii="宋体" w:hAnsi="宋体" w:cs="宋体"/>
          <w:color w:val="auto"/>
          <w:szCs w:val="21"/>
          <w:highlight w:val="none"/>
        </w:rPr>
        <w:t>日期：年月日</w:t>
      </w:r>
    </w:p>
    <w:p w14:paraId="2A90B354">
      <w:pPr>
        <w:pStyle w:val="5"/>
        <w:jc w:val="left"/>
        <w:rPr>
          <w:rFonts w:ascii="宋体" w:hAnsi="宋体" w:eastAsia="宋体" w:cs="宋体"/>
          <w:bCs w:val="0"/>
          <w:color w:val="auto"/>
          <w:highlight w:val="none"/>
        </w:rPr>
      </w:pPr>
      <w:r>
        <w:rPr>
          <w:rFonts w:hint="eastAsia" w:ascii="宋体" w:hAnsi="宋体" w:cs="宋体"/>
          <w:bCs w:val="0"/>
          <w:color w:val="auto"/>
          <w:spacing w:val="6"/>
          <w:kern w:val="0"/>
          <w:sz w:val="24"/>
          <w:szCs w:val="24"/>
          <w:highlight w:val="none"/>
        </w:rPr>
        <w:t xml:space="preserve">附2-1 </w:t>
      </w:r>
      <w:r>
        <w:rPr>
          <w:rFonts w:hint="eastAsia" w:ascii="宋体" w:hAnsi="宋体" w:eastAsia="宋体" w:cs="宋体"/>
          <w:bCs w:val="0"/>
          <w:color w:val="auto"/>
          <w:spacing w:val="6"/>
          <w:kern w:val="0"/>
          <w:sz w:val="24"/>
          <w:szCs w:val="24"/>
          <w:highlight w:val="none"/>
        </w:rPr>
        <w:t>政府采购价格评审优惠清单报价表</w:t>
      </w:r>
    </w:p>
    <w:p w14:paraId="2F49B810">
      <w:pPr>
        <w:rPr>
          <w:color w:val="auto"/>
          <w:highlight w:val="none"/>
        </w:rPr>
      </w:pPr>
    </w:p>
    <w:p w14:paraId="20408EF2">
      <w:pPr>
        <w:adjustRightInd w:val="0"/>
        <w:snapToGrid w:val="0"/>
        <w:spacing w:line="360" w:lineRule="auto"/>
        <w:rPr>
          <w:rFonts w:ascii="宋体" w:hAnsi="宋体" w:cs="宋体"/>
          <w:color w:val="auto"/>
          <w:szCs w:val="21"/>
          <w:highlight w:val="none"/>
        </w:rPr>
      </w:pPr>
    </w:p>
    <w:p w14:paraId="14CB6330">
      <w:pPr>
        <w:adjustRightInd w:val="0"/>
        <w:snapToGrid w:val="0"/>
        <w:spacing w:line="360" w:lineRule="auto"/>
        <w:rPr>
          <w:rFonts w:ascii="宋体" w:hAnsi="宋体" w:cs="宋体"/>
          <w:color w:val="auto"/>
          <w:szCs w:val="21"/>
          <w:highlight w:val="none"/>
        </w:rPr>
      </w:pPr>
    </w:p>
    <w:p w14:paraId="66D6629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                       政府采购编号：</w:t>
      </w:r>
    </w:p>
    <w:p w14:paraId="167CFE4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包    号：                      包货物名称：</w:t>
      </w:r>
    </w:p>
    <w:p w14:paraId="1EDC2073">
      <w:pPr>
        <w:adjustRightInd w:val="0"/>
        <w:snapToGrid w:val="0"/>
        <w:spacing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2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701"/>
        <w:gridCol w:w="1866"/>
        <w:gridCol w:w="2103"/>
        <w:gridCol w:w="1276"/>
      </w:tblGrid>
      <w:tr w14:paraId="4E5B0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8789" w:type="dxa"/>
            <w:gridSpan w:val="6"/>
            <w:vAlign w:val="center"/>
          </w:tcPr>
          <w:p w14:paraId="3681F456">
            <w:pPr>
              <w:pStyle w:val="18"/>
              <w:jc w:val="center"/>
              <w:rPr>
                <w:color w:val="auto"/>
                <w:kern w:val="20"/>
                <w:sz w:val="21"/>
                <w:szCs w:val="21"/>
                <w:highlight w:val="none"/>
              </w:rPr>
            </w:pPr>
            <w:r>
              <w:rPr>
                <w:rFonts w:hint="eastAsia"/>
                <w:color w:val="auto"/>
                <w:kern w:val="20"/>
                <w:sz w:val="21"/>
                <w:szCs w:val="21"/>
                <w:highlight w:val="none"/>
              </w:rPr>
              <w:t>本单位对本表的真实性负责。如有虚假，将依法承担相应责任。</w:t>
            </w:r>
          </w:p>
        </w:tc>
      </w:tr>
      <w:tr w14:paraId="1E58A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14:paraId="17D4A10F">
            <w:pPr>
              <w:pStyle w:val="18"/>
              <w:jc w:val="center"/>
              <w:rPr>
                <w:color w:val="auto"/>
                <w:kern w:val="20"/>
                <w:sz w:val="21"/>
                <w:szCs w:val="21"/>
                <w:highlight w:val="none"/>
              </w:rPr>
            </w:pPr>
            <w:r>
              <w:rPr>
                <w:rFonts w:hint="eastAsia"/>
                <w:color w:val="auto"/>
                <w:kern w:val="20"/>
                <w:sz w:val="21"/>
                <w:szCs w:val="21"/>
                <w:highlight w:val="none"/>
              </w:rPr>
              <w:t>1</w:t>
            </w:r>
          </w:p>
        </w:tc>
        <w:tc>
          <w:tcPr>
            <w:tcW w:w="1134" w:type="dxa"/>
            <w:vAlign w:val="center"/>
          </w:tcPr>
          <w:p w14:paraId="039337DF">
            <w:pPr>
              <w:pStyle w:val="18"/>
              <w:jc w:val="center"/>
              <w:rPr>
                <w:color w:val="auto"/>
                <w:kern w:val="20"/>
                <w:sz w:val="21"/>
                <w:szCs w:val="21"/>
                <w:highlight w:val="none"/>
              </w:rPr>
            </w:pPr>
            <w:r>
              <w:rPr>
                <w:rFonts w:hint="eastAsia"/>
                <w:color w:val="auto"/>
                <w:kern w:val="20"/>
                <w:sz w:val="21"/>
                <w:szCs w:val="21"/>
                <w:highlight w:val="none"/>
              </w:rPr>
              <w:t>2</w:t>
            </w:r>
          </w:p>
        </w:tc>
        <w:tc>
          <w:tcPr>
            <w:tcW w:w="1701" w:type="dxa"/>
            <w:vAlign w:val="center"/>
          </w:tcPr>
          <w:p w14:paraId="6E7F8A3C">
            <w:pPr>
              <w:pStyle w:val="18"/>
              <w:jc w:val="center"/>
              <w:rPr>
                <w:color w:val="auto"/>
                <w:kern w:val="20"/>
                <w:sz w:val="21"/>
                <w:szCs w:val="21"/>
                <w:highlight w:val="none"/>
              </w:rPr>
            </w:pPr>
            <w:r>
              <w:rPr>
                <w:rFonts w:hint="eastAsia"/>
                <w:color w:val="auto"/>
                <w:kern w:val="20"/>
                <w:sz w:val="21"/>
                <w:szCs w:val="21"/>
                <w:highlight w:val="none"/>
              </w:rPr>
              <w:t>3</w:t>
            </w:r>
          </w:p>
        </w:tc>
        <w:tc>
          <w:tcPr>
            <w:tcW w:w="1866" w:type="dxa"/>
            <w:vAlign w:val="center"/>
          </w:tcPr>
          <w:p w14:paraId="421D1D07">
            <w:pPr>
              <w:pStyle w:val="18"/>
              <w:jc w:val="center"/>
              <w:rPr>
                <w:color w:val="auto"/>
                <w:kern w:val="20"/>
                <w:sz w:val="21"/>
                <w:szCs w:val="21"/>
                <w:highlight w:val="none"/>
              </w:rPr>
            </w:pPr>
            <w:r>
              <w:rPr>
                <w:rFonts w:hint="eastAsia"/>
                <w:color w:val="auto"/>
                <w:kern w:val="20"/>
                <w:sz w:val="21"/>
                <w:szCs w:val="21"/>
                <w:highlight w:val="none"/>
              </w:rPr>
              <w:t>4</w:t>
            </w:r>
          </w:p>
        </w:tc>
        <w:tc>
          <w:tcPr>
            <w:tcW w:w="2103" w:type="dxa"/>
            <w:vAlign w:val="center"/>
          </w:tcPr>
          <w:p w14:paraId="62C9EE41">
            <w:pPr>
              <w:pStyle w:val="18"/>
              <w:jc w:val="center"/>
              <w:rPr>
                <w:color w:val="auto"/>
                <w:kern w:val="20"/>
                <w:sz w:val="21"/>
                <w:szCs w:val="21"/>
                <w:highlight w:val="none"/>
              </w:rPr>
            </w:pPr>
            <w:r>
              <w:rPr>
                <w:rFonts w:hint="eastAsia"/>
                <w:color w:val="auto"/>
                <w:kern w:val="20"/>
                <w:sz w:val="21"/>
                <w:szCs w:val="21"/>
                <w:highlight w:val="none"/>
              </w:rPr>
              <w:t>5</w:t>
            </w:r>
          </w:p>
        </w:tc>
        <w:tc>
          <w:tcPr>
            <w:tcW w:w="1276" w:type="dxa"/>
            <w:vAlign w:val="center"/>
          </w:tcPr>
          <w:p w14:paraId="7A208790">
            <w:pPr>
              <w:pStyle w:val="18"/>
              <w:jc w:val="center"/>
              <w:rPr>
                <w:color w:val="auto"/>
                <w:kern w:val="20"/>
                <w:sz w:val="21"/>
                <w:szCs w:val="21"/>
                <w:highlight w:val="none"/>
              </w:rPr>
            </w:pPr>
            <w:r>
              <w:rPr>
                <w:rFonts w:hint="eastAsia"/>
                <w:color w:val="auto"/>
                <w:kern w:val="20"/>
                <w:sz w:val="21"/>
                <w:szCs w:val="21"/>
                <w:highlight w:val="none"/>
              </w:rPr>
              <w:t>6</w:t>
            </w:r>
          </w:p>
        </w:tc>
      </w:tr>
      <w:tr w14:paraId="71399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709" w:type="dxa"/>
            <w:vAlign w:val="center"/>
          </w:tcPr>
          <w:p w14:paraId="3B126EB2">
            <w:pPr>
              <w:pStyle w:val="18"/>
              <w:jc w:val="center"/>
              <w:rPr>
                <w:color w:val="auto"/>
                <w:kern w:val="20"/>
                <w:sz w:val="21"/>
                <w:szCs w:val="21"/>
                <w:highlight w:val="none"/>
              </w:rPr>
            </w:pPr>
            <w:r>
              <w:rPr>
                <w:rFonts w:hint="eastAsia"/>
                <w:color w:val="auto"/>
                <w:kern w:val="20"/>
                <w:sz w:val="21"/>
                <w:szCs w:val="21"/>
                <w:highlight w:val="none"/>
              </w:rPr>
              <w:t>序号</w:t>
            </w:r>
          </w:p>
        </w:tc>
        <w:tc>
          <w:tcPr>
            <w:tcW w:w="1134" w:type="dxa"/>
            <w:vAlign w:val="center"/>
          </w:tcPr>
          <w:p w14:paraId="7BFE7DCF">
            <w:pPr>
              <w:pStyle w:val="18"/>
              <w:jc w:val="center"/>
              <w:rPr>
                <w:color w:val="auto"/>
                <w:kern w:val="20"/>
                <w:sz w:val="21"/>
                <w:szCs w:val="21"/>
                <w:highlight w:val="none"/>
              </w:rPr>
            </w:pPr>
            <w:r>
              <w:rPr>
                <w:rFonts w:hint="eastAsia"/>
                <w:color w:val="auto"/>
                <w:kern w:val="20"/>
                <w:sz w:val="21"/>
                <w:szCs w:val="21"/>
                <w:highlight w:val="none"/>
              </w:rPr>
              <w:t>货物名称</w:t>
            </w:r>
          </w:p>
        </w:tc>
        <w:tc>
          <w:tcPr>
            <w:tcW w:w="1701" w:type="dxa"/>
            <w:vAlign w:val="center"/>
          </w:tcPr>
          <w:p w14:paraId="1BF57ABD">
            <w:pPr>
              <w:pStyle w:val="18"/>
              <w:jc w:val="center"/>
              <w:rPr>
                <w:color w:val="auto"/>
                <w:kern w:val="20"/>
                <w:sz w:val="21"/>
                <w:szCs w:val="21"/>
                <w:highlight w:val="none"/>
              </w:rPr>
            </w:pPr>
            <w:r>
              <w:rPr>
                <w:rFonts w:hint="eastAsia"/>
                <w:color w:val="auto"/>
                <w:kern w:val="20"/>
                <w:sz w:val="21"/>
                <w:szCs w:val="21"/>
                <w:highlight w:val="none"/>
              </w:rPr>
              <w:t>价格（元）</w:t>
            </w:r>
          </w:p>
        </w:tc>
        <w:tc>
          <w:tcPr>
            <w:tcW w:w="1866" w:type="dxa"/>
            <w:vAlign w:val="center"/>
          </w:tcPr>
          <w:p w14:paraId="401E077D">
            <w:pPr>
              <w:pStyle w:val="18"/>
              <w:jc w:val="center"/>
              <w:rPr>
                <w:color w:val="auto"/>
                <w:kern w:val="20"/>
                <w:sz w:val="21"/>
                <w:szCs w:val="21"/>
                <w:highlight w:val="none"/>
              </w:rPr>
            </w:pPr>
            <w:r>
              <w:rPr>
                <w:rFonts w:hint="eastAsia"/>
                <w:color w:val="auto"/>
                <w:kern w:val="20"/>
                <w:sz w:val="21"/>
                <w:szCs w:val="21"/>
                <w:highlight w:val="none"/>
              </w:rPr>
              <w:t>货物制造商名称</w:t>
            </w:r>
          </w:p>
        </w:tc>
        <w:tc>
          <w:tcPr>
            <w:tcW w:w="2103" w:type="dxa"/>
            <w:vAlign w:val="center"/>
          </w:tcPr>
          <w:p w14:paraId="282EBE24">
            <w:pPr>
              <w:pStyle w:val="18"/>
              <w:jc w:val="center"/>
              <w:rPr>
                <w:color w:val="auto"/>
                <w:kern w:val="20"/>
                <w:sz w:val="21"/>
                <w:szCs w:val="21"/>
                <w:highlight w:val="none"/>
              </w:rPr>
            </w:pPr>
            <w:r>
              <w:rPr>
                <w:rFonts w:hint="eastAsia"/>
                <w:color w:val="auto"/>
                <w:kern w:val="20"/>
                <w:sz w:val="21"/>
                <w:szCs w:val="21"/>
                <w:highlight w:val="none"/>
              </w:rPr>
              <w:t>货物制造商类型</w:t>
            </w:r>
          </w:p>
        </w:tc>
        <w:tc>
          <w:tcPr>
            <w:tcW w:w="1276" w:type="dxa"/>
            <w:vAlign w:val="center"/>
          </w:tcPr>
          <w:p w14:paraId="33D78E1E">
            <w:pPr>
              <w:pStyle w:val="18"/>
              <w:jc w:val="center"/>
              <w:rPr>
                <w:color w:val="auto"/>
                <w:kern w:val="20"/>
                <w:sz w:val="21"/>
                <w:szCs w:val="21"/>
                <w:highlight w:val="none"/>
              </w:rPr>
            </w:pPr>
            <w:r>
              <w:rPr>
                <w:rFonts w:hint="eastAsia"/>
                <w:color w:val="auto"/>
                <w:kern w:val="20"/>
                <w:sz w:val="21"/>
                <w:szCs w:val="21"/>
                <w:highlight w:val="none"/>
              </w:rPr>
              <w:t>商标名称</w:t>
            </w:r>
          </w:p>
        </w:tc>
      </w:tr>
      <w:tr w14:paraId="686F3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71695565">
            <w:pPr>
              <w:pStyle w:val="18"/>
              <w:jc w:val="center"/>
              <w:rPr>
                <w:color w:val="auto"/>
                <w:kern w:val="20"/>
                <w:sz w:val="21"/>
                <w:szCs w:val="21"/>
                <w:highlight w:val="none"/>
              </w:rPr>
            </w:pPr>
          </w:p>
        </w:tc>
        <w:tc>
          <w:tcPr>
            <w:tcW w:w="1134" w:type="dxa"/>
            <w:vAlign w:val="center"/>
          </w:tcPr>
          <w:p w14:paraId="7538C67D">
            <w:pPr>
              <w:pStyle w:val="18"/>
              <w:jc w:val="center"/>
              <w:rPr>
                <w:color w:val="auto"/>
                <w:kern w:val="20"/>
                <w:sz w:val="21"/>
                <w:szCs w:val="21"/>
                <w:highlight w:val="none"/>
              </w:rPr>
            </w:pPr>
          </w:p>
        </w:tc>
        <w:tc>
          <w:tcPr>
            <w:tcW w:w="1701" w:type="dxa"/>
            <w:vAlign w:val="center"/>
          </w:tcPr>
          <w:p w14:paraId="3BD8CD90">
            <w:pPr>
              <w:pStyle w:val="18"/>
              <w:jc w:val="center"/>
              <w:rPr>
                <w:color w:val="auto"/>
                <w:kern w:val="20"/>
                <w:sz w:val="21"/>
                <w:szCs w:val="21"/>
                <w:highlight w:val="none"/>
              </w:rPr>
            </w:pPr>
          </w:p>
        </w:tc>
        <w:tc>
          <w:tcPr>
            <w:tcW w:w="1866" w:type="dxa"/>
            <w:vAlign w:val="center"/>
          </w:tcPr>
          <w:p w14:paraId="6E14E76B">
            <w:pPr>
              <w:pStyle w:val="18"/>
              <w:jc w:val="center"/>
              <w:rPr>
                <w:color w:val="auto"/>
                <w:kern w:val="20"/>
                <w:sz w:val="21"/>
                <w:szCs w:val="21"/>
                <w:highlight w:val="none"/>
              </w:rPr>
            </w:pPr>
          </w:p>
        </w:tc>
        <w:tc>
          <w:tcPr>
            <w:tcW w:w="2103" w:type="dxa"/>
            <w:vAlign w:val="center"/>
          </w:tcPr>
          <w:p w14:paraId="0F4A15AA">
            <w:pPr>
              <w:pStyle w:val="18"/>
              <w:jc w:val="center"/>
              <w:rPr>
                <w:color w:val="auto"/>
                <w:kern w:val="20"/>
                <w:sz w:val="21"/>
                <w:szCs w:val="21"/>
                <w:highlight w:val="none"/>
              </w:rPr>
            </w:pPr>
          </w:p>
        </w:tc>
        <w:tc>
          <w:tcPr>
            <w:tcW w:w="1276" w:type="dxa"/>
            <w:vAlign w:val="center"/>
          </w:tcPr>
          <w:p w14:paraId="6B5F979D">
            <w:pPr>
              <w:pStyle w:val="18"/>
              <w:jc w:val="center"/>
              <w:rPr>
                <w:color w:val="auto"/>
                <w:kern w:val="20"/>
                <w:sz w:val="21"/>
                <w:szCs w:val="21"/>
                <w:highlight w:val="none"/>
              </w:rPr>
            </w:pPr>
          </w:p>
        </w:tc>
      </w:tr>
      <w:tr w14:paraId="3E6A3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3390B335">
            <w:pPr>
              <w:pStyle w:val="18"/>
              <w:jc w:val="center"/>
              <w:rPr>
                <w:color w:val="auto"/>
                <w:kern w:val="20"/>
                <w:sz w:val="21"/>
                <w:szCs w:val="21"/>
                <w:highlight w:val="none"/>
              </w:rPr>
            </w:pPr>
          </w:p>
        </w:tc>
        <w:tc>
          <w:tcPr>
            <w:tcW w:w="1134" w:type="dxa"/>
            <w:vAlign w:val="center"/>
          </w:tcPr>
          <w:p w14:paraId="4F12860B">
            <w:pPr>
              <w:pStyle w:val="18"/>
              <w:jc w:val="center"/>
              <w:rPr>
                <w:color w:val="auto"/>
                <w:kern w:val="20"/>
                <w:sz w:val="21"/>
                <w:szCs w:val="21"/>
                <w:highlight w:val="none"/>
              </w:rPr>
            </w:pPr>
          </w:p>
        </w:tc>
        <w:tc>
          <w:tcPr>
            <w:tcW w:w="1701" w:type="dxa"/>
            <w:vAlign w:val="center"/>
          </w:tcPr>
          <w:p w14:paraId="1311735B">
            <w:pPr>
              <w:pStyle w:val="18"/>
              <w:jc w:val="center"/>
              <w:rPr>
                <w:color w:val="auto"/>
                <w:kern w:val="20"/>
                <w:sz w:val="21"/>
                <w:szCs w:val="21"/>
                <w:highlight w:val="none"/>
              </w:rPr>
            </w:pPr>
          </w:p>
        </w:tc>
        <w:tc>
          <w:tcPr>
            <w:tcW w:w="1866" w:type="dxa"/>
            <w:vAlign w:val="center"/>
          </w:tcPr>
          <w:p w14:paraId="70865602">
            <w:pPr>
              <w:pStyle w:val="18"/>
              <w:jc w:val="center"/>
              <w:rPr>
                <w:color w:val="auto"/>
                <w:kern w:val="20"/>
                <w:sz w:val="21"/>
                <w:szCs w:val="21"/>
                <w:highlight w:val="none"/>
              </w:rPr>
            </w:pPr>
          </w:p>
        </w:tc>
        <w:tc>
          <w:tcPr>
            <w:tcW w:w="2103" w:type="dxa"/>
            <w:vAlign w:val="center"/>
          </w:tcPr>
          <w:p w14:paraId="7E87F856">
            <w:pPr>
              <w:pStyle w:val="18"/>
              <w:jc w:val="center"/>
              <w:rPr>
                <w:color w:val="auto"/>
                <w:kern w:val="20"/>
                <w:sz w:val="21"/>
                <w:szCs w:val="21"/>
                <w:highlight w:val="none"/>
              </w:rPr>
            </w:pPr>
          </w:p>
        </w:tc>
        <w:tc>
          <w:tcPr>
            <w:tcW w:w="1276" w:type="dxa"/>
            <w:vAlign w:val="center"/>
          </w:tcPr>
          <w:p w14:paraId="4843C6EA">
            <w:pPr>
              <w:pStyle w:val="18"/>
              <w:jc w:val="center"/>
              <w:rPr>
                <w:color w:val="auto"/>
                <w:kern w:val="20"/>
                <w:sz w:val="21"/>
                <w:szCs w:val="21"/>
                <w:highlight w:val="none"/>
              </w:rPr>
            </w:pPr>
          </w:p>
        </w:tc>
      </w:tr>
      <w:tr w14:paraId="03FA3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373BBD69">
            <w:pPr>
              <w:pStyle w:val="18"/>
              <w:jc w:val="center"/>
              <w:rPr>
                <w:color w:val="auto"/>
                <w:kern w:val="20"/>
                <w:sz w:val="21"/>
                <w:szCs w:val="21"/>
                <w:highlight w:val="none"/>
              </w:rPr>
            </w:pPr>
            <w:r>
              <w:rPr>
                <w:rFonts w:hint="eastAsia"/>
                <w:color w:val="auto"/>
                <w:kern w:val="20"/>
                <w:sz w:val="21"/>
                <w:szCs w:val="21"/>
                <w:highlight w:val="none"/>
              </w:rPr>
              <w:t>小计</w:t>
            </w:r>
          </w:p>
        </w:tc>
        <w:tc>
          <w:tcPr>
            <w:tcW w:w="1134" w:type="dxa"/>
            <w:vAlign w:val="center"/>
          </w:tcPr>
          <w:p w14:paraId="1FC3DBBB">
            <w:pPr>
              <w:pStyle w:val="18"/>
              <w:jc w:val="center"/>
              <w:rPr>
                <w:color w:val="auto"/>
                <w:kern w:val="20"/>
                <w:sz w:val="21"/>
                <w:szCs w:val="21"/>
                <w:highlight w:val="none"/>
              </w:rPr>
            </w:pPr>
            <w:r>
              <w:rPr>
                <w:rFonts w:hint="eastAsia"/>
                <w:color w:val="auto"/>
                <w:kern w:val="20"/>
                <w:sz w:val="21"/>
                <w:szCs w:val="21"/>
                <w:highlight w:val="none"/>
              </w:rPr>
              <w:t>/</w:t>
            </w:r>
          </w:p>
        </w:tc>
        <w:tc>
          <w:tcPr>
            <w:tcW w:w="1701" w:type="dxa"/>
            <w:vAlign w:val="center"/>
          </w:tcPr>
          <w:p w14:paraId="49722D04">
            <w:pPr>
              <w:pStyle w:val="18"/>
              <w:jc w:val="center"/>
              <w:rPr>
                <w:color w:val="auto"/>
                <w:kern w:val="20"/>
                <w:sz w:val="21"/>
                <w:szCs w:val="21"/>
                <w:highlight w:val="none"/>
              </w:rPr>
            </w:pPr>
          </w:p>
        </w:tc>
        <w:tc>
          <w:tcPr>
            <w:tcW w:w="1866" w:type="dxa"/>
            <w:vAlign w:val="center"/>
          </w:tcPr>
          <w:p w14:paraId="7DEAF7B8">
            <w:pPr>
              <w:pStyle w:val="18"/>
              <w:jc w:val="center"/>
              <w:rPr>
                <w:color w:val="auto"/>
                <w:kern w:val="20"/>
                <w:sz w:val="21"/>
                <w:szCs w:val="21"/>
                <w:highlight w:val="none"/>
              </w:rPr>
            </w:pPr>
            <w:r>
              <w:rPr>
                <w:rFonts w:hint="eastAsia"/>
                <w:color w:val="auto"/>
                <w:kern w:val="20"/>
                <w:sz w:val="21"/>
                <w:szCs w:val="21"/>
                <w:highlight w:val="none"/>
              </w:rPr>
              <w:t>/</w:t>
            </w:r>
          </w:p>
        </w:tc>
        <w:tc>
          <w:tcPr>
            <w:tcW w:w="2103" w:type="dxa"/>
            <w:vAlign w:val="center"/>
          </w:tcPr>
          <w:p w14:paraId="74E90E16">
            <w:pPr>
              <w:pStyle w:val="18"/>
              <w:jc w:val="center"/>
              <w:rPr>
                <w:color w:val="auto"/>
                <w:kern w:val="20"/>
                <w:sz w:val="21"/>
                <w:szCs w:val="21"/>
                <w:highlight w:val="none"/>
              </w:rPr>
            </w:pPr>
            <w:r>
              <w:rPr>
                <w:rFonts w:hint="eastAsia"/>
                <w:color w:val="auto"/>
                <w:kern w:val="20"/>
                <w:sz w:val="21"/>
                <w:szCs w:val="21"/>
                <w:highlight w:val="none"/>
              </w:rPr>
              <w:t>/</w:t>
            </w:r>
          </w:p>
        </w:tc>
        <w:tc>
          <w:tcPr>
            <w:tcW w:w="1276" w:type="dxa"/>
            <w:vAlign w:val="center"/>
          </w:tcPr>
          <w:p w14:paraId="6354D130">
            <w:pPr>
              <w:pStyle w:val="18"/>
              <w:jc w:val="center"/>
              <w:rPr>
                <w:color w:val="auto"/>
                <w:kern w:val="20"/>
                <w:sz w:val="21"/>
                <w:szCs w:val="21"/>
                <w:highlight w:val="none"/>
              </w:rPr>
            </w:pPr>
            <w:r>
              <w:rPr>
                <w:rFonts w:hint="eastAsia"/>
                <w:color w:val="auto"/>
                <w:kern w:val="20"/>
                <w:sz w:val="21"/>
                <w:szCs w:val="21"/>
                <w:highlight w:val="none"/>
              </w:rPr>
              <w:t>/</w:t>
            </w:r>
          </w:p>
        </w:tc>
      </w:tr>
    </w:tbl>
    <w:p w14:paraId="2B41861B">
      <w:pPr>
        <w:widowControl/>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说明：1、本表用于计算政府采购价格评审优惠（中小企业或者监狱企业或者残疾人福利性单位）应享受的政府采购政策价格扣除。</w:t>
      </w:r>
    </w:p>
    <w:p w14:paraId="1126C38E">
      <w:pPr>
        <w:widowControl/>
        <w:adjustRightInd w:val="0"/>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2、栏目3“价格”为综合单价，包含该货物所有隐含的内容，如运输费、保险费、管理费和利润等。</w:t>
      </w:r>
    </w:p>
    <w:p w14:paraId="30AF1848">
      <w:pPr>
        <w:widowControl/>
        <w:adjustRightInd w:val="0"/>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3、货物制造商类型填写小型、微型，或者监狱企业或者残疾人福利性单位。监狱企业或者残疾人福利性单位视同属于小型、微型企业。</w:t>
      </w:r>
    </w:p>
    <w:p w14:paraId="7809E891">
      <w:pPr>
        <w:widowControl/>
        <w:adjustRightInd w:val="0"/>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4、未提供《中小企业声明函》及未按上述要求填写的，评审时本表所有优惠不予以考虑。</w:t>
      </w:r>
    </w:p>
    <w:p w14:paraId="17290DB7">
      <w:pPr>
        <w:widowControl/>
        <w:adjustRightInd w:val="0"/>
        <w:snapToGrid w:val="0"/>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5、供应商在提交响应文件的截止时间前修改“开标一览表”中的响应报价的，涉及本表相应内容应同时修改。</w:t>
      </w:r>
    </w:p>
    <w:p w14:paraId="55E90295">
      <w:pPr>
        <w:adjustRightInd w:val="0"/>
        <w:snapToGrid w:val="0"/>
        <w:spacing w:line="360" w:lineRule="auto"/>
        <w:rPr>
          <w:rFonts w:ascii="宋体" w:hAnsi="宋体" w:cs="宋体"/>
          <w:color w:val="auto"/>
          <w:szCs w:val="21"/>
          <w:highlight w:val="none"/>
        </w:rPr>
      </w:pPr>
    </w:p>
    <w:p w14:paraId="3529DA0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07159F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37D66848">
      <w:pPr>
        <w:adjustRightInd w:val="0"/>
        <w:snapToGrid w:val="0"/>
        <w:spacing w:line="360" w:lineRule="auto"/>
        <w:rPr>
          <w:rFonts w:ascii="宋体" w:hAnsi="宋体" w:cs="宋体"/>
          <w:b/>
          <w:color w:val="auto"/>
          <w:sz w:val="28"/>
          <w:szCs w:val="28"/>
          <w:highlight w:val="none"/>
        </w:rPr>
      </w:pPr>
      <w:r>
        <w:rPr>
          <w:rFonts w:hint="eastAsia" w:ascii="宋体" w:hAnsi="宋体" w:cs="宋体"/>
          <w:color w:val="auto"/>
          <w:szCs w:val="21"/>
          <w:highlight w:val="none"/>
        </w:rPr>
        <w:t>日期：年月日</w:t>
      </w:r>
      <w:r>
        <w:rPr>
          <w:rFonts w:hint="eastAsia" w:ascii="宋体" w:hAnsi="宋体" w:cs="宋体"/>
          <w:b/>
          <w:color w:val="auto"/>
          <w:sz w:val="28"/>
          <w:szCs w:val="28"/>
          <w:highlight w:val="none"/>
        </w:rPr>
        <w:br w:type="page"/>
      </w:r>
    </w:p>
    <w:p w14:paraId="6A89DC91">
      <w:pPr>
        <w:pStyle w:val="5"/>
        <w:jc w:val="left"/>
        <w:rPr>
          <w:rFonts w:ascii="宋体" w:hAnsi="宋体" w:eastAsia="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 xml:space="preserve">附2-2 </w:t>
      </w:r>
      <w:r>
        <w:rPr>
          <w:rFonts w:hint="eastAsia" w:ascii="宋体" w:hAnsi="宋体" w:eastAsia="宋体" w:cs="宋体"/>
          <w:bCs w:val="0"/>
          <w:color w:val="auto"/>
          <w:spacing w:val="6"/>
          <w:kern w:val="0"/>
          <w:sz w:val="24"/>
          <w:szCs w:val="24"/>
          <w:highlight w:val="none"/>
        </w:rPr>
        <w:t>政府采购优先采购产品清单报价表</w:t>
      </w:r>
    </w:p>
    <w:p w14:paraId="7F710AE3">
      <w:pPr>
        <w:rPr>
          <w:color w:val="auto"/>
          <w:highlight w:val="none"/>
        </w:rPr>
      </w:pPr>
    </w:p>
    <w:p w14:paraId="0631F8EC">
      <w:pPr>
        <w:adjustRightInd w:val="0"/>
        <w:snapToGrid w:val="0"/>
        <w:spacing w:line="360" w:lineRule="auto"/>
        <w:rPr>
          <w:rFonts w:ascii="宋体" w:hAnsi="宋体" w:cs="宋体"/>
          <w:color w:val="auto"/>
          <w:szCs w:val="21"/>
          <w:highlight w:val="none"/>
        </w:rPr>
      </w:pPr>
    </w:p>
    <w:p w14:paraId="3B93F77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                       政府采购编号：</w:t>
      </w:r>
    </w:p>
    <w:p w14:paraId="2C0033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包    号：                      包货物名称：</w:t>
      </w:r>
    </w:p>
    <w:p w14:paraId="2F7529C6">
      <w:pPr>
        <w:adjustRightInd w:val="0"/>
        <w:snapToGrid w:val="0"/>
        <w:spacing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2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2552"/>
        <w:gridCol w:w="1984"/>
        <w:gridCol w:w="1843"/>
      </w:tblGrid>
      <w:tr w14:paraId="425A2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71D89A22">
            <w:pPr>
              <w:pStyle w:val="18"/>
              <w:jc w:val="center"/>
              <w:rPr>
                <w:color w:val="auto"/>
                <w:kern w:val="20"/>
                <w:sz w:val="21"/>
                <w:szCs w:val="21"/>
                <w:highlight w:val="none"/>
              </w:rPr>
            </w:pPr>
            <w:r>
              <w:rPr>
                <w:rFonts w:hint="eastAsia"/>
                <w:color w:val="auto"/>
                <w:kern w:val="20"/>
                <w:sz w:val="21"/>
                <w:szCs w:val="21"/>
                <w:highlight w:val="none"/>
              </w:rPr>
              <w:t>本单位对本表的真实性负责。如有虚假，将依法承担相应责任。</w:t>
            </w:r>
          </w:p>
        </w:tc>
      </w:tr>
      <w:tr w14:paraId="12E74B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67ADF902">
            <w:pPr>
              <w:pStyle w:val="18"/>
              <w:jc w:val="center"/>
              <w:rPr>
                <w:color w:val="auto"/>
                <w:kern w:val="20"/>
                <w:sz w:val="21"/>
                <w:szCs w:val="21"/>
                <w:highlight w:val="none"/>
              </w:rPr>
            </w:pPr>
            <w:r>
              <w:rPr>
                <w:rFonts w:hint="eastAsia"/>
                <w:color w:val="auto"/>
                <w:kern w:val="20"/>
                <w:sz w:val="21"/>
                <w:szCs w:val="21"/>
                <w:highlight w:val="none"/>
              </w:rPr>
              <w:t>序号</w:t>
            </w:r>
          </w:p>
        </w:tc>
        <w:tc>
          <w:tcPr>
            <w:tcW w:w="1739" w:type="dxa"/>
            <w:vAlign w:val="center"/>
          </w:tcPr>
          <w:p w14:paraId="10A876AF">
            <w:pPr>
              <w:pStyle w:val="18"/>
              <w:jc w:val="center"/>
              <w:rPr>
                <w:color w:val="auto"/>
                <w:kern w:val="20"/>
                <w:sz w:val="21"/>
                <w:szCs w:val="21"/>
                <w:highlight w:val="none"/>
              </w:rPr>
            </w:pPr>
            <w:r>
              <w:rPr>
                <w:rFonts w:hint="eastAsia"/>
                <w:color w:val="auto"/>
                <w:kern w:val="20"/>
                <w:sz w:val="21"/>
                <w:szCs w:val="21"/>
                <w:highlight w:val="none"/>
              </w:rPr>
              <w:t>货物名称</w:t>
            </w:r>
          </w:p>
        </w:tc>
        <w:tc>
          <w:tcPr>
            <w:tcW w:w="2552" w:type="dxa"/>
            <w:vAlign w:val="center"/>
          </w:tcPr>
          <w:p w14:paraId="755619A4">
            <w:pPr>
              <w:pStyle w:val="18"/>
              <w:jc w:val="center"/>
              <w:rPr>
                <w:color w:val="auto"/>
                <w:kern w:val="20"/>
                <w:sz w:val="21"/>
                <w:szCs w:val="21"/>
                <w:highlight w:val="none"/>
              </w:rPr>
            </w:pPr>
            <w:r>
              <w:rPr>
                <w:rFonts w:hint="eastAsia"/>
                <w:color w:val="auto"/>
                <w:kern w:val="20"/>
                <w:sz w:val="21"/>
                <w:szCs w:val="21"/>
                <w:highlight w:val="none"/>
              </w:rPr>
              <w:t>价格（元）</w:t>
            </w:r>
          </w:p>
        </w:tc>
        <w:tc>
          <w:tcPr>
            <w:tcW w:w="1984" w:type="dxa"/>
            <w:vAlign w:val="center"/>
          </w:tcPr>
          <w:p w14:paraId="4F5D3432">
            <w:pPr>
              <w:pStyle w:val="18"/>
              <w:jc w:val="center"/>
              <w:rPr>
                <w:color w:val="auto"/>
                <w:kern w:val="20"/>
                <w:sz w:val="21"/>
                <w:szCs w:val="21"/>
                <w:highlight w:val="none"/>
              </w:rPr>
            </w:pPr>
            <w:r>
              <w:rPr>
                <w:rFonts w:hint="eastAsia"/>
                <w:color w:val="auto"/>
                <w:kern w:val="20"/>
                <w:sz w:val="21"/>
                <w:szCs w:val="21"/>
                <w:highlight w:val="none"/>
              </w:rPr>
              <w:t>货物制造商名称</w:t>
            </w:r>
          </w:p>
        </w:tc>
        <w:tc>
          <w:tcPr>
            <w:tcW w:w="1843" w:type="dxa"/>
            <w:vAlign w:val="center"/>
          </w:tcPr>
          <w:p w14:paraId="35809123">
            <w:pPr>
              <w:pStyle w:val="18"/>
              <w:jc w:val="center"/>
              <w:rPr>
                <w:color w:val="auto"/>
                <w:kern w:val="20"/>
                <w:sz w:val="21"/>
                <w:szCs w:val="21"/>
                <w:highlight w:val="none"/>
              </w:rPr>
            </w:pPr>
            <w:r>
              <w:rPr>
                <w:rFonts w:hint="eastAsia"/>
                <w:color w:val="auto"/>
                <w:kern w:val="20"/>
                <w:sz w:val="21"/>
                <w:szCs w:val="21"/>
                <w:highlight w:val="none"/>
              </w:rPr>
              <w:t>政策功能编码</w:t>
            </w:r>
          </w:p>
        </w:tc>
      </w:tr>
      <w:tr w14:paraId="6E68B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7137B4D0">
            <w:pPr>
              <w:pStyle w:val="18"/>
              <w:jc w:val="both"/>
              <w:rPr>
                <w:color w:val="auto"/>
                <w:kern w:val="20"/>
                <w:sz w:val="21"/>
                <w:szCs w:val="21"/>
                <w:highlight w:val="none"/>
              </w:rPr>
            </w:pPr>
            <w:r>
              <w:rPr>
                <w:rFonts w:hint="eastAsia"/>
                <w:b/>
                <w:bCs/>
                <w:color w:val="auto"/>
                <w:kern w:val="20"/>
                <w:sz w:val="21"/>
                <w:szCs w:val="21"/>
                <w:highlight w:val="none"/>
              </w:rPr>
              <w:t>节能产品</w:t>
            </w:r>
          </w:p>
        </w:tc>
      </w:tr>
      <w:tr w14:paraId="73090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7EFABF61">
            <w:pPr>
              <w:pStyle w:val="18"/>
              <w:jc w:val="center"/>
              <w:rPr>
                <w:color w:val="auto"/>
                <w:kern w:val="20"/>
                <w:sz w:val="21"/>
                <w:szCs w:val="21"/>
                <w:highlight w:val="none"/>
              </w:rPr>
            </w:pPr>
          </w:p>
        </w:tc>
        <w:tc>
          <w:tcPr>
            <w:tcW w:w="1739" w:type="dxa"/>
            <w:vAlign w:val="center"/>
          </w:tcPr>
          <w:p w14:paraId="2DF975DA">
            <w:pPr>
              <w:pStyle w:val="18"/>
              <w:jc w:val="center"/>
              <w:rPr>
                <w:color w:val="auto"/>
                <w:kern w:val="20"/>
                <w:sz w:val="21"/>
                <w:szCs w:val="21"/>
                <w:highlight w:val="none"/>
              </w:rPr>
            </w:pPr>
          </w:p>
        </w:tc>
        <w:tc>
          <w:tcPr>
            <w:tcW w:w="2552" w:type="dxa"/>
            <w:vAlign w:val="center"/>
          </w:tcPr>
          <w:p w14:paraId="4E2F0E2D">
            <w:pPr>
              <w:pStyle w:val="18"/>
              <w:jc w:val="center"/>
              <w:rPr>
                <w:color w:val="auto"/>
                <w:kern w:val="20"/>
                <w:sz w:val="21"/>
                <w:szCs w:val="21"/>
                <w:highlight w:val="none"/>
              </w:rPr>
            </w:pPr>
          </w:p>
        </w:tc>
        <w:tc>
          <w:tcPr>
            <w:tcW w:w="1984" w:type="dxa"/>
            <w:vAlign w:val="center"/>
          </w:tcPr>
          <w:p w14:paraId="453F532A">
            <w:pPr>
              <w:pStyle w:val="18"/>
              <w:jc w:val="center"/>
              <w:rPr>
                <w:color w:val="auto"/>
                <w:kern w:val="20"/>
                <w:sz w:val="21"/>
                <w:szCs w:val="21"/>
                <w:highlight w:val="none"/>
              </w:rPr>
            </w:pPr>
          </w:p>
        </w:tc>
        <w:tc>
          <w:tcPr>
            <w:tcW w:w="1843" w:type="dxa"/>
          </w:tcPr>
          <w:p w14:paraId="1990AB57">
            <w:pPr>
              <w:pStyle w:val="18"/>
              <w:jc w:val="center"/>
              <w:rPr>
                <w:color w:val="auto"/>
                <w:kern w:val="20"/>
                <w:sz w:val="21"/>
                <w:szCs w:val="21"/>
                <w:highlight w:val="none"/>
              </w:rPr>
            </w:pPr>
          </w:p>
        </w:tc>
      </w:tr>
      <w:tr w14:paraId="64E72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4333F2A7">
            <w:pPr>
              <w:pStyle w:val="18"/>
              <w:jc w:val="center"/>
              <w:rPr>
                <w:color w:val="auto"/>
                <w:kern w:val="20"/>
                <w:sz w:val="21"/>
                <w:szCs w:val="21"/>
                <w:highlight w:val="none"/>
              </w:rPr>
            </w:pPr>
            <w:r>
              <w:rPr>
                <w:rFonts w:hint="eastAsia"/>
                <w:color w:val="auto"/>
                <w:kern w:val="20"/>
                <w:sz w:val="21"/>
                <w:szCs w:val="21"/>
                <w:highlight w:val="none"/>
              </w:rPr>
              <w:t>小计</w:t>
            </w:r>
          </w:p>
        </w:tc>
        <w:tc>
          <w:tcPr>
            <w:tcW w:w="1739" w:type="dxa"/>
            <w:vAlign w:val="center"/>
          </w:tcPr>
          <w:p w14:paraId="2C175452">
            <w:pPr>
              <w:pStyle w:val="18"/>
              <w:jc w:val="center"/>
              <w:rPr>
                <w:color w:val="auto"/>
                <w:kern w:val="20"/>
                <w:sz w:val="21"/>
                <w:szCs w:val="21"/>
                <w:highlight w:val="none"/>
              </w:rPr>
            </w:pPr>
            <w:r>
              <w:rPr>
                <w:rFonts w:hint="eastAsia"/>
                <w:color w:val="auto"/>
                <w:kern w:val="20"/>
                <w:sz w:val="21"/>
                <w:szCs w:val="21"/>
                <w:highlight w:val="none"/>
              </w:rPr>
              <w:t>/</w:t>
            </w:r>
          </w:p>
        </w:tc>
        <w:tc>
          <w:tcPr>
            <w:tcW w:w="2552" w:type="dxa"/>
            <w:vAlign w:val="center"/>
          </w:tcPr>
          <w:p w14:paraId="6095AF5B">
            <w:pPr>
              <w:pStyle w:val="18"/>
              <w:jc w:val="center"/>
              <w:rPr>
                <w:color w:val="auto"/>
                <w:kern w:val="20"/>
                <w:sz w:val="21"/>
                <w:szCs w:val="21"/>
                <w:highlight w:val="none"/>
              </w:rPr>
            </w:pPr>
          </w:p>
        </w:tc>
        <w:tc>
          <w:tcPr>
            <w:tcW w:w="1984" w:type="dxa"/>
            <w:vAlign w:val="center"/>
          </w:tcPr>
          <w:p w14:paraId="5D8F9EAA">
            <w:pPr>
              <w:pStyle w:val="18"/>
              <w:jc w:val="center"/>
              <w:rPr>
                <w:color w:val="auto"/>
                <w:kern w:val="20"/>
                <w:sz w:val="21"/>
                <w:szCs w:val="21"/>
                <w:highlight w:val="none"/>
              </w:rPr>
            </w:pPr>
            <w:r>
              <w:rPr>
                <w:rFonts w:hint="eastAsia"/>
                <w:color w:val="auto"/>
                <w:kern w:val="20"/>
                <w:sz w:val="21"/>
                <w:szCs w:val="21"/>
                <w:highlight w:val="none"/>
              </w:rPr>
              <w:t>/</w:t>
            </w:r>
          </w:p>
        </w:tc>
        <w:tc>
          <w:tcPr>
            <w:tcW w:w="1843" w:type="dxa"/>
          </w:tcPr>
          <w:p w14:paraId="32B233FF">
            <w:pPr>
              <w:pStyle w:val="18"/>
              <w:jc w:val="center"/>
              <w:rPr>
                <w:color w:val="auto"/>
                <w:kern w:val="20"/>
                <w:sz w:val="21"/>
                <w:szCs w:val="21"/>
                <w:highlight w:val="none"/>
              </w:rPr>
            </w:pPr>
            <w:r>
              <w:rPr>
                <w:rFonts w:hint="eastAsia"/>
                <w:color w:val="auto"/>
                <w:kern w:val="20"/>
                <w:sz w:val="21"/>
                <w:szCs w:val="21"/>
                <w:highlight w:val="none"/>
              </w:rPr>
              <w:t>/</w:t>
            </w:r>
          </w:p>
        </w:tc>
      </w:tr>
      <w:tr w14:paraId="16F48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789" w:type="dxa"/>
            <w:gridSpan w:val="5"/>
            <w:vAlign w:val="center"/>
          </w:tcPr>
          <w:p w14:paraId="357A6026">
            <w:pPr>
              <w:pStyle w:val="18"/>
              <w:jc w:val="both"/>
              <w:rPr>
                <w:color w:val="auto"/>
                <w:kern w:val="20"/>
                <w:sz w:val="21"/>
                <w:szCs w:val="21"/>
                <w:highlight w:val="none"/>
              </w:rPr>
            </w:pPr>
            <w:r>
              <w:rPr>
                <w:rFonts w:hint="eastAsia"/>
                <w:b/>
                <w:bCs/>
                <w:color w:val="auto"/>
                <w:kern w:val="20"/>
                <w:sz w:val="21"/>
                <w:szCs w:val="21"/>
                <w:highlight w:val="none"/>
              </w:rPr>
              <w:t>环境标志产品</w:t>
            </w:r>
          </w:p>
        </w:tc>
      </w:tr>
      <w:tr w14:paraId="0A24A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54753036">
            <w:pPr>
              <w:pStyle w:val="18"/>
              <w:jc w:val="center"/>
              <w:rPr>
                <w:color w:val="auto"/>
                <w:kern w:val="20"/>
                <w:sz w:val="21"/>
                <w:szCs w:val="21"/>
                <w:highlight w:val="none"/>
              </w:rPr>
            </w:pPr>
          </w:p>
        </w:tc>
        <w:tc>
          <w:tcPr>
            <w:tcW w:w="1739" w:type="dxa"/>
            <w:vAlign w:val="center"/>
          </w:tcPr>
          <w:p w14:paraId="4CC882C1">
            <w:pPr>
              <w:pStyle w:val="18"/>
              <w:jc w:val="center"/>
              <w:rPr>
                <w:color w:val="auto"/>
                <w:kern w:val="20"/>
                <w:sz w:val="21"/>
                <w:szCs w:val="21"/>
                <w:highlight w:val="none"/>
              </w:rPr>
            </w:pPr>
          </w:p>
        </w:tc>
        <w:tc>
          <w:tcPr>
            <w:tcW w:w="2552" w:type="dxa"/>
            <w:vAlign w:val="center"/>
          </w:tcPr>
          <w:p w14:paraId="44862250">
            <w:pPr>
              <w:pStyle w:val="18"/>
              <w:jc w:val="center"/>
              <w:rPr>
                <w:color w:val="auto"/>
                <w:kern w:val="20"/>
                <w:sz w:val="21"/>
                <w:szCs w:val="21"/>
                <w:highlight w:val="none"/>
              </w:rPr>
            </w:pPr>
          </w:p>
        </w:tc>
        <w:tc>
          <w:tcPr>
            <w:tcW w:w="1984" w:type="dxa"/>
            <w:vAlign w:val="center"/>
          </w:tcPr>
          <w:p w14:paraId="12D36489">
            <w:pPr>
              <w:pStyle w:val="18"/>
              <w:jc w:val="center"/>
              <w:rPr>
                <w:color w:val="auto"/>
                <w:kern w:val="20"/>
                <w:sz w:val="21"/>
                <w:szCs w:val="21"/>
                <w:highlight w:val="none"/>
              </w:rPr>
            </w:pPr>
          </w:p>
        </w:tc>
        <w:tc>
          <w:tcPr>
            <w:tcW w:w="1843" w:type="dxa"/>
          </w:tcPr>
          <w:p w14:paraId="6F43383F">
            <w:pPr>
              <w:pStyle w:val="18"/>
              <w:jc w:val="center"/>
              <w:rPr>
                <w:color w:val="auto"/>
                <w:kern w:val="20"/>
                <w:sz w:val="21"/>
                <w:szCs w:val="21"/>
                <w:highlight w:val="none"/>
              </w:rPr>
            </w:pPr>
          </w:p>
        </w:tc>
      </w:tr>
      <w:tr w14:paraId="7BD81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71" w:type="dxa"/>
            <w:vAlign w:val="center"/>
          </w:tcPr>
          <w:p w14:paraId="02616653">
            <w:pPr>
              <w:pStyle w:val="18"/>
              <w:jc w:val="center"/>
              <w:rPr>
                <w:color w:val="auto"/>
                <w:kern w:val="20"/>
                <w:sz w:val="21"/>
                <w:szCs w:val="21"/>
                <w:highlight w:val="none"/>
              </w:rPr>
            </w:pPr>
            <w:r>
              <w:rPr>
                <w:rFonts w:hint="eastAsia"/>
                <w:color w:val="auto"/>
                <w:kern w:val="20"/>
                <w:sz w:val="21"/>
                <w:szCs w:val="21"/>
                <w:highlight w:val="none"/>
              </w:rPr>
              <w:t>小计</w:t>
            </w:r>
          </w:p>
        </w:tc>
        <w:tc>
          <w:tcPr>
            <w:tcW w:w="1739" w:type="dxa"/>
            <w:vAlign w:val="center"/>
          </w:tcPr>
          <w:p w14:paraId="623ACF53">
            <w:pPr>
              <w:pStyle w:val="18"/>
              <w:jc w:val="center"/>
              <w:rPr>
                <w:color w:val="auto"/>
                <w:kern w:val="20"/>
                <w:sz w:val="21"/>
                <w:szCs w:val="21"/>
                <w:highlight w:val="none"/>
              </w:rPr>
            </w:pPr>
            <w:r>
              <w:rPr>
                <w:rFonts w:hint="eastAsia"/>
                <w:color w:val="auto"/>
                <w:kern w:val="20"/>
                <w:sz w:val="21"/>
                <w:szCs w:val="21"/>
                <w:highlight w:val="none"/>
              </w:rPr>
              <w:t>/</w:t>
            </w:r>
          </w:p>
        </w:tc>
        <w:tc>
          <w:tcPr>
            <w:tcW w:w="2552" w:type="dxa"/>
            <w:vAlign w:val="center"/>
          </w:tcPr>
          <w:p w14:paraId="6F3E0FC9">
            <w:pPr>
              <w:pStyle w:val="18"/>
              <w:jc w:val="center"/>
              <w:rPr>
                <w:color w:val="auto"/>
                <w:kern w:val="20"/>
                <w:sz w:val="21"/>
                <w:szCs w:val="21"/>
                <w:highlight w:val="none"/>
              </w:rPr>
            </w:pPr>
          </w:p>
        </w:tc>
        <w:tc>
          <w:tcPr>
            <w:tcW w:w="1984" w:type="dxa"/>
            <w:vAlign w:val="center"/>
          </w:tcPr>
          <w:p w14:paraId="59292ED6">
            <w:pPr>
              <w:pStyle w:val="18"/>
              <w:jc w:val="center"/>
              <w:rPr>
                <w:color w:val="auto"/>
                <w:kern w:val="20"/>
                <w:sz w:val="21"/>
                <w:szCs w:val="21"/>
                <w:highlight w:val="none"/>
              </w:rPr>
            </w:pPr>
            <w:r>
              <w:rPr>
                <w:rFonts w:hint="eastAsia"/>
                <w:color w:val="auto"/>
                <w:kern w:val="20"/>
                <w:sz w:val="21"/>
                <w:szCs w:val="21"/>
                <w:highlight w:val="none"/>
              </w:rPr>
              <w:t>/</w:t>
            </w:r>
          </w:p>
        </w:tc>
        <w:tc>
          <w:tcPr>
            <w:tcW w:w="1843" w:type="dxa"/>
          </w:tcPr>
          <w:p w14:paraId="14A05B68">
            <w:pPr>
              <w:pStyle w:val="18"/>
              <w:jc w:val="center"/>
              <w:rPr>
                <w:color w:val="auto"/>
                <w:kern w:val="20"/>
                <w:sz w:val="21"/>
                <w:szCs w:val="21"/>
                <w:highlight w:val="none"/>
              </w:rPr>
            </w:pPr>
            <w:r>
              <w:rPr>
                <w:rFonts w:hint="eastAsia"/>
                <w:color w:val="auto"/>
                <w:kern w:val="20"/>
                <w:sz w:val="21"/>
                <w:szCs w:val="21"/>
                <w:highlight w:val="none"/>
              </w:rPr>
              <w:t>/</w:t>
            </w:r>
          </w:p>
        </w:tc>
      </w:tr>
    </w:tbl>
    <w:p w14:paraId="7D7E870C">
      <w:pPr>
        <w:widowControl/>
        <w:adjustRightInd w:val="0"/>
        <w:snapToGrid w:val="0"/>
        <w:spacing w:line="400" w:lineRule="atLeas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bCs/>
          <w:color w:val="auto"/>
          <w:szCs w:val="21"/>
          <w:highlight w:val="none"/>
        </w:rPr>
        <w:t>1、</w:t>
      </w:r>
      <w:r>
        <w:rPr>
          <w:rFonts w:hint="eastAsia" w:ascii="宋体" w:hAnsi="宋体" w:cs="宋体"/>
          <w:color w:val="auto"/>
          <w:szCs w:val="21"/>
          <w:highlight w:val="none"/>
        </w:rPr>
        <w:t>本表用于计算政府采购优先采购产品的政府采购政策加分或者价格扣除。</w:t>
      </w:r>
    </w:p>
    <w:p w14:paraId="747E7AD0">
      <w:pPr>
        <w:widowControl/>
        <w:adjustRightInd w:val="0"/>
        <w:snapToGrid w:val="0"/>
        <w:spacing w:line="400" w:lineRule="atLeas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2、栏目3“价格”为综合单价，包含货物所有隐含的内容，如运输费、保险费、管理费和利润等。</w:t>
      </w:r>
    </w:p>
    <w:p w14:paraId="02655001">
      <w:pPr>
        <w:widowControl/>
        <w:adjustRightInd w:val="0"/>
        <w:snapToGrid w:val="0"/>
        <w:spacing w:line="400" w:lineRule="atLeas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3、未按上述要求提供、</w:t>
      </w:r>
      <w:r>
        <w:rPr>
          <w:rFonts w:hint="eastAsia" w:ascii="宋体" w:hAnsi="宋体" w:cs="宋体"/>
          <w:color w:val="auto"/>
          <w:szCs w:val="21"/>
          <w:highlight w:val="none"/>
        </w:rPr>
        <w:t>填写的，</w:t>
      </w:r>
      <w:r>
        <w:rPr>
          <w:rFonts w:hint="eastAsia" w:ascii="宋体" w:hAnsi="宋体" w:cs="宋体"/>
          <w:bCs/>
          <w:color w:val="auto"/>
          <w:szCs w:val="21"/>
          <w:highlight w:val="none"/>
        </w:rPr>
        <w:t>评审时本表所有优惠不予以考虑。</w:t>
      </w:r>
    </w:p>
    <w:p w14:paraId="6E0B3798">
      <w:pPr>
        <w:widowControl/>
        <w:adjustRightInd w:val="0"/>
        <w:snapToGrid w:val="0"/>
        <w:spacing w:line="400" w:lineRule="atLeas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4、供应商在提交响应文件的截止时间前修改“开标一览表”中的响应报价的，涉及本表相应内容应同时修改。</w:t>
      </w:r>
    </w:p>
    <w:p w14:paraId="35A992FB">
      <w:pPr>
        <w:adjustRightInd w:val="0"/>
        <w:snapToGrid w:val="0"/>
        <w:spacing w:line="360" w:lineRule="auto"/>
        <w:rPr>
          <w:rFonts w:ascii="宋体" w:hAnsi="宋体" w:cs="宋体"/>
          <w:color w:val="auto"/>
          <w:szCs w:val="21"/>
          <w:highlight w:val="none"/>
        </w:rPr>
      </w:pPr>
    </w:p>
    <w:p w14:paraId="3E66718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52F8FE5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22ECCD4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日期：年月日</w:t>
      </w:r>
      <w:r>
        <w:rPr>
          <w:rFonts w:hint="eastAsia" w:ascii="宋体" w:hAnsi="宋体" w:cs="宋体"/>
          <w:color w:val="auto"/>
          <w:szCs w:val="21"/>
          <w:highlight w:val="none"/>
        </w:rPr>
        <w:br w:type="page"/>
      </w:r>
    </w:p>
    <w:p w14:paraId="1D9180F4">
      <w:pPr>
        <w:pStyle w:val="4"/>
        <w:adjustRightInd w:val="0"/>
        <w:snapToGrid w:val="0"/>
        <w:spacing w:before="0" w:after="0" w:line="360" w:lineRule="auto"/>
        <w:jc w:val="center"/>
        <w:rPr>
          <w:rFonts w:ascii="宋体" w:hAnsi="宋体" w:cs="宋体"/>
          <w:color w:val="auto"/>
          <w:sz w:val="28"/>
          <w:szCs w:val="28"/>
          <w:highlight w:val="none"/>
        </w:rPr>
      </w:pPr>
      <w:bookmarkStart w:id="3" w:name="_Toc528307197"/>
      <w:r>
        <w:rPr>
          <w:rFonts w:hint="eastAsia" w:ascii="宋体" w:hAnsi="宋体" w:cs="宋体"/>
          <w:color w:val="auto"/>
          <w:sz w:val="28"/>
          <w:szCs w:val="28"/>
          <w:highlight w:val="none"/>
        </w:rPr>
        <w:t>三、服务说明一览表</w:t>
      </w:r>
      <w:bookmarkEnd w:id="3"/>
    </w:p>
    <w:p w14:paraId="39418573">
      <w:pPr>
        <w:adjustRightInd w:val="0"/>
        <w:snapToGrid w:val="0"/>
        <w:spacing w:line="360" w:lineRule="auto"/>
        <w:rPr>
          <w:rFonts w:ascii="宋体" w:hAnsi="宋体" w:cs="宋体"/>
          <w:color w:val="auto"/>
          <w:highlight w:val="none"/>
        </w:rPr>
      </w:pPr>
    </w:p>
    <w:p w14:paraId="3840DE13">
      <w:pPr>
        <w:adjustRightInd w:val="0"/>
        <w:snapToGrid w:val="0"/>
        <w:spacing w:line="360" w:lineRule="auto"/>
        <w:rPr>
          <w:rFonts w:ascii="微软雅黑" w:hAnsi="微软雅黑" w:eastAsia="微软雅黑" w:cs="微软雅黑"/>
          <w:color w:val="auto"/>
          <w:highlight w:val="none"/>
        </w:rPr>
      </w:pPr>
    </w:p>
    <w:p w14:paraId="423B621A">
      <w:pPr>
        <w:adjustRightInd w:val="0"/>
        <w:snapToGrid w:val="0"/>
        <w:spacing w:line="360" w:lineRule="auto"/>
        <w:rPr>
          <w:rFonts w:ascii="宋体" w:hAnsi="宋体" w:cs="宋体"/>
          <w:color w:val="auto"/>
          <w:szCs w:val="21"/>
          <w:highlight w:val="none"/>
        </w:rPr>
      </w:pPr>
      <w:r>
        <w:rPr>
          <w:rFonts w:hint="eastAsia" w:ascii="宋体" w:hAnsi="宋体" w:cs="宋体"/>
          <w:color w:val="auto"/>
          <w:spacing w:val="28"/>
          <w:szCs w:val="21"/>
          <w:highlight w:val="none"/>
        </w:rPr>
        <w:t>政府采购编号</w:t>
      </w:r>
      <w:r>
        <w:rPr>
          <w:rFonts w:hint="eastAsia" w:ascii="宋体" w:hAnsi="宋体" w:cs="宋体"/>
          <w:color w:val="auto"/>
          <w:szCs w:val="21"/>
          <w:highlight w:val="none"/>
        </w:rPr>
        <w:t xml:space="preserve">: </w:t>
      </w:r>
    </w:p>
    <w:tbl>
      <w:tblPr>
        <w:tblStyle w:val="22"/>
        <w:tblW w:w="8968" w:type="dxa"/>
        <w:tblInd w:w="-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134"/>
        <w:gridCol w:w="1134"/>
        <w:gridCol w:w="1418"/>
        <w:gridCol w:w="1568"/>
        <w:gridCol w:w="1935"/>
        <w:gridCol w:w="1033"/>
      </w:tblGrid>
      <w:tr w14:paraId="24A03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6F08F502">
            <w:pPr>
              <w:pStyle w:val="18"/>
              <w:jc w:val="center"/>
              <w:rPr>
                <w:color w:val="auto"/>
                <w:kern w:val="20"/>
                <w:sz w:val="21"/>
                <w:szCs w:val="21"/>
                <w:highlight w:val="none"/>
              </w:rPr>
            </w:pPr>
            <w:r>
              <w:rPr>
                <w:rFonts w:hint="eastAsia"/>
                <w:color w:val="auto"/>
                <w:kern w:val="20"/>
                <w:sz w:val="21"/>
                <w:szCs w:val="21"/>
                <w:highlight w:val="none"/>
              </w:rPr>
              <w:t>序号</w:t>
            </w:r>
          </w:p>
        </w:tc>
        <w:tc>
          <w:tcPr>
            <w:tcW w:w="1134" w:type="dxa"/>
            <w:vAlign w:val="center"/>
          </w:tcPr>
          <w:p w14:paraId="7A4A936B">
            <w:pPr>
              <w:pStyle w:val="18"/>
              <w:jc w:val="center"/>
              <w:rPr>
                <w:color w:val="auto"/>
                <w:kern w:val="20"/>
                <w:sz w:val="21"/>
                <w:szCs w:val="21"/>
                <w:highlight w:val="none"/>
              </w:rPr>
            </w:pPr>
            <w:r>
              <w:rPr>
                <w:rFonts w:hint="eastAsia"/>
                <w:color w:val="auto"/>
                <w:kern w:val="20"/>
                <w:sz w:val="21"/>
                <w:szCs w:val="21"/>
                <w:highlight w:val="none"/>
              </w:rPr>
              <w:t>包号及品目号</w:t>
            </w:r>
          </w:p>
        </w:tc>
        <w:tc>
          <w:tcPr>
            <w:tcW w:w="1134" w:type="dxa"/>
            <w:vAlign w:val="center"/>
          </w:tcPr>
          <w:p w14:paraId="298726E7">
            <w:pPr>
              <w:pStyle w:val="18"/>
              <w:jc w:val="center"/>
              <w:rPr>
                <w:color w:val="auto"/>
                <w:kern w:val="20"/>
                <w:sz w:val="21"/>
                <w:szCs w:val="21"/>
                <w:highlight w:val="none"/>
              </w:rPr>
            </w:pPr>
            <w:r>
              <w:rPr>
                <w:rFonts w:hint="eastAsia"/>
                <w:color w:val="auto"/>
                <w:kern w:val="20"/>
                <w:sz w:val="21"/>
                <w:szCs w:val="21"/>
                <w:highlight w:val="none"/>
              </w:rPr>
              <w:t>货物（或服务）名称</w:t>
            </w:r>
          </w:p>
        </w:tc>
        <w:tc>
          <w:tcPr>
            <w:tcW w:w="1418" w:type="dxa"/>
            <w:vAlign w:val="center"/>
          </w:tcPr>
          <w:p w14:paraId="27E97E68">
            <w:pPr>
              <w:pStyle w:val="18"/>
              <w:jc w:val="center"/>
              <w:rPr>
                <w:color w:val="auto"/>
                <w:kern w:val="20"/>
                <w:sz w:val="21"/>
                <w:szCs w:val="21"/>
                <w:highlight w:val="none"/>
              </w:rPr>
            </w:pPr>
            <w:r>
              <w:rPr>
                <w:rFonts w:hint="eastAsia"/>
                <w:color w:val="auto"/>
                <w:kern w:val="20"/>
                <w:sz w:val="21"/>
                <w:szCs w:val="21"/>
                <w:highlight w:val="none"/>
              </w:rPr>
              <w:t>制造商（服务商）名称</w:t>
            </w:r>
          </w:p>
        </w:tc>
        <w:tc>
          <w:tcPr>
            <w:tcW w:w="1568" w:type="dxa"/>
            <w:vAlign w:val="center"/>
          </w:tcPr>
          <w:p w14:paraId="79D85D1B">
            <w:pPr>
              <w:pStyle w:val="18"/>
              <w:jc w:val="center"/>
              <w:rPr>
                <w:color w:val="auto"/>
                <w:kern w:val="20"/>
                <w:sz w:val="21"/>
                <w:szCs w:val="21"/>
                <w:highlight w:val="none"/>
              </w:rPr>
            </w:pPr>
            <w:r>
              <w:rPr>
                <w:rFonts w:hint="eastAsia"/>
                <w:color w:val="auto"/>
                <w:kern w:val="20"/>
                <w:sz w:val="21"/>
                <w:szCs w:val="21"/>
                <w:highlight w:val="none"/>
              </w:rPr>
              <w:t>型号规格（服务要求）</w:t>
            </w:r>
          </w:p>
        </w:tc>
        <w:tc>
          <w:tcPr>
            <w:tcW w:w="1935" w:type="dxa"/>
            <w:vAlign w:val="center"/>
          </w:tcPr>
          <w:p w14:paraId="4906A57A">
            <w:pPr>
              <w:pStyle w:val="18"/>
              <w:jc w:val="center"/>
              <w:rPr>
                <w:color w:val="auto"/>
                <w:kern w:val="20"/>
                <w:sz w:val="21"/>
                <w:szCs w:val="21"/>
                <w:highlight w:val="none"/>
              </w:rPr>
            </w:pPr>
            <w:r>
              <w:rPr>
                <w:rFonts w:hint="eastAsia"/>
                <w:color w:val="auto"/>
                <w:kern w:val="20"/>
                <w:sz w:val="21"/>
                <w:szCs w:val="21"/>
                <w:highlight w:val="none"/>
              </w:rPr>
              <w:t>主要技术参数和技术指标</w:t>
            </w:r>
          </w:p>
        </w:tc>
        <w:tc>
          <w:tcPr>
            <w:tcW w:w="1033" w:type="dxa"/>
            <w:vAlign w:val="center"/>
          </w:tcPr>
          <w:p w14:paraId="1535E804">
            <w:pPr>
              <w:pStyle w:val="18"/>
              <w:jc w:val="center"/>
              <w:rPr>
                <w:color w:val="auto"/>
                <w:kern w:val="20"/>
                <w:sz w:val="21"/>
                <w:szCs w:val="21"/>
                <w:highlight w:val="none"/>
              </w:rPr>
            </w:pPr>
            <w:r>
              <w:rPr>
                <w:rFonts w:hint="eastAsia"/>
                <w:color w:val="auto"/>
                <w:kern w:val="20"/>
                <w:sz w:val="21"/>
                <w:szCs w:val="21"/>
                <w:highlight w:val="none"/>
              </w:rPr>
              <w:t>备  注</w:t>
            </w:r>
          </w:p>
        </w:tc>
      </w:tr>
      <w:tr w14:paraId="6E7A2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1EDBF3D3">
            <w:pPr>
              <w:pStyle w:val="18"/>
              <w:jc w:val="center"/>
              <w:rPr>
                <w:color w:val="auto"/>
                <w:kern w:val="20"/>
                <w:sz w:val="21"/>
                <w:szCs w:val="21"/>
                <w:highlight w:val="none"/>
              </w:rPr>
            </w:pPr>
          </w:p>
        </w:tc>
        <w:tc>
          <w:tcPr>
            <w:tcW w:w="1134" w:type="dxa"/>
            <w:vAlign w:val="center"/>
          </w:tcPr>
          <w:p w14:paraId="3AF8D3AC">
            <w:pPr>
              <w:pStyle w:val="18"/>
              <w:jc w:val="center"/>
              <w:rPr>
                <w:color w:val="auto"/>
                <w:kern w:val="20"/>
                <w:sz w:val="21"/>
                <w:szCs w:val="21"/>
                <w:highlight w:val="none"/>
              </w:rPr>
            </w:pPr>
          </w:p>
        </w:tc>
        <w:tc>
          <w:tcPr>
            <w:tcW w:w="1134" w:type="dxa"/>
            <w:vAlign w:val="center"/>
          </w:tcPr>
          <w:p w14:paraId="381C71A3">
            <w:pPr>
              <w:pStyle w:val="18"/>
              <w:jc w:val="center"/>
              <w:rPr>
                <w:color w:val="auto"/>
                <w:kern w:val="20"/>
                <w:sz w:val="21"/>
                <w:szCs w:val="21"/>
                <w:highlight w:val="none"/>
              </w:rPr>
            </w:pPr>
          </w:p>
        </w:tc>
        <w:tc>
          <w:tcPr>
            <w:tcW w:w="1418" w:type="dxa"/>
            <w:vAlign w:val="center"/>
          </w:tcPr>
          <w:p w14:paraId="2139DE16">
            <w:pPr>
              <w:pStyle w:val="18"/>
              <w:jc w:val="center"/>
              <w:rPr>
                <w:color w:val="auto"/>
                <w:kern w:val="20"/>
                <w:sz w:val="21"/>
                <w:szCs w:val="21"/>
                <w:highlight w:val="none"/>
              </w:rPr>
            </w:pPr>
          </w:p>
        </w:tc>
        <w:tc>
          <w:tcPr>
            <w:tcW w:w="1568" w:type="dxa"/>
            <w:vAlign w:val="center"/>
          </w:tcPr>
          <w:p w14:paraId="7276B046">
            <w:pPr>
              <w:pStyle w:val="18"/>
              <w:jc w:val="center"/>
              <w:rPr>
                <w:color w:val="auto"/>
                <w:kern w:val="20"/>
                <w:sz w:val="21"/>
                <w:szCs w:val="21"/>
                <w:highlight w:val="none"/>
              </w:rPr>
            </w:pPr>
          </w:p>
        </w:tc>
        <w:tc>
          <w:tcPr>
            <w:tcW w:w="1935" w:type="dxa"/>
            <w:vAlign w:val="center"/>
          </w:tcPr>
          <w:p w14:paraId="021080D5">
            <w:pPr>
              <w:pStyle w:val="18"/>
              <w:jc w:val="center"/>
              <w:rPr>
                <w:color w:val="auto"/>
                <w:kern w:val="20"/>
                <w:sz w:val="21"/>
                <w:szCs w:val="21"/>
                <w:highlight w:val="none"/>
              </w:rPr>
            </w:pPr>
          </w:p>
        </w:tc>
        <w:tc>
          <w:tcPr>
            <w:tcW w:w="1033" w:type="dxa"/>
            <w:vAlign w:val="center"/>
          </w:tcPr>
          <w:p w14:paraId="6CACA40D">
            <w:pPr>
              <w:pStyle w:val="18"/>
              <w:jc w:val="center"/>
              <w:rPr>
                <w:color w:val="auto"/>
                <w:kern w:val="20"/>
                <w:sz w:val="21"/>
                <w:szCs w:val="21"/>
                <w:highlight w:val="none"/>
              </w:rPr>
            </w:pPr>
          </w:p>
        </w:tc>
      </w:tr>
      <w:tr w14:paraId="58D27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5D8FC1F2">
            <w:pPr>
              <w:pStyle w:val="18"/>
              <w:jc w:val="center"/>
              <w:rPr>
                <w:color w:val="auto"/>
                <w:kern w:val="20"/>
                <w:sz w:val="21"/>
                <w:szCs w:val="21"/>
                <w:highlight w:val="none"/>
              </w:rPr>
            </w:pPr>
          </w:p>
        </w:tc>
        <w:tc>
          <w:tcPr>
            <w:tcW w:w="1134" w:type="dxa"/>
            <w:vAlign w:val="center"/>
          </w:tcPr>
          <w:p w14:paraId="160A732A">
            <w:pPr>
              <w:pStyle w:val="18"/>
              <w:jc w:val="center"/>
              <w:rPr>
                <w:color w:val="auto"/>
                <w:kern w:val="20"/>
                <w:sz w:val="21"/>
                <w:szCs w:val="21"/>
                <w:highlight w:val="none"/>
              </w:rPr>
            </w:pPr>
          </w:p>
        </w:tc>
        <w:tc>
          <w:tcPr>
            <w:tcW w:w="1134" w:type="dxa"/>
            <w:vAlign w:val="center"/>
          </w:tcPr>
          <w:p w14:paraId="1CE927A6">
            <w:pPr>
              <w:pStyle w:val="18"/>
              <w:jc w:val="center"/>
              <w:rPr>
                <w:color w:val="auto"/>
                <w:kern w:val="20"/>
                <w:sz w:val="21"/>
                <w:szCs w:val="21"/>
                <w:highlight w:val="none"/>
              </w:rPr>
            </w:pPr>
          </w:p>
        </w:tc>
        <w:tc>
          <w:tcPr>
            <w:tcW w:w="1418" w:type="dxa"/>
            <w:vAlign w:val="center"/>
          </w:tcPr>
          <w:p w14:paraId="1F7B8D59">
            <w:pPr>
              <w:pStyle w:val="18"/>
              <w:jc w:val="center"/>
              <w:rPr>
                <w:color w:val="auto"/>
                <w:kern w:val="20"/>
                <w:sz w:val="21"/>
                <w:szCs w:val="21"/>
                <w:highlight w:val="none"/>
              </w:rPr>
            </w:pPr>
          </w:p>
        </w:tc>
        <w:tc>
          <w:tcPr>
            <w:tcW w:w="1568" w:type="dxa"/>
            <w:vAlign w:val="center"/>
          </w:tcPr>
          <w:p w14:paraId="52D6688D">
            <w:pPr>
              <w:pStyle w:val="18"/>
              <w:jc w:val="center"/>
              <w:rPr>
                <w:color w:val="auto"/>
                <w:kern w:val="20"/>
                <w:sz w:val="21"/>
                <w:szCs w:val="21"/>
                <w:highlight w:val="none"/>
              </w:rPr>
            </w:pPr>
          </w:p>
        </w:tc>
        <w:tc>
          <w:tcPr>
            <w:tcW w:w="1935" w:type="dxa"/>
            <w:vAlign w:val="center"/>
          </w:tcPr>
          <w:p w14:paraId="05BD955B">
            <w:pPr>
              <w:pStyle w:val="18"/>
              <w:jc w:val="center"/>
              <w:rPr>
                <w:color w:val="auto"/>
                <w:kern w:val="20"/>
                <w:sz w:val="21"/>
                <w:szCs w:val="21"/>
                <w:highlight w:val="none"/>
              </w:rPr>
            </w:pPr>
          </w:p>
        </w:tc>
        <w:tc>
          <w:tcPr>
            <w:tcW w:w="1033" w:type="dxa"/>
            <w:vAlign w:val="center"/>
          </w:tcPr>
          <w:p w14:paraId="22A0B05D">
            <w:pPr>
              <w:pStyle w:val="18"/>
              <w:jc w:val="center"/>
              <w:rPr>
                <w:color w:val="auto"/>
                <w:kern w:val="20"/>
                <w:sz w:val="21"/>
                <w:szCs w:val="21"/>
                <w:highlight w:val="none"/>
              </w:rPr>
            </w:pPr>
          </w:p>
        </w:tc>
      </w:tr>
      <w:tr w14:paraId="6C9AD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507B350F">
            <w:pPr>
              <w:pStyle w:val="18"/>
              <w:jc w:val="center"/>
              <w:rPr>
                <w:color w:val="auto"/>
                <w:kern w:val="20"/>
                <w:sz w:val="21"/>
                <w:szCs w:val="21"/>
                <w:highlight w:val="none"/>
              </w:rPr>
            </w:pPr>
          </w:p>
        </w:tc>
        <w:tc>
          <w:tcPr>
            <w:tcW w:w="1134" w:type="dxa"/>
            <w:vAlign w:val="center"/>
          </w:tcPr>
          <w:p w14:paraId="6DDA2613">
            <w:pPr>
              <w:pStyle w:val="18"/>
              <w:jc w:val="center"/>
              <w:rPr>
                <w:color w:val="auto"/>
                <w:kern w:val="20"/>
                <w:sz w:val="21"/>
                <w:szCs w:val="21"/>
                <w:highlight w:val="none"/>
              </w:rPr>
            </w:pPr>
          </w:p>
        </w:tc>
        <w:tc>
          <w:tcPr>
            <w:tcW w:w="1134" w:type="dxa"/>
            <w:vAlign w:val="center"/>
          </w:tcPr>
          <w:p w14:paraId="4E6015BE">
            <w:pPr>
              <w:pStyle w:val="18"/>
              <w:jc w:val="center"/>
              <w:rPr>
                <w:color w:val="auto"/>
                <w:kern w:val="20"/>
                <w:sz w:val="21"/>
                <w:szCs w:val="21"/>
                <w:highlight w:val="none"/>
              </w:rPr>
            </w:pPr>
          </w:p>
        </w:tc>
        <w:tc>
          <w:tcPr>
            <w:tcW w:w="1418" w:type="dxa"/>
            <w:vAlign w:val="center"/>
          </w:tcPr>
          <w:p w14:paraId="00395B53">
            <w:pPr>
              <w:pStyle w:val="18"/>
              <w:jc w:val="center"/>
              <w:rPr>
                <w:color w:val="auto"/>
                <w:kern w:val="20"/>
                <w:sz w:val="21"/>
                <w:szCs w:val="21"/>
                <w:highlight w:val="none"/>
              </w:rPr>
            </w:pPr>
          </w:p>
        </w:tc>
        <w:tc>
          <w:tcPr>
            <w:tcW w:w="1568" w:type="dxa"/>
            <w:vAlign w:val="center"/>
          </w:tcPr>
          <w:p w14:paraId="7059ACDA">
            <w:pPr>
              <w:pStyle w:val="18"/>
              <w:jc w:val="center"/>
              <w:rPr>
                <w:color w:val="auto"/>
                <w:kern w:val="20"/>
                <w:sz w:val="21"/>
                <w:szCs w:val="21"/>
                <w:highlight w:val="none"/>
              </w:rPr>
            </w:pPr>
          </w:p>
        </w:tc>
        <w:tc>
          <w:tcPr>
            <w:tcW w:w="1935" w:type="dxa"/>
            <w:vAlign w:val="center"/>
          </w:tcPr>
          <w:p w14:paraId="64109877">
            <w:pPr>
              <w:pStyle w:val="18"/>
              <w:jc w:val="center"/>
              <w:rPr>
                <w:color w:val="auto"/>
                <w:kern w:val="20"/>
                <w:sz w:val="21"/>
                <w:szCs w:val="21"/>
                <w:highlight w:val="none"/>
              </w:rPr>
            </w:pPr>
          </w:p>
        </w:tc>
        <w:tc>
          <w:tcPr>
            <w:tcW w:w="1033" w:type="dxa"/>
            <w:vAlign w:val="center"/>
          </w:tcPr>
          <w:p w14:paraId="39AE8E5E">
            <w:pPr>
              <w:pStyle w:val="18"/>
              <w:jc w:val="center"/>
              <w:rPr>
                <w:color w:val="auto"/>
                <w:kern w:val="20"/>
                <w:sz w:val="21"/>
                <w:szCs w:val="21"/>
                <w:highlight w:val="none"/>
              </w:rPr>
            </w:pPr>
          </w:p>
        </w:tc>
      </w:tr>
      <w:tr w14:paraId="0AA653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31B5F332">
            <w:pPr>
              <w:pStyle w:val="18"/>
              <w:jc w:val="center"/>
              <w:rPr>
                <w:color w:val="auto"/>
                <w:kern w:val="20"/>
                <w:sz w:val="21"/>
                <w:szCs w:val="21"/>
                <w:highlight w:val="none"/>
              </w:rPr>
            </w:pPr>
          </w:p>
        </w:tc>
        <w:tc>
          <w:tcPr>
            <w:tcW w:w="1134" w:type="dxa"/>
            <w:vAlign w:val="center"/>
          </w:tcPr>
          <w:p w14:paraId="4491D54E">
            <w:pPr>
              <w:pStyle w:val="18"/>
              <w:jc w:val="center"/>
              <w:rPr>
                <w:color w:val="auto"/>
                <w:kern w:val="20"/>
                <w:sz w:val="21"/>
                <w:szCs w:val="21"/>
                <w:highlight w:val="none"/>
              </w:rPr>
            </w:pPr>
          </w:p>
        </w:tc>
        <w:tc>
          <w:tcPr>
            <w:tcW w:w="1134" w:type="dxa"/>
            <w:vAlign w:val="center"/>
          </w:tcPr>
          <w:p w14:paraId="70C59940">
            <w:pPr>
              <w:pStyle w:val="18"/>
              <w:jc w:val="center"/>
              <w:rPr>
                <w:color w:val="auto"/>
                <w:kern w:val="20"/>
                <w:sz w:val="21"/>
                <w:szCs w:val="21"/>
                <w:highlight w:val="none"/>
              </w:rPr>
            </w:pPr>
          </w:p>
        </w:tc>
        <w:tc>
          <w:tcPr>
            <w:tcW w:w="1418" w:type="dxa"/>
            <w:vAlign w:val="center"/>
          </w:tcPr>
          <w:p w14:paraId="4D07A6BC">
            <w:pPr>
              <w:pStyle w:val="18"/>
              <w:jc w:val="center"/>
              <w:rPr>
                <w:color w:val="auto"/>
                <w:kern w:val="20"/>
                <w:sz w:val="21"/>
                <w:szCs w:val="21"/>
                <w:highlight w:val="none"/>
              </w:rPr>
            </w:pPr>
          </w:p>
        </w:tc>
        <w:tc>
          <w:tcPr>
            <w:tcW w:w="1568" w:type="dxa"/>
            <w:vAlign w:val="center"/>
          </w:tcPr>
          <w:p w14:paraId="794357CF">
            <w:pPr>
              <w:pStyle w:val="18"/>
              <w:jc w:val="center"/>
              <w:rPr>
                <w:color w:val="auto"/>
                <w:kern w:val="20"/>
                <w:sz w:val="21"/>
                <w:szCs w:val="21"/>
                <w:highlight w:val="none"/>
              </w:rPr>
            </w:pPr>
          </w:p>
        </w:tc>
        <w:tc>
          <w:tcPr>
            <w:tcW w:w="1935" w:type="dxa"/>
            <w:vAlign w:val="center"/>
          </w:tcPr>
          <w:p w14:paraId="79E3A93C">
            <w:pPr>
              <w:pStyle w:val="18"/>
              <w:jc w:val="center"/>
              <w:rPr>
                <w:color w:val="auto"/>
                <w:kern w:val="20"/>
                <w:sz w:val="21"/>
                <w:szCs w:val="21"/>
                <w:highlight w:val="none"/>
              </w:rPr>
            </w:pPr>
          </w:p>
        </w:tc>
        <w:tc>
          <w:tcPr>
            <w:tcW w:w="1033" w:type="dxa"/>
            <w:vAlign w:val="center"/>
          </w:tcPr>
          <w:p w14:paraId="0F0DC16D">
            <w:pPr>
              <w:pStyle w:val="18"/>
              <w:jc w:val="center"/>
              <w:rPr>
                <w:color w:val="auto"/>
                <w:kern w:val="20"/>
                <w:sz w:val="21"/>
                <w:szCs w:val="21"/>
                <w:highlight w:val="none"/>
              </w:rPr>
            </w:pPr>
          </w:p>
        </w:tc>
      </w:tr>
      <w:tr w14:paraId="5846A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5C3C11A7">
            <w:pPr>
              <w:pStyle w:val="18"/>
              <w:jc w:val="center"/>
              <w:rPr>
                <w:color w:val="auto"/>
                <w:kern w:val="20"/>
                <w:sz w:val="21"/>
                <w:szCs w:val="21"/>
                <w:highlight w:val="none"/>
              </w:rPr>
            </w:pPr>
          </w:p>
        </w:tc>
        <w:tc>
          <w:tcPr>
            <w:tcW w:w="1134" w:type="dxa"/>
            <w:vAlign w:val="center"/>
          </w:tcPr>
          <w:p w14:paraId="35F097B8">
            <w:pPr>
              <w:pStyle w:val="18"/>
              <w:jc w:val="center"/>
              <w:rPr>
                <w:color w:val="auto"/>
                <w:kern w:val="20"/>
                <w:sz w:val="21"/>
                <w:szCs w:val="21"/>
                <w:highlight w:val="none"/>
              </w:rPr>
            </w:pPr>
          </w:p>
        </w:tc>
        <w:tc>
          <w:tcPr>
            <w:tcW w:w="1134" w:type="dxa"/>
            <w:vAlign w:val="center"/>
          </w:tcPr>
          <w:p w14:paraId="2E472F5A">
            <w:pPr>
              <w:pStyle w:val="18"/>
              <w:jc w:val="center"/>
              <w:rPr>
                <w:color w:val="auto"/>
                <w:kern w:val="20"/>
                <w:sz w:val="21"/>
                <w:szCs w:val="21"/>
                <w:highlight w:val="none"/>
              </w:rPr>
            </w:pPr>
          </w:p>
        </w:tc>
        <w:tc>
          <w:tcPr>
            <w:tcW w:w="1418" w:type="dxa"/>
            <w:vAlign w:val="center"/>
          </w:tcPr>
          <w:p w14:paraId="17066306">
            <w:pPr>
              <w:pStyle w:val="18"/>
              <w:jc w:val="center"/>
              <w:rPr>
                <w:color w:val="auto"/>
                <w:kern w:val="20"/>
                <w:sz w:val="21"/>
                <w:szCs w:val="21"/>
                <w:highlight w:val="none"/>
              </w:rPr>
            </w:pPr>
          </w:p>
        </w:tc>
        <w:tc>
          <w:tcPr>
            <w:tcW w:w="1568" w:type="dxa"/>
            <w:vAlign w:val="center"/>
          </w:tcPr>
          <w:p w14:paraId="33E5A07D">
            <w:pPr>
              <w:pStyle w:val="18"/>
              <w:jc w:val="center"/>
              <w:rPr>
                <w:color w:val="auto"/>
                <w:kern w:val="20"/>
                <w:sz w:val="21"/>
                <w:szCs w:val="21"/>
                <w:highlight w:val="none"/>
              </w:rPr>
            </w:pPr>
          </w:p>
        </w:tc>
        <w:tc>
          <w:tcPr>
            <w:tcW w:w="1935" w:type="dxa"/>
            <w:vAlign w:val="center"/>
          </w:tcPr>
          <w:p w14:paraId="7C45FCD7">
            <w:pPr>
              <w:pStyle w:val="18"/>
              <w:jc w:val="center"/>
              <w:rPr>
                <w:color w:val="auto"/>
                <w:kern w:val="20"/>
                <w:sz w:val="21"/>
                <w:szCs w:val="21"/>
                <w:highlight w:val="none"/>
              </w:rPr>
            </w:pPr>
          </w:p>
        </w:tc>
        <w:tc>
          <w:tcPr>
            <w:tcW w:w="1033" w:type="dxa"/>
            <w:vAlign w:val="center"/>
          </w:tcPr>
          <w:p w14:paraId="2FA9B78C">
            <w:pPr>
              <w:pStyle w:val="18"/>
              <w:jc w:val="center"/>
              <w:rPr>
                <w:color w:val="auto"/>
                <w:kern w:val="20"/>
                <w:sz w:val="21"/>
                <w:szCs w:val="21"/>
                <w:highlight w:val="none"/>
              </w:rPr>
            </w:pPr>
          </w:p>
        </w:tc>
      </w:tr>
      <w:tr w14:paraId="40DA2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7E98B032">
            <w:pPr>
              <w:pStyle w:val="18"/>
              <w:jc w:val="center"/>
              <w:rPr>
                <w:color w:val="auto"/>
                <w:kern w:val="20"/>
                <w:sz w:val="21"/>
                <w:szCs w:val="21"/>
                <w:highlight w:val="none"/>
              </w:rPr>
            </w:pPr>
          </w:p>
        </w:tc>
        <w:tc>
          <w:tcPr>
            <w:tcW w:w="1134" w:type="dxa"/>
            <w:vAlign w:val="center"/>
          </w:tcPr>
          <w:p w14:paraId="3BD98659">
            <w:pPr>
              <w:pStyle w:val="18"/>
              <w:jc w:val="center"/>
              <w:rPr>
                <w:color w:val="auto"/>
                <w:kern w:val="20"/>
                <w:sz w:val="21"/>
                <w:szCs w:val="21"/>
                <w:highlight w:val="none"/>
              </w:rPr>
            </w:pPr>
          </w:p>
        </w:tc>
        <w:tc>
          <w:tcPr>
            <w:tcW w:w="1134" w:type="dxa"/>
            <w:vAlign w:val="center"/>
          </w:tcPr>
          <w:p w14:paraId="009C632B">
            <w:pPr>
              <w:pStyle w:val="18"/>
              <w:jc w:val="center"/>
              <w:rPr>
                <w:color w:val="auto"/>
                <w:kern w:val="20"/>
                <w:sz w:val="21"/>
                <w:szCs w:val="21"/>
                <w:highlight w:val="none"/>
              </w:rPr>
            </w:pPr>
          </w:p>
        </w:tc>
        <w:tc>
          <w:tcPr>
            <w:tcW w:w="1418" w:type="dxa"/>
            <w:vAlign w:val="center"/>
          </w:tcPr>
          <w:p w14:paraId="629F31CD">
            <w:pPr>
              <w:pStyle w:val="18"/>
              <w:jc w:val="center"/>
              <w:rPr>
                <w:color w:val="auto"/>
                <w:kern w:val="20"/>
                <w:sz w:val="21"/>
                <w:szCs w:val="21"/>
                <w:highlight w:val="none"/>
              </w:rPr>
            </w:pPr>
          </w:p>
        </w:tc>
        <w:tc>
          <w:tcPr>
            <w:tcW w:w="1568" w:type="dxa"/>
            <w:vAlign w:val="center"/>
          </w:tcPr>
          <w:p w14:paraId="61C57BF3">
            <w:pPr>
              <w:pStyle w:val="18"/>
              <w:jc w:val="center"/>
              <w:rPr>
                <w:color w:val="auto"/>
                <w:kern w:val="20"/>
                <w:sz w:val="21"/>
                <w:szCs w:val="21"/>
                <w:highlight w:val="none"/>
              </w:rPr>
            </w:pPr>
          </w:p>
        </w:tc>
        <w:tc>
          <w:tcPr>
            <w:tcW w:w="1935" w:type="dxa"/>
            <w:vAlign w:val="center"/>
          </w:tcPr>
          <w:p w14:paraId="4ED9EB26">
            <w:pPr>
              <w:pStyle w:val="18"/>
              <w:jc w:val="center"/>
              <w:rPr>
                <w:color w:val="auto"/>
                <w:kern w:val="20"/>
                <w:sz w:val="21"/>
                <w:szCs w:val="21"/>
                <w:highlight w:val="none"/>
              </w:rPr>
            </w:pPr>
          </w:p>
        </w:tc>
        <w:tc>
          <w:tcPr>
            <w:tcW w:w="1033" w:type="dxa"/>
            <w:vAlign w:val="center"/>
          </w:tcPr>
          <w:p w14:paraId="04263A6F">
            <w:pPr>
              <w:pStyle w:val="18"/>
              <w:jc w:val="center"/>
              <w:rPr>
                <w:color w:val="auto"/>
                <w:kern w:val="20"/>
                <w:sz w:val="21"/>
                <w:szCs w:val="21"/>
                <w:highlight w:val="none"/>
              </w:rPr>
            </w:pPr>
          </w:p>
        </w:tc>
      </w:tr>
      <w:tr w14:paraId="62CE5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46" w:type="dxa"/>
            <w:vAlign w:val="center"/>
          </w:tcPr>
          <w:p w14:paraId="75387602">
            <w:pPr>
              <w:pStyle w:val="18"/>
              <w:jc w:val="center"/>
              <w:rPr>
                <w:color w:val="auto"/>
                <w:kern w:val="20"/>
                <w:sz w:val="21"/>
                <w:szCs w:val="21"/>
                <w:highlight w:val="none"/>
              </w:rPr>
            </w:pPr>
          </w:p>
        </w:tc>
        <w:tc>
          <w:tcPr>
            <w:tcW w:w="1134" w:type="dxa"/>
            <w:vAlign w:val="center"/>
          </w:tcPr>
          <w:p w14:paraId="00538D08">
            <w:pPr>
              <w:pStyle w:val="18"/>
              <w:jc w:val="center"/>
              <w:rPr>
                <w:color w:val="auto"/>
                <w:kern w:val="20"/>
                <w:sz w:val="21"/>
                <w:szCs w:val="21"/>
                <w:highlight w:val="none"/>
              </w:rPr>
            </w:pPr>
          </w:p>
        </w:tc>
        <w:tc>
          <w:tcPr>
            <w:tcW w:w="1134" w:type="dxa"/>
            <w:vAlign w:val="center"/>
          </w:tcPr>
          <w:p w14:paraId="20B3D9AD">
            <w:pPr>
              <w:pStyle w:val="18"/>
              <w:jc w:val="center"/>
              <w:rPr>
                <w:color w:val="auto"/>
                <w:kern w:val="20"/>
                <w:sz w:val="21"/>
                <w:szCs w:val="21"/>
                <w:highlight w:val="none"/>
              </w:rPr>
            </w:pPr>
          </w:p>
        </w:tc>
        <w:tc>
          <w:tcPr>
            <w:tcW w:w="1418" w:type="dxa"/>
            <w:vAlign w:val="center"/>
          </w:tcPr>
          <w:p w14:paraId="0A87FDDB">
            <w:pPr>
              <w:pStyle w:val="18"/>
              <w:jc w:val="center"/>
              <w:rPr>
                <w:color w:val="auto"/>
                <w:kern w:val="20"/>
                <w:sz w:val="21"/>
                <w:szCs w:val="21"/>
                <w:highlight w:val="none"/>
              </w:rPr>
            </w:pPr>
          </w:p>
        </w:tc>
        <w:tc>
          <w:tcPr>
            <w:tcW w:w="1568" w:type="dxa"/>
            <w:vAlign w:val="center"/>
          </w:tcPr>
          <w:p w14:paraId="1B263970">
            <w:pPr>
              <w:pStyle w:val="18"/>
              <w:jc w:val="center"/>
              <w:rPr>
                <w:color w:val="auto"/>
                <w:kern w:val="20"/>
                <w:sz w:val="21"/>
                <w:szCs w:val="21"/>
                <w:highlight w:val="none"/>
              </w:rPr>
            </w:pPr>
          </w:p>
        </w:tc>
        <w:tc>
          <w:tcPr>
            <w:tcW w:w="1935" w:type="dxa"/>
            <w:vAlign w:val="center"/>
          </w:tcPr>
          <w:p w14:paraId="194404AF">
            <w:pPr>
              <w:pStyle w:val="18"/>
              <w:jc w:val="center"/>
              <w:rPr>
                <w:color w:val="auto"/>
                <w:kern w:val="20"/>
                <w:sz w:val="21"/>
                <w:szCs w:val="21"/>
                <w:highlight w:val="none"/>
              </w:rPr>
            </w:pPr>
          </w:p>
        </w:tc>
        <w:tc>
          <w:tcPr>
            <w:tcW w:w="1033" w:type="dxa"/>
            <w:vAlign w:val="center"/>
          </w:tcPr>
          <w:p w14:paraId="2DE580E0">
            <w:pPr>
              <w:pStyle w:val="18"/>
              <w:jc w:val="center"/>
              <w:rPr>
                <w:color w:val="auto"/>
                <w:kern w:val="20"/>
                <w:sz w:val="21"/>
                <w:szCs w:val="21"/>
                <w:highlight w:val="none"/>
              </w:rPr>
            </w:pPr>
          </w:p>
        </w:tc>
      </w:tr>
    </w:tbl>
    <w:p w14:paraId="3C641D6A">
      <w:pPr>
        <w:pStyle w:val="13"/>
        <w:adjustRightInd w:val="0"/>
        <w:snapToGrid w:val="0"/>
        <w:spacing w:line="360" w:lineRule="auto"/>
        <w:ind w:left="-88" w:leftChars="-42"/>
        <w:rPr>
          <w:rFonts w:ascii="宋体" w:hAnsi="宋体" w:cs="宋体"/>
          <w:bCs/>
          <w:color w:val="auto"/>
          <w:sz w:val="21"/>
          <w:szCs w:val="21"/>
          <w:highlight w:val="none"/>
        </w:rPr>
      </w:pPr>
    </w:p>
    <w:p w14:paraId="00FFBA39">
      <w:pPr>
        <w:adjustRightInd w:val="0"/>
        <w:snapToGrid w:val="0"/>
        <w:spacing w:line="360" w:lineRule="auto"/>
        <w:ind w:firstLine="316" w:firstLineChars="150"/>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bCs/>
          <w:color w:val="auto"/>
          <w:szCs w:val="21"/>
          <w:highlight w:val="none"/>
        </w:rPr>
        <w:t>：1、货物的主要技术参数和技术指标可另页描述。2、服务类采购</w:t>
      </w:r>
      <w:r>
        <w:rPr>
          <w:rFonts w:hint="eastAsia" w:ascii="宋体" w:hAnsi="宋体" w:cs="宋体"/>
          <w:color w:val="auto"/>
          <w:szCs w:val="21"/>
          <w:highlight w:val="none"/>
        </w:rPr>
        <w:t>供应商应根据采购需求或“评分表”要求编写项目服务方案。项目服务方案应包括但不限于：(1)服务目标、范围和任务；(2)服务方案；(3)服务团队组织安排计划；(4)工作流程；(5)进度计划及保证措施；(6)质量保证措施；(7)合理化建议；(8)其他。</w:t>
      </w:r>
    </w:p>
    <w:p w14:paraId="086EF4E4">
      <w:pPr>
        <w:pStyle w:val="13"/>
        <w:adjustRightInd w:val="0"/>
        <w:snapToGrid w:val="0"/>
        <w:spacing w:line="360" w:lineRule="auto"/>
        <w:ind w:left="-88" w:leftChars="-42"/>
        <w:rPr>
          <w:rFonts w:ascii="宋体" w:hAnsi="宋体" w:cs="宋体"/>
          <w:bCs/>
          <w:color w:val="auto"/>
          <w:sz w:val="21"/>
          <w:szCs w:val="21"/>
          <w:highlight w:val="none"/>
        </w:rPr>
      </w:pPr>
    </w:p>
    <w:p w14:paraId="5AA0E75D">
      <w:pPr>
        <w:adjustRightInd w:val="0"/>
        <w:snapToGrid w:val="0"/>
        <w:spacing w:line="360" w:lineRule="auto"/>
        <w:ind w:left="-88" w:leftChars="-42"/>
        <w:rPr>
          <w:rFonts w:ascii="宋体" w:hAnsi="宋体" w:cs="宋体"/>
          <w:color w:val="auto"/>
          <w:szCs w:val="21"/>
          <w:highlight w:val="none"/>
        </w:rPr>
      </w:pPr>
    </w:p>
    <w:p w14:paraId="74AD6396">
      <w:pPr>
        <w:adjustRightInd w:val="0"/>
        <w:snapToGrid w:val="0"/>
        <w:spacing w:line="360" w:lineRule="auto"/>
        <w:ind w:left="-88" w:leftChars="-42"/>
        <w:rPr>
          <w:rFonts w:ascii="宋体" w:hAnsi="宋体" w:cs="宋体"/>
          <w:color w:val="auto"/>
          <w:szCs w:val="21"/>
          <w:highlight w:val="none"/>
        </w:rPr>
      </w:pPr>
    </w:p>
    <w:p w14:paraId="39702F9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3BB5D354">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法定代表人或其授权的代理人（签字）：</w:t>
      </w:r>
    </w:p>
    <w:p w14:paraId="2062A7C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日期：年月日</w:t>
      </w:r>
    </w:p>
    <w:p w14:paraId="1F4290DC">
      <w:pPr>
        <w:adjustRightInd w:val="0"/>
        <w:snapToGrid w:val="0"/>
        <w:spacing w:line="360" w:lineRule="auto"/>
        <w:rPr>
          <w:rFonts w:ascii="宋体" w:hAnsi="宋体" w:cs="宋体"/>
          <w:color w:val="auto"/>
          <w:szCs w:val="21"/>
          <w:highlight w:val="none"/>
        </w:rPr>
      </w:pPr>
    </w:p>
    <w:p w14:paraId="297FB31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0CC0C7B8">
      <w:pPr>
        <w:pStyle w:val="4"/>
        <w:adjustRightInd w:val="0"/>
        <w:snapToGrid w:val="0"/>
        <w:spacing w:before="0" w:after="0" w:line="360" w:lineRule="auto"/>
        <w:jc w:val="center"/>
        <w:rPr>
          <w:rFonts w:ascii="宋体" w:hAnsi="宋体" w:cs="宋体"/>
          <w:color w:val="auto"/>
          <w:sz w:val="28"/>
          <w:szCs w:val="28"/>
          <w:highlight w:val="none"/>
        </w:rPr>
      </w:pPr>
      <w:bookmarkStart w:id="4" w:name="_Toc528307198"/>
      <w:r>
        <w:rPr>
          <w:rFonts w:hint="eastAsia" w:ascii="宋体" w:hAnsi="宋体" w:cs="宋体"/>
          <w:color w:val="auto"/>
          <w:sz w:val="28"/>
          <w:szCs w:val="28"/>
          <w:highlight w:val="none"/>
        </w:rPr>
        <w:t>四、商务和技术响应/偏离表</w:t>
      </w:r>
      <w:bookmarkEnd w:id="4"/>
    </w:p>
    <w:p w14:paraId="631890A4">
      <w:pPr>
        <w:adjustRightInd w:val="0"/>
        <w:snapToGrid w:val="0"/>
        <w:spacing w:line="360" w:lineRule="auto"/>
        <w:rPr>
          <w:rFonts w:ascii="宋体" w:hAnsi="宋体" w:cs="宋体"/>
          <w:color w:val="auto"/>
          <w:highlight w:val="none"/>
        </w:rPr>
      </w:pPr>
    </w:p>
    <w:p w14:paraId="66EBB396">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pacing w:val="28"/>
          <w:szCs w:val="21"/>
          <w:highlight w:val="none"/>
        </w:rPr>
        <w:t>政府采购编号</w:t>
      </w:r>
      <w:r>
        <w:rPr>
          <w:rFonts w:hint="eastAsia" w:ascii="宋体" w:hAnsi="宋体" w:cs="宋体"/>
          <w:color w:val="auto"/>
          <w:szCs w:val="21"/>
          <w:highlight w:val="none"/>
        </w:rPr>
        <w:t xml:space="preserve">: </w:t>
      </w:r>
    </w:p>
    <w:tbl>
      <w:tblPr>
        <w:tblStyle w:val="22"/>
        <w:tblW w:w="867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65"/>
        <w:gridCol w:w="1801"/>
        <w:gridCol w:w="2070"/>
        <w:gridCol w:w="1377"/>
        <w:gridCol w:w="1414"/>
        <w:gridCol w:w="1047"/>
      </w:tblGrid>
      <w:tr w14:paraId="51AD3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965" w:type="dxa"/>
            <w:vAlign w:val="center"/>
          </w:tcPr>
          <w:p w14:paraId="3ABB23C4">
            <w:pPr>
              <w:pStyle w:val="18"/>
              <w:jc w:val="center"/>
              <w:rPr>
                <w:color w:val="auto"/>
                <w:kern w:val="20"/>
                <w:sz w:val="21"/>
                <w:szCs w:val="21"/>
                <w:highlight w:val="none"/>
              </w:rPr>
            </w:pPr>
            <w:r>
              <w:rPr>
                <w:rFonts w:hint="eastAsia"/>
                <w:color w:val="auto"/>
                <w:kern w:val="20"/>
                <w:sz w:val="21"/>
                <w:szCs w:val="21"/>
                <w:highlight w:val="none"/>
              </w:rPr>
              <w:t>序号</w:t>
            </w:r>
          </w:p>
        </w:tc>
        <w:tc>
          <w:tcPr>
            <w:tcW w:w="1801" w:type="dxa"/>
            <w:vAlign w:val="center"/>
          </w:tcPr>
          <w:p w14:paraId="493CB684">
            <w:pPr>
              <w:pStyle w:val="18"/>
              <w:jc w:val="center"/>
              <w:rPr>
                <w:color w:val="auto"/>
                <w:kern w:val="20"/>
                <w:sz w:val="21"/>
                <w:szCs w:val="21"/>
                <w:highlight w:val="none"/>
              </w:rPr>
            </w:pPr>
            <w:r>
              <w:rPr>
                <w:rFonts w:hint="eastAsia"/>
                <w:color w:val="auto"/>
                <w:kern w:val="20"/>
                <w:sz w:val="21"/>
                <w:szCs w:val="21"/>
                <w:highlight w:val="none"/>
              </w:rPr>
              <w:t>磋商文件章节   和条款号</w:t>
            </w:r>
          </w:p>
        </w:tc>
        <w:tc>
          <w:tcPr>
            <w:tcW w:w="2070" w:type="dxa"/>
            <w:tcBorders>
              <w:right w:val="single" w:color="auto" w:sz="4" w:space="0"/>
            </w:tcBorders>
            <w:vAlign w:val="center"/>
          </w:tcPr>
          <w:p w14:paraId="0C36707E">
            <w:pPr>
              <w:pStyle w:val="18"/>
              <w:jc w:val="center"/>
              <w:rPr>
                <w:color w:val="auto"/>
                <w:kern w:val="20"/>
                <w:sz w:val="21"/>
                <w:szCs w:val="21"/>
                <w:highlight w:val="none"/>
              </w:rPr>
            </w:pPr>
            <w:r>
              <w:rPr>
                <w:rFonts w:hint="eastAsia"/>
                <w:color w:val="auto"/>
                <w:kern w:val="20"/>
                <w:sz w:val="21"/>
                <w:szCs w:val="21"/>
                <w:highlight w:val="none"/>
              </w:rPr>
              <w:t>要求规格</w:t>
            </w:r>
          </w:p>
        </w:tc>
        <w:tc>
          <w:tcPr>
            <w:tcW w:w="1377" w:type="dxa"/>
            <w:tcBorders>
              <w:left w:val="single" w:color="auto" w:sz="4" w:space="0"/>
            </w:tcBorders>
            <w:vAlign w:val="center"/>
          </w:tcPr>
          <w:p w14:paraId="35AC7278">
            <w:pPr>
              <w:pStyle w:val="18"/>
              <w:jc w:val="center"/>
              <w:rPr>
                <w:color w:val="auto"/>
                <w:kern w:val="20"/>
                <w:sz w:val="21"/>
                <w:szCs w:val="21"/>
                <w:highlight w:val="none"/>
              </w:rPr>
            </w:pPr>
            <w:r>
              <w:rPr>
                <w:rFonts w:hint="eastAsia"/>
                <w:color w:val="auto"/>
                <w:kern w:val="20"/>
                <w:sz w:val="21"/>
                <w:szCs w:val="21"/>
                <w:highlight w:val="none"/>
              </w:rPr>
              <w:t>响应规格</w:t>
            </w:r>
          </w:p>
        </w:tc>
        <w:tc>
          <w:tcPr>
            <w:tcW w:w="1414" w:type="dxa"/>
            <w:vAlign w:val="center"/>
          </w:tcPr>
          <w:p w14:paraId="12D74094">
            <w:pPr>
              <w:pStyle w:val="18"/>
              <w:jc w:val="center"/>
              <w:rPr>
                <w:color w:val="auto"/>
                <w:kern w:val="20"/>
                <w:sz w:val="21"/>
                <w:szCs w:val="21"/>
                <w:highlight w:val="none"/>
              </w:rPr>
            </w:pPr>
            <w:r>
              <w:rPr>
                <w:rFonts w:hint="eastAsia"/>
                <w:color w:val="auto"/>
                <w:kern w:val="20"/>
                <w:sz w:val="21"/>
                <w:szCs w:val="21"/>
                <w:highlight w:val="none"/>
              </w:rPr>
              <w:t>响应/偏离</w:t>
            </w:r>
          </w:p>
        </w:tc>
        <w:tc>
          <w:tcPr>
            <w:tcW w:w="1047" w:type="dxa"/>
            <w:vAlign w:val="center"/>
          </w:tcPr>
          <w:p w14:paraId="75D3DD20">
            <w:pPr>
              <w:pStyle w:val="18"/>
              <w:jc w:val="center"/>
              <w:rPr>
                <w:color w:val="auto"/>
                <w:kern w:val="20"/>
                <w:sz w:val="21"/>
                <w:szCs w:val="21"/>
                <w:highlight w:val="none"/>
              </w:rPr>
            </w:pPr>
            <w:r>
              <w:rPr>
                <w:rFonts w:hint="eastAsia"/>
                <w:color w:val="auto"/>
                <w:kern w:val="20"/>
                <w:sz w:val="21"/>
                <w:szCs w:val="21"/>
                <w:highlight w:val="none"/>
              </w:rPr>
              <w:t>说明</w:t>
            </w:r>
          </w:p>
        </w:tc>
      </w:tr>
      <w:tr w14:paraId="70733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6D7F498B">
            <w:pPr>
              <w:pStyle w:val="18"/>
              <w:jc w:val="center"/>
              <w:rPr>
                <w:color w:val="auto"/>
                <w:kern w:val="20"/>
                <w:sz w:val="21"/>
                <w:szCs w:val="21"/>
                <w:highlight w:val="none"/>
              </w:rPr>
            </w:pPr>
          </w:p>
        </w:tc>
        <w:tc>
          <w:tcPr>
            <w:tcW w:w="1801" w:type="dxa"/>
            <w:vAlign w:val="center"/>
          </w:tcPr>
          <w:p w14:paraId="69B321A7">
            <w:pPr>
              <w:pStyle w:val="18"/>
              <w:jc w:val="center"/>
              <w:rPr>
                <w:color w:val="auto"/>
                <w:kern w:val="20"/>
                <w:sz w:val="21"/>
                <w:szCs w:val="21"/>
                <w:highlight w:val="none"/>
              </w:rPr>
            </w:pPr>
          </w:p>
        </w:tc>
        <w:tc>
          <w:tcPr>
            <w:tcW w:w="2070" w:type="dxa"/>
            <w:tcBorders>
              <w:right w:val="single" w:color="auto" w:sz="4" w:space="0"/>
            </w:tcBorders>
            <w:vAlign w:val="center"/>
          </w:tcPr>
          <w:p w14:paraId="3BAF8532">
            <w:pPr>
              <w:pStyle w:val="18"/>
              <w:jc w:val="center"/>
              <w:rPr>
                <w:color w:val="auto"/>
                <w:kern w:val="20"/>
                <w:sz w:val="21"/>
                <w:szCs w:val="21"/>
                <w:highlight w:val="none"/>
              </w:rPr>
            </w:pPr>
          </w:p>
        </w:tc>
        <w:tc>
          <w:tcPr>
            <w:tcW w:w="1377" w:type="dxa"/>
            <w:tcBorders>
              <w:left w:val="single" w:color="auto" w:sz="4" w:space="0"/>
            </w:tcBorders>
            <w:vAlign w:val="center"/>
          </w:tcPr>
          <w:p w14:paraId="289A463A">
            <w:pPr>
              <w:pStyle w:val="18"/>
              <w:jc w:val="center"/>
              <w:rPr>
                <w:color w:val="auto"/>
                <w:kern w:val="20"/>
                <w:sz w:val="21"/>
                <w:szCs w:val="21"/>
                <w:highlight w:val="none"/>
              </w:rPr>
            </w:pPr>
          </w:p>
        </w:tc>
        <w:tc>
          <w:tcPr>
            <w:tcW w:w="1414" w:type="dxa"/>
            <w:vAlign w:val="center"/>
          </w:tcPr>
          <w:p w14:paraId="782A7C72">
            <w:pPr>
              <w:pStyle w:val="18"/>
              <w:jc w:val="center"/>
              <w:rPr>
                <w:color w:val="auto"/>
                <w:kern w:val="20"/>
                <w:sz w:val="21"/>
                <w:szCs w:val="21"/>
                <w:highlight w:val="none"/>
              </w:rPr>
            </w:pPr>
          </w:p>
        </w:tc>
        <w:tc>
          <w:tcPr>
            <w:tcW w:w="1047" w:type="dxa"/>
            <w:vAlign w:val="center"/>
          </w:tcPr>
          <w:p w14:paraId="2A2AF55B">
            <w:pPr>
              <w:pStyle w:val="18"/>
              <w:jc w:val="center"/>
              <w:rPr>
                <w:color w:val="auto"/>
                <w:kern w:val="20"/>
                <w:sz w:val="21"/>
                <w:szCs w:val="21"/>
                <w:highlight w:val="none"/>
              </w:rPr>
            </w:pPr>
          </w:p>
        </w:tc>
      </w:tr>
      <w:tr w14:paraId="126D3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2F080853">
            <w:pPr>
              <w:pStyle w:val="18"/>
              <w:jc w:val="center"/>
              <w:rPr>
                <w:color w:val="auto"/>
                <w:kern w:val="20"/>
                <w:sz w:val="21"/>
                <w:szCs w:val="21"/>
                <w:highlight w:val="none"/>
              </w:rPr>
            </w:pPr>
          </w:p>
        </w:tc>
        <w:tc>
          <w:tcPr>
            <w:tcW w:w="1801" w:type="dxa"/>
            <w:vAlign w:val="center"/>
          </w:tcPr>
          <w:p w14:paraId="4408D432">
            <w:pPr>
              <w:pStyle w:val="18"/>
              <w:jc w:val="center"/>
              <w:rPr>
                <w:color w:val="auto"/>
                <w:kern w:val="20"/>
                <w:sz w:val="21"/>
                <w:szCs w:val="21"/>
                <w:highlight w:val="none"/>
              </w:rPr>
            </w:pPr>
          </w:p>
        </w:tc>
        <w:tc>
          <w:tcPr>
            <w:tcW w:w="2070" w:type="dxa"/>
            <w:tcBorders>
              <w:right w:val="single" w:color="auto" w:sz="4" w:space="0"/>
            </w:tcBorders>
            <w:vAlign w:val="center"/>
          </w:tcPr>
          <w:p w14:paraId="389BF5AD">
            <w:pPr>
              <w:pStyle w:val="18"/>
              <w:jc w:val="center"/>
              <w:rPr>
                <w:color w:val="auto"/>
                <w:kern w:val="20"/>
                <w:sz w:val="21"/>
                <w:szCs w:val="21"/>
                <w:highlight w:val="none"/>
              </w:rPr>
            </w:pPr>
          </w:p>
        </w:tc>
        <w:tc>
          <w:tcPr>
            <w:tcW w:w="1377" w:type="dxa"/>
            <w:tcBorders>
              <w:left w:val="single" w:color="auto" w:sz="4" w:space="0"/>
            </w:tcBorders>
            <w:vAlign w:val="center"/>
          </w:tcPr>
          <w:p w14:paraId="1EFA3C82">
            <w:pPr>
              <w:pStyle w:val="18"/>
              <w:jc w:val="center"/>
              <w:rPr>
                <w:color w:val="auto"/>
                <w:kern w:val="20"/>
                <w:sz w:val="21"/>
                <w:szCs w:val="21"/>
                <w:highlight w:val="none"/>
              </w:rPr>
            </w:pPr>
          </w:p>
        </w:tc>
        <w:tc>
          <w:tcPr>
            <w:tcW w:w="1414" w:type="dxa"/>
            <w:vAlign w:val="center"/>
          </w:tcPr>
          <w:p w14:paraId="5AE4A8BE">
            <w:pPr>
              <w:pStyle w:val="18"/>
              <w:jc w:val="center"/>
              <w:rPr>
                <w:color w:val="auto"/>
                <w:kern w:val="20"/>
                <w:sz w:val="21"/>
                <w:szCs w:val="21"/>
                <w:highlight w:val="none"/>
              </w:rPr>
            </w:pPr>
          </w:p>
        </w:tc>
        <w:tc>
          <w:tcPr>
            <w:tcW w:w="1047" w:type="dxa"/>
            <w:vAlign w:val="center"/>
          </w:tcPr>
          <w:p w14:paraId="43B7D4EB">
            <w:pPr>
              <w:pStyle w:val="18"/>
              <w:jc w:val="center"/>
              <w:rPr>
                <w:color w:val="auto"/>
                <w:kern w:val="20"/>
                <w:sz w:val="21"/>
                <w:szCs w:val="21"/>
                <w:highlight w:val="none"/>
              </w:rPr>
            </w:pPr>
          </w:p>
        </w:tc>
      </w:tr>
      <w:tr w14:paraId="423C1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28EBA5E9">
            <w:pPr>
              <w:pStyle w:val="18"/>
              <w:jc w:val="center"/>
              <w:rPr>
                <w:color w:val="auto"/>
                <w:kern w:val="20"/>
                <w:sz w:val="21"/>
                <w:szCs w:val="21"/>
                <w:highlight w:val="none"/>
              </w:rPr>
            </w:pPr>
          </w:p>
        </w:tc>
        <w:tc>
          <w:tcPr>
            <w:tcW w:w="1801" w:type="dxa"/>
            <w:vAlign w:val="center"/>
          </w:tcPr>
          <w:p w14:paraId="0B66B648">
            <w:pPr>
              <w:pStyle w:val="18"/>
              <w:jc w:val="center"/>
              <w:rPr>
                <w:color w:val="auto"/>
                <w:kern w:val="20"/>
                <w:sz w:val="21"/>
                <w:szCs w:val="21"/>
                <w:highlight w:val="none"/>
              </w:rPr>
            </w:pPr>
          </w:p>
        </w:tc>
        <w:tc>
          <w:tcPr>
            <w:tcW w:w="2070" w:type="dxa"/>
            <w:tcBorders>
              <w:right w:val="single" w:color="auto" w:sz="4" w:space="0"/>
            </w:tcBorders>
            <w:vAlign w:val="center"/>
          </w:tcPr>
          <w:p w14:paraId="1213F112">
            <w:pPr>
              <w:pStyle w:val="18"/>
              <w:jc w:val="center"/>
              <w:rPr>
                <w:color w:val="auto"/>
                <w:kern w:val="20"/>
                <w:sz w:val="21"/>
                <w:szCs w:val="21"/>
                <w:highlight w:val="none"/>
              </w:rPr>
            </w:pPr>
          </w:p>
        </w:tc>
        <w:tc>
          <w:tcPr>
            <w:tcW w:w="1377" w:type="dxa"/>
            <w:tcBorders>
              <w:left w:val="single" w:color="auto" w:sz="4" w:space="0"/>
            </w:tcBorders>
            <w:vAlign w:val="center"/>
          </w:tcPr>
          <w:p w14:paraId="14019017">
            <w:pPr>
              <w:pStyle w:val="18"/>
              <w:jc w:val="center"/>
              <w:rPr>
                <w:color w:val="auto"/>
                <w:kern w:val="20"/>
                <w:sz w:val="21"/>
                <w:szCs w:val="21"/>
                <w:highlight w:val="none"/>
              </w:rPr>
            </w:pPr>
          </w:p>
        </w:tc>
        <w:tc>
          <w:tcPr>
            <w:tcW w:w="1414" w:type="dxa"/>
            <w:vAlign w:val="center"/>
          </w:tcPr>
          <w:p w14:paraId="0D82C86E">
            <w:pPr>
              <w:pStyle w:val="18"/>
              <w:jc w:val="center"/>
              <w:rPr>
                <w:color w:val="auto"/>
                <w:kern w:val="20"/>
                <w:sz w:val="21"/>
                <w:szCs w:val="21"/>
                <w:highlight w:val="none"/>
              </w:rPr>
            </w:pPr>
          </w:p>
        </w:tc>
        <w:tc>
          <w:tcPr>
            <w:tcW w:w="1047" w:type="dxa"/>
            <w:vAlign w:val="center"/>
          </w:tcPr>
          <w:p w14:paraId="5FDD3977">
            <w:pPr>
              <w:pStyle w:val="18"/>
              <w:jc w:val="center"/>
              <w:rPr>
                <w:color w:val="auto"/>
                <w:kern w:val="20"/>
                <w:sz w:val="21"/>
                <w:szCs w:val="21"/>
                <w:highlight w:val="none"/>
              </w:rPr>
            </w:pPr>
          </w:p>
        </w:tc>
      </w:tr>
      <w:tr w14:paraId="15FDC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6A6D91E3">
            <w:pPr>
              <w:pStyle w:val="18"/>
              <w:jc w:val="center"/>
              <w:rPr>
                <w:color w:val="auto"/>
                <w:kern w:val="20"/>
                <w:sz w:val="21"/>
                <w:szCs w:val="21"/>
                <w:highlight w:val="none"/>
              </w:rPr>
            </w:pPr>
          </w:p>
        </w:tc>
        <w:tc>
          <w:tcPr>
            <w:tcW w:w="1801" w:type="dxa"/>
            <w:vAlign w:val="center"/>
          </w:tcPr>
          <w:p w14:paraId="79D48D03">
            <w:pPr>
              <w:pStyle w:val="18"/>
              <w:jc w:val="center"/>
              <w:rPr>
                <w:color w:val="auto"/>
                <w:kern w:val="20"/>
                <w:sz w:val="21"/>
                <w:szCs w:val="21"/>
                <w:highlight w:val="none"/>
              </w:rPr>
            </w:pPr>
          </w:p>
        </w:tc>
        <w:tc>
          <w:tcPr>
            <w:tcW w:w="2070" w:type="dxa"/>
            <w:tcBorders>
              <w:right w:val="single" w:color="auto" w:sz="4" w:space="0"/>
            </w:tcBorders>
            <w:vAlign w:val="center"/>
          </w:tcPr>
          <w:p w14:paraId="152BD002">
            <w:pPr>
              <w:pStyle w:val="18"/>
              <w:jc w:val="center"/>
              <w:rPr>
                <w:color w:val="auto"/>
                <w:kern w:val="20"/>
                <w:sz w:val="21"/>
                <w:szCs w:val="21"/>
                <w:highlight w:val="none"/>
              </w:rPr>
            </w:pPr>
          </w:p>
        </w:tc>
        <w:tc>
          <w:tcPr>
            <w:tcW w:w="1377" w:type="dxa"/>
            <w:tcBorders>
              <w:left w:val="single" w:color="auto" w:sz="4" w:space="0"/>
            </w:tcBorders>
            <w:vAlign w:val="center"/>
          </w:tcPr>
          <w:p w14:paraId="76B9572C">
            <w:pPr>
              <w:pStyle w:val="18"/>
              <w:jc w:val="center"/>
              <w:rPr>
                <w:color w:val="auto"/>
                <w:kern w:val="20"/>
                <w:sz w:val="21"/>
                <w:szCs w:val="21"/>
                <w:highlight w:val="none"/>
              </w:rPr>
            </w:pPr>
          </w:p>
        </w:tc>
        <w:tc>
          <w:tcPr>
            <w:tcW w:w="1414" w:type="dxa"/>
            <w:vAlign w:val="center"/>
          </w:tcPr>
          <w:p w14:paraId="065C6411">
            <w:pPr>
              <w:pStyle w:val="18"/>
              <w:jc w:val="center"/>
              <w:rPr>
                <w:color w:val="auto"/>
                <w:kern w:val="20"/>
                <w:sz w:val="21"/>
                <w:szCs w:val="21"/>
                <w:highlight w:val="none"/>
              </w:rPr>
            </w:pPr>
          </w:p>
        </w:tc>
        <w:tc>
          <w:tcPr>
            <w:tcW w:w="1047" w:type="dxa"/>
            <w:vAlign w:val="center"/>
          </w:tcPr>
          <w:p w14:paraId="4BDA6908">
            <w:pPr>
              <w:pStyle w:val="18"/>
              <w:jc w:val="center"/>
              <w:rPr>
                <w:color w:val="auto"/>
                <w:kern w:val="20"/>
                <w:sz w:val="21"/>
                <w:szCs w:val="21"/>
                <w:highlight w:val="none"/>
              </w:rPr>
            </w:pPr>
          </w:p>
        </w:tc>
      </w:tr>
      <w:tr w14:paraId="56FE1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4A01D66E">
            <w:pPr>
              <w:pStyle w:val="18"/>
              <w:jc w:val="center"/>
              <w:rPr>
                <w:color w:val="auto"/>
                <w:kern w:val="20"/>
                <w:sz w:val="21"/>
                <w:szCs w:val="21"/>
                <w:highlight w:val="none"/>
              </w:rPr>
            </w:pPr>
          </w:p>
        </w:tc>
        <w:tc>
          <w:tcPr>
            <w:tcW w:w="1801" w:type="dxa"/>
            <w:vAlign w:val="center"/>
          </w:tcPr>
          <w:p w14:paraId="30D0463A">
            <w:pPr>
              <w:pStyle w:val="18"/>
              <w:jc w:val="center"/>
              <w:rPr>
                <w:color w:val="auto"/>
                <w:kern w:val="20"/>
                <w:sz w:val="21"/>
                <w:szCs w:val="21"/>
                <w:highlight w:val="none"/>
              </w:rPr>
            </w:pPr>
          </w:p>
        </w:tc>
        <w:tc>
          <w:tcPr>
            <w:tcW w:w="2070" w:type="dxa"/>
            <w:tcBorders>
              <w:right w:val="single" w:color="auto" w:sz="4" w:space="0"/>
            </w:tcBorders>
            <w:vAlign w:val="center"/>
          </w:tcPr>
          <w:p w14:paraId="42B07604">
            <w:pPr>
              <w:pStyle w:val="18"/>
              <w:jc w:val="center"/>
              <w:rPr>
                <w:color w:val="auto"/>
                <w:kern w:val="20"/>
                <w:sz w:val="21"/>
                <w:szCs w:val="21"/>
                <w:highlight w:val="none"/>
              </w:rPr>
            </w:pPr>
          </w:p>
        </w:tc>
        <w:tc>
          <w:tcPr>
            <w:tcW w:w="1377" w:type="dxa"/>
            <w:tcBorders>
              <w:left w:val="single" w:color="auto" w:sz="4" w:space="0"/>
            </w:tcBorders>
            <w:vAlign w:val="center"/>
          </w:tcPr>
          <w:p w14:paraId="32B40F62">
            <w:pPr>
              <w:pStyle w:val="18"/>
              <w:jc w:val="center"/>
              <w:rPr>
                <w:color w:val="auto"/>
                <w:kern w:val="20"/>
                <w:sz w:val="21"/>
                <w:szCs w:val="21"/>
                <w:highlight w:val="none"/>
              </w:rPr>
            </w:pPr>
          </w:p>
        </w:tc>
        <w:tc>
          <w:tcPr>
            <w:tcW w:w="1414" w:type="dxa"/>
            <w:vAlign w:val="center"/>
          </w:tcPr>
          <w:p w14:paraId="6275654E">
            <w:pPr>
              <w:pStyle w:val="18"/>
              <w:jc w:val="center"/>
              <w:rPr>
                <w:color w:val="auto"/>
                <w:kern w:val="20"/>
                <w:sz w:val="21"/>
                <w:szCs w:val="21"/>
                <w:highlight w:val="none"/>
              </w:rPr>
            </w:pPr>
          </w:p>
        </w:tc>
        <w:tc>
          <w:tcPr>
            <w:tcW w:w="1047" w:type="dxa"/>
            <w:vAlign w:val="center"/>
          </w:tcPr>
          <w:p w14:paraId="148F3F5C">
            <w:pPr>
              <w:pStyle w:val="18"/>
              <w:jc w:val="center"/>
              <w:rPr>
                <w:color w:val="auto"/>
                <w:kern w:val="20"/>
                <w:sz w:val="21"/>
                <w:szCs w:val="21"/>
                <w:highlight w:val="none"/>
              </w:rPr>
            </w:pPr>
          </w:p>
        </w:tc>
      </w:tr>
      <w:tr w14:paraId="48FA32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448EDDC9">
            <w:pPr>
              <w:pStyle w:val="18"/>
              <w:jc w:val="center"/>
              <w:rPr>
                <w:color w:val="auto"/>
                <w:kern w:val="20"/>
                <w:sz w:val="21"/>
                <w:szCs w:val="21"/>
                <w:highlight w:val="none"/>
              </w:rPr>
            </w:pPr>
          </w:p>
        </w:tc>
        <w:tc>
          <w:tcPr>
            <w:tcW w:w="1801" w:type="dxa"/>
            <w:vAlign w:val="center"/>
          </w:tcPr>
          <w:p w14:paraId="70593330">
            <w:pPr>
              <w:pStyle w:val="18"/>
              <w:jc w:val="center"/>
              <w:rPr>
                <w:color w:val="auto"/>
                <w:kern w:val="20"/>
                <w:sz w:val="21"/>
                <w:szCs w:val="21"/>
                <w:highlight w:val="none"/>
              </w:rPr>
            </w:pPr>
          </w:p>
        </w:tc>
        <w:tc>
          <w:tcPr>
            <w:tcW w:w="2070" w:type="dxa"/>
            <w:tcBorders>
              <w:right w:val="single" w:color="auto" w:sz="4" w:space="0"/>
            </w:tcBorders>
            <w:vAlign w:val="center"/>
          </w:tcPr>
          <w:p w14:paraId="57450397">
            <w:pPr>
              <w:pStyle w:val="18"/>
              <w:jc w:val="center"/>
              <w:rPr>
                <w:color w:val="auto"/>
                <w:kern w:val="20"/>
                <w:sz w:val="21"/>
                <w:szCs w:val="21"/>
                <w:highlight w:val="none"/>
              </w:rPr>
            </w:pPr>
          </w:p>
        </w:tc>
        <w:tc>
          <w:tcPr>
            <w:tcW w:w="1377" w:type="dxa"/>
            <w:tcBorders>
              <w:left w:val="single" w:color="auto" w:sz="4" w:space="0"/>
            </w:tcBorders>
            <w:vAlign w:val="center"/>
          </w:tcPr>
          <w:p w14:paraId="5D0BC955">
            <w:pPr>
              <w:pStyle w:val="18"/>
              <w:jc w:val="center"/>
              <w:rPr>
                <w:color w:val="auto"/>
                <w:kern w:val="20"/>
                <w:sz w:val="21"/>
                <w:szCs w:val="21"/>
                <w:highlight w:val="none"/>
              </w:rPr>
            </w:pPr>
          </w:p>
        </w:tc>
        <w:tc>
          <w:tcPr>
            <w:tcW w:w="1414" w:type="dxa"/>
            <w:vAlign w:val="center"/>
          </w:tcPr>
          <w:p w14:paraId="1733589A">
            <w:pPr>
              <w:pStyle w:val="18"/>
              <w:jc w:val="center"/>
              <w:rPr>
                <w:color w:val="auto"/>
                <w:kern w:val="20"/>
                <w:sz w:val="21"/>
                <w:szCs w:val="21"/>
                <w:highlight w:val="none"/>
              </w:rPr>
            </w:pPr>
          </w:p>
        </w:tc>
        <w:tc>
          <w:tcPr>
            <w:tcW w:w="1047" w:type="dxa"/>
            <w:vAlign w:val="center"/>
          </w:tcPr>
          <w:p w14:paraId="466AD10A">
            <w:pPr>
              <w:pStyle w:val="18"/>
              <w:jc w:val="center"/>
              <w:rPr>
                <w:color w:val="auto"/>
                <w:kern w:val="20"/>
                <w:sz w:val="21"/>
                <w:szCs w:val="21"/>
                <w:highlight w:val="none"/>
              </w:rPr>
            </w:pPr>
          </w:p>
        </w:tc>
      </w:tr>
      <w:tr w14:paraId="7872F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5CB9D86C">
            <w:pPr>
              <w:pStyle w:val="18"/>
              <w:jc w:val="center"/>
              <w:rPr>
                <w:color w:val="auto"/>
                <w:kern w:val="20"/>
                <w:sz w:val="21"/>
                <w:szCs w:val="21"/>
                <w:highlight w:val="none"/>
              </w:rPr>
            </w:pPr>
          </w:p>
        </w:tc>
        <w:tc>
          <w:tcPr>
            <w:tcW w:w="1801" w:type="dxa"/>
            <w:vAlign w:val="center"/>
          </w:tcPr>
          <w:p w14:paraId="34F8F5C7">
            <w:pPr>
              <w:pStyle w:val="18"/>
              <w:jc w:val="center"/>
              <w:rPr>
                <w:color w:val="auto"/>
                <w:kern w:val="20"/>
                <w:sz w:val="21"/>
                <w:szCs w:val="21"/>
                <w:highlight w:val="none"/>
              </w:rPr>
            </w:pPr>
          </w:p>
        </w:tc>
        <w:tc>
          <w:tcPr>
            <w:tcW w:w="2070" w:type="dxa"/>
            <w:tcBorders>
              <w:right w:val="single" w:color="auto" w:sz="4" w:space="0"/>
            </w:tcBorders>
            <w:vAlign w:val="center"/>
          </w:tcPr>
          <w:p w14:paraId="3BDB9800">
            <w:pPr>
              <w:pStyle w:val="18"/>
              <w:jc w:val="center"/>
              <w:rPr>
                <w:color w:val="auto"/>
                <w:kern w:val="20"/>
                <w:sz w:val="21"/>
                <w:szCs w:val="21"/>
                <w:highlight w:val="none"/>
              </w:rPr>
            </w:pPr>
          </w:p>
        </w:tc>
        <w:tc>
          <w:tcPr>
            <w:tcW w:w="1377" w:type="dxa"/>
            <w:tcBorders>
              <w:left w:val="single" w:color="auto" w:sz="4" w:space="0"/>
            </w:tcBorders>
            <w:vAlign w:val="center"/>
          </w:tcPr>
          <w:p w14:paraId="39C172D3">
            <w:pPr>
              <w:pStyle w:val="18"/>
              <w:jc w:val="center"/>
              <w:rPr>
                <w:color w:val="auto"/>
                <w:kern w:val="20"/>
                <w:sz w:val="21"/>
                <w:szCs w:val="21"/>
                <w:highlight w:val="none"/>
              </w:rPr>
            </w:pPr>
          </w:p>
        </w:tc>
        <w:tc>
          <w:tcPr>
            <w:tcW w:w="1414" w:type="dxa"/>
            <w:vAlign w:val="center"/>
          </w:tcPr>
          <w:p w14:paraId="22BA1470">
            <w:pPr>
              <w:pStyle w:val="18"/>
              <w:jc w:val="center"/>
              <w:rPr>
                <w:color w:val="auto"/>
                <w:kern w:val="20"/>
                <w:sz w:val="21"/>
                <w:szCs w:val="21"/>
                <w:highlight w:val="none"/>
              </w:rPr>
            </w:pPr>
          </w:p>
        </w:tc>
        <w:tc>
          <w:tcPr>
            <w:tcW w:w="1047" w:type="dxa"/>
            <w:vAlign w:val="center"/>
          </w:tcPr>
          <w:p w14:paraId="7A7F96C2">
            <w:pPr>
              <w:pStyle w:val="18"/>
              <w:jc w:val="center"/>
              <w:rPr>
                <w:color w:val="auto"/>
                <w:kern w:val="20"/>
                <w:sz w:val="21"/>
                <w:szCs w:val="21"/>
                <w:highlight w:val="none"/>
              </w:rPr>
            </w:pPr>
          </w:p>
        </w:tc>
      </w:tr>
      <w:tr w14:paraId="5097C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5" w:type="dxa"/>
            <w:vAlign w:val="center"/>
          </w:tcPr>
          <w:p w14:paraId="0BA06B27">
            <w:pPr>
              <w:pStyle w:val="18"/>
              <w:jc w:val="center"/>
              <w:rPr>
                <w:color w:val="auto"/>
                <w:kern w:val="20"/>
                <w:sz w:val="21"/>
                <w:szCs w:val="21"/>
                <w:highlight w:val="none"/>
              </w:rPr>
            </w:pPr>
          </w:p>
        </w:tc>
        <w:tc>
          <w:tcPr>
            <w:tcW w:w="1801" w:type="dxa"/>
            <w:vAlign w:val="center"/>
          </w:tcPr>
          <w:p w14:paraId="4D906792">
            <w:pPr>
              <w:pStyle w:val="18"/>
              <w:jc w:val="center"/>
              <w:rPr>
                <w:color w:val="auto"/>
                <w:kern w:val="20"/>
                <w:sz w:val="21"/>
                <w:szCs w:val="21"/>
                <w:highlight w:val="none"/>
              </w:rPr>
            </w:pPr>
          </w:p>
        </w:tc>
        <w:tc>
          <w:tcPr>
            <w:tcW w:w="2070" w:type="dxa"/>
            <w:tcBorders>
              <w:right w:val="single" w:color="auto" w:sz="4" w:space="0"/>
            </w:tcBorders>
            <w:vAlign w:val="center"/>
          </w:tcPr>
          <w:p w14:paraId="461C19C1">
            <w:pPr>
              <w:pStyle w:val="18"/>
              <w:jc w:val="center"/>
              <w:rPr>
                <w:color w:val="auto"/>
                <w:kern w:val="20"/>
                <w:sz w:val="21"/>
                <w:szCs w:val="21"/>
                <w:highlight w:val="none"/>
              </w:rPr>
            </w:pPr>
          </w:p>
        </w:tc>
        <w:tc>
          <w:tcPr>
            <w:tcW w:w="1377" w:type="dxa"/>
            <w:tcBorders>
              <w:left w:val="single" w:color="auto" w:sz="4" w:space="0"/>
            </w:tcBorders>
            <w:vAlign w:val="center"/>
          </w:tcPr>
          <w:p w14:paraId="347FBC35">
            <w:pPr>
              <w:pStyle w:val="18"/>
              <w:jc w:val="center"/>
              <w:rPr>
                <w:color w:val="auto"/>
                <w:kern w:val="20"/>
                <w:sz w:val="21"/>
                <w:szCs w:val="21"/>
                <w:highlight w:val="none"/>
              </w:rPr>
            </w:pPr>
          </w:p>
        </w:tc>
        <w:tc>
          <w:tcPr>
            <w:tcW w:w="1414" w:type="dxa"/>
            <w:vAlign w:val="center"/>
          </w:tcPr>
          <w:p w14:paraId="0B60DF42">
            <w:pPr>
              <w:pStyle w:val="18"/>
              <w:jc w:val="center"/>
              <w:rPr>
                <w:color w:val="auto"/>
                <w:kern w:val="20"/>
                <w:sz w:val="21"/>
                <w:szCs w:val="21"/>
                <w:highlight w:val="none"/>
              </w:rPr>
            </w:pPr>
          </w:p>
        </w:tc>
        <w:tc>
          <w:tcPr>
            <w:tcW w:w="1047" w:type="dxa"/>
            <w:vAlign w:val="center"/>
          </w:tcPr>
          <w:p w14:paraId="5BBE11A6">
            <w:pPr>
              <w:pStyle w:val="18"/>
              <w:jc w:val="center"/>
              <w:rPr>
                <w:color w:val="auto"/>
                <w:kern w:val="20"/>
                <w:sz w:val="21"/>
                <w:szCs w:val="21"/>
                <w:highlight w:val="none"/>
              </w:rPr>
            </w:pPr>
          </w:p>
        </w:tc>
      </w:tr>
    </w:tbl>
    <w:p w14:paraId="4CAA9685">
      <w:pPr>
        <w:adjustRightInd w:val="0"/>
        <w:snapToGrid w:val="0"/>
        <w:spacing w:line="360" w:lineRule="auto"/>
        <w:ind w:left="-88" w:leftChars="-42"/>
        <w:rPr>
          <w:rFonts w:ascii="宋体" w:hAnsi="宋体" w:cs="宋体"/>
          <w:b/>
          <w:color w:val="auto"/>
          <w:szCs w:val="21"/>
          <w:highlight w:val="none"/>
        </w:rPr>
      </w:pPr>
    </w:p>
    <w:p w14:paraId="1016EF24">
      <w:pPr>
        <w:adjustRightInd w:val="0"/>
        <w:snapToGrid w:val="0"/>
        <w:spacing w:line="360" w:lineRule="auto"/>
        <w:ind w:left="-88" w:leftChars="-42"/>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：供应商须对采购需求中的技术（服务）的条款逐项如实作出响应，任何负偏离或缺漏项将导致扣分导致响应无效。</w:t>
      </w:r>
    </w:p>
    <w:p w14:paraId="6408F303">
      <w:pPr>
        <w:adjustRightInd w:val="0"/>
        <w:snapToGrid w:val="0"/>
        <w:spacing w:line="360" w:lineRule="auto"/>
        <w:rPr>
          <w:rFonts w:ascii="宋体" w:hAnsi="宋体" w:cs="宋体"/>
          <w:color w:val="auto"/>
          <w:szCs w:val="21"/>
          <w:highlight w:val="none"/>
        </w:rPr>
      </w:pPr>
    </w:p>
    <w:p w14:paraId="4F771F1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77A1DB5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w:t>
      </w:r>
    </w:p>
    <w:p w14:paraId="4D1C611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日期：年月日</w:t>
      </w:r>
    </w:p>
    <w:p w14:paraId="5F61283B">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Cs w:val="21"/>
          <w:highlight w:val="none"/>
        </w:rPr>
        <w:br w:type="page"/>
      </w:r>
      <w:bookmarkStart w:id="5" w:name="_Toc528307199"/>
      <w:r>
        <w:rPr>
          <w:rFonts w:hint="eastAsia" w:ascii="宋体" w:hAnsi="宋体" w:cs="宋体"/>
          <w:color w:val="auto"/>
          <w:sz w:val="28"/>
          <w:szCs w:val="28"/>
          <w:highlight w:val="none"/>
        </w:rPr>
        <w:t>五、享受政府采购政策优惠的证明资料</w:t>
      </w:r>
      <w:bookmarkEnd w:id="5"/>
    </w:p>
    <w:p w14:paraId="27A608B7">
      <w:pPr>
        <w:adjustRightInd w:val="0"/>
        <w:snapToGrid w:val="0"/>
        <w:spacing w:line="360" w:lineRule="auto"/>
        <w:rPr>
          <w:rFonts w:ascii="宋体" w:hAnsi="宋体" w:cs="宋体"/>
          <w:bCs/>
          <w:color w:val="auto"/>
          <w:spacing w:val="6"/>
          <w:kern w:val="0"/>
          <w:szCs w:val="21"/>
          <w:highlight w:val="none"/>
        </w:rPr>
      </w:pPr>
    </w:p>
    <w:p w14:paraId="2AEDB960">
      <w:pPr>
        <w:pStyle w:val="5"/>
        <w:rPr>
          <w:rFonts w:ascii="宋体" w:hAnsi="宋体" w:eastAsia="宋体" w:cs="宋体"/>
          <w:bCs w:val="0"/>
          <w:color w:val="auto"/>
          <w:spacing w:val="6"/>
          <w:kern w:val="0"/>
          <w:sz w:val="24"/>
          <w:szCs w:val="24"/>
          <w:highlight w:val="none"/>
        </w:rPr>
      </w:pPr>
      <w:bookmarkStart w:id="6" w:name="_Toc528307200"/>
      <w:r>
        <w:rPr>
          <w:rFonts w:hint="eastAsia" w:ascii="宋体" w:hAnsi="宋体" w:cs="宋体"/>
          <w:bCs w:val="0"/>
          <w:color w:val="auto"/>
          <w:spacing w:val="6"/>
          <w:kern w:val="0"/>
          <w:sz w:val="24"/>
          <w:szCs w:val="24"/>
          <w:highlight w:val="none"/>
        </w:rPr>
        <w:t xml:space="preserve">附5-1 </w:t>
      </w:r>
      <w:r>
        <w:rPr>
          <w:rFonts w:hint="eastAsia" w:ascii="宋体" w:hAnsi="宋体" w:eastAsia="宋体" w:cs="宋体"/>
          <w:bCs w:val="0"/>
          <w:color w:val="auto"/>
          <w:spacing w:val="6"/>
          <w:kern w:val="0"/>
          <w:sz w:val="24"/>
          <w:szCs w:val="24"/>
          <w:highlight w:val="none"/>
        </w:rPr>
        <w:t>中小企业声明函</w:t>
      </w:r>
    </w:p>
    <w:p w14:paraId="35C2D896">
      <w:pPr>
        <w:widowControl/>
        <w:adjustRightInd w:val="0"/>
        <w:snapToGrid w:val="0"/>
        <w:spacing w:line="360" w:lineRule="auto"/>
        <w:jc w:val="center"/>
        <w:rPr>
          <w:rFonts w:hint="eastAsia" w:ascii="宋体" w:hAnsi="宋体" w:eastAsia="宋体" w:cs="宋体"/>
          <w:b/>
          <w:color w:val="auto"/>
          <w:spacing w:val="6"/>
          <w:kern w:val="0"/>
          <w:szCs w:val="21"/>
          <w:highlight w:val="none"/>
        </w:rPr>
      </w:pPr>
    </w:p>
    <w:p w14:paraId="2265A690">
      <w:pPr>
        <w:widowControl/>
        <w:adjustRightInd w:val="0"/>
        <w:snapToGrid w:val="0"/>
        <w:spacing w:line="360" w:lineRule="auto"/>
        <w:jc w:val="center"/>
        <w:rPr>
          <w:rFonts w:hint="eastAsia" w:ascii="宋体" w:hAnsi="宋体" w:eastAsia="宋体" w:cs="宋体"/>
          <w:b/>
          <w:color w:val="auto"/>
          <w:spacing w:val="6"/>
          <w:kern w:val="0"/>
          <w:szCs w:val="21"/>
          <w:highlight w:val="none"/>
        </w:rPr>
      </w:pPr>
      <w:r>
        <w:rPr>
          <w:rFonts w:hint="eastAsia" w:ascii="宋体" w:hAnsi="宋体" w:eastAsia="宋体" w:cs="宋体"/>
          <w:b/>
          <w:color w:val="auto"/>
          <w:spacing w:val="6"/>
          <w:kern w:val="0"/>
          <w:szCs w:val="21"/>
          <w:highlight w:val="none"/>
        </w:rPr>
        <w:t>中小企业声明函（服务）</w:t>
      </w:r>
    </w:p>
    <w:p w14:paraId="49CCB0C1">
      <w:pPr>
        <w:widowControl w:val="0"/>
        <w:spacing w:line="528" w:lineRule="exact"/>
        <w:ind w:firstLine="660"/>
        <w:jc w:val="both"/>
        <w:outlineLvl w:val="9"/>
        <w:rPr>
          <w:rFonts w:hint="eastAsia" w:ascii="宋体" w:hAnsi="宋体" w:eastAsia="宋体" w:cs="宋体"/>
          <w:color w:val="auto"/>
          <w:kern w:val="2"/>
          <w:sz w:val="21"/>
          <w:szCs w:val="21"/>
          <w:highlight w:val="none"/>
          <w:u w:val="single"/>
          <w:lang w:val="zh-TW" w:eastAsia="zh-TW" w:bidi="zh-TW"/>
        </w:rPr>
      </w:pPr>
      <w:r>
        <w:rPr>
          <w:rFonts w:hint="eastAsia" w:ascii="宋体" w:hAnsi="宋体" w:eastAsia="宋体" w:cs="宋体"/>
          <w:color w:val="auto"/>
          <w:kern w:val="2"/>
          <w:sz w:val="21"/>
          <w:szCs w:val="21"/>
          <w:highlight w:val="none"/>
          <w:lang w:val="zh-TW" w:eastAsia="zh-TW" w:bidi="zh-TW"/>
        </w:rPr>
        <w:t>本公司郑重声明，根据《政府采购促进中小 企业发展管理办法》（财库〔2020 ）46号）的规定，本公司 参加</w:t>
      </w:r>
      <w:r>
        <w:rPr>
          <w:rFonts w:hint="eastAsia" w:ascii="宋体" w:hAnsi="宋体" w:eastAsia="宋体" w:cs="宋体"/>
          <w:color w:val="auto"/>
          <w:kern w:val="2"/>
          <w:sz w:val="21"/>
          <w:szCs w:val="21"/>
          <w:highlight w:val="none"/>
          <w:u w:val="single"/>
          <w:lang w:val="zh-TW" w:eastAsia="zh-TW" w:bidi="zh-TW"/>
        </w:rPr>
        <w:t>（单位名称）</w:t>
      </w:r>
      <w:r>
        <w:rPr>
          <w:rFonts w:hint="eastAsia" w:ascii="宋体" w:hAnsi="宋体" w:eastAsia="宋体" w:cs="宋体"/>
          <w:color w:val="auto"/>
          <w:kern w:val="2"/>
          <w:sz w:val="21"/>
          <w:szCs w:val="21"/>
          <w:highlight w:val="none"/>
          <w:lang w:val="zh-TW" w:eastAsia="zh-TW" w:bidi="zh-TW"/>
        </w:rPr>
        <w:t>的</w:t>
      </w:r>
      <w:r>
        <w:rPr>
          <w:rFonts w:hint="eastAsia" w:ascii="宋体" w:hAnsi="宋体" w:eastAsia="宋体" w:cs="宋体"/>
          <w:color w:val="auto"/>
          <w:kern w:val="2"/>
          <w:sz w:val="21"/>
          <w:szCs w:val="21"/>
          <w:highlight w:val="none"/>
          <w:u w:val="single"/>
          <w:lang w:val="zh-TW" w:eastAsia="zh-TW" w:bidi="zh-TW"/>
        </w:rPr>
        <w:t>（项目名称）</w:t>
      </w:r>
      <w:r>
        <w:rPr>
          <w:rFonts w:hint="eastAsia" w:ascii="宋体" w:hAnsi="宋体" w:eastAsia="宋体" w:cs="宋体"/>
          <w:color w:val="auto"/>
          <w:kern w:val="2"/>
          <w:sz w:val="21"/>
          <w:szCs w:val="21"/>
          <w:highlight w:val="none"/>
          <w:lang w:val="zh-TW" w:eastAsia="zh-TW" w:bidi="zh-TW"/>
        </w:rPr>
        <w:t>采购活动，</w:t>
      </w:r>
      <w:r>
        <w:rPr>
          <w:rFonts w:hint="eastAsia" w:ascii="宋体" w:hAnsi="宋体" w:eastAsia="宋体" w:cs="宋体"/>
          <w:color w:val="auto"/>
          <w:kern w:val="2"/>
          <w:sz w:val="21"/>
          <w:szCs w:val="21"/>
          <w:highlight w:val="none"/>
          <w:lang w:val="en-US" w:eastAsia="zh-CN" w:bidi="zh-TW"/>
        </w:rPr>
        <w:t>服务</w:t>
      </w:r>
      <w:r>
        <w:rPr>
          <w:rFonts w:hint="eastAsia" w:ascii="宋体" w:hAnsi="宋体" w:eastAsia="宋体" w:cs="宋体"/>
          <w:color w:val="auto"/>
          <w:kern w:val="2"/>
          <w:sz w:val="21"/>
          <w:szCs w:val="21"/>
          <w:highlight w:val="none"/>
          <w:lang w:val="zh-TW" w:eastAsia="zh-TW" w:bidi="zh-TW"/>
        </w:rPr>
        <w:t>全部</w:t>
      </w:r>
      <w:r>
        <w:rPr>
          <w:rFonts w:hint="eastAsia" w:ascii="宋体" w:hAnsi="宋体" w:eastAsia="宋体" w:cs="宋体"/>
          <w:color w:val="auto"/>
          <w:kern w:val="2"/>
          <w:sz w:val="21"/>
          <w:szCs w:val="21"/>
          <w:highlight w:val="none"/>
          <w:lang w:val="en-US" w:eastAsia="zh-CN" w:bidi="zh-TW"/>
        </w:rPr>
        <w:t>由</w:t>
      </w:r>
      <w:r>
        <w:rPr>
          <w:rFonts w:hint="eastAsia" w:ascii="宋体" w:hAnsi="宋体" w:eastAsia="宋体" w:cs="宋体"/>
          <w:color w:val="auto"/>
          <w:kern w:val="2"/>
          <w:sz w:val="21"/>
          <w:szCs w:val="21"/>
          <w:highlight w:val="none"/>
          <w:lang w:val="zh-TW" w:eastAsia="zh-TW" w:bidi="zh-TW"/>
        </w:rPr>
        <w:t>符合政策要求的中小企业承接。具体情况如下：</w:t>
      </w:r>
    </w:p>
    <w:p w14:paraId="78D5333D">
      <w:pPr>
        <w:widowControl w:val="0"/>
        <w:tabs>
          <w:tab w:val="left" w:pos="1193"/>
          <w:tab w:val="left" w:pos="6974"/>
        </w:tabs>
        <w:spacing w:line="528" w:lineRule="exact"/>
        <w:ind w:left="0" w:leftChars="0" w:firstLine="840" w:firstLineChars="400"/>
        <w:jc w:val="both"/>
        <w:outlineLvl w:val="9"/>
        <w:rPr>
          <w:rFonts w:hint="eastAsia"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u w:val="single"/>
          <w:lang w:val="zh-TW" w:eastAsia="zh-TW" w:bidi="zh-TW"/>
        </w:rPr>
        <w:t>（标的名称）</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zh-TW" w:eastAsia="zh-TW" w:bidi="zh-TW"/>
        </w:rPr>
        <w:t>（本项目所属行业</w:t>
      </w:r>
      <w:r>
        <w:rPr>
          <w:rFonts w:hint="eastAsia" w:ascii="宋体" w:hAnsi="宋体" w:eastAsia="宋体" w:cs="宋体"/>
          <w:color w:val="auto"/>
          <w:kern w:val="2"/>
          <w:sz w:val="21"/>
          <w:szCs w:val="21"/>
          <w:highlight w:val="none"/>
          <w:u w:val="single"/>
          <w:lang w:val="zh-TW" w:eastAsia="zh-CN" w:bidi="zh-TW"/>
        </w:rPr>
        <w:t>）</w:t>
      </w:r>
      <w:r>
        <w:rPr>
          <w:rFonts w:hint="eastAsia" w:ascii="宋体" w:hAnsi="宋体" w:eastAsia="宋体" w:cs="宋体"/>
          <w:color w:val="auto"/>
          <w:kern w:val="2"/>
          <w:sz w:val="21"/>
          <w:szCs w:val="21"/>
          <w:highlight w:val="none"/>
          <w:lang w:val="zh-TW" w:eastAsia="zh-TW" w:bidi="zh-TW"/>
        </w:rPr>
        <w:t>, 承建（承接）企业为</w:t>
      </w:r>
      <w:r>
        <w:rPr>
          <w:rFonts w:hint="eastAsia" w:ascii="宋体" w:hAnsi="宋体" w:eastAsia="宋体" w:cs="宋体"/>
          <w:color w:val="auto"/>
          <w:kern w:val="2"/>
          <w:sz w:val="21"/>
          <w:szCs w:val="21"/>
          <w:highlight w:val="none"/>
          <w:u w:val="single"/>
          <w:lang w:val="zh-TW" w:eastAsia="zh-TW" w:bidi="zh-TW"/>
        </w:rPr>
        <w:t>（企业名称）</w:t>
      </w:r>
      <w:r>
        <w:rPr>
          <w:rFonts w:hint="eastAsia" w:ascii="宋体" w:hAnsi="宋体" w:eastAsia="宋体" w:cs="宋体"/>
          <w:color w:val="auto"/>
          <w:kern w:val="2"/>
          <w:sz w:val="21"/>
          <w:szCs w:val="21"/>
          <w:highlight w:val="none"/>
          <w:lang w:val="zh-TW" w:eastAsia="zh-TW" w:bidi="zh-TW"/>
        </w:rPr>
        <w:t>,从业人员</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zh-TW" w:eastAsia="zh-TW" w:bidi="zh-TW"/>
        </w:rPr>
        <w:tab/>
      </w:r>
      <w:r>
        <w:rPr>
          <w:rFonts w:hint="eastAsia" w:ascii="宋体" w:hAnsi="宋体" w:eastAsia="宋体" w:cs="宋体"/>
          <w:color w:val="auto"/>
          <w:kern w:val="2"/>
          <w:sz w:val="21"/>
          <w:szCs w:val="21"/>
          <w:highlight w:val="none"/>
          <w:lang w:val="zh-TW" w:eastAsia="zh-TW" w:bidi="zh-TW"/>
        </w:rPr>
        <w:t>人，营业收入为</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万元，资产总额为</w:t>
      </w:r>
      <w:r>
        <w:rPr>
          <w:rFonts w:hint="eastAsia" w:ascii="宋体" w:hAnsi="宋体" w:eastAsia="宋体" w:cs="宋体"/>
          <w:color w:val="auto"/>
          <w:kern w:val="2"/>
          <w:sz w:val="21"/>
          <w:szCs w:val="21"/>
          <w:highlight w:val="none"/>
          <w:u w:val="single"/>
          <w:lang w:val="zh-TW" w:eastAsia="zh-TW" w:bidi="zh-TW"/>
        </w:rPr>
        <w:t xml:space="preserve"> </w:t>
      </w:r>
      <w:r>
        <w:rPr>
          <w:rFonts w:hint="eastAsia" w:ascii="宋体" w:hAnsi="宋体" w:eastAsia="宋体" w:cs="宋体"/>
          <w:color w:val="auto"/>
          <w:kern w:val="2"/>
          <w:sz w:val="21"/>
          <w:szCs w:val="21"/>
          <w:highlight w:val="none"/>
          <w:u w:val="single"/>
          <w:lang w:val="en-US" w:eastAsia="zh-CN" w:bidi="zh-TW"/>
        </w:rPr>
        <w:t xml:space="preserve">  </w:t>
      </w:r>
      <w:r>
        <w:rPr>
          <w:rFonts w:hint="eastAsia" w:ascii="宋体" w:hAnsi="宋体" w:eastAsia="宋体" w:cs="宋体"/>
          <w:color w:val="auto"/>
          <w:kern w:val="2"/>
          <w:sz w:val="21"/>
          <w:szCs w:val="21"/>
          <w:highlight w:val="none"/>
          <w:lang w:val="zh-TW" w:eastAsia="zh-TW" w:bidi="zh-TW"/>
        </w:rPr>
        <w:t>万元</w:t>
      </w:r>
      <w:r>
        <w:rPr>
          <w:rFonts w:hint="eastAsia" w:ascii="宋体" w:hAnsi="宋体" w:eastAsia="宋体" w:cs="宋体"/>
          <w:color w:val="auto"/>
          <w:kern w:val="2"/>
          <w:sz w:val="21"/>
          <w:szCs w:val="21"/>
          <w:highlight w:val="none"/>
          <w:lang w:val="en-US" w:eastAsia="zh-CN" w:bidi="en-US"/>
        </w:rPr>
        <w:t>，</w:t>
      </w:r>
      <w:r>
        <w:rPr>
          <w:rFonts w:hint="eastAsia" w:ascii="宋体" w:hAnsi="宋体" w:eastAsia="宋体" w:cs="宋体"/>
          <w:color w:val="auto"/>
          <w:kern w:val="2"/>
          <w:sz w:val="21"/>
          <w:szCs w:val="21"/>
          <w:highlight w:val="none"/>
          <w:lang w:val="zh-TW" w:eastAsia="zh-TW" w:bidi="zh-TW"/>
        </w:rPr>
        <w:t>属于</w:t>
      </w:r>
      <w:r>
        <w:rPr>
          <w:rFonts w:hint="eastAsia" w:ascii="宋体" w:hAnsi="宋体" w:eastAsia="宋体" w:cs="宋体"/>
          <w:color w:val="auto"/>
          <w:kern w:val="2"/>
          <w:sz w:val="21"/>
          <w:szCs w:val="21"/>
          <w:highlight w:val="none"/>
          <w:u w:val="single"/>
          <w:lang w:val="zh-TW" w:eastAsia="zh-TW" w:bidi="zh-TW"/>
        </w:rPr>
        <w:t>（中型企业、 小型企业、微型企业）</w:t>
      </w:r>
      <w:r>
        <w:rPr>
          <w:rFonts w:hint="eastAsia" w:ascii="宋体" w:hAnsi="宋体" w:eastAsia="宋体" w:cs="宋体"/>
          <w:color w:val="auto"/>
          <w:kern w:val="2"/>
          <w:sz w:val="21"/>
          <w:szCs w:val="21"/>
          <w:highlight w:val="none"/>
          <w:lang w:val="zh-TW" w:eastAsia="zh-TW" w:bidi="zh-TW"/>
        </w:rPr>
        <w:t>,</w:t>
      </w:r>
    </w:p>
    <w:p w14:paraId="060E9273">
      <w:pPr>
        <w:widowControl w:val="0"/>
        <w:tabs>
          <w:tab w:val="left" w:leader="dot" w:pos="-1212"/>
        </w:tabs>
        <w:spacing w:line="520" w:lineRule="exact"/>
        <w:ind w:hanging="1740"/>
        <w:jc w:val="both"/>
        <w:outlineLvl w:val="9"/>
        <w:rPr>
          <w:rFonts w:hint="eastAsia"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en-US" w:eastAsia="zh-CN" w:bidi="en-US"/>
        </w:rPr>
        <w:tab/>
      </w:r>
    </w:p>
    <w:p w14:paraId="5B3A6715">
      <w:pPr>
        <w:widowControl w:val="0"/>
        <w:spacing w:line="520" w:lineRule="exact"/>
        <w:ind w:firstLine="660"/>
        <w:jc w:val="both"/>
        <w:outlineLvl w:val="9"/>
        <w:rPr>
          <w:rFonts w:hint="eastAsia"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以上企业，不属于大企业的分支机构，不存在控股股东为大企业的情形，也不存在与大企业的负责人为同一人的情形。</w:t>
      </w:r>
    </w:p>
    <w:p w14:paraId="5B08DDFF">
      <w:pPr>
        <w:widowControl w:val="0"/>
        <w:spacing w:line="520" w:lineRule="exact"/>
        <w:ind w:firstLine="660"/>
        <w:jc w:val="both"/>
        <w:outlineLvl w:val="9"/>
        <w:rPr>
          <w:rFonts w:hint="eastAsia" w:ascii="宋体" w:hAnsi="宋体" w:eastAsia="宋体" w:cs="宋体"/>
          <w:color w:val="auto"/>
          <w:kern w:val="2"/>
          <w:sz w:val="21"/>
          <w:szCs w:val="21"/>
          <w:highlight w:val="none"/>
          <w:lang w:val="zh-TW" w:eastAsia="zh-TW" w:bidi="zh-TW"/>
        </w:rPr>
      </w:pPr>
      <w:r>
        <w:rPr>
          <w:rFonts w:hint="eastAsia" w:ascii="宋体" w:hAnsi="宋体" w:eastAsia="宋体" w:cs="宋体"/>
          <w:color w:val="auto"/>
          <w:kern w:val="2"/>
          <w:sz w:val="21"/>
          <w:szCs w:val="21"/>
          <w:highlight w:val="none"/>
          <w:lang w:val="zh-TW" w:eastAsia="zh-TW" w:bidi="zh-TW"/>
        </w:rPr>
        <w:t>本企业对上述声明内容的真实性负责。如有虚假，将依法承担相应责任。</w:t>
      </w:r>
    </w:p>
    <w:p w14:paraId="371B97FB">
      <w:pPr>
        <w:adjustRightInd w:val="0"/>
        <w:snapToGrid w:val="0"/>
        <w:spacing w:line="360" w:lineRule="auto"/>
        <w:ind w:right="23" w:rightChars="11"/>
        <w:outlineLvl w:val="9"/>
        <w:rPr>
          <w:rFonts w:hint="eastAsia" w:ascii="宋体" w:hAnsi="宋体" w:eastAsia="宋体" w:cs="宋体"/>
          <w:color w:val="auto"/>
          <w:szCs w:val="21"/>
          <w:highlight w:val="none"/>
        </w:rPr>
      </w:pPr>
    </w:p>
    <w:p w14:paraId="435B26B7">
      <w:pPr>
        <w:widowControl w:val="0"/>
        <w:adjustRightInd w:val="0"/>
        <w:snapToGrid w:val="0"/>
        <w:spacing w:line="360" w:lineRule="auto"/>
        <w:ind w:right="23" w:rightChars="11" w:firstLine="5250" w:firstLineChars="2500"/>
        <w:jc w:val="both"/>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供应商名称：</w:t>
      </w:r>
      <w:r>
        <w:rPr>
          <w:rFonts w:hint="eastAsia" w:ascii="宋体" w:hAnsi="宋体" w:eastAsia="宋体" w:cs="宋体"/>
          <w:color w:val="auto"/>
          <w:kern w:val="2"/>
          <w:sz w:val="21"/>
          <w:szCs w:val="21"/>
          <w:highlight w:val="none"/>
          <w:u w:val="single"/>
          <w:lang w:val="en-US" w:eastAsia="zh-CN" w:bidi="ar-SA"/>
        </w:rPr>
        <w:t xml:space="preserve">                   </w:t>
      </w:r>
    </w:p>
    <w:p w14:paraId="1DA70852">
      <w:pPr>
        <w:adjustRightInd w:val="0"/>
        <w:snapToGrid w:val="0"/>
        <w:spacing w:line="360" w:lineRule="auto"/>
        <w:ind w:right="23" w:rightChars="11" w:firstLine="5250" w:firstLineChars="25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14:paraId="727614C0">
      <w:pPr>
        <w:adjustRightInd w:val="0"/>
        <w:snapToGrid w:val="0"/>
        <w:spacing w:line="360" w:lineRule="auto"/>
        <w:ind w:right="23" w:rightChars="11" w:firstLine="5250" w:firstLineChars="25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2DD23BC">
      <w:pPr>
        <w:widowControl/>
        <w:adjustRightInd w:val="0"/>
        <w:snapToGrid w:val="0"/>
        <w:spacing w:line="360" w:lineRule="auto"/>
        <w:rPr>
          <w:rFonts w:hint="eastAsia" w:ascii="宋体" w:hAnsi="宋体" w:eastAsia="宋体" w:cs="宋体"/>
          <w:b/>
          <w:color w:val="auto"/>
          <w:spacing w:val="6"/>
          <w:kern w:val="0"/>
          <w:szCs w:val="21"/>
          <w:highlight w:val="none"/>
          <w:lang w:eastAsia="zh-CN"/>
        </w:rPr>
      </w:pPr>
    </w:p>
    <w:p w14:paraId="73B23483">
      <w:pPr>
        <w:widowControl/>
        <w:adjustRightInd w:val="0"/>
        <w:snapToGrid w:val="0"/>
        <w:spacing w:line="360" w:lineRule="auto"/>
        <w:ind w:firstLine="444" w:firstLineChars="200"/>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br w:type="page"/>
      </w:r>
    </w:p>
    <w:p w14:paraId="34CF9478">
      <w:pPr>
        <w:pStyle w:val="5"/>
        <w:rPr>
          <w:rFonts w:ascii="宋体" w:hAnsi="宋体" w:eastAsia="宋体" w:cs="宋体"/>
          <w:color w:val="auto"/>
          <w:spacing w:val="6"/>
          <w:sz w:val="24"/>
          <w:szCs w:val="24"/>
          <w:highlight w:val="none"/>
        </w:rPr>
      </w:pPr>
      <w:r>
        <w:rPr>
          <w:rFonts w:hint="eastAsia" w:ascii="宋体" w:hAnsi="宋体" w:cs="宋体"/>
          <w:bCs w:val="0"/>
          <w:color w:val="auto"/>
          <w:spacing w:val="6"/>
          <w:kern w:val="0"/>
          <w:sz w:val="24"/>
          <w:szCs w:val="24"/>
          <w:highlight w:val="none"/>
        </w:rPr>
        <w:t xml:space="preserve">附5-2 </w:t>
      </w:r>
      <w:r>
        <w:rPr>
          <w:rFonts w:hint="eastAsia" w:ascii="宋体" w:hAnsi="宋体" w:eastAsia="宋体" w:cs="宋体"/>
          <w:color w:val="auto"/>
          <w:spacing w:val="6"/>
          <w:sz w:val="24"/>
          <w:szCs w:val="24"/>
          <w:highlight w:val="none"/>
        </w:rPr>
        <w:t>残疾人福利性单位声明函</w:t>
      </w:r>
    </w:p>
    <w:p w14:paraId="645D38EC">
      <w:pPr>
        <w:rPr>
          <w:color w:val="auto"/>
          <w:highlight w:val="none"/>
        </w:rPr>
      </w:pPr>
    </w:p>
    <w:p w14:paraId="4D2FAF78">
      <w:pPr>
        <w:adjustRightInd w:val="0"/>
        <w:snapToGrid w:val="0"/>
        <w:spacing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(不属于残疾人福利性单位的无需填写)</w:t>
      </w:r>
    </w:p>
    <w:p w14:paraId="07A194D3">
      <w:pPr>
        <w:adjustRightInd w:val="0"/>
        <w:snapToGrid w:val="0"/>
        <w:spacing w:line="360" w:lineRule="auto"/>
        <w:ind w:firstLine="444" w:firstLineChars="200"/>
        <w:rPr>
          <w:rFonts w:ascii="宋体" w:hAnsi="宋体" w:cs="宋体"/>
          <w:color w:val="auto"/>
          <w:spacing w:val="6"/>
          <w:szCs w:val="21"/>
          <w:highlight w:val="none"/>
        </w:rPr>
      </w:pPr>
    </w:p>
    <w:p w14:paraId="29A1C45F">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4D855B">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565A5DBD">
      <w:pPr>
        <w:adjustRightInd w:val="0"/>
        <w:snapToGrid w:val="0"/>
        <w:spacing w:line="360" w:lineRule="auto"/>
        <w:ind w:firstLine="444" w:firstLineChars="200"/>
        <w:rPr>
          <w:rFonts w:ascii="宋体" w:hAnsi="宋体" w:cs="宋体"/>
          <w:color w:val="auto"/>
          <w:spacing w:val="6"/>
          <w:szCs w:val="21"/>
          <w:highlight w:val="none"/>
        </w:rPr>
      </w:pPr>
    </w:p>
    <w:p w14:paraId="12AB16AC">
      <w:pPr>
        <w:adjustRightInd w:val="0"/>
        <w:snapToGrid w:val="0"/>
        <w:spacing w:line="360" w:lineRule="auto"/>
        <w:ind w:firstLine="444" w:firstLineChars="200"/>
        <w:rPr>
          <w:rFonts w:ascii="宋体" w:hAnsi="宋体" w:cs="宋体"/>
          <w:color w:val="auto"/>
          <w:spacing w:val="6"/>
          <w:szCs w:val="21"/>
          <w:highlight w:val="none"/>
        </w:rPr>
      </w:pPr>
    </w:p>
    <w:p w14:paraId="294E98B0">
      <w:pPr>
        <w:widowControl/>
        <w:adjustRightInd w:val="0"/>
        <w:snapToGrid w:val="0"/>
        <w:spacing w:line="360" w:lineRule="auto"/>
        <w:ind w:firstLine="444" w:firstLineChars="200"/>
        <w:jc w:val="center"/>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         供应商名称（盖单位章）：</w:t>
      </w:r>
    </w:p>
    <w:p w14:paraId="3998DC60">
      <w:pPr>
        <w:widowControl/>
        <w:adjustRightInd w:val="0"/>
        <w:snapToGrid w:val="0"/>
        <w:spacing w:line="360" w:lineRule="auto"/>
        <w:ind w:firstLine="44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p>
    <w:p w14:paraId="620B316B">
      <w:pPr>
        <w:tabs>
          <w:tab w:val="left" w:pos="4860"/>
        </w:tabs>
        <w:adjustRightInd w:val="0"/>
        <w:snapToGrid w:val="0"/>
        <w:spacing w:line="360" w:lineRule="auto"/>
        <w:ind w:right="1560" w:firstLine="444" w:firstLineChars="200"/>
        <w:jc w:val="center"/>
        <w:rPr>
          <w:rFonts w:ascii="宋体" w:hAnsi="宋体" w:cs="宋体"/>
          <w:color w:val="auto"/>
          <w:spacing w:val="6"/>
          <w:szCs w:val="21"/>
          <w:highlight w:val="none"/>
        </w:rPr>
      </w:pPr>
    </w:p>
    <w:p w14:paraId="1BD48CBB">
      <w:pPr>
        <w:widowControl/>
        <w:adjustRightInd w:val="0"/>
        <w:snapToGrid w:val="0"/>
        <w:spacing w:line="360" w:lineRule="auto"/>
        <w:jc w:val="left"/>
        <w:rPr>
          <w:rFonts w:ascii="宋体" w:hAnsi="宋体" w:cs="宋体"/>
          <w:color w:val="auto"/>
          <w:kern w:val="0"/>
          <w:szCs w:val="21"/>
          <w:highlight w:val="none"/>
        </w:rPr>
      </w:pPr>
    </w:p>
    <w:p w14:paraId="26137961">
      <w:pPr>
        <w:widowControl/>
        <w:adjustRightInd w:val="0"/>
        <w:snapToGrid w:val="0"/>
        <w:spacing w:line="360" w:lineRule="auto"/>
        <w:rPr>
          <w:rFonts w:ascii="宋体" w:hAnsi="宋体" w:cs="宋体"/>
          <w:color w:val="auto"/>
          <w:kern w:val="0"/>
          <w:szCs w:val="21"/>
          <w:highlight w:val="none"/>
        </w:rPr>
      </w:pPr>
    </w:p>
    <w:p w14:paraId="1403F724">
      <w:pPr>
        <w:widowControl/>
        <w:adjustRightInd w:val="0"/>
        <w:snapToGrid w:val="0"/>
        <w:spacing w:line="360" w:lineRule="auto"/>
        <w:rPr>
          <w:rFonts w:ascii="宋体" w:hAnsi="宋体" w:cs="宋体"/>
          <w:color w:val="auto"/>
          <w:kern w:val="0"/>
          <w:szCs w:val="21"/>
          <w:highlight w:val="none"/>
        </w:rPr>
      </w:pPr>
    </w:p>
    <w:p w14:paraId="65D45574">
      <w:pPr>
        <w:pStyle w:val="5"/>
        <w:rPr>
          <w:rFonts w:ascii="宋体" w:hAnsi="宋体" w:eastAsia="宋体" w:cs="宋体"/>
          <w:color w:val="auto"/>
          <w:sz w:val="24"/>
          <w:szCs w:val="24"/>
          <w:highlight w:val="none"/>
        </w:rPr>
      </w:pPr>
      <w:r>
        <w:rPr>
          <w:rFonts w:hint="eastAsia" w:ascii="宋体" w:hAnsi="宋体" w:cs="宋体"/>
          <w:bCs w:val="0"/>
          <w:color w:val="auto"/>
          <w:spacing w:val="6"/>
          <w:kern w:val="0"/>
          <w:sz w:val="24"/>
          <w:szCs w:val="24"/>
          <w:highlight w:val="none"/>
        </w:rPr>
        <w:t xml:space="preserve">附5-3 </w:t>
      </w:r>
      <w:r>
        <w:rPr>
          <w:rFonts w:hint="eastAsia" w:ascii="宋体" w:hAnsi="宋体" w:eastAsia="宋体" w:cs="宋体"/>
          <w:color w:val="auto"/>
          <w:sz w:val="24"/>
          <w:szCs w:val="24"/>
          <w:highlight w:val="none"/>
        </w:rPr>
        <w:t>监狱企业证明资料</w:t>
      </w:r>
    </w:p>
    <w:p w14:paraId="1FF216EA">
      <w:pPr>
        <w:rPr>
          <w:color w:val="auto"/>
          <w:highlight w:val="none"/>
        </w:rPr>
      </w:pPr>
    </w:p>
    <w:p w14:paraId="517D08B9">
      <w:pPr>
        <w:adjustRightInd w:val="0"/>
        <w:snapToGrid w:val="0"/>
        <w:spacing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(不属于监狱企业的无需提供)</w:t>
      </w:r>
    </w:p>
    <w:p w14:paraId="67B4571F">
      <w:pPr>
        <w:adjustRightInd w:val="0"/>
        <w:snapToGrid w:val="0"/>
        <w:spacing w:line="360" w:lineRule="auto"/>
        <w:rPr>
          <w:rFonts w:ascii="宋体" w:hAnsi="宋体" w:cs="宋体"/>
          <w:color w:val="auto"/>
          <w:szCs w:val="21"/>
          <w:highlight w:val="none"/>
        </w:rPr>
      </w:pPr>
    </w:p>
    <w:p w14:paraId="2D247A88">
      <w:pPr>
        <w:adjustRightInd w:val="0"/>
        <w:snapToGrid w:val="0"/>
        <w:spacing w:line="360" w:lineRule="auto"/>
        <w:ind w:firstLine="444" w:firstLineChars="200"/>
        <w:rPr>
          <w:rFonts w:ascii="宋体" w:hAnsi="宋体" w:cs="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s="宋体"/>
          <w:color w:val="auto"/>
          <w:szCs w:val="21"/>
          <w:highlight w:val="none"/>
        </w:rPr>
        <w:t>按</w:t>
      </w:r>
      <w:r>
        <w:rPr>
          <w:rFonts w:hint="eastAsia" w:ascii="宋体" w:hAnsi="宋体" w:cs="宋体"/>
          <w:color w:val="auto"/>
          <w:spacing w:val="6"/>
          <w:szCs w:val="21"/>
          <w:highlight w:val="none"/>
        </w:rPr>
        <w:t>《</w:t>
      </w:r>
      <w:r>
        <w:rPr>
          <w:rFonts w:hint="eastAsia" w:ascii="宋体" w:hAnsi="宋体" w:cs="宋体"/>
          <w:color w:val="auto"/>
          <w:szCs w:val="21"/>
          <w:highlight w:val="none"/>
        </w:rPr>
        <w:t>财政部 司法部关于政府采购支持监狱企业发展有关问题的通知</w:t>
      </w:r>
      <w:r>
        <w:rPr>
          <w:rFonts w:hint="eastAsia" w:ascii="宋体" w:hAnsi="宋体" w:cs="宋体"/>
          <w:color w:val="auto"/>
          <w:spacing w:val="6"/>
          <w:szCs w:val="21"/>
          <w:highlight w:val="none"/>
        </w:rPr>
        <w:t>》</w:t>
      </w:r>
      <w:r>
        <w:rPr>
          <w:rFonts w:hint="eastAsia" w:ascii="宋体" w:hAnsi="宋体" w:cs="宋体"/>
          <w:color w:val="auto"/>
          <w:szCs w:val="21"/>
          <w:highlight w:val="none"/>
        </w:rPr>
        <w:t>(财库〔2014〕68号)文件规定提供证明文件（复印件）。</w:t>
      </w:r>
    </w:p>
    <w:p w14:paraId="6CB46DE8">
      <w:pPr>
        <w:adjustRightInd w:val="0"/>
        <w:snapToGrid w:val="0"/>
        <w:spacing w:line="360" w:lineRule="auto"/>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br w:type="page"/>
      </w:r>
    </w:p>
    <w:p w14:paraId="730E3EFA">
      <w:pPr>
        <w:pStyle w:val="5"/>
        <w:rPr>
          <w:rFonts w:ascii="宋体" w:hAnsi="宋体" w:eastAsia="宋体" w:cs="宋体"/>
          <w:color w:val="auto"/>
          <w:sz w:val="24"/>
          <w:szCs w:val="24"/>
          <w:highlight w:val="none"/>
        </w:rPr>
      </w:pPr>
      <w:r>
        <w:rPr>
          <w:rFonts w:hint="eastAsia" w:ascii="宋体" w:hAnsi="宋体" w:cs="宋体"/>
          <w:bCs w:val="0"/>
          <w:color w:val="auto"/>
          <w:spacing w:val="6"/>
          <w:kern w:val="0"/>
          <w:sz w:val="24"/>
          <w:szCs w:val="24"/>
          <w:highlight w:val="none"/>
        </w:rPr>
        <w:t xml:space="preserve">附5-4 </w:t>
      </w:r>
      <w:r>
        <w:rPr>
          <w:rFonts w:hint="eastAsia" w:ascii="宋体" w:hAnsi="宋体" w:eastAsia="宋体" w:cs="宋体"/>
          <w:color w:val="auto"/>
          <w:sz w:val="24"/>
          <w:szCs w:val="24"/>
          <w:highlight w:val="none"/>
        </w:rPr>
        <w:t>节能</w:t>
      </w:r>
      <w:r>
        <w:rPr>
          <w:rFonts w:hint="eastAsia" w:ascii="宋体" w:hAnsi="宋体" w:eastAsia="宋体" w:cs="宋体"/>
          <w:bCs w:val="0"/>
          <w:color w:val="auto"/>
          <w:sz w:val="24"/>
          <w:szCs w:val="24"/>
          <w:highlight w:val="none"/>
        </w:rPr>
        <w:t>产品</w:t>
      </w:r>
      <w:r>
        <w:rPr>
          <w:rFonts w:hint="eastAsia" w:ascii="宋体" w:hAnsi="宋体" w:eastAsia="宋体" w:cs="宋体"/>
          <w:color w:val="auto"/>
          <w:sz w:val="24"/>
          <w:szCs w:val="24"/>
          <w:highlight w:val="none"/>
        </w:rPr>
        <w:t>、环境标志</w:t>
      </w:r>
      <w:r>
        <w:rPr>
          <w:rFonts w:hint="eastAsia" w:ascii="宋体" w:hAnsi="宋体" w:eastAsia="宋体" w:cs="宋体"/>
          <w:bCs w:val="0"/>
          <w:color w:val="auto"/>
          <w:sz w:val="24"/>
          <w:szCs w:val="24"/>
          <w:highlight w:val="none"/>
        </w:rPr>
        <w:t>产品的</w:t>
      </w:r>
      <w:r>
        <w:rPr>
          <w:rFonts w:hint="eastAsia" w:ascii="宋体" w:hAnsi="宋体" w:eastAsia="宋体" w:cs="宋体"/>
          <w:color w:val="auto"/>
          <w:sz w:val="24"/>
          <w:szCs w:val="24"/>
          <w:highlight w:val="none"/>
        </w:rPr>
        <w:t>证明材料</w:t>
      </w:r>
    </w:p>
    <w:p w14:paraId="023BEA5C">
      <w:pPr>
        <w:rPr>
          <w:color w:val="auto"/>
          <w:highlight w:val="none"/>
        </w:rPr>
      </w:pPr>
    </w:p>
    <w:p w14:paraId="108FCA96">
      <w:pPr>
        <w:adjustRightInd w:val="0"/>
        <w:snapToGrid w:val="0"/>
        <w:spacing w:line="360" w:lineRule="auto"/>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(不属于强制采购或者优先采购产品的无需提供)</w:t>
      </w:r>
    </w:p>
    <w:p w14:paraId="42537951">
      <w:pPr>
        <w:adjustRightInd w:val="0"/>
        <w:snapToGrid w:val="0"/>
        <w:spacing w:line="360" w:lineRule="auto"/>
        <w:ind w:firstLine="420" w:firstLineChars="200"/>
        <w:jc w:val="left"/>
        <w:rPr>
          <w:rFonts w:ascii="宋体" w:hAnsi="宋体" w:cs="宋体"/>
          <w:color w:val="auto"/>
          <w:szCs w:val="21"/>
          <w:highlight w:val="none"/>
        </w:rPr>
      </w:pPr>
    </w:p>
    <w:p w14:paraId="56E029E8">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说明：列入政府采购节能产品与环境标志产品品目清单及认证证书的，按</w:t>
      </w:r>
      <w:r>
        <w:rPr>
          <w:rFonts w:hint="eastAsia" w:ascii="宋体" w:hAnsi="宋体" w:cs="宋体"/>
          <w:color w:val="auto"/>
          <w:kern w:val="0"/>
          <w:szCs w:val="21"/>
          <w:highlight w:val="none"/>
        </w:rPr>
        <w:t>财政部 发展改革委 生态环境部 市场监管总局关于调整优化节能产品、环境标志产品政府采购执行机制的通知（财库〔2019〕9号实行强制采购。</w:t>
      </w:r>
    </w:p>
    <w:p w14:paraId="7EB2845B">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686B10F7">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六、服务符合磋商文件规定的证明文件</w:t>
      </w:r>
      <w:bookmarkEnd w:id="6"/>
      <w:r>
        <w:rPr>
          <w:rFonts w:hint="eastAsia" w:ascii="宋体" w:hAnsi="宋体" w:cs="宋体"/>
          <w:color w:val="auto"/>
          <w:sz w:val="28"/>
          <w:szCs w:val="28"/>
          <w:highlight w:val="none"/>
        </w:rPr>
        <w:t>及方案</w:t>
      </w:r>
    </w:p>
    <w:p w14:paraId="33BDADFB">
      <w:pPr>
        <w:adjustRightInd w:val="0"/>
        <w:snapToGrid w:val="0"/>
        <w:spacing w:line="360" w:lineRule="auto"/>
        <w:rPr>
          <w:rFonts w:ascii="宋体" w:hAnsi="宋体" w:cs="宋体"/>
          <w:color w:val="auto"/>
          <w:szCs w:val="21"/>
          <w:highlight w:val="none"/>
        </w:rPr>
      </w:pPr>
    </w:p>
    <w:p w14:paraId="090C0C6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备注：提供磋商文件规定的证明材料复印件及其方案。</w:t>
      </w:r>
    </w:p>
    <w:p w14:paraId="141F50E3">
      <w:pPr>
        <w:widowControl/>
        <w:jc w:val="left"/>
        <w:rPr>
          <w:rFonts w:ascii="宋体" w:hAnsi="宋体" w:cs="宋体"/>
          <w:color w:val="auto"/>
          <w:sz w:val="28"/>
          <w:szCs w:val="28"/>
          <w:highlight w:val="none"/>
        </w:rPr>
      </w:pPr>
      <w:r>
        <w:rPr>
          <w:rFonts w:hint="eastAsia" w:ascii="宋体" w:hAnsi="宋体" w:cs="宋体"/>
          <w:b/>
          <w:bCs/>
          <w:color w:val="auto"/>
          <w:sz w:val="28"/>
          <w:szCs w:val="28"/>
          <w:highlight w:val="none"/>
        </w:rPr>
        <w:br w:type="page"/>
      </w:r>
    </w:p>
    <w:p w14:paraId="4E12F908">
      <w:pPr>
        <w:pStyle w:val="4"/>
        <w:numPr>
          <w:ilvl w:val="255"/>
          <w:numId w:val="0"/>
        </w:numPr>
        <w:adjustRightInd w:val="0"/>
        <w:snapToGrid w:val="0"/>
        <w:spacing w:before="0" w:after="0" w:line="360" w:lineRule="auto"/>
        <w:ind w:left="420"/>
        <w:jc w:val="center"/>
        <w:rPr>
          <w:rFonts w:ascii="宋体" w:hAnsi="宋体" w:cs="宋体"/>
          <w:color w:val="auto"/>
          <w:sz w:val="28"/>
          <w:szCs w:val="28"/>
          <w:highlight w:val="none"/>
        </w:rPr>
      </w:pPr>
      <w:bookmarkStart w:id="7" w:name="_Toc528307201"/>
      <w:r>
        <w:rPr>
          <w:rFonts w:hint="eastAsia" w:ascii="宋体" w:hAnsi="宋体" w:cs="宋体"/>
          <w:color w:val="auto"/>
          <w:sz w:val="28"/>
          <w:szCs w:val="28"/>
          <w:highlight w:val="none"/>
        </w:rPr>
        <w:t>七、供应商认为需提供的其他资料</w:t>
      </w:r>
      <w:bookmarkEnd w:id="7"/>
    </w:p>
    <w:p w14:paraId="78FBCA55">
      <w:pPr>
        <w:pStyle w:val="4"/>
        <w:numPr>
          <w:ilvl w:val="0"/>
          <w:numId w:val="14"/>
        </w:numPr>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最后报价</w:t>
      </w:r>
    </w:p>
    <w:p w14:paraId="2C9A764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项目名称：                                           包号（标段）：</w:t>
      </w:r>
    </w:p>
    <w:p w14:paraId="70BCD64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政府采购编号：                                       委托代理编号：                                       </w:t>
      </w:r>
    </w:p>
    <w:p w14:paraId="1DF85847">
      <w:pPr>
        <w:adjustRightInd w:val="0"/>
        <w:snapToGrid w:val="0"/>
        <w:spacing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22"/>
        <w:tblW w:w="90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5"/>
        <w:gridCol w:w="1381"/>
        <w:gridCol w:w="2203"/>
        <w:gridCol w:w="1591"/>
      </w:tblGrid>
      <w:tr w14:paraId="03E07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01EF6752">
            <w:pPr>
              <w:pStyle w:val="18"/>
              <w:jc w:val="center"/>
              <w:rPr>
                <w:color w:val="auto"/>
                <w:kern w:val="20"/>
                <w:sz w:val="21"/>
                <w:szCs w:val="21"/>
                <w:highlight w:val="none"/>
              </w:rPr>
            </w:pPr>
            <w:r>
              <w:rPr>
                <w:rFonts w:hint="eastAsia"/>
                <w:color w:val="auto"/>
                <w:kern w:val="20"/>
                <w:sz w:val="21"/>
                <w:szCs w:val="21"/>
                <w:highlight w:val="none"/>
              </w:rPr>
              <w:t>响应项目名称</w:t>
            </w:r>
          </w:p>
        </w:tc>
        <w:tc>
          <w:tcPr>
            <w:tcW w:w="1381" w:type="dxa"/>
            <w:vAlign w:val="center"/>
          </w:tcPr>
          <w:p w14:paraId="00742A2A">
            <w:pPr>
              <w:pStyle w:val="18"/>
              <w:jc w:val="center"/>
              <w:rPr>
                <w:color w:val="auto"/>
                <w:kern w:val="20"/>
                <w:sz w:val="21"/>
                <w:szCs w:val="21"/>
                <w:highlight w:val="none"/>
              </w:rPr>
            </w:pPr>
            <w:r>
              <w:rPr>
                <w:rFonts w:hint="eastAsia"/>
                <w:color w:val="auto"/>
                <w:kern w:val="20"/>
                <w:sz w:val="21"/>
                <w:szCs w:val="21"/>
                <w:highlight w:val="none"/>
              </w:rPr>
              <w:t>服务地点</w:t>
            </w:r>
          </w:p>
        </w:tc>
        <w:tc>
          <w:tcPr>
            <w:tcW w:w="2203" w:type="dxa"/>
            <w:vAlign w:val="center"/>
          </w:tcPr>
          <w:p w14:paraId="6D1FB5A1">
            <w:pPr>
              <w:pStyle w:val="18"/>
              <w:jc w:val="center"/>
              <w:rPr>
                <w:color w:val="auto"/>
                <w:kern w:val="20"/>
                <w:sz w:val="21"/>
                <w:szCs w:val="21"/>
                <w:highlight w:val="none"/>
              </w:rPr>
            </w:pPr>
            <w:r>
              <w:rPr>
                <w:rFonts w:hint="eastAsia"/>
                <w:color w:val="auto"/>
                <w:kern w:val="20"/>
                <w:sz w:val="21"/>
                <w:szCs w:val="21"/>
                <w:highlight w:val="none"/>
              </w:rPr>
              <w:t>服务期</w:t>
            </w:r>
          </w:p>
        </w:tc>
        <w:tc>
          <w:tcPr>
            <w:tcW w:w="1591" w:type="dxa"/>
            <w:vAlign w:val="center"/>
          </w:tcPr>
          <w:p w14:paraId="137A73BF">
            <w:pPr>
              <w:pStyle w:val="18"/>
              <w:jc w:val="center"/>
              <w:rPr>
                <w:color w:val="auto"/>
                <w:kern w:val="20"/>
                <w:sz w:val="21"/>
                <w:szCs w:val="21"/>
                <w:highlight w:val="none"/>
              </w:rPr>
            </w:pPr>
            <w:r>
              <w:rPr>
                <w:rFonts w:hint="eastAsia"/>
                <w:color w:val="auto"/>
                <w:kern w:val="20"/>
                <w:sz w:val="21"/>
                <w:szCs w:val="21"/>
                <w:highlight w:val="none"/>
              </w:rPr>
              <w:t>备注</w:t>
            </w:r>
          </w:p>
        </w:tc>
      </w:tr>
      <w:tr w14:paraId="0A55E4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3CF69D77">
            <w:pPr>
              <w:adjustRightInd w:val="0"/>
              <w:snapToGrid w:val="0"/>
              <w:spacing w:line="360" w:lineRule="auto"/>
              <w:jc w:val="center"/>
              <w:rPr>
                <w:rFonts w:ascii="宋体" w:hAnsi="宋体" w:cs="宋体"/>
                <w:color w:val="auto"/>
                <w:kern w:val="0"/>
                <w:szCs w:val="21"/>
                <w:highlight w:val="none"/>
              </w:rPr>
            </w:pPr>
          </w:p>
        </w:tc>
        <w:tc>
          <w:tcPr>
            <w:tcW w:w="1381" w:type="dxa"/>
            <w:vAlign w:val="center"/>
          </w:tcPr>
          <w:p w14:paraId="49B7E771">
            <w:pPr>
              <w:adjustRightInd w:val="0"/>
              <w:snapToGrid w:val="0"/>
              <w:spacing w:line="360" w:lineRule="auto"/>
              <w:jc w:val="center"/>
              <w:rPr>
                <w:rFonts w:ascii="宋体" w:hAnsi="宋体" w:cs="宋体"/>
                <w:color w:val="auto"/>
                <w:kern w:val="0"/>
                <w:szCs w:val="21"/>
                <w:highlight w:val="none"/>
              </w:rPr>
            </w:pPr>
          </w:p>
        </w:tc>
        <w:tc>
          <w:tcPr>
            <w:tcW w:w="2203" w:type="dxa"/>
            <w:vAlign w:val="center"/>
          </w:tcPr>
          <w:p w14:paraId="0E36AADA">
            <w:pPr>
              <w:adjustRightInd w:val="0"/>
              <w:snapToGrid w:val="0"/>
              <w:spacing w:line="360" w:lineRule="auto"/>
              <w:jc w:val="center"/>
              <w:rPr>
                <w:rFonts w:ascii="宋体" w:hAnsi="宋体" w:cs="宋体"/>
                <w:color w:val="auto"/>
                <w:kern w:val="0"/>
                <w:szCs w:val="21"/>
                <w:highlight w:val="none"/>
              </w:rPr>
            </w:pPr>
          </w:p>
        </w:tc>
        <w:tc>
          <w:tcPr>
            <w:tcW w:w="1591" w:type="dxa"/>
            <w:vAlign w:val="center"/>
          </w:tcPr>
          <w:p w14:paraId="63EB6C16">
            <w:pPr>
              <w:adjustRightInd w:val="0"/>
              <w:snapToGrid w:val="0"/>
              <w:spacing w:line="360" w:lineRule="auto"/>
              <w:jc w:val="center"/>
              <w:rPr>
                <w:rFonts w:ascii="宋体" w:hAnsi="宋体" w:cs="宋体"/>
                <w:color w:val="auto"/>
                <w:kern w:val="0"/>
                <w:szCs w:val="21"/>
                <w:highlight w:val="none"/>
              </w:rPr>
            </w:pPr>
          </w:p>
        </w:tc>
      </w:tr>
      <w:tr w14:paraId="3EF3E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4781027A">
            <w:pP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响应总价：（大写）  </w:t>
            </w:r>
          </w:p>
          <w:p w14:paraId="58A41F87">
            <w:pPr>
              <w:adjustRightInd w:val="0"/>
              <w:snapToGrid w:val="0"/>
              <w:spacing w:line="360" w:lineRule="auto"/>
              <w:ind w:firstLine="1050" w:firstLineChars="5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（小写）    </w:t>
            </w:r>
          </w:p>
        </w:tc>
      </w:tr>
      <w:tr w14:paraId="1611E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679F3299">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46BEE81A">
            <w:pPr>
              <w:numPr>
                <w:ilvl w:val="0"/>
                <w:numId w:val="15"/>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供应商应按每个招标的最小单位（包）响应。</w:t>
            </w:r>
          </w:p>
          <w:p w14:paraId="762E7376">
            <w:pPr>
              <w:numPr>
                <w:ilvl w:val="0"/>
                <w:numId w:val="15"/>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本表格式中的内容缺一不可，签署盖章必须完整，否则视为无效响应。</w:t>
            </w:r>
          </w:p>
          <w:p w14:paraId="005936C1">
            <w:pPr>
              <w:numPr>
                <w:ilvl w:val="0"/>
                <w:numId w:val="15"/>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供应商在提交响应文件的截止时间前修改“开标一览表”中的响应报价的，应同时修改响应文件中“响应分项报价表”“政府采购价格评审优惠清单报价表”“联合体协议书”相应内容。</w:t>
            </w:r>
          </w:p>
        </w:tc>
      </w:tr>
    </w:tbl>
    <w:p w14:paraId="6F383757">
      <w:pPr>
        <w:adjustRightInd w:val="0"/>
        <w:snapToGrid w:val="0"/>
        <w:spacing w:line="360" w:lineRule="auto"/>
        <w:rPr>
          <w:rFonts w:ascii="宋体" w:hAnsi="宋体" w:cs="宋体"/>
          <w:color w:val="auto"/>
          <w:szCs w:val="21"/>
          <w:highlight w:val="none"/>
        </w:rPr>
      </w:pPr>
    </w:p>
    <w:p w14:paraId="78CF3865">
      <w:pPr>
        <w:adjustRightInd w:val="0"/>
        <w:snapToGrid w:val="0"/>
        <w:spacing w:line="360" w:lineRule="auto"/>
        <w:ind w:firstLine="420" w:firstLineChars="200"/>
        <w:rPr>
          <w:rFonts w:ascii="宋体" w:hAnsi="宋体" w:cs="宋体"/>
          <w:color w:val="auto"/>
          <w:szCs w:val="21"/>
          <w:highlight w:val="none"/>
        </w:rPr>
      </w:pPr>
    </w:p>
    <w:p w14:paraId="39A8ADA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C08297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法定代表人或其授权的代理人（签字）：_</w:t>
      </w:r>
    </w:p>
    <w:p w14:paraId="75B6F64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日期：年月日</w:t>
      </w:r>
    </w:p>
    <w:p w14:paraId="05ABE0D3">
      <w:pPr>
        <w:adjustRightInd w:val="0"/>
        <w:snapToGrid w:val="0"/>
        <w:spacing w:line="360" w:lineRule="auto"/>
        <w:rPr>
          <w:rFonts w:ascii="宋体" w:hAnsi="宋体"/>
          <w:color w:val="auto"/>
          <w:szCs w:val="21"/>
          <w:highlight w:val="none"/>
        </w:rPr>
      </w:pPr>
    </w:p>
    <w:p w14:paraId="206CE9E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402AF9A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1、最后报价按第二章磋商须知第31条规定提供，格式按本表及分项报价表提供。</w:t>
      </w:r>
    </w:p>
    <w:p w14:paraId="5AF84678">
      <w:pPr>
        <w:adjustRightInd w:val="0"/>
        <w:snapToGrid w:val="0"/>
        <w:spacing w:line="360" w:lineRule="auto"/>
        <w:ind w:left="-88" w:leftChars="-42" w:firstLine="525" w:firstLineChars="250"/>
        <w:rPr>
          <w:rFonts w:ascii="宋体" w:hAnsi="宋体"/>
          <w:color w:val="auto"/>
          <w:szCs w:val="21"/>
          <w:highlight w:val="none"/>
        </w:rPr>
      </w:pPr>
      <w:r>
        <w:rPr>
          <w:rFonts w:hint="eastAsia" w:ascii="宋体" w:hAnsi="宋体"/>
          <w:color w:val="auto"/>
          <w:szCs w:val="21"/>
          <w:highlight w:val="none"/>
        </w:rPr>
        <w:t>2、最后报价需填列报价一览表和分项价格表，同时将附件</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2-2</w:t>
      </w:r>
      <w:r>
        <w:rPr>
          <w:rFonts w:hint="eastAsia" w:ascii="宋体" w:hAnsi="宋体"/>
          <w:color w:val="auto"/>
          <w:szCs w:val="21"/>
          <w:highlight w:val="none"/>
        </w:rPr>
        <w:t>清单表中分别享受政策功能价格合计数按最后报价进行修正。</w:t>
      </w:r>
    </w:p>
    <w:p w14:paraId="73719F52">
      <w:pPr>
        <w:ind w:left="420"/>
        <w:rPr>
          <w:color w:val="auto"/>
          <w:highlight w:val="none"/>
        </w:rPr>
      </w:pPr>
    </w:p>
    <w:p w14:paraId="02DDFD98">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28"/>
          <w:szCs w:val="28"/>
          <w:highlight w:val="none"/>
        </w:rPr>
        <w:br w:type="page"/>
      </w:r>
    </w:p>
    <w:p w14:paraId="18E7A9E0">
      <w:pPr>
        <w:pStyle w:val="12"/>
        <w:adjustRightInd w:val="0"/>
        <w:snapToGrid w:val="0"/>
        <w:jc w:val="center"/>
        <w:rPr>
          <w:rFonts w:hAnsi="宋体" w:cs="宋体"/>
          <w:bCs/>
          <w:color w:val="auto"/>
          <w:sz w:val="84"/>
          <w:szCs w:val="84"/>
          <w:highlight w:val="none"/>
        </w:rPr>
      </w:pPr>
    </w:p>
    <w:p w14:paraId="184FBE6B">
      <w:pPr>
        <w:jc w:val="center"/>
        <w:rPr>
          <w:rFonts w:ascii="宋体" w:hAnsi="宋体" w:cs="宋体"/>
          <w:bCs/>
          <w:color w:val="auto"/>
          <w:sz w:val="84"/>
          <w:highlight w:val="none"/>
        </w:rPr>
      </w:pPr>
      <w:bookmarkStart w:id="8" w:name="_Toc528307202"/>
      <w:r>
        <w:rPr>
          <w:rFonts w:hint="eastAsia" w:ascii="宋体" w:hAnsi="宋体" w:cs="宋体"/>
          <w:bCs/>
          <w:color w:val="auto"/>
          <w:sz w:val="84"/>
          <w:highlight w:val="none"/>
        </w:rPr>
        <w:t>政府采购</w:t>
      </w:r>
    </w:p>
    <w:p w14:paraId="2FAC8A28">
      <w:pPr>
        <w:jc w:val="center"/>
        <w:rPr>
          <w:rFonts w:ascii="宋体" w:hAnsi="宋体" w:cs="宋体"/>
          <w:bCs/>
          <w:color w:val="auto"/>
          <w:sz w:val="84"/>
          <w:highlight w:val="none"/>
        </w:rPr>
      </w:pPr>
      <w:r>
        <w:rPr>
          <w:rFonts w:hint="eastAsia" w:ascii="宋体" w:hAnsi="宋体" w:cs="宋体"/>
          <w:bCs/>
          <w:color w:val="auto"/>
          <w:sz w:val="52"/>
          <w:szCs w:val="52"/>
          <w:highlight w:val="none"/>
        </w:rPr>
        <w:t>竞争性磋商响应文件</w:t>
      </w:r>
    </w:p>
    <w:p w14:paraId="1A062125">
      <w:pPr>
        <w:adjustRightInd w:val="0"/>
        <w:snapToGrid w:val="0"/>
        <w:rPr>
          <w:rFonts w:ascii="宋体" w:hAnsi="宋体" w:cs="宋体"/>
          <w:color w:val="auto"/>
          <w:sz w:val="44"/>
          <w:szCs w:val="44"/>
          <w:highlight w:val="none"/>
        </w:rPr>
      </w:pPr>
    </w:p>
    <w:p w14:paraId="5072DADE">
      <w:pPr>
        <w:pStyle w:val="3"/>
        <w:adjustRightInd w:val="0"/>
        <w:snapToGrid w:val="0"/>
        <w:spacing w:line="240" w:lineRule="auto"/>
        <w:jc w:val="center"/>
        <w:rPr>
          <w:rFonts w:ascii="宋体" w:hAnsi="宋体" w:cs="宋体"/>
          <w:b w:val="0"/>
          <w:color w:val="auto"/>
          <w:sz w:val="44"/>
          <w:szCs w:val="44"/>
          <w:highlight w:val="none"/>
        </w:rPr>
      </w:pPr>
      <w:r>
        <w:rPr>
          <w:rFonts w:hint="eastAsia" w:ascii="宋体" w:hAnsi="宋体" w:cs="宋体"/>
          <w:color w:val="auto"/>
          <w:sz w:val="32"/>
          <w:highlight w:val="none"/>
        </w:rPr>
        <w:t>第二册 资格证明文件</w:t>
      </w:r>
      <w:bookmarkEnd w:id="8"/>
    </w:p>
    <w:p w14:paraId="1CC1094D">
      <w:pPr>
        <w:adjustRightInd w:val="0"/>
        <w:snapToGrid w:val="0"/>
        <w:rPr>
          <w:rFonts w:ascii="宋体" w:hAnsi="宋体" w:cs="宋体"/>
          <w:color w:val="auto"/>
          <w:sz w:val="30"/>
          <w:szCs w:val="30"/>
          <w:highlight w:val="none"/>
        </w:rPr>
      </w:pPr>
    </w:p>
    <w:tbl>
      <w:tblPr>
        <w:tblStyle w:val="22"/>
        <w:tblpPr w:leftFromText="180" w:rightFromText="180" w:vertAnchor="text" w:horzAnchor="page" w:tblpX="1958" w:tblpY="601"/>
        <w:tblOverlap w:val="never"/>
        <w:tblW w:w="8308"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930"/>
        <w:gridCol w:w="5378"/>
      </w:tblGrid>
      <w:tr w14:paraId="56D529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4" w:hRule="exact"/>
        </w:trPr>
        <w:tc>
          <w:tcPr>
            <w:tcW w:w="2930" w:type="dxa"/>
            <w:vAlign w:val="center"/>
          </w:tcPr>
          <w:p w14:paraId="6FEEE198">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采购项目名称:</w:t>
            </w:r>
          </w:p>
        </w:tc>
        <w:tc>
          <w:tcPr>
            <w:tcW w:w="5378" w:type="dxa"/>
            <w:vAlign w:val="center"/>
          </w:tcPr>
          <w:p w14:paraId="0AC21A61">
            <w:pPr>
              <w:pStyle w:val="12"/>
              <w:adjustRightInd w:val="0"/>
              <w:snapToGrid w:val="0"/>
              <w:spacing w:line="480" w:lineRule="auto"/>
              <w:rPr>
                <w:rFonts w:hAnsi="宋体" w:cs="宋体"/>
                <w:b/>
                <w:color w:val="auto"/>
                <w:sz w:val="28"/>
                <w:szCs w:val="32"/>
                <w:highlight w:val="none"/>
                <w:u w:val="single"/>
              </w:rPr>
            </w:pPr>
          </w:p>
        </w:tc>
      </w:tr>
      <w:tr w14:paraId="71724C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40707D9B">
            <w:pPr>
              <w:pStyle w:val="12"/>
              <w:adjustRightInd w:val="0"/>
              <w:snapToGrid w:val="0"/>
              <w:spacing w:line="480" w:lineRule="auto"/>
              <w:ind w:left="1819" w:leftChars="331" w:hanging="1124" w:hangingChars="400"/>
              <w:rPr>
                <w:rFonts w:hAnsi="宋体" w:cs="宋体"/>
                <w:color w:val="auto"/>
                <w:highlight w:val="none"/>
              </w:rPr>
            </w:pPr>
            <w:r>
              <w:rPr>
                <w:rFonts w:hint="eastAsia" w:hAnsi="宋体" w:cs="宋体"/>
                <w:b/>
                <w:color w:val="auto"/>
                <w:sz w:val="28"/>
                <w:szCs w:val="32"/>
                <w:highlight w:val="none"/>
              </w:rPr>
              <w:t>采   购   人:</w:t>
            </w:r>
          </w:p>
        </w:tc>
        <w:tc>
          <w:tcPr>
            <w:tcW w:w="5378" w:type="dxa"/>
            <w:vAlign w:val="center"/>
          </w:tcPr>
          <w:p w14:paraId="7CC250C7">
            <w:pPr>
              <w:pStyle w:val="12"/>
              <w:adjustRightInd w:val="0"/>
              <w:snapToGrid w:val="0"/>
              <w:spacing w:line="480" w:lineRule="auto"/>
              <w:rPr>
                <w:rFonts w:hAnsi="宋体" w:cs="宋体"/>
                <w:b/>
                <w:color w:val="auto"/>
                <w:sz w:val="28"/>
                <w:szCs w:val="32"/>
                <w:highlight w:val="none"/>
                <w:u w:val="single"/>
              </w:rPr>
            </w:pPr>
          </w:p>
        </w:tc>
      </w:tr>
      <w:tr w14:paraId="7C1564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6394A4C9">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政府采购编号:</w:t>
            </w:r>
          </w:p>
        </w:tc>
        <w:tc>
          <w:tcPr>
            <w:tcW w:w="5378" w:type="dxa"/>
            <w:vAlign w:val="center"/>
          </w:tcPr>
          <w:p w14:paraId="5FE9A3C2">
            <w:pPr>
              <w:pStyle w:val="12"/>
              <w:adjustRightInd w:val="0"/>
              <w:snapToGrid w:val="0"/>
              <w:spacing w:line="480" w:lineRule="auto"/>
              <w:rPr>
                <w:rFonts w:hAnsi="宋体" w:cs="宋体"/>
                <w:b/>
                <w:color w:val="auto"/>
                <w:sz w:val="28"/>
                <w:szCs w:val="32"/>
                <w:highlight w:val="none"/>
                <w:u w:val="single"/>
              </w:rPr>
            </w:pPr>
          </w:p>
        </w:tc>
      </w:tr>
      <w:tr w14:paraId="5E61EA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47615A73">
            <w:pPr>
              <w:pStyle w:val="12"/>
              <w:adjustRightInd w:val="0"/>
              <w:snapToGrid w:val="0"/>
              <w:spacing w:line="480" w:lineRule="auto"/>
              <w:ind w:firstLine="703" w:firstLineChars="250"/>
              <w:rPr>
                <w:rFonts w:hAnsi="宋体" w:cs="宋体"/>
                <w:color w:val="auto"/>
                <w:highlight w:val="none"/>
              </w:rPr>
            </w:pPr>
            <w:r>
              <w:rPr>
                <w:rFonts w:hint="eastAsia" w:hAnsi="宋体" w:cs="宋体"/>
                <w:b/>
                <w:color w:val="auto"/>
                <w:sz w:val="28"/>
                <w:szCs w:val="32"/>
                <w:highlight w:val="none"/>
              </w:rPr>
              <w:t>委托代理编号:</w:t>
            </w:r>
          </w:p>
        </w:tc>
        <w:tc>
          <w:tcPr>
            <w:tcW w:w="5378" w:type="dxa"/>
            <w:vAlign w:val="center"/>
          </w:tcPr>
          <w:p w14:paraId="11FA27E9">
            <w:pPr>
              <w:pStyle w:val="12"/>
              <w:adjustRightInd w:val="0"/>
              <w:snapToGrid w:val="0"/>
              <w:spacing w:line="480" w:lineRule="auto"/>
              <w:rPr>
                <w:rFonts w:hAnsi="宋体" w:cs="宋体"/>
                <w:b/>
                <w:color w:val="auto"/>
                <w:sz w:val="28"/>
                <w:szCs w:val="32"/>
                <w:highlight w:val="none"/>
                <w:u w:val="single"/>
              </w:rPr>
            </w:pPr>
          </w:p>
        </w:tc>
      </w:tr>
      <w:tr w14:paraId="3C9E6D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exact"/>
        </w:trPr>
        <w:tc>
          <w:tcPr>
            <w:tcW w:w="2930" w:type="dxa"/>
            <w:vAlign w:val="center"/>
          </w:tcPr>
          <w:p w14:paraId="47AAA76D">
            <w:pPr>
              <w:pStyle w:val="12"/>
              <w:adjustRightInd w:val="0"/>
              <w:snapToGrid w:val="0"/>
              <w:spacing w:line="480" w:lineRule="auto"/>
              <w:ind w:firstLine="703" w:firstLineChars="250"/>
              <w:rPr>
                <w:rFonts w:hAnsi="宋体" w:cs="宋体"/>
                <w:b/>
                <w:color w:val="auto"/>
                <w:sz w:val="28"/>
                <w:szCs w:val="32"/>
                <w:highlight w:val="none"/>
              </w:rPr>
            </w:pPr>
            <w:r>
              <w:rPr>
                <w:rFonts w:hint="eastAsia" w:hAnsi="宋体" w:cs="宋体"/>
                <w:b/>
                <w:color w:val="auto"/>
                <w:sz w:val="28"/>
                <w:szCs w:val="32"/>
                <w:highlight w:val="none"/>
              </w:rPr>
              <w:t>采购代理机构:</w:t>
            </w:r>
          </w:p>
        </w:tc>
        <w:tc>
          <w:tcPr>
            <w:tcW w:w="5378" w:type="dxa"/>
            <w:vAlign w:val="center"/>
          </w:tcPr>
          <w:p w14:paraId="6538E3A6">
            <w:pPr>
              <w:pStyle w:val="12"/>
              <w:adjustRightInd w:val="0"/>
              <w:snapToGrid w:val="0"/>
              <w:spacing w:line="480" w:lineRule="auto"/>
              <w:rPr>
                <w:rFonts w:hAnsi="宋体" w:cs="宋体"/>
                <w:b/>
                <w:color w:val="auto"/>
                <w:sz w:val="28"/>
                <w:szCs w:val="32"/>
                <w:highlight w:val="none"/>
              </w:rPr>
            </w:pPr>
          </w:p>
        </w:tc>
      </w:tr>
    </w:tbl>
    <w:p w14:paraId="18DF19E4">
      <w:pPr>
        <w:adjustRightInd w:val="0"/>
        <w:snapToGrid w:val="0"/>
        <w:rPr>
          <w:rFonts w:ascii="宋体" w:hAnsi="宋体" w:cs="宋体"/>
          <w:color w:val="auto"/>
          <w:sz w:val="30"/>
          <w:szCs w:val="30"/>
          <w:highlight w:val="none"/>
        </w:rPr>
      </w:pPr>
    </w:p>
    <w:p w14:paraId="16CDC300">
      <w:pPr>
        <w:adjustRightInd w:val="0"/>
        <w:snapToGrid w:val="0"/>
        <w:rPr>
          <w:rFonts w:ascii="宋体" w:hAnsi="宋体" w:cs="宋体"/>
          <w:color w:val="auto"/>
          <w:sz w:val="30"/>
          <w:szCs w:val="30"/>
          <w:highlight w:val="none"/>
        </w:rPr>
      </w:pPr>
    </w:p>
    <w:p w14:paraId="3F3044F8">
      <w:pPr>
        <w:adjustRightInd w:val="0"/>
        <w:snapToGrid w:val="0"/>
        <w:spacing w:line="360" w:lineRule="auto"/>
        <w:rPr>
          <w:rFonts w:ascii="宋体" w:hAnsi="宋体" w:cs="宋体"/>
          <w:color w:val="auto"/>
          <w:sz w:val="30"/>
          <w:szCs w:val="30"/>
          <w:highlight w:val="none"/>
        </w:rPr>
      </w:pPr>
    </w:p>
    <w:p w14:paraId="000B376F">
      <w:pPr>
        <w:adjustRightInd w:val="0"/>
        <w:snapToGrid w:val="0"/>
        <w:spacing w:line="360" w:lineRule="auto"/>
        <w:rPr>
          <w:rFonts w:ascii="宋体" w:hAnsi="宋体" w:cs="宋体"/>
          <w:color w:val="auto"/>
          <w:sz w:val="30"/>
          <w:szCs w:val="30"/>
          <w:highlight w:val="none"/>
        </w:rPr>
      </w:pPr>
    </w:p>
    <w:p w14:paraId="67E9AB2C">
      <w:pPr>
        <w:adjustRightInd w:val="0"/>
        <w:snapToGrid w:val="0"/>
        <w:spacing w:line="360" w:lineRule="auto"/>
        <w:rPr>
          <w:rFonts w:ascii="宋体" w:hAnsi="宋体" w:cs="宋体"/>
          <w:color w:val="auto"/>
          <w:sz w:val="30"/>
          <w:szCs w:val="30"/>
          <w:highlight w:val="none"/>
        </w:rPr>
      </w:pPr>
    </w:p>
    <w:p w14:paraId="0A1289B7">
      <w:pPr>
        <w:adjustRightInd w:val="0"/>
        <w:snapToGrid w:val="0"/>
        <w:spacing w:line="360" w:lineRule="auto"/>
        <w:ind w:firstLine="1984" w:firstLineChars="620"/>
        <w:rPr>
          <w:rFonts w:ascii="宋体" w:hAnsi="宋体" w:cs="宋体"/>
          <w:color w:val="auto"/>
          <w:sz w:val="32"/>
          <w:szCs w:val="32"/>
          <w:highlight w:val="none"/>
        </w:rPr>
      </w:pPr>
      <w:r>
        <w:rPr>
          <w:rFonts w:hint="eastAsia" w:ascii="宋体" w:hAnsi="宋体" w:cs="宋体"/>
          <w:color w:val="auto"/>
          <w:sz w:val="32"/>
          <w:szCs w:val="32"/>
          <w:highlight w:val="none"/>
        </w:rPr>
        <w:t>供应商</w:t>
      </w:r>
    </w:p>
    <w:p w14:paraId="5DBE2930">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CCDE151">
      <w:pPr>
        <w:adjustRightInd w:val="0"/>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44CDC909">
      <w:pPr>
        <w:pStyle w:val="4"/>
        <w:adjustRightInd w:val="0"/>
        <w:snapToGrid w:val="0"/>
        <w:spacing w:before="0" w:after="0" w:line="360" w:lineRule="auto"/>
        <w:jc w:val="center"/>
        <w:rPr>
          <w:rFonts w:ascii="宋体" w:hAnsi="宋体" w:cs="宋体"/>
          <w:color w:val="auto"/>
          <w:sz w:val="28"/>
          <w:szCs w:val="28"/>
          <w:highlight w:val="none"/>
        </w:rPr>
      </w:pPr>
      <w:bookmarkStart w:id="9" w:name="_Toc528307203"/>
      <w:r>
        <w:rPr>
          <w:rFonts w:hint="eastAsia" w:ascii="宋体" w:hAnsi="宋体" w:cs="宋体"/>
          <w:color w:val="auto"/>
          <w:sz w:val="28"/>
          <w:szCs w:val="28"/>
          <w:highlight w:val="none"/>
        </w:rPr>
        <w:t>一、报价一览表</w:t>
      </w:r>
      <w:bookmarkEnd w:id="9"/>
    </w:p>
    <w:p w14:paraId="0B62B28A">
      <w:pPr>
        <w:adjustRightInd w:val="0"/>
        <w:snapToGrid w:val="0"/>
        <w:spacing w:line="360" w:lineRule="auto"/>
        <w:ind w:left="-88" w:leftChars="-42"/>
        <w:jc w:val="center"/>
        <w:rPr>
          <w:rFonts w:ascii="宋体" w:hAnsi="宋体" w:cs="宋体"/>
          <w:color w:val="auto"/>
          <w:szCs w:val="21"/>
          <w:highlight w:val="none"/>
        </w:rPr>
      </w:pPr>
    </w:p>
    <w:p w14:paraId="5B71FA5F">
      <w:pPr>
        <w:adjustRightInd w:val="0"/>
        <w:snapToGrid w:val="0"/>
        <w:spacing w:line="360" w:lineRule="auto"/>
        <w:rPr>
          <w:rFonts w:ascii="宋体" w:hAnsi="宋体" w:cs="宋体"/>
          <w:color w:val="auto"/>
          <w:szCs w:val="21"/>
          <w:highlight w:val="none"/>
        </w:rPr>
      </w:pPr>
      <w:bookmarkStart w:id="10" w:name="_Toc528307204"/>
      <w:r>
        <w:rPr>
          <w:rFonts w:hint="eastAsia" w:ascii="宋体" w:hAnsi="宋体" w:cs="宋体"/>
          <w:color w:val="auto"/>
          <w:szCs w:val="21"/>
          <w:highlight w:val="none"/>
        </w:rPr>
        <w:t>项目名称：                                           包号（标段）：</w:t>
      </w:r>
    </w:p>
    <w:p w14:paraId="6937C05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政府采购编号：                                       委托代理编号：                                       </w:t>
      </w:r>
    </w:p>
    <w:p w14:paraId="72937213">
      <w:pPr>
        <w:adjustRightInd w:val="0"/>
        <w:snapToGrid w:val="0"/>
        <w:spacing w:line="360" w:lineRule="auto"/>
        <w:ind w:firstLine="6930" w:firstLineChars="3300"/>
        <w:rPr>
          <w:rFonts w:ascii="宋体" w:hAnsi="宋体" w:cs="宋体"/>
          <w:color w:val="auto"/>
          <w:szCs w:val="21"/>
          <w:highlight w:val="none"/>
        </w:rPr>
      </w:pPr>
      <w:r>
        <w:rPr>
          <w:rFonts w:hint="eastAsia" w:ascii="宋体" w:hAnsi="宋体" w:cs="宋体"/>
          <w:color w:val="auto"/>
          <w:szCs w:val="21"/>
          <w:highlight w:val="none"/>
        </w:rPr>
        <w:t>价格单位：人民币元</w:t>
      </w:r>
    </w:p>
    <w:tbl>
      <w:tblPr>
        <w:tblStyle w:val="22"/>
        <w:tblW w:w="90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65"/>
        <w:gridCol w:w="1381"/>
        <w:gridCol w:w="2203"/>
        <w:gridCol w:w="1591"/>
      </w:tblGrid>
      <w:tr w14:paraId="664C3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0805EB17">
            <w:pPr>
              <w:pStyle w:val="18"/>
              <w:jc w:val="center"/>
              <w:rPr>
                <w:color w:val="auto"/>
                <w:kern w:val="20"/>
                <w:sz w:val="21"/>
                <w:szCs w:val="21"/>
                <w:highlight w:val="none"/>
              </w:rPr>
            </w:pPr>
            <w:r>
              <w:rPr>
                <w:rFonts w:hint="eastAsia"/>
                <w:color w:val="auto"/>
                <w:kern w:val="20"/>
                <w:sz w:val="21"/>
                <w:szCs w:val="21"/>
                <w:highlight w:val="none"/>
              </w:rPr>
              <w:t>响应项目名称</w:t>
            </w:r>
          </w:p>
        </w:tc>
        <w:tc>
          <w:tcPr>
            <w:tcW w:w="1381" w:type="dxa"/>
            <w:vAlign w:val="center"/>
          </w:tcPr>
          <w:p w14:paraId="5AEFD90E">
            <w:pPr>
              <w:pStyle w:val="18"/>
              <w:jc w:val="center"/>
              <w:rPr>
                <w:color w:val="auto"/>
                <w:kern w:val="20"/>
                <w:sz w:val="21"/>
                <w:szCs w:val="21"/>
                <w:highlight w:val="none"/>
              </w:rPr>
            </w:pPr>
            <w:r>
              <w:rPr>
                <w:rFonts w:hint="eastAsia"/>
                <w:color w:val="auto"/>
                <w:kern w:val="20"/>
                <w:sz w:val="21"/>
                <w:szCs w:val="21"/>
                <w:highlight w:val="none"/>
              </w:rPr>
              <w:t>服务地点</w:t>
            </w:r>
          </w:p>
        </w:tc>
        <w:tc>
          <w:tcPr>
            <w:tcW w:w="2203" w:type="dxa"/>
            <w:vAlign w:val="center"/>
          </w:tcPr>
          <w:p w14:paraId="33A9C640">
            <w:pPr>
              <w:pStyle w:val="18"/>
              <w:jc w:val="center"/>
              <w:rPr>
                <w:color w:val="auto"/>
                <w:kern w:val="20"/>
                <w:sz w:val="21"/>
                <w:szCs w:val="21"/>
                <w:highlight w:val="none"/>
              </w:rPr>
            </w:pPr>
            <w:r>
              <w:rPr>
                <w:rFonts w:hint="eastAsia"/>
                <w:color w:val="auto"/>
                <w:kern w:val="20"/>
                <w:sz w:val="21"/>
                <w:szCs w:val="21"/>
                <w:highlight w:val="none"/>
              </w:rPr>
              <w:t>服务期</w:t>
            </w:r>
          </w:p>
        </w:tc>
        <w:tc>
          <w:tcPr>
            <w:tcW w:w="1591" w:type="dxa"/>
            <w:vAlign w:val="center"/>
          </w:tcPr>
          <w:p w14:paraId="3B81644B">
            <w:pPr>
              <w:pStyle w:val="18"/>
              <w:jc w:val="center"/>
              <w:rPr>
                <w:color w:val="auto"/>
                <w:kern w:val="20"/>
                <w:sz w:val="21"/>
                <w:szCs w:val="21"/>
                <w:highlight w:val="none"/>
              </w:rPr>
            </w:pPr>
            <w:r>
              <w:rPr>
                <w:rFonts w:hint="eastAsia"/>
                <w:color w:val="auto"/>
                <w:kern w:val="20"/>
                <w:sz w:val="21"/>
                <w:szCs w:val="21"/>
                <w:highlight w:val="none"/>
              </w:rPr>
              <w:t>备注</w:t>
            </w:r>
          </w:p>
        </w:tc>
      </w:tr>
      <w:tr w14:paraId="56C629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3865" w:type="dxa"/>
            <w:vAlign w:val="center"/>
          </w:tcPr>
          <w:p w14:paraId="4F7A9994">
            <w:pPr>
              <w:adjustRightInd w:val="0"/>
              <w:snapToGrid w:val="0"/>
              <w:spacing w:line="360" w:lineRule="auto"/>
              <w:jc w:val="center"/>
              <w:rPr>
                <w:rFonts w:ascii="宋体" w:hAnsi="宋体" w:cs="宋体"/>
                <w:color w:val="auto"/>
                <w:kern w:val="0"/>
                <w:szCs w:val="21"/>
                <w:highlight w:val="none"/>
              </w:rPr>
            </w:pPr>
          </w:p>
        </w:tc>
        <w:tc>
          <w:tcPr>
            <w:tcW w:w="1381" w:type="dxa"/>
            <w:vAlign w:val="center"/>
          </w:tcPr>
          <w:p w14:paraId="4FA19910">
            <w:pPr>
              <w:adjustRightInd w:val="0"/>
              <w:snapToGrid w:val="0"/>
              <w:spacing w:line="360" w:lineRule="auto"/>
              <w:jc w:val="center"/>
              <w:rPr>
                <w:rFonts w:ascii="宋体" w:hAnsi="宋体" w:cs="宋体"/>
                <w:color w:val="auto"/>
                <w:kern w:val="0"/>
                <w:szCs w:val="21"/>
                <w:highlight w:val="none"/>
              </w:rPr>
            </w:pPr>
          </w:p>
        </w:tc>
        <w:tc>
          <w:tcPr>
            <w:tcW w:w="2203" w:type="dxa"/>
            <w:vAlign w:val="center"/>
          </w:tcPr>
          <w:p w14:paraId="0DA339E2">
            <w:pPr>
              <w:adjustRightInd w:val="0"/>
              <w:snapToGrid w:val="0"/>
              <w:spacing w:line="360" w:lineRule="auto"/>
              <w:jc w:val="center"/>
              <w:rPr>
                <w:rFonts w:ascii="宋体" w:hAnsi="宋体" w:cs="宋体"/>
                <w:color w:val="auto"/>
                <w:kern w:val="0"/>
                <w:szCs w:val="21"/>
                <w:highlight w:val="none"/>
              </w:rPr>
            </w:pPr>
          </w:p>
        </w:tc>
        <w:tc>
          <w:tcPr>
            <w:tcW w:w="1591" w:type="dxa"/>
            <w:vAlign w:val="center"/>
          </w:tcPr>
          <w:p w14:paraId="5416A026">
            <w:pPr>
              <w:adjustRightInd w:val="0"/>
              <w:snapToGrid w:val="0"/>
              <w:spacing w:line="360" w:lineRule="auto"/>
              <w:jc w:val="center"/>
              <w:rPr>
                <w:rFonts w:ascii="宋体" w:hAnsi="宋体" w:cs="宋体"/>
                <w:color w:val="auto"/>
                <w:kern w:val="0"/>
                <w:szCs w:val="21"/>
                <w:highlight w:val="none"/>
              </w:rPr>
            </w:pPr>
          </w:p>
        </w:tc>
      </w:tr>
      <w:tr w14:paraId="69610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040" w:type="dxa"/>
            <w:gridSpan w:val="4"/>
            <w:vAlign w:val="center"/>
          </w:tcPr>
          <w:p w14:paraId="427970A9">
            <w:pPr>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响应总价：（大写）</w:t>
            </w:r>
          </w:p>
          <w:p w14:paraId="14F9C7B5">
            <w:pPr>
              <w:adjustRightInd w:val="0"/>
              <w:snapToGrid w:val="0"/>
              <w:spacing w:line="360" w:lineRule="auto"/>
              <w:ind w:firstLine="1050" w:firstLineChars="5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（小写）    </w:t>
            </w:r>
          </w:p>
        </w:tc>
      </w:tr>
      <w:tr w14:paraId="6CB4A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23" w:hRule="atLeast"/>
          <w:jc w:val="center"/>
        </w:trPr>
        <w:tc>
          <w:tcPr>
            <w:tcW w:w="9040" w:type="dxa"/>
            <w:gridSpan w:val="4"/>
            <w:vAlign w:val="center"/>
          </w:tcPr>
          <w:p w14:paraId="1C84E2CC">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54E61131">
            <w:pPr>
              <w:numPr>
                <w:ilvl w:val="0"/>
                <w:numId w:val="16"/>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供应商应按每个招标的最小单位（包）响应。</w:t>
            </w:r>
          </w:p>
          <w:p w14:paraId="0D4D47E7">
            <w:pPr>
              <w:numPr>
                <w:ilvl w:val="0"/>
                <w:numId w:val="16"/>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本表格式中的内容缺一不可，签署盖章必须完整，否则视为无效响应。</w:t>
            </w:r>
          </w:p>
          <w:p w14:paraId="00C67EED">
            <w:pPr>
              <w:numPr>
                <w:ilvl w:val="0"/>
                <w:numId w:val="16"/>
              </w:numPr>
              <w:adjustRightInd w:val="0"/>
              <w:snapToGrid w:val="0"/>
              <w:spacing w:line="360" w:lineRule="auto"/>
              <w:ind w:left="-88" w:leftChars="-42"/>
              <w:rPr>
                <w:rFonts w:ascii="宋体" w:hAnsi="宋体" w:cs="宋体"/>
                <w:color w:val="auto"/>
                <w:szCs w:val="21"/>
                <w:highlight w:val="none"/>
              </w:rPr>
            </w:pPr>
            <w:r>
              <w:rPr>
                <w:rFonts w:hint="eastAsia" w:ascii="宋体" w:hAnsi="宋体" w:cs="宋体"/>
                <w:color w:val="auto"/>
                <w:szCs w:val="21"/>
                <w:highlight w:val="none"/>
              </w:rPr>
              <w:t>供应商在提交响应文件的截止时间前修改“开标一览表”中的响应报价的，应同时修改响应文件中“响应分项报价表”“政府采购价格评审优惠清单报价表”“联合体协议书”相应内容。</w:t>
            </w:r>
          </w:p>
        </w:tc>
      </w:tr>
    </w:tbl>
    <w:p w14:paraId="368EDA45">
      <w:pPr>
        <w:tabs>
          <w:tab w:val="left" w:pos="3686"/>
        </w:tabs>
        <w:adjustRightInd w:val="0"/>
        <w:snapToGrid w:val="0"/>
        <w:spacing w:line="360" w:lineRule="auto"/>
        <w:rPr>
          <w:rFonts w:ascii="宋体" w:hAnsi="宋体" w:cs="宋体"/>
          <w:b/>
          <w:color w:val="auto"/>
          <w:szCs w:val="21"/>
          <w:highlight w:val="none"/>
        </w:rPr>
      </w:pPr>
    </w:p>
    <w:p w14:paraId="7C048E50">
      <w:pPr>
        <w:adjustRightInd w:val="0"/>
        <w:snapToGrid w:val="0"/>
        <w:spacing w:line="360" w:lineRule="auto"/>
        <w:ind w:firstLine="420" w:firstLineChars="200"/>
        <w:rPr>
          <w:rFonts w:ascii="宋体" w:hAnsi="宋体" w:cs="宋体"/>
          <w:color w:val="auto"/>
          <w:szCs w:val="21"/>
          <w:highlight w:val="none"/>
        </w:rPr>
      </w:pPr>
    </w:p>
    <w:p w14:paraId="4E140C48">
      <w:pPr>
        <w:adjustRightInd w:val="0"/>
        <w:snapToGrid w:val="0"/>
        <w:spacing w:line="360" w:lineRule="auto"/>
        <w:ind w:firstLine="420" w:firstLineChars="200"/>
        <w:rPr>
          <w:rFonts w:ascii="宋体" w:hAnsi="宋体" w:cs="宋体"/>
          <w:color w:val="auto"/>
          <w:szCs w:val="21"/>
          <w:highlight w:val="none"/>
        </w:rPr>
      </w:pPr>
    </w:p>
    <w:p w14:paraId="052338D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36DEAB9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法定代表人或其授权的代理人（签字）：_</w:t>
      </w:r>
    </w:p>
    <w:p w14:paraId="627E94C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日期：年月日</w:t>
      </w:r>
    </w:p>
    <w:p w14:paraId="7C1D7131">
      <w:pPr>
        <w:pStyle w:val="9"/>
        <w:rPr>
          <w:rFonts w:ascii="宋体" w:hAnsi="宋体" w:cs="宋体"/>
          <w:color w:val="auto"/>
          <w:szCs w:val="21"/>
          <w:highlight w:val="none"/>
        </w:rPr>
      </w:pPr>
    </w:p>
    <w:p w14:paraId="7F959B02">
      <w:pPr>
        <w:pStyle w:val="9"/>
        <w:rPr>
          <w:rFonts w:ascii="宋体" w:hAnsi="宋体" w:cs="宋体"/>
          <w:color w:val="auto"/>
          <w:szCs w:val="21"/>
          <w:highlight w:val="none"/>
        </w:rPr>
      </w:pPr>
    </w:p>
    <w:p w14:paraId="539372F9">
      <w:pPr>
        <w:pStyle w:val="9"/>
        <w:rPr>
          <w:rFonts w:ascii="宋体" w:hAnsi="宋体" w:cs="宋体"/>
          <w:color w:val="auto"/>
          <w:szCs w:val="21"/>
          <w:highlight w:val="none"/>
        </w:rPr>
      </w:pPr>
    </w:p>
    <w:p w14:paraId="16D3DED0">
      <w:pPr>
        <w:pStyle w:val="9"/>
        <w:rPr>
          <w:rFonts w:ascii="宋体" w:hAnsi="宋体" w:cs="宋体"/>
          <w:color w:val="auto"/>
          <w:szCs w:val="21"/>
          <w:highlight w:val="none"/>
        </w:rPr>
      </w:pPr>
    </w:p>
    <w:p w14:paraId="6ECE1383">
      <w:pPr>
        <w:pStyle w:val="9"/>
        <w:rPr>
          <w:rFonts w:ascii="宋体" w:hAnsi="宋体" w:cs="宋体"/>
          <w:color w:val="auto"/>
          <w:szCs w:val="21"/>
          <w:highlight w:val="none"/>
        </w:rPr>
      </w:pPr>
    </w:p>
    <w:p w14:paraId="531DBEA5">
      <w:pPr>
        <w:pStyle w:val="9"/>
        <w:rPr>
          <w:rFonts w:ascii="宋体" w:hAnsi="宋体" w:cs="宋体"/>
          <w:color w:val="auto"/>
          <w:szCs w:val="21"/>
          <w:highlight w:val="none"/>
        </w:rPr>
      </w:pPr>
    </w:p>
    <w:p w14:paraId="36E445FA">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E681CB7">
      <w:pPr>
        <w:pStyle w:val="4"/>
        <w:adjustRightInd w:val="0"/>
        <w:snapToGrid w:val="0"/>
        <w:spacing w:before="0" w:after="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w:t>
      </w:r>
      <w:bookmarkEnd w:id="10"/>
    </w:p>
    <w:p w14:paraId="2B2856DC">
      <w:pPr>
        <w:autoSpaceDE w:val="0"/>
        <w:autoSpaceDN w:val="0"/>
        <w:adjustRightInd w:val="0"/>
        <w:snapToGrid w:val="0"/>
        <w:spacing w:line="360" w:lineRule="auto"/>
        <w:ind w:firstLine="420" w:firstLineChars="200"/>
        <w:jc w:val="left"/>
        <w:rPr>
          <w:rFonts w:ascii="宋体" w:hAnsi="宋体" w:cs="宋体"/>
          <w:color w:val="auto"/>
          <w:szCs w:val="21"/>
          <w:highlight w:val="none"/>
        </w:rPr>
      </w:pPr>
    </w:p>
    <w:p w14:paraId="06CB4E02">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 性别： 身份证号： 职务：系 （</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w:t>
      </w:r>
    </w:p>
    <w:p w14:paraId="5974505C">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19D46C93">
      <w:pPr>
        <w:autoSpaceDE w:val="0"/>
        <w:autoSpaceDN w:val="0"/>
        <w:adjustRightInd w:val="0"/>
        <w:snapToGrid w:val="0"/>
        <w:spacing w:line="360" w:lineRule="auto"/>
        <w:jc w:val="left"/>
        <w:rPr>
          <w:rFonts w:ascii="宋体" w:hAnsi="宋体" w:cs="宋体"/>
          <w:color w:val="auto"/>
          <w:kern w:val="0"/>
          <w:szCs w:val="21"/>
          <w:highlight w:val="none"/>
        </w:rPr>
      </w:pP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C63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39E82C9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框内附法定代表人身份证复印件（无证照或粘贴无效）</w:t>
            </w:r>
          </w:p>
        </w:tc>
      </w:tr>
    </w:tbl>
    <w:p w14:paraId="496F9074">
      <w:pPr>
        <w:adjustRightInd w:val="0"/>
        <w:snapToGrid w:val="0"/>
        <w:spacing w:line="360" w:lineRule="auto"/>
        <w:rPr>
          <w:rFonts w:ascii="宋体" w:hAnsi="宋体" w:cs="宋体"/>
          <w:color w:val="auto"/>
          <w:szCs w:val="21"/>
          <w:highlight w:val="none"/>
        </w:rPr>
      </w:pPr>
    </w:p>
    <w:p w14:paraId="0E24F1BF">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供应商名称（盖单位章）：</w:t>
      </w:r>
    </w:p>
    <w:p w14:paraId="3FF5E747">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日期：年月日  </w:t>
      </w:r>
    </w:p>
    <w:p w14:paraId="601B672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46FB2699">
      <w:pPr>
        <w:pStyle w:val="4"/>
        <w:adjustRightInd w:val="0"/>
        <w:snapToGrid w:val="0"/>
        <w:spacing w:before="0" w:after="0" w:line="360" w:lineRule="auto"/>
        <w:jc w:val="center"/>
        <w:rPr>
          <w:rFonts w:ascii="宋体" w:hAnsi="宋体" w:cs="宋体"/>
          <w:color w:val="auto"/>
          <w:sz w:val="28"/>
          <w:szCs w:val="28"/>
          <w:highlight w:val="none"/>
        </w:rPr>
      </w:pPr>
      <w:bookmarkStart w:id="11" w:name="_Toc528307205"/>
      <w:r>
        <w:rPr>
          <w:rFonts w:hint="eastAsia" w:ascii="宋体" w:hAnsi="宋体" w:cs="宋体"/>
          <w:color w:val="auto"/>
          <w:sz w:val="28"/>
          <w:szCs w:val="28"/>
          <w:highlight w:val="none"/>
        </w:rPr>
        <w:t>三、法定代表人授权委托书</w:t>
      </w:r>
      <w:bookmarkEnd w:id="11"/>
    </w:p>
    <w:p w14:paraId="0CAE0023">
      <w:pPr>
        <w:autoSpaceDE w:val="0"/>
        <w:autoSpaceDN w:val="0"/>
        <w:adjustRightInd w:val="0"/>
        <w:snapToGrid w:val="0"/>
        <w:spacing w:line="360" w:lineRule="auto"/>
        <w:ind w:firstLine="446" w:firstLineChars="200"/>
        <w:jc w:val="left"/>
        <w:rPr>
          <w:rFonts w:ascii="宋体" w:hAnsi="宋体" w:cs="宋体"/>
          <w:b/>
          <w:color w:val="auto"/>
          <w:spacing w:val="6"/>
          <w:szCs w:val="21"/>
          <w:highlight w:val="none"/>
        </w:rPr>
      </w:pPr>
    </w:p>
    <w:p w14:paraId="641937D9">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34949C59">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本人（姓名、职务）系 （</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名称）的法定代表人，现授权（姓名、职务）为我方代理人。代理人根据授权，以我方名义签署、澄清、说明、补正、递交、撤回、修改（项目名称）（</w:t>
      </w:r>
      <w:r>
        <w:rPr>
          <w:rFonts w:hint="eastAsia" w:ascii="宋体" w:hAnsi="宋体" w:cs="宋体"/>
          <w:color w:val="auto"/>
          <w:highlight w:val="none"/>
        </w:rPr>
        <w:t>政府采购编号： ，</w:t>
      </w:r>
      <w:r>
        <w:rPr>
          <w:rFonts w:hint="eastAsia" w:ascii="宋体" w:hAnsi="宋体" w:cs="宋体"/>
          <w:color w:val="auto"/>
          <w:kern w:val="0"/>
          <w:szCs w:val="21"/>
          <w:highlight w:val="none"/>
        </w:rPr>
        <w:t>采购代理编号：）响应文件、签订合同和处理有关事宜，其法律后果由我方承担。</w:t>
      </w:r>
    </w:p>
    <w:p w14:paraId="236CA072">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 。</w:t>
      </w:r>
    </w:p>
    <w:p w14:paraId="449A0B5A">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037D5F27">
      <w:pPr>
        <w:adjustRightInd w:val="0"/>
        <w:snapToGrid w:val="0"/>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日签字生效，特此声明。</w:t>
      </w:r>
    </w:p>
    <w:p w14:paraId="5B781A3C">
      <w:pPr>
        <w:adjustRightInd w:val="0"/>
        <w:snapToGrid w:val="0"/>
        <w:spacing w:line="360" w:lineRule="auto"/>
        <w:ind w:firstLine="420" w:firstLineChars="200"/>
        <w:rPr>
          <w:rFonts w:ascii="宋体" w:hAnsi="宋体" w:cs="宋体"/>
          <w:color w:val="auto"/>
          <w:szCs w:val="21"/>
          <w:highlight w:val="none"/>
        </w:rPr>
      </w:pPr>
    </w:p>
    <w:tbl>
      <w:tblPr>
        <w:tblStyle w:val="22"/>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A63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vAlign w:val="center"/>
          </w:tcPr>
          <w:p w14:paraId="1BBD95F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框内附委托代理人身份证复印件（无证照或粘贴无效）</w:t>
            </w:r>
          </w:p>
        </w:tc>
      </w:tr>
    </w:tbl>
    <w:p w14:paraId="0736711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注：本授权委托书须附法定代表人身份证明方有效力</w:t>
      </w:r>
    </w:p>
    <w:p w14:paraId="75EEEA93">
      <w:pPr>
        <w:adjustRightInd w:val="0"/>
        <w:snapToGrid w:val="0"/>
        <w:spacing w:line="360" w:lineRule="auto"/>
        <w:ind w:firstLine="420" w:firstLineChars="200"/>
        <w:rPr>
          <w:rFonts w:ascii="宋体" w:hAnsi="宋体" w:cs="宋体"/>
          <w:color w:val="auto"/>
          <w:szCs w:val="21"/>
          <w:highlight w:val="none"/>
        </w:rPr>
      </w:pPr>
    </w:p>
    <w:p w14:paraId="002B40E9">
      <w:pPr>
        <w:adjustRightInd w:val="0"/>
        <w:snapToGrid w:val="0"/>
        <w:spacing w:line="360" w:lineRule="auto"/>
        <w:ind w:firstLine="420" w:firstLineChars="200"/>
        <w:rPr>
          <w:rFonts w:ascii="宋体" w:hAnsi="宋体" w:cs="宋体"/>
          <w:color w:val="auto"/>
          <w:szCs w:val="21"/>
          <w:highlight w:val="none"/>
        </w:rPr>
      </w:pPr>
    </w:p>
    <w:p w14:paraId="36FE5FA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368C4DD">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盖章）：</w:t>
      </w:r>
    </w:p>
    <w:p w14:paraId="5FD1F869">
      <w:pPr>
        <w:pStyle w:val="9"/>
        <w:rPr>
          <w:color w:val="auto"/>
          <w:highlight w:val="none"/>
        </w:rPr>
      </w:pPr>
      <w:r>
        <w:rPr>
          <w:rFonts w:hint="eastAsia" w:ascii="宋体" w:hAnsi="宋体" w:cs="宋体"/>
          <w:color w:val="auto"/>
          <w:szCs w:val="21"/>
          <w:highlight w:val="none"/>
        </w:rPr>
        <w:t>手机号：</w:t>
      </w:r>
    </w:p>
    <w:p w14:paraId="47ABFF73">
      <w:pPr>
        <w:adjustRightInd w:val="0"/>
        <w:snapToGrid w:val="0"/>
        <w:spacing w:line="360" w:lineRule="auto"/>
        <w:ind w:right="420"/>
        <w:rPr>
          <w:rFonts w:ascii="宋体" w:hAnsi="宋体" w:cs="宋体"/>
          <w:color w:val="auto"/>
          <w:szCs w:val="21"/>
          <w:highlight w:val="none"/>
        </w:rPr>
      </w:pPr>
    </w:p>
    <w:p w14:paraId="66C8FA6C">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委托代理人（签字）：</w:t>
      </w:r>
    </w:p>
    <w:p w14:paraId="06430400">
      <w:pPr>
        <w:pStyle w:val="9"/>
        <w:rPr>
          <w:color w:val="auto"/>
          <w:highlight w:val="none"/>
        </w:rPr>
      </w:pPr>
      <w:r>
        <w:rPr>
          <w:rFonts w:hint="eastAsia" w:ascii="宋体" w:hAnsi="宋体" w:cs="宋体"/>
          <w:color w:val="auto"/>
          <w:szCs w:val="21"/>
          <w:highlight w:val="none"/>
        </w:rPr>
        <w:t>手机号：</w:t>
      </w:r>
    </w:p>
    <w:p w14:paraId="4B8ED8B2">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日期：年月日</w:t>
      </w:r>
    </w:p>
    <w:p w14:paraId="4953D279">
      <w:pPr>
        <w:adjustRightInd w:val="0"/>
        <w:snapToGrid w:val="0"/>
        <w:spacing w:line="360" w:lineRule="auto"/>
        <w:jc w:val="left"/>
        <w:rPr>
          <w:rFonts w:ascii="宋体" w:hAnsi="宋体" w:cs="宋体"/>
          <w:bCs/>
          <w:color w:val="auto"/>
          <w:sz w:val="28"/>
          <w:szCs w:val="28"/>
          <w:highlight w:val="none"/>
        </w:rPr>
      </w:pPr>
    </w:p>
    <w:p w14:paraId="1DFDE428">
      <w:pPr>
        <w:adjustRightInd w:val="0"/>
        <w:snapToGrid w:val="0"/>
        <w:spacing w:line="360" w:lineRule="auto"/>
        <w:jc w:val="left"/>
        <w:rPr>
          <w:rFonts w:ascii="宋体" w:hAnsi="宋体" w:cs="宋体"/>
          <w:bCs/>
          <w:color w:val="auto"/>
          <w:sz w:val="28"/>
          <w:szCs w:val="28"/>
          <w:highlight w:val="none"/>
        </w:rPr>
      </w:pPr>
    </w:p>
    <w:p w14:paraId="391C2E51">
      <w:pPr>
        <w:adjustRightInd w:val="0"/>
        <w:snapToGrid w:val="0"/>
        <w:spacing w:line="360" w:lineRule="auto"/>
        <w:jc w:val="left"/>
        <w:rPr>
          <w:rFonts w:ascii="宋体" w:hAnsi="宋体" w:cs="宋体"/>
          <w:bCs/>
          <w:color w:val="auto"/>
          <w:sz w:val="28"/>
          <w:szCs w:val="28"/>
          <w:highlight w:val="none"/>
        </w:rPr>
      </w:pPr>
    </w:p>
    <w:p w14:paraId="4911B291">
      <w:pPr>
        <w:adjustRightInd w:val="0"/>
        <w:snapToGrid w:val="0"/>
        <w:spacing w:line="360" w:lineRule="auto"/>
        <w:jc w:val="left"/>
        <w:rPr>
          <w:rFonts w:ascii="宋体" w:hAnsi="宋体" w:cs="宋体"/>
          <w:bCs/>
          <w:color w:val="auto"/>
          <w:sz w:val="28"/>
          <w:szCs w:val="28"/>
          <w:highlight w:val="none"/>
        </w:rPr>
      </w:pPr>
    </w:p>
    <w:p w14:paraId="223BE674">
      <w:pPr>
        <w:adjustRightInd w:val="0"/>
        <w:snapToGrid w:val="0"/>
        <w:spacing w:line="360" w:lineRule="auto"/>
        <w:jc w:val="left"/>
        <w:rPr>
          <w:rFonts w:ascii="宋体" w:hAnsi="宋体" w:cs="宋体"/>
          <w:bCs/>
          <w:color w:val="auto"/>
          <w:sz w:val="28"/>
          <w:szCs w:val="28"/>
          <w:highlight w:val="none"/>
        </w:rPr>
      </w:pPr>
      <w:r>
        <w:rPr>
          <w:rFonts w:hint="eastAsia" w:ascii="宋体" w:hAnsi="宋体" w:cs="宋体"/>
          <w:bCs/>
          <w:color w:val="auto"/>
          <w:sz w:val="28"/>
          <w:szCs w:val="28"/>
          <w:highlight w:val="none"/>
        </w:rPr>
        <w:br w:type="page"/>
      </w:r>
    </w:p>
    <w:p w14:paraId="44C20911">
      <w:pPr>
        <w:pStyle w:val="4"/>
        <w:adjustRightInd w:val="0"/>
        <w:snapToGrid w:val="0"/>
        <w:spacing w:before="0" w:after="0" w:line="360" w:lineRule="auto"/>
        <w:jc w:val="center"/>
        <w:rPr>
          <w:rFonts w:ascii="宋体" w:hAnsi="宋体" w:cs="宋体"/>
          <w:color w:val="auto"/>
          <w:sz w:val="28"/>
          <w:szCs w:val="28"/>
          <w:highlight w:val="none"/>
        </w:rPr>
      </w:pPr>
      <w:bookmarkStart w:id="12" w:name="_Toc528307206"/>
      <w:r>
        <w:rPr>
          <w:rFonts w:hint="eastAsia" w:ascii="宋体" w:hAnsi="宋体" w:cs="宋体"/>
          <w:color w:val="auto"/>
          <w:sz w:val="28"/>
          <w:szCs w:val="28"/>
          <w:highlight w:val="none"/>
        </w:rPr>
        <w:t>四、供应商具备参加磋商的资格证明文件</w:t>
      </w:r>
      <w:bookmarkEnd w:id="12"/>
      <w:bookmarkStart w:id="13" w:name="_Toc294206743"/>
      <w:bookmarkStart w:id="14" w:name="_Toc294186060"/>
    </w:p>
    <w:p w14:paraId="562D3114">
      <w:pPr>
        <w:pStyle w:val="12"/>
        <w:adjustRightInd w:val="0"/>
        <w:snapToGrid w:val="0"/>
        <w:spacing w:line="360" w:lineRule="auto"/>
        <w:rPr>
          <w:rFonts w:hAnsi="宋体" w:cs="宋体"/>
          <w:b/>
          <w:bCs/>
          <w:color w:val="auto"/>
          <w:highlight w:val="none"/>
        </w:rPr>
      </w:pPr>
    </w:p>
    <w:p w14:paraId="5AEEB178">
      <w:pPr>
        <w:pStyle w:val="12"/>
        <w:adjustRightInd w:val="0"/>
        <w:snapToGrid w:val="0"/>
        <w:spacing w:line="360" w:lineRule="auto"/>
        <w:jc w:val="center"/>
        <w:rPr>
          <w:rFonts w:hAnsi="宋体" w:cs="宋体"/>
          <w:b/>
          <w:bCs/>
          <w:color w:val="auto"/>
          <w:sz w:val="24"/>
          <w:szCs w:val="24"/>
          <w:highlight w:val="none"/>
        </w:rPr>
      </w:pPr>
      <w:r>
        <w:rPr>
          <w:rFonts w:hint="eastAsia" w:hAnsi="宋体" w:cs="宋体"/>
          <w:b/>
          <w:bCs/>
          <w:color w:val="auto"/>
          <w:sz w:val="24"/>
          <w:szCs w:val="24"/>
          <w:highlight w:val="none"/>
        </w:rPr>
        <w:t>须  知</w:t>
      </w:r>
    </w:p>
    <w:p w14:paraId="3DE89A57">
      <w:pPr>
        <w:tabs>
          <w:tab w:val="left" w:pos="4725"/>
        </w:tabs>
        <w:adjustRightInd w:val="0"/>
        <w:snapToGrid w:val="0"/>
        <w:spacing w:line="360" w:lineRule="auto"/>
        <w:rPr>
          <w:rFonts w:ascii="宋体" w:hAnsi="宋体" w:cs="宋体"/>
          <w:b/>
          <w:color w:val="auto"/>
          <w:szCs w:val="21"/>
          <w:highlight w:val="none"/>
        </w:rPr>
      </w:pPr>
    </w:p>
    <w:p w14:paraId="7ACABE77">
      <w:pPr>
        <w:tabs>
          <w:tab w:val="left" w:pos="4725"/>
        </w:tabs>
        <w:adjustRightInd w:val="0"/>
        <w:snapToGrid w:val="0"/>
        <w:spacing w:line="48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1、供应商应提供下列声明和证明材料</w:t>
      </w:r>
    </w:p>
    <w:p w14:paraId="667919E5">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附4-1：供应商资格声明</w:t>
      </w:r>
    </w:p>
    <w:p w14:paraId="2BDE9885">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附4-2：法人、或者其他组织的营业执照等主体资格证明文件，自然人的身份证明</w:t>
      </w:r>
    </w:p>
    <w:p w14:paraId="1F7DA602">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附4-3：财务状况报告</w:t>
      </w:r>
    </w:p>
    <w:p w14:paraId="2913CFC6">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附4-4：依法缴纳税收的相关证明</w:t>
      </w:r>
    </w:p>
    <w:p w14:paraId="02CF4064">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附4-5：依法缴纳社会保险费的相关证明</w:t>
      </w:r>
    </w:p>
    <w:p w14:paraId="13A8B245">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附4-6：具备履行合同所必需的设备和专业技术能力的书面承诺(格式自拟)</w:t>
      </w:r>
    </w:p>
    <w:p w14:paraId="730C49F6">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附4-7：具备法律、行政法规规定的其他条件的证明材料复印件</w:t>
      </w:r>
    </w:p>
    <w:p w14:paraId="46C97DFC">
      <w:pPr>
        <w:tabs>
          <w:tab w:val="left" w:pos="4725"/>
        </w:tabs>
        <w:adjustRightInd w:val="0"/>
        <w:snapToGrid w:val="0"/>
        <w:spacing w:line="48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附4-8：提供供应商特定资格条件证明资料的复印件</w:t>
      </w:r>
    </w:p>
    <w:p w14:paraId="5F32A3B9">
      <w:pPr>
        <w:pStyle w:val="9"/>
        <w:rPr>
          <w:color w:val="auto"/>
          <w:highlight w:val="none"/>
        </w:rPr>
      </w:pPr>
    </w:p>
    <w:p w14:paraId="583A6A59">
      <w:pPr>
        <w:tabs>
          <w:tab w:val="left" w:pos="4725"/>
        </w:tabs>
        <w:adjustRightInd w:val="0"/>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2、供应商以联合体形式响应的，除应提交联合协议书外，协议中的各方均应提交</w:t>
      </w:r>
      <w:r>
        <w:rPr>
          <w:rFonts w:hint="eastAsia" w:ascii="宋体" w:hAnsi="宋体" w:cs="宋体"/>
          <w:color w:val="auto"/>
          <w:szCs w:val="21"/>
          <w:highlight w:val="none"/>
          <w:lang w:eastAsia="zh-CN"/>
        </w:rPr>
        <w:t>上述</w:t>
      </w:r>
      <w:r>
        <w:rPr>
          <w:rFonts w:hint="eastAsia" w:ascii="宋体" w:hAnsi="宋体" w:cs="宋体"/>
          <w:color w:val="auto"/>
          <w:szCs w:val="21"/>
          <w:highlight w:val="none"/>
        </w:rPr>
        <w:t>资格证明材料。</w:t>
      </w:r>
    </w:p>
    <w:p w14:paraId="067E159E">
      <w:pPr>
        <w:tabs>
          <w:tab w:val="left" w:pos="4725"/>
        </w:tabs>
        <w:adjustRightInd w:val="0"/>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上述声明与证明资料应按其要求加盖供应商单位章，由法定代表人或其授权的代理人签字；声明应当按响应文件提供的格式除可填报信息外不加任何内容修改地提供，证明资料的复印件应加盖供应商单位章，否则，响应无效。</w:t>
      </w:r>
    </w:p>
    <w:p w14:paraId="4C5C43C6">
      <w:pPr>
        <w:tabs>
          <w:tab w:val="left" w:pos="4725"/>
        </w:tabs>
        <w:adjustRightInd w:val="0"/>
        <w:snapToGrid w:val="0"/>
        <w:spacing w:line="48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供应商如出现并购重组和吸收合并的，其成立时间可溯源至原单位的注册时间起算；如出现新设合并的，成立时间可溯源至参与合并的单位中成立时间较短的单位的注册时间。出现更名的请出示注册所在地的职能部门证明。供应商如正处于换证、年检阶段，提供相关证明。</w:t>
      </w:r>
    </w:p>
    <w:p w14:paraId="25E8DF44">
      <w:pPr>
        <w:tabs>
          <w:tab w:val="left" w:pos="4725"/>
        </w:tabs>
        <w:adjustRightInd w:val="0"/>
        <w:snapToGrid w:val="0"/>
        <w:spacing w:line="360" w:lineRule="auto"/>
        <w:rPr>
          <w:rFonts w:ascii="宋体" w:hAnsi="宋体" w:cs="宋体"/>
          <w:color w:val="auto"/>
          <w:szCs w:val="21"/>
          <w:highlight w:val="none"/>
        </w:rPr>
      </w:pPr>
    </w:p>
    <w:p w14:paraId="346931B6">
      <w:pPr>
        <w:widowControl/>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bookmarkEnd w:id="13"/>
      <w:bookmarkEnd w:id="14"/>
    </w:p>
    <w:p w14:paraId="00F9442E">
      <w:pPr>
        <w:pStyle w:val="5"/>
        <w:widowControl/>
        <w:spacing w:line="336" w:lineRule="auto"/>
        <w:rPr>
          <w:color w:val="auto"/>
          <w:highlight w:val="none"/>
        </w:rPr>
      </w:pPr>
      <w:r>
        <w:rPr>
          <w:rFonts w:hint="eastAsia" w:ascii="宋体" w:hAnsi="宋体" w:cs="宋体"/>
          <w:bCs w:val="0"/>
          <w:color w:val="auto"/>
          <w:spacing w:val="6"/>
          <w:kern w:val="0"/>
          <w:sz w:val="24"/>
          <w:szCs w:val="24"/>
          <w:highlight w:val="none"/>
        </w:rPr>
        <w:t>附4-1 供应商资格声明</w:t>
      </w:r>
    </w:p>
    <w:p w14:paraId="785733F8">
      <w:pPr>
        <w:widowControl/>
        <w:adjustRightInd w:val="0"/>
        <w:snapToGrid w:val="0"/>
        <w:spacing w:line="336" w:lineRule="auto"/>
        <w:ind w:firstLine="560" w:firstLineChars="200"/>
        <w:jc w:val="center"/>
        <w:rPr>
          <w:color w:val="auto"/>
          <w:highlight w:val="none"/>
        </w:rPr>
      </w:pPr>
      <w:r>
        <w:rPr>
          <w:rFonts w:hint="eastAsia" w:ascii="宋体" w:hAnsi="宋体" w:cs="宋体"/>
          <w:color w:val="auto"/>
          <w:sz w:val="28"/>
          <w:szCs w:val="28"/>
          <w:highlight w:val="none"/>
        </w:rPr>
        <w:t>资格声明</w:t>
      </w:r>
    </w:p>
    <w:p w14:paraId="6B2548DA">
      <w:pPr>
        <w:widowControl/>
        <w:adjustRightInd w:val="0"/>
        <w:snapToGrid w:val="0"/>
        <w:spacing w:line="336" w:lineRule="auto"/>
        <w:jc w:val="left"/>
        <w:rPr>
          <w:rFonts w:ascii="宋体" w:hAnsi="宋体" w:cs="宋体"/>
          <w:color w:val="auto"/>
          <w:kern w:val="0"/>
          <w:szCs w:val="21"/>
          <w:highlight w:val="none"/>
        </w:rPr>
      </w:pPr>
      <w:r>
        <w:rPr>
          <w:rFonts w:hint="eastAsia" w:ascii="宋体" w:hAnsi="宋体" w:cs="宋体"/>
          <w:color w:val="auto"/>
          <w:szCs w:val="21"/>
          <w:highlight w:val="none"/>
        </w:rPr>
        <w:t>致（采购人或采购代理机构）：</w:t>
      </w:r>
    </w:p>
    <w:p w14:paraId="434BC49F">
      <w:pPr>
        <w:widowControl/>
        <w:adjustRightInd w:val="0"/>
        <w:snapToGrid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根据贵方为（项目名称）的磋商邀请（</w:t>
      </w:r>
      <w:r>
        <w:rPr>
          <w:rFonts w:hint="eastAsia" w:ascii="宋体" w:hAnsi="宋体" w:cs="宋体"/>
          <w:color w:val="auto"/>
          <w:highlight w:val="none"/>
        </w:rPr>
        <w:t>政府采购编号： ，</w:t>
      </w:r>
      <w:r>
        <w:rPr>
          <w:rFonts w:hint="eastAsia" w:ascii="宋体" w:hAnsi="宋体" w:cs="宋体"/>
          <w:color w:val="auto"/>
          <w:szCs w:val="21"/>
          <w:highlight w:val="none"/>
        </w:rPr>
        <w:t>委托代理编号：），签字代表 （姓名、职务）经正式授权并代表 （供应商名称）提交下述文件正本一份、副本</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份,电子版一份。</w:t>
      </w:r>
    </w:p>
    <w:p w14:paraId="4A37C94D">
      <w:pPr>
        <w:widowControl/>
        <w:adjustRightInd w:val="0"/>
        <w:snapToGrid w:val="0"/>
        <w:spacing w:line="336" w:lineRule="auto"/>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一、报价一览表</w:t>
      </w:r>
    </w:p>
    <w:p w14:paraId="14A2FA21">
      <w:pPr>
        <w:widowControl/>
        <w:adjustRightInd w:val="0"/>
        <w:snapToGrid w:val="0"/>
        <w:spacing w:line="336" w:lineRule="auto"/>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二、法定代表人身份证明</w:t>
      </w:r>
    </w:p>
    <w:p w14:paraId="7B1E9E47">
      <w:pPr>
        <w:widowControl/>
        <w:adjustRightInd w:val="0"/>
        <w:snapToGrid w:val="0"/>
        <w:spacing w:line="336" w:lineRule="auto"/>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三、法定代表人授权委托书</w:t>
      </w:r>
    </w:p>
    <w:p w14:paraId="377DA070">
      <w:pPr>
        <w:widowControl/>
        <w:adjustRightInd w:val="0"/>
        <w:snapToGrid w:val="0"/>
        <w:spacing w:line="336" w:lineRule="auto"/>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四、供应商具备磋商资格的证明文件</w:t>
      </w:r>
    </w:p>
    <w:p w14:paraId="7D7047AB">
      <w:pPr>
        <w:widowControl/>
        <w:adjustRightInd w:val="0"/>
        <w:snapToGrid w:val="0"/>
        <w:spacing w:line="336" w:lineRule="auto"/>
        <w:ind w:left="420" w:leftChars="200" w:firstLine="630" w:firstLineChars="300"/>
        <w:rPr>
          <w:rFonts w:ascii="宋体" w:hAnsi="宋体" w:cs="宋体"/>
          <w:color w:val="auto"/>
          <w:szCs w:val="21"/>
          <w:highlight w:val="none"/>
        </w:rPr>
      </w:pPr>
      <w:r>
        <w:rPr>
          <w:rFonts w:hint="eastAsia" w:ascii="宋体" w:hAnsi="宋体" w:cs="宋体"/>
          <w:color w:val="auto"/>
          <w:szCs w:val="21"/>
          <w:highlight w:val="none"/>
        </w:rPr>
        <w:t>五、保证金</w:t>
      </w:r>
    </w:p>
    <w:p w14:paraId="118A9A31">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按照《政府采购法》第二十二条和磋商文件的规定，我单位郑重声明如下：</w:t>
      </w:r>
    </w:p>
    <w:p w14:paraId="533AAA13">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1、我单位是按照中华人民共和国法律规定登记注册的，全称为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，注册地点为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，统一社会信用代码或注册号为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，法定代表人为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，具有独立承担民事责任的能力。</w:t>
      </w:r>
    </w:p>
    <w:p w14:paraId="5FC7C05B">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2、我单位具有良好的商业信誉和健全的财务会计制度。</w:t>
      </w:r>
    </w:p>
    <w:p w14:paraId="2114FBA8">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3、我单位具有履行本项目采购合同所必需的设备和专业技术能力。</w:t>
      </w:r>
    </w:p>
    <w:p w14:paraId="4FF650E1">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4、我单位具有依法缴纳税收和社会保障资金的良好记录。</w:t>
      </w:r>
    </w:p>
    <w:p w14:paraId="2A2D192D">
      <w:pPr>
        <w:widowControl/>
        <w:adjustRightInd w:val="0"/>
        <w:snapToGrid w:val="0"/>
        <w:spacing w:line="336"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5、在参加采购项目政府采购活动前三年内，我单位</w:t>
      </w:r>
      <w:r>
        <w:rPr>
          <w:rFonts w:hint="eastAsia" w:ascii="宋体" w:hAnsi="宋体"/>
          <w:color w:val="auto"/>
          <w:szCs w:val="21"/>
          <w:highlight w:val="none"/>
        </w:rPr>
        <w:t>或者法定代表人、董事、监事、高级管理人员</w:t>
      </w:r>
      <w:r>
        <w:rPr>
          <w:rFonts w:hint="eastAsia" w:ascii="宋体" w:hAnsi="宋体" w:cs="宋体"/>
          <w:color w:val="auto"/>
          <w:szCs w:val="21"/>
          <w:highlight w:val="none"/>
        </w:rPr>
        <w:t>未因违法经营受到行政、刑事处罚或者被责令停产停业、吊销许可证或者执照、受到法律法规规定的较大数额罚款等行政处罚（</w:t>
      </w:r>
      <w:r>
        <w:rPr>
          <w:rFonts w:hint="eastAsia" w:ascii="宋体" w:hAnsi="宋体"/>
          <w:color w:val="auto"/>
          <w:szCs w:val="21"/>
          <w:highlight w:val="none"/>
        </w:rPr>
        <w:t>警告和罚款额在</w:t>
      </w:r>
      <w:r>
        <w:rPr>
          <w:rFonts w:hint="eastAsia" w:ascii="宋体" w:hAnsi="宋体"/>
          <w:color w:val="auto"/>
          <w:szCs w:val="21"/>
          <w:highlight w:val="none"/>
          <w:lang w:val="en-US" w:eastAsia="zh-CN"/>
        </w:rPr>
        <w:t>200</w:t>
      </w:r>
      <w:r>
        <w:rPr>
          <w:rFonts w:hint="eastAsia" w:ascii="宋体" w:hAnsi="宋体"/>
          <w:color w:val="auto"/>
          <w:szCs w:val="21"/>
          <w:highlight w:val="none"/>
        </w:rPr>
        <w:t>万元以下的行政处罚除外）；</w:t>
      </w:r>
    </w:p>
    <w:p w14:paraId="31EC6844">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6、我单位不存在下列情形之一： </w:t>
      </w:r>
    </w:p>
    <w:p w14:paraId="7B6BFF51">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（1）与采购人、采购代理机构存在隶属关系或者其他利害关系；</w:t>
      </w:r>
    </w:p>
    <w:p w14:paraId="1C156470">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（2）与参加采购项目的其他供应商存在直接控股、管理关系，或者与其他供应商法定代表人（或者负责人）为同一人；</w:t>
      </w:r>
    </w:p>
    <w:p w14:paraId="17446AD6">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（3）为本项目提供整体设计、规范编制或者项目管理、监理、检测等服务；</w:t>
      </w:r>
    </w:p>
    <w:p w14:paraId="132E93BB">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（4）列入失信被执行人、重大税收违法案件当事人名单、政府采购严重违法失信行为记录名单及其他不符合《政府采购法》第二十二条规定条件。</w:t>
      </w:r>
    </w:p>
    <w:p w14:paraId="50F2CB06">
      <w:pPr>
        <w:widowControl/>
        <w:adjustRightInd w:val="0"/>
        <w:snapToGrid w:val="0"/>
        <w:spacing w:line="33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我单位保证上述事项声明及所附证明材料均真实可靠，如有虚假，我单位愿意承担相应的法律责任，并承担因此所造成的一切损失。 </w:t>
      </w:r>
    </w:p>
    <w:p w14:paraId="24A03E35">
      <w:pPr>
        <w:pStyle w:val="9"/>
        <w:spacing w:line="336" w:lineRule="auto"/>
        <w:rPr>
          <w:rFonts w:ascii="宋体" w:hAnsi="宋体" w:cs="宋体"/>
          <w:color w:val="auto"/>
          <w:szCs w:val="21"/>
          <w:highlight w:val="none"/>
        </w:rPr>
      </w:pPr>
    </w:p>
    <w:p w14:paraId="264A004D">
      <w:pPr>
        <w:widowControl/>
        <w:adjustRightInd w:val="0"/>
        <w:snapToGrid w:val="0"/>
        <w:spacing w:line="336" w:lineRule="auto"/>
        <w:jc w:val="left"/>
        <w:rPr>
          <w:rFonts w:ascii="宋体" w:hAnsi="宋体" w:cs="宋体"/>
          <w:color w:val="auto"/>
          <w:kern w:val="0"/>
          <w:szCs w:val="21"/>
          <w:highlight w:val="none"/>
        </w:rPr>
      </w:pPr>
      <w:r>
        <w:rPr>
          <w:rFonts w:hint="eastAsia" w:ascii="宋体" w:hAnsi="宋体" w:cs="宋体"/>
          <w:color w:val="auto"/>
          <w:szCs w:val="21"/>
          <w:highlight w:val="none"/>
        </w:rPr>
        <w:t>供应商名称（盖单位章）：</w:t>
      </w:r>
    </w:p>
    <w:p w14:paraId="68FFCEB2">
      <w:pPr>
        <w:widowControl/>
        <w:adjustRightInd w:val="0"/>
        <w:snapToGrid w:val="0"/>
        <w:spacing w:line="336" w:lineRule="auto"/>
        <w:jc w:val="left"/>
        <w:rPr>
          <w:rFonts w:ascii="宋体" w:hAnsi="宋体" w:cs="宋体"/>
          <w:color w:val="auto"/>
          <w:kern w:val="0"/>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盖章）：</w:t>
      </w:r>
    </w:p>
    <w:p w14:paraId="70E923CE">
      <w:pPr>
        <w:widowControl/>
        <w:adjustRightInd w:val="0"/>
        <w:snapToGrid w:val="0"/>
        <w:spacing w:line="336" w:lineRule="auto"/>
        <w:rPr>
          <w:rFonts w:ascii="宋体" w:hAnsi="宋体" w:cs="宋体"/>
          <w:bCs/>
          <w:color w:val="auto"/>
          <w:sz w:val="28"/>
          <w:szCs w:val="28"/>
          <w:highlight w:val="none"/>
        </w:rPr>
      </w:pPr>
      <w:r>
        <w:rPr>
          <w:rFonts w:hint="eastAsia" w:ascii="宋体" w:hAnsi="宋体" w:cs="宋体"/>
          <w:color w:val="auto"/>
          <w:szCs w:val="21"/>
          <w:highlight w:val="none"/>
        </w:rPr>
        <w:t>日期：年月日</w:t>
      </w:r>
    </w:p>
    <w:p w14:paraId="5AE2349F">
      <w:pPr>
        <w:rPr>
          <w:rFonts w:ascii="宋体" w:hAnsi="宋体"/>
          <w:b/>
          <w:color w:val="auto"/>
          <w:sz w:val="28"/>
          <w:szCs w:val="28"/>
          <w:highlight w:val="none"/>
        </w:rPr>
      </w:pPr>
      <w:r>
        <w:rPr>
          <w:rFonts w:hint="eastAsia" w:ascii="宋体" w:hAnsi="宋体"/>
          <w:b/>
          <w:color w:val="auto"/>
          <w:sz w:val="28"/>
          <w:szCs w:val="28"/>
          <w:highlight w:val="none"/>
        </w:rPr>
        <w:br w:type="page"/>
      </w:r>
    </w:p>
    <w:p w14:paraId="07484449">
      <w:pPr>
        <w:pStyle w:val="53"/>
        <w:adjustRightInd w:val="0"/>
        <w:snapToGrid w:val="0"/>
        <w:spacing w:line="360" w:lineRule="auto"/>
        <w:jc w:val="center"/>
        <w:rPr>
          <w:rFonts w:ascii="宋体" w:hAnsi="宋体"/>
          <w:b/>
          <w:color w:val="auto"/>
          <w:kern w:val="2"/>
          <w:sz w:val="28"/>
          <w:szCs w:val="28"/>
          <w:highlight w:val="none"/>
        </w:rPr>
      </w:pPr>
      <w:r>
        <w:rPr>
          <w:rFonts w:hint="eastAsia" w:ascii="宋体" w:hAnsi="宋体"/>
          <w:b/>
          <w:color w:val="auto"/>
          <w:kern w:val="2"/>
          <w:sz w:val="28"/>
          <w:szCs w:val="28"/>
          <w:highlight w:val="none"/>
        </w:rPr>
        <w:t>湖南省政府采购供应商资格承诺函</w:t>
      </w:r>
    </w:p>
    <w:p w14:paraId="3C2E4C2D">
      <w:pPr>
        <w:pStyle w:val="53"/>
        <w:adjustRightInd w:val="0"/>
        <w:snapToGrid w:val="0"/>
        <w:spacing w:line="360" w:lineRule="auto"/>
        <w:jc w:val="center"/>
        <w:rPr>
          <w:rFonts w:ascii="宋体" w:hAnsi="宋体"/>
          <w:b/>
          <w:color w:val="auto"/>
          <w:kern w:val="2"/>
          <w:sz w:val="28"/>
          <w:szCs w:val="28"/>
          <w:highlight w:val="none"/>
        </w:rPr>
      </w:pPr>
    </w:p>
    <w:p w14:paraId="38E1913A">
      <w:pPr>
        <w:pStyle w:val="53"/>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2DDD8D0D">
      <w:pPr>
        <w:pStyle w:val="53"/>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按照《政府采购促进中小企业发展管理办法》（财库〔2020〕46号），本公司企业规模为：□大型 □中型 □小型 □微型</w:t>
      </w:r>
    </w:p>
    <w:p w14:paraId="4BC075E1">
      <w:pPr>
        <w:pStyle w:val="53"/>
        <w:spacing w:line="360" w:lineRule="auto"/>
        <w:ind w:firstLine="420" w:firstLineChars="200"/>
        <w:rPr>
          <w:rFonts w:ascii="宋体" w:hAnsi="宋体" w:cs="宋体"/>
          <w:color w:val="auto"/>
          <w:kern w:val="2"/>
          <w:sz w:val="21"/>
          <w:szCs w:val="21"/>
          <w:highlight w:val="none"/>
        </w:rPr>
      </w:pPr>
    </w:p>
    <w:p w14:paraId="00883166">
      <w:pPr>
        <w:pStyle w:val="53"/>
        <w:spacing w:line="360" w:lineRule="auto"/>
        <w:ind w:firstLine="420" w:firstLineChars="200"/>
        <w:rPr>
          <w:rFonts w:ascii="宋体" w:hAnsi="宋体" w:cs="宋体"/>
          <w:color w:val="auto"/>
          <w:kern w:val="2"/>
          <w:sz w:val="21"/>
          <w:szCs w:val="21"/>
          <w:highlight w:val="none"/>
        </w:rPr>
      </w:pPr>
    </w:p>
    <w:p w14:paraId="42C9DF07">
      <w:pPr>
        <w:pStyle w:val="53"/>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供应商名称(单位盖章):</w:t>
      </w:r>
    </w:p>
    <w:p w14:paraId="28B238C5">
      <w:pPr>
        <w:pStyle w:val="53"/>
        <w:spacing w:line="360" w:lineRule="auto"/>
        <w:ind w:firstLine="420" w:firstLineChars="200"/>
        <w:jc w:val="righ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年月日 </w:t>
      </w:r>
    </w:p>
    <w:p w14:paraId="533DC1B5">
      <w:pPr>
        <w:pStyle w:val="53"/>
        <w:spacing w:line="360" w:lineRule="auto"/>
        <w:ind w:firstLine="420" w:firstLineChars="200"/>
        <w:jc w:val="right"/>
        <w:rPr>
          <w:rFonts w:ascii="宋体" w:hAnsi="宋体" w:cs="宋体"/>
          <w:color w:val="auto"/>
          <w:kern w:val="2"/>
          <w:sz w:val="21"/>
          <w:szCs w:val="21"/>
          <w:highlight w:val="none"/>
        </w:rPr>
      </w:pPr>
    </w:p>
    <w:p w14:paraId="202D95A6">
      <w:pPr>
        <w:pStyle w:val="53"/>
        <w:spacing w:line="360" w:lineRule="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提供如下信息机构代码、注册登记机构、日期、有效期、注册资本、地址、经济行业、经济性质</w:t>
      </w:r>
    </w:p>
    <w:p w14:paraId="6B62B881">
      <w:pPr>
        <w:pStyle w:val="53"/>
        <w:spacing w:line="360" w:lineRule="auto"/>
        <w:ind w:firstLine="420" w:firstLineChars="200"/>
        <w:rPr>
          <w:rFonts w:ascii="宋体" w:hAnsi="宋体" w:cs="宋体"/>
          <w:color w:val="auto"/>
          <w:kern w:val="2"/>
          <w:sz w:val="21"/>
          <w:szCs w:val="21"/>
          <w:highlight w:val="none"/>
        </w:rPr>
      </w:pPr>
    </w:p>
    <w:p w14:paraId="2B1079BC">
      <w:pPr>
        <w:pStyle w:val="53"/>
        <w:spacing w:line="360" w:lineRule="auto"/>
        <w:rPr>
          <w:rFonts w:ascii="宋体" w:hAnsi="宋体" w:cs="宋体"/>
          <w:color w:val="auto"/>
          <w:spacing w:val="6"/>
          <w:sz w:val="24"/>
          <w:szCs w:val="24"/>
          <w:highlight w:val="none"/>
        </w:rPr>
      </w:pPr>
      <w:r>
        <w:rPr>
          <w:rFonts w:hint="eastAsia" w:ascii="宋体" w:hAnsi="宋体" w:cs="宋体"/>
          <w:color w:val="auto"/>
          <w:kern w:val="2"/>
          <w:sz w:val="21"/>
          <w:szCs w:val="21"/>
          <w:highlight w:val="none"/>
        </w:rPr>
        <w:t>     </w:t>
      </w:r>
      <w:r>
        <w:rPr>
          <w:rFonts w:hint="eastAsia" w:ascii="宋体" w:hAnsi="宋体" w:cs="宋体"/>
          <w:color w:val="auto"/>
          <w:highlight w:val="none"/>
        </w:rPr>
        <w:br w:type="page"/>
      </w:r>
      <w:r>
        <w:rPr>
          <w:rFonts w:hint="eastAsia" w:ascii="宋体" w:hAnsi="宋体" w:cs="宋体"/>
          <w:color w:val="auto"/>
          <w:spacing w:val="6"/>
          <w:sz w:val="24"/>
          <w:szCs w:val="24"/>
          <w:highlight w:val="none"/>
        </w:rPr>
        <w:t>附4-2 法人、或者其他组织的营业执照等主体资格证明文件，自然人的身份证明</w:t>
      </w:r>
    </w:p>
    <w:p w14:paraId="30AE731B">
      <w:pPr>
        <w:widowControl/>
        <w:adjustRightInd w:val="0"/>
        <w:snapToGrid w:val="0"/>
        <w:spacing w:line="360" w:lineRule="auto"/>
        <w:ind w:firstLine="420" w:firstLineChars="200"/>
        <w:jc w:val="left"/>
        <w:rPr>
          <w:rFonts w:ascii="宋体" w:hAnsi="宋体" w:cs="宋体"/>
          <w:color w:val="auto"/>
          <w:szCs w:val="21"/>
          <w:highlight w:val="none"/>
        </w:rPr>
      </w:pPr>
    </w:p>
    <w:p w14:paraId="6E5A7D37">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4A70C62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3BBA3E22">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附4-3 财务状况报告</w:t>
      </w:r>
    </w:p>
    <w:p w14:paraId="351A0C86">
      <w:pPr>
        <w:widowControl/>
        <w:adjustRightInd w:val="0"/>
        <w:snapToGrid w:val="0"/>
        <w:spacing w:line="360" w:lineRule="auto"/>
        <w:ind w:firstLine="420" w:firstLineChars="200"/>
        <w:jc w:val="left"/>
        <w:rPr>
          <w:rFonts w:ascii="宋体" w:hAnsi="宋体" w:cs="宋体"/>
          <w:color w:val="auto"/>
          <w:szCs w:val="21"/>
          <w:highlight w:val="none"/>
        </w:rPr>
      </w:pPr>
    </w:p>
    <w:p w14:paraId="410AEFA6">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3A0ED436">
      <w:pPr>
        <w:pStyle w:val="9"/>
        <w:rPr>
          <w:color w:val="auto"/>
          <w:highlight w:val="none"/>
        </w:rPr>
      </w:pPr>
      <w:r>
        <w:rPr>
          <w:rFonts w:hint="eastAsia" w:ascii="宋体" w:hAnsi="宋体" w:cs="宋体"/>
          <w:color w:val="auto"/>
          <w:szCs w:val="21"/>
          <w:highlight w:val="none"/>
        </w:rPr>
        <w:t xml:space="preserve">    前附表如无特别指明，供应商提交财务报告中的资产负债表、现金流量表、利润表和附注，财务报表可以是响应截止日前三年的任意一个年度。新注册的公司提交银行资信证明。</w:t>
      </w:r>
    </w:p>
    <w:p w14:paraId="683D33E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506A7DD5">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附4-4 依法缴纳税收的相关证明</w:t>
      </w:r>
    </w:p>
    <w:p w14:paraId="7344C0DE">
      <w:pPr>
        <w:widowControl/>
        <w:adjustRightInd w:val="0"/>
        <w:snapToGrid w:val="0"/>
        <w:spacing w:line="360" w:lineRule="auto"/>
        <w:ind w:firstLine="420" w:firstLineChars="200"/>
        <w:jc w:val="left"/>
        <w:rPr>
          <w:rFonts w:ascii="宋体" w:hAnsi="宋体" w:cs="宋体"/>
          <w:color w:val="auto"/>
          <w:szCs w:val="21"/>
          <w:highlight w:val="none"/>
        </w:rPr>
      </w:pPr>
    </w:p>
    <w:p w14:paraId="5796AD38">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49DD447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506C06C1">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附4-5 依法缴纳社会保险费的相关证明</w:t>
      </w:r>
    </w:p>
    <w:p w14:paraId="2A80E35B">
      <w:pPr>
        <w:widowControl/>
        <w:adjustRightInd w:val="0"/>
        <w:snapToGrid w:val="0"/>
        <w:spacing w:line="360" w:lineRule="auto"/>
        <w:ind w:firstLine="420" w:firstLineChars="200"/>
        <w:jc w:val="left"/>
        <w:rPr>
          <w:rFonts w:ascii="宋体" w:hAnsi="宋体" w:cs="宋体"/>
          <w:color w:val="auto"/>
          <w:szCs w:val="21"/>
          <w:highlight w:val="none"/>
        </w:rPr>
      </w:pPr>
    </w:p>
    <w:p w14:paraId="663B6F73">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5DE549F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309724D3">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附4-6 具备履行合同所必需的设备和专业技术能力的证明</w:t>
      </w:r>
    </w:p>
    <w:p w14:paraId="1DE3187E">
      <w:pPr>
        <w:widowControl/>
        <w:adjustRightInd w:val="0"/>
        <w:snapToGrid w:val="0"/>
        <w:spacing w:line="360" w:lineRule="auto"/>
        <w:jc w:val="center"/>
        <w:rPr>
          <w:rFonts w:ascii="宋体" w:hAnsi="宋体" w:cs="宋体"/>
          <w:color w:val="auto"/>
          <w:szCs w:val="21"/>
          <w:highlight w:val="none"/>
        </w:rPr>
      </w:pPr>
    </w:p>
    <w:p w14:paraId="016CD712">
      <w:pPr>
        <w:widowControl/>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根据磋商文件采购需求或是打分表要求自拟格式提交。</w:t>
      </w:r>
      <w:r>
        <w:rPr>
          <w:rFonts w:hint="eastAsia" w:ascii="宋体" w:hAnsi="宋体" w:cs="宋体"/>
          <w:color w:val="auto"/>
          <w:szCs w:val="21"/>
          <w:highlight w:val="none"/>
        </w:rPr>
        <w:br w:type="page"/>
      </w:r>
    </w:p>
    <w:p w14:paraId="56492E50">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附4-7 具备法律、行政法规规定的其他条件的证明材料复印件</w:t>
      </w:r>
    </w:p>
    <w:p w14:paraId="1521694E">
      <w:pPr>
        <w:widowControl/>
        <w:adjustRightInd w:val="0"/>
        <w:snapToGrid w:val="0"/>
        <w:spacing w:line="360" w:lineRule="auto"/>
        <w:ind w:firstLine="420" w:firstLineChars="200"/>
        <w:jc w:val="left"/>
        <w:rPr>
          <w:rFonts w:ascii="宋体" w:hAnsi="宋体" w:cs="宋体"/>
          <w:color w:val="auto"/>
          <w:szCs w:val="21"/>
          <w:highlight w:val="none"/>
        </w:rPr>
      </w:pPr>
    </w:p>
    <w:p w14:paraId="5A5D288F">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注：供应商根据磋商文件规定的要求提供证明</w:t>
      </w:r>
    </w:p>
    <w:p w14:paraId="2B87A0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480838A2">
      <w:pPr>
        <w:pStyle w:val="5"/>
        <w:spacing w:line="360" w:lineRule="auto"/>
        <w:rPr>
          <w:rFonts w:ascii="宋体" w:hAnsi="宋体" w:cs="宋体"/>
          <w:bCs w:val="0"/>
          <w:color w:val="auto"/>
          <w:spacing w:val="6"/>
          <w:kern w:val="0"/>
          <w:sz w:val="24"/>
          <w:szCs w:val="24"/>
          <w:highlight w:val="none"/>
        </w:rPr>
      </w:pPr>
      <w:r>
        <w:rPr>
          <w:rFonts w:hint="eastAsia" w:ascii="宋体" w:hAnsi="宋体" w:cs="宋体"/>
          <w:bCs w:val="0"/>
          <w:color w:val="auto"/>
          <w:spacing w:val="6"/>
          <w:kern w:val="0"/>
          <w:sz w:val="24"/>
          <w:szCs w:val="24"/>
          <w:highlight w:val="none"/>
        </w:rPr>
        <w:t>附4-8 提供供应商特定资格条件证明资料的复印件</w:t>
      </w:r>
    </w:p>
    <w:p w14:paraId="7245EB72">
      <w:pPr>
        <w:widowControl/>
        <w:adjustRightInd w:val="0"/>
        <w:snapToGrid w:val="0"/>
        <w:spacing w:line="360" w:lineRule="auto"/>
        <w:ind w:firstLine="420" w:firstLineChars="200"/>
        <w:jc w:val="left"/>
        <w:rPr>
          <w:rFonts w:ascii="宋体" w:hAnsi="宋体" w:cs="宋体"/>
          <w:color w:val="auto"/>
          <w:szCs w:val="21"/>
          <w:highlight w:val="none"/>
        </w:rPr>
      </w:pPr>
    </w:p>
    <w:p w14:paraId="1C376D60">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注：按磋商文件要求提供。</w:t>
      </w:r>
    </w:p>
    <w:p w14:paraId="48CA5E7D">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14:paraId="2AF7D8D0">
      <w:pPr>
        <w:pStyle w:val="4"/>
        <w:adjustRightInd w:val="0"/>
        <w:snapToGrid w:val="0"/>
        <w:spacing w:before="0" w:after="0" w:line="360" w:lineRule="auto"/>
        <w:jc w:val="center"/>
        <w:rPr>
          <w:rFonts w:ascii="宋体" w:hAnsi="宋体" w:cs="宋体"/>
          <w:color w:val="auto"/>
          <w:sz w:val="28"/>
          <w:szCs w:val="28"/>
          <w:highlight w:val="none"/>
        </w:rPr>
      </w:pPr>
      <w:bookmarkStart w:id="15" w:name="_Toc528307207"/>
      <w:r>
        <w:rPr>
          <w:rFonts w:hint="eastAsia" w:ascii="宋体" w:hAnsi="宋体" w:cs="宋体"/>
          <w:color w:val="auto"/>
          <w:sz w:val="28"/>
          <w:szCs w:val="28"/>
          <w:highlight w:val="none"/>
        </w:rPr>
        <w:t>五、响应保证金</w:t>
      </w:r>
      <w:bookmarkEnd w:id="15"/>
    </w:p>
    <w:p w14:paraId="18576857">
      <w:pPr>
        <w:adjustRightInd w:val="0"/>
        <w:snapToGrid w:val="0"/>
        <w:spacing w:line="360" w:lineRule="auto"/>
        <w:ind w:firstLine="420" w:firstLineChars="200"/>
        <w:jc w:val="left"/>
        <w:rPr>
          <w:rFonts w:ascii="宋体" w:hAnsi="宋体" w:cs="宋体"/>
          <w:color w:val="auto"/>
          <w:szCs w:val="21"/>
          <w:highlight w:val="none"/>
        </w:rPr>
      </w:pPr>
    </w:p>
    <w:p w14:paraId="0A47D3E9">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备注：提供供应商基本账户（开户许可证）相关证明。</w:t>
      </w:r>
    </w:p>
    <w:p w14:paraId="15DF1BCF">
      <w:pPr>
        <w:adjustRightInd w:val="0"/>
        <w:snapToGrid w:val="0"/>
        <w:spacing w:line="360" w:lineRule="auto"/>
        <w:jc w:val="left"/>
        <w:rPr>
          <w:rFonts w:ascii="宋体" w:hAnsi="宋体" w:cs="宋体"/>
          <w:color w:val="auto"/>
          <w:szCs w:val="21"/>
          <w:highlight w:val="none"/>
        </w:rPr>
      </w:pPr>
    </w:p>
    <w:p w14:paraId="4EFCFC0D">
      <w:pPr>
        <w:spacing w:line="360" w:lineRule="auto"/>
        <w:rPr>
          <w:rFonts w:ascii="宋体" w:hAnsi="宋体" w:cs="宋体"/>
          <w:strike/>
          <w:color w:val="auto"/>
          <w:highlight w:val="none"/>
        </w:rPr>
      </w:pPr>
    </w:p>
    <w:p w14:paraId="7A73F771">
      <w:pPr>
        <w:adjustRightInd w:val="0"/>
        <w:snapToGrid w:val="0"/>
        <w:spacing w:line="360" w:lineRule="auto"/>
        <w:ind w:firstLine="420" w:firstLineChars="200"/>
        <w:jc w:val="left"/>
        <w:rPr>
          <w:rFonts w:ascii="宋体" w:hAnsi="宋体" w:cs="宋体"/>
          <w:strike/>
          <w:color w:val="auto"/>
          <w:highlight w:val="none"/>
        </w:rPr>
      </w:pPr>
    </w:p>
    <w:p w14:paraId="7CDD797E">
      <w:pPr>
        <w:autoSpaceDE w:val="0"/>
        <w:autoSpaceDN w:val="0"/>
        <w:adjustRightInd w:val="0"/>
        <w:snapToGrid w:val="0"/>
        <w:spacing w:before="120" w:beforeLines="50" w:after="120" w:afterLines="50" w:line="360" w:lineRule="auto"/>
        <w:ind w:right="23" w:rightChars="11"/>
        <w:rPr>
          <w:rFonts w:ascii="黑体" w:eastAsia="黑体"/>
          <w:b/>
          <w:bCs/>
          <w:color w:val="auto"/>
          <w:sz w:val="32"/>
          <w:szCs w:val="32"/>
          <w:highlight w:val="none"/>
        </w:rPr>
      </w:pPr>
    </w:p>
    <w:p w14:paraId="68823235">
      <w:pPr>
        <w:rPr>
          <w:color w:val="auto"/>
          <w:highlight w:val="none"/>
        </w:rPr>
      </w:pPr>
    </w:p>
    <w:sectPr>
      <w:pgSz w:w="11906" w:h="16838"/>
      <w:pgMar w:top="1587" w:right="1474" w:bottom="1474" w:left="1587" w:header="851"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7786E3-CC82-4A7F-A96A-CC3E8E3D15CE}"/>
  </w:font>
  <w:font w:name="黑体">
    <w:panose1 w:val="02010609060101010101"/>
    <w:charset w:val="86"/>
    <w:family w:val="auto"/>
    <w:pitch w:val="default"/>
    <w:sig w:usb0="800002BF" w:usb1="38CF7CFA" w:usb2="00000016" w:usb3="00000000" w:csb0="00040001" w:csb1="00000000"/>
    <w:embedRegular r:id="rId2" w:fontKey="{6989A279-31E6-4B2A-8551-30FAF229C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3" w:fontKey="{AEA71CB2-6070-4B3B-98B3-88BEBEBBC682}"/>
  </w:font>
  <w:font w:name="微软雅黑">
    <w:panose1 w:val="020B0503020204020204"/>
    <w:charset w:val="86"/>
    <w:family w:val="swiss"/>
    <w:pitch w:val="default"/>
    <w:sig w:usb0="80000287" w:usb1="2ACF3C50" w:usb2="00000016" w:usb3="00000000" w:csb0="0004001F" w:csb1="00000000"/>
    <w:embedRegular r:id="rId4" w:fontKey="{FC17BEA5-5CA2-4AAD-8986-70A0EBE009BF}"/>
  </w:font>
  <w:font w:name="Segoe UI">
    <w:panose1 w:val="020B0502040204020203"/>
    <w:charset w:val="00"/>
    <w:family w:val="auto"/>
    <w:pitch w:val="default"/>
    <w:sig w:usb0="E4002EFF" w:usb1="C000E47F" w:usb2="00000009" w:usb3="00000000" w:csb0="200001FF" w:csb1="00000000"/>
    <w:embedRegular r:id="rId5" w:fontKey="{57452D1F-F138-44BD-9B08-326C19D8C328}"/>
  </w:font>
  <w:font w:name="华文中宋">
    <w:panose1 w:val="02010600040101010101"/>
    <w:charset w:val="86"/>
    <w:family w:val="auto"/>
    <w:pitch w:val="default"/>
    <w:sig w:usb0="00000287" w:usb1="080F0000" w:usb2="00000000" w:usb3="00000000" w:csb0="0004009F" w:csb1="DFD70000"/>
    <w:embedRegular r:id="rId6" w:fontKey="{56CDE14A-FD1B-473F-93F8-6ACF5F557E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9C86">
    <w:pPr>
      <w:pStyle w:val="15"/>
      <w:jc w:val="center"/>
    </w:pPr>
  </w:p>
  <w:p w14:paraId="775986ED">
    <w:pPr>
      <w:pStyle w:val="15"/>
      <w:ind w:right="360"/>
      <w:jc w:val="right"/>
    </w:pPr>
    <w:r>
      <mc:AlternateContent>
        <mc:Choice Requires="wps">
          <w:drawing>
            <wp:anchor distT="0" distB="0" distL="0" distR="0" simplePos="0" relativeHeight="251659264" behindDoc="0" locked="0" layoutInCell="1" allowOverlap="1">
              <wp:simplePos x="0" y="0"/>
              <wp:positionH relativeFrom="margin">
                <wp:posOffset>2598420</wp:posOffset>
              </wp:positionH>
              <wp:positionV relativeFrom="paragraph">
                <wp:posOffset>12700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9C3312">
                          <w:pPr>
                            <w:pStyle w:val="15"/>
                            <w:rPr>
                              <w:rStyle w:val="26"/>
                            </w:rPr>
                          </w:pPr>
                          <w:r>
                            <w:rPr>
                              <w:rStyle w:val="26"/>
                              <w:rFonts w:hint="eastAsia"/>
                            </w:rPr>
                            <w:t xml:space="preserve">第 </w:t>
                          </w:r>
                          <w:r>
                            <w:rPr>
                              <w:rFonts w:hint="eastAsia"/>
                            </w:rPr>
                            <w:fldChar w:fldCharType="begin"/>
                          </w:r>
                          <w:r>
                            <w:rPr>
                              <w:rStyle w:val="26"/>
                              <w:rFonts w:hint="eastAsia"/>
                            </w:rPr>
                            <w:instrText xml:space="preserve"> PAGE  \* MERGEFORMAT </w:instrText>
                          </w:r>
                          <w:r>
                            <w:rPr>
                              <w:rFonts w:hint="eastAsia"/>
                            </w:rPr>
                            <w:fldChar w:fldCharType="separate"/>
                          </w:r>
                          <w:r>
                            <w:rPr>
                              <w:rStyle w:val="26"/>
                            </w:rPr>
                            <w:t>11</w:t>
                          </w:r>
                          <w:r>
                            <w:rPr>
                              <w:rFonts w:hint="eastAsia"/>
                            </w:rPr>
                            <w:fldChar w:fldCharType="end"/>
                          </w:r>
                          <w:r>
                            <w:rPr>
                              <w:rStyle w:val="26"/>
                              <w:rFonts w:hint="eastAsia"/>
                            </w:rPr>
                            <w:t xml:space="preserve"> 页</w:t>
                          </w:r>
                        </w:p>
                      </w:txbxContent>
                    </wps:txbx>
                    <wps:bodyPr wrap="none" lIns="0" tIns="0" rIns="0" bIns="0">
                      <a:spAutoFit/>
                    </wps:bodyPr>
                  </wps:wsp>
                </a:graphicData>
              </a:graphic>
            </wp:anchor>
          </w:drawing>
        </mc:Choice>
        <mc:Fallback>
          <w:pict>
            <v:rect id="文本框 1" o:spid="_x0000_s1026" o:spt="1" style="position:absolute;left:0pt;margin-left:204.6pt;margin-top:1pt;height:144pt;width:144pt;mso-position-horizontal-relative:margin;mso-wrap-style:none;z-index:251659264;mso-width-relative:page;mso-height-relative:page;" filled="f" stroked="f" coordsize="21600,21600" o:gfxdata="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g2OTdQAAAAJAQAADwAAAAAAAAABACAAAAAiAAAAZHJzL2Rvd25yZXYueG1sUEsBAhQA&#10;FAAAAAgAh07iQNf/PgG9AQAAewMAAA4AAAAAAAAAAQAgAAAAIwEAAGRycy9lMm9Eb2MueG1sUEsF&#10;BgAAAAAGAAYAWQEAAFIFAAAAAA==&#10;">
              <v:fill on="f" focussize="0,0"/>
              <v:stroke on="f"/>
              <v:imagedata o:title=""/>
              <o:lock v:ext="edit" aspectratio="f"/>
              <v:textbox inset="0mm,0mm,0mm,0mm" style="mso-fit-shape-to-text:t;">
                <w:txbxContent>
                  <w:p w14:paraId="259C3312">
                    <w:pPr>
                      <w:pStyle w:val="15"/>
                      <w:rPr>
                        <w:rStyle w:val="26"/>
                      </w:rPr>
                    </w:pPr>
                    <w:r>
                      <w:rPr>
                        <w:rStyle w:val="26"/>
                        <w:rFonts w:hint="eastAsia"/>
                      </w:rPr>
                      <w:t xml:space="preserve">第 </w:t>
                    </w:r>
                    <w:r>
                      <w:rPr>
                        <w:rFonts w:hint="eastAsia"/>
                      </w:rPr>
                      <w:fldChar w:fldCharType="begin"/>
                    </w:r>
                    <w:r>
                      <w:rPr>
                        <w:rStyle w:val="26"/>
                        <w:rFonts w:hint="eastAsia"/>
                      </w:rPr>
                      <w:instrText xml:space="preserve"> PAGE  \* MERGEFORMAT </w:instrText>
                    </w:r>
                    <w:r>
                      <w:rPr>
                        <w:rFonts w:hint="eastAsia"/>
                      </w:rPr>
                      <w:fldChar w:fldCharType="separate"/>
                    </w:r>
                    <w:r>
                      <w:rPr>
                        <w:rStyle w:val="26"/>
                      </w:rPr>
                      <w:t>11</w:t>
                    </w:r>
                    <w:r>
                      <w:rPr>
                        <w:rFonts w:hint="eastAsia"/>
                      </w:rPr>
                      <w:fldChar w:fldCharType="end"/>
                    </w:r>
                    <w:r>
                      <w:rPr>
                        <w:rStyle w:val="26"/>
                        <w:rFonts w:hint="eastAsia"/>
                      </w:rPr>
                      <w:t xml:space="preserve"> 页</w:t>
                    </w:r>
                  </w:p>
                </w:txbxContent>
              </v:textbox>
            </v:rect>
          </w:pict>
        </mc:Fallback>
      </mc:AlternateContent>
    </w:r>
    <w:r>
      <w:rPr>
        <w:rFonts w:hint="eastAsia"/>
      </w:rPr>
      <w:t>湖南军融创项目管理有限公司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7417">
    <w:pPr>
      <w:pStyle w:val="15"/>
      <w:tabs>
        <w:tab w:val="left" w:pos="6761"/>
      </w:tabs>
      <w:jc w:val="right"/>
      <w:rPr>
        <w:rFonts w:ascii="宋体" w:hAnsi="宋体" w:cs="宋体"/>
      </w:rPr>
    </w:pPr>
    <w:r>
      <w:rPr>
        <w:rFonts w:ascii="宋体" w:hAnsi="宋体" w:cs="宋体"/>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80522A">
                          <w:pPr>
                            <w:pStyle w:val="15"/>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w:t>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RkGu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CL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XEZBrvAEAAHsDAAAOAAAAAAAAAAEAIAAAAB8BAABkcnMvZTJvRG9jLnhtbFBLBQYAAAAA&#10;BgAGAFkBAABNBQAAAAA=&#10;">
              <v:fill on="f" focussize="0,0"/>
              <v:stroke on="f"/>
              <v:imagedata o:title=""/>
              <o:lock v:ext="edit" aspectratio="f"/>
              <v:textbox inset="0mm,0mm,0mm,0mm" style="mso-fit-shape-to-text:t;">
                <w:txbxContent>
                  <w:p w14:paraId="1080522A">
                    <w:pPr>
                      <w:pStyle w:val="15"/>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w:t>
                    </w:r>
                  </w:p>
                </w:txbxContent>
              </v:textbox>
            </v:rect>
          </w:pict>
        </mc:Fallback>
      </mc:AlternateContent>
    </w:r>
    <w:r>
      <w:rPr>
        <w:rFonts w:hint="eastAsia" w:ascii="宋体" w:hAnsi="宋体" w:cs="宋体"/>
      </w:rPr>
      <w:t>湖南军融创项目管理有限公司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545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4"/>
      <w:numFmt w:val="chineseCounting"/>
      <w:suff w:val="space"/>
      <w:lvlText w:val="第%1章"/>
      <w:lvlJc w:val="left"/>
      <w:rPr>
        <w:rFonts w:hint="eastAsia"/>
      </w:r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8"/>
    <w:multiLevelType w:val="singleLevel"/>
    <w:tmpl w:val="00000008"/>
    <w:lvl w:ilvl="0" w:tentative="0">
      <w:start w:val="1"/>
      <w:numFmt w:val="chineseCounting"/>
      <w:suff w:val="nothing"/>
      <w:lvlText w:val="%1、"/>
      <w:lvlJc w:val="left"/>
      <w:pPr>
        <w:ind w:left="0" w:firstLine="420"/>
      </w:pPr>
      <w:rPr>
        <w:rFonts w:hint="eastAsia"/>
      </w:rPr>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0000000A"/>
    <w:multiLevelType w:val="singleLevel"/>
    <w:tmpl w:val="0000000A"/>
    <w:lvl w:ilvl="0" w:tentative="0">
      <w:start w:val="1"/>
      <w:numFmt w:val="decimal"/>
      <w:suff w:val="nothing"/>
      <w:lvlText w:val="（%1）"/>
      <w:lvlJc w:val="left"/>
    </w:lvl>
  </w:abstractNum>
  <w:abstractNum w:abstractNumId="10">
    <w:nsid w:val="0000000B"/>
    <w:multiLevelType w:val="singleLevel"/>
    <w:tmpl w:val="0000000B"/>
    <w:lvl w:ilvl="0" w:tentative="0">
      <w:start w:val="1"/>
      <w:numFmt w:val="chineseCounting"/>
      <w:suff w:val="nothing"/>
      <w:lvlText w:val="%1、"/>
      <w:lvlJc w:val="left"/>
      <w:rPr>
        <w:rFonts w:hint="eastAsia"/>
      </w:rPr>
    </w:lvl>
  </w:abstractNum>
  <w:abstractNum w:abstractNumId="11">
    <w:nsid w:val="0000000C"/>
    <w:multiLevelType w:val="singleLevel"/>
    <w:tmpl w:val="0000000C"/>
    <w:lvl w:ilvl="0" w:tentative="0">
      <w:start w:val="1"/>
      <w:numFmt w:val="decimal"/>
      <w:suff w:val="nothing"/>
      <w:lvlText w:val="（%1）"/>
      <w:lvlJc w:val="left"/>
    </w:lvl>
  </w:abstractNum>
  <w:abstractNum w:abstractNumId="12">
    <w:nsid w:val="0000000D"/>
    <w:multiLevelType w:val="singleLevel"/>
    <w:tmpl w:val="0000000D"/>
    <w:lvl w:ilvl="0" w:tentative="0">
      <w:start w:val="1"/>
      <w:numFmt w:val="decimal"/>
      <w:lvlText w:val="%1."/>
      <w:lvlJc w:val="left"/>
      <w:pPr>
        <w:ind w:left="425" w:hanging="425"/>
      </w:pPr>
      <w:rPr>
        <w:rFonts w:hint="default"/>
      </w:rPr>
    </w:lvl>
  </w:abstractNum>
  <w:abstractNum w:abstractNumId="13">
    <w:nsid w:val="0000000E"/>
    <w:multiLevelType w:val="singleLevel"/>
    <w:tmpl w:val="0000000E"/>
    <w:lvl w:ilvl="0" w:tentative="0">
      <w:start w:val="2"/>
      <w:numFmt w:val="chineseCounting"/>
      <w:suff w:val="nothing"/>
      <w:lvlText w:val="（%1）"/>
      <w:lvlJc w:val="left"/>
      <w:rPr>
        <w:rFonts w:hint="eastAsia"/>
      </w:rPr>
    </w:lvl>
  </w:abstractNum>
  <w:abstractNum w:abstractNumId="14">
    <w:nsid w:val="0000000F"/>
    <w:multiLevelType w:val="singleLevel"/>
    <w:tmpl w:val="0000000F"/>
    <w:lvl w:ilvl="0" w:tentative="0">
      <w:start w:val="1"/>
      <w:numFmt w:val="decimal"/>
      <w:lvlText w:val="%1."/>
      <w:lvlJc w:val="left"/>
      <w:pPr>
        <w:ind w:left="425" w:hanging="425"/>
      </w:pPr>
      <w:rPr>
        <w:rFonts w:hint="default"/>
      </w:rPr>
    </w:lvl>
  </w:abstractNum>
  <w:abstractNum w:abstractNumId="15">
    <w:nsid w:val="40D9E8D1"/>
    <w:multiLevelType w:val="singleLevel"/>
    <w:tmpl w:val="40D9E8D1"/>
    <w:lvl w:ilvl="0" w:tentative="0">
      <w:start w:val="1"/>
      <w:numFmt w:val="decimal"/>
      <w:suff w:val="nothing"/>
      <w:lvlText w:val="（%1）"/>
      <w:lvlJc w:val="left"/>
    </w:lvl>
  </w:abstractNum>
  <w:num w:numId="1">
    <w:abstractNumId w:val="3"/>
  </w:num>
  <w:num w:numId="2">
    <w:abstractNumId w:val="13"/>
  </w:num>
  <w:num w:numId="3">
    <w:abstractNumId w:val="11"/>
  </w:num>
  <w:num w:numId="4">
    <w:abstractNumId w:val="6"/>
  </w:num>
  <w:num w:numId="5">
    <w:abstractNumId w:val="2"/>
  </w:num>
  <w:num w:numId="6">
    <w:abstractNumId w:val="10"/>
  </w:num>
  <w:num w:numId="7">
    <w:abstractNumId w:val="4"/>
  </w:num>
  <w:num w:numId="8">
    <w:abstractNumId w:val="5"/>
  </w:num>
  <w:num w:numId="9">
    <w:abstractNumId w:val="0"/>
  </w:num>
  <w:num w:numId="10">
    <w:abstractNumId w:val="1"/>
  </w:num>
  <w:num w:numId="11">
    <w:abstractNumId w:val="14"/>
  </w:num>
  <w:num w:numId="12">
    <w:abstractNumId w:val="12"/>
  </w:num>
  <w:num w:numId="13">
    <w:abstractNumId w:val="8"/>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24825BF"/>
    <w:rsid w:val="03230F34"/>
    <w:rsid w:val="08D5372F"/>
    <w:rsid w:val="0E370B89"/>
    <w:rsid w:val="0F4B3D2D"/>
    <w:rsid w:val="135400EC"/>
    <w:rsid w:val="13C43E9F"/>
    <w:rsid w:val="16E01E9E"/>
    <w:rsid w:val="1A0C4C78"/>
    <w:rsid w:val="1A404D20"/>
    <w:rsid w:val="1B0302E1"/>
    <w:rsid w:val="1BBC6900"/>
    <w:rsid w:val="1CBF11D3"/>
    <w:rsid w:val="1CF5683A"/>
    <w:rsid w:val="228B1BE3"/>
    <w:rsid w:val="23AC105A"/>
    <w:rsid w:val="23B153B3"/>
    <w:rsid w:val="269D5FE9"/>
    <w:rsid w:val="26C24712"/>
    <w:rsid w:val="27AC19CF"/>
    <w:rsid w:val="27CF3DDC"/>
    <w:rsid w:val="2979093D"/>
    <w:rsid w:val="2C401128"/>
    <w:rsid w:val="2C860779"/>
    <w:rsid w:val="2D421931"/>
    <w:rsid w:val="2F9F1AAF"/>
    <w:rsid w:val="32561C5A"/>
    <w:rsid w:val="37E1109A"/>
    <w:rsid w:val="39BF0982"/>
    <w:rsid w:val="3ED557E0"/>
    <w:rsid w:val="4049239C"/>
    <w:rsid w:val="41784C94"/>
    <w:rsid w:val="418D024C"/>
    <w:rsid w:val="43827000"/>
    <w:rsid w:val="4453554D"/>
    <w:rsid w:val="44831805"/>
    <w:rsid w:val="45B43DB5"/>
    <w:rsid w:val="4AE5552C"/>
    <w:rsid w:val="4CB021F8"/>
    <w:rsid w:val="50C54111"/>
    <w:rsid w:val="51A567CF"/>
    <w:rsid w:val="545E74B2"/>
    <w:rsid w:val="5D487342"/>
    <w:rsid w:val="5ED46F88"/>
    <w:rsid w:val="5EDE186E"/>
    <w:rsid w:val="5F3929E2"/>
    <w:rsid w:val="60B8000D"/>
    <w:rsid w:val="64FB68CB"/>
    <w:rsid w:val="65204E5A"/>
    <w:rsid w:val="678440F9"/>
    <w:rsid w:val="67EB7809"/>
    <w:rsid w:val="6CC30793"/>
    <w:rsid w:val="71412EFE"/>
    <w:rsid w:val="71C25700"/>
    <w:rsid w:val="740867AE"/>
    <w:rsid w:val="74D8656F"/>
    <w:rsid w:val="759D2DE5"/>
    <w:rsid w:val="75BA5A92"/>
    <w:rsid w:val="77A624C5"/>
    <w:rsid w:val="7C933753"/>
    <w:rsid w:val="7E7B7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qFormat/>
    <w:uiPriority w:val="1"/>
  </w:style>
  <w:style w:type="table" w:default="1" w:styleId="22">
    <w:name w:val="Normal Table"/>
    <w:autoRedefine/>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szCs w:val="20"/>
    </w:rPr>
  </w:style>
  <w:style w:type="paragraph" w:styleId="7">
    <w:name w:val="caption"/>
    <w:basedOn w:val="1"/>
    <w:next w:val="1"/>
    <w:autoRedefine/>
    <w:qFormat/>
    <w:uiPriority w:val="35"/>
    <w:rPr>
      <w:rFonts w:ascii="Calibri Light" w:hAnsi="Calibri Light" w:eastAsia="黑体" w:cs="宋体"/>
      <w:sz w:val="20"/>
      <w:szCs w:val="20"/>
    </w:rPr>
  </w:style>
  <w:style w:type="paragraph" w:styleId="8">
    <w:name w:val="annotation text"/>
    <w:basedOn w:val="1"/>
    <w:next w:val="1"/>
    <w:link w:val="45"/>
    <w:qFormat/>
    <w:uiPriority w:val="0"/>
    <w:pPr>
      <w:jc w:val="left"/>
    </w:pPr>
  </w:style>
  <w:style w:type="paragraph" w:styleId="9">
    <w:name w:val="Body Text"/>
    <w:basedOn w:val="1"/>
    <w:qFormat/>
    <w:uiPriority w:val="0"/>
    <w:pPr>
      <w:spacing w:after="120"/>
    </w:pPr>
  </w:style>
  <w:style w:type="paragraph" w:styleId="10">
    <w:name w:val="Body Text Indent"/>
    <w:basedOn w:val="1"/>
    <w:next w:val="11"/>
    <w:autoRedefine/>
    <w:qFormat/>
    <w:uiPriority w:val="0"/>
    <w:pPr>
      <w:spacing w:after="120"/>
      <w:ind w:left="420" w:leftChars="200"/>
    </w:pPr>
  </w:style>
  <w:style w:type="paragraph" w:styleId="11">
    <w:name w:val="annotation subject"/>
    <w:basedOn w:val="8"/>
    <w:next w:val="1"/>
    <w:link w:val="46"/>
    <w:qFormat/>
    <w:uiPriority w:val="0"/>
    <w:rPr>
      <w:b/>
      <w:bCs/>
    </w:r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autoRedefine/>
    <w:qFormat/>
    <w:uiPriority w:val="0"/>
    <w:rPr>
      <w:sz w:val="24"/>
      <w:szCs w:val="20"/>
    </w:rPr>
  </w:style>
  <w:style w:type="paragraph" w:styleId="14">
    <w:name w:val="Balloon Text"/>
    <w:basedOn w:val="1"/>
    <w:link w:val="33"/>
    <w:autoRedefine/>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w:basedOn w:val="9"/>
    <w:next w:val="1"/>
    <w:autoRedefine/>
    <w:qFormat/>
    <w:uiPriority w:val="0"/>
    <w:pPr>
      <w:ind w:firstLine="420" w:firstLineChars="100"/>
    </w:pPr>
  </w:style>
  <w:style w:type="paragraph" w:styleId="20">
    <w:name w:val="Body Text First Indent 2"/>
    <w:basedOn w:val="10"/>
    <w:next w:val="21"/>
    <w:qFormat/>
    <w:uiPriority w:val="99"/>
    <w:pPr>
      <w:widowControl/>
      <w:spacing w:afterLines="100" w:line="360" w:lineRule="auto"/>
      <w:ind w:left="200" w:firstLine="210" w:firstLineChars="200"/>
      <w:jc w:val="left"/>
    </w:pPr>
    <w:rPr>
      <w:kern w:val="28"/>
      <w:sz w:val="24"/>
      <w:lang w:val="zh-CN"/>
    </w:rPr>
  </w:style>
  <w:style w:type="paragraph" w:customStyle="1" w:styleId="21">
    <w:name w:val="正文1"/>
    <w:qFormat/>
    <w:uiPriority w:val="0"/>
    <w:pPr>
      <w:jc w:val="both"/>
    </w:pPr>
    <w:rPr>
      <w:rFonts w:ascii="Calibri" w:hAnsi="Calibri" w:eastAsia="宋体" w:cs="宋体"/>
      <w:kern w:val="2"/>
      <w:sz w:val="21"/>
      <w:szCs w:val="21"/>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Hyperlink"/>
    <w:basedOn w:val="24"/>
    <w:autoRedefine/>
    <w:qFormat/>
    <w:uiPriority w:val="0"/>
    <w:rPr>
      <w:color w:val="0000FF"/>
      <w:u w:val="single"/>
    </w:rPr>
  </w:style>
  <w:style w:type="character" w:styleId="28">
    <w:name w:val="annotation reference"/>
    <w:basedOn w:val="24"/>
    <w:qFormat/>
    <w:uiPriority w:val="0"/>
    <w:rPr>
      <w:sz w:val="21"/>
      <w:szCs w:val="21"/>
    </w:rPr>
  </w:style>
  <w:style w:type="paragraph" w:customStyle="1" w:styleId="29">
    <w:name w:val="Default"/>
    <w:next w:val="1"/>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列出段落1"/>
    <w:basedOn w:val="1"/>
    <w:qFormat/>
    <w:uiPriority w:val="0"/>
    <w:pPr>
      <w:spacing w:line="360" w:lineRule="auto"/>
      <w:ind w:firstLine="420" w:firstLineChars="200"/>
    </w:pPr>
    <w:rPr>
      <w:rFonts w:ascii="Calibri" w:hAnsi="Calibri"/>
      <w:sz w:val="24"/>
      <w:szCs w:val="22"/>
    </w:rPr>
  </w:style>
  <w:style w:type="paragraph" w:customStyle="1" w:styleId="3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p0"/>
    <w:basedOn w:val="1"/>
    <w:autoRedefine/>
    <w:qFormat/>
    <w:uiPriority w:val="0"/>
    <w:pPr>
      <w:widowControl/>
    </w:pPr>
    <w:rPr>
      <w:kern w:val="0"/>
      <w:szCs w:val="21"/>
    </w:rPr>
  </w:style>
  <w:style w:type="character" w:customStyle="1" w:styleId="33">
    <w:name w:val="批注框文本 字符"/>
    <w:basedOn w:val="24"/>
    <w:link w:val="14"/>
    <w:autoRedefine/>
    <w:qFormat/>
    <w:uiPriority w:val="0"/>
    <w:rPr>
      <w:kern w:val="2"/>
      <w:sz w:val="18"/>
      <w:szCs w:val="18"/>
    </w:rPr>
  </w:style>
  <w:style w:type="paragraph" w:customStyle="1" w:styleId="34">
    <w:name w:val="彩色列表 - 强调文字颜色 11"/>
    <w:basedOn w:val="1"/>
    <w:autoRedefine/>
    <w:qFormat/>
    <w:uiPriority w:val="34"/>
    <w:pPr>
      <w:ind w:firstLine="420" w:firstLineChars="200"/>
    </w:pPr>
    <w:rPr>
      <w:rFonts w:ascii="Calibri" w:hAnsi="Calibri" w:cs="宋体"/>
      <w:szCs w:val="22"/>
    </w:rPr>
  </w:style>
  <w:style w:type="paragraph" w:customStyle="1" w:styleId="35">
    <w:name w:val="_Style 1"/>
    <w:basedOn w:val="1"/>
    <w:qFormat/>
    <w:uiPriority w:val="0"/>
    <w:pPr>
      <w:ind w:firstLine="420" w:firstLineChars="200"/>
    </w:pPr>
  </w:style>
  <w:style w:type="paragraph" w:customStyle="1" w:styleId="36">
    <w:name w:val="列出段落2"/>
    <w:basedOn w:val="1"/>
    <w:qFormat/>
    <w:uiPriority w:val="99"/>
    <w:pPr>
      <w:ind w:firstLine="420" w:firstLineChars="200"/>
    </w:pPr>
  </w:style>
  <w:style w:type="character" w:customStyle="1" w:styleId="37">
    <w:name w:val="NormalCharacter"/>
    <w:autoRedefine/>
    <w:qFormat/>
    <w:uiPriority w:val="0"/>
  </w:style>
  <w:style w:type="paragraph" w:customStyle="1" w:styleId="38">
    <w:name w:val="我的正文"/>
    <w:basedOn w:val="1"/>
    <w:qFormat/>
    <w:uiPriority w:val="0"/>
    <w:rPr>
      <w:rFonts w:ascii="Calibri" w:hAnsi="Calibri" w:cs="宋体"/>
      <w:szCs w:val="22"/>
    </w:rPr>
  </w:style>
  <w:style w:type="paragraph" w:customStyle="1" w:styleId="39">
    <w:name w:val="1.1.1.1 样式"/>
    <w:basedOn w:val="5"/>
    <w:qFormat/>
    <w:uiPriority w:val="0"/>
    <w:pPr>
      <w:spacing w:line="240" w:lineRule="auto"/>
      <w:ind w:left="42" w:hanging="42" w:hangingChars="15"/>
    </w:pPr>
  </w:style>
  <w:style w:type="paragraph" w:customStyle="1" w:styleId="40">
    <w:name w:val="1济南智慧水务正文"/>
    <w:basedOn w:val="1"/>
    <w:qFormat/>
    <w:uiPriority w:val="0"/>
    <w:pPr>
      <w:widowControl/>
      <w:spacing w:line="360" w:lineRule="auto"/>
      <w:ind w:firstLine="480"/>
      <w:jc w:val="left"/>
    </w:pPr>
    <w:rPr>
      <w:rFonts w:ascii="宋体" w:hAnsi="宋体" w:cs="宋体"/>
      <w:kern w:val="0"/>
      <w:sz w:val="24"/>
      <w:szCs w:val="28"/>
    </w:rPr>
  </w:style>
  <w:style w:type="paragraph" w:customStyle="1" w:styleId="41">
    <w:name w:val="正文1（四号宋体1.5行距）"/>
    <w:basedOn w:val="1"/>
    <w:qFormat/>
    <w:uiPriority w:val="0"/>
    <w:pPr>
      <w:widowControl/>
      <w:spacing w:line="360" w:lineRule="auto"/>
      <w:ind w:right="11" w:firstLine="561"/>
      <w:jc w:val="left"/>
    </w:pPr>
    <w:rPr>
      <w:rFonts w:ascii="宋体" w:hAnsi="宋体" w:cs="仿宋"/>
      <w:kern w:val="0"/>
      <w:sz w:val="28"/>
      <w:szCs w:val="28"/>
    </w:rPr>
  </w:style>
  <w:style w:type="paragraph" w:customStyle="1" w:styleId="42">
    <w:name w:val="列表段落1"/>
    <w:basedOn w:val="1"/>
    <w:qFormat/>
    <w:uiPriority w:val="0"/>
    <w:pPr>
      <w:widowControl/>
      <w:spacing w:line="360" w:lineRule="auto"/>
      <w:ind w:firstLine="420" w:firstLineChars="200"/>
      <w:jc w:val="left"/>
    </w:pPr>
    <w:rPr>
      <w:rFonts w:ascii="宋体" w:hAnsi="宋体" w:cs="宋体"/>
      <w:kern w:val="0"/>
      <w:sz w:val="24"/>
    </w:rPr>
  </w:style>
  <w:style w:type="paragraph" w:customStyle="1" w:styleId="43">
    <w:name w:val="1-正文"/>
    <w:basedOn w:val="1"/>
    <w:autoRedefine/>
    <w:qFormat/>
    <w:uiPriority w:val="0"/>
    <w:pPr>
      <w:widowControl/>
      <w:spacing w:line="360" w:lineRule="auto"/>
      <w:ind w:firstLine="566" w:firstLineChars="202"/>
      <w:jc w:val="left"/>
    </w:pPr>
    <w:rPr>
      <w:rFonts w:ascii="Calibri" w:hAnsi="Calibri" w:cs="宋体"/>
      <w:kern w:val="0"/>
      <w:sz w:val="24"/>
      <w:szCs w:val="28"/>
    </w:rPr>
  </w:style>
  <w:style w:type="paragraph" w:customStyle="1" w:styleId="44">
    <w:name w:val="Table Paragraph"/>
    <w:basedOn w:val="1"/>
    <w:qFormat/>
    <w:uiPriority w:val="1"/>
    <w:rPr>
      <w:rFonts w:ascii="仿宋_GB2312" w:hAnsi="仿宋_GB2312" w:eastAsia="仿宋_GB2312" w:cs="仿宋_GB2312"/>
      <w:lang w:val="zh-CN" w:bidi="zh-CN"/>
    </w:rPr>
  </w:style>
  <w:style w:type="character" w:customStyle="1" w:styleId="45">
    <w:name w:val="批注文字 字符"/>
    <w:basedOn w:val="24"/>
    <w:link w:val="8"/>
    <w:qFormat/>
    <w:uiPriority w:val="0"/>
    <w:rPr>
      <w:rFonts w:ascii="Times New Roman" w:hAnsi="Times New Roman"/>
      <w:kern w:val="2"/>
      <w:sz w:val="21"/>
      <w:szCs w:val="24"/>
    </w:rPr>
  </w:style>
  <w:style w:type="character" w:customStyle="1" w:styleId="46">
    <w:name w:val="批注主题 字符"/>
    <w:basedOn w:val="45"/>
    <w:link w:val="11"/>
    <w:autoRedefine/>
    <w:qFormat/>
    <w:uiPriority w:val="0"/>
    <w:rPr>
      <w:rFonts w:ascii="Times New Roman" w:hAnsi="Times New Roman"/>
      <w:b/>
      <w:bCs/>
      <w:kern w:val="2"/>
      <w:sz w:val="21"/>
      <w:szCs w:val="24"/>
    </w:rPr>
  </w:style>
  <w:style w:type="paragraph" w:customStyle="1" w:styleId="47">
    <w:name w:val="正文格式"/>
    <w:basedOn w:val="1"/>
    <w:qFormat/>
    <w:uiPriority w:val="0"/>
    <w:pPr>
      <w:adjustRightInd w:val="0"/>
      <w:snapToGrid w:val="0"/>
      <w:spacing w:line="360" w:lineRule="auto"/>
      <w:ind w:firstLine="480" w:firstLineChars="200"/>
      <w:textAlignment w:val="baseline"/>
    </w:pPr>
    <w:rPr>
      <w:kern w:val="24"/>
      <w:sz w:val="24"/>
    </w:rPr>
  </w:style>
  <w:style w:type="paragraph" w:customStyle="1" w:styleId="48">
    <w:name w:val="列出段落3"/>
    <w:basedOn w:val="1"/>
    <w:qFormat/>
    <w:uiPriority w:val="99"/>
    <w:pPr>
      <w:ind w:firstLine="420" w:firstLineChars="200"/>
    </w:pPr>
  </w:style>
  <w:style w:type="paragraph" w:customStyle="1" w:styleId="49">
    <w:name w:val="xl28"/>
    <w:basedOn w:val="1"/>
    <w:autoRedefine/>
    <w:qFormat/>
    <w:uiPriority w:val="0"/>
    <w:pPr>
      <w:widowControl/>
      <w:spacing w:before="100" w:beforeAutospacing="1" w:after="100" w:afterAutospacing="1"/>
      <w:jc w:val="center"/>
    </w:pPr>
    <w:rPr>
      <w:rFonts w:ascii="宋体" w:hAnsi="宋体"/>
      <w:kern w:val="0"/>
      <w:sz w:val="24"/>
    </w:rPr>
  </w:style>
  <w:style w:type="character" w:customStyle="1" w:styleId="50">
    <w:name w:val="font11"/>
    <w:basedOn w:val="24"/>
    <w:autoRedefine/>
    <w:qFormat/>
    <w:uiPriority w:val="0"/>
    <w:rPr>
      <w:rFonts w:hint="eastAsia" w:ascii="宋体" w:hAnsi="宋体" w:eastAsia="宋体" w:cs="宋体"/>
      <w:color w:val="000000"/>
      <w:sz w:val="20"/>
      <w:szCs w:val="20"/>
      <w:u w:val="none"/>
    </w:rPr>
  </w:style>
  <w:style w:type="character" w:customStyle="1" w:styleId="51">
    <w:name w:val="font01"/>
    <w:basedOn w:val="24"/>
    <w:autoRedefine/>
    <w:qFormat/>
    <w:uiPriority w:val="0"/>
    <w:rPr>
      <w:rFonts w:hint="eastAsia" w:ascii="宋体" w:hAnsi="宋体" w:eastAsia="宋体" w:cs="宋体"/>
      <w:color w:val="FF0000"/>
      <w:sz w:val="22"/>
      <w:szCs w:val="22"/>
      <w:u w:val="none"/>
    </w:rPr>
  </w:style>
  <w:style w:type="paragraph" w:customStyle="1" w:styleId="52">
    <w:name w:val="Body text|1"/>
    <w:basedOn w:val="1"/>
    <w:autoRedefine/>
    <w:qFormat/>
    <w:uiPriority w:val="0"/>
    <w:pPr>
      <w:spacing w:line="401" w:lineRule="auto"/>
      <w:ind w:firstLine="400"/>
    </w:pPr>
    <w:rPr>
      <w:rFonts w:ascii="宋体" w:hAnsi="宋体" w:cs="宋体"/>
      <w:sz w:val="30"/>
      <w:szCs w:val="30"/>
      <w:lang w:val="zh-TW" w:eastAsia="zh-TW" w:bidi="zh-TW"/>
    </w:rPr>
  </w:style>
  <w:style w:type="paragraph" w:customStyle="1" w:styleId="53">
    <w:name w:val="Normal_12"/>
    <w:autoRedefine/>
    <w:qFormat/>
    <w:uiPriority w:val="0"/>
    <w:pPr>
      <w:widowControl w:val="0"/>
      <w:jc w:val="both"/>
    </w:pPr>
    <w:rPr>
      <w:rFonts w:ascii="Calibri" w:hAnsi="Calibri" w:eastAsia="宋体" w:cs="Times New Roman"/>
      <w:lang w:val="en-US" w:eastAsia="zh-CN" w:bidi="ar-SA"/>
    </w:rPr>
  </w:style>
  <w:style w:type="paragraph" w:customStyle="1" w:styleId="54">
    <w:name w:val="Normal_6"/>
    <w:autoRedefine/>
    <w:qFormat/>
    <w:uiPriority w:val="0"/>
    <w:pPr>
      <w:widowControl w:val="0"/>
      <w:jc w:val="both"/>
    </w:pPr>
    <w:rPr>
      <w:rFonts w:ascii="Calibri" w:hAnsi="Calibri" w:eastAsia="宋体" w:cs="Times New Roman"/>
      <w:lang w:val="en-US" w:eastAsia="zh-CN" w:bidi="ar-SA"/>
    </w:rPr>
  </w:style>
  <w:style w:type="paragraph" w:customStyle="1" w:styleId="55">
    <w:name w:val="正文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4146</Words>
  <Characters>4513</Characters>
  <Paragraphs>1825</Paragraphs>
  <TotalTime>18</TotalTime>
  <ScaleCrop>false</ScaleCrop>
  <LinksUpToDate>false</LinksUpToDate>
  <CharactersWithSpaces>4653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2019-08-07T15:50:00Z</dcterms:created>
  <dc:creator>循蔼</dc:creator>
  <cp:lastModifiedBy>JL</cp:lastModifiedBy>
  <cp:lastPrinted>2024-03-27T05:55:00Z</cp:lastPrinted>
  <dcterms:modified xsi:type="dcterms:W3CDTF">2026-07-03T03:36:15Z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221791837_cloud</vt:lpwstr>
  </property>
  <property fmtid="{D5CDD505-2E9C-101B-9397-08002B2CF9AE}" pid="4" name="ICV">
    <vt:lpwstr>5C65F27CEAF042E79B3B486A31329C7B_13</vt:lpwstr>
  </property>
  <property fmtid="{D5CDD505-2E9C-101B-9397-08002B2CF9AE}" pid="5" name="KSOTemplateDocerSaveRecord">
    <vt:lpwstr>eyJoZGlkIjoiYTQ5ZjcyOGFmOGQyZWMwOGVjNWJiYTRmNmUxYzllNWEiLCJ1c2VySWQiOiIzNjYwMzUxMTYifQ==</vt:lpwstr>
  </property>
</Properties>
</file>