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adjustRightInd w:val="0"/>
        <w:snapToGrid w:val="0"/>
        <w:spacing w:line="240" w:lineRule="atLeast"/>
        <w:rPr>
          <w:rFonts w:hAnsi="宋体"/>
          <w:sz w:val="44"/>
        </w:rPr>
      </w:pPr>
    </w:p>
    <w:p>
      <w:pPr>
        <w:pStyle w:val="25"/>
        <w:adjustRightInd w:val="0"/>
        <w:snapToGrid w:val="0"/>
        <w:spacing w:line="240" w:lineRule="atLeast"/>
        <w:rPr>
          <w:rFonts w:hAnsi="宋体"/>
          <w:sz w:val="44"/>
        </w:rPr>
      </w:pPr>
    </w:p>
    <w:p>
      <w:pPr>
        <w:pStyle w:val="25"/>
        <w:adjustRightInd w:val="0"/>
        <w:snapToGrid w:val="0"/>
        <w:spacing w:line="240" w:lineRule="atLeast"/>
        <w:rPr>
          <w:rFonts w:hAnsi="宋体"/>
          <w:sz w:val="44"/>
        </w:rPr>
      </w:pPr>
    </w:p>
    <w:p>
      <w:pPr>
        <w:pStyle w:val="25"/>
        <w:adjustRightInd w:val="0"/>
        <w:snapToGrid w:val="0"/>
        <w:spacing w:line="240" w:lineRule="atLeast"/>
        <w:jc w:val="center"/>
        <w:rPr>
          <w:rFonts w:ascii="华文中宋" w:hAnsi="华文中宋" w:eastAsia="华文中宋"/>
          <w:b/>
          <w:bCs/>
          <w:sz w:val="84"/>
          <w:szCs w:val="84"/>
        </w:rPr>
      </w:pPr>
      <w:bookmarkStart w:id="0" w:name="OLE_LINK18"/>
      <w:r>
        <w:rPr>
          <w:rFonts w:hint="eastAsia" w:ascii="华文中宋" w:hAnsi="华文中宋" w:eastAsia="华文中宋"/>
          <w:b/>
          <w:bCs/>
          <w:sz w:val="84"/>
          <w:szCs w:val="84"/>
        </w:rPr>
        <w:t>政府采购招标文件</w:t>
      </w:r>
    </w:p>
    <w:p>
      <w:pPr>
        <w:pStyle w:val="25"/>
        <w:adjustRightInd w:val="0"/>
        <w:snapToGrid w:val="0"/>
        <w:spacing w:line="240" w:lineRule="atLeast"/>
        <w:jc w:val="center"/>
        <w:rPr>
          <w:rFonts w:ascii="华文中宋" w:hAnsi="华文中宋" w:eastAsia="华文中宋"/>
          <w:b/>
          <w:bCs/>
          <w:sz w:val="44"/>
          <w:szCs w:val="44"/>
        </w:rPr>
      </w:pPr>
    </w:p>
    <w:p>
      <w:pPr>
        <w:pStyle w:val="25"/>
        <w:adjustRightInd w:val="0"/>
        <w:snapToGrid w:val="0"/>
        <w:spacing w:line="240" w:lineRule="atLeast"/>
        <w:rPr>
          <w:rFonts w:ascii="华文中宋" w:hAnsi="华文中宋" w:eastAsia="华文中宋"/>
          <w:b/>
          <w:bCs/>
          <w:sz w:val="21"/>
        </w:rPr>
      </w:pPr>
    </w:p>
    <w:p>
      <w:pPr>
        <w:pStyle w:val="25"/>
        <w:adjustRightInd w:val="0"/>
        <w:snapToGrid w:val="0"/>
        <w:spacing w:line="240" w:lineRule="atLeast"/>
        <w:jc w:val="center"/>
        <w:rPr>
          <w:rFonts w:ascii="华文中宋" w:hAnsi="华文中宋" w:eastAsia="华文中宋"/>
          <w:b/>
          <w:bCs/>
          <w:sz w:val="44"/>
          <w:szCs w:val="44"/>
        </w:rPr>
      </w:pPr>
    </w:p>
    <w:p>
      <w:pPr>
        <w:pStyle w:val="25"/>
        <w:adjustRightInd w:val="0"/>
        <w:snapToGrid w:val="0"/>
        <w:spacing w:line="240" w:lineRule="atLeast"/>
        <w:jc w:val="center"/>
        <w:rPr>
          <w:rFonts w:ascii="华文中宋" w:hAnsi="华文中宋" w:eastAsia="华文中宋"/>
          <w:b/>
          <w:bCs/>
          <w:sz w:val="44"/>
          <w:szCs w:val="44"/>
        </w:rPr>
      </w:pPr>
    </w:p>
    <w:p>
      <w:pPr>
        <w:pStyle w:val="25"/>
        <w:adjustRightInd w:val="0"/>
        <w:snapToGrid w:val="0"/>
        <w:spacing w:line="240" w:lineRule="atLeast"/>
        <w:jc w:val="center"/>
        <w:rPr>
          <w:rFonts w:ascii="华文中宋" w:hAnsi="华文中宋" w:eastAsia="华文中宋"/>
          <w:bCs/>
        </w:rPr>
      </w:pPr>
    </w:p>
    <w:p>
      <w:pPr>
        <w:adjustRightInd w:val="0"/>
        <w:snapToGrid w:val="0"/>
        <w:spacing w:line="360" w:lineRule="auto"/>
        <w:ind w:left="3375" w:leftChars="536" w:hanging="2249" w:hangingChars="700"/>
        <w:rPr>
          <w:rFonts w:hint="eastAsia" w:hAnsi="宋体" w:eastAsia="宋体"/>
          <w:b/>
          <w:sz w:val="32"/>
          <w:szCs w:val="32"/>
          <w:lang w:eastAsia="zh-CN"/>
        </w:rPr>
      </w:pPr>
      <w:r>
        <w:rPr>
          <w:rFonts w:hint="eastAsia" w:hAnsi="宋体"/>
          <w:b/>
          <w:sz w:val="32"/>
          <w:szCs w:val="32"/>
        </w:rPr>
        <w:t>采购项目名称：</w:t>
      </w:r>
      <w:r>
        <w:rPr>
          <w:rFonts w:hint="eastAsia" w:hAnsi="宋体"/>
          <w:b/>
          <w:sz w:val="32"/>
          <w:szCs w:val="32"/>
          <w:lang w:eastAsia="zh-CN"/>
        </w:rPr>
        <w:t>娄底监狱2026年度药品和耗材采购计划第一标段（第四次）</w:t>
      </w:r>
    </w:p>
    <w:p>
      <w:pPr>
        <w:adjustRightInd w:val="0"/>
        <w:snapToGrid w:val="0"/>
        <w:spacing w:line="360" w:lineRule="auto"/>
        <w:ind w:firstLine="1124" w:firstLineChars="350"/>
        <w:rPr>
          <w:rFonts w:hint="default" w:hAnsi="宋体"/>
          <w:b/>
          <w:sz w:val="32"/>
          <w:szCs w:val="32"/>
          <w:lang w:val="en-US"/>
        </w:rPr>
      </w:pPr>
      <w:r>
        <w:rPr>
          <w:rFonts w:hint="eastAsia" w:hAnsi="宋体"/>
          <w:b/>
          <w:sz w:val="32"/>
          <w:szCs w:val="32"/>
        </w:rPr>
        <w:t>政府采购计划编号：</w:t>
      </w:r>
      <w:bookmarkStart w:id="1" w:name="OLE_LINK11"/>
      <w:r>
        <w:rPr>
          <w:rFonts w:hint="eastAsia" w:hAnsi="宋体"/>
          <w:b/>
          <w:sz w:val="32"/>
          <w:szCs w:val="32"/>
        </w:rPr>
        <w:t>湘财采计[2026]000237</w:t>
      </w:r>
      <w:bookmarkEnd w:id="1"/>
      <w:r>
        <w:rPr>
          <w:rFonts w:hint="eastAsia" w:hAnsi="宋体"/>
          <w:b/>
          <w:sz w:val="32"/>
          <w:szCs w:val="32"/>
          <w:lang w:val="en-US" w:eastAsia="zh-CN"/>
        </w:rPr>
        <w:t xml:space="preserve"> </w:t>
      </w:r>
    </w:p>
    <w:p>
      <w:pPr>
        <w:adjustRightInd w:val="0"/>
        <w:snapToGrid w:val="0"/>
        <w:spacing w:line="360" w:lineRule="auto"/>
        <w:ind w:firstLine="1124" w:firstLineChars="350"/>
        <w:rPr>
          <w:rFonts w:hint="eastAsia" w:hAnsi="宋体"/>
          <w:b/>
          <w:sz w:val="32"/>
          <w:szCs w:val="32"/>
          <w:lang w:eastAsia="zh-CN"/>
        </w:rPr>
      </w:pPr>
      <w:r>
        <w:rPr>
          <w:rFonts w:hint="eastAsia" w:hAnsi="宋体"/>
          <w:b/>
          <w:sz w:val="32"/>
          <w:szCs w:val="32"/>
        </w:rPr>
        <w:t>委托代理编号：</w:t>
      </w:r>
      <w:r>
        <w:rPr>
          <w:rFonts w:hint="eastAsia" w:hAnsi="宋体"/>
          <w:b/>
          <w:sz w:val="32"/>
          <w:szCs w:val="32"/>
          <w:lang w:eastAsia="zh-CN"/>
        </w:rPr>
        <w:t>SNDL-2026GK0004</w:t>
      </w:r>
    </w:p>
    <w:p>
      <w:pPr>
        <w:adjustRightInd w:val="0"/>
        <w:snapToGrid w:val="0"/>
        <w:spacing w:line="360" w:lineRule="auto"/>
        <w:ind w:firstLine="1124" w:firstLineChars="350"/>
        <w:rPr>
          <w:rFonts w:hint="eastAsia" w:hAnsi="宋体"/>
          <w:b/>
          <w:sz w:val="32"/>
          <w:szCs w:val="32"/>
          <w:lang w:eastAsia="zh-CN"/>
        </w:rPr>
      </w:pPr>
      <w:r>
        <w:rPr>
          <w:rFonts w:hint="eastAsia" w:hAnsi="宋体"/>
          <w:b/>
          <w:sz w:val="32"/>
          <w:szCs w:val="32"/>
        </w:rPr>
        <w:t>采购人：</w:t>
      </w:r>
      <w:r>
        <w:rPr>
          <w:rFonts w:hint="eastAsia" w:hAnsi="宋体"/>
          <w:b/>
          <w:sz w:val="32"/>
          <w:szCs w:val="32"/>
          <w:lang w:eastAsia="zh-CN"/>
        </w:rPr>
        <w:t>湖南省娄底监狱</w:t>
      </w:r>
    </w:p>
    <w:p>
      <w:pPr>
        <w:adjustRightInd w:val="0"/>
        <w:snapToGrid w:val="0"/>
        <w:spacing w:line="360" w:lineRule="auto"/>
        <w:ind w:firstLine="1124" w:firstLineChars="350"/>
        <w:rPr>
          <w:rFonts w:hint="default" w:ascii="宋体" w:eastAsia="宋体"/>
          <w:b/>
          <w:sz w:val="32"/>
          <w:szCs w:val="21"/>
          <w:lang w:val="en-US" w:eastAsia="zh-CN"/>
        </w:rPr>
      </w:pPr>
      <w:r>
        <w:rPr>
          <w:rFonts w:hint="eastAsia" w:hAnsi="宋体"/>
          <w:b/>
          <w:sz w:val="32"/>
          <w:szCs w:val="32"/>
        </w:rPr>
        <w:t>采购代理机构：</w:t>
      </w:r>
      <w:r>
        <w:rPr>
          <w:rFonts w:hint="eastAsia" w:hAnsi="宋体"/>
          <w:b/>
          <w:sz w:val="32"/>
          <w:szCs w:val="32"/>
          <w:lang w:val="en-US" w:eastAsia="zh-CN"/>
        </w:rPr>
        <w:t>湖南森诺项目管理有限公司</w:t>
      </w:r>
    </w:p>
    <w:p>
      <w:pPr>
        <w:pStyle w:val="25"/>
        <w:adjustRightInd w:val="0"/>
        <w:snapToGrid w:val="0"/>
        <w:spacing w:line="360" w:lineRule="auto"/>
        <w:jc w:val="center"/>
        <w:rPr>
          <w:rFonts w:hAnsi="宋体"/>
          <w:bCs/>
          <w:sz w:val="32"/>
          <w:szCs w:val="32"/>
        </w:rPr>
      </w:pPr>
    </w:p>
    <w:p>
      <w:pPr>
        <w:pStyle w:val="25"/>
        <w:adjustRightInd w:val="0"/>
        <w:snapToGrid w:val="0"/>
        <w:spacing w:line="240" w:lineRule="atLeast"/>
        <w:jc w:val="center"/>
        <w:rPr>
          <w:rFonts w:hAnsi="宋体"/>
          <w:bCs/>
          <w:sz w:val="32"/>
          <w:szCs w:val="32"/>
        </w:rPr>
      </w:pPr>
    </w:p>
    <w:p>
      <w:pPr>
        <w:pStyle w:val="25"/>
        <w:adjustRightInd w:val="0"/>
        <w:snapToGrid w:val="0"/>
        <w:spacing w:line="240" w:lineRule="atLeast"/>
        <w:jc w:val="center"/>
        <w:rPr>
          <w:rFonts w:hAnsi="宋体"/>
          <w:bCs/>
          <w:sz w:val="32"/>
          <w:szCs w:val="32"/>
        </w:rPr>
      </w:pPr>
    </w:p>
    <w:p>
      <w:pPr>
        <w:pStyle w:val="25"/>
        <w:adjustRightInd w:val="0"/>
        <w:snapToGrid w:val="0"/>
        <w:jc w:val="center"/>
        <w:rPr>
          <w:rFonts w:hAnsi="宋体"/>
          <w:bCs/>
          <w:sz w:val="32"/>
          <w:szCs w:val="32"/>
        </w:rPr>
      </w:pPr>
    </w:p>
    <w:p>
      <w:pPr>
        <w:pStyle w:val="25"/>
        <w:adjustRightInd w:val="0"/>
        <w:snapToGrid w:val="0"/>
        <w:jc w:val="center"/>
        <w:rPr>
          <w:rFonts w:hAnsi="宋体"/>
          <w:bCs/>
          <w:sz w:val="21"/>
        </w:rPr>
      </w:pPr>
    </w:p>
    <w:p>
      <w:pPr>
        <w:pStyle w:val="25"/>
        <w:adjustRightInd w:val="0"/>
        <w:snapToGrid w:val="0"/>
        <w:jc w:val="center"/>
        <w:rPr>
          <w:rFonts w:hAnsi="宋体"/>
          <w:bCs/>
          <w:sz w:val="21"/>
        </w:rPr>
      </w:pPr>
    </w:p>
    <w:p>
      <w:pPr>
        <w:pStyle w:val="25"/>
        <w:adjustRightInd w:val="0"/>
        <w:snapToGrid w:val="0"/>
        <w:spacing w:line="240" w:lineRule="atLeast"/>
        <w:jc w:val="center"/>
        <w:rPr>
          <w:rFonts w:hAnsi="宋体"/>
          <w:b/>
          <w:bCs/>
          <w:sz w:val="32"/>
          <w:szCs w:val="32"/>
        </w:rPr>
        <w:sectPr>
          <w:headerReference r:id="rId3" w:type="default"/>
          <w:footerReference r:id="rId4" w:type="default"/>
          <w:pgSz w:w="11906" w:h="16838"/>
          <w:pgMar w:top="1440" w:right="1588" w:bottom="1440" w:left="1588" w:header="851" w:footer="992" w:gutter="0"/>
          <w:cols w:space="720" w:num="1"/>
          <w:docGrid w:type="lines" w:linePitch="312" w:charSpace="0"/>
        </w:sectPr>
      </w:pPr>
      <w:r>
        <w:rPr>
          <w:rFonts w:hint="eastAsia" w:hAnsi="宋体"/>
          <w:b/>
          <w:sz w:val="32"/>
        </w:rPr>
        <w:t xml:space="preserve"> </w:t>
      </w:r>
      <w:r>
        <w:rPr>
          <w:rFonts w:hint="eastAsia" w:hAnsi="宋体"/>
          <w:b/>
          <w:sz w:val="32"/>
          <w:lang w:eastAsia="zh-CN"/>
        </w:rPr>
        <w:t>202</w:t>
      </w:r>
      <w:r>
        <w:rPr>
          <w:rFonts w:hint="eastAsia" w:hAnsi="宋体"/>
          <w:b/>
          <w:sz w:val="32"/>
          <w:lang w:val="en-US" w:eastAsia="zh-CN"/>
        </w:rPr>
        <w:t>6</w:t>
      </w:r>
      <w:r>
        <w:rPr>
          <w:rFonts w:hint="eastAsia" w:hAnsi="宋体"/>
          <w:b/>
          <w:sz w:val="32"/>
        </w:rPr>
        <w:t>年</w:t>
      </w:r>
      <w:r>
        <w:rPr>
          <w:rFonts w:hint="eastAsia" w:hAnsi="宋体"/>
          <w:b/>
          <w:sz w:val="32"/>
          <w:lang w:val="en-US" w:eastAsia="zh-CN"/>
        </w:rPr>
        <w:t>7</w:t>
      </w:r>
      <w:r>
        <w:rPr>
          <w:rFonts w:hint="eastAsia" w:hAnsi="宋体"/>
          <w:b/>
          <w:sz w:val="32"/>
        </w:rPr>
        <w:t>月</w:t>
      </w:r>
    </w:p>
    <w:bookmarkEnd w:id="0"/>
    <w:p>
      <w:pPr>
        <w:pStyle w:val="25"/>
        <w:adjustRightInd w:val="0"/>
        <w:snapToGrid w:val="0"/>
        <w:spacing w:line="360" w:lineRule="auto"/>
        <w:rPr>
          <w:rFonts w:ascii="华文中宋" w:hAnsi="华文中宋" w:eastAsia="华文中宋"/>
          <w:b/>
          <w:spacing w:val="160"/>
          <w:sz w:val="36"/>
          <w:szCs w:val="36"/>
        </w:rPr>
        <w:sectPr>
          <w:headerReference r:id="rId7" w:type="first"/>
          <w:headerReference r:id="rId5" w:type="default"/>
          <w:footerReference r:id="rId8" w:type="default"/>
          <w:headerReference r:id="rId6" w:type="even"/>
          <w:pgSz w:w="11906" w:h="16838"/>
          <w:pgMar w:top="1474" w:right="1474" w:bottom="1474" w:left="1588" w:header="851" w:footer="992" w:gutter="0"/>
          <w:pgNumType w:start="1"/>
          <w:cols w:space="720" w:num="1"/>
          <w:docGrid w:type="lines" w:linePitch="312" w:charSpace="0"/>
        </w:sectPr>
      </w:pPr>
    </w:p>
    <w:p>
      <w:pPr>
        <w:pStyle w:val="25"/>
        <w:adjustRightInd w:val="0"/>
        <w:snapToGrid w:val="0"/>
        <w:spacing w:line="360" w:lineRule="auto"/>
        <w:jc w:val="center"/>
        <w:rPr>
          <w:rFonts w:ascii="华文中宋" w:hAnsi="华文中宋" w:eastAsia="华文中宋"/>
          <w:b/>
          <w:spacing w:val="160"/>
          <w:sz w:val="36"/>
          <w:szCs w:val="36"/>
        </w:rPr>
      </w:pPr>
      <w:r>
        <w:rPr>
          <w:rFonts w:hint="eastAsia" w:ascii="华文中宋" w:hAnsi="华文中宋" w:eastAsia="华文中宋"/>
          <w:b/>
          <w:spacing w:val="160"/>
          <w:sz w:val="36"/>
          <w:szCs w:val="36"/>
        </w:rPr>
        <w:t>目录</w:t>
      </w:r>
    </w:p>
    <w:p>
      <w:pPr>
        <w:pStyle w:val="33"/>
        <w:tabs>
          <w:tab w:val="right" w:leader="dot" w:pos="8844"/>
        </w:tabs>
      </w:pPr>
      <w:r>
        <w:fldChar w:fldCharType="begin"/>
      </w:r>
      <w:r>
        <w:instrText xml:space="preserve">TOC \o "1-3" \h \u </w:instrText>
      </w:r>
      <w:r>
        <w:fldChar w:fldCharType="separate"/>
      </w:r>
      <w:r>
        <w:fldChar w:fldCharType="begin"/>
      </w:r>
      <w:r>
        <w:instrText xml:space="preserve"> HYPERLINK \l "_Toc16443" </w:instrText>
      </w:r>
      <w:r>
        <w:fldChar w:fldCharType="separate"/>
      </w:r>
      <w:r>
        <w:rPr>
          <w:rFonts w:ascii="黑体" w:hAnsi="华文中宋" w:eastAsia="黑体"/>
          <w:szCs w:val="32"/>
        </w:rPr>
        <w:t xml:space="preserve">第一章 </w:t>
      </w:r>
      <w:r>
        <w:rPr>
          <w:rFonts w:hint="eastAsia" w:ascii="黑体" w:hAnsi="华文中宋" w:eastAsia="黑体"/>
          <w:szCs w:val="32"/>
        </w:rPr>
        <w:t>投标邀请</w:t>
      </w:r>
      <w:r>
        <w:tab/>
      </w:r>
      <w:r>
        <w:rPr>
          <w:rFonts w:hint="eastAsia"/>
          <w:lang w:val="en-US" w:eastAsia="zh-CN"/>
        </w:rPr>
        <w:t>4</w:t>
      </w:r>
      <w:r>
        <w:fldChar w:fldCharType="end"/>
      </w:r>
    </w:p>
    <w:p>
      <w:pPr>
        <w:pStyle w:val="33"/>
        <w:tabs>
          <w:tab w:val="right" w:leader="dot" w:pos="8844"/>
        </w:tabs>
      </w:pPr>
      <w:r>
        <w:fldChar w:fldCharType="begin"/>
      </w:r>
      <w:r>
        <w:instrText xml:space="preserve"> HYPERLINK \l "_Toc26169" </w:instrText>
      </w:r>
      <w:r>
        <w:fldChar w:fldCharType="separate"/>
      </w:r>
      <w:r>
        <w:rPr>
          <w:rFonts w:hint="eastAsia" w:ascii="黑体" w:hAnsi="华文中宋" w:eastAsia="黑体"/>
          <w:szCs w:val="32"/>
        </w:rPr>
        <w:t>第二章 投标须知</w:t>
      </w:r>
      <w:r>
        <w:tab/>
      </w:r>
      <w:r>
        <w:fldChar w:fldCharType="begin"/>
      </w:r>
      <w:r>
        <w:instrText xml:space="preserve"> PAGEREF _Toc26169 \h </w:instrText>
      </w:r>
      <w:r>
        <w:fldChar w:fldCharType="separate"/>
      </w:r>
      <w:r>
        <w:t>8</w:t>
      </w:r>
      <w:r>
        <w:fldChar w:fldCharType="end"/>
      </w:r>
      <w:r>
        <w:fldChar w:fldCharType="end"/>
      </w:r>
    </w:p>
    <w:p>
      <w:pPr>
        <w:pStyle w:val="38"/>
        <w:tabs>
          <w:tab w:val="right" w:leader="dot" w:pos="8844"/>
        </w:tabs>
        <w:ind w:left="420"/>
      </w:pPr>
      <w:r>
        <w:fldChar w:fldCharType="begin"/>
      </w:r>
      <w:r>
        <w:instrText xml:space="preserve"> HYPERLINK \l "_Toc24719" </w:instrText>
      </w:r>
      <w:r>
        <w:fldChar w:fldCharType="separate"/>
      </w:r>
      <w:r>
        <w:rPr>
          <w:rFonts w:hint="eastAsia" w:ascii="黑体" w:hAnsi="华文中宋" w:eastAsia="黑体"/>
          <w:szCs w:val="28"/>
        </w:rPr>
        <w:t>第一节  投标须知前附表</w:t>
      </w:r>
      <w:r>
        <w:tab/>
      </w:r>
      <w:r>
        <w:fldChar w:fldCharType="begin"/>
      </w:r>
      <w:r>
        <w:instrText xml:space="preserve"> PAGEREF _Toc24719 \h </w:instrText>
      </w:r>
      <w:r>
        <w:fldChar w:fldCharType="separate"/>
      </w:r>
      <w:r>
        <w:t>8</w:t>
      </w:r>
      <w:r>
        <w:fldChar w:fldCharType="end"/>
      </w:r>
      <w:r>
        <w:fldChar w:fldCharType="end"/>
      </w:r>
    </w:p>
    <w:p>
      <w:pPr>
        <w:pStyle w:val="38"/>
        <w:tabs>
          <w:tab w:val="right" w:leader="dot" w:pos="8844"/>
        </w:tabs>
        <w:ind w:left="420"/>
      </w:pPr>
      <w:r>
        <w:fldChar w:fldCharType="begin"/>
      </w:r>
      <w:r>
        <w:instrText xml:space="preserve"> HYPERLINK \l "_Toc13073" </w:instrText>
      </w:r>
      <w:r>
        <w:fldChar w:fldCharType="separate"/>
      </w:r>
      <w:r>
        <w:rPr>
          <w:rFonts w:hint="eastAsia" w:ascii="黑体" w:hAnsi="黑体" w:eastAsia="黑体"/>
          <w:szCs w:val="28"/>
        </w:rPr>
        <w:t>第二节投标须知正文</w:t>
      </w:r>
      <w:r>
        <w:tab/>
      </w:r>
      <w:r>
        <w:fldChar w:fldCharType="begin"/>
      </w:r>
      <w:r>
        <w:instrText xml:space="preserve"> PAGEREF _Toc13073 \h </w:instrText>
      </w:r>
      <w:r>
        <w:fldChar w:fldCharType="separate"/>
      </w:r>
      <w:r>
        <w:t>12</w:t>
      </w:r>
      <w:r>
        <w:fldChar w:fldCharType="end"/>
      </w:r>
      <w:r>
        <w:fldChar w:fldCharType="end"/>
      </w:r>
    </w:p>
    <w:p>
      <w:pPr>
        <w:pStyle w:val="24"/>
        <w:tabs>
          <w:tab w:val="right" w:leader="dot" w:pos="8844"/>
        </w:tabs>
        <w:ind w:left="840"/>
      </w:pPr>
      <w:r>
        <w:fldChar w:fldCharType="begin"/>
      </w:r>
      <w:r>
        <w:instrText xml:space="preserve"> HYPERLINK \l "_Toc9136" </w:instrText>
      </w:r>
      <w:r>
        <w:fldChar w:fldCharType="separate"/>
      </w:r>
      <w:r>
        <w:rPr>
          <w:rFonts w:hint="eastAsia" w:ascii="黑体" w:hAnsi="黑体" w:eastAsia="黑体"/>
          <w:szCs w:val="28"/>
        </w:rPr>
        <w:t>一、总则</w:t>
      </w:r>
      <w:r>
        <w:tab/>
      </w:r>
      <w:r>
        <w:fldChar w:fldCharType="begin"/>
      </w:r>
      <w:r>
        <w:instrText xml:space="preserve"> PAGEREF _Toc9136 \h </w:instrText>
      </w:r>
      <w:r>
        <w:fldChar w:fldCharType="separate"/>
      </w:r>
      <w:r>
        <w:t>12</w:t>
      </w:r>
      <w:r>
        <w:fldChar w:fldCharType="end"/>
      </w:r>
      <w:r>
        <w:fldChar w:fldCharType="end"/>
      </w:r>
    </w:p>
    <w:p>
      <w:pPr>
        <w:pStyle w:val="24"/>
        <w:tabs>
          <w:tab w:val="right" w:leader="dot" w:pos="8844"/>
        </w:tabs>
        <w:ind w:left="840"/>
      </w:pPr>
      <w:r>
        <w:fldChar w:fldCharType="begin"/>
      </w:r>
      <w:r>
        <w:instrText xml:space="preserve"> HYPERLINK \l "_Toc21328" </w:instrText>
      </w:r>
      <w:r>
        <w:fldChar w:fldCharType="separate"/>
      </w:r>
      <w:r>
        <w:rPr>
          <w:rFonts w:hint="eastAsia" w:ascii="黑体" w:hAnsi="黑体" w:eastAsia="黑体"/>
          <w:szCs w:val="28"/>
        </w:rPr>
        <w:t>二、招标文件</w:t>
      </w:r>
      <w:r>
        <w:tab/>
      </w:r>
      <w:r>
        <w:fldChar w:fldCharType="begin"/>
      </w:r>
      <w:r>
        <w:instrText xml:space="preserve"> PAGEREF _Toc21328 \h </w:instrText>
      </w:r>
      <w:r>
        <w:fldChar w:fldCharType="separate"/>
      </w:r>
      <w:r>
        <w:t>13</w:t>
      </w:r>
      <w:r>
        <w:fldChar w:fldCharType="end"/>
      </w:r>
      <w:r>
        <w:fldChar w:fldCharType="end"/>
      </w:r>
    </w:p>
    <w:p>
      <w:pPr>
        <w:pStyle w:val="24"/>
        <w:tabs>
          <w:tab w:val="right" w:leader="dot" w:pos="8844"/>
        </w:tabs>
        <w:ind w:left="840"/>
      </w:pPr>
      <w:r>
        <w:fldChar w:fldCharType="begin"/>
      </w:r>
      <w:r>
        <w:instrText xml:space="preserve"> HYPERLINK \l "_Toc21030" </w:instrText>
      </w:r>
      <w:r>
        <w:fldChar w:fldCharType="separate"/>
      </w:r>
      <w:r>
        <w:rPr>
          <w:rFonts w:hint="eastAsia" w:ascii="黑体" w:hAnsi="黑体" w:eastAsia="黑体"/>
          <w:szCs w:val="28"/>
        </w:rPr>
        <w:t>三、投标文件</w:t>
      </w:r>
      <w:r>
        <w:tab/>
      </w:r>
      <w:r>
        <w:fldChar w:fldCharType="begin"/>
      </w:r>
      <w:r>
        <w:instrText xml:space="preserve"> PAGEREF _Toc21030 \h </w:instrText>
      </w:r>
      <w:r>
        <w:fldChar w:fldCharType="separate"/>
      </w:r>
      <w:r>
        <w:t>14</w:t>
      </w:r>
      <w:r>
        <w:fldChar w:fldCharType="end"/>
      </w:r>
      <w:r>
        <w:fldChar w:fldCharType="end"/>
      </w:r>
    </w:p>
    <w:p>
      <w:pPr>
        <w:pStyle w:val="24"/>
        <w:tabs>
          <w:tab w:val="right" w:leader="dot" w:pos="8844"/>
        </w:tabs>
        <w:ind w:left="840"/>
      </w:pPr>
      <w:r>
        <w:fldChar w:fldCharType="begin"/>
      </w:r>
      <w:r>
        <w:instrText xml:space="preserve"> HYPERLINK \l "_Toc13817" </w:instrText>
      </w:r>
      <w:r>
        <w:fldChar w:fldCharType="separate"/>
      </w:r>
      <w:r>
        <w:rPr>
          <w:rFonts w:hint="eastAsia" w:ascii="黑体" w:hAnsi="黑体" w:eastAsia="黑体"/>
          <w:szCs w:val="28"/>
        </w:rPr>
        <w:t>四、投标</w:t>
      </w:r>
      <w:r>
        <w:tab/>
      </w:r>
      <w:r>
        <w:fldChar w:fldCharType="begin"/>
      </w:r>
      <w:r>
        <w:instrText xml:space="preserve"> PAGEREF _Toc13817 \h </w:instrText>
      </w:r>
      <w:r>
        <w:fldChar w:fldCharType="separate"/>
      </w:r>
      <w:r>
        <w:t>16</w:t>
      </w:r>
      <w:r>
        <w:fldChar w:fldCharType="end"/>
      </w:r>
      <w:r>
        <w:fldChar w:fldCharType="end"/>
      </w:r>
    </w:p>
    <w:p>
      <w:pPr>
        <w:pStyle w:val="24"/>
        <w:tabs>
          <w:tab w:val="right" w:leader="dot" w:pos="8844"/>
        </w:tabs>
        <w:ind w:left="840"/>
      </w:pPr>
      <w:r>
        <w:fldChar w:fldCharType="begin"/>
      </w:r>
      <w:r>
        <w:instrText xml:space="preserve"> HYPERLINK \l "_Toc3375" </w:instrText>
      </w:r>
      <w:r>
        <w:fldChar w:fldCharType="separate"/>
      </w:r>
      <w:r>
        <w:rPr>
          <w:rFonts w:hint="eastAsia" w:ascii="黑体" w:hAnsi="黑体" w:eastAsia="黑体"/>
          <w:szCs w:val="28"/>
        </w:rPr>
        <w:t>五、开标，资格审查和评标</w:t>
      </w:r>
      <w:r>
        <w:tab/>
      </w:r>
      <w:r>
        <w:fldChar w:fldCharType="begin"/>
      </w:r>
      <w:r>
        <w:instrText xml:space="preserve"> PAGEREF _Toc3375 \h </w:instrText>
      </w:r>
      <w:r>
        <w:fldChar w:fldCharType="separate"/>
      </w:r>
      <w:r>
        <w:t>18</w:t>
      </w:r>
      <w:r>
        <w:fldChar w:fldCharType="end"/>
      </w:r>
      <w:r>
        <w:fldChar w:fldCharType="end"/>
      </w:r>
    </w:p>
    <w:p>
      <w:pPr>
        <w:pStyle w:val="24"/>
        <w:tabs>
          <w:tab w:val="right" w:leader="dot" w:pos="8844"/>
        </w:tabs>
        <w:ind w:left="840"/>
      </w:pPr>
      <w:r>
        <w:fldChar w:fldCharType="begin"/>
      </w:r>
      <w:r>
        <w:instrText xml:space="preserve"> HYPERLINK \l "_Toc21612" </w:instrText>
      </w:r>
      <w:r>
        <w:fldChar w:fldCharType="separate"/>
      </w:r>
      <w:r>
        <w:rPr>
          <w:rFonts w:hint="eastAsia" w:ascii="黑体" w:hAnsi="黑体" w:eastAsia="黑体"/>
          <w:szCs w:val="28"/>
        </w:rPr>
        <w:t>六、中标信息公布</w:t>
      </w:r>
      <w:r>
        <w:tab/>
      </w:r>
      <w:r>
        <w:fldChar w:fldCharType="begin"/>
      </w:r>
      <w:r>
        <w:instrText xml:space="preserve"> PAGEREF _Toc21612 \h </w:instrText>
      </w:r>
      <w:r>
        <w:fldChar w:fldCharType="separate"/>
      </w:r>
      <w:r>
        <w:t>19</w:t>
      </w:r>
      <w:r>
        <w:fldChar w:fldCharType="end"/>
      </w:r>
      <w:r>
        <w:fldChar w:fldCharType="end"/>
      </w:r>
    </w:p>
    <w:p>
      <w:pPr>
        <w:pStyle w:val="24"/>
        <w:tabs>
          <w:tab w:val="right" w:leader="dot" w:pos="8844"/>
        </w:tabs>
        <w:ind w:left="840"/>
      </w:pPr>
      <w:r>
        <w:fldChar w:fldCharType="begin"/>
      </w:r>
      <w:r>
        <w:instrText xml:space="preserve"> HYPERLINK \l "_Toc22856" </w:instrText>
      </w:r>
      <w:r>
        <w:fldChar w:fldCharType="separate"/>
      </w:r>
      <w:r>
        <w:rPr>
          <w:rFonts w:hint="eastAsia" w:ascii="黑体" w:hAnsi="黑体" w:eastAsia="黑体"/>
          <w:szCs w:val="28"/>
        </w:rPr>
        <w:t>七、合同签订</w:t>
      </w:r>
      <w:r>
        <w:tab/>
      </w:r>
      <w:r>
        <w:fldChar w:fldCharType="begin"/>
      </w:r>
      <w:r>
        <w:instrText xml:space="preserve"> PAGEREF _Toc22856 \h </w:instrText>
      </w:r>
      <w:r>
        <w:fldChar w:fldCharType="separate"/>
      </w:r>
      <w:r>
        <w:t>19</w:t>
      </w:r>
      <w:r>
        <w:fldChar w:fldCharType="end"/>
      </w:r>
      <w:r>
        <w:fldChar w:fldCharType="end"/>
      </w:r>
    </w:p>
    <w:p>
      <w:pPr>
        <w:pStyle w:val="24"/>
        <w:tabs>
          <w:tab w:val="right" w:leader="dot" w:pos="8844"/>
        </w:tabs>
        <w:ind w:left="840"/>
      </w:pPr>
      <w:r>
        <w:fldChar w:fldCharType="begin"/>
      </w:r>
      <w:r>
        <w:instrText xml:space="preserve"> HYPERLINK \l "_Toc14184" </w:instrText>
      </w:r>
      <w:r>
        <w:fldChar w:fldCharType="separate"/>
      </w:r>
      <w:r>
        <w:rPr>
          <w:rFonts w:hint="eastAsia" w:ascii="黑体" w:hAnsi="黑体" w:eastAsia="黑体"/>
          <w:szCs w:val="28"/>
        </w:rPr>
        <w:t>八、政府采购政策</w:t>
      </w:r>
      <w:r>
        <w:tab/>
      </w:r>
      <w:r>
        <w:fldChar w:fldCharType="begin"/>
      </w:r>
      <w:r>
        <w:instrText xml:space="preserve"> PAGEREF _Toc14184 \h </w:instrText>
      </w:r>
      <w:r>
        <w:fldChar w:fldCharType="separate"/>
      </w:r>
      <w:r>
        <w:t>20</w:t>
      </w:r>
      <w:r>
        <w:fldChar w:fldCharType="end"/>
      </w:r>
      <w:r>
        <w:fldChar w:fldCharType="end"/>
      </w:r>
    </w:p>
    <w:p>
      <w:pPr>
        <w:pStyle w:val="24"/>
        <w:tabs>
          <w:tab w:val="right" w:leader="dot" w:pos="8844"/>
        </w:tabs>
        <w:ind w:left="840"/>
      </w:pPr>
      <w:r>
        <w:fldChar w:fldCharType="begin"/>
      </w:r>
      <w:r>
        <w:instrText xml:space="preserve"> HYPERLINK \l "_Toc8609" </w:instrText>
      </w:r>
      <w:r>
        <w:fldChar w:fldCharType="separate"/>
      </w:r>
      <w:r>
        <w:rPr>
          <w:rFonts w:hint="eastAsia" w:ascii="黑体" w:hAnsi="黑体" w:eastAsia="黑体"/>
          <w:szCs w:val="28"/>
        </w:rPr>
        <w:t>九、其他规定</w:t>
      </w:r>
      <w:r>
        <w:tab/>
      </w:r>
      <w:r>
        <w:fldChar w:fldCharType="begin"/>
      </w:r>
      <w:r>
        <w:instrText xml:space="preserve"> PAGEREF _Toc8609 \h </w:instrText>
      </w:r>
      <w:r>
        <w:fldChar w:fldCharType="separate"/>
      </w:r>
      <w:r>
        <w:t>22</w:t>
      </w:r>
      <w:r>
        <w:fldChar w:fldCharType="end"/>
      </w:r>
      <w:r>
        <w:fldChar w:fldCharType="end"/>
      </w:r>
    </w:p>
    <w:p>
      <w:pPr>
        <w:pStyle w:val="33"/>
        <w:tabs>
          <w:tab w:val="right" w:leader="dot" w:pos="8844"/>
        </w:tabs>
      </w:pPr>
      <w:r>
        <w:fldChar w:fldCharType="begin"/>
      </w:r>
      <w:r>
        <w:instrText xml:space="preserve"> HYPERLINK \l "_Toc13600" </w:instrText>
      </w:r>
      <w:r>
        <w:fldChar w:fldCharType="separate"/>
      </w:r>
      <w:r>
        <w:rPr>
          <w:rFonts w:hint="eastAsia" w:ascii="黑体" w:hAnsi="黑体" w:eastAsia="黑体"/>
          <w:szCs w:val="32"/>
        </w:rPr>
        <w:t>第三章 资格审查</w:t>
      </w:r>
      <w:r>
        <w:tab/>
      </w:r>
      <w:r>
        <w:fldChar w:fldCharType="begin"/>
      </w:r>
      <w:r>
        <w:instrText xml:space="preserve"> PAGEREF _Toc13600 \h </w:instrText>
      </w:r>
      <w:r>
        <w:fldChar w:fldCharType="separate"/>
      </w:r>
      <w:r>
        <w:t>24</w:t>
      </w:r>
      <w:r>
        <w:fldChar w:fldCharType="end"/>
      </w:r>
      <w:r>
        <w:fldChar w:fldCharType="end"/>
      </w:r>
    </w:p>
    <w:p>
      <w:pPr>
        <w:pStyle w:val="24"/>
        <w:tabs>
          <w:tab w:val="right" w:leader="dot" w:pos="8844"/>
        </w:tabs>
        <w:ind w:left="840"/>
      </w:pPr>
      <w:r>
        <w:fldChar w:fldCharType="begin"/>
      </w:r>
      <w:r>
        <w:instrText xml:space="preserve"> HYPERLINK \l "_Toc9299" </w:instrText>
      </w:r>
      <w:r>
        <w:fldChar w:fldCharType="separate"/>
      </w:r>
      <w:r>
        <w:rPr>
          <w:rFonts w:hint="eastAsia" w:ascii="黑体" w:hAnsi="黑体" w:eastAsia="黑体"/>
        </w:rPr>
        <w:t>1．</w:t>
      </w:r>
      <w:r>
        <w:rPr>
          <w:rFonts w:hint="eastAsia" w:ascii="宋体" w:hAnsi="宋体"/>
        </w:rPr>
        <w:t>资格审查主体</w:t>
      </w:r>
      <w:r>
        <w:tab/>
      </w:r>
      <w:r>
        <w:fldChar w:fldCharType="begin"/>
      </w:r>
      <w:r>
        <w:instrText xml:space="preserve"> PAGEREF _Toc9299 \h </w:instrText>
      </w:r>
      <w:r>
        <w:fldChar w:fldCharType="separate"/>
      </w:r>
      <w:r>
        <w:t>24</w:t>
      </w:r>
      <w:r>
        <w:fldChar w:fldCharType="end"/>
      </w:r>
      <w:r>
        <w:fldChar w:fldCharType="end"/>
      </w:r>
    </w:p>
    <w:p>
      <w:pPr>
        <w:pStyle w:val="24"/>
        <w:tabs>
          <w:tab w:val="right" w:leader="dot" w:pos="8844"/>
        </w:tabs>
        <w:ind w:left="840"/>
      </w:pPr>
      <w:r>
        <w:fldChar w:fldCharType="begin"/>
      </w:r>
      <w:r>
        <w:instrText xml:space="preserve"> HYPERLINK \l "_Toc14613" </w:instrText>
      </w:r>
      <w:r>
        <w:fldChar w:fldCharType="separate"/>
      </w:r>
      <w:r>
        <w:rPr>
          <w:rFonts w:hint="eastAsia" w:ascii="宋体" w:hAnsi="宋体"/>
        </w:rPr>
        <w:t>2．资格审查</w:t>
      </w:r>
      <w:r>
        <w:tab/>
      </w:r>
      <w:r>
        <w:fldChar w:fldCharType="begin"/>
      </w:r>
      <w:r>
        <w:instrText xml:space="preserve"> PAGEREF _Toc14613 \h </w:instrText>
      </w:r>
      <w:r>
        <w:fldChar w:fldCharType="separate"/>
      </w:r>
      <w:r>
        <w:t>24</w:t>
      </w:r>
      <w:r>
        <w:fldChar w:fldCharType="end"/>
      </w:r>
      <w:r>
        <w:fldChar w:fldCharType="end"/>
      </w:r>
    </w:p>
    <w:p>
      <w:pPr>
        <w:pStyle w:val="24"/>
        <w:tabs>
          <w:tab w:val="right" w:leader="dot" w:pos="8844"/>
        </w:tabs>
        <w:ind w:left="840"/>
      </w:pPr>
      <w:r>
        <w:fldChar w:fldCharType="begin"/>
      </w:r>
      <w:r>
        <w:instrText xml:space="preserve"> HYPERLINK \l "_Toc30058" </w:instrText>
      </w:r>
      <w:r>
        <w:fldChar w:fldCharType="separate"/>
      </w:r>
      <w:r>
        <w:rPr>
          <w:rFonts w:hint="eastAsia" w:ascii="宋体" w:hAnsi="宋体"/>
        </w:rPr>
        <w:t>3．资格审查结果</w:t>
      </w:r>
      <w:r>
        <w:tab/>
      </w:r>
      <w:r>
        <w:fldChar w:fldCharType="begin"/>
      </w:r>
      <w:r>
        <w:instrText xml:space="preserve"> PAGEREF _Toc30058 \h </w:instrText>
      </w:r>
      <w:r>
        <w:fldChar w:fldCharType="separate"/>
      </w:r>
      <w:r>
        <w:t>24</w:t>
      </w:r>
      <w:r>
        <w:fldChar w:fldCharType="end"/>
      </w:r>
      <w:r>
        <w:fldChar w:fldCharType="end"/>
      </w:r>
    </w:p>
    <w:p>
      <w:pPr>
        <w:pStyle w:val="38"/>
        <w:tabs>
          <w:tab w:val="right" w:leader="dot" w:pos="8844"/>
        </w:tabs>
        <w:ind w:left="420"/>
      </w:pPr>
      <w:r>
        <w:fldChar w:fldCharType="begin"/>
      </w:r>
      <w:r>
        <w:instrText xml:space="preserve"> HYPERLINK \l "_Toc11148" </w:instrText>
      </w:r>
      <w:r>
        <w:fldChar w:fldCharType="separate"/>
      </w:r>
      <w:r>
        <w:rPr>
          <w:rFonts w:ascii="黑体" w:hAnsi="黑体" w:eastAsia="黑体"/>
          <w:szCs w:val="28"/>
        </w:rPr>
        <w:t>资格审查表</w:t>
      </w:r>
      <w:r>
        <w:tab/>
      </w:r>
      <w:r>
        <w:fldChar w:fldCharType="begin"/>
      </w:r>
      <w:r>
        <w:instrText xml:space="preserve"> PAGEREF _Toc11148 \h </w:instrText>
      </w:r>
      <w:r>
        <w:fldChar w:fldCharType="separate"/>
      </w:r>
      <w:r>
        <w:t>25</w:t>
      </w:r>
      <w:r>
        <w:fldChar w:fldCharType="end"/>
      </w:r>
      <w:r>
        <w:fldChar w:fldCharType="end"/>
      </w:r>
    </w:p>
    <w:p>
      <w:pPr>
        <w:pStyle w:val="38"/>
        <w:tabs>
          <w:tab w:val="right" w:leader="dot" w:pos="8844"/>
        </w:tabs>
        <w:ind w:left="420"/>
      </w:pPr>
      <w:r>
        <w:fldChar w:fldCharType="begin"/>
      </w:r>
      <w:r>
        <w:instrText xml:space="preserve"> HYPERLINK \l "_Toc30449" </w:instrText>
      </w:r>
      <w:r>
        <w:fldChar w:fldCharType="separate"/>
      </w:r>
      <w:r>
        <w:rPr>
          <w:rFonts w:hint="eastAsia" w:ascii="黑体" w:hAnsi="黑体" w:eastAsia="黑体"/>
          <w:szCs w:val="28"/>
        </w:rPr>
        <w:t>资格审查结果一览表</w:t>
      </w:r>
      <w:r>
        <w:tab/>
      </w:r>
      <w:r>
        <w:fldChar w:fldCharType="begin"/>
      </w:r>
      <w:r>
        <w:instrText xml:space="preserve"> PAGEREF _Toc30449 \h </w:instrText>
      </w:r>
      <w:r>
        <w:fldChar w:fldCharType="separate"/>
      </w:r>
      <w:r>
        <w:t>26</w:t>
      </w:r>
      <w:r>
        <w:fldChar w:fldCharType="end"/>
      </w:r>
      <w:r>
        <w:fldChar w:fldCharType="end"/>
      </w:r>
    </w:p>
    <w:p>
      <w:pPr>
        <w:pStyle w:val="38"/>
        <w:tabs>
          <w:tab w:val="right" w:leader="dot" w:pos="8844"/>
        </w:tabs>
        <w:ind w:left="420"/>
      </w:pPr>
      <w:r>
        <w:fldChar w:fldCharType="begin"/>
      </w:r>
      <w:r>
        <w:instrText xml:space="preserve"> HYPERLINK \l "_Toc32214" </w:instrText>
      </w:r>
      <w:r>
        <w:fldChar w:fldCharType="separate"/>
      </w:r>
      <w:r>
        <w:rPr>
          <w:rFonts w:hint="eastAsia" w:ascii="黑体" w:hAnsi="黑体" w:eastAsia="黑体"/>
          <w:szCs w:val="28"/>
        </w:rPr>
        <w:t>资格审查合格投标人名单</w:t>
      </w:r>
      <w:r>
        <w:tab/>
      </w:r>
      <w:r>
        <w:fldChar w:fldCharType="begin"/>
      </w:r>
      <w:r>
        <w:instrText xml:space="preserve"> PAGEREF _Toc32214 \h </w:instrText>
      </w:r>
      <w:r>
        <w:fldChar w:fldCharType="separate"/>
      </w:r>
      <w:r>
        <w:t>27</w:t>
      </w:r>
      <w:r>
        <w:fldChar w:fldCharType="end"/>
      </w:r>
      <w:r>
        <w:fldChar w:fldCharType="end"/>
      </w:r>
    </w:p>
    <w:p>
      <w:pPr>
        <w:pStyle w:val="33"/>
        <w:tabs>
          <w:tab w:val="right" w:leader="dot" w:pos="8844"/>
        </w:tabs>
      </w:pPr>
      <w:r>
        <w:fldChar w:fldCharType="begin"/>
      </w:r>
      <w:r>
        <w:instrText xml:space="preserve"> HYPERLINK \l "_Toc22175" </w:instrText>
      </w:r>
      <w:r>
        <w:fldChar w:fldCharType="separate"/>
      </w:r>
      <w:r>
        <w:rPr>
          <w:rFonts w:hint="eastAsia" w:ascii="黑体" w:hAnsi="华文中宋" w:eastAsia="黑体"/>
          <w:szCs w:val="32"/>
        </w:rPr>
        <w:t>第四章  评标方法及标准</w:t>
      </w:r>
      <w:r>
        <w:tab/>
      </w:r>
      <w:r>
        <w:fldChar w:fldCharType="begin"/>
      </w:r>
      <w:r>
        <w:instrText xml:space="preserve"> PAGEREF _Toc22175 \h </w:instrText>
      </w:r>
      <w:r>
        <w:fldChar w:fldCharType="separate"/>
      </w:r>
      <w:r>
        <w:t>28</w:t>
      </w:r>
      <w:r>
        <w:fldChar w:fldCharType="end"/>
      </w:r>
      <w:r>
        <w:fldChar w:fldCharType="end"/>
      </w:r>
    </w:p>
    <w:p>
      <w:pPr>
        <w:pStyle w:val="38"/>
        <w:tabs>
          <w:tab w:val="right" w:leader="dot" w:pos="8844"/>
        </w:tabs>
        <w:ind w:left="420"/>
      </w:pPr>
      <w:r>
        <w:fldChar w:fldCharType="begin"/>
      </w:r>
      <w:r>
        <w:instrText xml:space="preserve"> HYPERLINK \l "_Toc18889" </w:instrText>
      </w:r>
      <w:r>
        <w:fldChar w:fldCharType="separate"/>
      </w:r>
      <w:r>
        <w:rPr>
          <w:rFonts w:hint="eastAsia" w:ascii="黑体" w:hAnsi="华文中宋" w:eastAsia="黑体"/>
          <w:szCs w:val="28"/>
        </w:rPr>
        <w:t>第一节  评标方法及标准前附表</w:t>
      </w:r>
      <w:r>
        <w:tab/>
      </w:r>
      <w:r>
        <w:fldChar w:fldCharType="begin"/>
      </w:r>
      <w:r>
        <w:instrText xml:space="preserve"> PAGEREF _Toc18889 \h </w:instrText>
      </w:r>
      <w:r>
        <w:fldChar w:fldCharType="separate"/>
      </w:r>
      <w:r>
        <w:t>28</w:t>
      </w:r>
      <w:r>
        <w:fldChar w:fldCharType="end"/>
      </w:r>
      <w:r>
        <w:fldChar w:fldCharType="end"/>
      </w:r>
    </w:p>
    <w:p>
      <w:pPr>
        <w:pStyle w:val="38"/>
        <w:tabs>
          <w:tab w:val="right" w:leader="dot" w:pos="8844"/>
        </w:tabs>
        <w:ind w:left="420"/>
      </w:pPr>
      <w:r>
        <w:fldChar w:fldCharType="begin"/>
      </w:r>
      <w:r>
        <w:instrText xml:space="preserve"> HYPERLINK \l "_Toc26089" </w:instrText>
      </w:r>
      <w:r>
        <w:fldChar w:fldCharType="separate"/>
      </w:r>
      <w:r>
        <w:rPr>
          <w:rFonts w:hint="eastAsia" w:ascii="黑体" w:hAnsi="黑体" w:eastAsia="黑体"/>
          <w:szCs w:val="28"/>
        </w:rPr>
        <w:t>第二节  评标方法及标准</w:t>
      </w:r>
      <w:r>
        <w:tab/>
      </w:r>
      <w:r>
        <w:fldChar w:fldCharType="begin"/>
      </w:r>
      <w:r>
        <w:instrText xml:space="preserve"> PAGEREF _Toc26089 \h </w:instrText>
      </w:r>
      <w:r>
        <w:fldChar w:fldCharType="separate"/>
      </w:r>
      <w:r>
        <w:t>30</w:t>
      </w:r>
      <w:r>
        <w:fldChar w:fldCharType="end"/>
      </w:r>
      <w:r>
        <w:fldChar w:fldCharType="end"/>
      </w:r>
    </w:p>
    <w:p>
      <w:pPr>
        <w:pStyle w:val="24"/>
        <w:tabs>
          <w:tab w:val="right" w:leader="dot" w:pos="8844"/>
        </w:tabs>
        <w:ind w:left="840"/>
      </w:pPr>
      <w:r>
        <w:fldChar w:fldCharType="begin"/>
      </w:r>
      <w:r>
        <w:instrText xml:space="preserve"> HYPERLINK \l "_Toc9758" </w:instrText>
      </w:r>
      <w:r>
        <w:fldChar w:fldCharType="separate"/>
      </w:r>
      <w:r>
        <w:rPr>
          <w:rFonts w:hint="eastAsia" w:ascii="宋体" w:hAnsi="宋体"/>
        </w:rPr>
        <w:t>1．评标方法</w:t>
      </w:r>
      <w:r>
        <w:tab/>
      </w:r>
      <w:r>
        <w:fldChar w:fldCharType="begin"/>
      </w:r>
      <w:r>
        <w:instrText xml:space="preserve"> PAGEREF _Toc9758 \h </w:instrText>
      </w:r>
      <w:r>
        <w:fldChar w:fldCharType="separate"/>
      </w:r>
      <w:r>
        <w:t>30</w:t>
      </w:r>
      <w:r>
        <w:fldChar w:fldCharType="end"/>
      </w:r>
      <w:r>
        <w:fldChar w:fldCharType="end"/>
      </w:r>
    </w:p>
    <w:p>
      <w:pPr>
        <w:pStyle w:val="24"/>
        <w:tabs>
          <w:tab w:val="right" w:leader="dot" w:pos="8844"/>
        </w:tabs>
        <w:ind w:left="840"/>
      </w:pPr>
      <w:r>
        <w:fldChar w:fldCharType="begin"/>
      </w:r>
      <w:r>
        <w:instrText xml:space="preserve"> HYPERLINK \l "_Toc1907" </w:instrText>
      </w:r>
      <w:r>
        <w:fldChar w:fldCharType="separate"/>
      </w:r>
      <w:r>
        <w:rPr>
          <w:rFonts w:hint="eastAsia" w:ascii="宋体" w:hAnsi="宋体"/>
        </w:rPr>
        <w:t>2．评标程序</w:t>
      </w:r>
      <w:r>
        <w:tab/>
      </w:r>
      <w:r>
        <w:fldChar w:fldCharType="begin"/>
      </w:r>
      <w:r>
        <w:instrText xml:space="preserve"> PAGEREF _Toc1907 \h </w:instrText>
      </w:r>
      <w:r>
        <w:fldChar w:fldCharType="separate"/>
      </w:r>
      <w:r>
        <w:t>30</w:t>
      </w:r>
      <w:r>
        <w:fldChar w:fldCharType="end"/>
      </w:r>
      <w:r>
        <w:fldChar w:fldCharType="end"/>
      </w:r>
    </w:p>
    <w:p>
      <w:pPr>
        <w:pStyle w:val="24"/>
        <w:tabs>
          <w:tab w:val="right" w:leader="dot" w:pos="8844"/>
        </w:tabs>
        <w:ind w:left="840"/>
      </w:pPr>
      <w:r>
        <w:fldChar w:fldCharType="begin"/>
      </w:r>
      <w:r>
        <w:instrText xml:space="preserve"> HYPERLINK \l "_Toc7816" </w:instrText>
      </w:r>
      <w:r>
        <w:fldChar w:fldCharType="separate"/>
      </w:r>
      <w:r>
        <w:rPr>
          <w:rFonts w:hint="eastAsia" w:ascii="宋体" w:hAnsi="宋体"/>
        </w:rPr>
        <w:t>3．投标文件符合性审查</w:t>
      </w:r>
      <w:r>
        <w:tab/>
      </w:r>
      <w:r>
        <w:fldChar w:fldCharType="begin"/>
      </w:r>
      <w:r>
        <w:instrText xml:space="preserve"> PAGEREF _Toc7816 \h </w:instrText>
      </w:r>
      <w:r>
        <w:fldChar w:fldCharType="separate"/>
      </w:r>
      <w:r>
        <w:t>30</w:t>
      </w:r>
      <w:r>
        <w:fldChar w:fldCharType="end"/>
      </w:r>
      <w:r>
        <w:fldChar w:fldCharType="end"/>
      </w:r>
    </w:p>
    <w:p>
      <w:pPr>
        <w:pStyle w:val="24"/>
        <w:tabs>
          <w:tab w:val="right" w:leader="dot" w:pos="8844"/>
        </w:tabs>
        <w:ind w:left="840"/>
      </w:pPr>
      <w:r>
        <w:fldChar w:fldCharType="begin"/>
      </w:r>
      <w:r>
        <w:instrText xml:space="preserve"> HYPERLINK \l "_Toc1339" </w:instrText>
      </w:r>
      <w:r>
        <w:fldChar w:fldCharType="separate"/>
      </w:r>
      <w:r>
        <w:rPr>
          <w:rFonts w:hint="eastAsia" w:ascii="宋体" w:hAnsi="宋体"/>
        </w:rPr>
        <w:t>4．投标文件的澄清</w:t>
      </w:r>
      <w:r>
        <w:tab/>
      </w:r>
      <w:r>
        <w:fldChar w:fldCharType="begin"/>
      </w:r>
      <w:r>
        <w:instrText xml:space="preserve"> PAGEREF _Toc1339 \h </w:instrText>
      </w:r>
      <w:r>
        <w:fldChar w:fldCharType="separate"/>
      </w:r>
      <w:r>
        <w:t>30</w:t>
      </w:r>
      <w:r>
        <w:fldChar w:fldCharType="end"/>
      </w:r>
      <w:r>
        <w:fldChar w:fldCharType="end"/>
      </w:r>
    </w:p>
    <w:p>
      <w:pPr>
        <w:pStyle w:val="24"/>
        <w:tabs>
          <w:tab w:val="right" w:leader="dot" w:pos="8844"/>
        </w:tabs>
        <w:ind w:left="840"/>
      </w:pPr>
      <w:r>
        <w:fldChar w:fldCharType="begin"/>
      </w:r>
      <w:r>
        <w:instrText xml:space="preserve"> HYPERLINK \l "_Toc30147" </w:instrText>
      </w:r>
      <w:r>
        <w:fldChar w:fldCharType="separate"/>
      </w:r>
      <w:r>
        <w:rPr>
          <w:rFonts w:hint="eastAsia" w:ascii="宋体" w:hAnsi="宋体"/>
        </w:rPr>
        <w:t>5．投标文件的比较与评价</w:t>
      </w:r>
      <w:r>
        <w:tab/>
      </w:r>
      <w:r>
        <w:fldChar w:fldCharType="begin"/>
      </w:r>
      <w:r>
        <w:instrText xml:space="preserve"> PAGEREF _Toc30147 \h </w:instrText>
      </w:r>
      <w:r>
        <w:fldChar w:fldCharType="separate"/>
      </w:r>
      <w:r>
        <w:t>31</w:t>
      </w:r>
      <w:r>
        <w:fldChar w:fldCharType="end"/>
      </w:r>
      <w:r>
        <w:fldChar w:fldCharType="end"/>
      </w:r>
    </w:p>
    <w:p>
      <w:pPr>
        <w:pStyle w:val="24"/>
        <w:tabs>
          <w:tab w:val="right" w:leader="dot" w:pos="8844"/>
        </w:tabs>
        <w:ind w:left="840"/>
      </w:pPr>
      <w:r>
        <w:fldChar w:fldCharType="begin"/>
      </w:r>
      <w:r>
        <w:instrText xml:space="preserve"> HYPERLINK \l "_Toc31987" </w:instrText>
      </w:r>
      <w:r>
        <w:fldChar w:fldCharType="separate"/>
      </w:r>
      <w:r>
        <w:rPr>
          <w:rFonts w:hint="eastAsia" w:ascii="宋体" w:hAnsi="宋体"/>
        </w:rPr>
        <w:t>6．</w:t>
      </w:r>
      <w:r>
        <w:rPr>
          <w:rFonts w:hint="eastAsia" w:ascii="黑体" w:hAnsi="黑体" w:eastAsia="黑体"/>
        </w:rPr>
        <w:t>推荐中标候选人</w:t>
      </w:r>
      <w:r>
        <w:tab/>
      </w:r>
      <w:r>
        <w:fldChar w:fldCharType="begin"/>
      </w:r>
      <w:r>
        <w:instrText xml:space="preserve"> PAGEREF _Toc31987 \h </w:instrText>
      </w:r>
      <w:r>
        <w:fldChar w:fldCharType="separate"/>
      </w:r>
      <w:r>
        <w:t>31</w:t>
      </w:r>
      <w:r>
        <w:fldChar w:fldCharType="end"/>
      </w:r>
      <w:r>
        <w:fldChar w:fldCharType="end"/>
      </w:r>
    </w:p>
    <w:p>
      <w:pPr>
        <w:pStyle w:val="24"/>
        <w:tabs>
          <w:tab w:val="right" w:leader="dot" w:pos="8844"/>
        </w:tabs>
        <w:ind w:left="840"/>
      </w:pPr>
      <w:r>
        <w:fldChar w:fldCharType="begin"/>
      </w:r>
      <w:r>
        <w:instrText xml:space="preserve"> HYPERLINK \l "_Toc18677" </w:instrText>
      </w:r>
      <w:r>
        <w:fldChar w:fldCharType="separate"/>
      </w:r>
      <w:r>
        <w:rPr>
          <w:rFonts w:hint="eastAsia" w:ascii="宋体" w:hAnsi="宋体"/>
        </w:rPr>
        <w:t>7．编写评标报告</w:t>
      </w:r>
      <w:r>
        <w:tab/>
      </w:r>
      <w:r>
        <w:fldChar w:fldCharType="begin"/>
      </w:r>
      <w:r>
        <w:instrText xml:space="preserve"> PAGEREF _Toc18677 \h </w:instrText>
      </w:r>
      <w:r>
        <w:fldChar w:fldCharType="separate"/>
      </w:r>
      <w:r>
        <w:t>31</w:t>
      </w:r>
      <w:r>
        <w:fldChar w:fldCharType="end"/>
      </w:r>
      <w:r>
        <w:fldChar w:fldCharType="end"/>
      </w:r>
    </w:p>
    <w:p>
      <w:pPr>
        <w:pStyle w:val="24"/>
        <w:tabs>
          <w:tab w:val="right" w:leader="dot" w:pos="8844"/>
        </w:tabs>
        <w:ind w:left="840"/>
      </w:pPr>
      <w:r>
        <w:fldChar w:fldCharType="begin"/>
      </w:r>
      <w:r>
        <w:instrText xml:space="preserve"> HYPERLINK \l "_Toc15467" </w:instrText>
      </w:r>
      <w:r>
        <w:fldChar w:fldCharType="separate"/>
      </w:r>
      <w:r>
        <w:rPr>
          <w:rFonts w:hint="eastAsia" w:ascii="宋体" w:hAnsi="宋体"/>
        </w:rPr>
        <w:t>8．评标报告复核</w:t>
      </w:r>
      <w:r>
        <w:tab/>
      </w:r>
      <w:r>
        <w:fldChar w:fldCharType="begin"/>
      </w:r>
      <w:r>
        <w:instrText xml:space="preserve"> PAGEREF _Toc15467 \h </w:instrText>
      </w:r>
      <w:r>
        <w:fldChar w:fldCharType="separate"/>
      </w:r>
      <w:r>
        <w:t>31</w:t>
      </w:r>
      <w:r>
        <w:fldChar w:fldCharType="end"/>
      </w:r>
      <w:r>
        <w:fldChar w:fldCharType="end"/>
      </w:r>
    </w:p>
    <w:p>
      <w:pPr>
        <w:pStyle w:val="24"/>
        <w:tabs>
          <w:tab w:val="right" w:leader="dot" w:pos="8844"/>
        </w:tabs>
        <w:ind w:left="840"/>
      </w:pPr>
      <w:r>
        <w:fldChar w:fldCharType="begin"/>
      </w:r>
      <w:r>
        <w:instrText xml:space="preserve"> HYPERLINK \l "_Toc9989" </w:instrText>
      </w:r>
      <w:r>
        <w:fldChar w:fldCharType="separate"/>
      </w:r>
      <w:r>
        <w:rPr>
          <w:rFonts w:hint="eastAsia" w:ascii="宋体" w:hAnsi="宋体"/>
        </w:rPr>
        <w:t>9．停止评标</w:t>
      </w:r>
      <w:r>
        <w:tab/>
      </w:r>
      <w:r>
        <w:fldChar w:fldCharType="begin"/>
      </w:r>
      <w:r>
        <w:instrText xml:space="preserve"> PAGEREF _Toc9989 \h </w:instrText>
      </w:r>
      <w:r>
        <w:fldChar w:fldCharType="separate"/>
      </w:r>
      <w:r>
        <w:t>32</w:t>
      </w:r>
      <w:r>
        <w:fldChar w:fldCharType="end"/>
      </w:r>
      <w:r>
        <w:fldChar w:fldCharType="end"/>
      </w:r>
    </w:p>
    <w:p>
      <w:pPr>
        <w:pStyle w:val="24"/>
        <w:tabs>
          <w:tab w:val="right" w:leader="dot" w:pos="8844"/>
        </w:tabs>
        <w:ind w:left="840"/>
      </w:pPr>
      <w:r>
        <w:fldChar w:fldCharType="begin"/>
      </w:r>
      <w:r>
        <w:instrText xml:space="preserve"> HYPERLINK \l "_Toc30196" </w:instrText>
      </w:r>
      <w:r>
        <w:fldChar w:fldCharType="separate"/>
      </w:r>
      <w:r>
        <w:rPr>
          <w:rFonts w:hint="eastAsia" w:ascii="宋体" w:hAnsi="宋体"/>
        </w:rPr>
        <w:t>10.废标</w:t>
      </w:r>
      <w:r>
        <w:tab/>
      </w:r>
      <w:r>
        <w:fldChar w:fldCharType="begin"/>
      </w:r>
      <w:r>
        <w:instrText xml:space="preserve"> PAGEREF _Toc30196 \h </w:instrText>
      </w:r>
      <w:r>
        <w:fldChar w:fldCharType="separate"/>
      </w:r>
      <w:r>
        <w:t>32</w:t>
      </w:r>
      <w:r>
        <w:fldChar w:fldCharType="end"/>
      </w:r>
      <w:r>
        <w:fldChar w:fldCharType="end"/>
      </w:r>
    </w:p>
    <w:p>
      <w:pPr>
        <w:pStyle w:val="24"/>
        <w:tabs>
          <w:tab w:val="right" w:leader="dot" w:pos="8844"/>
        </w:tabs>
        <w:ind w:left="840"/>
      </w:pPr>
      <w:r>
        <w:fldChar w:fldCharType="begin"/>
      </w:r>
      <w:r>
        <w:instrText xml:space="preserve"> HYPERLINK \l "_Toc994" </w:instrText>
      </w:r>
      <w:r>
        <w:fldChar w:fldCharType="separate"/>
      </w:r>
      <w:r>
        <w:rPr>
          <w:rFonts w:hint="eastAsia" w:ascii="宋体" w:hAnsi="宋体" w:cs="宋体"/>
        </w:rPr>
        <w:t>11．重新组建评标委员会进行评标</w:t>
      </w:r>
      <w:r>
        <w:tab/>
      </w:r>
      <w:r>
        <w:fldChar w:fldCharType="begin"/>
      </w:r>
      <w:r>
        <w:instrText xml:space="preserve"> PAGEREF _Toc994 \h </w:instrText>
      </w:r>
      <w:r>
        <w:fldChar w:fldCharType="separate"/>
      </w:r>
      <w:r>
        <w:t>32</w:t>
      </w:r>
      <w:r>
        <w:fldChar w:fldCharType="end"/>
      </w:r>
      <w:r>
        <w:fldChar w:fldCharType="end"/>
      </w:r>
    </w:p>
    <w:p>
      <w:pPr>
        <w:pStyle w:val="38"/>
        <w:tabs>
          <w:tab w:val="right" w:leader="dot" w:pos="8844"/>
        </w:tabs>
        <w:ind w:left="420"/>
      </w:pPr>
      <w:r>
        <w:fldChar w:fldCharType="begin"/>
      </w:r>
      <w:r>
        <w:instrText xml:space="preserve"> HYPERLINK \l "_Toc13597" </w:instrText>
      </w:r>
      <w:r>
        <w:fldChar w:fldCharType="separate"/>
      </w:r>
      <w:r>
        <w:rPr>
          <w:rFonts w:hint="eastAsia" w:ascii="黑体" w:hAnsi="华文中宋" w:eastAsia="黑体"/>
          <w:szCs w:val="28"/>
        </w:rPr>
        <w:t>第三节 投标文件的符合性审查</w:t>
      </w:r>
      <w:r>
        <w:tab/>
      </w:r>
      <w:r>
        <w:fldChar w:fldCharType="begin"/>
      </w:r>
      <w:r>
        <w:instrText xml:space="preserve"> PAGEREF _Toc13597 \h </w:instrText>
      </w:r>
      <w:r>
        <w:fldChar w:fldCharType="separate"/>
      </w:r>
      <w:r>
        <w:t>33</w:t>
      </w:r>
      <w:r>
        <w:fldChar w:fldCharType="end"/>
      </w:r>
      <w:r>
        <w:fldChar w:fldCharType="end"/>
      </w:r>
    </w:p>
    <w:p>
      <w:pPr>
        <w:pStyle w:val="24"/>
        <w:tabs>
          <w:tab w:val="right" w:leader="dot" w:pos="8844"/>
        </w:tabs>
        <w:ind w:left="840"/>
      </w:pPr>
      <w:r>
        <w:fldChar w:fldCharType="begin"/>
      </w:r>
      <w:r>
        <w:instrText xml:space="preserve"> HYPERLINK \l "_Toc28365" </w:instrText>
      </w:r>
      <w:r>
        <w:fldChar w:fldCharType="separate"/>
      </w:r>
      <w:r>
        <w:rPr>
          <w:rFonts w:hint="eastAsia"/>
          <w:szCs w:val="21"/>
        </w:rPr>
        <w:t>附表1 符合性审查表</w:t>
      </w:r>
      <w:r>
        <w:tab/>
      </w:r>
      <w:r>
        <w:fldChar w:fldCharType="begin"/>
      </w:r>
      <w:r>
        <w:instrText xml:space="preserve"> PAGEREF _Toc28365 \h </w:instrText>
      </w:r>
      <w:r>
        <w:fldChar w:fldCharType="separate"/>
      </w:r>
      <w:r>
        <w:t>34</w:t>
      </w:r>
      <w:r>
        <w:fldChar w:fldCharType="end"/>
      </w:r>
      <w:r>
        <w:fldChar w:fldCharType="end"/>
      </w:r>
    </w:p>
    <w:p>
      <w:pPr>
        <w:pStyle w:val="24"/>
        <w:tabs>
          <w:tab w:val="right" w:leader="dot" w:pos="8844"/>
        </w:tabs>
        <w:ind w:left="840"/>
      </w:pPr>
      <w:r>
        <w:fldChar w:fldCharType="begin"/>
      </w:r>
      <w:r>
        <w:instrText xml:space="preserve"> HYPERLINK \l "_Toc32329" </w:instrText>
      </w:r>
      <w:r>
        <w:fldChar w:fldCharType="separate"/>
      </w:r>
      <w:r>
        <w:rPr>
          <w:rFonts w:hint="eastAsia" w:ascii="黑体" w:hAnsi="黑体" w:eastAsia="黑体"/>
          <w:szCs w:val="28"/>
        </w:rPr>
        <w:t>符合性审查表</w:t>
      </w:r>
      <w:r>
        <w:tab/>
      </w:r>
      <w:r>
        <w:fldChar w:fldCharType="begin"/>
      </w:r>
      <w:r>
        <w:instrText xml:space="preserve"> PAGEREF _Toc32329 \h </w:instrText>
      </w:r>
      <w:r>
        <w:fldChar w:fldCharType="separate"/>
      </w:r>
      <w:r>
        <w:t>34</w:t>
      </w:r>
      <w:r>
        <w:fldChar w:fldCharType="end"/>
      </w:r>
      <w:r>
        <w:fldChar w:fldCharType="end"/>
      </w:r>
    </w:p>
    <w:p>
      <w:pPr>
        <w:pStyle w:val="24"/>
        <w:tabs>
          <w:tab w:val="right" w:leader="dot" w:pos="8844"/>
        </w:tabs>
        <w:ind w:left="840"/>
      </w:pPr>
      <w:r>
        <w:fldChar w:fldCharType="begin"/>
      </w:r>
      <w:r>
        <w:instrText xml:space="preserve"> HYPERLINK \l "_Toc27681" </w:instrText>
      </w:r>
      <w:r>
        <w:fldChar w:fldCharType="separate"/>
      </w:r>
      <w:r>
        <w:rPr>
          <w:rFonts w:hint="eastAsia" w:ascii="黑体" w:hAnsi="黑体" w:eastAsia="黑体"/>
          <w:szCs w:val="28"/>
        </w:rPr>
        <w:t>符合性审查结果一览表</w:t>
      </w:r>
      <w:r>
        <w:tab/>
      </w:r>
      <w:r>
        <w:fldChar w:fldCharType="begin"/>
      </w:r>
      <w:r>
        <w:instrText xml:space="preserve"> PAGEREF _Toc27681 \h </w:instrText>
      </w:r>
      <w:r>
        <w:fldChar w:fldCharType="separate"/>
      </w:r>
      <w:r>
        <w:t>35</w:t>
      </w:r>
      <w:r>
        <w:fldChar w:fldCharType="end"/>
      </w:r>
      <w:r>
        <w:fldChar w:fldCharType="end"/>
      </w:r>
    </w:p>
    <w:p>
      <w:pPr>
        <w:pStyle w:val="24"/>
        <w:tabs>
          <w:tab w:val="right" w:leader="dot" w:pos="8844"/>
        </w:tabs>
        <w:ind w:left="840"/>
      </w:pPr>
      <w:r>
        <w:fldChar w:fldCharType="begin"/>
      </w:r>
      <w:r>
        <w:instrText xml:space="preserve"> HYPERLINK \l "_Toc6114" </w:instrText>
      </w:r>
      <w:r>
        <w:fldChar w:fldCharType="separate"/>
      </w:r>
      <w:r>
        <w:rPr>
          <w:rFonts w:hint="eastAsia" w:ascii="黑体" w:hAnsi="黑体" w:eastAsia="黑体"/>
          <w:szCs w:val="28"/>
        </w:rPr>
        <w:t>符合性审查合格投标人名单</w:t>
      </w:r>
      <w:r>
        <w:tab/>
      </w:r>
      <w:r>
        <w:fldChar w:fldCharType="begin"/>
      </w:r>
      <w:r>
        <w:instrText xml:space="preserve"> PAGEREF _Toc6114 \h </w:instrText>
      </w:r>
      <w:r>
        <w:fldChar w:fldCharType="separate"/>
      </w:r>
      <w:r>
        <w:t>36</w:t>
      </w:r>
      <w:r>
        <w:fldChar w:fldCharType="end"/>
      </w:r>
      <w:r>
        <w:fldChar w:fldCharType="end"/>
      </w:r>
    </w:p>
    <w:p>
      <w:pPr>
        <w:pStyle w:val="38"/>
        <w:tabs>
          <w:tab w:val="right" w:leader="dot" w:pos="8844"/>
        </w:tabs>
        <w:ind w:left="420"/>
      </w:pPr>
      <w:r>
        <w:fldChar w:fldCharType="begin"/>
      </w:r>
      <w:r>
        <w:instrText xml:space="preserve"> HYPERLINK \l "_Toc5682" </w:instrText>
      </w:r>
      <w:r>
        <w:fldChar w:fldCharType="separate"/>
      </w:r>
      <w:r>
        <w:rPr>
          <w:rFonts w:hint="eastAsia" w:ascii="黑体" w:hAnsi="华文中宋" w:eastAsia="黑体"/>
          <w:szCs w:val="28"/>
        </w:rPr>
        <w:t>第四节 投标文件的比较与评价（综合评分法）</w:t>
      </w:r>
      <w:r>
        <w:tab/>
      </w:r>
      <w:r>
        <w:fldChar w:fldCharType="begin"/>
      </w:r>
      <w:r>
        <w:instrText xml:space="preserve"> PAGEREF _Toc5682 \h </w:instrText>
      </w:r>
      <w:r>
        <w:fldChar w:fldCharType="separate"/>
      </w:r>
      <w:r>
        <w:t>37</w:t>
      </w:r>
      <w:r>
        <w:fldChar w:fldCharType="end"/>
      </w:r>
      <w:r>
        <w:fldChar w:fldCharType="end"/>
      </w:r>
    </w:p>
    <w:p>
      <w:pPr>
        <w:pStyle w:val="33"/>
        <w:tabs>
          <w:tab w:val="right" w:leader="dot" w:pos="8844"/>
        </w:tabs>
      </w:pPr>
      <w:r>
        <w:fldChar w:fldCharType="begin"/>
      </w:r>
      <w:r>
        <w:instrText xml:space="preserve"> HYPERLINK \l "_Toc12857" </w:instrText>
      </w:r>
      <w:r>
        <w:fldChar w:fldCharType="separate"/>
      </w:r>
      <w:r>
        <w:rPr>
          <w:rFonts w:hint="eastAsia" w:ascii="黑体" w:hAnsi="华文中宋" w:eastAsia="黑体" w:cs="Courier New"/>
          <w:szCs w:val="32"/>
        </w:rPr>
        <w:t>第五章  采购需求</w:t>
      </w:r>
      <w:r>
        <w:tab/>
      </w:r>
      <w:r>
        <w:fldChar w:fldCharType="begin"/>
      </w:r>
      <w:r>
        <w:instrText xml:space="preserve"> PAGEREF _Toc12857 \h </w:instrText>
      </w:r>
      <w:r>
        <w:fldChar w:fldCharType="separate"/>
      </w:r>
      <w:r>
        <w:t>43</w:t>
      </w:r>
      <w:r>
        <w:fldChar w:fldCharType="end"/>
      </w:r>
      <w:r>
        <w:fldChar w:fldCharType="end"/>
      </w:r>
    </w:p>
    <w:p>
      <w:pPr>
        <w:pStyle w:val="38"/>
        <w:tabs>
          <w:tab w:val="right" w:leader="dot" w:pos="8844"/>
        </w:tabs>
        <w:ind w:left="420"/>
      </w:pPr>
      <w:r>
        <w:fldChar w:fldCharType="begin"/>
      </w:r>
      <w:r>
        <w:instrText xml:space="preserve"> HYPERLINK \l "_Toc1585" </w:instrText>
      </w:r>
      <w:r>
        <w:fldChar w:fldCharType="separate"/>
      </w:r>
      <w:r>
        <w:rPr>
          <w:rFonts w:hint="eastAsia" w:ascii="黑体" w:hAnsi="黑体" w:eastAsia="黑体"/>
          <w:szCs w:val="28"/>
        </w:rPr>
        <w:t>第一节、采购清单一览表</w:t>
      </w:r>
      <w:r>
        <w:tab/>
      </w:r>
      <w:r>
        <w:fldChar w:fldCharType="begin"/>
      </w:r>
      <w:r>
        <w:instrText xml:space="preserve"> PAGEREF _Toc1585 \h </w:instrText>
      </w:r>
      <w:r>
        <w:fldChar w:fldCharType="separate"/>
      </w:r>
      <w:r>
        <w:t>43</w:t>
      </w:r>
      <w:r>
        <w:fldChar w:fldCharType="end"/>
      </w:r>
      <w:r>
        <w:fldChar w:fldCharType="end"/>
      </w:r>
    </w:p>
    <w:p>
      <w:pPr>
        <w:pStyle w:val="38"/>
        <w:tabs>
          <w:tab w:val="right" w:leader="dot" w:pos="8844"/>
        </w:tabs>
        <w:ind w:left="420"/>
      </w:pPr>
      <w:r>
        <w:fldChar w:fldCharType="begin"/>
      </w:r>
      <w:r>
        <w:instrText xml:space="preserve"> HYPERLINK \l "_Toc2898" </w:instrText>
      </w:r>
      <w:r>
        <w:fldChar w:fldCharType="separate"/>
      </w:r>
      <w:r>
        <w:rPr>
          <w:rFonts w:hint="eastAsia" w:ascii="黑体" w:hAnsi="黑体" w:eastAsia="黑体"/>
          <w:szCs w:val="28"/>
        </w:rPr>
        <w:t xml:space="preserve">第二节 </w:t>
      </w:r>
      <w:r>
        <w:rPr>
          <w:rFonts w:ascii="黑体" w:hAnsi="黑体" w:eastAsia="黑体"/>
          <w:szCs w:val="28"/>
        </w:rPr>
        <w:t>技术要求</w:t>
      </w:r>
      <w:r>
        <w:tab/>
      </w:r>
      <w:r>
        <w:fldChar w:fldCharType="begin"/>
      </w:r>
      <w:r>
        <w:instrText xml:space="preserve"> PAGEREF _Toc2898 \h </w:instrText>
      </w:r>
      <w:r>
        <w:fldChar w:fldCharType="separate"/>
      </w:r>
      <w:r>
        <w:t>43</w:t>
      </w:r>
      <w:r>
        <w:fldChar w:fldCharType="end"/>
      </w:r>
      <w:r>
        <w:fldChar w:fldCharType="end"/>
      </w:r>
    </w:p>
    <w:p>
      <w:pPr>
        <w:pStyle w:val="38"/>
        <w:tabs>
          <w:tab w:val="right" w:leader="dot" w:pos="8844"/>
        </w:tabs>
        <w:ind w:left="420"/>
      </w:pPr>
      <w:r>
        <w:fldChar w:fldCharType="begin"/>
      </w:r>
      <w:r>
        <w:instrText xml:space="preserve"> HYPERLINK \l "_Toc19777" </w:instrText>
      </w:r>
      <w:r>
        <w:fldChar w:fldCharType="separate"/>
      </w:r>
      <w:r>
        <w:rPr>
          <w:rFonts w:hint="eastAsia" w:ascii="黑体" w:hAnsi="黑体" w:eastAsia="黑体"/>
          <w:szCs w:val="28"/>
        </w:rPr>
        <w:t>第三节 商务</w:t>
      </w:r>
      <w:r>
        <w:rPr>
          <w:rFonts w:ascii="黑体" w:hAnsi="黑体" w:eastAsia="黑体"/>
          <w:szCs w:val="28"/>
        </w:rPr>
        <w:t>要求</w:t>
      </w:r>
      <w:r>
        <w:tab/>
      </w:r>
      <w:r>
        <w:fldChar w:fldCharType="begin"/>
      </w:r>
      <w:r>
        <w:instrText xml:space="preserve"> PAGEREF _Toc19777 \h </w:instrText>
      </w:r>
      <w:r>
        <w:fldChar w:fldCharType="separate"/>
      </w:r>
      <w:r>
        <w:t>51</w:t>
      </w:r>
      <w:r>
        <w:fldChar w:fldCharType="end"/>
      </w:r>
      <w:r>
        <w:fldChar w:fldCharType="end"/>
      </w:r>
    </w:p>
    <w:p>
      <w:pPr>
        <w:pStyle w:val="33"/>
        <w:tabs>
          <w:tab w:val="right" w:leader="dot" w:pos="8844"/>
        </w:tabs>
      </w:pPr>
      <w:r>
        <w:fldChar w:fldCharType="begin"/>
      </w:r>
      <w:r>
        <w:instrText xml:space="preserve"> HYPERLINK \l "_Toc22064" </w:instrText>
      </w:r>
      <w:r>
        <w:fldChar w:fldCharType="separate"/>
      </w:r>
      <w:r>
        <w:rPr>
          <w:rFonts w:hint="eastAsia" w:ascii="黑体" w:hAnsi="华文中宋" w:eastAsia="黑体"/>
          <w:szCs w:val="32"/>
        </w:rPr>
        <w:t>第六章 政府采购合同</w:t>
      </w:r>
      <w:r>
        <w:tab/>
      </w:r>
      <w:r>
        <w:fldChar w:fldCharType="begin"/>
      </w:r>
      <w:r>
        <w:instrText xml:space="preserve"> PAGEREF _Toc22064 \h </w:instrText>
      </w:r>
      <w:r>
        <w:fldChar w:fldCharType="separate"/>
      </w:r>
      <w:r>
        <w:t>55</w:t>
      </w:r>
      <w:r>
        <w:fldChar w:fldCharType="end"/>
      </w:r>
      <w:r>
        <w:fldChar w:fldCharType="end"/>
      </w:r>
    </w:p>
    <w:p>
      <w:pPr>
        <w:pStyle w:val="38"/>
        <w:tabs>
          <w:tab w:val="right" w:leader="dot" w:pos="8844"/>
        </w:tabs>
        <w:ind w:left="420"/>
      </w:pPr>
      <w:r>
        <w:fldChar w:fldCharType="begin"/>
      </w:r>
      <w:r>
        <w:instrText xml:space="preserve"> HYPERLINK \l "_Toc18206" </w:instrText>
      </w:r>
      <w:r>
        <w:fldChar w:fldCharType="separate"/>
      </w:r>
      <w:r>
        <w:rPr>
          <w:rFonts w:hint="eastAsia" w:ascii="黑体" w:hAnsi="华文中宋" w:eastAsia="黑体"/>
          <w:szCs w:val="28"/>
        </w:rPr>
        <w:t>第一节 政府采购合同协议书</w:t>
      </w:r>
      <w:r>
        <w:tab/>
      </w:r>
      <w:r>
        <w:fldChar w:fldCharType="begin"/>
      </w:r>
      <w:r>
        <w:instrText xml:space="preserve"> PAGEREF _Toc18206 \h </w:instrText>
      </w:r>
      <w:r>
        <w:fldChar w:fldCharType="separate"/>
      </w:r>
      <w:r>
        <w:t>57</w:t>
      </w:r>
      <w:r>
        <w:fldChar w:fldCharType="end"/>
      </w:r>
      <w:r>
        <w:fldChar w:fldCharType="end"/>
      </w:r>
    </w:p>
    <w:p>
      <w:pPr>
        <w:pStyle w:val="38"/>
        <w:tabs>
          <w:tab w:val="right" w:leader="dot" w:pos="8844"/>
        </w:tabs>
        <w:ind w:left="420"/>
      </w:pPr>
      <w:r>
        <w:fldChar w:fldCharType="begin"/>
      </w:r>
      <w:r>
        <w:instrText xml:space="preserve"> HYPERLINK \l "_Toc10587" </w:instrText>
      </w:r>
      <w:r>
        <w:fldChar w:fldCharType="separate"/>
      </w:r>
      <w:r>
        <w:rPr>
          <w:rFonts w:hint="eastAsia" w:ascii="黑体" w:hAnsi="黑体" w:eastAsia="黑体"/>
          <w:szCs w:val="28"/>
        </w:rPr>
        <w:t>第二节 政府采购合同通用条款</w:t>
      </w:r>
      <w:r>
        <w:tab/>
      </w:r>
      <w:r>
        <w:fldChar w:fldCharType="begin"/>
      </w:r>
      <w:r>
        <w:instrText xml:space="preserve"> PAGEREF _Toc10587 \h </w:instrText>
      </w:r>
      <w:r>
        <w:fldChar w:fldCharType="separate"/>
      </w:r>
      <w:r>
        <w:t>59</w:t>
      </w:r>
      <w:r>
        <w:fldChar w:fldCharType="end"/>
      </w:r>
      <w:r>
        <w:fldChar w:fldCharType="end"/>
      </w:r>
    </w:p>
    <w:p>
      <w:pPr>
        <w:pStyle w:val="38"/>
        <w:tabs>
          <w:tab w:val="right" w:leader="dot" w:pos="8844"/>
        </w:tabs>
        <w:ind w:left="420"/>
      </w:pPr>
      <w:r>
        <w:fldChar w:fldCharType="begin"/>
      </w:r>
      <w:r>
        <w:instrText xml:space="preserve"> HYPERLINK \l "_Toc6910" </w:instrText>
      </w:r>
      <w:r>
        <w:fldChar w:fldCharType="separate"/>
      </w:r>
      <w:r>
        <w:rPr>
          <w:rFonts w:hint="eastAsia" w:ascii="黑体" w:hAnsi="华文中宋" w:eastAsia="黑体"/>
          <w:szCs w:val="28"/>
        </w:rPr>
        <w:t>第三节 政府采购合同专用条款</w:t>
      </w:r>
      <w:r>
        <w:tab/>
      </w:r>
      <w:r>
        <w:fldChar w:fldCharType="begin"/>
      </w:r>
      <w:r>
        <w:instrText xml:space="preserve"> PAGEREF _Toc6910 \h </w:instrText>
      </w:r>
      <w:r>
        <w:fldChar w:fldCharType="separate"/>
      </w:r>
      <w:r>
        <w:t>66</w:t>
      </w:r>
      <w:r>
        <w:fldChar w:fldCharType="end"/>
      </w:r>
      <w:r>
        <w:fldChar w:fldCharType="end"/>
      </w:r>
    </w:p>
    <w:p>
      <w:pPr>
        <w:pStyle w:val="33"/>
        <w:tabs>
          <w:tab w:val="right" w:leader="dot" w:pos="8844"/>
        </w:tabs>
      </w:pPr>
      <w:r>
        <w:fldChar w:fldCharType="begin"/>
      </w:r>
      <w:r>
        <w:instrText xml:space="preserve"> HYPERLINK \l "_Toc5812" </w:instrText>
      </w:r>
      <w:r>
        <w:fldChar w:fldCharType="separate"/>
      </w:r>
      <w:r>
        <w:rPr>
          <w:rFonts w:hint="eastAsia" w:ascii="黑体" w:hAnsi="华文中宋" w:eastAsia="黑体"/>
          <w:szCs w:val="32"/>
        </w:rPr>
        <w:t>第七章 投标文件的组成</w:t>
      </w:r>
      <w:r>
        <w:tab/>
      </w:r>
      <w:r>
        <w:fldChar w:fldCharType="begin"/>
      </w:r>
      <w:r>
        <w:instrText xml:space="preserve"> PAGEREF _Toc5812 \h </w:instrText>
      </w:r>
      <w:r>
        <w:fldChar w:fldCharType="separate"/>
      </w:r>
      <w:r>
        <w:t>67</w:t>
      </w:r>
      <w:r>
        <w:fldChar w:fldCharType="end"/>
      </w:r>
      <w:r>
        <w:fldChar w:fldCharType="end"/>
      </w:r>
    </w:p>
    <w:p>
      <w:pPr>
        <w:pStyle w:val="38"/>
        <w:tabs>
          <w:tab w:val="right" w:leader="dot" w:pos="8844"/>
        </w:tabs>
        <w:ind w:left="420"/>
      </w:pPr>
      <w:r>
        <w:fldChar w:fldCharType="begin"/>
      </w:r>
      <w:r>
        <w:instrText xml:space="preserve"> HYPERLINK \l "_Toc9378" </w:instrText>
      </w:r>
      <w:r>
        <w:fldChar w:fldCharType="separate"/>
      </w:r>
      <w:r>
        <w:rPr>
          <w:rFonts w:hint="eastAsia" w:ascii="黑体" w:hAnsi="黑体" w:eastAsia="黑体"/>
          <w:szCs w:val="44"/>
        </w:rPr>
        <w:t>第一部分 资格证明文件</w:t>
      </w:r>
      <w:r>
        <w:tab/>
      </w:r>
      <w:r>
        <w:fldChar w:fldCharType="begin"/>
      </w:r>
      <w:r>
        <w:instrText xml:space="preserve"> PAGEREF _Toc9378 \h </w:instrText>
      </w:r>
      <w:r>
        <w:fldChar w:fldCharType="separate"/>
      </w:r>
      <w:r>
        <w:t>68</w:t>
      </w:r>
      <w:r>
        <w:fldChar w:fldCharType="end"/>
      </w:r>
      <w:r>
        <w:fldChar w:fldCharType="end"/>
      </w:r>
    </w:p>
    <w:p>
      <w:pPr>
        <w:pStyle w:val="38"/>
        <w:tabs>
          <w:tab w:val="right" w:leader="dot" w:pos="8844"/>
        </w:tabs>
        <w:ind w:left="420"/>
      </w:pPr>
      <w:r>
        <w:fldChar w:fldCharType="begin"/>
      </w:r>
      <w:r>
        <w:instrText xml:space="preserve"> HYPERLINK \l "_Toc24280" </w:instrText>
      </w:r>
      <w:r>
        <w:fldChar w:fldCharType="separate"/>
      </w:r>
      <w:r>
        <w:rPr>
          <w:rFonts w:hint="eastAsia" w:ascii="黑体" w:hAnsi="宋体" w:eastAsia="黑体"/>
          <w:szCs w:val="28"/>
        </w:rPr>
        <w:t>一、开标一览表</w:t>
      </w:r>
      <w:r>
        <w:tab/>
      </w:r>
      <w:r>
        <w:fldChar w:fldCharType="begin"/>
      </w:r>
      <w:r>
        <w:instrText xml:space="preserve"> PAGEREF _Toc24280 \h </w:instrText>
      </w:r>
      <w:r>
        <w:fldChar w:fldCharType="separate"/>
      </w:r>
      <w:r>
        <w:t>69</w:t>
      </w:r>
      <w:r>
        <w:fldChar w:fldCharType="end"/>
      </w:r>
      <w:r>
        <w:fldChar w:fldCharType="end"/>
      </w:r>
    </w:p>
    <w:p>
      <w:pPr>
        <w:pStyle w:val="38"/>
        <w:tabs>
          <w:tab w:val="right" w:leader="dot" w:pos="8844"/>
        </w:tabs>
        <w:ind w:left="420"/>
      </w:pPr>
      <w:r>
        <w:fldChar w:fldCharType="begin"/>
      </w:r>
      <w:r>
        <w:instrText xml:space="preserve"> HYPERLINK \l "_Toc3750" </w:instrText>
      </w:r>
      <w:r>
        <w:fldChar w:fldCharType="separate"/>
      </w:r>
      <w:r>
        <w:rPr>
          <w:rFonts w:hint="eastAsia"/>
          <w:szCs w:val="21"/>
        </w:rPr>
        <w:t>质保期：</w:t>
      </w:r>
      <w:r>
        <w:tab/>
      </w:r>
      <w:r>
        <w:fldChar w:fldCharType="begin"/>
      </w:r>
      <w:r>
        <w:instrText xml:space="preserve"> PAGEREF _Toc3750 \h </w:instrText>
      </w:r>
      <w:r>
        <w:fldChar w:fldCharType="separate"/>
      </w:r>
      <w:r>
        <w:t>69</w:t>
      </w:r>
      <w:r>
        <w:fldChar w:fldCharType="end"/>
      </w:r>
      <w:r>
        <w:fldChar w:fldCharType="end"/>
      </w:r>
    </w:p>
    <w:p>
      <w:pPr>
        <w:pStyle w:val="38"/>
        <w:tabs>
          <w:tab w:val="right" w:leader="dot" w:pos="8844"/>
        </w:tabs>
        <w:ind w:left="420"/>
      </w:pPr>
      <w:r>
        <w:fldChar w:fldCharType="begin"/>
      </w:r>
      <w:r>
        <w:instrText xml:space="preserve"> HYPERLINK \l "_Toc1179" </w:instrText>
      </w:r>
      <w:r>
        <w:fldChar w:fldCharType="separate"/>
      </w:r>
      <w:r>
        <w:rPr>
          <w:rFonts w:hint="eastAsia" w:ascii="黑体" w:hAnsi="黑体" w:eastAsia="黑体"/>
          <w:szCs w:val="28"/>
        </w:rPr>
        <w:t>二、法定代表人身份证明</w:t>
      </w:r>
      <w:r>
        <w:tab/>
      </w:r>
      <w:r>
        <w:fldChar w:fldCharType="begin"/>
      </w:r>
      <w:r>
        <w:instrText xml:space="preserve"> PAGEREF _Toc1179 \h </w:instrText>
      </w:r>
      <w:r>
        <w:fldChar w:fldCharType="separate"/>
      </w:r>
      <w:r>
        <w:t>70</w:t>
      </w:r>
      <w:r>
        <w:fldChar w:fldCharType="end"/>
      </w:r>
      <w:r>
        <w:fldChar w:fldCharType="end"/>
      </w:r>
    </w:p>
    <w:p>
      <w:pPr>
        <w:pStyle w:val="38"/>
        <w:tabs>
          <w:tab w:val="right" w:leader="dot" w:pos="8844"/>
        </w:tabs>
        <w:ind w:left="420"/>
      </w:pPr>
      <w:r>
        <w:fldChar w:fldCharType="begin"/>
      </w:r>
      <w:r>
        <w:instrText xml:space="preserve"> HYPERLINK \l "_Toc28816" </w:instrText>
      </w:r>
      <w:r>
        <w:fldChar w:fldCharType="separate"/>
      </w:r>
      <w:r>
        <w:rPr>
          <w:rFonts w:hint="eastAsia" w:ascii="黑体" w:hAnsi="宋体" w:eastAsia="黑体"/>
          <w:szCs w:val="28"/>
        </w:rPr>
        <w:t>三、授权委托书</w:t>
      </w:r>
      <w:r>
        <w:tab/>
      </w:r>
      <w:r>
        <w:fldChar w:fldCharType="begin"/>
      </w:r>
      <w:r>
        <w:instrText xml:space="preserve"> PAGEREF _Toc28816 \h </w:instrText>
      </w:r>
      <w:r>
        <w:fldChar w:fldCharType="separate"/>
      </w:r>
      <w:r>
        <w:t>71</w:t>
      </w:r>
      <w:r>
        <w:fldChar w:fldCharType="end"/>
      </w:r>
      <w:r>
        <w:fldChar w:fldCharType="end"/>
      </w:r>
    </w:p>
    <w:p>
      <w:pPr>
        <w:pStyle w:val="38"/>
        <w:tabs>
          <w:tab w:val="right" w:leader="dot" w:pos="8844"/>
        </w:tabs>
        <w:ind w:left="420"/>
      </w:pPr>
      <w:r>
        <w:fldChar w:fldCharType="begin"/>
      </w:r>
      <w:r>
        <w:instrText xml:space="preserve"> HYPERLINK \l "_Toc26981" </w:instrText>
      </w:r>
      <w:r>
        <w:fldChar w:fldCharType="separate"/>
      </w:r>
      <w:r>
        <w:rPr>
          <w:rFonts w:hint="eastAsia" w:ascii="黑体" w:hAnsi="宋体" w:eastAsia="黑体"/>
          <w:szCs w:val="28"/>
        </w:rPr>
        <w:t>四、投标人提供的资格证明文件</w:t>
      </w:r>
      <w:r>
        <w:tab/>
      </w:r>
      <w:r>
        <w:fldChar w:fldCharType="begin"/>
      </w:r>
      <w:r>
        <w:instrText xml:space="preserve"> PAGEREF _Toc26981 \h </w:instrText>
      </w:r>
      <w:r>
        <w:fldChar w:fldCharType="separate"/>
      </w:r>
      <w:r>
        <w:t>72</w:t>
      </w:r>
      <w:r>
        <w:fldChar w:fldCharType="end"/>
      </w:r>
      <w:r>
        <w:fldChar w:fldCharType="end"/>
      </w:r>
    </w:p>
    <w:p>
      <w:pPr>
        <w:pStyle w:val="24"/>
        <w:tabs>
          <w:tab w:val="right" w:leader="dot" w:pos="8844"/>
        </w:tabs>
        <w:ind w:left="840"/>
      </w:pPr>
      <w:r>
        <w:fldChar w:fldCharType="begin"/>
      </w:r>
      <w:r>
        <w:instrText xml:space="preserve"> HYPERLINK \l "_Toc5687" </w:instrText>
      </w:r>
      <w:r>
        <w:fldChar w:fldCharType="separate"/>
      </w:r>
      <w:r>
        <w:rPr>
          <w:rFonts w:hint="eastAsia" w:ascii="黑体" w:hAnsi="仿宋" w:eastAsia="黑体" w:cs="宋体"/>
          <w:szCs w:val="28"/>
        </w:rPr>
        <w:t>法人或者其他组织的营业执照等主体资格证明文件，自然人的身份证明</w:t>
      </w:r>
      <w:r>
        <w:tab/>
      </w:r>
      <w:r>
        <w:fldChar w:fldCharType="begin"/>
      </w:r>
      <w:r>
        <w:instrText xml:space="preserve"> PAGEREF _Toc5687 \h </w:instrText>
      </w:r>
      <w:r>
        <w:fldChar w:fldCharType="separate"/>
      </w:r>
      <w:r>
        <w:t>73</w:t>
      </w:r>
      <w:r>
        <w:fldChar w:fldCharType="end"/>
      </w:r>
      <w:r>
        <w:fldChar w:fldCharType="end"/>
      </w:r>
    </w:p>
    <w:p>
      <w:pPr>
        <w:pStyle w:val="24"/>
        <w:tabs>
          <w:tab w:val="right" w:leader="dot" w:pos="8844"/>
        </w:tabs>
        <w:ind w:left="840"/>
      </w:pPr>
      <w:r>
        <w:fldChar w:fldCharType="begin"/>
      </w:r>
      <w:r>
        <w:instrText xml:space="preserve"> HYPERLINK \l "_Toc8571" </w:instrText>
      </w:r>
      <w:r>
        <w:fldChar w:fldCharType="separate"/>
      </w:r>
      <w:r>
        <w:rPr>
          <w:rFonts w:hint="eastAsia" w:ascii="黑体" w:hAnsi="仿宋" w:eastAsia="黑体" w:cs="宋体"/>
          <w:szCs w:val="28"/>
        </w:rPr>
        <w:t>湖南省政府采购供应商资格承诺函(格式)</w:t>
      </w:r>
      <w:r>
        <w:tab/>
      </w:r>
      <w:r>
        <w:fldChar w:fldCharType="begin"/>
      </w:r>
      <w:r>
        <w:instrText xml:space="preserve"> PAGEREF _Toc8571 \h </w:instrText>
      </w:r>
      <w:r>
        <w:fldChar w:fldCharType="separate"/>
      </w:r>
      <w:r>
        <w:t>74</w:t>
      </w:r>
      <w:r>
        <w:fldChar w:fldCharType="end"/>
      </w:r>
      <w:r>
        <w:fldChar w:fldCharType="end"/>
      </w:r>
    </w:p>
    <w:p>
      <w:pPr>
        <w:pStyle w:val="24"/>
        <w:tabs>
          <w:tab w:val="right" w:leader="dot" w:pos="8844"/>
        </w:tabs>
        <w:ind w:left="840"/>
      </w:pPr>
      <w:r>
        <w:fldChar w:fldCharType="begin"/>
      </w:r>
      <w:r>
        <w:instrText xml:space="preserve"> HYPERLINK \l "_Toc882" </w:instrText>
      </w:r>
      <w:r>
        <w:fldChar w:fldCharType="separate"/>
      </w:r>
      <w:r>
        <w:rPr>
          <w:rFonts w:hint="eastAsia" w:ascii="黑体" w:hAnsi="仿宋" w:eastAsia="黑体" w:cs="宋体"/>
          <w:szCs w:val="28"/>
        </w:rPr>
        <w:t>符合特定资格条件证明材料复印件或者情况说明</w:t>
      </w:r>
      <w:r>
        <w:tab/>
      </w:r>
      <w:r>
        <w:fldChar w:fldCharType="begin"/>
      </w:r>
      <w:r>
        <w:instrText xml:space="preserve"> PAGEREF _Toc882 \h </w:instrText>
      </w:r>
      <w:r>
        <w:fldChar w:fldCharType="separate"/>
      </w:r>
      <w:r>
        <w:t>75</w:t>
      </w:r>
      <w:r>
        <w:fldChar w:fldCharType="end"/>
      </w:r>
      <w:r>
        <w:fldChar w:fldCharType="end"/>
      </w:r>
    </w:p>
    <w:p>
      <w:pPr>
        <w:pStyle w:val="24"/>
        <w:tabs>
          <w:tab w:val="right" w:leader="dot" w:pos="8844"/>
        </w:tabs>
        <w:ind w:left="840"/>
      </w:pPr>
      <w:r>
        <w:fldChar w:fldCharType="begin"/>
      </w:r>
      <w:r>
        <w:instrText xml:space="preserve"> HYPERLINK \l "_Toc26482" </w:instrText>
      </w:r>
      <w:r>
        <w:fldChar w:fldCharType="separate"/>
      </w:r>
      <w:r>
        <w:rPr>
          <w:rFonts w:hint="eastAsia" w:ascii="黑体" w:hAnsi="仿宋" w:eastAsia="黑体" w:cs="宋体"/>
          <w:szCs w:val="28"/>
        </w:rPr>
        <w:t>联合体协议书（本项目不适用）</w:t>
      </w:r>
      <w:r>
        <w:tab/>
      </w:r>
      <w:r>
        <w:fldChar w:fldCharType="begin"/>
      </w:r>
      <w:r>
        <w:instrText xml:space="preserve"> PAGEREF _Toc26482 \h </w:instrText>
      </w:r>
      <w:r>
        <w:fldChar w:fldCharType="separate"/>
      </w:r>
      <w:r>
        <w:t>76</w:t>
      </w:r>
      <w:r>
        <w:fldChar w:fldCharType="end"/>
      </w:r>
      <w:r>
        <w:fldChar w:fldCharType="end"/>
      </w:r>
    </w:p>
    <w:p>
      <w:pPr>
        <w:pStyle w:val="38"/>
        <w:tabs>
          <w:tab w:val="right" w:leader="dot" w:pos="8844"/>
        </w:tabs>
        <w:ind w:left="420"/>
      </w:pPr>
      <w:r>
        <w:fldChar w:fldCharType="begin"/>
      </w:r>
      <w:r>
        <w:instrText xml:space="preserve"> HYPERLINK \l "_Toc7730" </w:instrText>
      </w:r>
      <w:r>
        <w:fldChar w:fldCharType="separate"/>
      </w:r>
      <w:r>
        <w:rPr>
          <w:rFonts w:hint="eastAsia" w:ascii="黑体" w:hAnsi="黑体" w:eastAsia="黑体"/>
          <w:szCs w:val="44"/>
        </w:rPr>
        <w:t>第二部分 商务技术文件</w:t>
      </w:r>
      <w:r>
        <w:tab/>
      </w:r>
      <w:r>
        <w:fldChar w:fldCharType="begin"/>
      </w:r>
      <w:r>
        <w:instrText xml:space="preserve"> PAGEREF _Toc7730 \h </w:instrText>
      </w:r>
      <w:r>
        <w:fldChar w:fldCharType="separate"/>
      </w:r>
      <w:r>
        <w:t>78</w:t>
      </w:r>
      <w:r>
        <w:fldChar w:fldCharType="end"/>
      </w:r>
      <w:r>
        <w:fldChar w:fldCharType="end"/>
      </w:r>
    </w:p>
    <w:p>
      <w:pPr>
        <w:pStyle w:val="38"/>
        <w:tabs>
          <w:tab w:val="right" w:leader="dot" w:pos="8844"/>
        </w:tabs>
        <w:ind w:left="420"/>
      </w:pPr>
      <w:r>
        <w:fldChar w:fldCharType="begin"/>
      </w:r>
      <w:r>
        <w:instrText xml:space="preserve"> HYPERLINK \l "_Toc4195" </w:instrText>
      </w:r>
      <w:r>
        <w:fldChar w:fldCharType="separate"/>
      </w:r>
      <w:r>
        <w:rPr>
          <w:rFonts w:hint="eastAsia" w:ascii="黑体" w:hAnsi="宋体" w:eastAsia="黑体"/>
          <w:szCs w:val="28"/>
        </w:rPr>
        <w:t>五</w:t>
      </w:r>
      <w:r>
        <w:rPr>
          <w:rFonts w:ascii="黑体" w:hAnsi="宋体" w:eastAsia="黑体"/>
          <w:szCs w:val="28"/>
        </w:rPr>
        <w:t>、</w:t>
      </w:r>
      <w:r>
        <w:rPr>
          <w:rFonts w:hint="eastAsia" w:ascii="黑体" w:hAnsi="宋体" w:eastAsia="黑体"/>
          <w:szCs w:val="28"/>
        </w:rPr>
        <w:t>投标函</w:t>
      </w:r>
      <w:r>
        <w:tab/>
      </w:r>
      <w:r>
        <w:fldChar w:fldCharType="begin"/>
      </w:r>
      <w:r>
        <w:instrText xml:space="preserve"> PAGEREF _Toc4195 \h </w:instrText>
      </w:r>
      <w:r>
        <w:fldChar w:fldCharType="separate"/>
      </w:r>
      <w:r>
        <w:t>79</w:t>
      </w:r>
      <w:r>
        <w:fldChar w:fldCharType="end"/>
      </w:r>
      <w:r>
        <w:fldChar w:fldCharType="end"/>
      </w:r>
    </w:p>
    <w:p>
      <w:pPr>
        <w:pStyle w:val="38"/>
        <w:tabs>
          <w:tab w:val="right" w:leader="dot" w:pos="8844"/>
        </w:tabs>
        <w:ind w:left="420"/>
      </w:pPr>
      <w:r>
        <w:fldChar w:fldCharType="begin"/>
      </w:r>
      <w:r>
        <w:instrText xml:space="preserve"> HYPERLINK \l "_Toc31345" </w:instrText>
      </w:r>
      <w:r>
        <w:fldChar w:fldCharType="separate"/>
      </w:r>
      <w:r>
        <w:rPr>
          <w:rFonts w:hint="eastAsia" w:ascii="黑体" w:hAnsi="宋体" w:eastAsia="黑体"/>
          <w:szCs w:val="28"/>
        </w:rPr>
        <w:t>六、分项报价</w:t>
      </w:r>
      <w:r>
        <w:tab/>
      </w:r>
      <w:r>
        <w:fldChar w:fldCharType="begin"/>
      </w:r>
      <w:r>
        <w:instrText xml:space="preserve"> PAGEREF _Toc31345 \h </w:instrText>
      </w:r>
      <w:r>
        <w:fldChar w:fldCharType="separate"/>
      </w:r>
      <w:r>
        <w:t>80</w:t>
      </w:r>
      <w:r>
        <w:fldChar w:fldCharType="end"/>
      </w:r>
      <w:r>
        <w:fldChar w:fldCharType="end"/>
      </w:r>
    </w:p>
    <w:p>
      <w:pPr>
        <w:pStyle w:val="24"/>
        <w:tabs>
          <w:tab w:val="right" w:leader="dot" w:pos="8844"/>
        </w:tabs>
        <w:ind w:left="840"/>
      </w:pPr>
      <w:r>
        <w:fldChar w:fldCharType="begin"/>
      </w:r>
      <w:r>
        <w:instrText xml:space="preserve"> HYPERLINK \l "_Toc11927" </w:instrText>
      </w:r>
      <w:r>
        <w:fldChar w:fldCharType="separate"/>
      </w:r>
      <w:r>
        <w:rPr>
          <w:rFonts w:hint="eastAsia" w:ascii="黑体" w:hAnsi="宋体" w:eastAsia="黑体" w:cs="微软雅黑"/>
          <w:spacing w:val="-2"/>
          <w:szCs w:val="28"/>
        </w:rPr>
        <w:t>分</w:t>
      </w:r>
      <w:r>
        <w:rPr>
          <w:rFonts w:hint="eastAsia" w:ascii="黑体" w:hAnsi="宋体" w:eastAsia="黑体" w:cs="微软雅黑"/>
          <w:szCs w:val="28"/>
        </w:rPr>
        <w:t>项</w:t>
      </w:r>
      <w:r>
        <w:rPr>
          <w:rFonts w:hint="eastAsia" w:ascii="黑体" w:hAnsi="宋体" w:eastAsia="黑体" w:cs="微软雅黑"/>
          <w:spacing w:val="-2"/>
          <w:szCs w:val="28"/>
        </w:rPr>
        <w:t>报</w:t>
      </w:r>
      <w:r>
        <w:rPr>
          <w:rFonts w:hint="eastAsia" w:ascii="黑体" w:hAnsi="宋体" w:eastAsia="黑体" w:cs="微软雅黑"/>
          <w:szCs w:val="28"/>
        </w:rPr>
        <w:t>价说明</w:t>
      </w:r>
      <w:r>
        <w:tab/>
      </w:r>
      <w:r>
        <w:fldChar w:fldCharType="begin"/>
      </w:r>
      <w:r>
        <w:instrText xml:space="preserve"> PAGEREF _Toc11927 \h </w:instrText>
      </w:r>
      <w:r>
        <w:fldChar w:fldCharType="separate"/>
      </w:r>
      <w:r>
        <w:t>81</w:t>
      </w:r>
      <w:r>
        <w:fldChar w:fldCharType="end"/>
      </w:r>
      <w:r>
        <w:fldChar w:fldCharType="end"/>
      </w:r>
    </w:p>
    <w:p>
      <w:pPr>
        <w:pStyle w:val="24"/>
        <w:tabs>
          <w:tab w:val="right" w:leader="dot" w:pos="8844"/>
        </w:tabs>
        <w:ind w:left="840"/>
      </w:pPr>
      <w:r>
        <w:fldChar w:fldCharType="begin"/>
      </w:r>
      <w:r>
        <w:instrText xml:space="preserve"> HYPERLINK \l "_Toc24224" </w:instrText>
      </w:r>
      <w:r>
        <w:fldChar w:fldCharType="separate"/>
      </w:r>
      <w:r>
        <w:rPr>
          <w:rFonts w:hint="eastAsia" w:ascii="黑体" w:hAnsi="宋体" w:eastAsia="黑体" w:cs="微软雅黑"/>
          <w:spacing w:val="-2"/>
          <w:position w:val="-3"/>
          <w:szCs w:val="28"/>
        </w:rPr>
        <w:t>分</w:t>
      </w:r>
      <w:r>
        <w:rPr>
          <w:rFonts w:hint="eastAsia" w:ascii="黑体" w:hAnsi="宋体" w:eastAsia="黑体" w:cs="微软雅黑"/>
          <w:position w:val="-3"/>
          <w:szCs w:val="28"/>
        </w:rPr>
        <w:t>项</w:t>
      </w:r>
      <w:r>
        <w:rPr>
          <w:rFonts w:hint="eastAsia" w:ascii="黑体" w:hAnsi="宋体" w:eastAsia="黑体" w:cs="微软雅黑"/>
          <w:spacing w:val="-2"/>
          <w:position w:val="-3"/>
          <w:szCs w:val="28"/>
        </w:rPr>
        <w:t>报</w:t>
      </w:r>
      <w:r>
        <w:rPr>
          <w:rFonts w:hint="eastAsia" w:ascii="黑体" w:hAnsi="宋体" w:eastAsia="黑体" w:cs="微软雅黑"/>
          <w:position w:val="-3"/>
          <w:szCs w:val="28"/>
        </w:rPr>
        <w:t>价明细表</w:t>
      </w:r>
      <w:r>
        <w:tab/>
      </w:r>
      <w:r>
        <w:fldChar w:fldCharType="begin"/>
      </w:r>
      <w:r>
        <w:instrText xml:space="preserve"> PAGEREF _Toc24224 \h </w:instrText>
      </w:r>
      <w:r>
        <w:fldChar w:fldCharType="separate"/>
      </w:r>
      <w:r>
        <w:t>81</w:t>
      </w:r>
      <w:r>
        <w:fldChar w:fldCharType="end"/>
      </w:r>
      <w:r>
        <w:fldChar w:fldCharType="end"/>
      </w:r>
    </w:p>
    <w:p>
      <w:pPr>
        <w:pStyle w:val="38"/>
        <w:tabs>
          <w:tab w:val="right" w:leader="dot" w:pos="8844"/>
        </w:tabs>
        <w:ind w:left="420"/>
      </w:pPr>
      <w:r>
        <w:fldChar w:fldCharType="begin"/>
      </w:r>
      <w:r>
        <w:instrText xml:space="preserve"> HYPERLINK \l "_Toc16072" </w:instrText>
      </w:r>
      <w:r>
        <w:fldChar w:fldCharType="separate"/>
      </w:r>
      <w:r>
        <w:rPr>
          <w:rFonts w:hint="eastAsia" w:ascii="黑体" w:hAnsi="宋体" w:eastAsia="黑体"/>
          <w:szCs w:val="28"/>
        </w:rPr>
        <w:t>七、采购需求响应</w:t>
      </w:r>
      <w:r>
        <w:tab/>
      </w:r>
      <w:r>
        <w:fldChar w:fldCharType="begin"/>
      </w:r>
      <w:r>
        <w:instrText xml:space="preserve"> PAGEREF _Toc16072 \h </w:instrText>
      </w:r>
      <w:r>
        <w:fldChar w:fldCharType="separate"/>
      </w:r>
      <w:r>
        <w:t>82</w:t>
      </w:r>
      <w:r>
        <w:fldChar w:fldCharType="end"/>
      </w:r>
      <w:r>
        <w:fldChar w:fldCharType="end"/>
      </w:r>
    </w:p>
    <w:p>
      <w:pPr>
        <w:pStyle w:val="24"/>
        <w:tabs>
          <w:tab w:val="right" w:leader="dot" w:pos="8844"/>
        </w:tabs>
        <w:ind w:left="840"/>
      </w:pPr>
      <w:r>
        <w:fldChar w:fldCharType="begin"/>
      </w:r>
      <w:r>
        <w:instrText xml:space="preserve"> HYPERLINK \l "_Toc3190" </w:instrText>
      </w:r>
      <w:r>
        <w:fldChar w:fldCharType="separate"/>
      </w:r>
      <w:r>
        <w:rPr>
          <w:rFonts w:hint="eastAsia" w:ascii="黑体" w:hAnsi="黑体" w:eastAsia="黑体"/>
          <w:szCs w:val="28"/>
        </w:rPr>
        <w:t>响应-览表</w:t>
      </w:r>
      <w:r>
        <w:tab/>
      </w:r>
      <w:r>
        <w:fldChar w:fldCharType="begin"/>
      </w:r>
      <w:r>
        <w:instrText xml:space="preserve"> PAGEREF _Toc3190 \h </w:instrText>
      </w:r>
      <w:r>
        <w:fldChar w:fldCharType="separate"/>
      </w:r>
      <w:r>
        <w:t>82</w:t>
      </w:r>
      <w:r>
        <w:fldChar w:fldCharType="end"/>
      </w:r>
      <w:r>
        <w:fldChar w:fldCharType="end"/>
      </w:r>
    </w:p>
    <w:p>
      <w:pPr>
        <w:pStyle w:val="38"/>
        <w:tabs>
          <w:tab w:val="right" w:leader="dot" w:pos="8844"/>
        </w:tabs>
        <w:ind w:left="420"/>
      </w:pPr>
      <w:r>
        <w:fldChar w:fldCharType="begin"/>
      </w:r>
      <w:r>
        <w:instrText xml:space="preserve"> HYPERLINK \l "_Toc23591" </w:instrText>
      </w:r>
      <w:r>
        <w:fldChar w:fldCharType="separate"/>
      </w:r>
      <w:r>
        <w:rPr>
          <w:rFonts w:hint="eastAsia" w:ascii="黑体" w:hAnsi="黑体" w:eastAsia="黑体"/>
          <w:szCs w:val="28"/>
        </w:rPr>
        <w:t>八、合同条款偏离表</w:t>
      </w:r>
      <w:r>
        <w:tab/>
      </w:r>
      <w:r>
        <w:fldChar w:fldCharType="begin"/>
      </w:r>
      <w:r>
        <w:instrText xml:space="preserve"> PAGEREF _Toc23591 \h </w:instrText>
      </w:r>
      <w:r>
        <w:fldChar w:fldCharType="separate"/>
      </w:r>
      <w:r>
        <w:t>83</w:t>
      </w:r>
      <w:r>
        <w:fldChar w:fldCharType="end"/>
      </w:r>
      <w:r>
        <w:fldChar w:fldCharType="end"/>
      </w:r>
    </w:p>
    <w:p>
      <w:pPr>
        <w:pStyle w:val="38"/>
        <w:tabs>
          <w:tab w:val="right" w:leader="dot" w:pos="8844"/>
        </w:tabs>
        <w:ind w:left="420"/>
      </w:pPr>
      <w:r>
        <w:fldChar w:fldCharType="begin"/>
      </w:r>
      <w:r>
        <w:instrText xml:space="preserve"> HYPERLINK \l "_Toc31059" </w:instrText>
      </w:r>
      <w:r>
        <w:fldChar w:fldCharType="separate"/>
      </w:r>
      <w:r>
        <w:rPr>
          <w:rFonts w:hint="eastAsia" w:ascii="黑体" w:hAnsi="宋体" w:eastAsia="黑体"/>
          <w:szCs w:val="28"/>
        </w:rPr>
        <w:t>九、采购需求偏离表</w:t>
      </w:r>
      <w:r>
        <w:tab/>
      </w:r>
      <w:r>
        <w:fldChar w:fldCharType="begin"/>
      </w:r>
      <w:r>
        <w:instrText xml:space="preserve"> PAGEREF _Toc31059 \h </w:instrText>
      </w:r>
      <w:r>
        <w:fldChar w:fldCharType="separate"/>
      </w:r>
      <w:r>
        <w:t>84</w:t>
      </w:r>
      <w:r>
        <w:fldChar w:fldCharType="end"/>
      </w:r>
      <w:r>
        <w:fldChar w:fldCharType="end"/>
      </w:r>
    </w:p>
    <w:p>
      <w:pPr>
        <w:pStyle w:val="38"/>
        <w:tabs>
          <w:tab w:val="right" w:leader="dot" w:pos="8844"/>
        </w:tabs>
        <w:ind w:left="420"/>
      </w:pPr>
      <w:r>
        <w:fldChar w:fldCharType="begin"/>
      </w:r>
      <w:r>
        <w:instrText xml:space="preserve"> HYPERLINK \l "_Toc6594" </w:instrText>
      </w:r>
      <w:r>
        <w:fldChar w:fldCharType="separate"/>
      </w:r>
      <w:r>
        <w:rPr>
          <w:rFonts w:hint="eastAsia" w:ascii="黑体" w:hAnsi="宋体" w:eastAsia="黑体"/>
          <w:szCs w:val="28"/>
        </w:rPr>
        <w:t>十、享受政府采购政策优惠的证明资料</w:t>
      </w:r>
      <w:r>
        <w:tab/>
      </w:r>
      <w:r>
        <w:fldChar w:fldCharType="begin"/>
      </w:r>
      <w:r>
        <w:instrText xml:space="preserve"> PAGEREF _Toc6594 \h </w:instrText>
      </w:r>
      <w:r>
        <w:fldChar w:fldCharType="separate"/>
      </w:r>
      <w:r>
        <w:t>85</w:t>
      </w:r>
      <w:r>
        <w:fldChar w:fldCharType="end"/>
      </w:r>
      <w:r>
        <w:fldChar w:fldCharType="end"/>
      </w:r>
    </w:p>
    <w:p>
      <w:pPr>
        <w:pStyle w:val="24"/>
        <w:tabs>
          <w:tab w:val="right" w:leader="dot" w:pos="8844"/>
        </w:tabs>
        <w:ind w:left="840"/>
      </w:pPr>
      <w:r>
        <w:fldChar w:fldCharType="begin"/>
      </w:r>
      <w:r>
        <w:instrText xml:space="preserve"> HYPERLINK \l "_Toc14991" </w:instrText>
      </w:r>
      <w:r>
        <w:fldChar w:fldCharType="separate"/>
      </w:r>
      <w:r>
        <w:rPr>
          <w:rFonts w:hint="eastAsia" w:ascii="黑体" w:hAnsi="黑体" w:eastAsia="黑体" w:cs="黑体"/>
          <w:spacing w:val="6"/>
          <w:szCs w:val="28"/>
        </w:rPr>
        <w:t>中小企业声明函</w:t>
      </w:r>
      <w:r>
        <w:tab/>
      </w:r>
      <w:r>
        <w:fldChar w:fldCharType="begin"/>
      </w:r>
      <w:r>
        <w:instrText xml:space="preserve"> PAGEREF _Toc14991 \h </w:instrText>
      </w:r>
      <w:r>
        <w:fldChar w:fldCharType="separate"/>
      </w:r>
      <w:r>
        <w:t>85</w:t>
      </w:r>
      <w:r>
        <w:fldChar w:fldCharType="end"/>
      </w:r>
      <w:r>
        <w:fldChar w:fldCharType="end"/>
      </w:r>
    </w:p>
    <w:p>
      <w:pPr>
        <w:pStyle w:val="24"/>
        <w:tabs>
          <w:tab w:val="right" w:leader="dot" w:pos="8844"/>
        </w:tabs>
        <w:ind w:left="840"/>
      </w:pPr>
      <w:r>
        <w:fldChar w:fldCharType="begin"/>
      </w:r>
      <w:r>
        <w:instrText xml:space="preserve"> HYPERLINK \l "_Toc21512" </w:instrText>
      </w:r>
      <w:r>
        <w:fldChar w:fldCharType="separate"/>
      </w:r>
      <w:r>
        <w:rPr>
          <w:rFonts w:hint="eastAsia" w:ascii="黑体" w:hAnsi="黑体" w:eastAsia="黑体"/>
          <w:spacing w:val="6"/>
          <w:szCs w:val="28"/>
        </w:rPr>
        <w:t>残疾人福利性单位声明函</w:t>
      </w:r>
      <w:r>
        <w:tab/>
      </w:r>
      <w:r>
        <w:fldChar w:fldCharType="begin"/>
      </w:r>
      <w:r>
        <w:instrText xml:space="preserve"> PAGEREF _Toc21512 \h </w:instrText>
      </w:r>
      <w:r>
        <w:fldChar w:fldCharType="separate"/>
      </w:r>
      <w:r>
        <w:t>86</w:t>
      </w:r>
      <w:r>
        <w:fldChar w:fldCharType="end"/>
      </w:r>
      <w:r>
        <w:fldChar w:fldCharType="end"/>
      </w:r>
    </w:p>
    <w:p>
      <w:pPr>
        <w:pStyle w:val="24"/>
        <w:tabs>
          <w:tab w:val="right" w:leader="dot" w:pos="8844"/>
        </w:tabs>
        <w:ind w:left="840"/>
      </w:pPr>
      <w:r>
        <w:fldChar w:fldCharType="begin"/>
      </w:r>
      <w:r>
        <w:instrText xml:space="preserve"> HYPERLINK \l "_Toc19822" </w:instrText>
      </w:r>
      <w:r>
        <w:fldChar w:fldCharType="separate"/>
      </w:r>
      <w:r>
        <w:rPr>
          <w:rFonts w:hint="eastAsia" w:ascii="黑体" w:hAnsi="宋体"/>
          <w:szCs w:val="28"/>
        </w:rPr>
        <w:t>监狱企业证明资料</w:t>
      </w:r>
      <w:r>
        <w:tab/>
      </w:r>
      <w:r>
        <w:fldChar w:fldCharType="begin"/>
      </w:r>
      <w:r>
        <w:instrText xml:space="preserve"> PAGEREF _Toc19822 \h </w:instrText>
      </w:r>
      <w:r>
        <w:fldChar w:fldCharType="separate"/>
      </w:r>
      <w:r>
        <w:t>87</w:t>
      </w:r>
      <w:r>
        <w:fldChar w:fldCharType="end"/>
      </w:r>
      <w:r>
        <w:fldChar w:fldCharType="end"/>
      </w:r>
    </w:p>
    <w:p>
      <w:pPr>
        <w:pStyle w:val="24"/>
        <w:tabs>
          <w:tab w:val="right" w:leader="dot" w:pos="8844"/>
        </w:tabs>
        <w:ind w:left="840"/>
      </w:pPr>
      <w:r>
        <w:fldChar w:fldCharType="begin"/>
      </w:r>
      <w:r>
        <w:instrText xml:space="preserve"> HYPERLINK \l "_Toc9081" </w:instrText>
      </w:r>
      <w:r>
        <w:fldChar w:fldCharType="separate"/>
      </w:r>
      <w:r>
        <w:rPr>
          <w:rFonts w:hint="eastAsia" w:ascii="黑体" w:hAnsi="黑体" w:eastAsia="黑体"/>
          <w:szCs w:val="28"/>
        </w:rPr>
        <w:t>强制采购或者优先采购产品的证明材料</w:t>
      </w:r>
      <w:r>
        <w:tab/>
      </w:r>
      <w:r>
        <w:fldChar w:fldCharType="begin"/>
      </w:r>
      <w:r>
        <w:instrText xml:space="preserve"> PAGEREF _Toc9081 \h </w:instrText>
      </w:r>
      <w:r>
        <w:fldChar w:fldCharType="separate"/>
      </w:r>
      <w:r>
        <w:t>88</w:t>
      </w:r>
      <w:r>
        <w:fldChar w:fldCharType="end"/>
      </w:r>
      <w:r>
        <w:fldChar w:fldCharType="end"/>
      </w:r>
    </w:p>
    <w:p>
      <w:pPr>
        <w:pStyle w:val="38"/>
        <w:tabs>
          <w:tab w:val="right" w:leader="dot" w:pos="8844"/>
        </w:tabs>
        <w:ind w:left="420"/>
      </w:pPr>
      <w:r>
        <w:fldChar w:fldCharType="begin"/>
      </w:r>
      <w:r>
        <w:instrText xml:space="preserve"> HYPERLINK \l "_Toc24468" </w:instrText>
      </w:r>
      <w:r>
        <w:fldChar w:fldCharType="separate"/>
      </w:r>
      <w:r>
        <w:rPr>
          <w:rFonts w:hint="eastAsia" w:ascii="黑体" w:hAnsi="宋体" w:eastAsia="黑体"/>
          <w:szCs w:val="28"/>
        </w:rPr>
        <w:t>十一、投标货物符合招标文件规定的证明文件</w:t>
      </w:r>
      <w:r>
        <w:tab/>
      </w:r>
      <w:r>
        <w:fldChar w:fldCharType="begin"/>
      </w:r>
      <w:r>
        <w:instrText xml:space="preserve"> PAGEREF _Toc24468 \h </w:instrText>
      </w:r>
      <w:r>
        <w:fldChar w:fldCharType="separate"/>
      </w:r>
      <w:r>
        <w:t>90</w:t>
      </w:r>
      <w:r>
        <w:fldChar w:fldCharType="end"/>
      </w:r>
      <w:r>
        <w:fldChar w:fldCharType="end"/>
      </w:r>
    </w:p>
    <w:p>
      <w:pPr>
        <w:pStyle w:val="38"/>
        <w:tabs>
          <w:tab w:val="right" w:leader="dot" w:pos="8844"/>
        </w:tabs>
        <w:ind w:left="420"/>
      </w:pPr>
      <w:r>
        <w:fldChar w:fldCharType="begin"/>
      </w:r>
      <w:r>
        <w:instrText xml:space="preserve"> HYPERLINK \l "_Toc8642" </w:instrText>
      </w:r>
      <w:r>
        <w:fldChar w:fldCharType="separate"/>
      </w:r>
      <w:r>
        <w:rPr>
          <w:rFonts w:hint="eastAsia" w:ascii="黑体" w:hAnsi="宋体" w:eastAsia="黑体"/>
          <w:szCs w:val="28"/>
        </w:rPr>
        <w:t>十二、投标人认为需提供的其他资料</w:t>
      </w:r>
      <w:r>
        <w:tab/>
      </w:r>
      <w:r>
        <w:fldChar w:fldCharType="begin"/>
      </w:r>
      <w:r>
        <w:instrText xml:space="preserve"> PAGEREF _Toc8642 \h </w:instrText>
      </w:r>
      <w:r>
        <w:fldChar w:fldCharType="separate"/>
      </w:r>
      <w:r>
        <w:t>91</w:t>
      </w:r>
      <w:r>
        <w:fldChar w:fldCharType="end"/>
      </w:r>
      <w:r>
        <w:fldChar w:fldCharType="end"/>
      </w:r>
    </w:p>
    <w:p>
      <w:pPr>
        <w:adjustRightInd w:val="0"/>
        <w:snapToGrid w:val="0"/>
        <w:spacing w:line="240" w:lineRule="atLeast"/>
        <w:ind w:firstLine="840" w:firstLineChars="400"/>
        <w:rPr>
          <w:rFonts w:ascii="宋体" w:hAnsi="宋体"/>
          <w:szCs w:val="21"/>
        </w:rPr>
      </w:pPr>
      <w:r>
        <w:rPr>
          <w:rFonts w:ascii="宋体" w:hAnsi="宋体"/>
          <w:szCs w:val="21"/>
        </w:rPr>
        <w:fldChar w:fldCharType="end"/>
      </w:r>
    </w:p>
    <w:p>
      <w:pPr>
        <w:pStyle w:val="3"/>
        <w:sectPr>
          <w:pgSz w:w="11906" w:h="16838"/>
          <w:pgMar w:top="1474" w:right="1474" w:bottom="1474" w:left="1588" w:header="851" w:footer="992" w:gutter="0"/>
          <w:pgNumType w:start="1"/>
          <w:cols w:space="720" w:num="1"/>
          <w:docGrid w:type="lines" w:linePitch="312" w:charSpace="0"/>
        </w:sectPr>
      </w:pPr>
      <w:bookmarkStart w:id="2" w:name="_Toc53472201"/>
      <w:bookmarkStart w:id="3" w:name="_Toc34720698"/>
      <w:bookmarkStart w:id="4" w:name="_Toc20642243"/>
      <w:bookmarkStart w:id="5" w:name="_Toc20988241"/>
      <w:bookmarkStart w:id="6" w:name="_Toc21001314"/>
      <w:bookmarkStart w:id="7" w:name="_Toc35421027"/>
      <w:bookmarkStart w:id="8" w:name="_Toc21000471"/>
      <w:bookmarkStart w:id="9" w:name="_Toc20816073"/>
    </w:p>
    <w:p>
      <w:pPr>
        <w:widowControl/>
        <w:numPr>
          <w:ilvl w:val="0"/>
          <w:numId w:val="1"/>
        </w:numPr>
        <w:jc w:val="center"/>
        <w:outlineLvl w:val="0"/>
        <w:rPr>
          <w:rFonts w:hint="eastAsia" w:asciiTheme="minorEastAsia" w:hAnsiTheme="minorEastAsia" w:eastAsiaTheme="minorEastAsia" w:cstheme="minorEastAsia"/>
          <w:b/>
          <w:bCs/>
          <w:color w:val="000000"/>
          <w:kern w:val="36"/>
          <w:sz w:val="30"/>
          <w:szCs w:val="30"/>
        </w:rPr>
      </w:pPr>
      <w:bookmarkStart w:id="10" w:name="OLE_LINK24"/>
      <w:r>
        <w:rPr>
          <w:rFonts w:hint="eastAsia" w:asciiTheme="minorEastAsia" w:hAnsiTheme="minorEastAsia" w:eastAsiaTheme="minorEastAsia" w:cstheme="minorEastAsia"/>
          <w:b/>
          <w:bCs/>
          <w:color w:val="000000"/>
          <w:kern w:val="36"/>
          <w:sz w:val="30"/>
          <w:szCs w:val="30"/>
          <w:lang w:eastAsia="zh-CN"/>
        </w:rPr>
        <w:t>娄底监狱2026年度药品和耗材采购计划第一标段（第四次）</w:t>
      </w:r>
      <w:r>
        <w:rPr>
          <w:rFonts w:hint="eastAsia" w:asciiTheme="minorEastAsia" w:hAnsiTheme="minorEastAsia" w:eastAsiaTheme="minorEastAsia" w:cstheme="minorEastAsia"/>
          <w:b/>
          <w:bCs/>
          <w:color w:val="000000"/>
          <w:kern w:val="36"/>
          <w:sz w:val="30"/>
          <w:szCs w:val="30"/>
        </w:rPr>
        <w:t>公开招标公告</w:t>
      </w:r>
    </w:p>
    <w:p>
      <w:pPr>
        <w:widowControl/>
        <w:spacing w:line="420" w:lineRule="atLeast"/>
        <w:ind w:firstLine="480"/>
        <w:jc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公告时间：</w:t>
      </w:r>
      <w:r>
        <w:rPr>
          <w:rFonts w:hint="eastAsia" w:asciiTheme="minorEastAsia" w:hAnsiTheme="minorEastAsia" w:eastAsiaTheme="minorEastAsia" w:cstheme="minorEastAsia"/>
          <w:color w:val="000000"/>
          <w:kern w:val="0"/>
          <w:sz w:val="24"/>
          <w:lang w:eastAsia="zh-CN"/>
        </w:rPr>
        <w:t>2026</w:t>
      </w:r>
      <w:r>
        <w:rPr>
          <w:rFonts w:hint="eastAsia" w:asciiTheme="minorEastAsia" w:hAnsiTheme="minorEastAsia" w:eastAsiaTheme="minorEastAsia" w:cstheme="minorEastAsia"/>
          <w:color w:val="000000"/>
          <w:kern w:val="0"/>
          <w:sz w:val="24"/>
        </w:rPr>
        <w:t>年</w:t>
      </w:r>
      <w:r>
        <w:rPr>
          <w:rFonts w:hint="eastAsia" w:asciiTheme="minorEastAsia" w:hAnsiTheme="minorEastAsia" w:eastAsiaTheme="minorEastAsia" w:cstheme="minorEastAsia"/>
          <w:color w:val="000000"/>
          <w:kern w:val="0"/>
          <w:sz w:val="24"/>
          <w:lang w:val="en-US" w:eastAsia="zh-CN"/>
        </w:rPr>
        <w:t xml:space="preserve">  </w:t>
      </w:r>
      <w:r>
        <w:rPr>
          <w:rFonts w:hint="eastAsia" w:asciiTheme="minorEastAsia" w:hAnsiTheme="minorEastAsia" w:eastAsiaTheme="minorEastAsia" w:cstheme="minorEastAsia"/>
          <w:color w:val="000000"/>
          <w:kern w:val="0"/>
          <w:sz w:val="24"/>
        </w:rPr>
        <w:t>月</w:t>
      </w:r>
      <w:r>
        <w:rPr>
          <w:rFonts w:hint="eastAsia" w:asciiTheme="minorEastAsia" w:hAnsiTheme="minorEastAsia" w:eastAsiaTheme="minorEastAsia" w:cstheme="minorEastAsia"/>
          <w:color w:val="000000"/>
          <w:kern w:val="0"/>
          <w:sz w:val="24"/>
          <w:lang w:val="en-US" w:eastAsia="zh-CN"/>
        </w:rPr>
        <w:t xml:space="preserve">  </w:t>
      </w:r>
      <w:r>
        <w:rPr>
          <w:rFonts w:hint="eastAsia" w:asciiTheme="minorEastAsia" w:hAnsiTheme="minorEastAsia" w:eastAsiaTheme="minorEastAsia" w:cstheme="minorEastAsia"/>
          <w:color w:val="000000"/>
          <w:kern w:val="0"/>
          <w:sz w:val="24"/>
        </w:rPr>
        <w:t>日</w:t>
      </w:r>
    </w:p>
    <w:p>
      <w:pPr>
        <w:widowControl/>
        <w:spacing w:line="420" w:lineRule="atLeast"/>
        <w:ind w:firstLine="480"/>
        <w:jc w:val="left"/>
        <w:rPr>
          <w:rFonts w:hint="eastAsia" w:asciiTheme="minorEastAsia" w:hAnsiTheme="minorEastAsia" w:eastAsiaTheme="minorEastAsia" w:cstheme="minorEastAsia"/>
          <w:color w:val="000000"/>
          <w:kern w:val="0"/>
          <w:sz w:val="24"/>
        </w:rPr>
      </w:pPr>
      <w:bookmarkStart w:id="1391" w:name="_GoBack"/>
      <w:r>
        <w:rPr>
          <w:rFonts w:hint="eastAsia" w:asciiTheme="minorEastAsia" w:hAnsiTheme="minorEastAsia" w:eastAsiaTheme="minorEastAsia" w:cstheme="minorEastAsia"/>
          <w:color w:val="000000"/>
          <w:kern w:val="0"/>
          <w:sz w:val="24"/>
          <w:lang w:eastAsia="zh-CN"/>
        </w:rPr>
        <w:t>湖南省娄底监狱</w:t>
      </w:r>
      <w:r>
        <w:rPr>
          <w:rFonts w:hint="eastAsia" w:asciiTheme="minorEastAsia" w:hAnsiTheme="minorEastAsia" w:eastAsiaTheme="minorEastAsia" w:cstheme="minorEastAsia"/>
          <w:color w:val="000000"/>
          <w:kern w:val="0"/>
          <w:sz w:val="24"/>
          <w:lang w:val="en-US" w:eastAsia="zh-CN"/>
        </w:rPr>
        <w:t>的</w:t>
      </w:r>
      <w:r>
        <w:rPr>
          <w:rFonts w:hint="eastAsia" w:asciiTheme="minorEastAsia" w:hAnsiTheme="minorEastAsia" w:eastAsiaTheme="minorEastAsia" w:cstheme="minorEastAsia"/>
          <w:color w:val="000000"/>
          <w:kern w:val="0"/>
          <w:sz w:val="24"/>
          <w:lang w:eastAsia="zh-CN"/>
        </w:rPr>
        <w:t>娄底监狱2026年度药品和耗材采购计划第一标段（第四次）</w:t>
      </w:r>
      <w:r>
        <w:rPr>
          <w:rFonts w:hint="eastAsia" w:asciiTheme="minorEastAsia" w:hAnsiTheme="minorEastAsia" w:eastAsiaTheme="minorEastAsia" w:cstheme="minorEastAsia"/>
          <w:color w:val="000000"/>
          <w:kern w:val="0"/>
          <w:sz w:val="24"/>
        </w:rPr>
        <w:t>进行公开招标采购，现邀请合格投标人参加投标。</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一、采购项目基本信息</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1、采购项目名称：</w:t>
      </w:r>
      <w:r>
        <w:rPr>
          <w:rFonts w:hint="eastAsia" w:asciiTheme="minorEastAsia" w:hAnsiTheme="minorEastAsia" w:eastAsiaTheme="minorEastAsia" w:cstheme="minorEastAsia"/>
          <w:color w:val="000000"/>
          <w:kern w:val="0"/>
          <w:sz w:val="24"/>
          <w:lang w:eastAsia="zh-CN"/>
        </w:rPr>
        <w:t>娄底监狱2026年度药品和耗材采购计划第一标段（第四次）</w:t>
      </w:r>
      <w:r>
        <w:rPr>
          <w:rFonts w:hint="eastAsia" w:asciiTheme="minorEastAsia" w:hAnsiTheme="minorEastAsia" w:eastAsiaTheme="minorEastAsia" w:cstheme="minorEastAsia"/>
          <w:color w:val="000000"/>
          <w:kern w:val="0"/>
          <w:sz w:val="24"/>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2、政府采购计划编号：湘财采计[2026]000237</w:t>
      </w:r>
      <w:r>
        <w:rPr>
          <w:rFonts w:hint="eastAsia" w:asciiTheme="minorEastAsia" w:hAnsiTheme="minorEastAsia" w:eastAsiaTheme="minorEastAsia" w:cstheme="minorEastAsia"/>
          <w:color w:val="000000"/>
          <w:kern w:val="0"/>
          <w:sz w:val="24"/>
          <w:lang w:val="en-US" w:eastAsia="zh-CN"/>
        </w:rPr>
        <w:t xml:space="preserve"> </w:t>
      </w:r>
      <w:r>
        <w:rPr>
          <w:rFonts w:hint="eastAsia" w:asciiTheme="minorEastAsia" w:hAnsiTheme="minorEastAsia" w:eastAsiaTheme="minorEastAsia" w:cstheme="minorEastAsia"/>
          <w:color w:val="000000"/>
          <w:kern w:val="0"/>
          <w:sz w:val="24"/>
          <w:lang w:eastAsia="zh-CN"/>
        </w:rPr>
        <w:t xml:space="preserve"> </w:t>
      </w:r>
      <w:r>
        <w:rPr>
          <w:rFonts w:hint="eastAsia" w:asciiTheme="minorEastAsia" w:hAnsiTheme="minorEastAsia" w:eastAsiaTheme="minorEastAsia" w:cstheme="minorEastAsia"/>
          <w:color w:val="000000"/>
          <w:kern w:val="0"/>
          <w:sz w:val="24"/>
          <w:lang w:val="en-US" w:eastAsia="zh-CN"/>
        </w:rPr>
        <w:t xml:space="preserve"> </w:t>
      </w:r>
      <w:r>
        <w:rPr>
          <w:rFonts w:hint="eastAsia" w:asciiTheme="minorEastAsia" w:hAnsiTheme="minorEastAsia" w:eastAsiaTheme="minorEastAsia" w:cstheme="minorEastAsia"/>
          <w:color w:val="000000"/>
          <w:kern w:val="0"/>
          <w:sz w:val="24"/>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rPr>
        <w:t>3、委托代理编号：</w:t>
      </w:r>
      <w:r>
        <w:rPr>
          <w:rFonts w:hint="eastAsia" w:asciiTheme="minorEastAsia" w:hAnsiTheme="minorEastAsia" w:eastAsiaTheme="minorEastAsia" w:cstheme="minorEastAsia"/>
          <w:color w:val="000000"/>
          <w:kern w:val="0"/>
          <w:sz w:val="24"/>
          <w:lang w:eastAsia="zh-CN"/>
        </w:rPr>
        <w:t>SNDL-2026GK0004</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4、采购项目预算：</w:t>
      </w:r>
      <w:bookmarkStart w:id="11" w:name="OLE_LINK16"/>
      <w:r>
        <w:rPr>
          <w:rFonts w:hint="eastAsia" w:asciiTheme="minorEastAsia" w:hAnsiTheme="minorEastAsia" w:eastAsiaTheme="minorEastAsia" w:cstheme="minorEastAsia"/>
          <w:color w:val="000000"/>
          <w:kern w:val="0"/>
          <w:sz w:val="24"/>
          <w:lang w:eastAsia="zh-CN"/>
        </w:rPr>
        <w:t>1378918</w:t>
      </w:r>
      <w:bookmarkEnd w:id="11"/>
      <w:r>
        <w:rPr>
          <w:rFonts w:hint="eastAsia" w:asciiTheme="minorEastAsia" w:hAnsiTheme="minorEastAsia" w:eastAsiaTheme="minorEastAsia" w:cstheme="minorEastAsia"/>
          <w:color w:val="000000"/>
          <w:kern w:val="0"/>
          <w:sz w:val="24"/>
          <w:lang w:eastAsia="zh-CN"/>
        </w:rPr>
        <w:t>元</w:t>
      </w:r>
      <w:r>
        <w:rPr>
          <w:rFonts w:hint="eastAsia" w:asciiTheme="minorEastAsia" w:hAnsiTheme="minorEastAsia" w:eastAsiaTheme="minorEastAsia" w:cstheme="minorEastAsia"/>
          <w:color w:val="000000"/>
          <w:kern w:val="0"/>
          <w:sz w:val="24"/>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25" o:spt="201" alt="" type="#_x0000_t201" style="height:15.75pt;width:20.25pt;" o:ole="t" filled="f" o:preferrelative="t" stroked="f" coordsize="21600,21600">
            <v:path/>
            <v:fill on="f" focussize="0,0"/>
            <v:stroke on="f"/>
            <v:imagedata r:id="rId15" o:title=""/>
            <o:lock v:ext="edit" aspectratio="t"/>
            <w10:wrap type="none"/>
            <w10:anchorlock/>
          </v:shape>
          <w:control r:id="rId14" w:name="HTMLCheckbox1" w:shapeid="_x0000_i1025"/>
        </w:object>
      </w:r>
      <w:r>
        <w:rPr>
          <w:rFonts w:hint="eastAsia" w:asciiTheme="minorEastAsia" w:hAnsiTheme="minorEastAsia" w:eastAsiaTheme="minorEastAsia" w:cstheme="minorEastAsia"/>
          <w:color w:val="000000"/>
          <w:kern w:val="0"/>
          <w:sz w:val="24"/>
        </w:rPr>
        <w:t>支持预付款，预付比例：/%</w:t>
      </w:r>
    </w:p>
    <w:p>
      <w:pPr>
        <w:widowControl/>
        <w:spacing w:line="420" w:lineRule="atLeast"/>
        <w:ind w:firstLine="480"/>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rPr>
        <w:t>5、本项目对应的中小企业划分标准所属行业：</w:t>
      </w:r>
      <w:r>
        <w:rPr>
          <w:rFonts w:hint="eastAsia" w:asciiTheme="minorEastAsia" w:hAnsiTheme="minorEastAsia" w:eastAsiaTheme="minorEastAsia" w:cstheme="minorEastAsia"/>
          <w:color w:val="000000"/>
          <w:kern w:val="0"/>
          <w:sz w:val="24"/>
          <w:lang w:val="en-US" w:eastAsia="zh-CN"/>
        </w:rPr>
        <w:t>工业</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6、评标方法： </w:t>
      </w:r>
      <w:r>
        <w:rPr>
          <w:rFonts w:hint="eastAsia" w:asciiTheme="minorEastAsia" w:hAnsiTheme="minorEastAsia" w:eastAsiaTheme="minorEastAsia" w:cstheme="minorEastAsia"/>
          <w:color w:val="000000"/>
          <w:kern w:val="0"/>
          <w:sz w:val="24"/>
        </w:rPr>
        <w:object>
          <v:shape id="_x0000_i1026" o:spt="201" alt="" type="#_x0000_t201" style="height:15.75pt;width:20.25pt;" o:ole="t" filled="f" o:preferrelative="t" stroked="f" coordsize="21600,21600">
            <v:path/>
            <v:fill on="f" focussize="0,0"/>
            <v:stroke on="f"/>
            <v:imagedata r:id="rId15" o:title=""/>
            <o:lock v:ext="edit" aspectratio="t"/>
            <w10:wrap type="none"/>
            <w10:anchorlock/>
          </v:shape>
          <w:control r:id="rId16" w:name="HTMLCheckbox29" w:shapeid="_x0000_i1026"/>
        </w:object>
      </w:r>
      <w:r>
        <w:rPr>
          <w:rFonts w:hint="eastAsia" w:asciiTheme="minorEastAsia" w:hAnsiTheme="minorEastAsia" w:eastAsiaTheme="minorEastAsia" w:cstheme="minorEastAsia"/>
          <w:color w:val="000000"/>
          <w:kern w:val="0"/>
          <w:sz w:val="24"/>
        </w:rPr>
        <w:t>最低价法 </w:t>
      </w:r>
      <w:r>
        <w:rPr>
          <w:rFonts w:hint="eastAsia" w:asciiTheme="minorEastAsia" w:hAnsiTheme="minorEastAsia" w:eastAsiaTheme="minorEastAsia" w:cstheme="minorEastAsia"/>
          <w:color w:val="000000"/>
          <w:kern w:val="0"/>
          <w:sz w:val="24"/>
        </w:rPr>
        <w:object>
          <v:shape id="_x0000_i1027" o:spt="201" alt="" type="#_x0000_t201" style="height:15.75pt;width:20.25pt;" o:ole="t" filled="f" o:preferrelative="t" stroked="f" coordsize="21600,21600">
            <v:path/>
            <v:fill on="f" focussize="0,0"/>
            <v:stroke on="f"/>
            <v:imagedata r:id="rId18" o:title=""/>
            <o:lock v:ext="edit" aspectratio="t"/>
            <w10:wrap type="none"/>
            <w10:anchorlock/>
          </v:shape>
          <w:control r:id="rId17" w:name="HTMLCheckbox2" w:shapeid="_x0000_i1027"/>
        </w:object>
      </w:r>
      <w:r>
        <w:rPr>
          <w:rFonts w:hint="eastAsia" w:asciiTheme="minorEastAsia" w:hAnsiTheme="minorEastAsia" w:eastAsiaTheme="minorEastAsia" w:cstheme="minorEastAsia"/>
          <w:color w:val="000000"/>
          <w:kern w:val="0"/>
          <w:sz w:val="24"/>
        </w:rPr>
        <w:t>综合评分法</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7、合同定价方式： </w:t>
      </w:r>
      <w:r>
        <w:rPr>
          <w:rFonts w:hint="eastAsia" w:asciiTheme="minorEastAsia" w:hAnsiTheme="minorEastAsia" w:eastAsiaTheme="minorEastAsia" w:cstheme="minorEastAsia"/>
          <w:color w:val="000000"/>
          <w:kern w:val="0"/>
          <w:sz w:val="24"/>
        </w:rPr>
        <w:object>
          <v:shape id="_x0000_i1028" o:spt="201" alt="" type="#_x0000_t201" style="height:15.75pt;width:20.25pt;" o:ole="t" filled="f" o:preferrelative="t" stroked="f" coordsize="21600,21600">
            <v:path/>
            <v:fill on="f" focussize="0,0"/>
            <v:stroke on="f"/>
            <v:imagedata r:id="rId15" o:title=""/>
            <o:lock v:ext="edit" aspectratio="t"/>
            <w10:wrap type="none"/>
            <w10:anchorlock/>
          </v:shape>
          <w:control r:id="rId19" w:name="HTMLCheckbox3" w:shapeid="_x0000_i1028"/>
        </w:object>
      </w:r>
      <w:r>
        <w:rPr>
          <w:rFonts w:hint="eastAsia" w:asciiTheme="minorEastAsia" w:hAnsiTheme="minorEastAsia" w:eastAsiaTheme="minorEastAsia" w:cstheme="minorEastAsia"/>
          <w:color w:val="000000"/>
          <w:kern w:val="0"/>
          <w:sz w:val="24"/>
        </w:rPr>
        <w:t>固定总价 </w:t>
      </w:r>
      <w:r>
        <w:rPr>
          <w:rFonts w:hint="eastAsia" w:asciiTheme="minorEastAsia" w:hAnsiTheme="minorEastAsia" w:eastAsiaTheme="minorEastAsia" w:cstheme="minorEastAsia"/>
          <w:color w:val="000000"/>
          <w:kern w:val="0"/>
          <w:sz w:val="24"/>
        </w:rPr>
        <w:object>
          <v:shape id="_x0000_i1029" o:spt="201" alt="" type="#_x0000_t201" style="height:15.75pt;width:20.25pt;" o:ole="t" filled="f" o:preferrelative="t" stroked="f" coordsize="21600,21600">
            <v:path/>
            <v:fill on="f" focussize="0,0"/>
            <v:stroke on="f"/>
            <v:imagedata r:id="rId18" o:title=""/>
            <o:lock v:ext="edit" aspectratio="t"/>
            <w10:wrap type="none"/>
            <w10:anchorlock/>
          </v:shape>
          <w:control r:id="rId20" w:name="HTMLCheckbox4" w:shapeid="_x0000_i1029"/>
        </w:object>
      </w:r>
      <w:r>
        <w:rPr>
          <w:rFonts w:hint="eastAsia" w:asciiTheme="minorEastAsia" w:hAnsiTheme="minorEastAsia" w:eastAsiaTheme="minorEastAsia" w:cstheme="minorEastAsia"/>
          <w:color w:val="000000"/>
          <w:kern w:val="0"/>
          <w:sz w:val="24"/>
        </w:rPr>
        <w:t>固定单价 </w:t>
      </w:r>
      <w:r>
        <w:rPr>
          <w:rFonts w:hint="eastAsia" w:asciiTheme="minorEastAsia" w:hAnsiTheme="minorEastAsia" w:eastAsiaTheme="minorEastAsia" w:cstheme="minorEastAsia"/>
          <w:color w:val="000000"/>
          <w:kern w:val="0"/>
          <w:sz w:val="24"/>
        </w:rPr>
        <w:object>
          <v:shape id="_x0000_i1030" o:spt="201" alt="" type="#_x0000_t201" style="height:15.75pt;width:20.25pt;" o:ole="t" filled="f" o:preferrelative="t" stroked="f" coordsize="21600,21600">
            <v:path/>
            <v:fill on="f" focussize="0,0"/>
            <v:stroke on="f"/>
            <v:imagedata r:id="rId15" o:title=""/>
            <o:lock v:ext="edit" aspectratio="t"/>
            <w10:wrap type="none"/>
            <w10:anchorlock/>
          </v:shape>
          <w:control r:id="rId21" w:name="HTMLCheckbox5" w:shapeid="_x0000_i1030"/>
        </w:object>
      </w:r>
      <w:r>
        <w:rPr>
          <w:rFonts w:hint="eastAsia" w:asciiTheme="minorEastAsia" w:hAnsiTheme="minorEastAsia" w:eastAsiaTheme="minorEastAsia" w:cstheme="minorEastAsia"/>
          <w:color w:val="000000"/>
          <w:kern w:val="0"/>
          <w:sz w:val="24"/>
        </w:rPr>
        <w:t>成本补偿 </w:t>
      </w:r>
      <w:r>
        <w:rPr>
          <w:rFonts w:hint="eastAsia" w:asciiTheme="minorEastAsia" w:hAnsiTheme="minorEastAsia" w:eastAsiaTheme="minorEastAsia" w:cstheme="minorEastAsia"/>
          <w:color w:val="000000"/>
          <w:kern w:val="0"/>
          <w:sz w:val="24"/>
        </w:rPr>
        <w:object>
          <v:shape id="_x0000_i1031" o:spt="201" alt="" type="#_x0000_t201" style="height:15.75pt;width:20.25pt;" o:ole="t" filled="f" o:preferrelative="t" stroked="f" coordsize="21600,21600">
            <v:path/>
            <v:fill on="f" focussize="0,0"/>
            <v:stroke on="f"/>
            <v:imagedata r:id="rId15" o:title=""/>
            <o:lock v:ext="edit" aspectratio="t"/>
            <w10:wrap type="none"/>
            <w10:anchorlock/>
          </v:shape>
          <w:control r:id="rId22" w:name="HTMLCheckbox6" w:shapeid="_x0000_i1031"/>
        </w:object>
      </w:r>
      <w:r>
        <w:rPr>
          <w:rFonts w:hint="eastAsia" w:asciiTheme="minorEastAsia" w:hAnsiTheme="minorEastAsia" w:eastAsiaTheme="minorEastAsia" w:cstheme="minorEastAsia"/>
          <w:color w:val="000000"/>
          <w:kern w:val="0"/>
          <w:sz w:val="24"/>
        </w:rPr>
        <w:t>绩效激励</w:t>
      </w:r>
    </w:p>
    <w:p>
      <w:pPr>
        <w:widowControl/>
        <w:spacing w:line="420" w:lineRule="atLeast"/>
        <w:ind w:firstLine="480"/>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auto"/>
          <w:kern w:val="0"/>
          <w:sz w:val="24"/>
        </w:rPr>
        <w:t>8、合同履行期限</w:t>
      </w:r>
      <w:r>
        <w:rPr>
          <w:rFonts w:hint="eastAsia" w:asciiTheme="minorEastAsia" w:hAnsiTheme="minorEastAsia" w:eastAsiaTheme="minorEastAsia" w:cstheme="minorEastAsia"/>
          <w:color w:val="auto"/>
          <w:kern w:val="0"/>
          <w:sz w:val="24"/>
          <w:lang w:eastAsia="zh-CN"/>
        </w:rPr>
        <w:t>：</w:t>
      </w:r>
      <w:bookmarkStart w:id="12" w:name="OLE_LINK19"/>
      <w:bookmarkStart w:id="13" w:name="OLE_LINK6"/>
      <w:r>
        <w:rPr>
          <w:rFonts w:hint="eastAsia" w:asciiTheme="minorEastAsia" w:hAnsiTheme="minorEastAsia" w:eastAsiaTheme="minorEastAsia" w:cstheme="minorEastAsia"/>
          <w:color w:val="auto"/>
          <w:kern w:val="0"/>
          <w:sz w:val="24"/>
          <w:lang w:val="en-US" w:eastAsia="zh-CN"/>
        </w:rPr>
        <w:t>无固定期限，每批次采购计划下达后5个工作日内送达货物</w:t>
      </w:r>
      <w:bookmarkEnd w:id="12"/>
      <w:r>
        <w:rPr>
          <w:rFonts w:hint="eastAsia" w:asciiTheme="minorEastAsia" w:hAnsiTheme="minorEastAsia" w:eastAsiaTheme="minorEastAsia" w:cstheme="minorEastAsia"/>
          <w:color w:val="auto"/>
          <w:kern w:val="0"/>
          <w:sz w:val="24"/>
          <w:lang w:val="en-US" w:eastAsia="zh-CN"/>
        </w:rPr>
        <w:t>。</w:t>
      </w:r>
      <w:bookmarkEnd w:id="13"/>
      <w:r>
        <w:rPr>
          <w:rFonts w:hint="eastAsia" w:asciiTheme="minorEastAsia" w:hAnsiTheme="minorEastAsia" w:eastAsiaTheme="minorEastAsia" w:cstheme="minorEastAsia"/>
          <w:color w:val="auto"/>
          <w:kern w:val="0"/>
          <w:sz w:val="24"/>
        </w:rPr>
        <w:t xml:space="preserve"> </w:t>
      </w:r>
      <w:r>
        <w:rPr>
          <w:rFonts w:hint="eastAsia" w:asciiTheme="minorEastAsia" w:hAnsiTheme="minorEastAsia" w:eastAsiaTheme="minorEastAsia" w:cstheme="minorEastAsia"/>
          <w:color w:val="000000" w:themeColor="text1"/>
          <w:kern w:val="0"/>
          <w:sz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kern w:val="0"/>
          <w:sz w:val="24"/>
          <w:lang w:val="en-US" w:eastAsia="zh-CN"/>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9、本项目分阶段要求投标人提供以下保证：</w:t>
      </w:r>
    </w:p>
    <w:p>
      <w:pPr>
        <w:widowControl/>
        <w:spacing w:line="420" w:lineRule="atLeast"/>
        <w:ind w:firstLine="96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32" o:spt="201" alt="" type="#_x0000_t201" style="height:15.75pt;width:20.25pt;" o:ole="t" filled="f" o:preferrelative="t" stroked="f" coordsize="21600,21600">
            <v:path/>
            <v:fill on="f" focussize="0,0"/>
            <v:stroke on="f"/>
            <v:imagedata r:id="rId15" o:title=""/>
            <o:lock v:ext="edit" aspectratio="t"/>
            <w10:wrap type="none"/>
            <w10:anchorlock/>
          </v:shape>
          <w:control r:id="rId23" w:name="HTMLCheckbox7" w:shapeid="_x0000_i1032"/>
        </w:object>
      </w:r>
      <w:r>
        <w:rPr>
          <w:rFonts w:hint="eastAsia" w:asciiTheme="minorEastAsia" w:hAnsiTheme="minorEastAsia" w:eastAsiaTheme="minorEastAsia" w:cstheme="minorEastAsia"/>
          <w:color w:val="000000"/>
          <w:kern w:val="0"/>
          <w:sz w:val="24"/>
        </w:rPr>
        <w:t>投标保证金：采购项目预算的</w:t>
      </w:r>
      <w:r>
        <w:rPr>
          <w:rFonts w:hint="eastAsia" w:asciiTheme="minorEastAsia" w:hAnsiTheme="minorEastAsia" w:eastAsiaTheme="minorEastAsia" w:cstheme="minorEastAsia"/>
          <w:color w:val="000000"/>
          <w:kern w:val="0"/>
          <w:sz w:val="24"/>
          <w:u w:val="single"/>
        </w:rPr>
        <w:t> / </w:t>
      </w:r>
      <w:r>
        <w:rPr>
          <w:rFonts w:hint="eastAsia" w:asciiTheme="minorEastAsia" w:hAnsiTheme="minorEastAsia" w:eastAsiaTheme="minorEastAsia" w:cstheme="minorEastAsia"/>
          <w:color w:val="000000"/>
          <w:kern w:val="0"/>
          <w:sz w:val="24"/>
        </w:rPr>
        <w:t>%；</w:t>
      </w:r>
    </w:p>
    <w:p>
      <w:pPr>
        <w:widowControl/>
        <w:spacing w:line="420" w:lineRule="atLeast"/>
        <w:ind w:firstLine="96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33" o:spt="201" alt="" type="#_x0000_t201" style="height:15.75pt;width:20.25pt;" o:ole="t" filled="f" o:preferrelative="t" stroked="f" coordsize="21600,21600">
            <v:path/>
            <v:fill on="f" focussize="0,0"/>
            <v:stroke on="f"/>
            <v:imagedata r:id="rId18" o:title=""/>
            <o:lock v:ext="edit" aspectratio="t"/>
            <w10:wrap type="none"/>
            <w10:anchorlock/>
          </v:shape>
          <w:control r:id="rId24" w:name="HTMLCheckbox8" w:shapeid="_x0000_i1033"/>
        </w:object>
      </w:r>
      <w:r>
        <w:rPr>
          <w:rFonts w:hint="eastAsia" w:asciiTheme="minorEastAsia" w:hAnsiTheme="minorEastAsia" w:eastAsiaTheme="minorEastAsia" w:cstheme="minorEastAsia"/>
          <w:color w:val="000000"/>
          <w:kern w:val="0"/>
          <w:sz w:val="24"/>
        </w:rPr>
        <w:t>履约保证金：中标金额的</w:t>
      </w:r>
      <w:r>
        <w:rPr>
          <w:rFonts w:hint="eastAsia" w:asciiTheme="minorEastAsia" w:hAnsiTheme="minorEastAsia" w:eastAsiaTheme="minorEastAsia" w:cstheme="minorEastAsia"/>
          <w:color w:val="000000"/>
          <w:kern w:val="0"/>
          <w:sz w:val="24"/>
          <w:u w:val="single"/>
        </w:rPr>
        <w:t> </w:t>
      </w:r>
      <w:r>
        <w:rPr>
          <w:rFonts w:hint="eastAsia" w:asciiTheme="minorEastAsia" w:hAnsiTheme="minorEastAsia" w:eastAsiaTheme="minorEastAsia" w:cstheme="minorEastAsia"/>
          <w:color w:val="000000"/>
          <w:kern w:val="0"/>
          <w:sz w:val="24"/>
          <w:u w:val="single"/>
          <w:lang w:val="en-US" w:eastAsia="zh-CN"/>
        </w:rPr>
        <w:t>5</w:t>
      </w:r>
      <w:r>
        <w:rPr>
          <w:rFonts w:hint="eastAsia" w:asciiTheme="minorEastAsia" w:hAnsiTheme="minorEastAsia" w:eastAsiaTheme="minorEastAsia" w:cstheme="minorEastAsia"/>
          <w:color w:val="000000"/>
          <w:kern w:val="0"/>
          <w:sz w:val="24"/>
          <w:u w:val="single"/>
        </w:rPr>
        <w:t> </w:t>
      </w:r>
      <w:r>
        <w:rPr>
          <w:rFonts w:hint="eastAsia" w:asciiTheme="minorEastAsia" w:hAnsiTheme="minorEastAsia" w:eastAsiaTheme="minorEastAsia" w:cstheme="minorEastAsia"/>
          <w:color w:val="000000"/>
          <w:kern w:val="0"/>
          <w:sz w:val="24"/>
        </w:rPr>
        <w:t>%；</w:t>
      </w:r>
    </w:p>
    <w:p>
      <w:pPr>
        <w:widowControl/>
        <w:spacing w:line="420" w:lineRule="atLeast"/>
        <w:ind w:firstLine="96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34" o:spt="201" alt="" type="#_x0000_t201" style="height:15.75pt;width:20.25pt;" o:ole="t" filled="f" o:preferrelative="t" stroked="f" coordsize="21600,21600">
            <v:path/>
            <v:fill on="f" focussize="0,0"/>
            <v:stroke on="f"/>
            <v:imagedata r:id="rId15" o:title=""/>
            <o:lock v:ext="edit" aspectratio="t"/>
            <w10:wrap type="none"/>
            <w10:anchorlock/>
          </v:shape>
          <w:control r:id="rId25" w:name="HTMLCheckbox9" w:shapeid="_x0000_i1034"/>
        </w:object>
      </w:r>
      <w:r>
        <w:rPr>
          <w:rFonts w:hint="eastAsia" w:asciiTheme="minorEastAsia" w:hAnsiTheme="minorEastAsia" w:eastAsiaTheme="minorEastAsia" w:cstheme="minorEastAsia"/>
          <w:color w:val="000000"/>
          <w:kern w:val="0"/>
          <w:sz w:val="24"/>
        </w:rPr>
        <w:t>预付款保证金：预付款的</w:t>
      </w:r>
      <w:r>
        <w:rPr>
          <w:rFonts w:hint="eastAsia" w:asciiTheme="minorEastAsia" w:hAnsiTheme="minorEastAsia" w:eastAsiaTheme="minorEastAsia" w:cstheme="minorEastAsia"/>
          <w:color w:val="000000"/>
          <w:kern w:val="0"/>
          <w:sz w:val="24"/>
          <w:u w:val="single"/>
        </w:rPr>
        <w:t> / </w:t>
      </w:r>
      <w:r>
        <w:rPr>
          <w:rFonts w:hint="eastAsia" w:asciiTheme="minorEastAsia" w:hAnsiTheme="minorEastAsia" w:eastAsiaTheme="minorEastAsia" w:cstheme="minorEastAsia"/>
          <w:color w:val="000000"/>
          <w:kern w:val="0"/>
          <w:sz w:val="24"/>
        </w:rPr>
        <w:t>%；</w:t>
      </w:r>
    </w:p>
    <w:p>
      <w:pPr>
        <w:widowControl/>
        <w:spacing w:line="420" w:lineRule="atLeast"/>
        <w:ind w:firstLine="96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35" o:spt="201" alt="" type="#_x0000_t201" style="height:15.75pt;width:20.25pt;" o:ole="t" filled="f" o:preferrelative="t" stroked="f" coordsize="21600,21600">
            <v:path/>
            <v:fill on="f" focussize="0,0"/>
            <v:stroke on="f"/>
            <v:imagedata r:id="rId27" o:title=""/>
            <o:lock v:ext="edit" aspectratio="t"/>
            <w10:wrap type="none"/>
            <w10:anchorlock/>
          </v:shape>
          <w:control r:id="rId26" w:name="HTMLCheckbox10" w:shapeid="_x0000_i1035"/>
        </w:object>
      </w:r>
      <w:r>
        <w:rPr>
          <w:rFonts w:hint="eastAsia" w:asciiTheme="minorEastAsia" w:hAnsiTheme="minorEastAsia" w:eastAsiaTheme="minorEastAsia" w:cstheme="minorEastAsia"/>
          <w:color w:val="000000"/>
          <w:kern w:val="0"/>
          <w:sz w:val="24"/>
        </w:rPr>
        <w:t>质量保证金：合同金额的</w:t>
      </w:r>
      <w:r>
        <w:rPr>
          <w:rFonts w:hint="eastAsia" w:asciiTheme="minorEastAsia" w:hAnsiTheme="minorEastAsia" w:eastAsiaTheme="minorEastAsia" w:cstheme="minorEastAsia"/>
          <w:color w:val="000000"/>
          <w:kern w:val="0"/>
          <w:sz w:val="24"/>
          <w:u w:val="single"/>
          <w:lang w:val="en-US" w:eastAsia="zh-CN"/>
        </w:rPr>
        <w:t>/</w:t>
      </w:r>
      <w:r>
        <w:rPr>
          <w:rFonts w:hint="eastAsia" w:asciiTheme="minorEastAsia" w:hAnsiTheme="minorEastAsia" w:eastAsiaTheme="minorEastAsia" w:cstheme="minorEastAsia"/>
          <w:color w:val="000000"/>
          <w:kern w:val="0"/>
          <w:sz w:val="24"/>
        </w:rPr>
        <w:t>%；</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二、采购人的采购需求</w:t>
      </w:r>
    </w:p>
    <w:tbl>
      <w:tblPr>
        <w:tblStyle w:val="48"/>
        <w:tblW w:w="8336" w:type="dxa"/>
        <w:tblCellSpacing w:w="0" w:type="dxa"/>
        <w:tblInd w:w="0"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686"/>
        <w:gridCol w:w="1148"/>
        <w:gridCol w:w="1319"/>
        <w:gridCol w:w="1536"/>
        <w:gridCol w:w="677"/>
        <w:gridCol w:w="1160"/>
        <w:gridCol w:w="905"/>
        <w:gridCol w:w="905"/>
      </w:tblGrid>
      <w:tr>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86"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包名称</w:t>
            </w:r>
          </w:p>
        </w:tc>
        <w:tc>
          <w:tcPr>
            <w:tcW w:w="1148"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最高限价（元）</w:t>
            </w:r>
          </w:p>
        </w:tc>
        <w:tc>
          <w:tcPr>
            <w:tcW w:w="1319"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标的名称</w:t>
            </w:r>
          </w:p>
        </w:tc>
        <w:tc>
          <w:tcPr>
            <w:tcW w:w="1536"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简要技术要求</w:t>
            </w:r>
          </w:p>
        </w:tc>
        <w:tc>
          <w:tcPr>
            <w:tcW w:w="677"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数量</w:t>
            </w:r>
          </w:p>
        </w:tc>
        <w:tc>
          <w:tcPr>
            <w:tcW w:w="1160"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标的预算（元）</w:t>
            </w:r>
          </w:p>
        </w:tc>
        <w:tc>
          <w:tcPr>
            <w:tcW w:w="905"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节能产品</w:t>
            </w:r>
          </w:p>
        </w:tc>
        <w:tc>
          <w:tcPr>
            <w:tcW w:w="905"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进口产品</w:t>
            </w:r>
          </w:p>
        </w:tc>
      </w:tr>
      <w:tr>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86"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包1</w:t>
            </w:r>
          </w:p>
        </w:tc>
        <w:tc>
          <w:tcPr>
            <w:tcW w:w="1148"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1378918元</w:t>
            </w:r>
          </w:p>
        </w:tc>
        <w:tc>
          <w:tcPr>
            <w:tcW w:w="1319"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2026年度</w:t>
            </w:r>
          </w:p>
          <w:p>
            <w:pPr>
              <w:adjustRightInd w:val="0"/>
              <w:snapToGrid w:val="0"/>
              <w:spacing w:line="360" w:lineRule="exact"/>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药品采购包</w:t>
            </w:r>
          </w:p>
        </w:tc>
        <w:tc>
          <w:tcPr>
            <w:tcW w:w="1536" w:type="dxa"/>
            <w:tcBorders>
              <w:top w:val="single" w:color="D5D5D5" w:sz="6" w:space="0"/>
              <w:left w:val="single" w:color="D5D5D5" w:sz="6" w:space="0"/>
              <w:bottom w:val="single" w:color="D5D5D5" w:sz="6" w:space="0"/>
              <w:right w:val="single" w:color="D5D5D5" w:sz="6" w:space="0"/>
            </w:tcBorders>
          </w:tcPr>
          <w:p>
            <w:pPr>
              <w:adjustRightInd w:val="0"/>
              <w:snapToGrid w:val="0"/>
              <w:spacing w:line="360" w:lineRule="exact"/>
              <w:rPr>
                <w:rFonts w:hint="default" w:asciiTheme="minorEastAsia" w:hAnsiTheme="minorEastAsia" w:eastAsiaTheme="minorEastAsia" w:cstheme="minorEastAsia"/>
                <w:szCs w:val="21"/>
                <w:lang w:val="en-US" w:eastAsia="zh-CN"/>
              </w:rPr>
            </w:pPr>
            <w:bookmarkStart w:id="14" w:name="OLE_LINK7"/>
            <w:r>
              <w:rPr>
                <w:rFonts w:hint="eastAsia" w:asciiTheme="minorEastAsia" w:hAnsiTheme="minorEastAsia" w:eastAsiaTheme="minorEastAsia" w:cstheme="minorEastAsia"/>
                <w:szCs w:val="21"/>
                <w:lang w:val="en-US" w:eastAsia="zh-CN"/>
              </w:rPr>
              <w:t>本项目为湖南省</w:t>
            </w:r>
            <w:bookmarkEnd w:id="14"/>
            <w:bookmarkStart w:id="15" w:name="OLE_LINK1"/>
            <w:r>
              <w:rPr>
                <w:rFonts w:hint="eastAsia" w:asciiTheme="minorEastAsia" w:hAnsiTheme="minorEastAsia" w:eastAsiaTheme="minorEastAsia" w:cstheme="minorEastAsia"/>
                <w:szCs w:val="21"/>
                <w:lang w:val="en-US" w:eastAsia="zh-CN"/>
              </w:rPr>
              <w:t>娄底监狱2026年度药品</w:t>
            </w:r>
            <w:bookmarkEnd w:id="15"/>
            <w:r>
              <w:rPr>
                <w:rFonts w:hint="eastAsia" w:asciiTheme="minorEastAsia" w:hAnsiTheme="minorEastAsia" w:eastAsiaTheme="minorEastAsia" w:cstheme="minorEastAsia"/>
                <w:szCs w:val="21"/>
                <w:lang w:val="en-US" w:eastAsia="zh-CN"/>
              </w:rPr>
              <w:t>采购，详见采购需求</w:t>
            </w:r>
          </w:p>
        </w:tc>
        <w:tc>
          <w:tcPr>
            <w:tcW w:w="677"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1项</w:t>
            </w:r>
          </w:p>
        </w:tc>
        <w:tc>
          <w:tcPr>
            <w:tcW w:w="1160"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bookmarkStart w:id="16" w:name="OLE_LINK12"/>
            <w:r>
              <w:rPr>
                <w:rFonts w:hint="eastAsia" w:asciiTheme="minorEastAsia" w:hAnsiTheme="minorEastAsia" w:eastAsiaTheme="minorEastAsia" w:cstheme="minorEastAsia"/>
                <w:szCs w:val="21"/>
                <w:lang w:val="en-US" w:eastAsia="zh-CN"/>
              </w:rPr>
              <w:t>1378918</w:t>
            </w:r>
            <w:bookmarkEnd w:id="16"/>
            <w:r>
              <w:rPr>
                <w:rFonts w:hint="eastAsia" w:asciiTheme="minorEastAsia" w:hAnsiTheme="minorEastAsia" w:eastAsiaTheme="minorEastAsia" w:cstheme="minorEastAsia"/>
                <w:szCs w:val="21"/>
                <w:lang w:val="en-US" w:eastAsia="zh-CN"/>
              </w:rPr>
              <w:t>元</w:t>
            </w:r>
          </w:p>
        </w:tc>
        <w:tc>
          <w:tcPr>
            <w:tcW w:w="905"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object>
                <v:shape id="_x0000_i1036" o:spt="201" alt="" type="#_x0000_t201" style="height:15.75pt;width:20.25pt;" o:ole="t" filled="f" o:preferrelative="t" stroked="f" coordsize="21600,21600">
                  <v:path/>
                  <v:fill on="f" focussize="0,0"/>
                  <v:stroke on="f"/>
                  <v:imagedata r:id="rId15" o:title=""/>
                  <o:lock v:ext="edit" aspectratio="t"/>
                  <w10:wrap type="none"/>
                  <w10:anchorlock/>
                </v:shape>
                <w:control r:id="rId28" w:name="HTMLCheckbox11" w:shapeid="_x0000_i1036"/>
              </w:object>
            </w:r>
          </w:p>
        </w:tc>
        <w:tc>
          <w:tcPr>
            <w:tcW w:w="905" w:type="dxa"/>
            <w:tcBorders>
              <w:top w:val="single" w:color="D5D5D5" w:sz="6" w:space="0"/>
              <w:left w:val="single" w:color="D5D5D5" w:sz="6" w:space="0"/>
              <w:bottom w:val="single" w:color="D5D5D5" w:sz="6" w:space="0"/>
              <w:right w:val="single" w:color="D5D5D5" w:sz="6" w:space="0"/>
            </w:tcBorders>
            <w:vAlign w:val="center"/>
          </w:tcPr>
          <w:p>
            <w:pPr>
              <w:widowControl/>
              <w:spacing w:before="75" w:line="420" w:lineRule="atLeas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object>
                <v:shape id="_x0000_i1037" o:spt="201" alt="" type="#_x0000_t201" style="height:15.75pt;width:20.25pt;" o:ole="t" filled="f" o:preferrelative="t" stroked="f" coordsize="21600,21600">
                  <v:path/>
                  <v:fill on="f" focussize="0,0"/>
                  <v:stroke on="f"/>
                  <v:imagedata r:id="rId15" o:title=""/>
                  <o:lock v:ext="edit" aspectratio="t"/>
                  <w10:wrap type="none"/>
                  <w10:anchorlock/>
                </v:shape>
                <w:control r:id="rId29" w:name="HTMLCheckbox12" w:shapeid="_x0000_i1037"/>
              </w:object>
            </w:r>
          </w:p>
        </w:tc>
      </w:tr>
    </w:tbl>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说明：</w:t>
      </w:r>
    </w:p>
    <w:p>
      <w:pPr>
        <w:widowControl/>
        <w:spacing w:line="420" w:lineRule="atLeast"/>
        <w:ind w:firstLine="48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rPr>
        <w:t>1.节能产品实行强制采购的，需提供国家认证机构出具的、处于有效期内的节能产品证书。</w:t>
      </w:r>
      <w:r>
        <w:rPr>
          <w:rFonts w:hint="eastAsia" w:asciiTheme="minorEastAsia" w:hAnsiTheme="minorEastAsia" w:eastAsiaTheme="minorEastAsia" w:cstheme="minorEastAsia"/>
          <w:color w:val="000000"/>
          <w:kern w:val="0"/>
          <w:sz w:val="24"/>
          <w:lang w:val="en-US" w:eastAsia="zh-CN"/>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2.同意购买进口产品的，不限制满足采购需求的国内产品参与投标。</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三、采购项目需落实的政府采购政策：</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1、优先采购：节能产品、环境标志产品、两型产品享受加分或价格折扣。</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2、支持中小企业：中小企业享受预留采购份额或价格折扣。</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四、投标人的资格要求：</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1、投标人的基本资格条件：投标人必须是在中华人民共和国境内注册登记的法人、其他组织或者自然人，且应当符合《政府采购法》第二十二条第一款的规定。</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2、落实政府采购政策需满足的资格要求：</w:t>
      </w:r>
    </w:p>
    <w:p>
      <w:pPr>
        <w:widowControl/>
        <w:spacing w:line="420" w:lineRule="atLeast"/>
        <w:ind w:firstLine="96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38" o:spt="201" alt="" type="#_x0000_t201" style="height:15.75pt;width:20.25pt;" o:ole="t" filled="f" o:preferrelative="t" stroked="f" coordsize="21600,21600">
            <v:path/>
            <v:fill on="f" focussize="0,0"/>
            <v:stroke on="f"/>
            <v:imagedata r:id="rId15" o:title=""/>
            <o:lock v:ext="edit" aspectratio="t"/>
            <w10:wrap type="none"/>
            <w10:anchorlock/>
          </v:shape>
          <w:control r:id="rId30" w:name="HTMLCheckbox15" w:shapeid="_x0000_i1038"/>
        </w:object>
      </w:r>
      <w:r>
        <w:rPr>
          <w:rFonts w:hint="eastAsia" w:asciiTheme="minorEastAsia" w:hAnsiTheme="minorEastAsia" w:eastAsiaTheme="minorEastAsia" w:cstheme="minorEastAsia"/>
          <w:color w:val="000000"/>
          <w:kern w:val="0"/>
          <w:sz w:val="24"/>
        </w:rPr>
        <w:t>专门面向： </w:t>
      </w:r>
      <w:r>
        <w:rPr>
          <w:rFonts w:hint="eastAsia" w:asciiTheme="minorEastAsia" w:hAnsiTheme="minorEastAsia" w:eastAsiaTheme="minorEastAsia" w:cstheme="minorEastAsia"/>
          <w:color w:val="000000"/>
          <w:kern w:val="0"/>
          <w:sz w:val="24"/>
        </w:rPr>
        <w:object>
          <v:shape id="_x0000_i1039" o:spt="201" alt="" type="#_x0000_t201" style="height:15.75pt;width:20.25pt;" o:ole="t" filled="f" o:preferrelative="t" stroked="f" coordsize="21600,21600">
            <v:path/>
            <v:fill on="f" focussize="0,0"/>
            <v:stroke on="f"/>
            <v:imagedata r:id="rId15" o:title=""/>
            <o:lock v:ext="edit" aspectratio="t"/>
            <w10:wrap type="none"/>
            <w10:anchorlock/>
          </v:shape>
          <w:control r:id="rId31" w:name="HTMLCheckbox16" w:shapeid="_x0000_i1039"/>
        </w:object>
      </w:r>
      <w:r>
        <w:rPr>
          <w:rFonts w:hint="eastAsia" w:asciiTheme="minorEastAsia" w:hAnsiTheme="minorEastAsia" w:eastAsiaTheme="minorEastAsia" w:cstheme="minorEastAsia"/>
          <w:color w:val="000000"/>
          <w:kern w:val="0"/>
          <w:sz w:val="24"/>
        </w:rPr>
        <w:t>中小企业 </w:t>
      </w:r>
      <w:r>
        <w:rPr>
          <w:rFonts w:hint="eastAsia" w:asciiTheme="minorEastAsia" w:hAnsiTheme="minorEastAsia" w:eastAsiaTheme="minorEastAsia" w:cstheme="minorEastAsia"/>
          <w:color w:val="000000"/>
          <w:kern w:val="0"/>
          <w:sz w:val="24"/>
        </w:rPr>
        <w:object>
          <v:shape id="_x0000_i1040" o:spt="201" alt="" type="#_x0000_t201" style="height:15.75pt;width:20.25pt;" o:ole="t" filled="f" o:preferrelative="t" stroked="f" coordsize="21600,21600">
            <v:path/>
            <v:fill on="f" focussize="0,0"/>
            <v:stroke on="f"/>
            <v:imagedata r:id="rId15" o:title=""/>
            <o:lock v:ext="edit" aspectratio="t"/>
            <w10:wrap type="none"/>
            <w10:anchorlock/>
          </v:shape>
          <w:control r:id="rId32" w:name="HTMLCheckbox17" w:shapeid="_x0000_i1040"/>
        </w:object>
      </w:r>
      <w:r>
        <w:rPr>
          <w:rFonts w:hint="eastAsia" w:asciiTheme="minorEastAsia" w:hAnsiTheme="minorEastAsia" w:eastAsiaTheme="minorEastAsia" w:cstheme="minorEastAsia"/>
          <w:color w:val="000000"/>
          <w:kern w:val="0"/>
          <w:sz w:val="24"/>
        </w:rPr>
        <w:t>小微企业 </w:t>
      </w:r>
      <w:r>
        <w:rPr>
          <w:rFonts w:hint="eastAsia" w:asciiTheme="minorEastAsia" w:hAnsiTheme="minorEastAsia" w:eastAsiaTheme="minorEastAsia" w:cstheme="minorEastAsia"/>
          <w:color w:val="000000"/>
          <w:kern w:val="0"/>
          <w:sz w:val="24"/>
        </w:rPr>
        <w:object>
          <v:shape id="_x0000_i1041" o:spt="201" alt="" type="#_x0000_t201" style="height:15.75pt;width:20.25pt;" o:ole="t" filled="f" o:preferrelative="t" stroked="f" coordsize="21600,21600">
            <v:path/>
            <v:fill on="f" focussize="0,0"/>
            <v:stroke on="f"/>
            <v:imagedata r:id="rId15" o:title=""/>
            <o:lock v:ext="edit" aspectratio="t"/>
            <w10:wrap type="none"/>
            <w10:anchorlock/>
          </v:shape>
          <w:control r:id="rId33" w:name="HTMLCheckbox18" w:shapeid="_x0000_i1041"/>
        </w:object>
      </w:r>
      <w:r>
        <w:rPr>
          <w:rFonts w:hint="eastAsia" w:asciiTheme="minorEastAsia" w:hAnsiTheme="minorEastAsia" w:eastAsiaTheme="minorEastAsia" w:cstheme="minorEastAsia"/>
          <w:color w:val="000000"/>
          <w:kern w:val="0"/>
          <w:sz w:val="24"/>
        </w:rPr>
        <w:t>监狱企业 </w:t>
      </w:r>
      <w:r>
        <w:rPr>
          <w:rFonts w:hint="eastAsia" w:asciiTheme="minorEastAsia" w:hAnsiTheme="minorEastAsia" w:eastAsiaTheme="minorEastAsia" w:cstheme="minorEastAsia"/>
          <w:color w:val="000000"/>
          <w:kern w:val="0"/>
          <w:sz w:val="24"/>
        </w:rPr>
        <w:object>
          <v:shape id="_x0000_i1042" o:spt="201" alt="" type="#_x0000_t201" style="height:15.75pt;width:20.25pt;" o:ole="t" filled="f" o:preferrelative="t" stroked="f" coordsize="21600,21600">
            <v:path/>
            <v:fill on="f" focussize="0,0"/>
            <v:stroke on="f"/>
            <v:imagedata r:id="rId15" o:title=""/>
            <o:lock v:ext="edit" aspectratio="t"/>
            <w10:wrap type="none"/>
            <w10:anchorlock/>
          </v:shape>
          <w:control r:id="rId34" w:name="HTMLCheckbox19" w:shapeid="_x0000_i1042"/>
        </w:object>
      </w:r>
      <w:r>
        <w:rPr>
          <w:rFonts w:hint="eastAsia" w:asciiTheme="minorEastAsia" w:hAnsiTheme="minorEastAsia" w:eastAsiaTheme="minorEastAsia" w:cstheme="minorEastAsia"/>
          <w:color w:val="000000"/>
          <w:kern w:val="0"/>
          <w:sz w:val="24"/>
        </w:rPr>
        <w:t>福利性单位</w:t>
      </w:r>
    </w:p>
    <w:p>
      <w:pPr>
        <w:widowControl/>
        <w:spacing w:line="420" w:lineRule="atLeast"/>
        <w:ind w:firstLine="96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43" o:spt="201" alt="" type="#_x0000_t201" style="height:15.75pt;width:20.25pt;" o:ole="t" filled="f" o:preferrelative="t" stroked="f" coordsize="21600,21600">
            <v:path/>
            <v:fill on="f" focussize="0,0"/>
            <v:stroke on="f"/>
            <v:imagedata r:id="rId15" o:title=""/>
            <o:lock v:ext="edit" aspectratio="t"/>
            <w10:wrap type="none"/>
            <w10:anchorlock/>
          </v:shape>
          <w:control r:id="rId35" w:name="HTMLCheckbox20" w:shapeid="_x0000_i1043"/>
        </w:object>
      </w:r>
      <w:r>
        <w:rPr>
          <w:rFonts w:hint="eastAsia" w:asciiTheme="minorEastAsia" w:hAnsiTheme="minorEastAsia" w:eastAsiaTheme="minorEastAsia" w:cstheme="minorEastAsia"/>
          <w:color w:val="000000"/>
          <w:kern w:val="0"/>
          <w:sz w:val="24"/>
        </w:rPr>
        <w:t>强制分包：大型企业应将采购份额的</w:t>
      </w:r>
      <w:r>
        <w:rPr>
          <w:rFonts w:hint="eastAsia" w:asciiTheme="minorEastAsia" w:hAnsiTheme="minorEastAsia" w:eastAsiaTheme="minorEastAsia" w:cstheme="minorEastAsia"/>
          <w:color w:val="000000"/>
          <w:kern w:val="0"/>
          <w:sz w:val="24"/>
          <w:u w:val="single"/>
        </w:rPr>
        <w:t>     </w:t>
      </w:r>
      <w:r>
        <w:rPr>
          <w:rFonts w:hint="eastAsia" w:asciiTheme="minorEastAsia" w:hAnsiTheme="minorEastAsia" w:eastAsiaTheme="minorEastAsia" w:cstheme="minorEastAsia"/>
          <w:color w:val="000000"/>
          <w:kern w:val="0"/>
          <w:sz w:val="24"/>
        </w:rPr>
        <w:t>%分包给中小企业。</w:t>
      </w:r>
    </w:p>
    <w:p>
      <w:pPr>
        <w:widowControl/>
        <w:numPr>
          <w:ilvl w:val="0"/>
          <w:numId w:val="2"/>
        </w:numPr>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供应商特定资格条件：</w:t>
      </w:r>
    </w:p>
    <w:p>
      <w:pPr>
        <w:widowControl/>
        <w:numPr>
          <w:ilvl w:val="0"/>
          <w:numId w:val="0"/>
        </w:numPr>
        <w:spacing w:line="420" w:lineRule="atLeast"/>
        <w:ind w:firstLine="480" w:firstLineChars="200"/>
        <w:jc w:val="left"/>
        <w:rPr>
          <w:rFonts w:hint="default"/>
          <w:lang w:val="en-US" w:eastAsia="zh-CN"/>
        </w:rPr>
      </w:pPr>
      <w:r>
        <w:rPr>
          <w:rFonts w:hint="eastAsia" w:asciiTheme="minorEastAsia" w:hAnsiTheme="minorEastAsia" w:eastAsiaTheme="minorEastAsia" w:cstheme="minorEastAsia"/>
          <w:color w:val="000000"/>
          <w:kern w:val="0"/>
          <w:sz w:val="24"/>
          <w:lang w:val="en-US" w:eastAsia="zh-CN"/>
        </w:rPr>
        <w:t>投标人需具有在有效期内的《药品经营许可证》，且</w:t>
      </w:r>
      <w:r>
        <w:rPr>
          <w:rFonts w:hint="eastAsia" w:asciiTheme="minorEastAsia" w:hAnsiTheme="minorEastAsia" w:eastAsiaTheme="minorEastAsia" w:cstheme="minorEastAsia"/>
          <w:color w:val="000000"/>
          <w:kern w:val="0"/>
          <w:sz w:val="24"/>
        </w:rPr>
        <w:t>范围需涵盖中药饮片</w:t>
      </w:r>
      <w:r>
        <w:rPr>
          <w:rFonts w:hint="eastAsia" w:asciiTheme="minorEastAsia" w:hAnsiTheme="minorEastAsia" w:eastAsiaTheme="minorEastAsia" w:cstheme="minorEastAsia"/>
          <w:color w:val="000000"/>
          <w:kern w:val="0"/>
          <w:sz w:val="24"/>
          <w:lang w:val="en-US" w:eastAsia="zh-CN"/>
        </w:rPr>
        <w:t>。</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4、单位负责人为同一人或者存在直接控股、管理关系的不同投标人，不得参加同一合同项下的政府采购活动。</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5、为本采购项目提供整体设计、规范编制或者项目管理、监理、检测等服务的，不得再参加此项目的其他采购活动。</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6、列入失信被执行人、重大税收违法失信主体名单、政府采购严重违法失信行为记录名单的，拒绝其参与政府采购活动。</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7、联合体投标。本次招标</w:t>
      </w:r>
      <w:r>
        <w:rPr>
          <w:rFonts w:hint="eastAsia" w:asciiTheme="minorEastAsia" w:hAnsiTheme="minorEastAsia" w:eastAsiaTheme="minorEastAsia" w:cstheme="minorEastAsia"/>
          <w:color w:val="000000"/>
          <w:kern w:val="0"/>
          <w:sz w:val="24"/>
          <w:u w:val="single"/>
        </w:rPr>
        <w:t>不接受</w:t>
      </w:r>
      <w:r>
        <w:rPr>
          <w:rFonts w:hint="eastAsia" w:asciiTheme="minorEastAsia" w:hAnsiTheme="minorEastAsia" w:eastAsiaTheme="minorEastAsia" w:cstheme="minorEastAsia"/>
          <w:color w:val="000000"/>
          <w:kern w:val="0"/>
          <w:sz w:val="24"/>
        </w:rPr>
        <w:t>联合体投标。</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五、获取招标文件的时间、期限、地点及方式</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有意参加投标者，于</w:t>
      </w:r>
      <w:r>
        <w:rPr>
          <w:rFonts w:hint="eastAsia" w:asciiTheme="minorEastAsia" w:hAnsiTheme="minorEastAsia" w:eastAsiaTheme="minorEastAsia" w:cstheme="minorEastAsia"/>
          <w:color w:val="000000"/>
          <w:kern w:val="0"/>
          <w:sz w:val="24"/>
          <w:lang w:val="en-US" w:eastAsia="zh-CN"/>
        </w:rPr>
        <w:t>公告发布即日起</w:t>
      </w:r>
      <w:r>
        <w:rPr>
          <w:rFonts w:hint="eastAsia" w:asciiTheme="minorEastAsia" w:hAnsiTheme="minorEastAsia" w:eastAsiaTheme="minorEastAsia" w:cstheme="minorEastAsia"/>
          <w:color w:val="000000"/>
          <w:kern w:val="0"/>
          <w:sz w:val="24"/>
        </w:rPr>
        <w:t>， 在</w:t>
      </w:r>
      <w:r>
        <w:rPr>
          <w:rFonts w:hint="eastAsia" w:asciiTheme="minorEastAsia" w:hAnsiTheme="minorEastAsia" w:eastAsiaTheme="minorEastAsia" w:cstheme="minorEastAsia"/>
          <w:color w:val="000000"/>
          <w:kern w:val="0"/>
          <w:sz w:val="24"/>
        </w:rPr>
        <w:fldChar w:fldCharType="begin"/>
      </w:r>
      <w:r>
        <w:rPr>
          <w:rFonts w:hint="eastAsia" w:asciiTheme="minorEastAsia" w:hAnsiTheme="minorEastAsia" w:eastAsiaTheme="minorEastAsia" w:cstheme="minorEastAsia"/>
          <w:color w:val="000000"/>
          <w:kern w:val="0"/>
          <w:sz w:val="24"/>
        </w:rPr>
        <w:instrText xml:space="preserve"> HYPERLINK "https://ldggzy.hnloudi.gov.cn/" </w:instrText>
      </w:r>
      <w:r>
        <w:rPr>
          <w:rFonts w:hint="eastAsia" w:asciiTheme="minorEastAsia" w:hAnsiTheme="minorEastAsia" w:eastAsiaTheme="minorEastAsia" w:cstheme="minorEastAsia"/>
          <w:color w:val="000000"/>
          <w:kern w:val="0"/>
          <w:sz w:val="24"/>
        </w:rPr>
        <w:fldChar w:fldCharType="separate"/>
      </w:r>
      <w:r>
        <w:rPr>
          <w:rFonts w:hint="eastAsia" w:asciiTheme="minorEastAsia" w:hAnsiTheme="minorEastAsia" w:eastAsiaTheme="minorEastAsia" w:cstheme="minorEastAsia"/>
          <w:color w:val="000000"/>
          <w:kern w:val="0"/>
          <w:sz w:val="24"/>
        </w:rPr>
        <w:t>娄底市公共资源交易中心 (hnloudi.gov.cn)</w:t>
      </w:r>
      <w:r>
        <w:rPr>
          <w:rFonts w:hint="eastAsia" w:asciiTheme="minorEastAsia" w:hAnsiTheme="minorEastAsia" w:eastAsiaTheme="minorEastAsia" w:cstheme="minorEastAsia"/>
          <w:color w:val="000000"/>
          <w:kern w:val="0"/>
          <w:sz w:val="24"/>
        </w:rPr>
        <w:fldChar w:fldCharType="end"/>
      </w:r>
      <w:r>
        <w:rPr>
          <w:rFonts w:hint="eastAsia" w:asciiTheme="minorEastAsia" w:hAnsiTheme="minorEastAsia" w:eastAsiaTheme="minorEastAsia" w:cstheme="minorEastAsia"/>
          <w:color w:val="000000"/>
          <w:kern w:val="0"/>
          <w:sz w:val="24"/>
        </w:rPr>
        <w:t> 获取招标文件</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44" o:spt="201" alt="" type="#_x0000_t201" style="height:15.75pt;width:20.25pt;" o:ole="t" filled="f" o:preferrelative="t" stroked="f" coordsize="21600,21600">
            <v:path/>
            <v:fill on="f" focussize="0,0"/>
            <v:stroke on="f"/>
            <v:imagedata r:id="rId18" o:title=""/>
            <o:lock v:ext="edit" aspectratio="t"/>
            <w10:wrap type="none"/>
            <w10:anchorlock/>
          </v:shape>
          <w:control r:id="rId36" w:name="HTMLCheckbox21" w:shapeid="_x0000_i1044"/>
        </w:object>
      </w:r>
      <w:r>
        <w:rPr>
          <w:rFonts w:hint="eastAsia" w:asciiTheme="minorEastAsia" w:hAnsiTheme="minorEastAsia" w:eastAsiaTheme="minorEastAsia" w:cstheme="minorEastAsia"/>
          <w:color w:val="000000"/>
          <w:kern w:val="0"/>
          <w:sz w:val="24"/>
        </w:rPr>
        <w:t> 本项目实行电子交易，有意参加投标者，在https://ggzy.xx.gov.cn获取电子版招标文件。</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object>
          <v:shape id="_x0000_i1045" o:spt="201" alt="" type="#_x0000_t201" style="height:15.75pt;width:20.25pt;" o:ole="t" filled="f" o:preferrelative="t" stroked="f" coordsize="21600,21600">
            <v:path/>
            <v:fill on="f" focussize="0,0"/>
            <v:stroke on="f"/>
            <v:imagedata r:id="rId27" o:title=""/>
            <o:lock v:ext="edit" aspectratio="t"/>
            <w10:wrap type="none"/>
            <w10:anchorlock/>
          </v:shape>
          <w:control r:id="rId37" w:name="HTMLCheckbox22" w:shapeid="_x0000_i1045"/>
        </w:object>
      </w:r>
      <w:r>
        <w:rPr>
          <w:rFonts w:hint="eastAsia" w:asciiTheme="minorEastAsia" w:hAnsiTheme="minorEastAsia" w:eastAsiaTheme="minorEastAsia" w:cstheme="minorEastAsia"/>
          <w:color w:val="000000"/>
          <w:kern w:val="0"/>
          <w:sz w:val="24"/>
        </w:rPr>
        <w:t>本项目进行资格预审，招标文件将向所有通过资格预审的供应商提供。</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六、投标截止时间、开标时间及地点</w:t>
      </w:r>
    </w:p>
    <w:p>
      <w:pPr>
        <w:widowControl/>
        <w:spacing w:line="420" w:lineRule="atLeast"/>
        <w:ind w:firstLine="480"/>
        <w:jc w:val="left"/>
        <w:rPr>
          <w:rFonts w:hint="default"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rPr>
        <w:t>1、提交投标文件的截止时间：</w:t>
      </w:r>
      <w:r>
        <w:rPr>
          <w:rFonts w:hint="eastAsia" w:asciiTheme="minorEastAsia" w:hAnsiTheme="minorEastAsia" w:eastAsiaTheme="minorEastAsia" w:cstheme="minorEastAsia"/>
          <w:color w:val="000000"/>
          <w:kern w:val="0"/>
          <w:sz w:val="24"/>
          <w:lang w:val="en-US" w:eastAsia="zh-CN"/>
        </w:rPr>
        <w:t>2026年8月11日9：00</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2、解密时间: 开标截止时间后30分钟</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3、提交投标文件地点：娄底市公共资源交易网（https://ggzy.xx.gov.cn/）</w:t>
      </w:r>
    </w:p>
    <w:p>
      <w:pPr>
        <w:widowControl/>
        <w:spacing w:line="420" w:lineRule="atLeast"/>
        <w:ind w:firstLine="48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rPr>
        <w:t>4、开标时间：</w:t>
      </w:r>
      <w:r>
        <w:rPr>
          <w:rFonts w:hint="eastAsia" w:asciiTheme="minorEastAsia" w:hAnsiTheme="minorEastAsia" w:eastAsiaTheme="minorEastAsia" w:cstheme="minorEastAsia"/>
          <w:color w:val="000000"/>
          <w:kern w:val="0"/>
          <w:sz w:val="24"/>
          <w:lang w:val="en-US" w:eastAsia="zh-CN"/>
        </w:rPr>
        <w:t>2026年8月11日9：00</w:t>
      </w:r>
      <w:r>
        <w:rPr>
          <w:rFonts w:hint="eastAsia" w:asciiTheme="minorEastAsia" w:hAnsiTheme="minorEastAsia" w:eastAsiaTheme="minorEastAsia" w:cstheme="minorEastAsia"/>
          <w:color w:val="000000"/>
          <w:kern w:val="0"/>
          <w:sz w:val="24"/>
        </w:rPr>
        <w:t xml:space="preserve"> </w:t>
      </w:r>
      <w:r>
        <w:rPr>
          <w:rFonts w:hint="eastAsia" w:asciiTheme="minorEastAsia" w:hAnsiTheme="minorEastAsia" w:eastAsiaTheme="minorEastAsia" w:cstheme="minorEastAsia"/>
          <w:color w:val="000000"/>
          <w:kern w:val="0"/>
          <w:sz w:val="24"/>
          <w:lang w:val="en-US" w:eastAsia="zh-CN"/>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5、开标地点：娄底市公共资源交易中心</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七、公告期限</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1、本招标公告在中国湖南政府采购网（www.ccgp-hunan.gov.cn）发布。公告期限从本招标公告发布之日起5个工作日。</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2、在其他媒体发布的招标公告，公告内容以本招标公告指定媒体发布的公告为准；公告期限自本招标公告指定媒体最先发布公告之日起算。</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八、询问及质疑</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1、投标人对政府采购活动事项如有疑问的，可以向采购人、采购代理机构提出询问。采购人、采购代理机构将在3个工作日内作出答复。</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2、投标人对电子交易平台办理CA证书、操作等如有疑问，请咨询电子交易平台服务机构。</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九、投标说明</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1、本公告选项：</w:t>
      </w:r>
      <w:r>
        <w:rPr>
          <w:rFonts w:hint="eastAsia" w:asciiTheme="minorEastAsia" w:hAnsiTheme="minorEastAsia" w:eastAsiaTheme="minorEastAsia" w:cstheme="minorEastAsia"/>
          <w:color w:val="000000"/>
          <w:kern w:val="0"/>
          <w:sz w:val="24"/>
        </w:rPr>
        <w:object>
          <v:shape id="_x0000_i1046" o:spt="201" alt="" type="#_x0000_t201" style="height:15.75pt;width:20.25pt;" o:ole="t" filled="f" o:preferrelative="t" stroked="f" coordsize="21600,21600">
            <v:path/>
            <v:fill on="f" focussize="0,0"/>
            <v:stroke on="f"/>
            <v:imagedata r:id="rId18" o:title=""/>
            <o:lock v:ext="edit" aspectratio="t"/>
            <w10:wrap type="none"/>
            <w10:anchorlock/>
          </v:shape>
          <w:control r:id="rId38" w:name="HTMLCheckbox23" w:shapeid="_x0000_i1046"/>
        </w:object>
      </w:r>
      <w:r>
        <w:rPr>
          <w:rFonts w:hint="eastAsia" w:asciiTheme="minorEastAsia" w:hAnsiTheme="minorEastAsia" w:eastAsiaTheme="minorEastAsia" w:cstheme="minorEastAsia"/>
          <w:color w:val="000000"/>
          <w:kern w:val="0"/>
          <w:sz w:val="24"/>
        </w:rPr>
        <w:t>表示选择，</w:t>
      </w:r>
      <w:r>
        <w:rPr>
          <w:rFonts w:hint="eastAsia" w:asciiTheme="minorEastAsia" w:hAnsiTheme="minorEastAsia" w:eastAsiaTheme="minorEastAsia" w:cstheme="minorEastAsia"/>
          <w:color w:val="000000"/>
          <w:kern w:val="0"/>
          <w:sz w:val="24"/>
        </w:rPr>
        <w:object>
          <v:shape id="_x0000_i1047" o:spt="201" alt="" type="#_x0000_t201" style="height:15.75pt;width:20.25pt;" o:ole="t" filled="f" o:preferrelative="t" stroked="f" coordsize="21600,21600">
            <v:path/>
            <v:fill on="f" focussize="0,0"/>
            <v:stroke on="f"/>
            <v:imagedata r:id="rId15" o:title=""/>
            <o:lock v:ext="edit" aspectratio="t"/>
            <w10:wrap type="none"/>
            <w10:anchorlock/>
          </v:shape>
          <w:control r:id="rId39" w:name="HTMLCheckbox24" w:shapeid="_x0000_i1047"/>
        </w:object>
      </w:r>
      <w:r>
        <w:rPr>
          <w:rFonts w:hint="eastAsia" w:asciiTheme="minorEastAsia" w:hAnsiTheme="minorEastAsia" w:eastAsiaTheme="minorEastAsia" w:cstheme="minorEastAsia"/>
          <w:color w:val="000000"/>
          <w:kern w:val="0"/>
          <w:sz w:val="24"/>
        </w:rPr>
        <w:t>表示未选择。</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2、投标人参与政府采购活动，无需向采购人、代理机构、交易平台缴纳任何费用。</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十、采购项目联系人姓名和电话</w:t>
      </w:r>
    </w:p>
    <w:p>
      <w:pPr>
        <w:widowControl/>
        <w:spacing w:line="420" w:lineRule="atLeast"/>
        <w:ind w:firstLine="48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rPr>
        <w:t>1、联系人姓名：</w:t>
      </w:r>
      <w:r>
        <w:rPr>
          <w:rFonts w:hint="eastAsia" w:asciiTheme="minorEastAsia" w:hAnsiTheme="minorEastAsia" w:eastAsiaTheme="minorEastAsia" w:cstheme="minorEastAsia"/>
          <w:color w:val="000000"/>
          <w:kern w:val="0"/>
          <w:sz w:val="24"/>
          <w:lang w:val="en-US" w:eastAsia="zh-CN"/>
        </w:rPr>
        <w:t>贺剑</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2、电话：</w:t>
      </w:r>
      <w:r>
        <w:rPr>
          <w:rFonts w:hint="eastAsia" w:asciiTheme="minorEastAsia" w:hAnsiTheme="minorEastAsia" w:eastAsiaTheme="minorEastAsia" w:cstheme="minorEastAsia"/>
          <w:color w:val="000000"/>
          <w:kern w:val="0"/>
          <w:sz w:val="24"/>
          <w:lang w:val="en-US" w:eastAsia="zh-CN"/>
        </w:rPr>
        <w:t>18007389906</w:t>
      </w:r>
    </w:p>
    <w:p>
      <w:pPr>
        <w:widowControl/>
        <w:spacing w:before="75" w:line="420" w:lineRule="atLeast"/>
        <w:ind w:firstLine="480"/>
        <w:jc w:val="left"/>
        <w:outlineLvl w:val="2"/>
        <w:rPr>
          <w:rFonts w:hint="eastAsia" w:asciiTheme="minorEastAsia" w:hAnsiTheme="minorEastAsia" w:eastAsiaTheme="minorEastAsia" w:cstheme="minorEastAsia"/>
          <w:b/>
          <w:bCs/>
          <w:color w:val="000000"/>
          <w:kern w:val="0"/>
          <w:sz w:val="24"/>
        </w:rPr>
      </w:pPr>
      <w:r>
        <w:rPr>
          <w:rFonts w:hint="eastAsia" w:asciiTheme="minorEastAsia" w:hAnsiTheme="minorEastAsia" w:eastAsiaTheme="minorEastAsia" w:cstheme="minorEastAsia"/>
          <w:b/>
          <w:bCs/>
          <w:color w:val="000000"/>
          <w:kern w:val="0"/>
          <w:sz w:val="24"/>
        </w:rPr>
        <w:t>十一、采购人、采购代理机构的名称、地址和联系方法</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1、采购人信息</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（1）名 称：</w:t>
      </w:r>
      <w:bookmarkStart w:id="17" w:name="OLE_LINK13"/>
      <w:r>
        <w:rPr>
          <w:rFonts w:hint="eastAsia" w:asciiTheme="minorEastAsia" w:hAnsiTheme="minorEastAsia" w:eastAsiaTheme="minorEastAsia" w:cstheme="minorEastAsia"/>
          <w:color w:val="000000"/>
          <w:kern w:val="0"/>
          <w:sz w:val="24"/>
          <w:lang w:val="en-US" w:eastAsia="zh-CN"/>
        </w:rPr>
        <w:t>湖南省娄底监狱</w:t>
      </w:r>
      <w:bookmarkEnd w:id="17"/>
      <w:r>
        <w:rPr>
          <w:rFonts w:hint="eastAsia" w:asciiTheme="minorEastAsia" w:hAnsiTheme="minorEastAsia" w:eastAsiaTheme="minorEastAsia" w:cstheme="minorEastAsia"/>
          <w:color w:val="000000"/>
          <w:kern w:val="0"/>
          <w:sz w:val="24"/>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rPr>
        <w:t>（2）地 址：</w:t>
      </w:r>
      <w:r>
        <w:rPr>
          <w:rFonts w:hint="eastAsia" w:asciiTheme="minorEastAsia" w:hAnsiTheme="minorEastAsia" w:eastAsiaTheme="minorEastAsia" w:cstheme="minorEastAsia"/>
          <w:color w:val="000000"/>
          <w:kern w:val="0"/>
          <w:sz w:val="24"/>
          <w:lang w:eastAsia="zh-CN"/>
        </w:rPr>
        <w:t>湖南省娄底市娄星区大科办事处</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（3）联系人：</w:t>
      </w:r>
      <w:r>
        <w:rPr>
          <w:rFonts w:hint="eastAsia" w:asciiTheme="minorEastAsia" w:hAnsiTheme="minorEastAsia" w:eastAsiaTheme="minorEastAsia" w:cstheme="minorEastAsia"/>
          <w:color w:val="000000"/>
          <w:kern w:val="0"/>
          <w:sz w:val="24"/>
          <w:lang w:val="en-US" w:eastAsia="zh-CN"/>
        </w:rPr>
        <w:t>伍先生</w:t>
      </w:r>
      <w:r>
        <w:rPr>
          <w:rFonts w:hint="eastAsia" w:asciiTheme="minorEastAsia" w:hAnsiTheme="minorEastAsia" w:eastAsiaTheme="minorEastAsia" w:cstheme="minorEastAsia"/>
          <w:color w:val="000000"/>
          <w:kern w:val="0"/>
          <w:sz w:val="24"/>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rPr>
        <w:t xml:space="preserve">（4）邮 </w:t>
      </w:r>
      <w:r>
        <w:rPr>
          <w:rFonts w:hint="eastAsia" w:asciiTheme="minorEastAsia" w:hAnsiTheme="minorEastAsia" w:eastAsiaTheme="minorEastAsia" w:cstheme="minorEastAsia"/>
          <w:color w:val="000000"/>
          <w:kern w:val="0"/>
          <w:sz w:val="24"/>
          <w:lang w:val="en-US" w:eastAsia="zh-CN"/>
        </w:rPr>
        <w:t>编：417000</w:t>
      </w:r>
    </w:p>
    <w:p>
      <w:pPr>
        <w:widowControl/>
        <w:spacing w:line="420" w:lineRule="atLeast"/>
        <w:ind w:firstLine="48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val="en-US" w:eastAsia="zh-CN"/>
        </w:rPr>
        <w:t>（5）电 话：</w:t>
      </w:r>
      <w:bookmarkStart w:id="18" w:name="OLE_LINK17"/>
      <w:r>
        <w:rPr>
          <w:rFonts w:hint="eastAsia" w:asciiTheme="minorEastAsia" w:hAnsiTheme="minorEastAsia" w:eastAsiaTheme="minorEastAsia" w:cstheme="minorEastAsia"/>
          <w:color w:val="000000"/>
          <w:kern w:val="0"/>
          <w:sz w:val="24"/>
          <w:lang w:val="en-US" w:eastAsia="zh-CN"/>
        </w:rPr>
        <w:t>13973808006</w:t>
      </w:r>
      <w:bookmarkEnd w:id="18"/>
      <w:r>
        <w:rPr>
          <w:rFonts w:hint="eastAsia" w:asciiTheme="minorEastAsia" w:hAnsiTheme="minorEastAsia" w:eastAsiaTheme="minorEastAsia" w:cstheme="minorEastAsia"/>
          <w:color w:val="000000"/>
          <w:kern w:val="0"/>
          <w:sz w:val="24"/>
          <w:lang w:val="en-US" w:eastAsia="zh-CN"/>
        </w:rPr>
        <w:t>　</w:t>
      </w:r>
    </w:p>
    <w:p>
      <w:pPr>
        <w:widowControl/>
        <w:spacing w:line="420" w:lineRule="atLeast"/>
        <w:ind w:firstLine="48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rPr>
        <w:t>（6）电子邮箱：</w:t>
      </w:r>
      <w:r>
        <w:rPr>
          <w:rFonts w:hint="eastAsia" w:asciiTheme="minorEastAsia" w:hAnsiTheme="minorEastAsia" w:eastAsiaTheme="minorEastAsia" w:cstheme="minorEastAsia"/>
          <w:color w:val="000000"/>
          <w:kern w:val="0"/>
          <w:sz w:val="24"/>
          <w:lang w:val="en-US" w:eastAsia="zh-CN"/>
        </w:rPr>
        <w:t>/</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2、采购代理机构信息</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（1）名 称：</w:t>
      </w:r>
      <w:bookmarkStart w:id="19" w:name="OLE_LINK2"/>
      <w:r>
        <w:rPr>
          <w:rFonts w:hint="eastAsia" w:asciiTheme="minorEastAsia" w:hAnsiTheme="minorEastAsia" w:eastAsiaTheme="minorEastAsia" w:cstheme="minorEastAsia"/>
          <w:color w:val="000000"/>
          <w:kern w:val="0"/>
          <w:sz w:val="24"/>
        </w:rPr>
        <w:t>湖南森诺项目管理有限公司</w:t>
      </w:r>
      <w:bookmarkEnd w:id="19"/>
      <w:r>
        <w:rPr>
          <w:rFonts w:hint="eastAsia" w:asciiTheme="minorEastAsia" w:hAnsiTheme="minorEastAsia" w:eastAsiaTheme="minorEastAsia" w:cstheme="minorEastAsia"/>
          <w:color w:val="000000"/>
          <w:kern w:val="0"/>
          <w:sz w:val="24"/>
        </w:rPr>
        <w:t xml:space="preserve">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 xml:space="preserve">（2）地 址：湖南省娄底市娄星区湘中大道君临天厦a座 </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（3）联系人：贺剑</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（4）邮 编：417000</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（5）电 话：18007389906</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（6）电子邮箱：3346309114@qq.com</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3、电子交易平台服务机构信息</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（1）名 称： 娄底市公共资源交易中心</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（2）联系人：</w:t>
      </w:r>
      <w:bookmarkStart w:id="20" w:name="OLE_LINK20"/>
      <w:r>
        <w:rPr>
          <w:rFonts w:hint="eastAsia" w:asciiTheme="minorEastAsia" w:hAnsiTheme="minorEastAsia" w:eastAsiaTheme="minorEastAsia" w:cstheme="minorEastAsia"/>
          <w:color w:val="000000"/>
          <w:kern w:val="0"/>
          <w:sz w:val="24"/>
        </w:rPr>
        <w:t>金润方舟科技股份有限公司</w:t>
      </w:r>
      <w:bookmarkEnd w:id="20"/>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 xml:space="preserve">（3）电 话：0738-6371199 </w:t>
      </w:r>
      <w:r>
        <w:rPr>
          <w:rFonts w:hint="eastAsia" w:asciiTheme="minorEastAsia" w:hAnsiTheme="minorEastAsia" w:eastAsiaTheme="minorEastAsia" w:cstheme="minorEastAsia"/>
          <w:color w:val="000000"/>
          <w:kern w:val="0"/>
          <w:sz w:val="24"/>
          <w:lang w:val="en-US" w:eastAsia="zh-CN"/>
        </w:rPr>
        <w:t xml:space="preserve">  </w:t>
      </w:r>
      <w:r>
        <w:rPr>
          <w:rFonts w:hint="eastAsia" w:asciiTheme="minorEastAsia" w:hAnsiTheme="minorEastAsia" w:eastAsiaTheme="minorEastAsia" w:cstheme="minorEastAsia"/>
          <w:color w:val="000000"/>
          <w:kern w:val="0"/>
          <w:sz w:val="24"/>
        </w:rPr>
        <w:t>400-926-9966</w:t>
      </w:r>
    </w:p>
    <w:p>
      <w:pPr>
        <w:widowControl/>
        <w:spacing w:line="420" w:lineRule="atLeast"/>
        <w:ind w:firstLine="480"/>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（4）电子邮箱：</w:t>
      </w:r>
      <w:bookmarkStart w:id="21" w:name="OLE_LINK23"/>
      <w:r>
        <w:rPr>
          <w:rFonts w:hint="eastAsia" w:asciiTheme="minorEastAsia" w:hAnsiTheme="minorEastAsia" w:eastAsiaTheme="minorEastAsia" w:cstheme="minorEastAsia"/>
          <w:color w:val="000000"/>
          <w:kern w:val="0"/>
          <w:sz w:val="24"/>
        </w:rPr>
        <w:t>2159511823@qq.com</w:t>
      </w:r>
      <w:bookmarkEnd w:id="21"/>
      <w:bookmarkEnd w:id="1391"/>
    </w:p>
    <w:bookmarkEnd w:id="10"/>
    <w:p>
      <w:pPr>
        <w:pStyle w:val="3"/>
        <w:jc w:val="center"/>
        <w:rPr>
          <w:rFonts w:ascii="黑体" w:hAnsi="华文中宋" w:eastAsia="黑体"/>
          <w:b w:val="0"/>
          <w:spacing w:val="100"/>
          <w:sz w:val="32"/>
          <w:szCs w:val="32"/>
        </w:rPr>
      </w:pPr>
      <w:r>
        <w:br w:type="page"/>
      </w:r>
      <w:bookmarkStart w:id="22" w:name="_Toc22038"/>
      <w:bookmarkStart w:id="23" w:name="_Toc78449954"/>
      <w:bookmarkStart w:id="24" w:name="_Toc95601364"/>
      <w:bookmarkStart w:id="25" w:name="_Toc108341936"/>
      <w:bookmarkStart w:id="26" w:name="_Toc78314261"/>
      <w:bookmarkStart w:id="27" w:name="_Toc94367879"/>
      <w:bookmarkStart w:id="28" w:name="_Toc15888484"/>
      <w:bookmarkStart w:id="29" w:name="_Toc77676465"/>
      <w:bookmarkStart w:id="30" w:name="_Toc19018"/>
      <w:bookmarkStart w:id="31" w:name="_Toc112594256"/>
      <w:bookmarkStart w:id="32" w:name="_Toc85972929"/>
      <w:bookmarkStart w:id="33" w:name="_Toc9574"/>
      <w:bookmarkStart w:id="34" w:name="_Toc100670667"/>
      <w:bookmarkStart w:id="35" w:name="_Toc23803"/>
      <w:bookmarkStart w:id="36" w:name="_Toc26169"/>
      <w:bookmarkStart w:id="37" w:name="_Toc100670420"/>
      <w:bookmarkStart w:id="38" w:name="_Toc77199398"/>
      <w:bookmarkStart w:id="39" w:name="_Toc75289225"/>
      <w:bookmarkStart w:id="40" w:name="_Toc75289547"/>
      <w:r>
        <w:rPr>
          <w:rFonts w:hint="eastAsia" w:ascii="黑体" w:hAnsi="华文中宋" w:eastAsia="黑体"/>
          <w:b w:val="0"/>
          <w:sz w:val="32"/>
          <w:szCs w:val="32"/>
        </w:rPr>
        <w:t>第二章 投标须知</w:t>
      </w:r>
      <w:bookmarkEnd w:id="2"/>
      <w:bookmarkEnd w:id="3"/>
      <w:bookmarkEnd w:id="4"/>
      <w:bookmarkEnd w:id="5"/>
      <w:bookmarkEnd w:id="6"/>
      <w:bookmarkEnd w:id="7"/>
      <w:bookmarkEnd w:id="8"/>
      <w:bookmarkEnd w:id="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4"/>
        <w:adjustRightInd w:val="0"/>
        <w:snapToGrid w:val="0"/>
        <w:spacing w:line="240" w:lineRule="auto"/>
        <w:jc w:val="center"/>
        <w:rPr>
          <w:rFonts w:ascii="黑体" w:hAnsi="华文中宋" w:eastAsia="黑体"/>
          <w:spacing w:val="100"/>
          <w:sz w:val="28"/>
          <w:szCs w:val="28"/>
        </w:rPr>
      </w:pPr>
      <w:bookmarkStart w:id="41" w:name="_Toc100670668"/>
      <w:bookmarkStart w:id="42" w:name="_Toc95601365"/>
      <w:bookmarkStart w:id="43" w:name="_Toc15888485"/>
      <w:bookmarkStart w:id="44" w:name="_Toc78314262"/>
      <w:bookmarkStart w:id="45" w:name="_Toc77676466"/>
      <w:bookmarkStart w:id="46" w:name="_Toc85972930"/>
      <w:bookmarkStart w:id="47" w:name="_Toc18760"/>
      <w:bookmarkStart w:id="48" w:name="_Toc108341937"/>
      <w:bookmarkStart w:id="49" w:name="_Toc94367880"/>
      <w:bookmarkStart w:id="50" w:name="_Toc75289226"/>
      <w:bookmarkStart w:id="51" w:name="_Toc75289548"/>
      <w:bookmarkStart w:id="52" w:name="_Toc10086"/>
      <w:bookmarkStart w:id="53" w:name="_Toc24719"/>
      <w:bookmarkStart w:id="54" w:name="_Toc3731"/>
      <w:bookmarkStart w:id="55" w:name="_Toc21740"/>
      <w:bookmarkStart w:id="56" w:name="_Toc100670421"/>
      <w:bookmarkStart w:id="57" w:name="_Toc77199399"/>
      <w:bookmarkStart w:id="58" w:name="_Toc112594257"/>
      <w:bookmarkStart w:id="59" w:name="_Toc78449955"/>
      <w:r>
        <w:rPr>
          <w:rFonts w:hint="eastAsia" w:ascii="黑体" w:hAnsi="华文中宋" w:eastAsia="黑体"/>
          <w:sz w:val="28"/>
          <w:szCs w:val="28"/>
        </w:rPr>
        <w:t>第一节  投标须知前附表</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adjustRightInd w:val="0"/>
        <w:snapToGrid w:val="0"/>
        <w:jc w:val="right"/>
        <w:rPr>
          <w:rFonts w:ascii="宋体" w:hAnsi="宋体"/>
          <w:szCs w:val="21"/>
        </w:rPr>
      </w:pPr>
      <w:r>
        <w:rPr>
          <w:rFonts w:hint="eastAsia" w:ascii="宋体" w:hAnsi="宋体"/>
          <w:szCs w:val="21"/>
        </w:rPr>
        <w:t>注：本项目启用的条款在“编列内容规定”栏内以“</w:t>
      </w:r>
      <w:r>
        <w:rPr>
          <w:rFonts w:hint="eastAsia" w:ascii="宋体" w:hAnsi="宋体"/>
          <w:szCs w:val="21"/>
        </w:rPr>
        <w:sym w:font="Wingdings" w:char="00FE"/>
      </w:r>
      <w:r>
        <w:rPr>
          <w:rFonts w:hint="eastAsia" w:ascii="宋体" w:hAnsi="宋体"/>
          <w:szCs w:val="21"/>
        </w:rPr>
        <w:t>”标注。</w:t>
      </w:r>
    </w:p>
    <w:tbl>
      <w:tblPr>
        <w:tblStyle w:val="48"/>
        <w:tblW w:w="8677"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2340"/>
        <w:gridCol w:w="509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14" w:hRule="atLeast"/>
          <w:tblHeader/>
          <w:jc w:val="center"/>
        </w:trPr>
        <w:tc>
          <w:tcPr>
            <w:tcW w:w="1242" w:type="dxa"/>
            <w:vAlign w:val="center"/>
          </w:tcPr>
          <w:p>
            <w:pPr>
              <w:adjustRightInd w:val="0"/>
              <w:snapToGrid w:val="0"/>
              <w:spacing w:line="360" w:lineRule="exact"/>
              <w:jc w:val="center"/>
              <w:rPr>
                <w:rFonts w:ascii="宋体" w:hAnsi="宋体"/>
                <w:b/>
                <w:szCs w:val="21"/>
              </w:rPr>
            </w:pPr>
            <w:r>
              <w:rPr>
                <w:rFonts w:hint="eastAsia" w:ascii="宋体" w:hAnsi="宋体"/>
                <w:b/>
                <w:szCs w:val="21"/>
              </w:rPr>
              <w:t>条款号</w:t>
            </w:r>
          </w:p>
        </w:tc>
        <w:tc>
          <w:tcPr>
            <w:tcW w:w="2340" w:type="dxa"/>
            <w:vAlign w:val="center"/>
          </w:tcPr>
          <w:p>
            <w:pPr>
              <w:adjustRightInd w:val="0"/>
              <w:snapToGrid w:val="0"/>
              <w:spacing w:line="360" w:lineRule="exact"/>
              <w:jc w:val="center"/>
              <w:rPr>
                <w:rFonts w:ascii="宋体" w:hAnsi="宋体"/>
                <w:b/>
                <w:szCs w:val="21"/>
              </w:rPr>
            </w:pPr>
            <w:r>
              <w:rPr>
                <w:rFonts w:hint="eastAsia" w:ascii="宋体" w:hAnsi="宋体"/>
                <w:b/>
                <w:szCs w:val="21"/>
              </w:rPr>
              <w:t>条款名称</w:t>
            </w:r>
          </w:p>
        </w:tc>
        <w:tc>
          <w:tcPr>
            <w:tcW w:w="5095" w:type="dxa"/>
            <w:vAlign w:val="center"/>
          </w:tcPr>
          <w:p>
            <w:pPr>
              <w:adjustRightInd w:val="0"/>
              <w:snapToGrid w:val="0"/>
              <w:spacing w:line="360" w:lineRule="exact"/>
              <w:jc w:val="center"/>
              <w:rPr>
                <w:rFonts w:ascii="宋体" w:hAnsi="宋体"/>
                <w:b/>
                <w:szCs w:val="21"/>
              </w:rPr>
            </w:pPr>
            <w:r>
              <w:rPr>
                <w:rFonts w:hint="eastAsia" w:ascii="宋体" w:hAnsi="宋体"/>
                <w:b/>
                <w:szCs w:val="21"/>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6" w:hRule="atLeast"/>
          <w:jc w:val="center"/>
        </w:trPr>
        <w:tc>
          <w:tcPr>
            <w:tcW w:w="8677" w:type="dxa"/>
            <w:gridSpan w:val="3"/>
            <w:vAlign w:val="center"/>
          </w:tcPr>
          <w:p>
            <w:pPr>
              <w:adjustRightInd w:val="0"/>
              <w:snapToGrid w:val="0"/>
              <w:spacing w:line="360" w:lineRule="exact"/>
              <w:rPr>
                <w:rFonts w:ascii="宋体" w:hAnsi="宋体"/>
                <w:szCs w:val="21"/>
              </w:rPr>
            </w:pPr>
            <w:r>
              <w:rPr>
                <w:rFonts w:hint="eastAsia" w:ascii="宋体" w:hAnsi="宋体"/>
                <w:b/>
                <w:szCs w:val="21"/>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第1.1款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采购项目</w:t>
            </w:r>
          </w:p>
        </w:tc>
        <w:tc>
          <w:tcPr>
            <w:tcW w:w="5095" w:type="dxa"/>
            <w:vAlign w:val="center"/>
          </w:tcPr>
          <w:p>
            <w:pPr>
              <w:adjustRightInd w:val="0"/>
              <w:snapToGrid w:val="0"/>
              <w:spacing w:line="360" w:lineRule="exact"/>
              <w:rPr>
                <w:rFonts w:hint="eastAsia" w:ascii="宋体" w:hAnsi="宋体" w:eastAsia="宋体"/>
                <w:szCs w:val="21"/>
                <w:lang w:eastAsia="zh-CN"/>
              </w:rPr>
            </w:pPr>
            <w:r>
              <w:rPr>
                <w:rFonts w:hint="eastAsia" w:ascii="宋体" w:hAnsi="宋体"/>
                <w:szCs w:val="21"/>
                <w:lang w:eastAsia="zh-CN"/>
              </w:rPr>
              <w:t>娄底监狱2026年度药品和耗材采购计划第一标段（第四次）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第1.2款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是否预留采购份额</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第2.1款</w:t>
            </w:r>
          </w:p>
        </w:tc>
        <w:tc>
          <w:tcPr>
            <w:tcW w:w="2340" w:type="dxa"/>
            <w:vAlign w:val="center"/>
          </w:tcPr>
          <w:p>
            <w:pPr>
              <w:adjustRightInd w:val="0"/>
              <w:snapToGrid w:val="0"/>
              <w:spacing w:line="360" w:lineRule="exact"/>
              <w:jc w:val="center"/>
              <w:rPr>
                <w:rFonts w:ascii="宋体" w:hAnsi="宋体"/>
                <w:szCs w:val="21"/>
              </w:rPr>
            </w:pPr>
            <w:r>
              <w:rPr>
                <w:rFonts w:hint="eastAsia" w:hAnsi="宋体"/>
                <w:szCs w:val="21"/>
              </w:rPr>
              <w:t>采购项目联系人姓名和电话</w:t>
            </w:r>
          </w:p>
        </w:tc>
        <w:tc>
          <w:tcPr>
            <w:tcW w:w="5095" w:type="dxa"/>
            <w:vAlign w:val="center"/>
          </w:tcPr>
          <w:p>
            <w:pPr>
              <w:snapToGrid w:val="0"/>
              <w:spacing w:line="400" w:lineRule="exact"/>
              <w:rPr>
                <w:rFonts w:hint="default" w:ascii="宋体" w:hAnsi="宋体" w:eastAsia="宋体"/>
                <w:szCs w:val="21"/>
                <w:lang w:val="en-US" w:eastAsia="zh-CN"/>
              </w:rPr>
            </w:pPr>
            <w:r>
              <w:rPr>
                <w:rFonts w:hint="eastAsia" w:ascii="宋体" w:hAnsi="宋体"/>
                <w:szCs w:val="21"/>
                <w:lang w:val="en-US" w:eastAsia="zh-CN"/>
              </w:rPr>
              <w:t>贺剑  18007389906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70"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第2.2款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采购人</w:t>
            </w:r>
          </w:p>
        </w:tc>
        <w:tc>
          <w:tcPr>
            <w:tcW w:w="5095" w:type="dxa"/>
            <w:vAlign w:val="center"/>
          </w:tcPr>
          <w:p>
            <w:pPr>
              <w:adjustRightInd w:val="0"/>
              <w:snapToGrid w:val="0"/>
              <w:spacing w:line="360" w:lineRule="exact"/>
              <w:rPr>
                <w:rFonts w:hint="eastAsia" w:ascii="宋体" w:hAnsi="宋体" w:eastAsia="宋体"/>
                <w:szCs w:val="21"/>
                <w:lang w:eastAsia="zh-CN"/>
              </w:rPr>
            </w:pPr>
            <w:r>
              <w:rPr>
                <w:rFonts w:hint="eastAsia" w:ascii="宋体" w:hAnsi="宋体"/>
                <w:szCs w:val="21"/>
                <w:lang w:eastAsia="zh-CN"/>
              </w:rPr>
              <w:t>湖南省娄底监狱</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70"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第2.3款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采购代理机构</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湖南森诺项目管理有限公司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第3.1款</w:t>
            </w:r>
          </w:p>
        </w:tc>
        <w:tc>
          <w:tcPr>
            <w:tcW w:w="2340" w:type="dxa"/>
            <w:vAlign w:val="center"/>
          </w:tcPr>
          <w:p>
            <w:pPr>
              <w:adjustRightInd w:val="0"/>
              <w:snapToGrid w:val="0"/>
              <w:spacing w:line="360" w:lineRule="exact"/>
              <w:jc w:val="center"/>
              <w:rPr>
                <w:rFonts w:ascii="宋体" w:hAnsi="宋体"/>
                <w:szCs w:val="21"/>
              </w:rPr>
            </w:pPr>
            <w:r>
              <w:rPr>
                <w:rFonts w:ascii="宋体" w:hAnsi="宋体"/>
                <w:szCs w:val="21"/>
              </w:rPr>
              <w:t>★</w:t>
            </w:r>
            <w:r>
              <w:rPr>
                <w:rFonts w:hint="eastAsia" w:ascii="宋体" w:hAnsi="宋体"/>
                <w:szCs w:val="21"/>
              </w:rPr>
              <w:t>投标人资格条件</w:t>
            </w:r>
          </w:p>
        </w:tc>
        <w:tc>
          <w:tcPr>
            <w:tcW w:w="5095" w:type="dxa"/>
            <w:vAlign w:val="center"/>
          </w:tcPr>
          <w:p>
            <w:pPr>
              <w:adjustRightInd w:val="0"/>
              <w:snapToGrid w:val="0"/>
              <w:spacing w:line="360" w:lineRule="exact"/>
              <w:jc w:val="left"/>
              <w:rPr>
                <w:rFonts w:ascii="宋体" w:hAnsi="宋体"/>
                <w:szCs w:val="21"/>
              </w:rPr>
            </w:pPr>
            <w:r>
              <w:rPr>
                <w:rFonts w:hint="eastAsia" w:ascii="宋体" w:hAnsi="宋体"/>
                <w:szCs w:val="21"/>
              </w:rPr>
              <w:t>1、投标人基本资格条件：投标人必须是在中华人民共和国境内注册登记的法人、其他组织或者自然人，且应当符合《政府采购法》第二十二条第一款的规定：</w:t>
            </w:r>
          </w:p>
          <w:p>
            <w:pPr>
              <w:adjustRightInd w:val="0"/>
              <w:snapToGrid w:val="0"/>
              <w:spacing w:line="360" w:lineRule="exact"/>
              <w:jc w:val="left"/>
              <w:rPr>
                <w:rFonts w:ascii="宋体" w:hAnsi="宋体"/>
                <w:szCs w:val="21"/>
              </w:rPr>
            </w:pPr>
            <w:r>
              <w:rPr>
                <w:rFonts w:hint="eastAsia" w:ascii="宋体" w:hAnsi="宋体"/>
                <w:szCs w:val="21"/>
              </w:rPr>
              <w:t>2、落实政府采购政策需满足的资格要求：</w:t>
            </w:r>
          </w:p>
          <w:p>
            <w:pPr>
              <w:snapToGrid w:val="0"/>
              <w:spacing w:before="156" w:line="340" w:lineRule="exact"/>
              <w:textAlignment w:val="baseline"/>
              <w:rPr>
                <w:rFonts w:hint="eastAsia" w:ascii="宋体" w:hAnsi="宋体"/>
                <w:color w:val="auto"/>
                <w:szCs w:val="21"/>
              </w:rPr>
            </w:pPr>
            <w:r>
              <w:rPr>
                <w:rFonts w:hint="eastAsia" w:ascii="宋体" w:hAnsi="宋体"/>
                <w:color w:val="auto"/>
                <w:szCs w:val="21"/>
              </w:rPr>
              <w:t>专门面向中小企业采购：</w:t>
            </w:r>
          </w:p>
          <w:p>
            <w:pPr>
              <w:snapToGrid w:val="0"/>
              <w:spacing w:before="156" w:line="340" w:lineRule="exact"/>
              <w:textAlignment w:val="baseline"/>
              <w:rPr>
                <w:rFonts w:hint="eastAsia" w:ascii="宋体" w:hAnsi="宋体"/>
                <w:szCs w:val="21"/>
              </w:rPr>
            </w:pPr>
            <w:r>
              <w:rPr>
                <w:rFonts w:hint="eastAsia" w:ascii="宋体" w:hAnsi="宋体"/>
                <w:szCs w:val="21"/>
              </w:rPr>
              <w:sym w:font="Wingdings 2" w:char="00A3"/>
            </w:r>
            <w:r>
              <w:rPr>
                <w:rFonts w:hint="eastAsia" w:ascii="宋体" w:hAnsi="宋体"/>
                <w:szCs w:val="21"/>
              </w:rPr>
              <w:t xml:space="preserve"> 是，专门面向中小企业采购。拒绝大型企业(或作为联合体方)参加政府采购活动。</w:t>
            </w:r>
          </w:p>
          <w:p>
            <w:pPr>
              <w:snapToGrid w:val="0"/>
              <w:spacing w:before="156" w:line="340" w:lineRule="exact"/>
              <w:textAlignment w:val="baseline"/>
            </w:pPr>
            <w:bookmarkStart w:id="60" w:name="OLE_LINK3"/>
            <w:r>
              <w:rPr>
                <w:rFonts w:hint="eastAsia" w:ascii="宋体" w:hAnsi="宋体"/>
                <w:szCs w:val="21"/>
              </w:rPr>
              <w:sym w:font="Wingdings 2" w:char="0052"/>
            </w:r>
            <w:r>
              <w:rPr>
                <w:rFonts w:hint="eastAsia" w:ascii="宋体" w:hAnsi="宋体"/>
                <w:szCs w:val="21"/>
              </w:rPr>
              <w:t xml:space="preserve"> </w:t>
            </w:r>
            <w:bookmarkEnd w:id="60"/>
            <w:r>
              <w:rPr>
                <w:rFonts w:hint="eastAsia" w:ascii="宋体" w:hAnsi="宋体"/>
                <w:szCs w:val="21"/>
              </w:rPr>
              <w:t>否。价格评审的政策优惠按“非专门面向中小企业采购”有关规定（按《关于印发《政府采购促进中小企业发展管理办法》的通知(财库〔2020〕46号)规定，供应商提供《中小企业声明函（格式））给予小型和微型企业的价格给予</w:t>
            </w:r>
            <w:r>
              <w:rPr>
                <w:rFonts w:hint="eastAsia" w:ascii="宋体" w:hAnsi="宋体"/>
                <w:szCs w:val="21"/>
                <w:lang w:val="en-US" w:eastAsia="zh-CN"/>
              </w:rPr>
              <w:t>10%-20%</w:t>
            </w:r>
            <w:r>
              <w:rPr>
                <w:rFonts w:hint="eastAsia" w:ascii="宋体" w:hAnsi="宋体"/>
                <w:szCs w:val="21"/>
              </w:rPr>
              <w:t>的扣除，用扣除后的价格参与评审，本项目具体扣除比例为</w:t>
            </w:r>
            <w:r>
              <w:rPr>
                <w:rFonts w:hint="eastAsia" w:ascii="宋体" w:hAnsi="宋体"/>
                <w:szCs w:val="21"/>
                <w:u w:val="single"/>
                <w:lang w:val="en-US" w:eastAsia="zh-CN"/>
              </w:rPr>
              <w:t>10</w:t>
            </w:r>
            <w:r>
              <w:rPr>
                <w:rFonts w:hint="eastAsia" w:ascii="宋体" w:hAnsi="宋体"/>
                <w:szCs w:val="21"/>
              </w:rPr>
              <w:t>％。</w:t>
            </w:r>
          </w:p>
          <w:p>
            <w:pPr>
              <w:widowControl/>
              <w:numPr>
                <w:ilvl w:val="0"/>
                <w:numId w:val="0"/>
              </w:numPr>
              <w:spacing w:line="420" w:lineRule="atLeast"/>
              <w:jc w:val="left"/>
              <w:rPr>
                <w:rFonts w:hint="eastAsia" w:ascii="宋体" w:hAnsi="宋体"/>
                <w:szCs w:val="21"/>
              </w:rPr>
            </w:pPr>
            <w:r>
              <w:rPr>
                <w:rFonts w:hint="eastAsia" w:ascii="宋体" w:hAnsi="宋体"/>
                <w:szCs w:val="21"/>
                <w:lang w:val="en-US" w:eastAsia="zh-CN"/>
              </w:rPr>
              <w:t>3、</w:t>
            </w:r>
            <w:r>
              <w:rPr>
                <w:rFonts w:hint="eastAsia" w:ascii="宋体" w:hAnsi="宋体"/>
                <w:szCs w:val="21"/>
              </w:rPr>
              <w:t>采购项目的特定资格条件：</w:t>
            </w:r>
          </w:p>
          <w:p>
            <w:pPr>
              <w:adjustRightInd w:val="0"/>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投标人需具有在有效期内的《药品经营许可证》，且范围需涵盖中药饮片。</w:t>
            </w:r>
          </w:p>
          <w:p>
            <w:pPr>
              <w:adjustRightInd w:val="0"/>
              <w:snapToGrid w:val="0"/>
              <w:spacing w:line="360" w:lineRule="exact"/>
              <w:jc w:val="left"/>
              <w:rPr>
                <w:rFonts w:ascii="宋体" w:hAnsi="宋体"/>
                <w:szCs w:val="21"/>
              </w:rPr>
            </w:pPr>
            <w:r>
              <w:rPr>
                <w:rFonts w:hint="eastAsia" w:ascii="宋体" w:hAnsi="宋体"/>
                <w:szCs w:val="21"/>
              </w:rPr>
              <w:t>4、单位负责人为同一人或者存在直接控股、管理关系的不同投标人，不得参加同一合同项下的政府采购活动。</w:t>
            </w:r>
          </w:p>
          <w:p>
            <w:pPr>
              <w:adjustRightInd w:val="0"/>
              <w:snapToGrid w:val="0"/>
              <w:spacing w:line="360" w:lineRule="exact"/>
              <w:jc w:val="left"/>
              <w:rPr>
                <w:rFonts w:ascii="宋体" w:hAnsi="宋体"/>
                <w:szCs w:val="21"/>
              </w:rPr>
            </w:pPr>
            <w:r>
              <w:rPr>
                <w:rFonts w:hint="eastAsia" w:ascii="宋体" w:hAnsi="宋体"/>
                <w:szCs w:val="21"/>
              </w:rPr>
              <w:t>5、为本采购项目提供整体设计、规范编制或者项目管理、监理、检测等服务的，不得再参加此项目的其他采购活动。</w:t>
            </w:r>
          </w:p>
          <w:p>
            <w:pPr>
              <w:adjustRightInd w:val="0"/>
              <w:snapToGrid w:val="0"/>
              <w:spacing w:line="360" w:lineRule="exact"/>
              <w:jc w:val="left"/>
              <w:rPr>
                <w:rFonts w:ascii="宋体" w:hAnsi="宋体" w:cs="宋体"/>
                <w:szCs w:val="21"/>
              </w:rPr>
            </w:pPr>
            <w:r>
              <w:rPr>
                <w:rFonts w:hint="eastAsia" w:ascii="宋体" w:hAnsi="宋体"/>
                <w:szCs w:val="21"/>
              </w:rPr>
              <w:t>6、列入失信被执行人、重大税收违法失信主体名单，列入政府采购严重违法失信行为记录名单的，拒绝其参与政府采购活动。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7"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第3.2款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接受联合体形式投标</w:t>
            </w:r>
          </w:p>
        </w:tc>
        <w:tc>
          <w:tcPr>
            <w:tcW w:w="5095" w:type="dxa"/>
            <w:vAlign w:val="center"/>
          </w:tcPr>
          <w:p>
            <w:pPr>
              <w:adjustRightInd w:val="0"/>
              <w:snapToGrid w:val="0"/>
              <w:spacing w:line="360" w:lineRule="exact"/>
              <w:rPr>
                <w:rFonts w:ascii="宋体" w:hAnsi="宋体" w:cs="宋体"/>
                <w:szCs w:val="21"/>
              </w:rPr>
            </w:pPr>
            <w:r>
              <w:rPr>
                <w:rFonts w:hint="eastAsia" w:ascii="宋体" w:hAnsi="宋体" w:cs="宋体"/>
                <w:szCs w:val="21"/>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99"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第5.1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hAnsi="宋体"/>
                <w:szCs w:val="21"/>
              </w:rPr>
            </w:pPr>
            <w:r>
              <w:rPr>
                <w:rFonts w:hint="eastAsia" w:ascii="宋体" w:hAnsi="宋体"/>
                <w:szCs w:val="21"/>
              </w:rPr>
              <w:t>招标文件提供期限</w:t>
            </w:r>
          </w:p>
        </w:tc>
        <w:tc>
          <w:tcPr>
            <w:tcW w:w="5095" w:type="dxa"/>
            <w:vAlign w:val="center"/>
          </w:tcPr>
          <w:p>
            <w:pPr>
              <w:adjustRightInd w:val="0"/>
              <w:snapToGrid w:val="0"/>
              <w:spacing w:line="360" w:lineRule="exact"/>
              <w:rPr>
                <w:rFonts w:ascii="宋体" w:hAnsi="宋体" w:cs="宋体"/>
                <w:szCs w:val="21"/>
              </w:rPr>
            </w:pPr>
            <w:r>
              <w:rPr>
                <w:rFonts w:hint="eastAsia" w:ascii="宋体" w:hAnsi="宋体" w:cs="宋体"/>
                <w:szCs w:val="21"/>
              </w:rPr>
              <w:t>详见招标公告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第5.2</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组织现场考察或者召开答疑会</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不组织/不召开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677" w:type="dxa"/>
            <w:gridSpan w:val="3"/>
            <w:vAlign w:val="center"/>
          </w:tcPr>
          <w:p>
            <w:pPr>
              <w:adjustRightInd w:val="0"/>
              <w:snapToGrid w:val="0"/>
              <w:spacing w:line="360" w:lineRule="exact"/>
              <w:rPr>
                <w:rFonts w:ascii="宋体" w:hAnsi="宋体"/>
                <w:b/>
                <w:szCs w:val="21"/>
              </w:rPr>
            </w:pPr>
            <w:r>
              <w:rPr>
                <w:rFonts w:hint="eastAsia" w:ascii="宋体" w:hAnsi="宋体"/>
                <w:b/>
                <w:szCs w:val="21"/>
              </w:rPr>
              <w:t>二、招标文件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第7.4</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非实质性偏离的范围和幅度</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一般技术和商务条款偏离≥10项将导致投标无效，凡标有最低一级序号的条款即为一项，内容不重复计算。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0"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第9.1款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cs="宋体"/>
                <w:szCs w:val="21"/>
              </w:rPr>
              <w:t>招标公告指定媒体</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中国湖南政府采购网（www.ccgp-hunan.g</w:t>
            </w:r>
            <w:r>
              <w:rPr>
                <w:rFonts w:hint="eastAsia" w:ascii="宋体" w:hAnsi="宋体" w:cs="Times New Roman"/>
                <w:szCs w:val="21"/>
              </w:rPr>
              <w:t>ov.cn）和娄底市公共资源交易网（http://ldggzy.hnloudi.gov.cn/）</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45" w:hRule="atLeast"/>
          <w:jc w:val="center"/>
        </w:trPr>
        <w:tc>
          <w:tcPr>
            <w:tcW w:w="8677" w:type="dxa"/>
            <w:gridSpan w:val="3"/>
            <w:vAlign w:val="center"/>
          </w:tcPr>
          <w:p>
            <w:pPr>
              <w:adjustRightInd w:val="0"/>
              <w:snapToGrid w:val="0"/>
              <w:spacing w:line="360" w:lineRule="exact"/>
              <w:rPr>
                <w:rFonts w:ascii="宋体" w:hAnsi="宋体"/>
                <w:szCs w:val="21"/>
              </w:rPr>
            </w:pPr>
            <w:r>
              <w:rPr>
                <w:rFonts w:hint="eastAsia" w:ascii="宋体" w:hAnsi="宋体"/>
                <w:b/>
                <w:szCs w:val="21"/>
              </w:rPr>
              <w:t>三、投标文件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35"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第13.2</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ascii="宋体" w:hAnsi="宋体"/>
                <w:szCs w:val="21"/>
              </w:rPr>
              <w:t>★</w:t>
            </w:r>
            <w:r>
              <w:rPr>
                <w:rFonts w:hint="eastAsia" w:ascii="宋体" w:hAnsi="宋体"/>
                <w:szCs w:val="21"/>
              </w:rPr>
              <w:t>采购预算、最高限价</w:t>
            </w:r>
          </w:p>
        </w:tc>
        <w:tc>
          <w:tcPr>
            <w:tcW w:w="5095" w:type="dxa"/>
            <w:vAlign w:val="center"/>
          </w:tcPr>
          <w:p>
            <w:pPr>
              <w:pStyle w:val="66"/>
              <w:spacing w:line="360" w:lineRule="exact"/>
              <w:ind w:firstLine="0" w:firstLineChars="0"/>
              <w:rPr>
                <w:rFonts w:ascii="宋体" w:hAnsi="宋体"/>
                <w:kern w:val="2"/>
                <w:sz w:val="21"/>
                <w:szCs w:val="21"/>
              </w:rPr>
            </w:pPr>
            <w:r>
              <w:rPr>
                <w:rFonts w:hint="eastAsia" w:ascii="宋体" w:hAnsi="宋体"/>
                <w:kern w:val="2"/>
                <w:sz w:val="21"/>
                <w:szCs w:val="21"/>
              </w:rPr>
              <w:t>详见招标公告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4"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第13.8</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投标报价的其他要求</w:t>
            </w:r>
          </w:p>
        </w:tc>
        <w:tc>
          <w:tcPr>
            <w:tcW w:w="5095" w:type="dxa"/>
            <w:vAlign w:val="center"/>
          </w:tcPr>
          <w:p>
            <w:pPr>
              <w:adjustRightInd w:val="0"/>
              <w:snapToGrid w:val="0"/>
              <w:spacing w:line="360" w:lineRule="exact"/>
              <w:rPr>
                <w:rFonts w:hint="default" w:ascii="宋体" w:hAnsi="宋体" w:eastAsia="宋体"/>
                <w:szCs w:val="21"/>
                <w:lang w:val="en-US" w:eastAsia="zh-CN"/>
              </w:rPr>
            </w:pPr>
            <w:r>
              <w:rPr>
                <w:rFonts w:hint="eastAsia" w:ascii="宋体" w:hAnsi="宋体"/>
                <w:szCs w:val="21"/>
                <w:lang w:val="en-US" w:eastAsia="zh-CN"/>
              </w:rPr>
              <w:t>本项目总价及各项产品的单价不得超过预算价格，否则视同为无效投标。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28"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第14.1款</w:t>
            </w:r>
          </w:p>
        </w:tc>
        <w:tc>
          <w:tcPr>
            <w:tcW w:w="2340" w:type="dxa"/>
            <w:vAlign w:val="center"/>
          </w:tcPr>
          <w:p>
            <w:pPr>
              <w:adjustRightInd w:val="0"/>
              <w:snapToGrid w:val="0"/>
              <w:spacing w:line="360" w:lineRule="exact"/>
              <w:jc w:val="center"/>
              <w:rPr>
                <w:rFonts w:ascii="宋体" w:hAnsi="宋体"/>
                <w:bCs/>
                <w:szCs w:val="21"/>
              </w:rPr>
            </w:pPr>
            <w:r>
              <w:rPr>
                <w:rFonts w:ascii="宋体" w:hAnsi="宋体"/>
                <w:szCs w:val="21"/>
              </w:rPr>
              <w:t>★</w:t>
            </w:r>
            <w:r>
              <w:rPr>
                <w:rFonts w:hint="eastAsia" w:ascii="宋体" w:hAnsi="宋体"/>
                <w:szCs w:val="21"/>
              </w:rPr>
              <w:t>投标人应提供资格审查资料</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1、营业执照（或法人登记证书）扫描件；</w:t>
            </w:r>
          </w:p>
          <w:p>
            <w:pPr>
              <w:adjustRightInd w:val="0"/>
              <w:snapToGrid w:val="0"/>
              <w:spacing w:line="360" w:lineRule="exact"/>
              <w:rPr>
                <w:rFonts w:hint="eastAsia" w:ascii="宋体" w:hAnsi="宋体"/>
                <w:szCs w:val="21"/>
              </w:rPr>
            </w:pPr>
            <w:r>
              <w:rPr>
                <w:rFonts w:hint="eastAsia" w:ascii="宋体" w:hAnsi="宋体"/>
                <w:szCs w:val="21"/>
              </w:rPr>
              <w:t>2、湖南省政府采购供应商资格承诺函；</w:t>
            </w:r>
          </w:p>
          <w:p>
            <w:pPr>
              <w:adjustRightInd w:val="0"/>
              <w:snapToGrid w:val="0"/>
              <w:spacing w:line="360" w:lineRule="exact"/>
              <w:rPr>
                <w:rFonts w:hint="default" w:ascii="宋体" w:hAnsi="宋体"/>
                <w:szCs w:val="21"/>
                <w:lang w:val="en-US" w:eastAsia="zh-CN"/>
              </w:rPr>
            </w:pPr>
            <w:r>
              <w:rPr>
                <w:rFonts w:hint="eastAsia" w:ascii="宋体" w:hAnsi="宋体"/>
                <w:szCs w:val="21"/>
                <w:lang w:val="en-US" w:eastAsia="zh-CN"/>
              </w:rPr>
              <w:t>3、其他相关资料</w:t>
            </w:r>
          </w:p>
          <w:p>
            <w:pPr>
              <w:adjustRightInd w:val="0"/>
              <w:snapToGrid w:val="0"/>
              <w:spacing w:line="360" w:lineRule="exact"/>
              <w:rPr>
                <w:rFonts w:ascii="宋体" w:hAnsi="宋体"/>
                <w:szCs w:val="21"/>
              </w:rPr>
            </w:pPr>
            <w:r>
              <w:rPr>
                <w:rFonts w:hint="eastAsia" w:ascii="宋体" w:hAnsi="宋体" w:cs="宋体"/>
              </w:rPr>
              <w:t>说明：投标人具有实行了“三证合一”登记制度改革的新证，视同为持有工商营业执照、组织机构代码证和税务登记证；投标人具有实行了“五证合一”登记制度改革的新证，视同为持有工商营业执照、组织机构代码证、税务登记证、社会保险登记证及统计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92"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第16.1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bCs/>
                <w:szCs w:val="21"/>
              </w:rPr>
            </w:pPr>
            <w:r>
              <w:rPr>
                <w:rFonts w:ascii="宋体" w:hAnsi="宋体"/>
                <w:szCs w:val="21"/>
              </w:rPr>
              <w:t>★</w:t>
            </w:r>
            <w:r>
              <w:rPr>
                <w:rFonts w:hint="eastAsia" w:ascii="宋体" w:hAnsi="宋体"/>
                <w:bCs/>
                <w:szCs w:val="21"/>
              </w:rPr>
              <w:t>投标有效期</w:t>
            </w:r>
          </w:p>
        </w:tc>
        <w:tc>
          <w:tcPr>
            <w:tcW w:w="5095" w:type="dxa"/>
            <w:vAlign w:val="center"/>
          </w:tcPr>
          <w:p>
            <w:pPr>
              <w:adjustRightInd w:val="0"/>
              <w:snapToGrid w:val="0"/>
              <w:spacing w:line="360" w:lineRule="exact"/>
              <w:rPr>
                <w:rFonts w:ascii="宋体" w:hAnsi="宋体"/>
                <w:bCs/>
                <w:szCs w:val="21"/>
              </w:rPr>
            </w:pPr>
            <w:r>
              <w:rPr>
                <w:rFonts w:hint="eastAsia" w:ascii="宋体" w:hAnsi="宋体"/>
                <w:bCs/>
                <w:szCs w:val="21"/>
              </w:rPr>
              <w:t>90天（日历日）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第17.1</w:t>
            </w:r>
            <w:r>
              <w:rPr>
                <w:rFonts w:hint="eastAsia" w:ascii="宋体" w:hAnsi="宋体" w:cs="宋体"/>
                <w:kern w:val="0"/>
                <w:szCs w:val="21"/>
                <w:lang w:val="zh-CN"/>
              </w:rPr>
              <w:t>款</w:t>
            </w:r>
          </w:p>
        </w:tc>
        <w:tc>
          <w:tcPr>
            <w:tcW w:w="2340" w:type="dxa"/>
            <w:vAlign w:val="center"/>
          </w:tcPr>
          <w:p>
            <w:pPr>
              <w:adjustRightInd w:val="0"/>
              <w:snapToGrid w:val="0"/>
              <w:spacing w:line="360" w:lineRule="exact"/>
              <w:ind w:firstLine="533" w:firstLineChars="254"/>
              <w:rPr>
                <w:rFonts w:ascii="宋体" w:hAnsi="宋体"/>
                <w:szCs w:val="21"/>
              </w:rPr>
            </w:pPr>
            <w:r>
              <w:rPr>
                <w:rFonts w:hint="eastAsia" w:ascii="宋体" w:hAnsi="宋体"/>
                <w:szCs w:val="21"/>
              </w:rPr>
              <w:t>投标保证金</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sym w:font="Wingdings" w:char="00FE"/>
            </w:r>
            <w:r>
              <w:rPr>
                <w:rFonts w:hint="eastAsia" w:ascii="宋体" w:hAnsi="宋体"/>
                <w:szCs w:val="21"/>
              </w:rPr>
              <w:t>不要求提供</w:t>
            </w:r>
          </w:p>
          <w:p>
            <w:pPr>
              <w:adjustRightInd w:val="0"/>
              <w:snapToGrid w:val="0"/>
              <w:spacing w:line="360" w:lineRule="exact"/>
              <w:rPr>
                <w:rFonts w:ascii="宋体" w:hAnsi="宋体"/>
                <w:szCs w:val="21"/>
              </w:rPr>
            </w:pPr>
            <w:r>
              <w:rPr>
                <w:rFonts w:hint="eastAsia" w:ascii="宋体" w:hAnsi="宋体"/>
                <w:szCs w:val="21"/>
              </w:rPr>
              <w:t>□要求提供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87"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第18.1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bCs/>
                <w:szCs w:val="21"/>
              </w:rPr>
              <w:t>分包</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不允许分包</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87"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第19.1款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投标文件份数</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投标人应准备所投项目的电子投标文件一份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677" w:type="dxa"/>
            <w:gridSpan w:val="3"/>
            <w:vAlign w:val="center"/>
          </w:tcPr>
          <w:p>
            <w:pPr>
              <w:adjustRightInd w:val="0"/>
              <w:snapToGrid w:val="0"/>
              <w:spacing w:line="360" w:lineRule="exact"/>
              <w:rPr>
                <w:rFonts w:ascii="宋体" w:hAnsi="宋体"/>
                <w:b/>
                <w:bCs/>
                <w:szCs w:val="21"/>
              </w:rPr>
            </w:pPr>
            <w:r>
              <w:rPr>
                <w:rFonts w:hint="eastAsia" w:ascii="宋体" w:hAnsi="宋体"/>
                <w:b/>
                <w:szCs w:val="21"/>
              </w:rPr>
              <w:t>四、投标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第20.1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ascii="宋体" w:hAnsi="宋体"/>
                <w:szCs w:val="21"/>
              </w:rPr>
              <w:t>★</w:t>
            </w:r>
            <w:r>
              <w:rPr>
                <w:rFonts w:hint="eastAsia" w:ascii="宋体" w:hAnsi="宋体"/>
                <w:szCs w:val="21"/>
              </w:rPr>
              <w:t>投标文件的加密</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按娄底市公共资源交易电子服务平台发布的“电子投标文件制作工具（</w:t>
            </w:r>
            <w:r>
              <w:rPr>
                <w:rStyle w:val="114"/>
                <w:rFonts w:ascii="宋体" w:hAnsi="宋体"/>
                <w:szCs w:val="21"/>
              </w:rPr>
              <w:t>金润投标人工具箱</w:t>
            </w:r>
            <w:r>
              <w:rPr>
                <w:rStyle w:val="114"/>
                <w:rFonts w:hint="eastAsia" w:ascii="宋体" w:hAnsi="宋体"/>
                <w:szCs w:val="21"/>
              </w:rPr>
              <w:t>6.7.0版本</w:t>
            </w:r>
            <w:r>
              <w:rPr>
                <w:rStyle w:val="114"/>
                <w:rFonts w:ascii="宋体" w:hAnsi="宋体"/>
                <w:szCs w:val="21"/>
              </w:rPr>
              <w:t>）</w:t>
            </w:r>
            <w:r>
              <w:rPr>
                <w:rFonts w:hint="eastAsia" w:ascii="宋体" w:hAnsi="宋体"/>
                <w:szCs w:val="21"/>
              </w:rPr>
              <w:t>”的程序进行固化、加密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第21.1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ascii="宋体" w:hAnsi="宋体"/>
                <w:szCs w:val="21"/>
              </w:rPr>
              <w:t>★</w:t>
            </w:r>
            <w:r>
              <w:rPr>
                <w:rFonts w:hint="eastAsia" w:ascii="宋体" w:hAnsi="宋体"/>
                <w:szCs w:val="21"/>
              </w:rPr>
              <w:t>投标文件的递交</w:t>
            </w:r>
          </w:p>
        </w:tc>
        <w:tc>
          <w:tcPr>
            <w:tcW w:w="5095" w:type="dxa"/>
            <w:vAlign w:val="center"/>
          </w:tcPr>
          <w:p>
            <w:pPr>
              <w:adjustRightInd w:val="0"/>
              <w:snapToGrid w:val="0"/>
              <w:spacing w:line="360" w:lineRule="exact"/>
              <w:rPr>
                <w:rFonts w:ascii="宋体" w:hAnsi="宋体" w:cs="宋体"/>
                <w:szCs w:val="21"/>
              </w:rPr>
            </w:pPr>
            <w:r>
              <w:rPr>
                <w:rFonts w:hint="eastAsia" w:ascii="宋体" w:hAnsi="宋体" w:cs="宋体"/>
                <w:szCs w:val="21"/>
              </w:rPr>
              <w:t>实行网上投标，投标人必须在采购文件规定的投标截止时间前完成，具体详见采购公告；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677" w:type="dxa"/>
            <w:gridSpan w:val="3"/>
            <w:vAlign w:val="center"/>
          </w:tcPr>
          <w:p>
            <w:pPr>
              <w:adjustRightInd w:val="0"/>
              <w:snapToGrid w:val="0"/>
              <w:spacing w:line="360" w:lineRule="exact"/>
              <w:rPr>
                <w:rFonts w:ascii="宋体" w:hAnsi="宋体"/>
                <w:szCs w:val="21"/>
              </w:rPr>
            </w:pPr>
            <w:r>
              <w:rPr>
                <w:rFonts w:hint="eastAsia" w:ascii="宋体" w:hAnsi="宋体"/>
                <w:b/>
                <w:bCs/>
                <w:szCs w:val="21"/>
              </w:rPr>
              <w:t>五、开标、资格审查和评标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77"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第24.1款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开标地点</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详见招标公告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77"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第24.2</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需要宣布的其他内容</w:t>
            </w:r>
          </w:p>
        </w:tc>
        <w:tc>
          <w:tcPr>
            <w:tcW w:w="5095" w:type="dxa"/>
            <w:vAlign w:val="center"/>
          </w:tcPr>
          <w:p>
            <w:pPr>
              <w:adjustRightInd w:val="0"/>
              <w:snapToGrid w:val="0"/>
              <w:spacing w:line="360" w:lineRule="exact"/>
              <w:rPr>
                <w:rFonts w:ascii="宋体" w:hAnsi="宋体"/>
                <w:szCs w:val="21"/>
              </w:rPr>
            </w:pPr>
            <w:r>
              <w:rPr>
                <w:rFonts w:hint="eastAsia" w:ascii="宋体" w:hAnsi="宋体"/>
                <w:szCs w:val="21"/>
              </w:rPr>
              <w:t>投标报价、交货期等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677" w:type="dxa"/>
            <w:gridSpan w:val="3"/>
            <w:vAlign w:val="center"/>
          </w:tcPr>
          <w:p>
            <w:pPr>
              <w:adjustRightInd w:val="0"/>
              <w:snapToGrid w:val="0"/>
              <w:spacing w:line="360" w:lineRule="exact"/>
              <w:rPr>
                <w:rFonts w:ascii="宋体" w:hAnsi="宋体"/>
                <w:b/>
                <w:szCs w:val="21"/>
              </w:rPr>
            </w:pPr>
            <w:r>
              <w:rPr>
                <w:rFonts w:hint="eastAsia" w:ascii="宋体" w:hAnsi="宋体"/>
                <w:b/>
                <w:szCs w:val="21"/>
              </w:rPr>
              <w:t>六、中标信息公布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第28.2</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中标候选人并列的确定中标人的方式</w:t>
            </w:r>
          </w:p>
        </w:tc>
        <w:tc>
          <w:tcPr>
            <w:tcW w:w="5095" w:type="dxa"/>
            <w:vAlign w:val="center"/>
          </w:tcPr>
          <w:p>
            <w:pPr>
              <w:adjustRightInd w:val="0"/>
              <w:snapToGrid w:val="0"/>
              <w:spacing w:line="360" w:lineRule="exact"/>
              <w:rPr>
                <w:rFonts w:ascii="宋体" w:hAnsi="宋体"/>
                <w:bCs/>
                <w:szCs w:val="21"/>
              </w:rPr>
            </w:pPr>
            <w:r>
              <w:rPr>
                <w:rFonts w:hint="eastAsia" w:ascii="宋体" w:hAnsi="宋体"/>
                <w:bCs/>
                <w:szCs w:val="21"/>
              </w:rPr>
              <w:t>完全满足招标文件实质性需求且综合得分最高的单位为中标单位，得分相同的，按投标报价由低到高顺序排列；得分且投标报价相同的并列，按技术指标优劣顺序排列最高的投标人为排名第一的中标候选人。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第29.3</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接收质疑函的联系部门、联系电话和通讯地址</w:t>
            </w:r>
          </w:p>
        </w:tc>
        <w:tc>
          <w:tcPr>
            <w:tcW w:w="5095" w:type="dxa"/>
            <w:vAlign w:val="center"/>
          </w:tcPr>
          <w:p>
            <w:pPr>
              <w:adjustRightInd w:val="0"/>
              <w:snapToGrid w:val="0"/>
              <w:spacing w:line="360" w:lineRule="exact"/>
              <w:rPr>
                <w:rFonts w:hint="eastAsia" w:ascii="Times New Roman" w:hAnsi="Times New Roman" w:eastAsia="宋体" w:cs="Times New Roman"/>
                <w:lang w:eastAsia="zh-CN"/>
              </w:rPr>
            </w:pPr>
            <w:r>
              <w:rPr>
                <w:rFonts w:hint="eastAsia" w:ascii="Times New Roman" w:hAnsi="Times New Roman" w:eastAsia="宋体" w:cs="Times New Roman"/>
              </w:rPr>
              <w:t>1、</w:t>
            </w:r>
            <w:r>
              <w:rPr>
                <w:rFonts w:hint="eastAsia" w:cs="Times New Roman"/>
                <w:lang w:eastAsia="zh-CN"/>
              </w:rPr>
              <w:t>湖南省娄底监狱</w:t>
            </w:r>
          </w:p>
          <w:p>
            <w:pPr>
              <w:adjustRightInd w:val="0"/>
              <w:snapToGrid w:val="0"/>
              <w:spacing w:line="360" w:lineRule="exact"/>
              <w:rPr>
                <w:rFonts w:hint="default" w:ascii="Times New Roman" w:hAnsi="Times New Roman" w:eastAsia="宋体" w:cs="Times New Roman"/>
                <w:lang w:val="en-US" w:eastAsia="zh-CN"/>
              </w:rPr>
            </w:pPr>
            <w:r>
              <w:rPr>
                <w:rFonts w:hint="eastAsia" w:ascii="Times New Roman" w:hAnsi="Times New Roman" w:eastAsia="宋体" w:cs="Times New Roman"/>
              </w:rPr>
              <w:t>联系人：</w:t>
            </w:r>
            <w:r>
              <w:rPr>
                <w:rFonts w:hint="eastAsia" w:cs="Times New Roman"/>
                <w:lang w:val="en-US" w:eastAsia="zh-CN"/>
              </w:rPr>
              <w:t>伍先生</w:t>
            </w:r>
          </w:p>
          <w:p>
            <w:pPr>
              <w:adjustRightInd w:val="0"/>
              <w:snapToGrid w:val="0"/>
              <w:spacing w:line="360" w:lineRule="exact"/>
              <w:rPr>
                <w:rFonts w:hint="eastAsia" w:ascii="Times New Roman" w:hAnsi="Times New Roman" w:eastAsia="宋体" w:cs="Times New Roman"/>
              </w:rPr>
            </w:pPr>
            <w:r>
              <w:rPr>
                <w:rFonts w:hint="eastAsia" w:ascii="Times New Roman" w:hAnsi="Times New Roman" w:eastAsia="宋体" w:cs="Times New Roman"/>
              </w:rPr>
              <w:t>电话：</w:t>
            </w:r>
            <w:r>
              <w:rPr>
                <w:rFonts w:hint="eastAsia" w:ascii="Times New Roman" w:hAnsi="Times New Roman" w:eastAsia="宋体" w:cs="Times New Roman"/>
                <w:lang w:val="en-US" w:eastAsia="zh-CN"/>
              </w:rPr>
              <w:t xml:space="preserve"> </w:t>
            </w:r>
            <w:r>
              <w:rPr>
                <w:rFonts w:hint="eastAsia" w:cs="Times New Roman"/>
                <w:lang w:val="en-US" w:eastAsia="zh-CN"/>
              </w:rPr>
              <w:t>13973808006</w:t>
            </w:r>
          </w:p>
          <w:p>
            <w:pPr>
              <w:adjustRightInd w:val="0"/>
              <w:snapToGrid w:val="0"/>
              <w:spacing w:line="360" w:lineRule="exact"/>
              <w:rPr>
                <w:rFonts w:hint="eastAsia" w:ascii="Times New Roman" w:hAnsi="Times New Roman" w:eastAsia="宋体" w:cs="Times New Roman"/>
                <w:lang w:val="en-US" w:eastAsia="zh-CN"/>
              </w:rPr>
            </w:pPr>
            <w:r>
              <w:rPr>
                <w:rFonts w:hint="eastAsia" w:ascii="Times New Roman" w:hAnsi="Times New Roman" w:eastAsia="宋体" w:cs="Times New Roman"/>
              </w:rPr>
              <w:t>通讯地址：</w:t>
            </w:r>
            <w:r>
              <w:rPr>
                <w:rFonts w:hint="eastAsia" w:cs="Times New Roman"/>
                <w:lang w:eastAsia="zh-CN"/>
              </w:rPr>
              <w:t>湖南省娄底市娄星区大科办事处</w:t>
            </w:r>
          </w:p>
          <w:p>
            <w:pPr>
              <w:adjustRightInd w:val="0"/>
              <w:snapToGrid w:val="0"/>
              <w:spacing w:line="360" w:lineRule="exact"/>
              <w:rPr>
                <w:rFonts w:hint="eastAsia" w:ascii="Times New Roman" w:hAnsi="Times New Roman" w:eastAsia="宋体" w:cs="Times New Roman"/>
              </w:rPr>
            </w:pPr>
            <w:r>
              <w:rPr>
                <w:rFonts w:hint="eastAsia" w:ascii="Times New Roman" w:hAnsi="Times New Roman" w:eastAsia="宋体" w:cs="Times New Roman"/>
              </w:rPr>
              <w:t>2、湖南森诺项目管理有限公司</w:t>
            </w:r>
          </w:p>
          <w:p>
            <w:pPr>
              <w:adjustRightInd w:val="0"/>
              <w:snapToGrid w:val="0"/>
              <w:spacing w:line="360" w:lineRule="exact"/>
              <w:rPr>
                <w:rFonts w:hint="eastAsia" w:ascii="Times New Roman" w:hAnsi="Times New Roman" w:eastAsia="宋体" w:cs="Times New Roman"/>
              </w:rPr>
            </w:pPr>
            <w:r>
              <w:rPr>
                <w:rFonts w:hint="eastAsia" w:ascii="Times New Roman" w:hAnsi="Times New Roman" w:eastAsia="宋体" w:cs="Times New Roman"/>
              </w:rPr>
              <w:t>联系人：贺剑</w:t>
            </w:r>
          </w:p>
          <w:p>
            <w:pPr>
              <w:adjustRightInd w:val="0"/>
              <w:snapToGrid w:val="0"/>
              <w:spacing w:line="360" w:lineRule="exact"/>
              <w:rPr>
                <w:rFonts w:hint="eastAsia" w:ascii="Times New Roman" w:hAnsi="Times New Roman" w:eastAsia="宋体" w:cs="Times New Roman"/>
              </w:rPr>
            </w:pPr>
            <w:r>
              <w:rPr>
                <w:rFonts w:hint="eastAsia" w:ascii="Times New Roman" w:hAnsi="Times New Roman" w:eastAsia="宋体" w:cs="Times New Roman"/>
              </w:rPr>
              <w:t>联系电话：18007389906</w:t>
            </w:r>
          </w:p>
          <w:p>
            <w:pPr>
              <w:adjustRightInd w:val="0"/>
              <w:snapToGrid w:val="0"/>
              <w:spacing w:line="360" w:lineRule="exact"/>
            </w:pPr>
            <w:r>
              <w:rPr>
                <w:rFonts w:hint="eastAsia" w:ascii="Times New Roman" w:hAnsi="Times New Roman" w:eastAsia="宋体" w:cs="Times New Roman"/>
              </w:rPr>
              <w:t>通讯地址：湖南省娄底市娄星区湘中大</w:t>
            </w:r>
            <w:r>
              <w:rPr>
                <w:rStyle w:val="114"/>
                <w:rFonts w:hint="eastAsia" w:ascii="宋体" w:hAnsi="宋体"/>
                <w:szCs w:val="21"/>
              </w:rPr>
              <w:t>道君临天厦a座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677" w:type="dxa"/>
            <w:gridSpan w:val="3"/>
            <w:vAlign w:val="center"/>
          </w:tcPr>
          <w:p>
            <w:pPr>
              <w:adjustRightInd w:val="0"/>
              <w:snapToGrid w:val="0"/>
              <w:spacing w:line="360" w:lineRule="exact"/>
              <w:rPr>
                <w:rFonts w:ascii="宋体" w:hAnsi="宋体"/>
                <w:szCs w:val="21"/>
              </w:rPr>
            </w:pPr>
            <w:r>
              <w:rPr>
                <w:rFonts w:hint="eastAsia" w:ascii="宋体" w:hAnsi="宋体"/>
                <w:b/>
                <w:szCs w:val="21"/>
              </w:rPr>
              <w:t>七、合同签订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第31.1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履约担保</w:t>
            </w:r>
          </w:p>
        </w:tc>
        <w:tc>
          <w:tcPr>
            <w:tcW w:w="5095" w:type="dxa"/>
            <w:vAlign w:val="center"/>
          </w:tcPr>
          <w:p>
            <w:pPr>
              <w:adjustRightInd w:val="0"/>
              <w:spacing w:line="360" w:lineRule="exact"/>
              <w:rPr>
                <w:rFonts w:hint="eastAsia" w:ascii="宋体" w:hAnsi="宋体" w:eastAsia="宋体"/>
                <w:szCs w:val="21"/>
                <w:lang w:val="en-US" w:eastAsia="zh-CN"/>
              </w:rPr>
            </w:pPr>
            <w:r>
              <w:rPr>
                <w:rFonts w:hint="eastAsia" w:ascii="宋体" w:hAnsi="宋体"/>
                <w:szCs w:val="21"/>
              </w:rPr>
              <w:sym w:font="Wingdings" w:char="00A8"/>
            </w:r>
            <w:r>
              <w:rPr>
                <w:rFonts w:hint="eastAsia" w:ascii="宋体" w:hAnsi="宋体"/>
                <w:szCs w:val="21"/>
              </w:rPr>
              <w:t>不要求提供</w:t>
            </w:r>
            <w:r>
              <w:rPr>
                <w:rFonts w:hint="eastAsia" w:ascii="宋体" w:hAnsi="宋体"/>
                <w:szCs w:val="21"/>
                <w:lang w:eastAsia="zh-CN"/>
              </w:rPr>
              <w:t>；</w:t>
            </w:r>
          </w:p>
          <w:p>
            <w:pPr>
              <w:pStyle w:val="66"/>
              <w:spacing w:line="360" w:lineRule="exact"/>
              <w:ind w:left="0" w:leftChars="0" w:firstLine="0" w:firstLineChars="0"/>
              <w:rPr>
                <w:rFonts w:hint="default" w:ascii="宋体" w:hAnsi="宋体"/>
                <w:sz w:val="21"/>
                <w:szCs w:val="21"/>
                <w:lang w:val="en-US" w:eastAsia="zh-CN"/>
              </w:rPr>
            </w:pPr>
            <w:r>
              <w:rPr>
                <w:rFonts w:hint="eastAsia" w:ascii="宋体" w:hAnsi="宋体"/>
                <w:szCs w:val="21"/>
              </w:rPr>
              <w:sym w:font="Wingdings" w:char="00FE"/>
            </w:r>
            <w:r>
              <w:rPr>
                <w:rFonts w:hint="eastAsia" w:ascii="宋体" w:hAnsi="宋体"/>
                <w:sz w:val="21"/>
                <w:szCs w:val="21"/>
              </w:rPr>
              <w:t>要求提供，履约担保的金额为：</w:t>
            </w:r>
            <w:r>
              <w:rPr>
                <w:rFonts w:hint="eastAsia" w:ascii="宋体" w:hAnsi="宋体"/>
                <w:sz w:val="21"/>
                <w:szCs w:val="21"/>
                <w:lang w:val="en-US" w:eastAsia="zh-CN"/>
              </w:rPr>
              <w:t>中标金额的5%</w:t>
            </w:r>
          </w:p>
          <w:p>
            <w:pPr>
              <w:pStyle w:val="66"/>
              <w:spacing w:line="360" w:lineRule="exact"/>
              <w:ind w:left="0" w:leftChars="0" w:firstLine="0" w:firstLineChars="0"/>
              <w:rPr>
                <w:rFonts w:hint="eastAsia" w:ascii="宋体" w:hAnsi="宋体"/>
                <w:sz w:val="21"/>
                <w:szCs w:val="21"/>
                <w:lang w:val="en-US" w:eastAsia="zh-CN"/>
              </w:rPr>
            </w:pPr>
            <w:r>
              <w:rPr>
                <w:rFonts w:hint="eastAsia" w:ascii="宋体" w:hAnsi="宋体"/>
                <w:sz w:val="21"/>
                <w:szCs w:val="21"/>
                <w:lang w:val="en-US" w:eastAsia="zh-CN"/>
              </w:rPr>
              <w:t>履约担保的形式：银行转账或金融机构保函（不含非融资性担保公司）</w:t>
            </w:r>
          </w:p>
          <w:p>
            <w:pPr>
              <w:pStyle w:val="66"/>
              <w:spacing w:line="360" w:lineRule="exact"/>
              <w:ind w:left="0" w:leftChars="0" w:firstLine="0" w:firstLineChars="0"/>
              <w:rPr>
                <w:rFonts w:hint="eastAsia" w:ascii="宋体" w:hAnsi="宋体"/>
                <w:sz w:val="21"/>
                <w:szCs w:val="21"/>
                <w:lang w:val="en-US" w:eastAsia="zh-CN"/>
              </w:rPr>
            </w:pPr>
            <w:r>
              <w:rPr>
                <w:rFonts w:hint="eastAsia" w:ascii="宋体" w:hAnsi="宋体"/>
                <w:sz w:val="21"/>
                <w:szCs w:val="21"/>
                <w:lang w:val="en-US" w:eastAsia="zh-CN"/>
              </w:rPr>
              <w:t>履约担保的缴纳时间：合同签订前5日内。</w:t>
            </w:r>
          </w:p>
          <w:p>
            <w:pPr>
              <w:pStyle w:val="66"/>
              <w:spacing w:line="360" w:lineRule="exact"/>
              <w:ind w:left="0" w:leftChars="0" w:firstLine="0" w:firstLineChars="0"/>
              <w:rPr>
                <w:rFonts w:hint="default" w:ascii="宋体" w:hAnsi="宋体"/>
                <w:sz w:val="21"/>
                <w:szCs w:val="21"/>
                <w:lang w:val="en-US" w:eastAsia="zh-CN"/>
              </w:rPr>
            </w:pPr>
            <w:r>
              <w:rPr>
                <w:rStyle w:val="50"/>
                <w:rFonts w:hint="eastAsia" w:ascii="宋体" w:hAnsi="宋体" w:eastAsia="宋体" w:cs="宋体"/>
                <w:b w:val="0"/>
                <w:bCs w:val="0"/>
                <w:sz w:val="21"/>
                <w:szCs w:val="21"/>
                <w:lang w:val="en-US" w:eastAsia="zh-CN"/>
              </w:rPr>
              <w:t>履约担保的退回：</w:t>
            </w:r>
            <w:r>
              <w:rPr>
                <w:rStyle w:val="50"/>
                <w:rFonts w:hint="eastAsia" w:ascii="宋体" w:hAnsi="宋体" w:eastAsia="宋体" w:cs="宋体"/>
                <w:b w:val="0"/>
                <w:bCs w:val="0"/>
                <w:sz w:val="21"/>
                <w:szCs w:val="21"/>
              </w:rPr>
              <w:t>中标供应商无违规行为的，其履约保证金在合同履行期满后，凭中标通知书、政府采购合同、验收单及履约保证金退还申请在合同履约期结束后30天内无息退还。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36" w:hRule="atLeast"/>
          <w:jc w:val="center"/>
        </w:trPr>
        <w:tc>
          <w:tcPr>
            <w:tcW w:w="8677" w:type="dxa"/>
            <w:gridSpan w:val="3"/>
            <w:vAlign w:val="center"/>
          </w:tcPr>
          <w:p>
            <w:pPr>
              <w:adjustRightInd w:val="0"/>
              <w:spacing w:line="360" w:lineRule="exact"/>
              <w:rPr>
                <w:rFonts w:ascii="宋体" w:hAnsi="宋体"/>
                <w:szCs w:val="21"/>
              </w:rPr>
            </w:pPr>
            <w:r>
              <w:rPr>
                <w:rFonts w:hint="eastAsia" w:ascii="宋体" w:hAnsi="宋体"/>
                <w:szCs w:val="21"/>
              </w:rPr>
              <w:t>八、政府采购政策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41" w:hRule="atLeast"/>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第33.8款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采购进口产品</w:t>
            </w:r>
          </w:p>
        </w:tc>
        <w:tc>
          <w:tcPr>
            <w:tcW w:w="5095" w:type="dxa"/>
            <w:vAlign w:val="center"/>
          </w:tcPr>
          <w:p>
            <w:pPr>
              <w:adjustRightInd w:val="0"/>
              <w:spacing w:line="360" w:lineRule="exact"/>
              <w:rPr>
                <w:rFonts w:ascii="宋体" w:hAnsi="宋体"/>
                <w:szCs w:val="21"/>
              </w:rPr>
            </w:pPr>
            <w:r>
              <w:rPr>
                <w:rFonts w:hint="eastAsia" w:ascii="宋体" w:hAnsi="宋体"/>
                <w:szCs w:val="21"/>
              </w:rPr>
              <w:t>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677" w:type="dxa"/>
            <w:gridSpan w:val="3"/>
            <w:vAlign w:val="center"/>
          </w:tcPr>
          <w:p>
            <w:pPr>
              <w:adjustRightInd w:val="0"/>
              <w:snapToGrid w:val="0"/>
              <w:spacing w:line="360" w:lineRule="exact"/>
              <w:rPr>
                <w:rFonts w:ascii="宋体" w:hAnsi="宋体"/>
                <w:b/>
                <w:szCs w:val="21"/>
              </w:rPr>
            </w:pPr>
            <w:r>
              <w:rPr>
                <w:rFonts w:hint="eastAsia" w:ascii="宋体" w:hAnsi="宋体"/>
                <w:b/>
                <w:szCs w:val="21"/>
              </w:rPr>
              <w:t>九、其他规定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第35.1(1)</w:t>
            </w:r>
            <w:r>
              <w:rPr>
                <w:rFonts w:hint="eastAsia" w:ascii="宋体" w:hAnsi="宋体" w:cs="宋体"/>
                <w:kern w:val="0"/>
                <w:szCs w:val="21"/>
                <w:lang w:val="zh-CN"/>
              </w:rPr>
              <w:t>款</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合同预付款的支付比例和支付条件</w:t>
            </w:r>
          </w:p>
        </w:tc>
        <w:tc>
          <w:tcPr>
            <w:tcW w:w="5095" w:type="dxa"/>
            <w:vAlign w:val="center"/>
          </w:tcPr>
          <w:p>
            <w:pPr>
              <w:spacing w:line="360" w:lineRule="exact"/>
              <w:rPr>
                <w:rFonts w:ascii="宋体" w:hAnsi="宋体"/>
                <w:szCs w:val="21"/>
              </w:rPr>
            </w:pPr>
            <w:r>
              <w:rPr>
                <w:rFonts w:hint="eastAsia"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第35.1</w:t>
            </w:r>
            <w:r>
              <w:rPr>
                <w:rFonts w:hint="eastAsia" w:ascii="宋体" w:hAnsi="宋体" w:cs="宋体"/>
                <w:kern w:val="0"/>
                <w:szCs w:val="21"/>
                <w:lang w:val="zh-CN"/>
              </w:rPr>
              <w:t>（</w:t>
            </w:r>
            <w:r>
              <w:rPr>
                <w:rFonts w:hint="eastAsia" w:ascii="宋体" w:hAnsi="宋体" w:cs="宋体"/>
                <w:kern w:val="0"/>
                <w:szCs w:val="21"/>
              </w:rPr>
              <w:t>2</w:t>
            </w:r>
            <w:r>
              <w:rPr>
                <w:rFonts w:hint="eastAsia" w:ascii="宋体" w:hAnsi="宋体" w:cs="宋体"/>
                <w:kern w:val="0"/>
                <w:szCs w:val="21"/>
                <w:lang w:val="zh-CN"/>
              </w:rPr>
              <w:t>）</w:t>
            </w:r>
            <w:r>
              <w:rPr>
                <w:rFonts w:hint="eastAsia" w:ascii="宋体" w:hAnsi="宋体" w:cs="宋体"/>
                <w:kern w:val="0"/>
                <w:szCs w:val="21"/>
              </w:rPr>
              <w:t>项</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质量保证金</w:t>
            </w:r>
          </w:p>
        </w:tc>
        <w:tc>
          <w:tcPr>
            <w:tcW w:w="5095" w:type="dxa"/>
            <w:vAlign w:val="center"/>
          </w:tcPr>
          <w:p>
            <w:pPr>
              <w:spacing w:line="360" w:lineRule="exact"/>
              <w:rPr>
                <w:rFonts w:ascii="宋体" w:hAnsi="宋体"/>
                <w:szCs w:val="21"/>
              </w:rPr>
            </w:pPr>
            <w:r>
              <w:rPr>
                <w:rFonts w:hint="eastAsia"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42" w:type="dxa"/>
            <w:vAlign w:val="center"/>
          </w:tcPr>
          <w:p>
            <w:pPr>
              <w:adjustRightInd w:val="0"/>
              <w:snapToGrid w:val="0"/>
              <w:spacing w:line="360" w:lineRule="exact"/>
              <w:jc w:val="center"/>
              <w:rPr>
                <w:rFonts w:ascii="宋体" w:hAnsi="宋体"/>
                <w:szCs w:val="21"/>
              </w:rPr>
            </w:pPr>
            <w:r>
              <w:rPr>
                <w:rFonts w:hint="eastAsia" w:ascii="宋体" w:hAnsi="宋体"/>
                <w:szCs w:val="21"/>
              </w:rPr>
              <w:t>第35.2</w:t>
            </w:r>
            <w:r>
              <w:rPr>
                <w:rFonts w:hint="eastAsia" w:ascii="宋体" w:hAnsi="宋体" w:cs="宋体"/>
                <w:kern w:val="0"/>
                <w:szCs w:val="21"/>
              </w:rPr>
              <w:t>项</w:t>
            </w:r>
          </w:p>
        </w:tc>
        <w:tc>
          <w:tcPr>
            <w:tcW w:w="2340" w:type="dxa"/>
            <w:vAlign w:val="center"/>
          </w:tcPr>
          <w:p>
            <w:pPr>
              <w:adjustRightInd w:val="0"/>
              <w:snapToGrid w:val="0"/>
              <w:spacing w:line="360" w:lineRule="exact"/>
              <w:jc w:val="center"/>
              <w:rPr>
                <w:rFonts w:ascii="宋体" w:hAnsi="宋体"/>
                <w:szCs w:val="21"/>
              </w:rPr>
            </w:pPr>
            <w:r>
              <w:rPr>
                <w:rFonts w:hint="eastAsia" w:ascii="宋体" w:hAnsi="宋体"/>
                <w:szCs w:val="21"/>
              </w:rPr>
              <w:t>其他规定</w:t>
            </w:r>
          </w:p>
        </w:tc>
        <w:tc>
          <w:tcPr>
            <w:tcW w:w="5095" w:type="dxa"/>
            <w:vAlign w:val="center"/>
          </w:tcPr>
          <w:p>
            <w:pPr>
              <w:spacing w:line="360" w:lineRule="exact"/>
              <w:rPr>
                <w:rFonts w:ascii="宋体" w:hAnsi="宋体"/>
                <w:szCs w:val="21"/>
              </w:rPr>
            </w:pPr>
            <w:r>
              <w:rPr>
                <w:rFonts w:ascii="宋体" w:hAnsi="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pPr>
              <w:spacing w:line="360" w:lineRule="exact"/>
              <w:rPr>
                <w:rFonts w:ascii="宋体" w:hAnsi="宋体"/>
                <w:szCs w:val="21"/>
              </w:rPr>
            </w:pPr>
            <w:r>
              <w:rPr>
                <w:rFonts w:ascii="宋体" w:hAnsi="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exact"/>
              <w:rPr>
                <w:rFonts w:ascii="宋体" w:hAnsi="宋体"/>
                <w:szCs w:val="21"/>
              </w:rPr>
            </w:pPr>
            <w:r>
              <w:rPr>
                <w:rFonts w:ascii="宋体" w:hAnsi="宋体"/>
                <w:szCs w:val="21"/>
              </w:rPr>
              <w:t>1、信用信息查询的查询渠道：信用中国网（www.creditchina.gov.cn）、中国政府采购网（www.ccgp.gov.cn）。</w:t>
            </w:r>
          </w:p>
          <w:p>
            <w:pPr>
              <w:spacing w:line="360" w:lineRule="exact"/>
              <w:rPr>
                <w:rFonts w:ascii="宋体" w:hAnsi="宋体"/>
                <w:szCs w:val="21"/>
              </w:rPr>
            </w:pPr>
            <w:r>
              <w:rPr>
                <w:rFonts w:ascii="宋体" w:hAnsi="宋体"/>
                <w:szCs w:val="21"/>
              </w:rPr>
              <w:t>2、信用信息查询的截止时点：至本项目投标截止时间止。</w:t>
            </w:r>
          </w:p>
          <w:p>
            <w:pPr>
              <w:spacing w:line="360" w:lineRule="exact"/>
              <w:rPr>
                <w:rFonts w:ascii="宋体" w:hAnsi="宋体"/>
                <w:szCs w:val="21"/>
              </w:rPr>
            </w:pPr>
            <w:r>
              <w:rPr>
                <w:rFonts w:ascii="宋体" w:hAnsi="宋体"/>
                <w:szCs w:val="21"/>
              </w:rPr>
              <w:t>3、信用信息查询记录的具体方式：由采购人或采购代理机构在规定的查询渠道进行查询。</w:t>
            </w:r>
          </w:p>
          <w:p>
            <w:pPr>
              <w:spacing w:line="360" w:lineRule="exact"/>
              <w:rPr>
                <w:rFonts w:ascii="宋体" w:hAnsi="宋体" w:cs="宋体"/>
                <w:kern w:val="0"/>
                <w:sz w:val="24"/>
              </w:rPr>
            </w:pPr>
            <w:r>
              <w:rPr>
                <w:rFonts w:ascii="宋体" w:hAnsi="宋体"/>
                <w:szCs w:val="21"/>
              </w:rPr>
              <w:t>4、信用信息查询记录证据留存的具体方式：查询记录的网上打印件</w:t>
            </w:r>
            <w:r>
              <w:rPr>
                <w:rFonts w:hint="eastAsia" w:ascii="宋体" w:hAnsi="宋体"/>
                <w:szCs w:val="21"/>
              </w:rPr>
              <w:t>。</w:t>
            </w:r>
          </w:p>
          <w:p>
            <w:pPr>
              <w:adjustRightInd w:val="0"/>
              <w:snapToGrid w:val="0"/>
              <w:spacing w:line="360" w:lineRule="exact"/>
              <w:rPr>
                <w:rFonts w:ascii="宋体" w:hAnsi="宋体"/>
                <w:szCs w:val="21"/>
              </w:rPr>
            </w:pPr>
            <w:r>
              <w:rPr>
                <w:rFonts w:hint="eastAsia" w:ascii="宋体" w:hAnsi="宋体"/>
                <w:szCs w:val="21"/>
              </w:rPr>
              <w:t>5、信用信息的使用规则：留存备查。</w:t>
            </w:r>
          </w:p>
          <w:p>
            <w:pPr>
              <w:pStyle w:val="3"/>
              <w:spacing w:line="360" w:lineRule="exact"/>
              <w:jc w:val="left"/>
              <w:rPr>
                <w:rFonts w:ascii="宋体" w:hAnsi="宋体" w:cs="宋体"/>
                <w:b w:val="0"/>
                <w:bCs w:val="0"/>
                <w:sz w:val="21"/>
                <w:szCs w:val="21"/>
              </w:rPr>
            </w:pPr>
            <w:r>
              <w:rPr>
                <w:rFonts w:hint="eastAsia" w:ascii="宋体" w:hAnsi="宋体" w:cs="宋体"/>
                <w:b w:val="0"/>
                <w:bCs w:val="0"/>
                <w:sz w:val="21"/>
                <w:szCs w:val="21"/>
              </w:rPr>
              <w:t>（二）招标代理费</w:t>
            </w:r>
          </w:p>
          <w:p>
            <w:pPr>
              <w:pStyle w:val="66"/>
              <w:ind w:firstLine="0" w:firstLineChars="0"/>
              <w:rPr>
                <w:rFonts w:hint="default" w:eastAsia="宋体"/>
                <w:lang w:val="en-US" w:eastAsia="zh-CN"/>
              </w:rPr>
            </w:pPr>
            <w:r>
              <w:rPr>
                <w:rFonts w:hint="eastAsia" w:ascii="宋体" w:hAnsi="宋体" w:cs="宋体"/>
                <w:szCs w:val="21"/>
              </w:rPr>
              <w:t>采购代理服务费：</w:t>
            </w:r>
            <w:r>
              <w:rPr>
                <w:rFonts w:hint="eastAsia" w:ascii="宋体" w:hAnsi="宋体" w:cs="宋体"/>
                <w:szCs w:val="21"/>
                <w:lang w:val="en-US" w:eastAsia="zh-CN"/>
              </w:rPr>
              <w:t>按代理合同约定执行。</w:t>
            </w:r>
          </w:p>
        </w:tc>
      </w:tr>
    </w:tbl>
    <w:p>
      <w:pPr>
        <w:pStyle w:val="4"/>
        <w:jc w:val="center"/>
        <w:rPr>
          <w:rFonts w:ascii="黑体" w:hAnsi="黑体" w:eastAsia="黑体"/>
          <w:b w:val="0"/>
          <w:sz w:val="28"/>
          <w:szCs w:val="28"/>
        </w:rPr>
      </w:pPr>
      <w:r>
        <w:rPr>
          <w:rFonts w:ascii="宋体" w:hAnsi="宋体"/>
          <w:b w:val="0"/>
          <w:szCs w:val="21"/>
        </w:rPr>
        <w:br w:type="page"/>
      </w:r>
      <w:bookmarkStart w:id="61" w:name="_Toc100670422"/>
      <w:bookmarkStart w:id="62" w:name="_Toc100670669"/>
      <w:bookmarkStart w:id="63" w:name="_Toc30601"/>
      <w:bookmarkStart w:id="64" w:name="_Toc75289227"/>
      <w:bookmarkStart w:id="65" w:name="_Toc108341938"/>
      <w:bookmarkStart w:id="66" w:name="_Toc95601366"/>
      <w:bookmarkStart w:id="67" w:name="_Toc77676467"/>
      <w:bookmarkStart w:id="68" w:name="_Toc75289549"/>
      <w:bookmarkStart w:id="69" w:name="_Toc85972931"/>
      <w:bookmarkStart w:id="70" w:name="_Toc94367881"/>
      <w:bookmarkStart w:id="71" w:name="_Toc15094"/>
      <w:bookmarkStart w:id="72" w:name="_Toc15888486"/>
      <w:bookmarkStart w:id="73" w:name="_Toc78449956"/>
      <w:bookmarkStart w:id="74" w:name="_Toc77199400"/>
      <w:bookmarkStart w:id="75" w:name="_Toc112594258"/>
      <w:bookmarkStart w:id="76" w:name="_Toc78314263"/>
      <w:bookmarkStart w:id="77" w:name="_Toc13073"/>
      <w:bookmarkStart w:id="78" w:name="_Toc2460"/>
      <w:bookmarkStart w:id="79" w:name="_Toc10856"/>
      <w:r>
        <w:rPr>
          <w:rFonts w:hint="eastAsia" w:ascii="黑体" w:hAnsi="黑体" w:eastAsia="黑体"/>
          <w:b w:val="0"/>
          <w:sz w:val="28"/>
          <w:szCs w:val="28"/>
        </w:rPr>
        <w:t>第二节投标须知正文</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5"/>
        <w:adjustRightInd w:val="0"/>
        <w:snapToGrid w:val="0"/>
        <w:spacing w:before="156" w:beforeLines="50" w:after="0" w:line="360" w:lineRule="auto"/>
        <w:jc w:val="center"/>
        <w:rPr>
          <w:rFonts w:ascii="黑体" w:hAnsi="黑体" w:eastAsia="黑体"/>
          <w:b w:val="0"/>
          <w:sz w:val="28"/>
          <w:szCs w:val="28"/>
        </w:rPr>
      </w:pPr>
      <w:bookmarkStart w:id="80" w:name="_Toc108341939"/>
      <w:bookmarkStart w:id="81" w:name="_Toc75289550"/>
      <w:bookmarkStart w:id="82" w:name="_Toc77676468"/>
      <w:bookmarkStart w:id="83" w:name="_Toc78449957"/>
      <w:bookmarkStart w:id="84" w:name="_Toc23937"/>
      <w:bookmarkStart w:id="85" w:name="_Toc85972932"/>
      <w:bookmarkStart w:id="86" w:name="_Toc19409"/>
      <w:bookmarkStart w:id="87" w:name="_Toc77199401"/>
      <w:bookmarkStart w:id="88" w:name="_Toc32619"/>
      <w:bookmarkStart w:id="89" w:name="_Toc17656"/>
      <w:bookmarkStart w:id="90" w:name="_Toc112594259"/>
      <w:bookmarkStart w:id="91" w:name="_Toc78314264"/>
      <w:bookmarkStart w:id="92" w:name="_Toc95601367"/>
      <w:bookmarkStart w:id="93" w:name="_Toc94367882"/>
      <w:bookmarkStart w:id="94" w:name="_Toc100670423"/>
      <w:bookmarkStart w:id="95" w:name="_Toc9136"/>
      <w:bookmarkStart w:id="96" w:name="_Toc75289228"/>
      <w:bookmarkStart w:id="97" w:name="_Toc100670670"/>
      <w:bookmarkStart w:id="98" w:name="_Toc15888487"/>
      <w:r>
        <w:rPr>
          <w:rFonts w:hint="eastAsia" w:ascii="黑体" w:hAnsi="黑体" w:eastAsia="黑体"/>
          <w:sz w:val="28"/>
          <w:szCs w:val="28"/>
        </w:rPr>
        <w:t>一、总则</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adjustRightInd w:val="0"/>
        <w:snapToGrid w:val="0"/>
        <w:spacing w:line="360" w:lineRule="auto"/>
        <w:rPr>
          <w:rFonts w:ascii="宋体" w:hAnsi="宋体"/>
          <w:b/>
          <w:bCs/>
          <w:sz w:val="24"/>
        </w:rPr>
      </w:pPr>
      <w:r>
        <w:rPr>
          <w:rFonts w:hint="eastAsia" w:ascii="宋体" w:hAnsi="宋体"/>
          <w:b/>
          <w:bCs/>
          <w:sz w:val="24"/>
        </w:rPr>
        <w:t>1. 适用范围</w:t>
      </w:r>
    </w:p>
    <w:p>
      <w:pPr>
        <w:adjustRightInd w:val="0"/>
        <w:snapToGrid w:val="0"/>
        <w:spacing w:line="360" w:lineRule="auto"/>
        <w:ind w:firstLine="420" w:firstLineChars="200"/>
        <w:rPr>
          <w:rFonts w:ascii="宋体" w:hAnsi="宋体"/>
          <w:szCs w:val="21"/>
        </w:rPr>
      </w:pPr>
      <w:r>
        <w:rPr>
          <w:rFonts w:hint="eastAsia" w:ascii="宋体" w:hAnsi="宋体"/>
          <w:szCs w:val="21"/>
        </w:rPr>
        <w:t>1.1本招标文件仅适用于本章第一节</w:t>
      </w:r>
      <w:r>
        <w:rPr>
          <w:rFonts w:hint="eastAsia" w:ascii="宋体" w:hAnsi="宋体"/>
          <w:b/>
          <w:bCs/>
          <w:szCs w:val="21"/>
        </w:rPr>
        <w:t>【投标须知前附表】</w:t>
      </w:r>
      <w:r>
        <w:rPr>
          <w:rFonts w:hint="eastAsia" w:ascii="宋体" w:hAnsi="宋体"/>
          <w:szCs w:val="21"/>
        </w:rPr>
        <w:t>中所叙述的采购项目。</w:t>
      </w:r>
    </w:p>
    <w:p>
      <w:pPr>
        <w:adjustRightInd w:val="0"/>
        <w:snapToGrid w:val="0"/>
        <w:spacing w:line="360" w:lineRule="auto"/>
        <w:ind w:firstLine="420" w:firstLineChars="200"/>
        <w:rPr>
          <w:rFonts w:ascii="宋体" w:hAnsi="宋体"/>
          <w:szCs w:val="21"/>
        </w:rPr>
      </w:pPr>
      <w:r>
        <w:rPr>
          <w:rFonts w:ascii="宋体" w:hAnsi="宋体"/>
          <w:szCs w:val="21"/>
        </w:rPr>
        <w:t>1.2</w:t>
      </w:r>
      <w:r>
        <w:rPr>
          <w:rFonts w:hint="eastAsia" w:ascii="宋体" w:hAnsi="宋体"/>
          <w:b/>
          <w:szCs w:val="21"/>
        </w:rPr>
        <w:t>【投标须知前附表】</w:t>
      </w:r>
      <w:r>
        <w:rPr>
          <w:rFonts w:hint="eastAsia" w:ascii="宋体" w:hAnsi="宋体"/>
          <w:szCs w:val="21"/>
        </w:rPr>
        <w:t>规定采购项目或者采购包属于“预留采购份额”的，投标人应当符合本章第33.7款规定，否则，其</w:t>
      </w:r>
      <w:r>
        <w:rPr>
          <w:rFonts w:hint="eastAsia" w:ascii="宋体" w:hAnsi="宋体"/>
          <w:b/>
          <w:szCs w:val="21"/>
        </w:rPr>
        <w:t>投标无效</w:t>
      </w:r>
      <w:r>
        <w:rPr>
          <w:rFonts w:hint="eastAsia" w:ascii="宋体" w:hAnsi="宋体"/>
          <w:szCs w:val="21"/>
        </w:rPr>
        <w:t>。</w:t>
      </w:r>
    </w:p>
    <w:p>
      <w:pPr>
        <w:adjustRightInd w:val="0"/>
        <w:snapToGrid w:val="0"/>
        <w:spacing w:line="360" w:lineRule="auto"/>
        <w:rPr>
          <w:rFonts w:ascii="宋体" w:hAnsi="宋体"/>
          <w:b/>
          <w:bCs/>
          <w:sz w:val="24"/>
        </w:rPr>
      </w:pPr>
      <w:r>
        <w:rPr>
          <w:rFonts w:hint="eastAsia" w:ascii="宋体" w:hAnsi="宋体"/>
          <w:b/>
          <w:bCs/>
          <w:sz w:val="24"/>
        </w:rPr>
        <w:t>2. 定义</w:t>
      </w:r>
    </w:p>
    <w:p>
      <w:pPr>
        <w:adjustRightInd w:val="0"/>
        <w:snapToGrid w:val="0"/>
        <w:spacing w:line="360" w:lineRule="auto"/>
        <w:ind w:firstLine="420" w:firstLineChars="200"/>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pPr>
        <w:adjustRightInd w:val="0"/>
        <w:snapToGrid w:val="0"/>
        <w:spacing w:line="360" w:lineRule="auto"/>
        <w:ind w:firstLine="420" w:firstLineChars="200"/>
        <w:rPr>
          <w:rFonts w:ascii="宋体" w:hAnsi="宋体"/>
          <w:b/>
          <w:szCs w:val="21"/>
        </w:rPr>
      </w:pPr>
      <w:r>
        <w:rPr>
          <w:rFonts w:hint="eastAsia" w:ascii="宋体" w:hAnsi="宋体"/>
          <w:szCs w:val="21"/>
        </w:rPr>
        <w:t>2.4投标人系指响应招标、参加投标竞争的法人、其他组织或自然人。</w:t>
      </w:r>
    </w:p>
    <w:p>
      <w:pPr>
        <w:adjustRightInd w:val="0"/>
        <w:snapToGrid w:val="0"/>
        <w:spacing w:line="360" w:lineRule="auto"/>
        <w:rPr>
          <w:rFonts w:ascii="宋体" w:hAnsi="宋体"/>
          <w:b/>
          <w:bCs/>
          <w:sz w:val="24"/>
        </w:rPr>
      </w:pPr>
      <w:r>
        <w:rPr>
          <w:rFonts w:hint="eastAsia" w:ascii="宋体" w:hAnsi="宋体"/>
          <w:b/>
          <w:bCs/>
          <w:sz w:val="24"/>
        </w:rPr>
        <w:t>3. 投标人的资格要求</w:t>
      </w:r>
    </w:p>
    <w:p>
      <w:pPr>
        <w:adjustRightInd w:val="0"/>
        <w:snapToGrid w:val="0"/>
        <w:spacing w:line="360" w:lineRule="auto"/>
        <w:ind w:firstLine="420" w:firstLineChars="200"/>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pPr>
        <w:adjustRightInd w:val="0"/>
        <w:snapToGrid w:val="0"/>
        <w:spacing w:line="360" w:lineRule="auto"/>
        <w:ind w:firstLine="420" w:firstLineChars="200"/>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 xml:space="preserve">规定外，还应遵守以下规定： </w:t>
      </w:r>
    </w:p>
    <w:p>
      <w:pPr>
        <w:adjustRightInd w:val="0"/>
        <w:snapToGrid w:val="0"/>
        <w:spacing w:line="360" w:lineRule="auto"/>
        <w:ind w:firstLine="420" w:firstLineChars="200"/>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pPr>
        <w:adjustRightInd w:val="0"/>
        <w:snapToGrid w:val="0"/>
        <w:spacing w:line="360" w:lineRule="auto"/>
        <w:ind w:firstLine="420" w:firstLineChars="200"/>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pPr>
        <w:adjustRightInd w:val="0"/>
        <w:snapToGrid w:val="0"/>
        <w:spacing w:line="360" w:lineRule="auto"/>
        <w:ind w:firstLine="420" w:firstLineChars="200"/>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w:t>
      </w:r>
      <w:r>
        <w:rPr>
          <w:rFonts w:hint="eastAsia" w:ascii="宋体" w:hAnsi="宋体" w:cs="宋体"/>
          <w:kern w:val="0"/>
          <w:szCs w:val="21"/>
        </w:rPr>
        <w:t>本项目</w:t>
      </w:r>
      <w:r>
        <w:rPr>
          <w:rFonts w:hint="eastAsia" w:ascii="宋体" w:hAnsi="宋体" w:cs="宋体"/>
          <w:kern w:val="0"/>
          <w:szCs w:val="21"/>
          <w:lang w:val="zh-CN"/>
        </w:rPr>
        <w:t>同一合同项下的采购活动。</w:t>
      </w:r>
    </w:p>
    <w:p>
      <w:pPr>
        <w:adjustRightInd w:val="0"/>
        <w:snapToGrid w:val="0"/>
        <w:spacing w:line="360" w:lineRule="auto"/>
        <w:rPr>
          <w:rFonts w:ascii="宋体" w:hAnsi="宋体"/>
          <w:b/>
          <w:bCs/>
          <w:sz w:val="24"/>
        </w:rPr>
      </w:pPr>
      <w:r>
        <w:rPr>
          <w:rFonts w:hint="eastAsia" w:ascii="宋体" w:hAnsi="宋体"/>
          <w:b/>
          <w:bCs/>
          <w:sz w:val="24"/>
        </w:rPr>
        <w:t xml:space="preserve">4. 投标费用 </w:t>
      </w:r>
    </w:p>
    <w:p>
      <w:pPr>
        <w:adjustRightInd w:val="0"/>
        <w:snapToGrid w:val="0"/>
        <w:spacing w:line="360" w:lineRule="auto"/>
        <w:ind w:firstLine="420" w:firstLineChars="200"/>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pPr>
        <w:adjustRightInd w:val="0"/>
        <w:snapToGrid w:val="0"/>
        <w:spacing w:line="360" w:lineRule="auto"/>
        <w:rPr>
          <w:rFonts w:ascii="宋体" w:hAnsi="宋体"/>
          <w:b/>
          <w:sz w:val="24"/>
        </w:rPr>
      </w:pPr>
      <w:r>
        <w:rPr>
          <w:rFonts w:hint="eastAsia" w:ascii="宋体" w:hAnsi="宋体"/>
          <w:b/>
          <w:sz w:val="24"/>
        </w:rPr>
        <w:t>5．组织现场考察或者召开答疑会</w:t>
      </w:r>
    </w:p>
    <w:p>
      <w:pPr>
        <w:adjustRightInd w:val="0"/>
        <w:snapToGrid w:val="0"/>
        <w:spacing w:line="360" w:lineRule="auto"/>
        <w:ind w:firstLine="420" w:firstLineChars="200"/>
        <w:rPr>
          <w:rFonts w:ascii="宋体" w:hAnsi="宋体"/>
          <w:szCs w:val="21"/>
        </w:rPr>
      </w:pPr>
      <w:r>
        <w:rPr>
          <w:rFonts w:hint="eastAsia" w:ascii="宋体" w:hAnsi="宋体"/>
        </w:rPr>
        <w:t>5.1采购人、采购代理机构可以在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pPr>
        <w:adjustRightInd w:val="0"/>
        <w:snapToGrid w:val="0"/>
        <w:spacing w:line="360" w:lineRule="auto"/>
        <w:ind w:firstLine="420" w:firstLineChars="200"/>
        <w:rPr>
          <w:rFonts w:ascii="宋体" w:hAnsi="宋体"/>
          <w:szCs w:val="21"/>
        </w:rPr>
      </w:pPr>
      <w:r>
        <w:rPr>
          <w:rFonts w:hint="eastAsia" w:ascii="宋体" w:hAnsi="宋体"/>
          <w:szCs w:val="21"/>
        </w:rPr>
        <w:t>5.2获取招标文件的潜在投标人应按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pPr>
        <w:adjustRightInd w:val="0"/>
        <w:snapToGrid w:val="0"/>
        <w:spacing w:line="360" w:lineRule="auto"/>
        <w:ind w:firstLine="420" w:firstLineChars="200"/>
        <w:rPr>
          <w:rFonts w:ascii="宋体" w:hAnsi="宋体"/>
        </w:rPr>
      </w:pPr>
      <w:r>
        <w:rPr>
          <w:rFonts w:hint="eastAsia" w:ascii="宋体" w:hAnsi="宋体"/>
        </w:rPr>
        <w:t>5.3潜在投标人现场考察或者参加答疑会的费用由自己承担，现场考察期间所发生的人身伤害及财产损失由自己负责。</w:t>
      </w:r>
    </w:p>
    <w:p>
      <w:pPr>
        <w:adjustRightInd w:val="0"/>
        <w:snapToGrid w:val="0"/>
        <w:spacing w:line="360" w:lineRule="auto"/>
        <w:ind w:firstLine="420" w:firstLineChars="200"/>
        <w:rPr>
          <w:rFonts w:ascii="宋体" w:hAnsi="宋体"/>
        </w:rPr>
      </w:pPr>
      <w:r>
        <w:rPr>
          <w:rFonts w:hint="eastAsia" w:ascii="宋体" w:hAnsi="宋体"/>
        </w:rPr>
        <w:t>5.4采购人、采购代理机构不对投标人据此而做出的推论、理解和结论负责。投标人一旦中标，不得以任何借口，提出额外补偿，或延长合同期限的要求。</w:t>
      </w:r>
    </w:p>
    <w:p>
      <w:pPr>
        <w:pStyle w:val="5"/>
        <w:adjustRightInd w:val="0"/>
        <w:snapToGrid w:val="0"/>
        <w:spacing w:before="156" w:beforeLines="50" w:after="0" w:line="360" w:lineRule="auto"/>
        <w:jc w:val="center"/>
        <w:rPr>
          <w:rFonts w:ascii="黑体" w:hAnsi="黑体" w:eastAsia="黑体"/>
          <w:sz w:val="28"/>
          <w:szCs w:val="28"/>
        </w:rPr>
      </w:pPr>
      <w:bookmarkStart w:id="99" w:name="_Toc78314265"/>
      <w:bookmarkStart w:id="100" w:name="_Toc100670671"/>
      <w:bookmarkStart w:id="101" w:name="_Toc77676469"/>
      <w:bookmarkStart w:id="102" w:name="_Toc100670424"/>
      <w:bookmarkStart w:id="103" w:name="_Toc78449958"/>
      <w:bookmarkStart w:id="104" w:name="_Toc75289551"/>
      <w:bookmarkStart w:id="105" w:name="_Toc15888488"/>
      <w:bookmarkStart w:id="106" w:name="_Toc75289229"/>
      <w:bookmarkStart w:id="107" w:name="_Toc27531"/>
      <w:bookmarkStart w:id="108" w:name="_Toc108341940"/>
      <w:bookmarkStart w:id="109" w:name="_Toc77199402"/>
      <w:bookmarkStart w:id="110" w:name="_Toc28041"/>
      <w:bookmarkStart w:id="111" w:name="_Toc32029"/>
      <w:bookmarkStart w:id="112" w:name="_Toc95601368"/>
      <w:bookmarkStart w:id="113" w:name="_Toc94367883"/>
      <w:bookmarkStart w:id="114" w:name="_Toc112594260"/>
      <w:bookmarkStart w:id="115" w:name="_Toc9839"/>
      <w:bookmarkStart w:id="116" w:name="_Toc21328"/>
      <w:bookmarkStart w:id="117" w:name="_Toc85972933"/>
      <w:r>
        <w:rPr>
          <w:rFonts w:hint="eastAsia" w:ascii="黑体" w:hAnsi="黑体" w:eastAsia="黑体"/>
          <w:sz w:val="28"/>
          <w:szCs w:val="28"/>
        </w:rPr>
        <w:t>二、招标文件</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adjustRightInd w:val="0"/>
        <w:snapToGrid w:val="0"/>
        <w:spacing w:line="360" w:lineRule="auto"/>
        <w:rPr>
          <w:rFonts w:ascii="宋体" w:hAnsi="宋体"/>
          <w:b/>
          <w:bCs/>
          <w:sz w:val="24"/>
        </w:rPr>
      </w:pPr>
      <w:r>
        <w:rPr>
          <w:rFonts w:hint="eastAsia" w:ascii="宋体" w:hAnsi="宋体"/>
          <w:b/>
          <w:bCs/>
          <w:sz w:val="24"/>
        </w:rPr>
        <w:t>6. 招标文件的构成</w:t>
      </w:r>
    </w:p>
    <w:p>
      <w:pPr>
        <w:adjustRightInd w:val="0"/>
        <w:snapToGrid w:val="0"/>
        <w:spacing w:line="360" w:lineRule="auto"/>
        <w:ind w:firstLine="420" w:firstLineChars="200"/>
        <w:rPr>
          <w:rFonts w:ascii="宋体" w:hAnsi="宋体"/>
          <w:szCs w:val="21"/>
        </w:rPr>
      </w:pPr>
      <w:r>
        <w:rPr>
          <w:rFonts w:hint="eastAsia" w:ascii="宋体" w:hAnsi="宋体"/>
          <w:szCs w:val="21"/>
        </w:rPr>
        <w:t>6.1 招标文件共七章，各章内容如下：</w:t>
      </w:r>
    </w:p>
    <w:p>
      <w:pPr>
        <w:adjustRightInd w:val="0"/>
        <w:snapToGrid w:val="0"/>
        <w:spacing w:line="360" w:lineRule="auto"/>
        <w:ind w:firstLine="420" w:firstLineChars="200"/>
        <w:rPr>
          <w:rFonts w:ascii="宋体" w:hAnsi="宋体"/>
          <w:szCs w:val="21"/>
        </w:rPr>
      </w:pPr>
      <w:r>
        <w:rPr>
          <w:rFonts w:hint="eastAsia" w:ascii="宋体" w:hAnsi="宋体"/>
          <w:szCs w:val="21"/>
        </w:rPr>
        <w:t>第一章 投标邀请</w:t>
      </w:r>
    </w:p>
    <w:p>
      <w:pPr>
        <w:adjustRightInd w:val="0"/>
        <w:snapToGrid w:val="0"/>
        <w:spacing w:line="360" w:lineRule="auto"/>
        <w:ind w:firstLine="420" w:firstLineChars="200"/>
        <w:rPr>
          <w:rFonts w:ascii="宋体" w:hAnsi="宋体"/>
          <w:szCs w:val="21"/>
        </w:rPr>
      </w:pPr>
      <w:r>
        <w:rPr>
          <w:rFonts w:hint="eastAsia" w:ascii="宋体" w:hAnsi="宋体"/>
          <w:szCs w:val="21"/>
        </w:rPr>
        <w:t>第二章 投标须知</w:t>
      </w:r>
    </w:p>
    <w:p>
      <w:pPr>
        <w:adjustRightInd w:val="0"/>
        <w:snapToGrid w:val="0"/>
        <w:spacing w:line="360" w:lineRule="auto"/>
        <w:ind w:firstLine="420" w:firstLineChars="200"/>
        <w:rPr>
          <w:rFonts w:ascii="宋体" w:hAnsi="宋体"/>
          <w:szCs w:val="21"/>
        </w:rPr>
      </w:pPr>
      <w:r>
        <w:rPr>
          <w:rFonts w:hint="eastAsia" w:ascii="宋体" w:hAnsi="宋体"/>
          <w:szCs w:val="21"/>
        </w:rPr>
        <w:t>第三章 资格审查</w:t>
      </w:r>
    </w:p>
    <w:p>
      <w:pPr>
        <w:adjustRightInd w:val="0"/>
        <w:snapToGrid w:val="0"/>
        <w:spacing w:line="360" w:lineRule="auto"/>
        <w:ind w:firstLine="420" w:firstLineChars="200"/>
        <w:rPr>
          <w:rFonts w:ascii="宋体" w:hAnsi="宋体"/>
          <w:szCs w:val="21"/>
        </w:rPr>
      </w:pPr>
      <w:r>
        <w:rPr>
          <w:rFonts w:hint="eastAsia" w:ascii="宋体" w:hAnsi="宋体"/>
          <w:szCs w:val="21"/>
        </w:rPr>
        <w:t>第四章 评标方法及标准</w:t>
      </w:r>
    </w:p>
    <w:p>
      <w:pPr>
        <w:adjustRightInd w:val="0"/>
        <w:snapToGrid w:val="0"/>
        <w:spacing w:line="360" w:lineRule="auto"/>
        <w:ind w:firstLine="420" w:firstLineChars="200"/>
        <w:rPr>
          <w:rFonts w:ascii="宋体" w:hAnsi="宋体"/>
          <w:szCs w:val="21"/>
        </w:rPr>
      </w:pPr>
      <w:r>
        <w:rPr>
          <w:rFonts w:hint="eastAsia" w:ascii="宋体" w:hAnsi="宋体"/>
          <w:szCs w:val="21"/>
        </w:rPr>
        <w:t>第五章 采购需求</w:t>
      </w:r>
    </w:p>
    <w:p>
      <w:pPr>
        <w:adjustRightInd w:val="0"/>
        <w:snapToGrid w:val="0"/>
        <w:spacing w:line="360" w:lineRule="auto"/>
        <w:ind w:firstLine="420" w:firstLineChars="200"/>
        <w:rPr>
          <w:rFonts w:ascii="宋体" w:hAnsi="宋体"/>
          <w:szCs w:val="21"/>
        </w:rPr>
      </w:pPr>
      <w:r>
        <w:rPr>
          <w:rFonts w:hint="eastAsia" w:ascii="宋体" w:hAnsi="宋体"/>
          <w:szCs w:val="21"/>
        </w:rPr>
        <w:t>第六章 政府采购合同</w:t>
      </w:r>
    </w:p>
    <w:p>
      <w:pPr>
        <w:adjustRightInd w:val="0"/>
        <w:snapToGrid w:val="0"/>
        <w:spacing w:line="360" w:lineRule="auto"/>
        <w:ind w:firstLine="420" w:firstLineChars="200"/>
        <w:rPr>
          <w:rFonts w:ascii="宋体" w:hAnsi="宋体"/>
          <w:szCs w:val="21"/>
        </w:rPr>
      </w:pPr>
      <w:r>
        <w:rPr>
          <w:rFonts w:hint="eastAsia" w:ascii="宋体" w:hAnsi="宋体"/>
          <w:szCs w:val="21"/>
        </w:rPr>
        <w:t>第七章 投标文件的组成</w:t>
      </w:r>
    </w:p>
    <w:p>
      <w:pPr>
        <w:adjustRightInd w:val="0"/>
        <w:snapToGrid w:val="0"/>
        <w:spacing w:line="360" w:lineRule="auto"/>
        <w:ind w:firstLine="420" w:firstLineChars="200"/>
        <w:rPr>
          <w:rFonts w:ascii="宋体" w:hAnsi="宋体" w:cs="宋体"/>
          <w:b/>
          <w:szCs w:val="21"/>
        </w:rPr>
      </w:pPr>
      <w:r>
        <w:rPr>
          <w:rFonts w:hint="eastAsia" w:ascii="宋体" w:hAnsi="宋体"/>
          <w:szCs w:val="21"/>
        </w:rPr>
        <w:t>6.2采购人、采购代理机构在提交投标文件截止时间前</w:t>
      </w:r>
      <w:r>
        <w:rPr>
          <w:rFonts w:hint="eastAsia" w:ascii="宋体" w:hAnsi="宋体" w:cs="宋体"/>
          <w:szCs w:val="21"/>
        </w:rPr>
        <w:t>对招标文件所作的澄清或者修改，构成招标文件的组成部分。</w:t>
      </w:r>
    </w:p>
    <w:p>
      <w:pPr>
        <w:adjustRightInd w:val="0"/>
        <w:snapToGrid w:val="0"/>
        <w:spacing w:line="360" w:lineRule="auto"/>
        <w:rPr>
          <w:rFonts w:ascii="宋体" w:hAnsi="宋体"/>
          <w:b/>
          <w:sz w:val="24"/>
        </w:rPr>
      </w:pPr>
      <w:r>
        <w:rPr>
          <w:rFonts w:hint="eastAsia" w:ascii="宋体" w:hAnsi="宋体"/>
          <w:b/>
          <w:sz w:val="24"/>
        </w:rPr>
        <w:t>7．偏离与实质性响应</w:t>
      </w:r>
    </w:p>
    <w:p>
      <w:pPr>
        <w:adjustRightInd w:val="0"/>
        <w:snapToGrid w:val="0"/>
        <w:spacing w:line="360" w:lineRule="auto"/>
        <w:ind w:firstLine="420" w:firstLineChars="200"/>
        <w:rPr>
          <w:rFonts w:ascii="宋体" w:hAnsi="宋体"/>
        </w:rPr>
      </w:pPr>
      <w:r>
        <w:rPr>
          <w:rFonts w:hint="eastAsia" w:ascii="宋体" w:hAnsi="宋体"/>
        </w:rPr>
        <w:t>7.1投标人应当按照招标文件的要求编制投标文件。投标文件应当对招标文件提出的要求和条件作出明确响应。</w:t>
      </w:r>
    </w:p>
    <w:p>
      <w:pPr>
        <w:adjustRightInd w:val="0"/>
        <w:snapToGrid w:val="0"/>
        <w:spacing w:line="360" w:lineRule="auto"/>
        <w:ind w:firstLine="420" w:firstLineChars="200"/>
        <w:rPr>
          <w:rFonts w:ascii="宋体" w:hAnsi="宋体"/>
        </w:rPr>
      </w:pPr>
      <w:r>
        <w:rPr>
          <w:rFonts w:hint="eastAsia" w:ascii="宋体" w:hAnsi="宋体"/>
        </w:rPr>
        <w:t>7.2偏离是指投标文件不响应或者不满足招标文件提出的要求和条件，分为实质性偏离和非实质性偏离。</w:t>
      </w:r>
    </w:p>
    <w:p>
      <w:pPr>
        <w:adjustRightInd w:val="0"/>
        <w:snapToGrid w:val="0"/>
        <w:spacing w:line="360" w:lineRule="auto"/>
        <w:ind w:firstLine="420" w:firstLineChars="200"/>
        <w:rPr>
          <w:rFonts w:ascii="宋体" w:hAnsi="宋体"/>
        </w:rPr>
      </w:pPr>
      <w:r>
        <w:rPr>
          <w:rFonts w:hint="eastAsia" w:ascii="宋体" w:hAnsi="宋体"/>
        </w:rPr>
        <w:t>7.3除法律、法规和招标文件规定的其他投标无效情形外，招标文件中用“★”符号标明的条款为实质性要求和条件，对其中任何一条的偏离，为实质性偏离，其</w:t>
      </w:r>
      <w:r>
        <w:rPr>
          <w:rFonts w:hint="eastAsia" w:ascii="宋体" w:hAnsi="宋体"/>
          <w:b/>
        </w:rPr>
        <w:t>投标无效</w:t>
      </w:r>
      <w:r>
        <w:rPr>
          <w:rFonts w:hint="eastAsia" w:ascii="宋体" w:hAnsi="宋体"/>
        </w:rPr>
        <w:t>。</w:t>
      </w:r>
    </w:p>
    <w:p>
      <w:pPr>
        <w:adjustRightInd w:val="0"/>
        <w:snapToGrid w:val="0"/>
        <w:spacing w:line="360" w:lineRule="auto"/>
        <w:ind w:firstLine="420" w:firstLineChars="200"/>
        <w:rPr>
          <w:rFonts w:ascii="宋体" w:hAnsi="宋体"/>
        </w:rPr>
      </w:pPr>
      <w:r>
        <w:rPr>
          <w:rFonts w:hint="eastAsia" w:ascii="宋体" w:hAnsi="宋体"/>
        </w:rPr>
        <w:t>7.4投标</w:t>
      </w:r>
      <w:r>
        <w:rPr>
          <w:rFonts w:hint="eastAsia" w:ascii="宋体" w:hAnsi="宋体"/>
          <w:szCs w:val="21"/>
        </w:rPr>
        <w:t>文件偏离招标文件的非实质性要求和条件，为非实质性偏离。非实质性偏离的范围和幅度应当符合</w:t>
      </w:r>
      <w:r>
        <w:rPr>
          <w:rFonts w:hint="eastAsia" w:ascii="宋体" w:hAnsi="宋体"/>
          <w:b/>
          <w:szCs w:val="21"/>
        </w:rPr>
        <w:t>【投标须知前附表】</w:t>
      </w:r>
      <w:r>
        <w:rPr>
          <w:rFonts w:hint="eastAsia" w:ascii="宋体" w:hAnsi="宋体"/>
          <w:szCs w:val="21"/>
        </w:rPr>
        <w:t>的规定，</w:t>
      </w:r>
      <w:r>
        <w:rPr>
          <w:rFonts w:hint="eastAsia" w:ascii="宋体" w:hAnsi="宋体"/>
          <w:b/>
          <w:szCs w:val="21"/>
        </w:rPr>
        <w:t>否则</w:t>
      </w:r>
      <w:r>
        <w:rPr>
          <w:rFonts w:hint="eastAsia" w:ascii="宋体" w:hAnsi="宋体"/>
          <w:b/>
        </w:rPr>
        <w:t>投标无效</w:t>
      </w:r>
      <w:r>
        <w:rPr>
          <w:rFonts w:hint="eastAsia" w:ascii="宋体" w:hAnsi="宋体"/>
        </w:rPr>
        <w:t>。</w:t>
      </w:r>
    </w:p>
    <w:p>
      <w:pPr>
        <w:adjustRightInd w:val="0"/>
        <w:snapToGrid w:val="0"/>
        <w:spacing w:line="360" w:lineRule="auto"/>
        <w:rPr>
          <w:rFonts w:ascii="宋体" w:hAnsi="宋体"/>
          <w:b/>
          <w:bCs/>
          <w:sz w:val="24"/>
        </w:rPr>
      </w:pPr>
      <w:r>
        <w:rPr>
          <w:rFonts w:hint="eastAsia" w:ascii="宋体" w:hAnsi="宋体"/>
          <w:b/>
          <w:sz w:val="24"/>
        </w:rPr>
        <w:t>8. 询问</w:t>
      </w:r>
    </w:p>
    <w:p>
      <w:pPr>
        <w:adjustRightInd w:val="0"/>
        <w:snapToGrid w:val="0"/>
        <w:spacing w:line="360" w:lineRule="auto"/>
        <w:ind w:firstLine="420" w:firstLineChars="200"/>
        <w:rPr>
          <w:rFonts w:ascii="宋体" w:hAnsi="宋体"/>
        </w:rPr>
      </w:pPr>
      <w:r>
        <w:rPr>
          <w:rFonts w:hint="eastAsia" w:ascii="宋体" w:hAnsi="宋体"/>
        </w:rPr>
        <w:t>8.1潜在投标人应仔细阅读和检查招标文件的全部内容。如有疑问，可以向采购人或者采购代理机构提出询问。</w:t>
      </w:r>
    </w:p>
    <w:p>
      <w:pPr>
        <w:adjustRightInd w:val="0"/>
        <w:snapToGrid w:val="0"/>
        <w:spacing w:line="360" w:lineRule="auto"/>
        <w:rPr>
          <w:rFonts w:ascii="宋体" w:hAnsi="宋体"/>
          <w:b/>
          <w:bCs/>
          <w:sz w:val="24"/>
        </w:rPr>
      </w:pPr>
      <w:r>
        <w:rPr>
          <w:rFonts w:hint="eastAsia" w:ascii="宋体" w:hAnsi="宋体"/>
          <w:b/>
          <w:bCs/>
          <w:sz w:val="24"/>
        </w:rPr>
        <w:t>9. 招标文件的澄清或者修改</w:t>
      </w:r>
    </w:p>
    <w:p>
      <w:pPr>
        <w:adjustRightInd w:val="0"/>
        <w:snapToGrid w:val="0"/>
        <w:spacing w:line="360" w:lineRule="auto"/>
        <w:ind w:firstLine="420" w:firstLineChars="200"/>
        <w:rPr>
          <w:rFonts w:ascii="宋体" w:hAnsi="宋体"/>
        </w:rPr>
      </w:pPr>
      <w:r>
        <w:rPr>
          <w:rFonts w:hint="eastAsia" w:ascii="宋体" w:hAnsi="宋体"/>
        </w:rPr>
        <w:t>9.1采购人、采购代理机构对已发出的招标文件进行必要澄清或者修改的，将在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pPr>
        <w:adjustRightInd w:val="0"/>
        <w:snapToGrid w:val="0"/>
        <w:spacing w:line="360" w:lineRule="auto"/>
        <w:ind w:firstLine="420" w:firstLineChars="200"/>
        <w:rPr>
          <w:rFonts w:ascii="宋体" w:hAnsi="宋体"/>
        </w:rPr>
      </w:pPr>
      <w:r>
        <w:rPr>
          <w:rFonts w:hint="eastAsia" w:ascii="宋体" w:hAnsi="宋体" w:cs="宋体"/>
          <w:kern w:val="0"/>
          <w:szCs w:val="21"/>
        </w:rPr>
        <w:t>9.2澄清或者修改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在指定媒体上发布公告通知潜在投标人；不足15日的，将相应延长提交投标文件的截止时间。</w:t>
      </w:r>
    </w:p>
    <w:p>
      <w:pPr>
        <w:adjustRightInd w:val="0"/>
        <w:snapToGrid w:val="0"/>
        <w:spacing w:line="360" w:lineRule="auto"/>
        <w:ind w:firstLine="420" w:firstLineChars="200"/>
        <w:rPr>
          <w:rFonts w:ascii="宋体" w:hAnsi="宋体"/>
        </w:rPr>
      </w:pPr>
      <w:r>
        <w:rPr>
          <w:rFonts w:ascii="宋体" w:hAnsi="宋体"/>
        </w:rPr>
        <w:t>9.3</w:t>
      </w:r>
      <w:r>
        <w:rPr>
          <w:rFonts w:hint="eastAsia" w:ascii="宋体" w:hAnsi="宋体"/>
        </w:rPr>
        <w:t>招标文件的提供期限届满后，获取招标文件的潜在投标人不足3家的，可以顺延提供期限，并在</w:t>
      </w:r>
      <w:r>
        <w:rPr>
          <w:rFonts w:hint="eastAsia" w:ascii="宋体" w:hAnsi="宋体"/>
          <w:bCs/>
          <w:szCs w:val="21"/>
        </w:rPr>
        <w:t>指定</w:t>
      </w:r>
      <w:r>
        <w:rPr>
          <w:rFonts w:hint="eastAsia" w:ascii="宋体" w:hAnsi="宋体"/>
        </w:rPr>
        <w:t>媒体上发布修改公告。</w:t>
      </w:r>
    </w:p>
    <w:p>
      <w:pPr>
        <w:adjustRightInd w:val="0"/>
        <w:snapToGrid w:val="0"/>
        <w:spacing w:line="360" w:lineRule="auto"/>
        <w:ind w:firstLine="420" w:firstLineChars="200"/>
        <w:rPr>
          <w:rFonts w:ascii="宋体" w:hAnsi="宋体"/>
        </w:rPr>
      </w:pPr>
      <w:r>
        <w:rPr>
          <w:rFonts w:hint="eastAsia" w:ascii="宋体" w:hAnsi="宋体"/>
        </w:rPr>
        <w:t>9.4 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pPr>
        <w:pStyle w:val="5"/>
        <w:adjustRightInd w:val="0"/>
        <w:snapToGrid w:val="0"/>
        <w:spacing w:before="156" w:beforeLines="50" w:after="0" w:line="360" w:lineRule="auto"/>
        <w:jc w:val="center"/>
        <w:rPr>
          <w:rFonts w:ascii="黑体" w:hAnsi="黑体" w:eastAsia="黑体"/>
          <w:sz w:val="28"/>
          <w:szCs w:val="28"/>
        </w:rPr>
      </w:pPr>
      <w:bookmarkStart w:id="118" w:name="_Toc94367884"/>
      <w:bookmarkStart w:id="119" w:name="_Toc78449959"/>
      <w:bookmarkStart w:id="120" w:name="_Toc6332"/>
      <w:bookmarkStart w:id="121" w:name="_Toc75289552"/>
      <w:bookmarkStart w:id="122" w:name="_Toc112594261"/>
      <w:bookmarkStart w:id="123" w:name="_Toc21030"/>
      <w:bookmarkStart w:id="124" w:name="_Toc19779"/>
      <w:bookmarkStart w:id="125" w:name="_Toc15888489"/>
      <w:bookmarkStart w:id="126" w:name="_Toc85972934"/>
      <w:bookmarkStart w:id="127" w:name="_Toc27581"/>
      <w:bookmarkStart w:id="128" w:name="_Toc77676470"/>
      <w:bookmarkStart w:id="129" w:name="_Toc100670425"/>
      <w:bookmarkStart w:id="130" w:name="_Toc95601369"/>
      <w:bookmarkStart w:id="131" w:name="_Toc986"/>
      <w:bookmarkStart w:id="132" w:name="_Toc100670672"/>
      <w:bookmarkStart w:id="133" w:name="_Toc75289230"/>
      <w:bookmarkStart w:id="134" w:name="_Toc108341941"/>
      <w:bookmarkStart w:id="135" w:name="_Toc77199403"/>
      <w:bookmarkStart w:id="136" w:name="_Toc78314266"/>
      <w:r>
        <w:rPr>
          <w:rFonts w:hint="eastAsia" w:ascii="黑体" w:hAnsi="黑体" w:eastAsia="黑体"/>
          <w:sz w:val="28"/>
          <w:szCs w:val="28"/>
        </w:rPr>
        <w:t>三、投标文件</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adjustRightInd w:val="0"/>
        <w:snapToGrid w:val="0"/>
        <w:spacing w:line="360" w:lineRule="auto"/>
        <w:rPr>
          <w:rFonts w:ascii="宋体" w:hAnsi="宋体"/>
          <w:b/>
          <w:bCs/>
          <w:sz w:val="24"/>
        </w:rPr>
      </w:pPr>
      <w:r>
        <w:rPr>
          <w:rFonts w:hint="eastAsia" w:ascii="宋体" w:hAnsi="宋体"/>
          <w:b/>
          <w:bCs/>
          <w:sz w:val="24"/>
        </w:rPr>
        <w:t>10. 投标语言</w:t>
      </w:r>
    </w:p>
    <w:p>
      <w:pPr>
        <w:adjustRightInd w:val="0"/>
        <w:snapToGrid w:val="0"/>
        <w:spacing w:line="360" w:lineRule="auto"/>
        <w:ind w:firstLine="420" w:firstLineChars="200"/>
        <w:rPr>
          <w:rFonts w:ascii="宋体" w:hAnsi="宋体"/>
          <w:szCs w:val="21"/>
        </w:rPr>
      </w:pPr>
      <w:r>
        <w:rPr>
          <w:rFonts w:hint="eastAsia" w:ascii="宋体" w:hAnsi="宋体"/>
          <w:szCs w:val="21"/>
        </w:rPr>
        <w:t>10.1除专用术语外，投标人提交的投标文件及投标人与采购人、采购代理机构就有关投标的所有来往函电均使用中文。投标人可以提交其它语言的资料，但应附有中文注释，有差异时以中文为准。</w:t>
      </w:r>
    </w:p>
    <w:p>
      <w:pPr>
        <w:adjustRightInd w:val="0"/>
        <w:snapToGrid w:val="0"/>
        <w:spacing w:line="360" w:lineRule="auto"/>
        <w:rPr>
          <w:rFonts w:ascii="宋体" w:hAnsi="宋体"/>
          <w:b/>
          <w:sz w:val="24"/>
        </w:rPr>
      </w:pPr>
      <w:r>
        <w:rPr>
          <w:rFonts w:hint="eastAsia" w:ascii="宋体" w:hAnsi="宋体"/>
          <w:b/>
          <w:bCs/>
          <w:sz w:val="24"/>
        </w:rPr>
        <w:t xml:space="preserve">11. </w:t>
      </w:r>
      <w:r>
        <w:rPr>
          <w:rFonts w:hint="eastAsia" w:ascii="宋体" w:hAnsi="宋体"/>
          <w:b/>
          <w:sz w:val="24"/>
        </w:rPr>
        <w:t>计量单位</w:t>
      </w:r>
    </w:p>
    <w:p>
      <w:pPr>
        <w:adjustRightInd w:val="0"/>
        <w:snapToGrid w:val="0"/>
        <w:spacing w:line="360" w:lineRule="auto"/>
        <w:ind w:firstLine="420" w:firstLineChars="200"/>
        <w:rPr>
          <w:rFonts w:ascii="宋体" w:hAnsi="宋体"/>
          <w:szCs w:val="21"/>
        </w:rPr>
      </w:pPr>
      <w:r>
        <w:rPr>
          <w:rFonts w:hint="eastAsia" w:ascii="宋体" w:hAnsi="宋体"/>
          <w:szCs w:val="21"/>
        </w:rPr>
        <w:t>11.1所有计量均采用中华人民共和国法定计量单位。</w:t>
      </w:r>
    </w:p>
    <w:p>
      <w:pPr>
        <w:adjustRightInd w:val="0"/>
        <w:snapToGrid w:val="0"/>
        <w:spacing w:line="360" w:lineRule="auto"/>
        <w:rPr>
          <w:rFonts w:ascii="宋体" w:hAnsi="宋体"/>
          <w:b/>
          <w:bCs/>
          <w:sz w:val="24"/>
        </w:rPr>
      </w:pPr>
      <w:r>
        <w:rPr>
          <w:rFonts w:hint="eastAsia" w:ascii="宋体" w:hAnsi="宋体"/>
          <w:b/>
          <w:sz w:val="24"/>
        </w:rPr>
        <w:t xml:space="preserve">12. </w:t>
      </w:r>
      <w:r>
        <w:rPr>
          <w:rFonts w:hint="eastAsia" w:ascii="宋体" w:hAnsi="宋体"/>
          <w:b/>
          <w:bCs/>
          <w:sz w:val="24"/>
        </w:rPr>
        <w:t>投标文件的组成</w:t>
      </w:r>
    </w:p>
    <w:p>
      <w:pPr>
        <w:adjustRightInd w:val="0"/>
        <w:snapToGrid w:val="0"/>
        <w:spacing w:line="360" w:lineRule="auto"/>
        <w:ind w:firstLine="420" w:firstLineChars="200"/>
        <w:rPr>
          <w:rFonts w:ascii="宋体" w:hAnsi="宋体"/>
          <w:szCs w:val="21"/>
        </w:rPr>
      </w:pPr>
      <w:r>
        <w:rPr>
          <w:rFonts w:hint="eastAsia" w:ascii="宋体" w:hAnsi="宋体"/>
          <w:szCs w:val="21"/>
        </w:rPr>
        <w:t>12.1投标文件由如下内容组成：</w:t>
      </w:r>
    </w:p>
    <w:p>
      <w:pPr>
        <w:adjustRightInd w:val="0"/>
        <w:snapToGrid w:val="0"/>
        <w:spacing w:line="360" w:lineRule="auto"/>
        <w:ind w:firstLine="422" w:firstLineChars="200"/>
        <w:rPr>
          <w:rFonts w:ascii="宋体" w:hAnsi="宋体"/>
          <w:b/>
          <w:szCs w:val="21"/>
        </w:rPr>
      </w:pPr>
      <w:r>
        <w:rPr>
          <w:rFonts w:hint="eastAsia" w:ascii="宋体" w:hAnsi="宋体"/>
          <w:b/>
          <w:szCs w:val="21"/>
        </w:rPr>
        <w:t>第一部分 资格证明文件</w:t>
      </w:r>
    </w:p>
    <w:p>
      <w:pPr>
        <w:adjustRightInd w:val="0"/>
        <w:snapToGrid w:val="0"/>
        <w:spacing w:line="360" w:lineRule="auto"/>
        <w:ind w:firstLine="420" w:firstLineChars="200"/>
        <w:rPr>
          <w:rFonts w:ascii="宋体" w:hAnsi="宋体"/>
          <w:szCs w:val="21"/>
        </w:rPr>
      </w:pPr>
      <w:r>
        <w:rPr>
          <w:rFonts w:hint="eastAsia" w:ascii="宋体" w:hAnsi="宋体"/>
          <w:szCs w:val="21"/>
        </w:rPr>
        <w:t>（1）开标一览表</w:t>
      </w:r>
    </w:p>
    <w:p>
      <w:pPr>
        <w:adjustRightInd w:val="0"/>
        <w:snapToGrid w:val="0"/>
        <w:spacing w:line="360" w:lineRule="auto"/>
        <w:ind w:firstLine="420" w:firstLineChars="200"/>
        <w:rPr>
          <w:rFonts w:ascii="宋体" w:hAnsi="宋体"/>
          <w:szCs w:val="21"/>
        </w:rPr>
      </w:pPr>
      <w:r>
        <w:rPr>
          <w:rFonts w:hint="eastAsia" w:ascii="宋体" w:hAnsi="宋体"/>
          <w:szCs w:val="21"/>
        </w:rPr>
        <w:t>（2）法定代表人身份证明</w:t>
      </w:r>
    </w:p>
    <w:p>
      <w:pPr>
        <w:adjustRightInd w:val="0"/>
        <w:snapToGrid w:val="0"/>
        <w:spacing w:line="360" w:lineRule="auto"/>
        <w:ind w:firstLine="420" w:firstLineChars="200"/>
        <w:rPr>
          <w:rFonts w:ascii="宋体" w:hAnsi="宋体"/>
          <w:szCs w:val="21"/>
        </w:rPr>
      </w:pPr>
      <w:r>
        <w:rPr>
          <w:rFonts w:hint="eastAsia" w:ascii="宋体" w:hAnsi="宋体"/>
          <w:szCs w:val="21"/>
        </w:rPr>
        <w:t>（3）授权委托书</w:t>
      </w:r>
    </w:p>
    <w:p>
      <w:pPr>
        <w:adjustRightInd w:val="0"/>
        <w:snapToGrid w:val="0"/>
        <w:spacing w:line="360" w:lineRule="auto"/>
        <w:ind w:firstLine="420" w:firstLineChars="200"/>
        <w:rPr>
          <w:rFonts w:ascii="宋体" w:hAnsi="宋体"/>
          <w:szCs w:val="21"/>
        </w:rPr>
      </w:pPr>
      <w:r>
        <w:rPr>
          <w:rFonts w:hint="eastAsia" w:ascii="宋体" w:hAnsi="宋体"/>
          <w:szCs w:val="21"/>
        </w:rPr>
        <w:t>（4）投标人提供的资格证明文件</w:t>
      </w:r>
    </w:p>
    <w:p>
      <w:pPr>
        <w:adjustRightInd w:val="0"/>
        <w:snapToGrid w:val="0"/>
        <w:spacing w:line="360" w:lineRule="auto"/>
        <w:ind w:firstLine="422" w:firstLineChars="200"/>
        <w:rPr>
          <w:rFonts w:ascii="宋体" w:hAnsi="宋体"/>
          <w:b/>
          <w:szCs w:val="21"/>
        </w:rPr>
      </w:pPr>
      <w:r>
        <w:rPr>
          <w:rFonts w:hint="eastAsia" w:ascii="宋体" w:hAnsi="宋体"/>
          <w:b/>
          <w:szCs w:val="21"/>
        </w:rPr>
        <w:t>第二部分 商务和技术文件</w:t>
      </w:r>
    </w:p>
    <w:p>
      <w:pPr>
        <w:adjustRightInd w:val="0"/>
        <w:snapToGrid w:val="0"/>
        <w:spacing w:line="360" w:lineRule="auto"/>
        <w:ind w:firstLine="420" w:firstLineChars="200"/>
        <w:rPr>
          <w:rFonts w:ascii="宋体" w:hAnsi="宋体"/>
          <w:szCs w:val="21"/>
        </w:rPr>
      </w:pPr>
      <w:r>
        <w:rPr>
          <w:rFonts w:hint="eastAsia" w:ascii="宋体" w:hAnsi="宋体"/>
          <w:szCs w:val="21"/>
        </w:rPr>
        <w:t>（5）投标函</w:t>
      </w:r>
    </w:p>
    <w:p>
      <w:pPr>
        <w:adjustRightInd w:val="0"/>
        <w:snapToGrid w:val="0"/>
        <w:spacing w:line="360" w:lineRule="auto"/>
        <w:ind w:firstLine="420" w:firstLineChars="200"/>
        <w:rPr>
          <w:rFonts w:ascii="宋体" w:hAnsi="宋体"/>
          <w:szCs w:val="21"/>
        </w:rPr>
      </w:pPr>
      <w:r>
        <w:rPr>
          <w:rFonts w:hint="eastAsia" w:ascii="宋体" w:hAnsi="宋体"/>
          <w:szCs w:val="21"/>
        </w:rPr>
        <w:t>（6）分项报价</w:t>
      </w:r>
    </w:p>
    <w:p>
      <w:pPr>
        <w:adjustRightInd w:val="0"/>
        <w:snapToGrid w:val="0"/>
        <w:spacing w:line="360" w:lineRule="auto"/>
        <w:ind w:firstLine="420" w:firstLineChars="200"/>
        <w:rPr>
          <w:rFonts w:ascii="宋体" w:hAnsi="宋体"/>
          <w:szCs w:val="21"/>
        </w:rPr>
      </w:pPr>
      <w:r>
        <w:rPr>
          <w:rFonts w:hint="eastAsia" w:ascii="宋体" w:hAnsi="宋体"/>
          <w:szCs w:val="21"/>
        </w:rPr>
        <w:t>（7）采购需求响应</w:t>
      </w:r>
    </w:p>
    <w:p>
      <w:pPr>
        <w:adjustRightInd w:val="0"/>
        <w:snapToGrid w:val="0"/>
        <w:spacing w:line="360" w:lineRule="auto"/>
        <w:ind w:firstLine="420" w:firstLineChars="200"/>
        <w:rPr>
          <w:rFonts w:ascii="宋体" w:hAnsi="宋体"/>
          <w:szCs w:val="21"/>
        </w:rPr>
      </w:pPr>
      <w:r>
        <w:rPr>
          <w:rFonts w:hint="eastAsia" w:ascii="宋体" w:hAnsi="宋体"/>
          <w:szCs w:val="21"/>
        </w:rPr>
        <w:t>（8）合同条款偏离表</w:t>
      </w:r>
    </w:p>
    <w:p>
      <w:pPr>
        <w:adjustRightInd w:val="0"/>
        <w:snapToGrid w:val="0"/>
        <w:spacing w:line="360" w:lineRule="auto"/>
        <w:ind w:firstLine="420" w:firstLineChars="200"/>
        <w:rPr>
          <w:rFonts w:ascii="宋体" w:hAnsi="宋体"/>
          <w:szCs w:val="21"/>
        </w:rPr>
      </w:pPr>
      <w:r>
        <w:rPr>
          <w:rFonts w:hint="eastAsia" w:ascii="宋体" w:hAnsi="宋体"/>
          <w:szCs w:val="21"/>
        </w:rPr>
        <w:t>（9）采购需求偏离表</w:t>
      </w:r>
    </w:p>
    <w:p>
      <w:pPr>
        <w:adjustRightInd w:val="0"/>
        <w:snapToGrid w:val="0"/>
        <w:spacing w:line="360" w:lineRule="auto"/>
        <w:ind w:firstLine="420" w:firstLineChars="200"/>
        <w:rPr>
          <w:rFonts w:ascii="宋体" w:hAnsi="宋体"/>
          <w:szCs w:val="21"/>
        </w:rPr>
      </w:pPr>
      <w:r>
        <w:rPr>
          <w:rFonts w:hint="eastAsia" w:ascii="宋体" w:hAnsi="宋体"/>
          <w:szCs w:val="21"/>
        </w:rPr>
        <w:t>（10）享受政府采购政策优惠的证明资料</w:t>
      </w:r>
    </w:p>
    <w:p>
      <w:pPr>
        <w:adjustRightInd w:val="0"/>
        <w:snapToGrid w:val="0"/>
        <w:spacing w:line="360" w:lineRule="auto"/>
        <w:ind w:firstLine="420" w:firstLineChars="200"/>
        <w:rPr>
          <w:rFonts w:ascii="宋体" w:hAnsi="宋体"/>
          <w:szCs w:val="21"/>
        </w:rPr>
      </w:pPr>
      <w:r>
        <w:rPr>
          <w:rFonts w:hint="eastAsia" w:ascii="宋体" w:hAnsi="宋体"/>
          <w:szCs w:val="21"/>
        </w:rPr>
        <w:t>（11）投标货物符合招标文件规定的证明文件</w:t>
      </w:r>
    </w:p>
    <w:p>
      <w:pPr>
        <w:adjustRightInd w:val="0"/>
        <w:snapToGrid w:val="0"/>
        <w:spacing w:line="360" w:lineRule="auto"/>
        <w:ind w:firstLine="420" w:firstLineChars="200"/>
        <w:rPr>
          <w:rFonts w:ascii="宋体" w:hAnsi="宋体"/>
          <w:szCs w:val="21"/>
        </w:rPr>
      </w:pPr>
      <w:r>
        <w:rPr>
          <w:rFonts w:hint="eastAsia" w:ascii="宋体" w:hAnsi="宋体"/>
          <w:szCs w:val="21"/>
        </w:rPr>
        <w:t>（12）投标人认为需提供的其他资料</w:t>
      </w:r>
    </w:p>
    <w:p>
      <w:pPr>
        <w:adjustRightInd w:val="0"/>
        <w:snapToGrid w:val="0"/>
        <w:spacing w:line="360" w:lineRule="auto"/>
        <w:ind w:firstLine="420" w:firstLineChars="200"/>
        <w:rPr>
          <w:rFonts w:ascii="宋体" w:hAnsi="宋体"/>
          <w:szCs w:val="21"/>
        </w:rPr>
      </w:pPr>
      <w:r>
        <w:rPr>
          <w:rFonts w:hint="eastAsia" w:ascii="宋体" w:hAnsi="宋体"/>
          <w:szCs w:val="21"/>
        </w:rPr>
        <w:t>12.2投标人可以编制资格审查索引表、符合性审查索引表、评审索引表，以方便采购人、采购代理机构、评标委员会在资格审查及评审时查阅。</w:t>
      </w:r>
    </w:p>
    <w:p>
      <w:pPr>
        <w:adjustRightInd w:val="0"/>
        <w:snapToGrid w:val="0"/>
        <w:spacing w:line="360" w:lineRule="auto"/>
        <w:ind w:firstLine="420" w:firstLineChars="200"/>
        <w:rPr>
          <w:rFonts w:ascii="宋体" w:hAnsi="宋体"/>
          <w:szCs w:val="21"/>
        </w:rPr>
      </w:pPr>
      <w:r>
        <w:rPr>
          <w:rFonts w:hint="eastAsia" w:ascii="宋体" w:hAnsi="宋体"/>
          <w:szCs w:val="21"/>
        </w:rPr>
        <w:t>12.3根据《政府采购法》第四十二条的规定，投标人无论中标与否，其投标文件不予退还。</w:t>
      </w:r>
    </w:p>
    <w:p>
      <w:pPr>
        <w:adjustRightInd w:val="0"/>
        <w:snapToGrid w:val="0"/>
        <w:spacing w:line="360" w:lineRule="auto"/>
        <w:rPr>
          <w:rFonts w:ascii="宋体" w:hAnsi="宋体"/>
          <w:b/>
          <w:bCs/>
          <w:sz w:val="24"/>
        </w:rPr>
      </w:pPr>
      <w:r>
        <w:rPr>
          <w:rFonts w:hint="eastAsia" w:ascii="宋体" w:hAnsi="宋体"/>
          <w:b/>
          <w:bCs/>
          <w:sz w:val="24"/>
        </w:rPr>
        <w:t>13. 投标报价</w:t>
      </w:r>
    </w:p>
    <w:p>
      <w:pPr>
        <w:adjustRightInd w:val="0"/>
        <w:snapToGrid w:val="0"/>
        <w:spacing w:line="360" w:lineRule="auto"/>
        <w:ind w:firstLine="420" w:firstLineChars="200"/>
        <w:rPr>
          <w:rFonts w:ascii="宋体" w:hAnsi="宋体"/>
          <w:szCs w:val="21"/>
        </w:rPr>
      </w:pPr>
      <w:r>
        <w:rPr>
          <w:rFonts w:hint="eastAsia" w:ascii="宋体" w:hAnsi="宋体"/>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pPr>
        <w:adjustRightInd w:val="0"/>
        <w:snapToGrid w:val="0"/>
        <w:spacing w:line="360" w:lineRule="auto"/>
        <w:ind w:firstLine="420" w:firstLineChars="200"/>
        <w:rPr>
          <w:rFonts w:ascii="宋体" w:hAnsi="宋体"/>
        </w:rPr>
      </w:pPr>
      <w:r>
        <w:rPr>
          <w:rFonts w:hint="eastAsia" w:ascii="宋体" w:hAnsi="宋体"/>
          <w:szCs w:val="21"/>
        </w:rPr>
        <w:t>13.3 投标人应在分项报价明细表中对每项内容给予详细分项</w:t>
      </w:r>
      <w:r>
        <w:rPr>
          <w:rFonts w:hint="eastAsia" w:ascii="宋体" w:hAnsi="宋体"/>
        </w:rPr>
        <w:t>报价。</w:t>
      </w:r>
    </w:p>
    <w:p>
      <w:pPr>
        <w:adjustRightInd w:val="0"/>
        <w:snapToGrid w:val="0"/>
        <w:spacing w:line="360" w:lineRule="auto"/>
        <w:ind w:firstLine="420" w:firstLineChars="200"/>
        <w:rPr>
          <w:rFonts w:ascii="宋体" w:hAnsi="宋体"/>
        </w:rPr>
      </w:pPr>
      <w:r>
        <w:rPr>
          <w:rFonts w:hint="eastAsia" w:ascii="宋体" w:hAnsi="宋体"/>
        </w:rPr>
        <w:t>13.4投标人对采购项目内容只允许有一个投标报价，否则其</w:t>
      </w:r>
      <w:r>
        <w:rPr>
          <w:rFonts w:hint="eastAsia" w:ascii="宋体" w:hAnsi="宋体"/>
          <w:b/>
        </w:rPr>
        <w:t>投标无效</w:t>
      </w:r>
      <w:r>
        <w:rPr>
          <w:rFonts w:hint="eastAsia" w:ascii="宋体" w:hAnsi="宋体"/>
        </w:rPr>
        <w:t>。</w:t>
      </w:r>
    </w:p>
    <w:p>
      <w:pPr>
        <w:adjustRightInd w:val="0"/>
        <w:snapToGrid w:val="0"/>
        <w:spacing w:line="360" w:lineRule="auto"/>
        <w:ind w:firstLine="420" w:firstLineChars="200"/>
        <w:rPr>
          <w:rFonts w:ascii="宋体" w:hAnsi="宋体"/>
        </w:rPr>
      </w:pPr>
      <w:r>
        <w:rPr>
          <w:rFonts w:hint="eastAsia" w:ascii="宋体" w:hAnsi="宋体"/>
        </w:rPr>
        <w:t>13.5采购人不接受投标人给予的赠品、回扣或者与采购无关的其他商品、服务。如有赠与行为，其</w:t>
      </w:r>
      <w:r>
        <w:rPr>
          <w:rFonts w:hint="eastAsia" w:ascii="宋体" w:hAnsi="宋体"/>
          <w:b/>
        </w:rPr>
        <w:t>投标无效</w:t>
      </w:r>
      <w:r>
        <w:rPr>
          <w:rFonts w:hint="eastAsia" w:ascii="宋体" w:hAnsi="宋体"/>
        </w:rPr>
        <w:t>。</w:t>
      </w:r>
    </w:p>
    <w:p>
      <w:pPr>
        <w:adjustRightInd w:val="0"/>
        <w:snapToGrid w:val="0"/>
        <w:spacing w:line="360" w:lineRule="auto"/>
        <w:ind w:firstLine="420" w:firstLineChars="200"/>
        <w:rPr>
          <w:rFonts w:ascii="宋体" w:hAnsi="宋体"/>
          <w:szCs w:val="21"/>
        </w:rPr>
      </w:pPr>
      <w:r>
        <w:rPr>
          <w:rFonts w:hint="eastAsia" w:ascii="宋体" w:hAnsi="宋体"/>
          <w:szCs w:val="21"/>
        </w:rPr>
        <w:t>13.6采用固定价格定价方式的采购项目，</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pPr>
        <w:adjustRightInd w:val="0"/>
        <w:snapToGrid w:val="0"/>
        <w:spacing w:line="360" w:lineRule="auto"/>
        <w:ind w:firstLine="420" w:firstLineChars="200"/>
        <w:rPr>
          <w:rFonts w:ascii="宋体" w:hAnsi="宋体"/>
        </w:rPr>
      </w:pPr>
      <w:r>
        <w:rPr>
          <w:rFonts w:hint="eastAsia" w:ascii="宋体" w:hAnsi="宋体"/>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pPr>
        <w:adjustRightInd w:val="0"/>
        <w:snapToGrid w:val="0"/>
        <w:spacing w:line="360" w:lineRule="auto"/>
        <w:ind w:firstLine="420" w:firstLineChars="200"/>
        <w:rPr>
          <w:rFonts w:ascii="宋体" w:hAnsi="宋体"/>
        </w:rPr>
      </w:pPr>
      <w:r>
        <w:rPr>
          <w:rFonts w:hint="eastAsia" w:ascii="宋体" w:hAnsi="宋体"/>
        </w:rPr>
        <w:t>13.8投标报价的其他要求见</w:t>
      </w:r>
      <w:r>
        <w:rPr>
          <w:rFonts w:hint="eastAsia" w:ascii="宋体" w:hAnsi="宋体"/>
          <w:b/>
          <w:szCs w:val="21"/>
        </w:rPr>
        <w:t>【投标须知前附表】</w:t>
      </w:r>
      <w:r>
        <w:rPr>
          <w:rFonts w:hint="eastAsia" w:ascii="宋体" w:hAnsi="宋体"/>
        </w:rPr>
        <w:t>。</w:t>
      </w:r>
    </w:p>
    <w:p>
      <w:pPr>
        <w:adjustRightInd w:val="0"/>
        <w:snapToGrid w:val="0"/>
        <w:spacing w:line="360" w:lineRule="auto"/>
        <w:rPr>
          <w:rFonts w:ascii="宋体" w:hAnsi="宋体"/>
          <w:b/>
          <w:bCs/>
          <w:sz w:val="24"/>
        </w:rPr>
      </w:pPr>
      <w:r>
        <w:rPr>
          <w:rFonts w:hint="eastAsia" w:ascii="宋体" w:hAnsi="宋体"/>
          <w:b/>
          <w:sz w:val="24"/>
        </w:rPr>
        <w:t xml:space="preserve">14. </w:t>
      </w:r>
      <w:r>
        <w:rPr>
          <w:rFonts w:hint="eastAsia" w:ascii="宋体" w:hAnsi="宋体"/>
          <w:b/>
          <w:bCs/>
          <w:sz w:val="24"/>
        </w:rPr>
        <w:t>投标人的资格证明文件</w:t>
      </w:r>
    </w:p>
    <w:p>
      <w:pPr>
        <w:adjustRightInd w:val="0"/>
        <w:snapToGrid w:val="0"/>
        <w:spacing w:line="360" w:lineRule="auto"/>
        <w:ind w:firstLine="420" w:firstLineChars="200"/>
        <w:rPr>
          <w:rFonts w:ascii="宋体" w:hAnsi="宋体"/>
        </w:rPr>
      </w:pPr>
      <w:r>
        <w:rPr>
          <w:rFonts w:hint="eastAsia" w:ascii="宋体" w:hAnsi="宋体"/>
        </w:rPr>
        <w:t>14.1</w:t>
      </w:r>
      <w:r>
        <w:rPr>
          <w:rFonts w:hint="eastAsia" w:ascii="宋体" w:hAnsi="宋体"/>
          <w:szCs w:val="21"/>
        </w:rPr>
        <w:t>除</w:t>
      </w:r>
      <w:r>
        <w:rPr>
          <w:rFonts w:hint="eastAsia" w:ascii="宋体" w:hAnsi="宋体"/>
          <w:b/>
          <w:szCs w:val="21"/>
        </w:rPr>
        <w:t>【投标须知前附表】</w:t>
      </w:r>
      <w:r>
        <w:rPr>
          <w:rFonts w:hint="eastAsia" w:ascii="宋体" w:hAnsi="宋体"/>
          <w:szCs w:val="21"/>
        </w:rPr>
        <w:t>另有规</w:t>
      </w:r>
      <w:r>
        <w:rPr>
          <w:rFonts w:hint="eastAsia" w:ascii="宋体" w:hAnsi="宋体"/>
        </w:rPr>
        <w:t>定外，投标人应按下列规定提供资格证明文件。</w:t>
      </w:r>
    </w:p>
    <w:p>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b/>
        </w:rPr>
        <w:t>法人或者其他组织的营业执照等主体资格证明文件，自然人的身份证明</w:t>
      </w:r>
      <w:r>
        <w:rPr>
          <w:rFonts w:hint="eastAsia" w:ascii="宋体" w:hAnsi="宋体"/>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pPr>
        <w:adjustRightInd w:val="0"/>
        <w:snapToGrid w:val="0"/>
        <w:spacing w:line="360" w:lineRule="auto"/>
        <w:ind w:firstLine="420" w:firstLineChars="200"/>
        <w:rPr>
          <w:rFonts w:ascii="宋体" w:hAnsi="宋体"/>
        </w:rPr>
      </w:pPr>
      <w:r>
        <w:rPr>
          <w:rFonts w:hint="eastAsia" w:ascii="宋体" w:hAnsi="宋体"/>
        </w:rPr>
        <w:t>（2）</w:t>
      </w:r>
      <w:r>
        <w:rPr>
          <w:rFonts w:hint="eastAsia" w:ascii="宋体" w:hAnsi="宋体"/>
          <w:b/>
        </w:rPr>
        <w:t>湖南省政府采购供应商资格承诺函(格式)</w:t>
      </w:r>
    </w:p>
    <w:p>
      <w:pPr>
        <w:adjustRightInd w:val="0"/>
        <w:snapToGrid w:val="0"/>
        <w:spacing w:line="360" w:lineRule="auto"/>
        <w:ind w:firstLine="420" w:firstLineChars="200"/>
        <w:rPr>
          <w:rFonts w:ascii="宋体" w:hAnsi="宋体"/>
          <w:szCs w:val="21"/>
        </w:rPr>
      </w:pPr>
      <w:r>
        <w:rPr>
          <w:rFonts w:hint="eastAsia" w:ascii="宋体" w:hAnsi="宋体"/>
        </w:rPr>
        <w:t>（3）</w:t>
      </w:r>
      <w:r>
        <w:rPr>
          <w:rFonts w:hint="eastAsia" w:ascii="宋体" w:hAnsi="宋体"/>
          <w:b/>
        </w:rPr>
        <w:t>符合特定资格条件证明材料复印件或者情况说明</w:t>
      </w:r>
      <w:r>
        <w:rPr>
          <w:rFonts w:hint="eastAsia" w:ascii="宋体" w:hAnsi="宋体"/>
          <w:szCs w:val="21"/>
        </w:rPr>
        <w:t>。</w:t>
      </w:r>
    </w:p>
    <w:p>
      <w:pPr>
        <w:adjustRightInd w:val="0"/>
        <w:snapToGrid w:val="0"/>
        <w:spacing w:line="360" w:lineRule="auto"/>
        <w:ind w:firstLine="420" w:firstLineChars="200"/>
        <w:rPr>
          <w:rFonts w:ascii="宋体" w:hAnsi="宋体"/>
        </w:rPr>
      </w:pPr>
      <w:r>
        <w:rPr>
          <w:rFonts w:hint="eastAsia" w:ascii="宋体" w:hAnsi="宋体"/>
        </w:rPr>
        <w:t>14.2投标人以联合体形式投标的，除应提交联合协议(格式)外，参加联合体的各方均应提交上款资格证明材料。</w:t>
      </w:r>
    </w:p>
    <w:p>
      <w:pPr>
        <w:adjustRightInd w:val="0"/>
        <w:snapToGrid w:val="0"/>
        <w:spacing w:line="360" w:lineRule="auto"/>
        <w:ind w:firstLine="420" w:firstLineChars="200"/>
        <w:rPr>
          <w:rFonts w:ascii="宋体" w:hAnsi="宋体"/>
        </w:rPr>
      </w:pPr>
      <w:r>
        <w:rPr>
          <w:rFonts w:hint="eastAsia" w:ascii="宋体" w:hAnsi="宋体"/>
        </w:rPr>
        <w:t>14.3投标人的资格证明文件均应为有效文件并加盖投标人单位章，并按招标文件规定签署。</w:t>
      </w:r>
    </w:p>
    <w:p>
      <w:pPr>
        <w:adjustRightInd w:val="0"/>
        <w:snapToGrid w:val="0"/>
        <w:spacing w:line="360" w:lineRule="auto"/>
        <w:rPr>
          <w:rFonts w:ascii="宋体" w:hAnsi="宋体"/>
          <w:b/>
          <w:bCs/>
          <w:sz w:val="24"/>
        </w:rPr>
      </w:pPr>
      <w:r>
        <w:rPr>
          <w:rFonts w:hint="eastAsia" w:ascii="宋体" w:hAnsi="宋体"/>
          <w:b/>
          <w:bCs/>
          <w:sz w:val="24"/>
        </w:rPr>
        <w:t>15. 投标货物及服务符合招标文件规定的证明文件</w:t>
      </w:r>
    </w:p>
    <w:p>
      <w:pPr>
        <w:adjustRightInd w:val="0"/>
        <w:snapToGrid w:val="0"/>
        <w:spacing w:line="360" w:lineRule="auto"/>
        <w:ind w:firstLine="420" w:firstLineChars="200"/>
        <w:rPr>
          <w:rFonts w:ascii="宋体" w:hAnsi="宋体"/>
          <w:szCs w:val="21"/>
        </w:rPr>
      </w:pPr>
      <w:r>
        <w:rPr>
          <w:rFonts w:hint="eastAsia" w:ascii="宋体" w:hAnsi="宋体"/>
          <w:szCs w:val="21"/>
        </w:rPr>
        <w:t>15.1投标人应当提交其拟供的合同项下货物及其服务符合招标文件规定的证明文件,该证明文件作为投标文件的一部分。</w:t>
      </w:r>
    </w:p>
    <w:p>
      <w:pPr>
        <w:adjustRightInd w:val="0"/>
        <w:snapToGrid w:val="0"/>
        <w:spacing w:line="360" w:lineRule="auto"/>
        <w:ind w:firstLine="420" w:firstLineChars="200"/>
        <w:rPr>
          <w:rFonts w:ascii="宋体" w:hAnsi="宋体"/>
          <w:szCs w:val="21"/>
        </w:rPr>
      </w:pPr>
      <w:r>
        <w:rPr>
          <w:rFonts w:hint="eastAsia" w:ascii="宋体" w:hAnsi="宋体"/>
          <w:szCs w:val="21"/>
        </w:rPr>
        <w:t>15.2上述证明文件可以是文字资料、图表、数据、证书等资料，包括但不限于：</w:t>
      </w:r>
    </w:p>
    <w:p>
      <w:pPr>
        <w:adjustRightInd w:val="0"/>
        <w:snapToGrid w:val="0"/>
        <w:spacing w:line="360" w:lineRule="auto"/>
        <w:ind w:firstLine="420" w:firstLineChars="200"/>
        <w:rPr>
          <w:rFonts w:ascii="宋体" w:hAnsi="宋体"/>
          <w:szCs w:val="21"/>
        </w:rPr>
      </w:pPr>
      <w:r>
        <w:rPr>
          <w:rFonts w:hint="eastAsia" w:ascii="宋体" w:hAnsi="宋体"/>
          <w:szCs w:val="21"/>
        </w:rPr>
        <w:t>（1）货物主要技术指标和性能的详细说明。对有具体参数要求的指标，投标人应提供具体参数值；</w:t>
      </w:r>
    </w:p>
    <w:p>
      <w:pPr>
        <w:adjustRightInd w:val="0"/>
        <w:snapToGrid w:val="0"/>
        <w:spacing w:line="360" w:lineRule="auto"/>
        <w:ind w:firstLine="420" w:firstLineChars="200"/>
        <w:rPr>
          <w:rFonts w:ascii="宋体" w:hAnsi="宋体"/>
          <w:szCs w:val="21"/>
        </w:rPr>
      </w:pPr>
      <w:r>
        <w:rPr>
          <w:rFonts w:hint="eastAsia" w:ascii="宋体" w:hAnsi="宋体"/>
          <w:szCs w:val="21"/>
        </w:rPr>
        <w:t>（2）货物的品牌型号、制造商及原产地等说明；</w:t>
      </w:r>
    </w:p>
    <w:p>
      <w:pPr>
        <w:adjustRightInd w:val="0"/>
        <w:snapToGrid w:val="0"/>
        <w:spacing w:line="360" w:lineRule="auto"/>
        <w:ind w:firstLine="420" w:firstLineChars="200"/>
        <w:rPr>
          <w:rFonts w:ascii="宋体" w:hAnsi="宋体"/>
          <w:szCs w:val="21"/>
        </w:rPr>
      </w:pPr>
      <w:r>
        <w:rPr>
          <w:rFonts w:hint="eastAsia" w:ascii="宋体" w:hAnsi="宋体"/>
          <w:szCs w:val="21"/>
        </w:rPr>
        <w:t>（3）招标文件第五章“采购需求”要求的其它文件。</w:t>
      </w:r>
    </w:p>
    <w:p>
      <w:pPr>
        <w:adjustRightInd w:val="0"/>
        <w:snapToGrid w:val="0"/>
        <w:spacing w:line="360" w:lineRule="auto"/>
        <w:rPr>
          <w:rFonts w:ascii="宋体" w:hAnsi="宋体"/>
          <w:b/>
          <w:bCs/>
          <w:sz w:val="24"/>
        </w:rPr>
      </w:pPr>
      <w:r>
        <w:rPr>
          <w:rFonts w:hint="eastAsia" w:ascii="宋体" w:hAnsi="宋体"/>
          <w:b/>
          <w:bCs/>
          <w:sz w:val="24"/>
        </w:rPr>
        <w:t>16. 投标有效期</w:t>
      </w:r>
    </w:p>
    <w:p>
      <w:pPr>
        <w:adjustRightInd w:val="0"/>
        <w:snapToGrid w:val="0"/>
        <w:spacing w:line="360" w:lineRule="auto"/>
        <w:ind w:firstLine="420" w:firstLineChars="200"/>
        <w:rPr>
          <w:rFonts w:ascii="宋体" w:hAnsi="宋体"/>
          <w:szCs w:val="21"/>
        </w:rPr>
      </w:pPr>
      <w:r>
        <w:rPr>
          <w:rFonts w:hint="eastAsia" w:ascii="宋体" w:hAnsi="宋体"/>
          <w:szCs w:val="21"/>
        </w:rPr>
        <w:t>16.1投标有效期从提交投标文件的截止之日起计算。投标文件中承诺的投标有效期应当不少于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16.2投标有效期内投标人撤销投标文件的，投标人应承担招标文件和法律规定的责任。</w:t>
      </w:r>
    </w:p>
    <w:p>
      <w:pPr>
        <w:adjustRightInd w:val="0"/>
        <w:snapToGrid w:val="0"/>
        <w:spacing w:line="360" w:lineRule="auto"/>
        <w:rPr>
          <w:rFonts w:ascii="宋体" w:hAnsi="宋体"/>
          <w:b/>
          <w:bCs/>
          <w:sz w:val="24"/>
        </w:rPr>
      </w:pPr>
      <w:r>
        <w:rPr>
          <w:rFonts w:hint="eastAsia" w:ascii="宋体" w:hAnsi="宋体"/>
          <w:b/>
          <w:bCs/>
          <w:sz w:val="24"/>
        </w:rPr>
        <w:t>17. 投标保证金（不要求递交）</w:t>
      </w:r>
    </w:p>
    <w:p>
      <w:pPr>
        <w:adjustRightInd w:val="0"/>
        <w:snapToGrid w:val="0"/>
        <w:spacing w:line="360" w:lineRule="auto"/>
        <w:rPr>
          <w:rFonts w:ascii="宋体" w:hAnsi="宋体"/>
          <w:b/>
          <w:sz w:val="24"/>
        </w:rPr>
      </w:pPr>
      <w:r>
        <w:rPr>
          <w:rFonts w:hint="eastAsia" w:ascii="宋体" w:hAnsi="宋体"/>
          <w:b/>
          <w:sz w:val="24"/>
        </w:rPr>
        <w:t>18.分包</w:t>
      </w:r>
    </w:p>
    <w:p>
      <w:pPr>
        <w:adjustRightInd w:val="0"/>
        <w:snapToGrid w:val="0"/>
        <w:spacing w:line="360" w:lineRule="auto"/>
        <w:ind w:firstLine="420" w:firstLineChars="200"/>
        <w:rPr>
          <w:rFonts w:ascii="宋体" w:hAnsi="宋体"/>
        </w:rPr>
      </w:pPr>
      <w:r>
        <w:rPr>
          <w:rFonts w:hint="eastAsia" w:ascii="宋体" w:hAnsi="宋体"/>
        </w:rPr>
        <w:t>18.1</w:t>
      </w:r>
      <w:r>
        <w:rPr>
          <w:rFonts w:hint="eastAsia" w:hAnsi="宋体"/>
          <w:b/>
          <w:bCs/>
        </w:rPr>
        <w:t>【投标须知前附表】</w:t>
      </w:r>
      <w:r>
        <w:rPr>
          <w:rFonts w:hint="eastAsia" w:ascii="宋体" w:hAnsi="宋体"/>
        </w:rPr>
        <w:t>规定投标人分包的，投标人分包承诺不符合招标文件中有关分包规定的，其</w:t>
      </w:r>
      <w:r>
        <w:rPr>
          <w:rFonts w:hint="eastAsia" w:ascii="宋体" w:hAnsi="宋体"/>
          <w:b/>
          <w:bCs/>
        </w:rPr>
        <w:t>投标无效</w:t>
      </w:r>
      <w:r>
        <w:rPr>
          <w:rFonts w:hint="eastAsia" w:ascii="宋体" w:hAnsi="宋体"/>
        </w:rPr>
        <w:t>。</w:t>
      </w:r>
    </w:p>
    <w:p>
      <w:pPr>
        <w:adjustRightInd w:val="0"/>
        <w:snapToGrid w:val="0"/>
        <w:spacing w:line="360" w:lineRule="auto"/>
        <w:ind w:firstLine="420" w:firstLineChars="200"/>
        <w:rPr>
          <w:rFonts w:ascii="宋体" w:hAnsi="宋体"/>
        </w:rPr>
      </w:pPr>
      <w:r>
        <w:rPr>
          <w:rFonts w:hint="eastAsia" w:ascii="宋体" w:hAnsi="宋体"/>
        </w:rPr>
        <w:t>18.2投标人应在签订政府采购合同前向采购人提供分包合同，否则，采购人有权拒绝签订采购合同。</w:t>
      </w:r>
    </w:p>
    <w:p>
      <w:pPr>
        <w:adjustRightInd w:val="0"/>
        <w:snapToGrid w:val="0"/>
        <w:spacing w:line="360" w:lineRule="auto"/>
        <w:ind w:firstLine="420" w:firstLineChars="200"/>
        <w:rPr>
          <w:rFonts w:ascii="宋体" w:hAnsi="宋体"/>
        </w:rPr>
      </w:pPr>
      <w:r>
        <w:rPr>
          <w:rFonts w:hint="eastAsia" w:ascii="宋体" w:hAnsi="宋体"/>
        </w:rPr>
        <w:t>18.3享受中小企业扶持政策获得政府采购合同的，小微企业不得将合同分包给大中型企业，中型企业不得将合同分包给大型企业。</w:t>
      </w:r>
    </w:p>
    <w:p>
      <w:pPr>
        <w:adjustRightInd w:val="0"/>
        <w:snapToGrid w:val="0"/>
        <w:spacing w:line="360" w:lineRule="auto"/>
        <w:ind w:firstLine="420" w:firstLineChars="200"/>
        <w:rPr>
          <w:rFonts w:ascii="宋体" w:hAnsi="宋体"/>
        </w:rPr>
      </w:pPr>
      <w:r>
        <w:rPr>
          <w:rFonts w:hint="eastAsia" w:ascii="宋体" w:hAnsi="宋体"/>
        </w:rPr>
        <w:t>18.4分包供应商不得再次分包。</w:t>
      </w:r>
    </w:p>
    <w:p>
      <w:pPr>
        <w:adjustRightInd w:val="0"/>
        <w:snapToGrid w:val="0"/>
        <w:spacing w:line="360" w:lineRule="auto"/>
        <w:rPr>
          <w:rFonts w:ascii="宋体" w:hAnsi="宋体"/>
          <w:b/>
          <w:bCs/>
          <w:sz w:val="24"/>
        </w:rPr>
      </w:pPr>
      <w:r>
        <w:rPr>
          <w:rFonts w:hint="eastAsia" w:ascii="宋体" w:hAnsi="宋体"/>
          <w:b/>
          <w:bCs/>
          <w:sz w:val="24"/>
        </w:rPr>
        <w:t>19. 投标文件的签署</w:t>
      </w:r>
    </w:p>
    <w:p>
      <w:pPr>
        <w:adjustRightInd w:val="0"/>
        <w:snapToGrid w:val="0"/>
        <w:spacing w:line="360" w:lineRule="auto"/>
        <w:ind w:firstLine="420" w:firstLineChars="200"/>
        <w:rPr>
          <w:rFonts w:ascii="宋体" w:hAnsi="宋体"/>
          <w:szCs w:val="21"/>
        </w:rPr>
      </w:pPr>
      <w:r>
        <w:rPr>
          <w:rFonts w:hint="eastAsia" w:ascii="宋体" w:hAnsi="宋体"/>
          <w:szCs w:val="21"/>
        </w:rPr>
        <w:t>19.1投标文件份数，投标人应准备所投项目的电子投标文件一份。</w:t>
      </w:r>
    </w:p>
    <w:p>
      <w:pPr>
        <w:adjustRightInd w:val="0"/>
        <w:snapToGrid w:val="0"/>
        <w:spacing w:line="360" w:lineRule="auto"/>
        <w:ind w:firstLine="420" w:firstLineChars="200"/>
        <w:rPr>
          <w:rFonts w:ascii="宋体" w:hAnsi="宋体"/>
          <w:szCs w:val="21"/>
        </w:rPr>
      </w:pPr>
      <w:r>
        <w:rPr>
          <w:rFonts w:hint="eastAsia" w:ascii="宋体" w:hAnsi="宋体"/>
          <w:szCs w:val="21"/>
        </w:rPr>
        <w:t>19.2电子投标文件：投标人应按照电子招标文件要求制作投标文件，并在</w:t>
      </w:r>
      <w:r>
        <w:rPr>
          <w:rFonts w:hint="eastAsia" w:ascii="宋体" w:hAnsi="宋体"/>
        </w:rPr>
        <w:t>指定处采用电子平台认可的CA数字证书</w:t>
      </w:r>
      <w:r>
        <w:rPr>
          <w:rFonts w:hint="eastAsia" w:ascii="宋体" w:hAnsi="宋体"/>
          <w:szCs w:val="21"/>
        </w:rPr>
        <w:t>进行电子签名和盖章。</w:t>
      </w:r>
    </w:p>
    <w:p>
      <w:pPr>
        <w:adjustRightInd w:val="0"/>
        <w:snapToGrid w:val="0"/>
        <w:spacing w:line="360" w:lineRule="auto"/>
        <w:ind w:firstLine="420" w:firstLineChars="200"/>
        <w:rPr>
          <w:rFonts w:ascii="宋体" w:hAnsi="宋体"/>
          <w:szCs w:val="21"/>
        </w:rPr>
      </w:pPr>
      <w:r>
        <w:rPr>
          <w:rFonts w:hint="eastAsia" w:ascii="宋体" w:hAnsi="宋体"/>
          <w:szCs w:val="21"/>
        </w:rPr>
        <w:t>19.3投标人确认投标后，应从交易平台上下载“电子招标文件制作工具（</w:t>
      </w:r>
      <w:r>
        <w:rPr>
          <w:rStyle w:val="114"/>
          <w:rFonts w:ascii="宋体" w:hAnsi="宋体"/>
          <w:szCs w:val="21"/>
        </w:rPr>
        <w:t>金润投标人工具箱）</w:t>
      </w:r>
      <w:r>
        <w:rPr>
          <w:rFonts w:hint="eastAsia" w:ascii="宋体" w:hAnsi="宋体"/>
          <w:szCs w:val="21"/>
        </w:rPr>
        <w:t>”，并使用此工具编制电子投标文件，否则将可能影响电子投标文件的上传而导致投标无效。</w:t>
      </w:r>
    </w:p>
    <w:p>
      <w:pPr>
        <w:adjustRightInd w:val="0"/>
        <w:snapToGrid w:val="0"/>
        <w:spacing w:line="360" w:lineRule="auto"/>
        <w:ind w:firstLine="420" w:firstLineChars="200"/>
        <w:rPr>
          <w:rFonts w:ascii="宋体" w:hAnsi="宋体"/>
          <w:szCs w:val="21"/>
        </w:rPr>
      </w:pPr>
      <w:r>
        <w:rPr>
          <w:rFonts w:hint="eastAsia" w:ascii="宋体" w:hAnsi="宋体"/>
          <w:szCs w:val="21"/>
        </w:rPr>
        <w:t>19.4投标人因自身原因导致电子投标文件无法导入电子评标系统的，该投标文件视为无效投标文件。</w:t>
      </w:r>
    </w:p>
    <w:p>
      <w:pPr>
        <w:adjustRightInd w:val="0"/>
        <w:snapToGrid w:val="0"/>
        <w:spacing w:line="360" w:lineRule="auto"/>
        <w:ind w:firstLine="420" w:firstLineChars="200"/>
        <w:rPr>
          <w:rFonts w:ascii="宋体" w:hAnsi="宋体"/>
          <w:szCs w:val="21"/>
        </w:rPr>
      </w:pPr>
      <w:r>
        <w:rPr>
          <w:rFonts w:hint="eastAsia" w:ascii="宋体" w:hAnsi="宋体"/>
          <w:szCs w:val="21"/>
        </w:rPr>
        <w:t>19.5电子招投标文件具有法律效力，若投标文件与招标文件要求不一致，其内容影响中标结果时，责任由投标人自行承担。</w:t>
      </w:r>
    </w:p>
    <w:p>
      <w:pPr>
        <w:pStyle w:val="5"/>
        <w:adjustRightInd w:val="0"/>
        <w:snapToGrid w:val="0"/>
        <w:spacing w:before="156" w:beforeLines="50" w:after="0" w:line="360" w:lineRule="auto"/>
        <w:jc w:val="center"/>
        <w:rPr>
          <w:rFonts w:ascii="黑体" w:hAnsi="黑体" w:eastAsia="黑体"/>
          <w:sz w:val="28"/>
          <w:szCs w:val="28"/>
        </w:rPr>
      </w:pPr>
      <w:bookmarkStart w:id="137" w:name="_Toc6925"/>
      <w:bookmarkStart w:id="138" w:name="_Toc95601370"/>
      <w:bookmarkStart w:id="139" w:name="_Toc18922"/>
      <w:bookmarkStart w:id="140" w:name="_Toc75289553"/>
      <w:bookmarkStart w:id="141" w:name="_Toc85972935"/>
      <w:bookmarkStart w:id="142" w:name="_Toc108341942"/>
      <w:bookmarkStart w:id="143" w:name="_Toc77676471"/>
      <w:bookmarkStart w:id="144" w:name="_Toc100670426"/>
      <w:bookmarkStart w:id="145" w:name="_Toc11499"/>
      <w:bookmarkStart w:id="146" w:name="_Toc13817"/>
      <w:bookmarkStart w:id="147" w:name="_Toc78449960"/>
      <w:bookmarkStart w:id="148" w:name="_Toc94367885"/>
      <w:bookmarkStart w:id="149" w:name="_Toc77199404"/>
      <w:bookmarkStart w:id="150" w:name="_Toc75289231"/>
      <w:bookmarkStart w:id="151" w:name="_Toc19957"/>
      <w:bookmarkStart w:id="152" w:name="_Toc100670673"/>
      <w:bookmarkStart w:id="153" w:name="_Toc112594262"/>
      <w:bookmarkStart w:id="154" w:name="_Toc15888490"/>
      <w:bookmarkStart w:id="155" w:name="_Toc78314267"/>
      <w:r>
        <w:rPr>
          <w:rFonts w:hint="eastAsia" w:ascii="黑体" w:hAnsi="黑体" w:eastAsia="黑体"/>
          <w:sz w:val="28"/>
          <w:szCs w:val="28"/>
        </w:rPr>
        <w:t>四、投标</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adjustRightInd w:val="0"/>
        <w:snapToGrid w:val="0"/>
        <w:spacing w:line="360" w:lineRule="auto"/>
        <w:rPr>
          <w:rFonts w:ascii="宋体" w:hAnsi="宋体"/>
          <w:b/>
          <w:bCs/>
          <w:sz w:val="24"/>
        </w:rPr>
      </w:pPr>
      <w:r>
        <w:rPr>
          <w:rFonts w:hint="eastAsia" w:ascii="宋体" w:hAnsi="宋体"/>
          <w:b/>
          <w:sz w:val="24"/>
        </w:rPr>
        <w:t>20.</w:t>
      </w:r>
      <w:r>
        <w:rPr>
          <w:rFonts w:hint="eastAsia" w:ascii="宋体" w:hAnsi="宋体"/>
          <w:b/>
          <w:bCs/>
          <w:sz w:val="24"/>
        </w:rPr>
        <w:t xml:space="preserve"> 投标文件的密封和标记</w:t>
      </w:r>
    </w:p>
    <w:p>
      <w:pPr>
        <w:adjustRightInd w:val="0"/>
        <w:snapToGrid w:val="0"/>
        <w:spacing w:line="360" w:lineRule="auto"/>
        <w:ind w:firstLine="420" w:firstLineChars="200"/>
        <w:rPr>
          <w:rFonts w:ascii="宋体" w:hAnsi="宋体"/>
          <w:szCs w:val="21"/>
        </w:rPr>
      </w:pPr>
      <w:r>
        <w:rPr>
          <w:rFonts w:hint="eastAsia" w:ascii="宋体" w:hAnsi="宋体"/>
          <w:szCs w:val="21"/>
        </w:rPr>
        <w:t>20.1娄底市公共资源交易电子服务平台发布的“电子投标文件制作工具（</w:t>
      </w:r>
      <w:r>
        <w:rPr>
          <w:rStyle w:val="114"/>
          <w:rFonts w:ascii="宋体" w:hAnsi="宋体"/>
          <w:szCs w:val="21"/>
        </w:rPr>
        <w:t>金润投标人工具箱）</w:t>
      </w:r>
      <w:r>
        <w:rPr>
          <w:rFonts w:hint="eastAsia" w:ascii="宋体" w:hAnsi="宋体"/>
          <w:szCs w:val="21"/>
        </w:rPr>
        <w:t>”的程序进行固化、加密。</w:t>
      </w:r>
    </w:p>
    <w:p>
      <w:pPr>
        <w:adjustRightInd w:val="0"/>
        <w:snapToGrid w:val="0"/>
        <w:spacing w:line="360" w:lineRule="auto"/>
        <w:ind w:firstLine="420" w:firstLineChars="200"/>
        <w:rPr>
          <w:rFonts w:ascii="宋体" w:hAnsi="宋体"/>
          <w:szCs w:val="21"/>
        </w:rPr>
      </w:pPr>
      <w:r>
        <w:rPr>
          <w:rFonts w:hint="eastAsia" w:ascii="宋体" w:hAnsi="宋体"/>
          <w:szCs w:val="21"/>
        </w:rPr>
        <w:t>20</w:t>
      </w:r>
      <w:r>
        <w:rPr>
          <w:rFonts w:ascii="宋体" w:hAnsi="宋体"/>
          <w:szCs w:val="21"/>
        </w:rPr>
        <w:t>.2</w:t>
      </w:r>
      <w:r>
        <w:rPr>
          <w:rFonts w:hint="eastAsia" w:ascii="宋体" w:hAnsi="宋体"/>
        </w:rPr>
        <w:t>“电子标书软件加密锁” 具有唯一性，仅限于本单位在电子化招标投标活动中使用，不得转让和出借；</w:t>
      </w:r>
    </w:p>
    <w:p>
      <w:pPr>
        <w:adjustRightInd w:val="0"/>
        <w:snapToGrid w:val="0"/>
        <w:spacing w:line="360" w:lineRule="auto"/>
        <w:ind w:firstLine="420" w:firstLineChars="200"/>
        <w:rPr>
          <w:rFonts w:ascii="宋体" w:hAnsi="宋体"/>
          <w:szCs w:val="21"/>
        </w:rPr>
      </w:pPr>
      <w:r>
        <w:rPr>
          <w:rFonts w:hint="eastAsia" w:ascii="宋体" w:hAnsi="宋体"/>
          <w:szCs w:val="21"/>
        </w:rPr>
        <w:t>20</w:t>
      </w:r>
      <w:r>
        <w:rPr>
          <w:rFonts w:ascii="宋体" w:hAnsi="宋体"/>
          <w:szCs w:val="21"/>
        </w:rPr>
        <w:t>.</w:t>
      </w:r>
      <w:r>
        <w:rPr>
          <w:rFonts w:hint="eastAsia" w:ascii="宋体" w:hAnsi="宋体"/>
          <w:szCs w:val="21"/>
        </w:rPr>
        <w:t>3</w:t>
      </w:r>
      <w:r>
        <w:rPr>
          <w:rFonts w:hint="eastAsia" w:ascii="宋体" w:hAnsi="宋体"/>
        </w:rPr>
        <w:t>投标人在编辑投标文件时，在投标文件目录中属于本节点内容的必须上传或填写在本节点的对应位置，未按要求填写或上传的，相应责任由投标人自行承担</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rPr>
        <w:t>20.4投标书编写完成后，必须用本系统自带的电子密钥进行加密，如果误选了非本项目的规则文件导致不能在开标时解密投标文件，该投标文件将被电子开标系统拒绝，将导致投标文件无效。</w:t>
      </w:r>
    </w:p>
    <w:p>
      <w:pPr>
        <w:adjustRightInd w:val="0"/>
        <w:snapToGrid w:val="0"/>
        <w:spacing w:line="360" w:lineRule="auto"/>
        <w:ind w:firstLine="420" w:firstLineChars="200"/>
        <w:rPr>
          <w:rFonts w:ascii="宋体" w:hAnsi="宋体"/>
          <w:szCs w:val="21"/>
        </w:rPr>
      </w:pPr>
      <w:r>
        <w:rPr>
          <w:rFonts w:hint="eastAsia" w:ascii="宋体" w:hAnsi="宋体"/>
        </w:rPr>
        <w:t>20.5如果开标时出现网络故障、技术故障，影响了招投标活动，采购人可采取措施如延期、延长上传的投标书和解密时间等，以保障招投标活动的公开、公平和公正，投标人不得对此持有异议</w:t>
      </w:r>
      <w:r>
        <w:rPr>
          <w:rFonts w:ascii="宋体" w:hAnsi="宋体"/>
        </w:rPr>
        <w:t>。</w:t>
      </w:r>
    </w:p>
    <w:p>
      <w:pPr>
        <w:adjustRightInd w:val="0"/>
        <w:snapToGrid w:val="0"/>
        <w:spacing w:line="360" w:lineRule="auto"/>
        <w:rPr>
          <w:rFonts w:ascii="宋体" w:hAnsi="宋体"/>
          <w:b/>
          <w:bCs/>
          <w:sz w:val="24"/>
        </w:rPr>
      </w:pPr>
      <w:r>
        <w:rPr>
          <w:rFonts w:hint="eastAsia" w:ascii="宋体" w:hAnsi="宋体"/>
          <w:b/>
          <w:bCs/>
          <w:sz w:val="24"/>
        </w:rPr>
        <w:t>21. 投标文件的递交</w:t>
      </w:r>
    </w:p>
    <w:p>
      <w:pPr>
        <w:adjustRightInd w:val="0"/>
        <w:snapToGrid w:val="0"/>
        <w:spacing w:line="360" w:lineRule="auto"/>
        <w:ind w:firstLine="420" w:firstLineChars="200"/>
        <w:rPr>
          <w:rFonts w:ascii="宋体" w:hAnsi="宋体"/>
          <w:szCs w:val="21"/>
        </w:rPr>
      </w:pPr>
      <w:r>
        <w:rPr>
          <w:rFonts w:hint="eastAsia" w:ascii="宋体" w:hAnsi="宋体"/>
          <w:szCs w:val="21"/>
        </w:rPr>
        <w:t>21.1</w:t>
      </w:r>
      <w:r>
        <w:rPr>
          <w:rStyle w:val="114"/>
          <w:rFonts w:ascii="宋体" w:hAnsi="宋体"/>
          <w:szCs w:val="21"/>
        </w:rPr>
        <w:t>实行网上投标，</w:t>
      </w:r>
      <w:r>
        <w:rPr>
          <w:rFonts w:ascii="宋体" w:hAnsi="宋体"/>
        </w:rPr>
        <w:t>投标人必须</w:t>
      </w:r>
      <w:r>
        <w:rPr>
          <w:rFonts w:hint="eastAsia" w:ascii="宋体" w:hAnsi="宋体"/>
        </w:rPr>
        <w:t>在</w:t>
      </w:r>
      <w:r>
        <w:rPr>
          <w:rFonts w:ascii="宋体" w:hAnsi="宋体"/>
        </w:rPr>
        <w:t>采购文件规定的投标截止时间前完成</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21.2</w:t>
      </w:r>
      <w:r>
        <w:rPr>
          <w:rFonts w:ascii="宋体" w:hAnsi="宋体"/>
        </w:rPr>
        <w:t>按本</w:t>
      </w:r>
      <w:r>
        <w:rPr>
          <w:rFonts w:hint="eastAsia" w:ascii="宋体" w:hAnsi="宋体"/>
        </w:rPr>
        <w:t>章</w:t>
      </w:r>
      <w:r>
        <w:rPr>
          <w:rFonts w:ascii="宋体" w:hAnsi="宋体"/>
        </w:rPr>
        <w:t>第</w:t>
      </w:r>
      <w:r>
        <w:rPr>
          <w:rFonts w:hint="eastAsia" w:ascii="宋体" w:hAnsi="宋体"/>
        </w:rPr>
        <w:t>9</w:t>
      </w:r>
      <w:r>
        <w:rPr>
          <w:rFonts w:ascii="宋体" w:hAnsi="宋体"/>
        </w:rPr>
        <w:t>条规定，招标文件发生实质性修改后，投标人须撤回原电子投标文件，根据最新招标文件重新制作投标文件并再次上传。</w:t>
      </w:r>
    </w:p>
    <w:p>
      <w:pPr>
        <w:adjustRightInd w:val="0"/>
        <w:snapToGrid w:val="0"/>
        <w:spacing w:line="360" w:lineRule="auto"/>
        <w:ind w:firstLine="420" w:firstLineChars="200"/>
        <w:rPr>
          <w:rFonts w:ascii="宋体" w:hAnsi="宋体"/>
          <w:bCs/>
          <w:szCs w:val="21"/>
        </w:rPr>
      </w:pPr>
      <w:r>
        <w:rPr>
          <w:rFonts w:hint="eastAsia" w:ascii="宋体" w:hAnsi="宋体"/>
          <w:szCs w:val="21"/>
        </w:rPr>
        <w:t>21.3</w:t>
      </w:r>
      <w:r>
        <w:rPr>
          <w:rFonts w:ascii="宋体" w:hAnsi="宋体"/>
        </w:rPr>
        <w:t>投标截止时间</w:t>
      </w:r>
      <w:r>
        <w:rPr>
          <w:rFonts w:hint="eastAsia" w:ascii="宋体" w:hAnsi="宋体"/>
        </w:rPr>
        <w:t>到达以后不再接收</w:t>
      </w:r>
      <w:r>
        <w:rPr>
          <w:rFonts w:ascii="宋体" w:hAnsi="宋体"/>
        </w:rPr>
        <w:t>投标文件。</w:t>
      </w:r>
    </w:p>
    <w:p>
      <w:pPr>
        <w:adjustRightInd w:val="0"/>
        <w:snapToGrid w:val="0"/>
        <w:spacing w:line="360" w:lineRule="auto"/>
        <w:rPr>
          <w:rFonts w:ascii="宋体" w:hAnsi="宋体"/>
          <w:b/>
          <w:bCs/>
          <w:sz w:val="24"/>
        </w:rPr>
      </w:pPr>
      <w:r>
        <w:rPr>
          <w:rFonts w:hint="eastAsia" w:ascii="宋体" w:hAnsi="宋体"/>
          <w:b/>
          <w:bCs/>
          <w:sz w:val="24"/>
        </w:rPr>
        <w:t>22. 投标文件的修改和撤回</w:t>
      </w:r>
    </w:p>
    <w:p>
      <w:pPr>
        <w:adjustRightInd w:val="0"/>
        <w:snapToGrid w:val="0"/>
        <w:spacing w:line="360" w:lineRule="auto"/>
        <w:ind w:firstLine="420" w:firstLineChars="200"/>
        <w:rPr>
          <w:rFonts w:ascii="宋体" w:hAnsi="宋体"/>
          <w:szCs w:val="21"/>
        </w:rPr>
      </w:pPr>
      <w:r>
        <w:rPr>
          <w:rFonts w:hint="eastAsia" w:ascii="宋体" w:hAnsi="宋体"/>
          <w:szCs w:val="21"/>
        </w:rPr>
        <w:t>22.1投标人</w:t>
      </w:r>
      <w:r>
        <w:rPr>
          <w:rFonts w:hint="eastAsia" w:ascii="宋体" w:hAnsi="宋体"/>
        </w:rPr>
        <w:t>在提交电子投标文件后可对其投标文件进行修改并重新上传投标文件或在网上进行撤销投标的操作。</w:t>
      </w:r>
    </w:p>
    <w:p>
      <w:pPr>
        <w:adjustRightInd w:val="0"/>
        <w:snapToGrid w:val="0"/>
        <w:spacing w:line="360" w:lineRule="auto"/>
        <w:ind w:firstLine="420" w:firstLineChars="200"/>
        <w:rPr>
          <w:rFonts w:ascii="宋体" w:hAnsi="宋体"/>
          <w:szCs w:val="21"/>
        </w:rPr>
      </w:pPr>
      <w:r>
        <w:rPr>
          <w:rFonts w:hint="eastAsia" w:ascii="宋体" w:hAnsi="宋体"/>
          <w:szCs w:val="21"/>
        </w:rPr>
        <w:t>22.2</w:t>
      </w:r>
      <w:r>
        <w:rPr>
          <w:rFonts w:hint="eastAsia" w:ascii="宋体" w:hAnsi="宋体"/>
        </w:rPr>
        <w:t>投标截止时间以后不得修改投标文件。</w:t>
      </w:r>
    </w:p>
    <w:p>
      <w:pPr>
        <w:adjustRightInd w:val="0"/>
        <w:snapToGrid w:val="0"/>
        <w:spacing w:line="360" w:lineRule="auto"/>
        <w:rPr>
          <w:rFonts w:ascii="宋体" w:hAnsi="宋体" w:cs="Arial"/>
          <w:b/>
          <w:sz w:val="24"/>
        </w:rPr>
      </w:pPr>
      <w:r>
        <w:rPr>
          <w:rFonts w:hint="eastAsia" w:ascii="宋体" w:hAnsi="宋体"/>
          <w:b/>
          <w:bCs/>
          <w:sz w:val="24"/>
        </w:rPr>
        <w:t>23.</w:t>
      </w:r>
      <w:r>
        <w:rPr>
          <w:rFonts w:hint="eastAsia" w:ascii="宋体" w:hAnsi="宋体" w:cs="Arial"/>
          <w:b/>
          <w:sz w:val="24"/>
        </w:rPr>
        <w:t xml:space="preserve"> 串通</w:t>
      </w:r>
      <w:r>
        <w:rPr>
          <w:rFonts w:hint="eastAsia" w:ascii="宋体" w:hAnsi="宋体"/>
          <w:b/>
          <w:sz w:val="24"/>
        </w:rPr>
        <w:t>投标行为</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23.1有下列情形之一的，属于恶意串通，对投标人依照政府采购法第七十七条第一款的规定追究法律责任：</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（2）投标人按照采购人或者采购代理机构的授意撤换、修改投标文件；</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（3）投标人之间协商报价、技术方案等投标文件的实质性内容；</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（5）投标人之间事先约定由某一特定投标人中标；</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（6）投标人之间商定部分投标人放弃参加政府采购活动或者放弃中标；</w:t>
      </w:r>
    </w:p>
    <w:p>
      <w:pPr>
        <w:adjustRightInd w:val="0"/>
        <w:snapToGrid w:val="0"/>
        <w:spacing w:line="360" w:lineRule="auto"/>
        <w:ind w:firstLine="396" w:firstLineChars="200"/>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pPr>
        <w:adjustRightInd w:val="0"/>
        <w:snapToGrid w:val="0"/>
        <w:spacing w:line="360" w:lineRule="auto"/>
        <w:ind w:firstLine="420" w:firstLineChars="200"/>
        <w:rPr>
          <w:rFonts w:ascii="宋体" w:hAnsi="宋体"/>
          <w:szCs w:val="21"/>
        </w:rPr>
      </w:pPr>
      <w:r>
        <w:rPr>
          <w:rFonts w:hint="eastAsia" w:ascii="宋体" w:hAnsi="宋体"/>
          <w:szCs w:val="21"/>
        </w:rPr>
        <w:t>23.2有下列情形之一的，视为投标人串通投标，其</w:t>
      </w:r>
      <w:r>
        <w:rPr>
          <w:rFonts w:hint="eastAsia" w:ascii="宋体" w:hAnsi="宋体"/>
          <w:b/>
          <w:szCs w:val="21"/>
        </w:rPr>
        <w:t>投标无效</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（1）不同投标人的投标文件由同一单位或者个人编制；</w:t>
      </w:r>
    </w:p>
    <w:p>
      <w:pPr>
        <w:adjustRightInd w:val="0"/>
        <w:snapToGrid w:val="0"/>
        <w:spacing w:line="360" w:lineRule="auto"/>
        <w:ind w:firstLine="420" w:firstLineChars="200"/>
        <w:rPr>
          <w:rFonts w:ascii="宋体" w:hAnsi="宋体"/>
          <w:szCs w:val="21"/>
        </w:rPr>
      </w:pPr>
      <w:r>
        <w:rPr>
          <w:rFonts w:hint="eastAsia" w:ascii="宋体" w:hAnsi="宋体"/>
          <w:szCs w:val="21"/>
        </w:rPr>
        <w:t>（2）不同投标人委托同一单位或者个人办理投标事宜；</w:t>
      </w:r>
    </w:p>
    <w:p>
      <w:pPr>
        <w:adjustRightInd w:val="0"/>
        <w:snapToGrid w:val="0"/>
        <w:spacing w:line="360" w:lineRule="auto"/>
        <w:ind w:firstLine="420" w:firstLineChars="200"/>
        <w:rPr>
          <w:rFonts w:ascii="宋体" w:hAnsi="宋体"/>
          <w:szCs w:val="21"/>
        </w:rPr>
      </w:pPr>
      <w:r>
        <w:rPr>
          <w:rFonts w:hint="eastAsia" w:ascii="宋体" w:hAnsi="宋体"/>
          <w:szCs w:val="21"/>
        </w:rPr>
        <w:t>（3）不同投标人的投标文件载明的项目管理成员或者联系人员为同一人；</w:t>
      </w:r>
    </w:p>
    <w:p>
      <w:pPr>
        <w:adjustRightInd w:val="0"/>
        <w:snapToGrid w:val="0"/>
        <w:spacing w:line="360" w:lineRule="auto"/>
        <w:ind w:firstLine="420" w:firstLineChars="200"/>
        <w:rPr>
          <w:rFonts w:ascii="宋体" w:hAnsi="宋体"/>
          <w:szCs w:val="21"/>
        </w:rPr>
      </w:pPr>
      <w:r>
        <w:rPr>
          <w:rFonts w:hint="eastAsia" w:ascii="宋体" w:hAnsi="宋体"/>
          <w:szCs w:val="21"/>
        </w:rPr>
        <w:t>（4）不同投标人的投标文件异常一致或者投标报价呈规律性差异；</w:t>
      </w:r>
    </w:p>
    <w:p>
      <w:pPr>
        <w:adjustRightInd w:val="0"/>
        <w:snapToGrid w:val="0"/>
        <w:spacing w:line="360" w:lineRule="auto"/>
        <w:ind w:firstLine="420" w:firstLineChars="200"/>
        <w:rPr>
          <w:rFonts w:ascii="宋体" w:hAnsi="宋体"/>
          <w:szCs w:val="21"/>
        </w:rPr>
      </w:pPr>
      <w:r>
        <w:rPr>
          <w:rFonts w:hint="eastAsia" w:ascii="宋体" w:hAnsi="宋体"/>
          <w:szCs w:val="21"/>
        </w:rPr>
        <w:t>（5）不同投标人的投标文件相互混装。</w:t>
      </w:r>
    </w:p>
    <w:p>
      <w:pPr>
        <w:pStyle w:val="5"/>
        <w:adjustRightInd w:val="0"/>
        <w:snapToGrid w:val="0"/>
        <w:spacing w:before="156" w:beforeLines="50" w:after="0" w:line="360" w:lineRule="auto"/>
        <w:jc w:val="center"/>
        <w:rPr>
          <w:rFonts w:ascii="黑体" w:hAnsi="黑体" w:eastAsia="黑体"/>
          <w:sz w:val="28"/>
          <w:szCs w:val="28"/>
        </w:rPr>
      </w:pPr>
      <w:bookmarkStart w:id="156" w:name="_Toc77676472"/>
      <w:bookmarkStart w:id="157" w:name="_Toc16138"/>
      <w:bookmarkStart w:id="158" w:name="_Toc100670427"/>
      <w:bookmarkStart w:id="159" w:name="_Toc78314268"/>
      <w:bookmarkStart w:id="160" w:name="_Toc6583"/>
      <w:bookmarkStart w:id="161" w:name="_Toc108341943"/>
      <w:bookmarkStart w:id="162" w:name="_Toc85972936"/>
      <w:bookmarkStart w:id="163" w:name="_Toc100670674"/>
      <w:bookmarkStart w:id="164" w:name="_Toc95601371"/>
      <w:bookmarkStart w:id="165" w:name="_Toc75289554"/>
      <w:bookmarkStart w:id="166" w:name="_Toc4716"/>
      <w:bookmarkStart w:id="167" w:name="_Toc77199405"/>
      <w:bookmarkStart w:id="168" w:name="_Toc94367886"/>
      <w:bookmarkStart w:id="169" w:name="_Toc78449961"/>
      <w:bookmarkStart w:id="170" w:name="_Toc3375"/>
      <w:bookmarkStart w:id="171" w:name="_Toc9152"/>
      <w:bookmarkStart w:id="172" w:name="_Toc15888491"/>
      <w:bookmarkStart w:id="173" w:name="_Toc75289232"/>
      <w:bookmarkStart w:id="174" w:name="_Toc112594263"/>
      <w:r>
        <w:rPr>
          <w:rFonts w:hint="eastAsia" w:ascii="黑体" w:hAnsi="黑体" w:eastAsia="黑体"/>
          <w:sz w:val="28"/>
          <w:szCs w:val="28"/>
        </w:rPr>
        <w:t>五、开标，资格审查和评标</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adjustRightInd w:val="0"/>
        <w:snapToGrid w:val="0"/>
        <w:spacing w:line="360" w:lineRule="auto"/>
        <w:rPr>
          <w:rFonts w:ascii="宋体" w:hAnsi="宋体"/>
          <w:b/>
          <w:bCs/>
          <w:sz w:val="24"/>
        </w:rPr>
      </w:pPr>
      <w:r>
        <w:rPr>
          <w:rFonts w:hint="eastAsia" w:ascii="宋体" w:hAnsi="宋体"/>
          <w:b/>
          <w:bCs/>
          <w:sz w:val="24"/>
        </w:rPr>
        <w:t>24. 开标</w:t>
      </w:r>
    </w:p>
    <w:p>
      <w:pPr>
        <w:adjustRightInd w:val="0"/>
        <w:snapToGrid w:val="0"/>
        <w:spacing w:line="360" w:lineRule="auto"/>
        <w:ind w:firstLine="420" w:firstLineChars="200"/>
        <w:rPr>
          <w:rFonts w:ascii="宋体" w:hAnsi="宋体"/>
          <w:szCs w:val="21"/>
        </w:rPr>
      </w:pPr>
      <w:r>
        <w:rPr>
          <w:rFonts w:hint="eastAsia" w:ascii="宋体" w:hAnsi="宋体"/>
          <w:szCs w:val="21"/>
        </w:rPr>
        <w:t>24.1采购人、采购代理机构按</w:t>
      </w:r>
      <w:r>
        <w:rPr>
          <w:rFonts w:hint="eastAsia" w:ascii="宋体" w:hAnsi="宋体"/>
          <w:b/>
          <w:szCs w:val="21"/>
        </w:rPr>
        <w:t>【投标须知前附表】</w:t>
      </w:r>
      <w:r>
        <w:rPr>
          <w:rFonts w:hint="eastAsia" w:ascii="宋体" w:hAnsi="宋体"/>
          <w:szCs w:val="21"/>
        </w:rPr>
        <w:t>的规定组织网上开标，并邀请投标人网上参加。投标人未按时解密的视为自动放弃。</w:t>
      </w:r>
    </w:p>
    <w:p>
      <w:pPr>
        <w:adjustRightInd w:val="0"/>
        <w:snapToGrid w:val="0"/>
        <w:spacing w:line="360" w:lineRule="auto"/>
        <w:ind w:firstLine="420" w:firstLineChars="200"/>
        <w:rPr>
          <w:rFonts w:ascii="宋体" w:hAnsi="宋体"/>
          <w:szCs w:val="21"/>
        </w:rPr>
      </w:pPr>
      <w:r>
        <w:rPr>
          <w:rFonts w:hint="eastAsia" w:ascii="宋体" w:hAnsi="宋体"/>
          <w:szCs w:val="21"/>
        </w:rPr>
        <w:t>24.2开标时，由系统宣读投标人名称、投标价格和</w:t>
      </w:r>
      <w:r>
        <w:rPr>
          <w:rFonts w:hint="eastAsia" w:ascii="宋体" w:hAnsi="宋体"/>
          <w:b/>
          <w:szCs w:val="21"/>
        </w:rPr>
        <w:t>【投标须知前附表】</w:t>
      </w:r>
      <w:r>
        <w:rPr>
          <w:rFonts w:hint="eastAsia" w:ascii="宋体" w:hAnsi="宋体"/>
          <w:szCs w:val="21"/>
        </w:rPr>
        <w:t>规定需要宣布的其他内容。投标人不足3家的，不得开标。</w:t>
      </w:r>
    </w:p>
    <w:p>
      <w:pPr>
        <w:adjustRightInd w:val="0"/>
        <w:snapToGrid w:val="0"/>
        <w:spacing w:line="360" w:lineRule="auto"/>
        <w:ind w:firstLine="420" w:firstLineChars="200"/>
        <w:rPr>
          <w:rFonts w:ascii="宋体" w:hAnsi="宋体"/>
          <w:szCs w:val="21"/>
        </w:rPr>
      </w:pPr>
      <w:r>
        <w:rPr>
          <w:rFonts w:hint="eastAsia" w:ascii="宋体" w:hAnsi="宋体"/>
          <w:szCs w:val="21"/>
        </w:rPr>
        <w:t>24.3开标过程由系统自动生成，采购人、采购代理机构签字后随采购文件一并存档。</w:t>
      </w:r>
    </w:p>
    <w:p>
      <w:pPr>
        <w:adjustRightInd w:val="0"/>
        <w:snapToGrid w:val="0"/>
        <w:spacing w:line="360" w:lineRule="auto"/>
        <w:ind w:firstLine="420" w:firstLineChars="200"/>
        <w:rPr>
          <w:rFonts w:ascii="宋体" w:hAnsi="宋体"/>
          <w:szCs w:val="21"/>
        </w:rPr>
      </w:pPr>
      <w:r>
        <w:rPr>
          <w:rFonts w:hint="eastAsia" w:ascii="宋体" w:hAnsi="宋体"/>
          <w:szCs w:val="21"/>
        </w:rPr>
        <w:t>24.4投标人对开标过程和开标记录有疑义，以及认为采购人、采购代理机构相关工作人员有《政府采购法实施条例》第九条第一款需要回避的情形的，可以提出询问或者回避申请。</w:t>
      </w:r>
    </w:p>
    <w:p>
      <w:pPr>
        <w:adjustRightInd w:val="0"/>
        <w:snapToGrid w:val="0"/>
        <w:spacing w:line="360" w:lineRule="auto"/>
        <w:ind w:firstLine="420" w:firstLineChars="200"/>
        <w:rPr>
          <w:rFonts w:ascii="宋体" w:hAnsi="宋体"/>
          <w:szCs w:val="21"/>
        </w:rPr>
      </w:pPr>
      <w:r>
        <w:rPr>
          <w:rFonts w:hint="eastAsia" w:ascii="宋体" w:hAnsi="宋体"/>
          <w:szCs w:val="21"/>
        </w:rPr>
        <w:t>24.5采购人、采购代理机构对投标人提出的询问或者回避申请，按《政府采购法实施条例》有关规定及时处理。</w:t>
      </w:r>
    </w:p>
    <w:p>
      <w:pPr>
        <w:adjustRightInd w:val="0"/>
        <w:snapToGrid w:val="0"/>
        <w:spacing w:line="360" w:lineRule="auto"/>
        <w:rPr>
          <w:rFonts w:ascii="宋体" w:hAnsi="宋体"/>
          <w:b/>
          <w:sz w:val="24"/>
        </w:rPr>
      </w:pPr>
      <w:r>
        <w:rPr>
          <w:rStyle w:val="51"/>
          <w:rFonts w:hint="eastAsia" w:ascii="宋体" w:hAnsi="宋体" w:cs="Arial"/>
          <w:sz w:val="24"/>
        </w:rPr>
        <w:t>25.</w:t>
      </w:r>
      <w:r>
        <w:rPr>
          <w:rFonts w:hint="eastAsia" w:ascii="宋体" w:hAnsi="宋体"/>
          <w:b/>
          <w:sz w:val="24"/>
        </w:rPr>
        <w:t xml:space="preserve"> 资格审查</w:t>
      </w:r>
    </w:p>
    <w:p>
      <w:pPr>
        <w:adjustRightInd w:val="0"/>
        <w:snapToGrid w:val="0"/>
        <w:spacing w:line="360" w:lineRule="auto"/>
        <w:ind w:firstLine="420" w:firstLineChars="200"/>
        <w:rPr>
          <w:rFonts w:ascii="宋体" w:hAnsi="宋体"/>
          <w:szCs w:val="21"/>
        </w:rPr>
      </w:pPr>
      <w:r>
        <w:rPr>
          <w:rFonts w:hint="eastAsia" w:ascii="宋体" w:hAnsi="宋体"/>
          <w:szCs w:val="21"/>
        </w:rPr>
        <w:t>25.1开标结束后，采购人、采购代理机构依法按照第三章“资格审查”规定组织资格审查。</w:t>
      </w:r>
    </w:p>
    <w:p>
      <w:pPr>
        <w:adjustRightInd w:val="0"/>
        <w:snapToGrid w:val="0"/>
        <w:spacing w:line="360" w:lineRule="auto"/>
        <w:ind w:firstLine="420" w:firstLineChars="200"/>
        <w:rPr>
          <w:rFonts w:ascii="宋体" w:hAnsi="宋体"/>
          <w:szCs w:val="21"/>
        </w:rPr>
      </w:pPr>
      <w:r>
        <w:rPr>
          <w:rFonts w:hint="eastAsia" w:ascii="宋体" w:hAnsi="宋体"/>
          <w:szCs w:val="21"/>
        </w:rPr>
        <w:t>25.2资格审查结束后，采购人、采购代理机构应将资格审查结果告知评标委员会。资格审查不合格投标人不进入评标；资格审查合格投标人少于3家的，不得评标。</w:t>
      </w:r>
    </w:p>
    <w:p>
      <w:pPr>
        <w:adjustRightInd w:val="0"/>
        <w:snapToGrid w:val="0"/>
        <w:spacing w:line="360" w:lineRule="auto"/>
        <w:rPr>
          <w:rFonts w:ascii="宋体" w:hAnsi="宋体"/>
          <w:b/>
          <w:sz w:val="24"/>
        </w:rPr>
      </w:pPr>
      <w:r>
        <w:rPr>
          <w:rFonts w:hint="eastAsia" w:ascii="宋体" w:hAnsi="宋体"/>
          <w:b/>
          <w:bCs/>
          <w:sz w:val="24"/>
        </w:rPr>
        <w:t>26.</w:t>
      </w:r>
      <w:r>
        <w:rPr>
          <w:rFonts w:hint="eastAsia" w:ascii="宋体" w:hAnsi="宋体"/>
          <w:b/>
          <w:sz w:val="24"/>
        </w:rPr>
        <w:t xml:space="preserve"> 评标委员会</w:t>
      </w:r>
    </w:p>
    <w:p>
      <w:pPr>
        <w:adjustRightInd w:val="0"/>
        <w:snapToGrid w:val="0"/>
        <w:spacing w:line="360" w:lineRule="auto"/>
        <w:ind w:firstLine="420" w:firstLineChars="200"/>
        <w:rPr>
          <w:rFonts w:ascii="宋体" w:hAnsi="宋体"/>
          <w:szCs w:val="21"/>
        </w:rPr>
      </w:pPr>
      <w:r>
        <w:rPr>
          <w:rFonts w:hint="eastAsia" w:ascii="宋体" w:hAnsi="宋体"/>
          <w:szCs w:val="21"/>
        </w:rPr>
        <w:t>26.1评标由依法组建的评标委员会负责，评标委员会由采购人代表和评审专家</w:t>
      </w:r>
      <w:r>
        <w:rPr>
          <w:rFonts w:hint="eastAsia" w:ascii="宋体" w:hAnsi="宋体" w:cs="宋体"/>
          <w:szCs w:val="21"/>
        </w:rPr>
        <w:t>组成</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26.2评标委员会成员有下列情形之一的，应当回避：</w:t>
      </w:r>
    </w:p>
    <w:p>
      <w:pPr>
        <w:adjustRightInd w:val="0"/>
        <w:snapToGrid w:val="0"/>
        <w:spacing w:line="360" w:lineRule="auto"/>
        <w:ind w:firstLine="420" w:firstLineChars="200"/>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pPr>
        <w:adjustRightInd w:val="0"/>
        <w:snapToGrid w:val="0"/>
        <w:spacing w:line="360" w:lineRule="auto"/>
        <w:ind w:firstLine="420" w:firstLineChars="200"/>
        <w:rPr>
          <w:rFonts w:ascii="宋体" w:hAnsi="宋体"/>
          <w:szCs w:val="21"/>
        </w:rPr>
      </w:pPr>
      <w:r>
        <w:rPr>
          <w:rFonts w:hint="eastAsia" w:ascii="宋体" w:hAnsi="宋体"/>
          <w:szCs w:val="21"/>
        </w:rPr>
        <w:t>（2）与投标人的法定代表人或者负责人有夫妻、直系血亲、三代以内旁系血亲或者近姻亲关系；</w:t>
      </w:r>
    </w:p>
    <w:p>
      <w:pPr>
        <w:adjustRightInd w:val="0"/>
        <w:snapToGrid w:val="0"/>
        <w:spacing w:line="360" w:lineRule="auto"/>
        <w:ind w:firstLine="420" w:firstLineChars="200"/>
        <w:rPr>
          <w:rFonts w:ascii="宋体" w:hAnsi="宋体"/>
          <w:szCs w:val="21"/>
        </w:rPr>
      </w:pPr>
      <w:r>
        <w:rPr>
          <w:rFonts w:hint="eastAsia" w:ascii="宋体" w:hAnsi="宋体"/>
          <w:szCs w:val="21"/>
        </w:rPr>
        <w:t>（3）与投标人有其他可能影响政府采购活动公平、公正进行的关系。</w:t>
      </w:r>
    </w:p>
    <w:p>
      <w:pPr>
        <w:adjustRightInd w:val="0"/>
        <w:snapToGrid w:val="0"/>
        <w:spacing w:line="360" w:lineRule="auto"/>
        <w:ind w:firstLine="420" w:firstLineChars="200"/>
        <w:rPr>
          <w:rFonts w:ascii="宋体" w:hAnsi="宋体"/>
          <w:szCs w:val="21"/>
        </w:rPr>
      </w:pPr>
      <w:r>
        <w:rPr>
          <w:rFonts w:hint="eastAsia" w:ascii="宋体" w:hAnsi="宋体"/>
          <w:szCs w:val="21"/>
        </w:rPr>
        <w:t>26.3评标委员会负责具体评标事务，并独立履行下列职责：</w:t>
      </w:r>
    </w:p>
    <w:p>
      <w:pPr>
        <w:adjustRightInd w:val="0"/>
        <w:snapToGrid w:val="0"/>
        <w:spacing w:line="360" w:lineRule="auto"/>
        <w:ind w:firstLine="420" w:firstLineChars="200"/>
        <w:rPr>
          <w:rFonts w:ascii="宋体" w:hAnsi="宋体"/>
          <w:szCs w:val="21"/>
        </w:rPr>
      </w:pPr>
      <w:r>
        <w:rPr>
          <w:rFonts w:hint="eastAsia" w:ascii="宋体" w:hAnsi="宋体"/>
          <w:szCs w:val="21"/>
        </w:rPr>
        <w:t>（1）审查、评价投标文件是否符合招标文件的商务、技术等实质性要求；</w:t>
      </w:r>
    </w:p>
    <w:p>
      <w:pPr>
        <w:adjustRightInd w:val="0"/>
        <w:snapToGrid w:val="0"/>
        <w:spacing w:line="360" w:lineRule="auto"/>
        <w:ind w:firstLine="420" w:firstLineChars="200"/>
        <w:rPr>
          <w:rFonts w:ascii="宋体" w:hAnsi="宋体"/>
          <w:szCs w:val="21"/>
        </w:rPr>
      </w:pPr>
      <w:r>
        <w:rPr>
          <w:rFonts w:hint="eastAsia" w:ascii="宋体" w:hAnsi="宋体"/>
          <w:szCs w:val="21"/>
        </w:rPr>
        <w:t>（2）要求投标人对投标文件有关事项作出澄清或者说明；</w:t>
      </w:r>
    </w:p>
    <w:p>
      <w:pPr>
        <w:adjustRightInd w:val="0"/>
        <w:snapToGrid w:val="0"/>
        <w:spacing w:line="360" w:lineRule="auto"/>
        <w:ind w:firstLine="420" w:firstLineChars="200"/>
        <w:rPr>
          <w:rFonts w:ascii="宋体" w:hAnsi="宋体"/>
          <w:szCs w:val="21"/>
        </w:rPr>
      </w:pPr>
      <w:r>
        <w:rPr>
          <w:rFonts w:hint="eastAsia" w:ascii="宋体" w:hAnsi="宋体"/>
          <w:szCs w:val="21"/>
        </w:rPr>
        <w:t>（3）对投标文件进行比较和评价；</w:t>
      </w:r>
    </w:p>
    <w:p>
      <w:pPr>
        <w:adjustRightInd w:val="0"/>
        <w:snapToGrid w:val="0"/>
        <w:spacing w:line="360" w:lineRule="auto"/>
        <w:ind w:firstLine="420" w:firstLineChars="200"/>
        <w:rPr>
          <w:rFonts w:ascii="宋体" w:hAnsi="宋体"/>
          <w:szCs w:val="21"/>
        </w:rPr>
      </w:pPr>
      <w:r>
        <w:rPr>
          <w:rFonts w:hint="eastAsia" w:ascii="宋体" w:hAnsi="宋体"/>
          <w:szCs w:val="21"/>
        </w:rPr>
        <w:t>（4）确定中标候选人名单，以及根据采购人委托直接确定中标人。</w:t>
      </w:r>
    </w:p>
    <w:p>
      <w:pPr>
        <w:adjustRightInd w:val="0"/>
        <w:snapToGrid w:val="0"/>
        <w:spacing w:line="360" w:lineRule="auto"/>
        <w:rPr>
          <w:rFonts w:ascii="宋体" w:hAnsi="宋体"/>
          <w:b/>
          <w:bCs/>
          <w:sz w:val="24"/>
        </w:rPr>
      </w:pPr>
      <w:r>
        <w:rPr>
          <w:rFonts w:hint="eastAsia" w:ascii="宋体" w:hAnsi="宋体"/>
          <w:b/>
          <w:sz w:val="24"/>
        </w:rPr>
        <w:t>27.</w:t>
      </w:r>
      <w:r>
        <w:rPr>
          <w:rFonts w:hint="eastAsia" w:ascii="宋体" w:hAnsi="宋体"/>
          <w:b/>
          <w:bCs/>
          <w:sz w:val="24"/>
        </w:rPr>
        <w:t xml:space="preserve"> 评标</w:t>
      </w:r>
    </w:p>
    <w:p>
      <w:pPr>
        <w:adjustRightInd w:val="0"/>
        <w:snapToGrid w:val="0"/>
        <w:spacing w:line="360" w:lineRule="auto"/>
        <w:ind w:firstLine="420" w:firstLineChars="200"/>
        <w:rPr>
          <w:rFonts w:ascii="宋体" w:hAnsi="宋体"/>
        </w:rPr>
      </w:pPr>
      <w:r>
        <w:rPr>
          <w:rFonts w:hint="eastAsia" w:ascii="宋体" w:hAnsi="宋体"/>
        </w:rPr>
        <w:t>27.1评标委员会按照</w:t>
      </w:r>
      <w:r>
        <w:rPr>
          <w:rFonts w:hint="eastAsia" w:ascii="宋体" w:hAnsi="宋体"/>
          <w:bCs/>
        </w:rPr>
        <w:t>第四章“评标方法及标准”</w:t>
      </w:r>
      <w:r>
        <w:rPr>
          <w:rFonts w:hint="eastAsia" w:ascii="宋体" w:hAnsi="宋体"/>
        </w:rPr>
        <w:t>规定的评标方法、评审因素、标准和程序以及有关法律、法规及规章对投标文件进行评审。</w:t>
      </w:r>
    </w:p>
    <w:p>
      <w:pPr>
        <w:pStyle w:val="5"/>
        <w:adjustRightInd w:val="0"/>
        <w:snapToGrid w:val="0"/>
        <w:spacing w:before="156" w:beforeLines="50" w:after="0" w:line="360" w:lineRule="auto"/>
        <w:jc w:val="center"/>
        <w:rPr>
          <w:rFonts w:ascii="黑体" w:hAnsi="黑体" w:eastAsia="黑体"/>
          <w:sz w:val="28"/>
          <w:szCs w:val="28"/>
        </w:rPr>
      </w:pPr>
      <w:bookmarkStart w:id="175" w:name="_Toc108341944"/>
      <w:bookmarkStart w:id="176" w:name="_Toc94367887"/>
      <w:bookmarkStart w:id="177" w:name="_Toc75289555"/>
      <w:bookmarkStart w:id="178" w:name="_Toc100670675"/>
      <w:bookmarkStart w:id="179" w:name="_Toc15888492"/>
      <w:bookmarkStart w:id="180" w:name="_Toc28279"/>
      <w:bookmarkStart w:id="181" w:name="_Toc75289233"/>
      <w:bookmarkStart w:id="182" w:name="_Toc112594264"/>
      <w:bookmarkStart w:id="183" w:name="_Toc78449962"/>
      <w:bookmarkStart w:id="184" w:name="_Toc100670428"/>
      <w:bookmarkStart w:id="185" w:name="_Toc77199406"/>
      <w:bookmarkStart w:id="186" w:name="_Toc78314269"/>
      <w:bookmarkStart w:id="187" w:name="_Toc21612"/>
      <w:bookmarkStart w:id="188" w:name="_Toc23480"/>
      <w:bookmarkStart w:id="189" w:name="_Toc95601372"/>
      <w:bookmarkStart w:id="190" w:name="_Toc10530"/>
      <w:bookmarkStart w:id="191" w:name="_Toc85972937"/>
      <w:bookmarkStart w:id="192" w:name="_Toc32015"/>
      <w:bookmarkStart w:id="193" w:name="_Toc77676473"/>
      <w:r>
        <w:rPr>
          <w:rFonts w:hint="eastAsia" w:ascii="黑体" w:hAnsi="黑体" w:eastAsia="黑体"/>
          <w:sz w:val="28"/>
          <w:szCs w:val="28"/>
        </w:rPr>
        <w:t>六、中标信息公布</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adjustRightInd w:val="0"/>
        <w:snapToGrid w:val="0"/>
        <w:spacing w:line="360" w:lineRule="auto"/>
        <w:rPr>
          <w:rFonts w:ascii="宋体" w:hAnsi="宋体"/>
          <w:b/>
          <w:bCs/>
          <w:sz w:val="24"/>
        </w:rPr>
      </w:pPr>
      <w:r>
        <w:rPr>
          <w:rFonts w:hint="eastAsia" w:ascii="宋体" w:hAnsi="宋体"/>
          <w:b/>
          <w:sz w:val="24"/>
        </w:rPr>
        <w:t>28.</w:t>
      </w:r>
      <w:r>
        <w:rPr>
          <w:rFonts w:hint="eastAsia" w:ascii="宋体" w:hAnsi="宋体"/>
          <w:b/>
          <w:bCs/>
          <w:sz w:val="24"/>
        </w:rPr>
        <w:t>中标通知书与中标信息公布</w:t>
      </w:r>
    </w:p>
    <w:p>
      <w:pPr>
        <w:adjustRightInd w:val="0"/>
        <w:snapToGrid w:val="0"/>
        <w:spacing w:line="360" w:lineRule="auto"/>
        <w:ind w:firstLine="420" w:firstLineChars="200"/>
        <w:rPr>
          <w:rFonts w:ascii="宋体" w:hAnsi="宋体"/>
          <w:szCs w:val="21"/>
        </w:rPr>
      </w:pPr>
      <w:r>
        <w:rPr>
          <w:rFonts w:hint="eastAsia" w:ascii="宋体" w:hAnsi="宋体"/>
          <w:szCs w:val="21"/>
        </w:rPr>
        <w:t>28.1采购代理机构应当在评标结束后2个工作日内将评标报告送采购人。</w:t>
      </w:r>
    </w:p>
    <w:p>
      <w:pPr>
        <w:adjustRightInd w:val="0"/>
        <w:snapToGrid w:val="0"/>
        <w:spacing w:line="360" w:lineRule="auto"/>
        <w:ind w:firstLine="420" w:firstLineChars="200"/>
        <w:rPr>
          <w:rFonts w:ascii="宋体" w:hAnsi="宋体"/>
          <w:szCs w:val="21"/>
        </w:rPr>
      </w:pPr>
      <w:r>
        <w:rPr>
          <w:rFonts w:hint="eastAsia" w:ascii="宋体" w:hAnsi="宋体"/>
          <w:szCs w:val="21"/>
        </w:rPr>
        <w:t>28.2采购人应当自收到评标报告之日起5个工作日内，在评标报告确定的中标候选人名单中按顺序确定中标人。中标候选人并列的，按照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pPr>
        <w:adjustRightInd w:val="0"/>
        <w:snapToGrid w:val="0"/>
        <w:spacing w:line="360" w:lineRule="auto"/>
        <w:ind w:firstLine="420" w:firstLineChars="200"/>
        <w:rPr>
          <w:rFonts w:ascii="宋体" w:hAnsi="宋体"/>
          <w:szCs w:val="21"/>
        </w:rPr>
      </w:pPr>
      <w:r>
        <w:rPr>
          <w:rFonts w:hint="eastAsia" w:ascii="宋体" w:hAnsi="宋体"/>
          <w:szCs w:val="21"/>
        </w:rPr>
        <w:t>28.3采购人、采购代理机构应当自采购人确定中标供应商之日起2个工作日内，发出中标通知书，并在招标公告指定媒体上公告中标结果，招标文件随中标结果同时公告，中标结果公告期限为1个工作日。</w:t>
      </w:r>
    </w:p>
    <w:p>
      <w:pPr>
        <w:adjustRightInd w:val="0"/>
        <w:snapToGrid w:val="0"/>
        <w:spacing w:line="360" w:lineRule="auto"/>
        <w:rPr>
          <w:rFonts w:ascii="宋体" w:hAnsi="宋体"/>
          <w:b/>
          <w:bCs/>
          <w:sz w:val="24"/>
        </w:rPr>
      </w:pPr>
      <w:r>
        <w:rPr>
          <w:rFonts w:hint="eastAsia" w:ascii="宋体" w:hAnsi="宋体"/>
          <w:b/>
          <w:bCs/>
          <w:sz w:val="24"/>
        </w:rPr>
        <w:t>29.</w:t>
      </w:r>
      <w:r>
        <w:rPr>
          <w:rFonts w:hint="eastAsia" w:ascii="宋体" w:hAnsi="宋体"/>
          <w:b/>
          <w:sz w:val="24"/>
        </w:rPr>
        <w:t xml:space="preserve"> 投标人询问及</w:t>
      </w:r>
      <w:r>
        <w:rPr>
          <w:rFonts w:hint="eastAsia" w:ascii="宋体" w:hAnsi="宋体"/>
          <w:b/>
          <w:bCs/>
          <w:sz w:val="24"/>
        </w:rPr>
        <w:t>质疑</w:t>
      </w:r>
    </w:p>
    <w:p>
      <w:pPr>
        <w:adjustRightInd w:val="0"/>
        <w:snapToGrid w:val="0"/>
        <w:spacing w:line="360" w:lineRule="auto"/>
        <w:ind w:firstLine="420" w:firstLineChars="200"/>
        <w:rPr>
          <w:rFonts w:ascii="宋体" w:hAnsi="宋体"/>
          <w:szCs w:val="21"/>
        </w:rPr>
      </w:pPr>
      <w:r>
        <w:rPr>
          <w:rFonts w:hint="eastAsia" w:ascii="宋体" w:hAnsi="宋体"/>
          <w:szCs w:val="21"/>
        </w:rPr>
        <w:t>29.1投标人对政府采购活动事项有疑问的，可以向采购人、采购代理机构提出询问。采购人或者采购代理机构将在3个工作日内作出答复。</w:t>
      </w:r>
    </w:p>
    <w:p>
      <w:pPr>
        <w:adjustRightInd w:val="0"/>
        <w:snapToGrid w:val="0"/>
        <w:spacing w:line="360" w:lineRule="auto"/>
        <w:ind w:firstLine="420" w:firstLineChars="200"/>
        <w:rPr>
          <w:rFonts w:ascii="宋体" w:hAnsi="宋体"/>
          <w:szCs w:val="21"/>
        </w:rPr>
      </w:pPr>
      <w:r>
        <w:rPr>
          <w:rFonts w:hint="eastAsia" w:ascii="宋体" w:hAnsi="宋体"/>
          <w:szCs w:val="21"/>
        </w:rPr>
        <w:t>29.2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投标人应当在法定质疑期内一次性提出针对同一采购程序环节的质疑。</w:t>
      </w:r>
    </w:p>
    <w:p>
      <w:pPr>
        <w:adjustRightInd w:val="0"/>
        <w:snapToGrid w:val="0"/>
        <w:spacing w:line="360" w:lineRule="auto"/>
        <w:ind w:firstLine="420" w:firstLineChars="200"/>
        <w:rPr>
          <w:rFonts w:ascii="宋体" w:hAnsi="宋体"/>
          <w:szCs w:val="21"/>
        </w:rPr>
      </w:pPr>
      <w:r>
        <w:rPr>
          <w:rFonts w:hint="eastAsia" w:ascii="宋体" w:hAnsi="宋体"/>
          <w:szCs w:val="21"/>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【申请人须知前附表】</w:t>
      </w:r>
      <w:r>
        <w:rPr>
          <w:rFonts w:hint="eastAsia" w:ascii="宋体" w:hAnsi="宋体"/>
          <w:szCs w:val="21"/>
        </w:rPr>
        <w:t xml:space="preserve">。  </w:t>
      </w:r>
    </w:p>
    <w:p>
      <w:pPr>
        <w:adjustRightInd w:val="0"/>
        <w:snapToGrid w:val="0"/>
        <w:spacing w:line="360" w:lineRule="auto"/>
        <w:ind w:firstLine="420" w:firstLineChars="200"/>
        <w:rPr>
          <w:rFonts w:ascii="宋体" w:hAnsi="宋体"/>
          <w:szCs w:val="21"/>
        </w:rPr>
      </w:pPr>
      <w:r>
        <w:rPr>
          <w:rFonts w:hint="eastAsia" w:ascii="宋体" w:hAnsi="宋体"/>
          <w:szCs w:val="21"/>
        </w:rPr>
        <w:t>29.4采购人、采购代理机构按照《湖南省财政厅关于印发＜政府采购质疑答复和投诉处理操作规程＞的通知》规定进行质疑答复。</w:t>
      </w:r>
    </w:p>
    <w:p>
      <w:pPr>
        <w:adjustRightInd w:val="0"/>
        <w:snapToGrid w:val="0"/>
        <w:spacing w:line="360" w:lineRule="auto"/>
        <w:ind w:firstLine="420" w:firstLineChars="200"/>
        <w:rPr>
          <w:rFonts w:ascii="宋体" w:hAnsi="宋体"/>
          <w:b/>
          <w:bCs/>
        </w:rPr>
      </w:pPr>
      <w:r>
        <w:rPr>
          <w:rFonts w:hint="eastAsia" w:ascii="宋体" w:hAnsi="宋体"/>
          <w:szCs w:val="21"/>
        </w:rPr>
        <w:t>29</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pPr>
        <w:pStyle w:val="5"/>
        <w:adjustRightInd w:val="0"/>
        <w:snapToGrid w:val="0"/>
        <w:spacing w:before="156" w:beforeLines="50" w:after="0" w:line="360" w:lineRule="auto"/>
        <w:jc w:val="center"/>
        <w:rPr>
          <w:rFonts w:ascii="黑体" w:hAnsi="黑体" w:eastAsia="黑体"/>
          <w:sz w:val="28"/>
          <w:szCs w:val="28"/>
        </w:rPr>
      </w:pPr>
      <w:bookmarkStart w:id="194" w:name="_Toc32413"/>
      <w:bookmarkStart w:id="195" w:name="_Toc94367888"/>
      <w:bookmarkStart w:id="196" w:name="_Toc112594265"/>
      <w:bookmarkStart w:id="197" w:name="_Toc954"/>
      <w:bookmarkStart w:id="198" w:name="_Toc95601373"/>
      <w:bookmarkStart w:id="199" w:name="_Toc78314270"/>
      <w:bookmarkStart w:id="200" w:name="_Toc100670676"/>
      <w:bookmarkStart w:id="201" w:name="_Toc22856"/>
      <w:bookmarkStart w:id="202" w:name="_Toc100670429"/>
      <w:bookmarkStart w:id="203" w:name="_Toc85972938"/>
      <w:bookmarkStart w:id="204" w:name="_Toc75289234"/>
      <w:bookmarkStart w:id="205" w:name="_Toc77199407"/>
      <w:bookmarkStart w:id="206" w:name="_Toc15888493"/>
      <w:bookmarkStart w:id="207" w:name="_Toc1273"/>
      <w:bookmarkStart w:id="208" w:name="_Toc75289556"/>
      <w:bookmarkStart w:id="209" w:name="_Toc108341945"/>
      <w:bookmarkStart w:id="210" w:name="_Toc78449963"/>
      <w:bookmarkStart w:id="211" w:name="_Toc77676474"/>
      <w:bookmarkStart w:id="212" w:name="_Toc28633"/>
      <w:r>
        <w:rPr>
          <w:rFonts w:hint="eastAsia" w:ascii="黑体" w:hAnsi="黑体" w:eastAsia="黑体"/>
          <w:sz w:val="28"/>
          <w:szCs w:val="28"/>
        </w:rPr>
        <w:t>七、合同签订</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adjustRightInd w:val="0"/>
        <w:snapToGrid w:val="0"/>
        <w:spacing w:line="360" w:lineRule="auto"/>
        <w:rPr>
          <w:rFonts w:ascii="宋体" w:hAnsi="宋体"/>
          <w:b/>
          <w:bCs/>
          <w:sz w:val="24"/>
        </w:rPr>
      </w:pPr>
      <w:r>
        <w:rPr>
          <w:rFonts w:hint="eastAsia" w:ascii="宋体" w:hAnsi="宋体"/>
          <w:b/>
          <w:bCs/>
          <w:sz w:val="24"/>
        </w:rPr>
        <w:t>30. 签订合同</w:t>
      </w:r>
    </w:p>
    <w:p>
      <w:pPr>
        <w:adjustRightInd w:val="0"/>
        <w:snapToGrid w:val="0"/>
        <w:spacing w:line="360" w:lineRule="auto"/>
        <w:ind w:firstLine="420" w:firstLineChars="200"/>
        <w:rPr>
          <w:rFonts w:ascii="宋体" w:hAnsi="宋体"/>
          <w:szCs w:val="21"/>
        </w:rPr>
      </w:pPr>
      <w:r>
        <w:rPr>
          <w:rFonts w:hint="eastAsia" w:ascii="宋体" w:hAnsi="宋体"/>
          <w:szCs w:val="21"/>
        </w:rPr>
        <w:t>30.1采购人应自中标通知书发出之日起30日内，按中标通知书指定的时间、地点与中标人签订政府采购合同。所签订的合同不得对招标文件确定的事项和中标人投标文件作实质性修改。</w:t>
      </w:r>
    </w:p>
    <w:p>
      <w:pPr>
        <w:adjustRightInd w:val="0"/>
        <w:snapToGrid w:val="0"/>
        <w:spacing w:line="360" w:lineRule="auto"/>
        <w:ind w:firstLine="420" w:firstLineChars="200"/>
        <w:rPr>
          <w:rFonts w:ascii="宋体" w:hAnsi="宋体"/>
          <w:szCs w:val="21"/>
        </w:rPr>
      </w:pPr>
      <w:r>
        <w:rPr>
          <w:rFonts w:hint="eastAsia" w:ascii="宋体" w:hAnsi="宋体"/>
          <w:szCs w:val="21"/>
        </w:rPr>
        <w:t>30.2招标文件、中标人的投标文件均为签订合同的依据。</w:t>
      </w:r>
    </w:p>
    <w:p>
      <w:pPr>
        <w:adjustRightInd w:val="0"/>
        <w:snapToGrid w:val="0"/>
        <w:spacing w:line="360" w:lineRule="auto"/>
        <w:ind w:firstLine="420" w:firstLineChars="200"/>
        <w:rPr>
          <w:rFonts w:ascii="宋体" w:hAnsi="宋体" w:cs="微软雅黑"/>
          <w:kern w:val="0"/>
          <w:szCs w:val="21"/>
        </w:rPr>
      </w:pPr>
      <w:r>
        <w:rPr>
          <w:rFonts w:hint="eastAsia" w:ascii="宋体" w:hAnsi="宋体" w:cs="微软雅黑"/>
          <w:kern w:val="0"/>
          <w:szCs w:val="21"/>
        </w:rPr>
        <w:t>30.3联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pPr>
        <w:adjustRightInd w:val="0"/>
        <w:snapToGrid w:val="0"/>
        <w:spacing w:line="360" w:lineRule="auto"/>
        <w:ind w:firstLine="420" w:firstLineChars="200"/>
        <w:rPr>
          <w:rFonts w:ascii="宋体" w:hAnsi="宋体"/>
          <w:szCs w:val="21"/>
        </w:rPr>
      </w:pPr>
      <w:r>
        <w:rPr>
          <w:rFonts w:ascii="宋体" w:hAnsi="宋体"/>
          <w:szCs w:val="21"/>
        </w:rPr>
        <w:t>30.4</w:t>
      </w:r>
      <w:r>
        <w:rPr>
          <w:rFonts w:hint="eastAsia" w:ascii="宋体" w:hAnsi="宋体"/>
          <w:szCs w:val="21"/>
        </w:rPr>
        <w:t>中标合同将在招标公告指定媒体上公告，但合同中涉及国家秘密、商业秘密的内容除外。</w:t>
      </w:r>
    </w:p>
    <w:p>
      <w:pPr>
        <w:adjustRightInd w:val="0"/>
        <w:snapToGrid w:val="0"/>
        <w:spacing w:line="360" w:lineRule="auto"/>
        <w:ind w:firstLine="420" w:firstLineChars="200"/>
        <w:rPr>
          <w:rFonts w:ascii="宋体" w:hAnsi="宋体"/>
          <w:bCs/>
          <w:szCs w:val="21"/>
        </w:rPr>
      </w:pPr>
      <w:r>
        <w:rPr>
          <w:rFonts w:hint="eastAsia" w:ascii="宋体" w:hAnsi="宋体"/>
          <w:szCs w:val="21"/>
        </w:rPr>
        <w:t>30.5中标人</w:t>
      </w:r>
      <w:r>
        <w:rPr>
          <w:rFonts w:hint="eastAsia" w:ascii="宋体" w:hAnsi="宋体"/>
          <w:bCs/>
          <w:szCs w:val="21"/>
        </w:rPr>
        <w:t>应当按照合同约定依法履行合同义务。政府采购合同的履行、违约责任和解决争议的方法等适用《中华人民共和国民法典》。</w:t>
      </w:r>
    </w:p>
    <w:p>
      <w:pPr>
        <w:adjustRightInd w:val="0"/>
        <w:snapToGrid w:val="0"/>
        <w:spacing w:line="360" w:lineRule="auto"/>
        <w:rPr>
          <w:rFonts w:ascii="宋体" w:hAnsi="宋体" w:cs="宋体"/>
          <w:b/>
          <w:kern w:val="0"/>
          <w:sz w:val="24"/>
        </w:rPr>
      </w:pPr>
      <w:r>
        <w:rPr>
          <w:rFonts w:hint="eastAsia" w:ascii="宋体" w:hAnsi="宋体"/>
          <w:b/>
          <w:bCs/>
          <w:sz w:val="24"/>
        </w:rPr>
        <w:t>31.</w:t>
      </w:r>
      <w:r>
        <w:rPr>
          <w:rFonts w:hint="eastAsia" w:ascii="宋体" w:hAnsi="宋体" w:cs="宋体"/>
          <w:b/>
          <w:kern w:val="0"/>
          <w:sz w:val="24"/>
        </w:rPr>
        <w:t xml:space="preserve"> 履约担保</w:t>
      </w:r>
    </w:p>
    <w:p>
      <w:pPr>
        <w:adjustRightInd w:val="0"/>
        <w:snapToGrid w:val="0"/>
        <w:spacing w:line="360" w:lineRule="auto"/>
        <w:ind w:firstLine="420" w:firstLineChars="200"/>
        <w:rPr>
          <w:rFonts w:ascii="宋体" w:hAnsi="宋体"/>
          <w:szCs w:val="21"/>
        </w:rPr>
      </w:pPr>
      <w:r>
        <w:rPr>
          <w:rFonts w:hint="eastAsia" w:ascii="宋体" w:hAnsi="宋体" w:cs="宋体"/>
          <w:kern w:val="0"/>
          <w:szCs w:val="21"/>
        </w:rPr>
        <w:t>31.1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w:t>
      </w:r>
      <w:r>
        <w:rPr>
          <w:rFonts w:hint="eastAsia" w:ascii="宋体" w:hAnsi="宋体"/>
          <w:bCs/>
          <w:szCs w:val="21"/>
        </w:rPr>
        <w:t>投标人可以保函、电子增信替代履约担保</w:t>
      </w:r>
      <w:r>
        <w:rPr>
          <w:rFonts w:hint="eastAsia" w:ascii="宋体" w:hAnsi="宋体"/>
          <w:szCs w:val="21"/>
        </w:rPr>
        <w:t>。联合体中标的，履约担保由联合体各方或联合体中牵头人的名义提交。</w:t>
      </w:r>
    </w:p>
    <w:p>
      <w:pPr>
        <w:adjustRightInd w:val="0"/>
        <w:snapToGrid w:val="0"/>
        <w:spacing w:line="360" w:lineRule="auto"/>
        <w:ind w:firstLine="420" w:firstLineChars="200"/>
        <w:rPr>
          <w:rFonts w:ascii="宋体" w:hAnsi="宋体"/>
          <w:szCs w:val="21"/>
        </w:rPr>
      </w:pPr>
      <w:r>
        <w:rPr>
          <w:rFonts w:hint="eastAsia" w:ascii="宋体" w:hAnsi="宋体"/>
          <w:szCs w:val="21"/>
        </w:rPr>
        <w:t>31.2中标人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2"/>
          <w:szCs w:val="21"/>
        </w:rPr>
        <w:t>。</w:t>
      </w:r>
    </w:p>
    <w:p>
      <w:pPr>
        <w:adjustRightInd w:val="0"/>
        <w:snapToGrid w:val="0"/>
        <w:spacing w:line="360" w:lineRule="auto"/>
        <w:rPr>
          <w:rFonts w:ascii="宋体" w:hAnsi="宋体"/>
          <w:b/>
          <w:bCs/>
          <w:sz w:val="24"/>
        </w:rPr>
      </w:pPr>
      <w:r>
        <w:rPr>
          <w:rFonts w:hint="eastAsia" w:ascii="宋体" w:hAnsi="宋体"/>
          <w:b/>
          <w:bCs/>
          <w:sz w:val="24"/>
        </w:rPr>
        <w:t>32.</w:t>
      </w:r>
      <w:r>
        <w:rPr>
          <w:rFonts w:hint="eastAsia" w:ascii="宋体" w:hAnsi="宋体"/>
          <w:b/>
          <w:sz w:val="24"/>
        </w:rPr>
        <w:t xml:space="preserve"> 政府采购合同履行中</w:t>
      </w:r>
      <w:r>
        <w:rPr>
          <w:rFonts w:hint="eastAsia" w:ascii="宋体" w:hAnsi="宋体"/>
          <w:b/>
          <w:bCs/>
          <w:sz w:val="24"/>
        </w:rPr>
        <w:t>数量的变更</w:t>
      </w:r>
    </w:p>
    <w:p>
      <w:pPr>
        <w:adjustRightInd w:val="0"/>
        <w:snapToGrid w:val="0"/>
        <w:spacing w:line="360" w:lineRule="auto"/>
        <w:ind w:firstLine="420" w:firstLineChars="200"/>
        <w:rPr>
          <w:rFonts w:ascii="宋体" w:hAnsi="宋体"/>
          <w:sz w:val="28"/>
          <w:szCs w:val="28"/>
        </w:rPr>
      </w:pPr>
      <w:r>
        <w:rPr>
          <w:rFonts w:hint="eastAsia" w:ascii="宋体" w:hAnsi="宋体"/>
        </w:rPr>
        <w:t>32.1政府采购合同履行中，采购人需追加与合同标的相同的货物服务的，在不改变合同其他条款的前提下，可以与中标人协商签订补充合同，但所有补充合同的采购金额不得超过原合同采购金额的百分之十。</w:t>
      </w:r>
    </w:p>
    <w:p>
      <w:pPr>
        <w:pStyle w:val="5"/>
        <w:adjustRightInd w:val="0"/>
        <w:snapToGrid w:val="0"/>
        <w:spacing w:before="156" w:beforeLines="50" w:after="0" w:line="360" w:lineRule="auto"/>
        <w:jc w:val="center"/>
        <w:rPr>
          <w:rFonts w:ascii="黑体" w:hAnsi="黑体" w:eastAsia="黑体"/>
          <w:sz w:val="28"/>
          <w:szCs w:val="28"/>
        </w:rPr>
      </w:pPr>
      <w:bookmarkStart w:id="213" w:name="_Toc77676475"/>
      <w:bookmarkStart w:id="214" w:name="_Toc15888494"/>
      <w:bookmarkStart w:id="215" w:name="_Toc75289557"/>
      <w:bookmarkStart w:id="216" w:name="_Toc77199408"/>
      <w:bookmarkStart w:id="217" w:name="_Toc75289235"/>
      <w:bookmarkStart w:id="218" w:name="_Toc112594266"/>
      <w:bookmarkStart w:id="219" w:name="_Toc100670430"/>
      <w:bookmarkStart w:id="220" w:name="_Toc78314271"/>
      <w:bookmarkStart w:id="221" w:name="_Toc14184"/>
      <w:bookmarkStart w:id="222" w:name="_Toc14398"/>
      <w:bookmarkStart w:id="223" w:name="_Toc27806"/>
      <w:bookmarkStart w:id="224" w:name="_Toc94367889"/>
      <w:bookmarkStart w:id="225" w:name="_Toc85972939"/>
      <w:bookmarkStart w:id="226" w:name="_Toc78449964"/>
      <w:bookmarkStart w:id="227" w:name="_Toc108341946"/>
      <w:bookmarkStart w:id="228" w:name="_Toc16840"/>
      <w:bookmarkStart w:id="229" w:name="_Toc100670677"/>
      <w:bookmarkStart w:id="230" w:name="_Toc5380"/>
      <w:bookmarkStart w:id="231" w:name="_Toc95601374"/>
      <w:r>
        <w:rPr>
          <w:rFonts w:hint="eastAsia" w:ascii="黑体" w:hAnsi="黑体" w:eastAsia="黑体"/>
          <w:sz w:val="28"/>
          <w:szCs w:val="28"/>
        </w:rPr>
        <w:t>八、</w:t>
      </w:r>
      <w:bookmarkEnd w:id="213"/>
      <w:bookmarkEnd w:id="214"/>
      <w:bookmarkEnd w:id="215"/>
      <w:bookmarkEnd w:id="216"/>
      <w:bookmarkEnd w:id="217"/>
      <w:r>
        <w:rPr>
          <w:rFonts w:hint="eastAsia" w:ascii="黑体" w:hAnsi="黑体" w:eastAsia="黑体"/>
          <w:sz w:val="28"/>
          <w:szCs w:val="28"/>
        </w:rPr>
        <w:t>政府采购政策</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adjustRightInd w:val="0"/>
        <w:snapToGrid w:val="0"/>
        <w:spacing w:line="360" w:lineRule="auto"/>
        <w:rPr>
          <w:rFonts w:ascii="宋体" w:hAnsi="宋体"/>
          <w:b/>
          <w:sz w:val="24"/>
        </w:rPr>
      </w:pPr>
      <w:r>
        <w:rPr>
          <w:rFonts w:hint="eastAsia" w:ascii="宋体" w:hAnsi="宋体"/>
          <w:b/>
          <w:bCs/>
          <w:sz w:val="24"/>
        </w:rPr>
        <w:t>33.</w:t>
      </w:r>
      <w:r>
        <w:rPr>
          <w:rFonts w:hint="eastAsia" w:ascii="宋体" w:hAnsi="宋体"/>
          <w:b/>
          <w:sz w:val="24"/>
        </w:rPr>
        <w:t>政府采购政策</w:t>
      </w:r>
    </w:p>
    <w:p>
      <w:pPr>
        <w:adjustRightInd w:val="0"/>
        <w:snapToGrid w:val="0"/>
        <w:spacing w:line="360" w:lineRule="auto"/>
        <w:ind w:firstLine="420" w:firstLineChars="200"/>
        <w:rPr>
          <w:rFonts w:ascii="宋体" w:hAnsi="宋体" w:cs="宋体"/>
          <w:kern w:val="0"/>
        </w:rPr>
      </w:pPr>
      <w:r>
        <w:rPr>
          <w:rFonts w:hint="eastAsia" w:ascii="宋体" w:hAnsi="宋体" w:cs="宋体"/>
          <w:kern w:val="0"/>
        </w:rPr>
        <w:t>33.1优先采购：</w:t>
      </w:r>
    </w:p>
    <w:p>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szCs w:val="21"/>
        </w:rPr>
        <w:t>纳入财政部会同国务院有关部门发布的节能产品、环境标志产品政府采购品目清单，实施政府优先采购的，评审时按招标文件第四章第一节有关规定对该部分产品给予一定比例的价格折扣或者加分；</w:t>
      </w:r>
    </w:p>
    <w:p>
      <w:pPr>
        <w:adjustRightInd w:val="0"/>
        <w:snapToGrid w:val="0"/>
        <w:spacing w:line="360" w:lineRule="auto"/>
        <w:ind w:firstLine="420" w:firstLineChars="200"/>
        <w:rPr>
          <w:rFonts w:ascii="宋体" w:hAnsi="宋体"/>
        </w:rPr>
      </w:pPr>
      <w:r>
        <w:rPr>
          <w:rFonts w:hint="eastAsia" w:ascii="宋体" w:hAnsi="宋体"/>
        </w:rPr>
        <w:t>（2）纳入湖南省财政厅等有关部门发布的湖南省两型产品政府采购目录的，实施政府优先采购，评审时按</w:t>
      </w:r>
      <w:r>
        <w:rPr>
          <w:rFonts w:hint="eastAsia" w:ascii="宋体" w:hAnsi="宋体"/>
          <w:szCs w:val="21"/>
        </w:rPr>
        <w:t>招标文件第四章第一节有关规定对该部分产品</w:t>
      </w:r>
      <w:r>
        <w:rPr>
          <w:rFonts w:hint="eastAsia" w:ascii="宋体" w:hAnsi="宋体"/>
        </w:rPr>
        <w:t>给予一定比例的价格折扣或者加分。</w:t>
      </w:r>
    </w:p>
    <w:p>
      <w:pPr>
        <w:adjustRightInd w:val="0"/>
        <w:snapToGrid w:val="0"/>
        <w:spacing w:line="360" w:lineRule="auto"/>
        <w:ind w:firstLine="420" w:firstLineChars="200"/>
        <w:rPr>
          <w:rFonts w:ascii="宋体" w:hAnsi="宋体" w:cs="宋体"/>
          <w:kern w:val="0"/>
        </w:rPr>
      </w:pPr>
      <w:r>
        <w:rPr>
          <w:rFonts w:hint="eastAsia" w:ascii="宋体" w:hAnsi="宋体" w:cs="宋体"/>
          <w:kern w:val="0"/>
        </w:rPr>
        <w:t>33.2强制采购：</w:t>
      </w:r>
    </w:p>
    <w:p>
      <w:pPr>
        <w:adjustRightInd w:val="0"/>
        <w:snapToGrid w:val="0"/>
        <w:spacing w:line="360" w:lineRule="auto"/>
        <w:ind w:firstLine="420" w:firstLineChars="200"/>
        <w:rPr>
          <w:rFonts w:ascii="宋体" w:hAnsi="宋体" w:cs="宋体"/>
          <w:kern w:val="0"/>
        </w:rPr>
      </w:pPr>
      <w:r>
        <w:rPr>
          <w:rFonts w:hint="eastAsia" w:ascii="宋体" w:hAnsi="宋体" w:cs="宋体"/>
          <w:kern w:val="0"/>
        </w:rPr>
        <w:t>（1）纳入财政部会同国务院有关部门发布的节能产品政府采购品目清单，实施政府强制采购的（品目清单标注</w:t>
      </w:r>
      <w:r>
        <w:rPr>
          <w:rFonts w:hint="eastAsia" w:ascii="宋体" w:hAnsi="宋体" w:cs="宋体"/>
          <w:kern w:val="0"/>
        </w:rPr>
        <w:sym w:font="Wingdings" w:char="F0AB"/>
      </w:r>
      <w:r>
        <w:rPr>
          <w:rFonts w:hint="eastAsia" w:ascii="宋体" w:hAnsi="宋体" w:cs="宋体"/>
          <w:kern w:val="0"/>
        </w:rPr>
        <w:t>符号产品），投标人投标产品应当取得国家确定的认证机构出具的、处于有效期之内的节能产品认证证书，否则其</w:t>
      </w:r>
      <w:r>
        <w:rPr>
          <w:rFonts w:hint="eastAsia" w:ascii="宋体" w:hAnsi="宋体" w:cs="宋体"/>
          <w:b/>
          <w:kern w:val="0"/>
          <w:szCs w:val="21"/>
        </w:rPr>
        <w:t>投标无效</w:t>
      </w:r>
      <w:r>
        <w:rPr>
          <w:rFonts w:hint="eastAsia" w:ascii="宋体" w:hAnsi="宋体" w:cs="宋体"/>
          <w:kern w:val="0"/>
        </w:rPr>
        <w:t>。</w:t>
      </w:r>
    </w:p>
    <w:p>
      <w:pPr>
        <w:adjustRightInd w:val="0"/>
        <w:snapToGrid w:val="0"/>
        <w:spacing w:line="360" w:lineRule="auto"/>
        <w:ind w:firstLine="420" w:firstLineChars="200"/>
        <w:rPr>
          <w:rFonts w:ascii="宋体" w:hAnsi="宋体"/>
        </w:rPr>
      </w:pPr>
      <w:r>
        <w:rPr>
          <w:rFonts w:hint="eastAsia" w:ascii="宋体" w:hAnsi="宋体"/>
        </w:rPr>
        <w:t>33.3价格评审优惠：</w:t>
      </w:r>
    </w:p>
    <w:p>
      <w:pPr>
        <w:adjustRightInd w:val="0"/>
        <w:snapToGrid w:val="0"/>
        <w:spacing w:line="360" w:lineRule="auto"/>
        <w:ind w:firstLine="420" w:firstLineChars="200"/>
        <w:rPr>
          <w:rFonts w:ascii="宋体" w:hAnsi="宋体"/>
        </w:rPr>
      </w:pPr>
      <w:r>
        <w:rPr>
          <w:rFonts w:hint="eastAsia" w:ascii="宋体" w:hAnsi="宋体"/>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pPr>
        <w:adjustRightInd w:val="0"/>
        <w:snapToGrid w:val="0"/>
        <w:spacing w:line="360" w:lineRule="auto"/>
        <w:ind w:firstLine="420" w:firstLineChars="200"/>
        <w:rPr>
          <w:rFonts w:ascii="宋体" w:hAnsi="宋体"/>
        </w:rPr>
      </w:pPr>
      <w:r>
        <w:rPr>
          <w:rFonts w:hint="eastAsia" w:ascii="宋体" w:hAnsi="宋体"/>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pPr>
        <w:adjustRightInd w:val="0"/>
        <w:snapToGrid w:val="0"/>
        <w:spacing w:line="360" w:lineRule="auto"/>
        <w:ind w:firstLine="420" w:firstLineChars="200"/>
        <w:rPr>
          <w:rFonts w:ascii="宋体" w:hAnsi="宋体"/>
        </w:rPr>
      </w:pPr>
      <w:r>
        <w:rPr>
          <w:rFonts w:hint="eastAsia" w:ascii="宋体" w:hAnsi="宋体"/>
        </w:rPr>
        <w:t>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w:t>
      </w:r>
    </w:p>
    <w:p>
      <w:pPr>
        <w:adjustRightInd w:val="0"/>
        <w:snapToGrid w:val="0"/>
        <w:spacing w:line="360" w:lineRule="auto"/>
        <w:ind w:firstLine="420" w:firstLineChars="200"/>
        <w:rPr>
          <w:rFonts w:ascii="宋体" w:hAnsi="宋体"/>
        </w:rPr>
      </w:pPr>
      <w:r>
        <w:rPr>
          <w:rFonts w:hint="eastAsia" w:ascii="宋体" w:hAnsi="宋体"/>
        </w:rPr>
        <w:t>（3）符合中小企业划分标准的个体工商户视同中小企业，享受评审中价格扣除等促进中小企业发展的政府采购政策。</w:t>
      </w:r>
    </w:p>
    <w:p>
      <w:pPr>
        <w:adjustRightInd w:val="0"/>
        <w:snapToGrid w:val="0"/>
        <w:spacing w:line="360" w:lineRule="auto"/>
        <w:ind w:firstLine="420" w:firstLineChars="200"/>
        <w:rPr>
          <w:rFonts w:ascii="宋体" w:hAnsi="宋体"/>
        </w:rPr>
      </w:pPr>
      <w:r>
        <w:rPr>
          <w:rFonts w:hint="eastAsia" w:ascii="宋体" w:hAnsi="宋体"/>
        </w:rPr>
        <w:t>（4）监狱企业、残疾人福利性单位视同小型、微型企业，享受评审中价格扣除等促进中小企业发展的政府采购政策。</w:t>
      </w:r>
    </w:p>
    <w:p>
      <w:pPr>
        <w:adjustRightInd w:val="0"/>
        <w:snapToGrid w:val="0"/>
        <w:spacing w:line="360" w:lineRule="auto"/>
        <w:ind w:firstLine="420" w:firstLineChars="200"/>
        <w:rPr>
          <w:rFonts w:ascii="宋体" w:hAnsi="宋体"/>
        </w:rPr>
      </w:pPr>
      <w:r>
        <w:rPr>
          <w:rFonts w:hint="eastAsia" w:ascii="宋体" w:hAnsi="宋体"/>
        </w:rPr>
        <w:t>（5）与大企业的负责人为同一人，或者与大企业存在直接控股、管理关系的中小企业，不享受评审中价格扣除等促进中小企业发展的政府采购政策。</w:t>
      </w:r>
    </w:p>
    <w:p>
      <w:pPr>
        <w:adjustRightInd w:val="0"/>
        <w:snapToGrid w:val="0"/>
        <w:spacing w:line="360" w:lineRule="auto"/>
        <w:ind w:firstLine="420" w:firstLineChars="200"/>
        <w:rPr>
          <w:rFonts w:ascii="宋体" w:hAnsi="宋体"/>
        </w:rPr>
      </w:pPr>
      <w:r>
        <w:rPr>
          <w:rFonts w:hint="eastAsia" w:ascii="宋体" w:hAnsi="宋体"/>
        </w:rPr>
        <w:t>（6）本章第1.2款规定采购项目或者采购包属于“预留采购份额”的，预留部分不再享受本款“价格评审优惠”的小微企业扶持政策。</w:t>
      </w:r>
    </w:p>
    <w:p>
      <w:pPr>
        <w:adjustRightInd w:val="0"/>
        <w:snapToGrid w:val="0"/>
        <w:spacing w:line="360" w:lineRule="auto"/>
        <w:ind w:firstLine="420" w:firstLineChars="200"/>
        <w:rPr>
          <w:rFonts w:ascii="宋体" w:hAnsi="宋体"/>
        </w:rPr>
      </w:pPr>
      <w:r>
        <w:rPr>
          <w:rFonts w:hint="eastAsia" w:ascii="宋体" w:hAnsi="宋体"/>
        </w:rPr>
        <w:t>33.4政府采购政策交叉与叠加</w:t>
      </w:r>
    </w:p>
    <w:p>
      <w:pPr>
        <w:adjustRightInd w:val="0"/>
        <w:snapToGrid w:val="0"/>
        <w:spacing w:line="360" w:lineRule="auto"/>
        <w:ind w:firstLine="420" w:firstLineChars="200"/>
        <w:rPr>
          <w:rFonts w:ascii="宋体" w:hAnsi="宋体"/>
        </w:rPr>
      </w:pPr>
      <w:r>
        <w:rPr>
          <w:rFonts w:hint="eastAsia" w:ascii="宋体" w:hAnsi="宋体"/>
        </w:rPr>
        <w:t>（1）投标产品取得两个及以上优先采购产品认证的，评审时只有其中一项产品能享受优先采购优惠（投标人自行选择，并在投标文件中并填报相关信息及数据）</w:t>
      </w:r>
    </w:p>
    <w:p>
      <w:pPr>
        <w:adjustRightInd w:val="0"/>
        <w:snapToGrid w:val="0"/>
        <w:spacing w:line="360" w:lineRule="auto"/>
        <w:ind w:firstLine="420" w:firstLineChars="200"/>
        <w:rPr>
          <w:rFonts w:ascii="宋体" w:hAnsi="宋体"/>
        </w:rPr>
      </w:pPr>
      <w:r>
        <w:rPr>
          <w:rFonts w:hint="eastAsia" w:ascii="宋体" w:hAnsi="宋体"/>
        </w:rPr>
        <w:t>（2）投标人同时符合小型、微型企业及监狱企业、残疾人福利性单位要求的，评审时只有一种类型享受价格评审优惠政策；</w:t>
      </w:r>
    </w:p>
    <w:p>
      <w:pPr>
        <w:adjustRightInd w:val="0"/>
        <w:snapToGrid w:val="0"/>
        <w:spacing w:line="360" w:lineRule="auto"/>
        <w:ind w:firstLine="420" w:firstLineChars="200"/>
        <w:rPr>
          <w:rFonts w:ascii="宋体" w:hAnsi="宋体"/>
        </w:rPr>
      </w:pPr>
      <w:r>
        <w:rPr>
          <w:rFonts w:hint="eastAsia" w:ascii="宋体" w:hAnsi="宋体"/>
        </w:rPr>
        <w:t>（3）小型和微型企业的价格评审优惠可以与同时属于“节能产品”、“环境标志产品”及“两型产品”中的一项优先采购优惠累加计算。</w:t>
      </w:r>
    </w:p>
    <w:p>
      <w:pPr>
        <w:adjustRightInd w:val="0"/>
        <w:snapToGrid w:val="0"/>
        <w:spacing w:line="360" w:lineRule="auto"/>
        <w:ind w:firstLine="420" w:firstLineChars="200"/>
        <w:rPr>
          <w:rFonts w:ascii="宋体" w:hAnsi="宋体"/>
        </w:rPr>
      </w:pPr>
      <w:r>
        <w:rPr>
          <w:rFonts w:hint="eastAsia" w:ascii="宋体" w:hAnsi="宋体"/>
        </w:rPr>
        <w:t>33.5在货物采购项目中，供应商提供的货物既有中小企业制造货物，也有大型企业制造货物的，不享受政府采购中小企业扶持政策。</w:t>
      </w:r>
    </w:p>
    <w:p>
      <w:pPr>
        <w:adjustRightInd w:val="0"/>
        <w:snapToGrid w:val="0"/>
        <w:spacing w:line="360" w:lineRule="auto"/>
        <w:ind w:firstLine="420" w:firstLineChars="200"/>
        <w:rPr>
          <w:rFonts w:ascii="宋体" w:hAnsi="宋体"/>
        </w:rPr>
      </w:pPr>
      <w:r>
        <w:rPr>
          <w:rFonts w:hint="eastAsia" w:ascii="宋体" w:hAnsi="宋体"/>
        </w:rPr>
        <w:t>33.6投标人符合本章第33.1款、第33.2款、第33.3款规定的，应提供相关证明资料。</w:t>
      </w:r>
    </w:p>
    <w:p>
      <w:pPr>
        <w:adjustRightInd w:val="0"/>
        <w:snapToGrid w:val="0"/>
        <w:spacing w:line="360" w:lineRule="auto"/>
        <w:ind w:firstLine="420" w:firstLineChars="200"/>
        <w:rPr>
          <w:rFonts w:ascii="宋体" w:hAnsi="宋体"/>
        </w:rPr>
      </w:pPr>
      <w:r>
        <w:rPr>
          <w:rFonts w:hint="eastAsia" w:ascii="宋体" w:hAnsi="宋体"/>
        </w:rPr>
        <w:t>（1）节能产品、环境标志产品：提供国家确定的认证机构出具的、处于有效期之内的节能产品、环境标志产品认证证书。</w:t>
      </w:r>
    </w:p>
    <w:p>
      <w:pPr>
        <w:adjustRightInd w:val="0"/>
        <w:snapToGrid w:val="0"/>
        <w:spacing w:line="360" w:lineRule="auto"/>
        <w:ind w:firstLine="420" w:firstLineChars="200"/>
        <w:rPr>
          <w:rFonts w:ascii="宋体" w:hAnsi="宋体"/>
        </w:rPr>
      </w:pPr>
      <w:r>
        <w:rPr>
          <w:rFonts w:hint="eastAsia" w:ascii="宋体" w:hAnsi="宋体"/>
        </w:rPr>
        <w:t>（2）两型产品：提供《湖南省两型产品政府采购目录》（最新一期）文件首页和投标产品所在页（截图）。</w:t>
      </w:r>
    </w:p>
    <w:p>
      <w:pPr>
        <w:adjustRightInd w:val="0"/>
        <w:snapToGrid w:val="0"/>
        <w:spacing w:line="360" w:lineRule="auto"/>
        <w:ind w:firstLine="420" w:firstLineChars="200"/>
        <w:rPr>
          <w:rFonts w:ascii="宋体" w:hAnsi="宋体"/>
        </w:rPr>
      </w:pPr>
      <w:r>
        <w:rPr>
          <w:rFonts w:hint="eastAsia" w:ascii="宋体" w:hAnsi="宋体"/>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ascii="宋体" w:hAnsi="宋体"/>
          <w:szCs w:val="21"/>
        </w:rPr>
        <w:t>。</w:t>
      </w:r>
    </w:p>
    <w:p>
      <w:pPr>
        <w:adjustRightInd w:val="0"/>
        <w:snapToGrid w:val="0"/>
        <w:spacing w:line="360" w:lineRule="auto"/>
        <w:ind w:firstLine="420" w:firstLineChars="200"/>
        <w:rPr>
          <w:rFonts w:ascii="宋体" w:hAnsi="宋体"/>
        </w:rPr>
      </w:pPr>
      <w:r>
        <w:rPr>
          <w:rFonts w:hint="eastAsia" w:ascii="宋体" w:hAnsi="宋体"/>
        </w:rPr>
        <w:t>（4）监狱企业：按《关于政府采购支持监狱企业发展有关问题的通知》(财库〔2014〕68号)文件规定提供证明文件。</w:t>
      </w:r>
    </w:p>
    <w:p>
      <w:pPr>
        <w:adjustRightInd w:val="0"/>
        <w:snapToGrid w:val="0"/>
        <w:spacing w:line="360" w:lineRule="auto"/>
        <w:ind w:firstLine="420" w:firstLineChars="200"/>
        <w:rPr>
          <w:rFonts w:ascii="宋体" w:hAnsi="宋体"/>
        </w:rPr>
      </w:pPr>
      <w:r>
        <w:rPr>
          <w:rFonts w:hint="eastAsia" w:ascii="宋体" w:hAnsi="宋体"/>
        </w:rPr>
        <w:t>（5）残疾人福利性单位：按《关于促进残疾人就业政府采购政策的通知》(财库〔2017〕141号)文件规定提供《残疾人福利性单位声明函》（格式）。</w:t>
      </w:r>
    </w:p>
    <w:p>
      <w:pPr>
        <w:adjustRightInd w:val="0"/>
        <w:snapToGrid w:val="0"/>
        <w:spacing w:line="360" w:lineRule="auto"/>
        <w:ind w:firstLine="420" w:firstLineChars="200"/>
        <w:rPr>
          <w:rFonts w:ascii="宋体" w:hAnsi="宋体"/>
        </w:rPr>
      </w:pPr>
      <w:r>
        <w:rPr>
          <w:rFonts w:hint="eastAsia" w:ascii="宋体" w:hAnsi="宋体"/>
        </w:rPr>
        <w:t>33.7执行中小企业预留采购份额政策的规定：</w:t>
      </w:r>
    </w:p>
    <w:p>
      <w:pPr>
        <w:adjustRightInd w:val="0"/>
        <w:snapToGrid w:val="0"/>
        <w:spacing w:line="360" w:lineRule="auto"/>
        <w:ind w:firstLine="420" w:firstLineChars="200"/>
        <w:rPr>
          <w:rFonts w:ascii="宋体" w:hAnsi="宋体"/>
        </w:rPr>
      </w:pPr>
      <w:r>
        <w:rPr>
          <w:rFonts w:hint="eastAsia" w:ascii="宋体" w:hAnsi="宋体"/>
        </w:rPr>
        <w:t>（1）预留份额的采购项目或者采购包，应明确该项目或相关采购包专门面向中小企业采购，并作为供应商资格条件。</w:t>
      </w:r>
    </w:p>
    <w:p>
      <w:pPr>
        <w:adjustRightInd w:val="0"/>
        <w:snapToGrid w:val="0"/>
        <w:spacing w:line="360" w:lineRule="auto"/>
        <w:ind w:firstLine="420" w:firstLineChars="200"/>
        <w:rPr>
          <w:rFonts w:ascii="宋体" w:hAnsi="宋体"/>
        </w:rPr>
      </w:pPr>
      <w:r>
        <w:rPr>
          <w:rFonts w:hint="eastAsia" w:ascii="宋体" w:hAnsi="宋体"/>
        </w:rPr>
        <w:t>（2）要求以联合体形式参加或者合同分包的，应明确联合协议或者分包意向协议中中小企业合同金额应当达到的比例，并作为供应商资格条件。</w:t>
      </w:r>
    </w:p>
    <w:p>
      <w:pPr>
        <w:adjustRightInd w:val="0"/>
        <w:snapToGrid w:val="0"/>
        <w:spacing w:line="360" w:lineRule="auto"/>
        <w:ind w:firstLine="420" w:firstLineChars="200"/>
        <w:rPr>
          <w:rFonts w:ascii="宋体" w:hAnsi="宋体"/>
        </w:rPr>
      </w:pPr>
      <w:r>
        <w:rPr>
          <w:rFonts w:hint="eastAsia" w:ascii="宋体" w:hAnsi="宋体"/>
        </w:rPr>
        <w:t>（3）组成联合体或者接受分包合同的中小企业与联合体内其他企业(成员)、分包企业(投标人)之间不得存在直接控股、管理关系。</w:t>
      </w:r>
    </w:p>
    <w:p>
      <w:pPr>
        <w:adjustRightInd w:val="0"/>
        <w:snapToGrid w:val="0"/>
        <w:spacing w:line="360" w:lineRule="auto"/>
        <w:ind w:firstLine="420" w:firstLineChars="200"/>
        <w:rPr>
          <w:rFonts w:ascii="宋体" w:hAnsi="宋体"/>
        </w:rPr>
      </w:pPr>
      <w:r>
        <w:rPr>
          <w:rFonts w:hint="eastAsia" w:ascii="宋体" w:hAnsi="宋体"/>
        </w:rPr>
        <w:t>33.8采购进口产品</w:t>
      </w:r>
    </w:p>
    <w:p>
      <w:pPr>
        <w:adjustRightInd w:val="0"/>
        <w:snapToGrid w:val="0"/>
        <w:spacing w:line="360" w:lineRule="auto"/>
        <w:ind w:firstLine="420" w:firstLineChars="200"/>
        <w:rPr>
          <w:rFonts w:ascii="宋体" w:hAnsi="宋体"/>
        </w:rPr>
      </w:pPr>
      <w:r>
        <w:rPr>
          <w:rFonts w:hint="eastAsia" w:ascii="宋体" w:hAnsi="宋体" w:cs="宋体"/>
          <w:kern w:val="0"/>
          <w:szCs w:val="21"/>
        </w:rPr>
        <w:t>进口产品是指符合《政府采购进口产品管理办法》（财库〔2007〕119号）和《关于政府采购进口产品管理有关问题的通知》（财办库〔2008〕248号）文件规定的产品。除</w:t>
      </w:r>
      <w:r>
        <w:rPr>
          <w:rFonts w:hint="eastAsia" w:ascii="宋体" w:hAnsi="宋体"/>
          <w:b/>
          <w:szCs w:val="21"/>
        </w:rPr>
        <w:t>【投标须知前附表】</w:t>
      </w:r>
      <w:r>
        <w:rPr>
          <w:rFonts w:hint="eastAsia" w:ascii="宋体" w:hAnsi="宋体" w:cs="宋体"/>
          <w:kern w:val="0"/>
          <w:szCs w:val="21"/>
        </w:rPr>
        <w:t>另有规定外，采购项目</w:t>
      </w:r>
      <w:r>
        <w:rPr>
          <w:rFonts w:hint="eastAsia" w:ascii="宋体" w:hAnsi="宋体" w:cs="宋体"/>
          <w:b/>
          <w:kern w:val="0"/>
          <w:szCs w:val="21"/>
        </w:rPr>
        <w:t>拒绝进口产品参加投标</w:t>
      </w:r>
      <w:r>
        <w:rPr>
          <w:rFonts w:hint="eastAsia" w:ascii="宋体" w:hAnsi="宋体" w:cs="宋体"/>
          <w:kern w:val="0"/>
          <w:szCs w:val="21"/>
        </w:rPr>
        <w:t>。本款规定同意购买进口产品的，不限制满足招标文件要求的国内产品参与投标竞争。</w:t>
      </w:r>
    </w:p>
    <w:p>
      <w:pPr>
        <w:adjustRightInd w:val="0"/>
        <w:snapToGrid w:val="0"/>
        <w:spacing w:line="360" w:lineRule="auto"/>
        <w:ind w:firstLine="420" w:firstLineChars="200"/>
        <w:rPr>
          <w:rFonts w:ascii="宋体" w:hAnsi="宋体"/>
        </w:rPr>
      </w:pPr>
      <w:r>
        <w:rPr>
          <w:rFonts w:hint="eastAsia" w:ascii="宋体" w:hAnsi="宋体"/>
        </w:rPr>
        <w:t>33.9投标人有融资、担保需求的，可登陆中国湖南政府采购网查询相关银行、担保机构业务。</w:t>
      </w:r>
    </w:p>
    <w:p>
      <w:pPr>
        <w:pStyle w:val="5"/>
        <w:adjustRightInd w:val="0"/>
        <w:snapToGrid w:val="0"/>
        <w:spacing w:before="156" w:beforeLines="50" w:after="0" w:line="360" w:lineRule="auto"/>
        <w:jc w:val="center"/>
        <w:rPr>
          <w:rFonts w:ascii="黑体" w:hAnsi="黑体" w:eastAsia="黑体"/>
          <w:sz w:val="28"/>
          <w:szCs w:val="28"/>
        </w:rPr>
      </w:pPr>
      <w:bookmarkStart w:id="232" w:name="_Toc100670678"/>
      <w:bookmarkStart w:id="233" w:name="_Toc77199409"/>
      <w:bookmarkStart w:id="234" w:name="_Toc24822"/>
      <w:bookmarkStart w:id="235" w:name="_Toc85972940"/>
      <w:bookmarkStart w:id="236" w:name="_Toc75289236"/>
      <w:bookmarkStart w:id="237" w:name="_Toc77676476"/>
      <w:bookmarkStart w:id="238" w:name="_Toc112594267"/>
      <w:bookmarkStart w:id="239" w:name="_Toc20651204"/>
      <w:bookmarkStart w:id="240" w:name="_Toc75289558"/>
      <w:bookmarkStart w:id="241" w:name="_Toc78449965"/>
      <w:bookmarkStart w:id="242" w:name="_Toc108341947"/>
      <w:bookmarkStart w:id="243" w:name="_Toc78314272"/>
      <w:bookmarkStart w:id="244" w:name="_Toc95601375"/>
      <w:bookmarkStart w:id="245" w:name="_Toc8609"/>
      <w:bookmarkStart w:id="246" w:name="_Toc8761"/>
      <w:bookmarkStart w:id="247" w:name="_Toc6600"/>
      <w:bookmarkStart w:id="248" w:name="_Toc94367890"/>
      <w:bookmarkStart w:id="249" w:name="_Toc100670431"/>
      <w:bookmarkStart w:id="250" w:name="_Toc14306"/>
      <w:r>
        <w:rPr>
          <w:rFonts w:hint="eastAsia" w:ascii="黑体" w:hAnsi="黑体" w:eastAsia="黑体"/>
          <w:sz w:val="28"/>
          <w:szCs w:val="28"/>
        </w:rPr>
        <w:t>九、其他规定</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adjustRightInd w:val="0"/>
        <w:snapToGrid w:val="0"/>
        <w:spacing w:before="156" w:beforeLines="50" w:line="360" w:lineRule="auto"/>
        <w:rPr>
          <w:rFonts w:ascii="宋体" w:hAnsi="宋体"/>
          <w:b/>
          <w:sz w:val="24"/>
        </w:rPr>
      </w:pPr>
      <w:r>
        <w:rPr>
          <w:rFonts w:hint="eastAsia" w:ascii="宋体" w:hAnsi="宋体"/>
          <w:b/>
          <w:bCs/>
          <w:sz w:val="24"/>
        </w:rPr>
        <w:t>34.</w:t>
      </w:r>
      <w:r>
        <w:rPr>
          <w:rFonts w:hint="eastAsia" w:ascii="宋体" w:hAnsi="宋体"/>
          <w:b/>
          <w:sz w:val="24"/>
        </w:rPr>
        <w:t>招标不足三家处理</w:t>
      </w:r>
    </w:p>
    <w:p>
      <w:pPr>
        <w:adjustRightInd w:val="0"/>
        <w:snapToGrid w:val="0"/>
        <w:spacing w:line="360" w:lineRule="auto"/>
        <w:ind w:firstLine="420" w:firstLineChars="200"/>
        <w:rPr>
          <w:rFonts w:ascii="宋体" w:hAnsi="宋体"/>
          <w:szCs w:val="21"/>
        </w:rPr>
      </w:pPr>
      <w:r>
        <w:rPr>
          <w:rFonts w:hint="eastAsia" w:ascii="宋体" w:hAnsi="宋体"/>
          <w:szCs w:val="21"/>
        </w:rPr>
        <w:t>34.1公开招标数额标准以上的采购项目，投标截止后投标人不足3家或者通过资格审查或符合性审查的投标人不足3家的，除采购任务取消情形外，按照以下方式处理：</w:t>
      </w:r>
    </w:p>
    <w:p>
      <w:pPr>
        <w:adjustRightInd w:val="0"/>
        <w:snapToGrid w:val="0"/>
        <w:spacing w:line="360" w:lineRule="auto"/>
        <w:ind w:firstLine="420" w:firstLineChars="200"/>
        <w:rPr>
          <w:rFonts w:ascii="宋体" w:hAnsi="宋体"/>
          <w:szCs w:val="21"/>
        </w:rPr>
      </w:pPr>
      <w:r>
        <w:rPr>
          <w:rFonts w:hint="eastAsia" w:ascii="宋体" w:hAnsi="宋体"/>
          <w:szCs w:val="21"/>
        </w:rPr>
        <w:t>（1）招标文件存在不合理条款或者招标程序不符合规定的，采购人、采购代理机构改正后依法重新招标；</w:t>
      </w:r>
    </w:p>
    <w:p>
      <w:pPr>
        <w:adjustRightInd w:val="0"/>
        <w:snapToGrid w:val="0"/>
        <w:spacing w:line="360" w:lineRule="auto"/>
        <w:ind w:firstLine="420" w:firstLineChars="200"/>
        <w:rPr>
          <w:rFonts w:ascii="宋体" w:hAnsi="宋体"/>
          <w:szCs w:val="21"/>
        </w:rPr>
      </w:pPr>
      <w:r>
        <w:rPr>
          <w:rFonts w:hint="eastAsia" w:ascii="宋体" w:hAnsi="宋体"/>
          <w:szCs w:val="21"/>
        </w:rPr>
        <w:t>（2）招标文件没有不合理条款、招标程序符合规定，需要采用其他采购方式采购的，采购人应当依法报财政部门批准。</w:t>
      </w:r>
    </w:p>
    <w:p>
      <w:pPr>
        <w:adjustRightInd w:val="0"/>
        <w:snapToGrid w:val="0"/>
        <w:spacing w:line="360" w:lineRule="auto"/>
        <w:ind w:firstLine="420" w:firstLineChars="200"/>
        <w:rPr>
          <w:rFonts w:ascii="宋体" w:hAnsi="宋体"/>
          <w:szCs w:val="21"/>
        </w:rPr>
      </w:pPr>
      <w:r>
        <w:rPr>
          <w:rFonts w:hint="eastAsia" w:ascii="宋体" w:hAnsi="宋体"/>
          <w:szCs w:val="21"/>
        </w:rPr>
        <w:t>34.2属上款第（2）项情形的，评标委员会应出具招标文件没有不合理条款的论证意见。</w:t>
      </w:r>
    </w:p>
    <w:p>
      <w:pPr>
        <w:adjustRightInd w:val="0"/>
        <w:snapToGrid w:val="0"/>
        <w:spacing w:line="360" w:lineRule="auto"/>
        <w:rPr>
          <w:rFonts w:ascii="宋体" w:hAnsi="宋体"/>
          <w:b/>
          <w:sz w:val="24"/>
        </w:rPr>
      </w:pPr>
      <w:r>
        <w:rPr>
          <w:rFonts w:hint="eastAsia" w:ascii="宋体" w:hAnsi="宋体"/>
          <w:b/>
          <w:bCs/>
          <w:sz w:val="24"/>
        </w:rPr>
        <w:t>35.</w:t>
      </w:r>
      <w:r>
        <w:rPr>
          <w:rFonts w:hint="eastAsia" w:ascii="宋体" w:hAnsi="宋体"/>
          <w:b/>
          <w:sz w:val="24"/>
        </w:rPr>
        <w:t>需要补充的其他内容</w:t>
      </w:r>
    </w:p>
    <w:p>
      <w:pPr>
        <w:adjustRightInd w:val="0"/>
        <w:snapToGrid w:val="0"/>
        <w:spacing w:line="360" w:lineRule="auto"/>
        <w:ind w:firstLine="420" w:firstLineChars="200"/>
        <w:rPr>
          <w:rFonts w:ascii="宋体" w:hAnsi="宋体"/>
        </w:rPr>
      </w:pPr>
      <w:r>
        <w:rPr>
          <w:rFonts w:hint="eastAsia" w:ascii="宋体" w:hAnsi="宋体"/>
        </w:rPr>
        <w:t>35.1合同价款支付</w:t>
      </w:r>
    </w:p>
    <w:p>
      <w:pPr>
        <w:adjustRightInd w:val="0"/>
        <w:snapToGrid w:val="0"/>
        <w:spacing w:line="360" w:lineRule="auto"/>
        <w:ind w:firstLine="420" w:firstLineChars="200"/>
        <w:rPr>
          <w:rFonts w:ascii="宋体" w:hAnsi="宋体"/>
        </w:rPr>
      </w:pPr>
      <w:r>
        <w:rPr>
          <w:rFonts w:hint="eastAsia" w:ascii="宋体" w:hAnsi="宋体"/>
        </w:rPr>
        <w:t>（1）招标文件</w:t>
      </w:r>
      <w:r>
        <w:rPr>
          <w:rFonts w:hint="eastAsia" w:ascii="宋体" w:hAnsi="宋体"/>
          <w:bCs/>
          <w:szCs w:val="21"/>
        </w:rPr>
        <w:t>规定支付合同预付款的，采购人应按</w:t>
      </w:r>
      <w:r>
        <w:rPr>
          <w:rFonts w:hint="eastAsia" w:ascii="宋体" w:hAnsi="宋体"/>
          <w:b/>
          <w:szCs w:val="21"/>
        </w:rPr>
        <w:t>【投标须知前附表】</w:t>
      </w:r>
      <w:r>
        <w:rPr>
          <w:rFonts w:hint="eastAsia" w:ascii="宋体" w:hAnsi="宋体"/>
          <w:bCs/>
          <w:szCs w:val="21"/>
        </w:rPr>
        <w:t>规定的支付比例和支付条件向符合要求的中标供应商及时支付相应款项，并在政府采购合同中进行明确。</w:t>
      </w:r>
    </w:p>
    <w:p>
      <w:pPr>
        <w:adjustRightInd w:val="0"/>
        <w:snapToGrid w:val="0"/>
        <w:spacing w:line="360" w:lineRule="auto"/>
        <w:ind w:firstLine="420" w:firstLineChars="200"/>
        <w:rPr>
          <w:rFonts w:ascii="宋体" w:hAnsi="宋体"/>
        </w:rPr>
      </w:pPr>
      <w:r>
        <w:rPr>
          <w:rFonts w:hint="eastAsia" w:ascii="宋体" w:hAnsi="宋体"/>
        </w:rPr>
        <w:t>（2）招标文件</w:t>
      </w:r>
      <w:r>
        <w:rPr>
          <w:rFonts w:hint="eastAsia" w:ascii="宋体" w:hAnsi="宋体"/>
          <w:bCs/>
        </w:rPr>
        <w:t>规定需提交质量保证金的，采购人可以按</w:t>
      </w:r>
      <w:r>
        <w:rPr>
          <w:rFonts w:hint="eastAsia" w:ascii="宋体" w:hAnsi="宋体"/>
          <w:b/>
        </w:rPr>
        <w:t>【投标须知前附表】</w:t>
      </w:r>
      <w:r>
        <w:rPr>
          <w:rFonts w:hint="eastAsia" w:ascii="宋体" w:hAnsi="宋体"/>
          <w:bCs/>
        </w:rPr>
        <w:t>规定要求中标供应商提交质量保证金，并在政府采购合同中进行明确。</w:t>
      </w:r>
    </w:p>
    <w:p>
      <w:pPr>
        <w:adjustRightInd w:val="0"/>
        <w:snapToGrid w:val="0"/>
        <w:spacing w:line="360" w:lineRule="auto"/>
        <w:ind w:firstLine="420" w:firstLineChars="200"/>
        <w:rPr>
          <w:rFonts w:ascii="宋体" w:hAnsi="宋体"/>
        </w:rPr>
      </w:pPr>
      <w:r>
        <w:rPr>
          <w:rFonts w:hint="eastAsia" w:ascii="宋体" w:hAnsi="宋体"/>
          <w:bCs/>
        </w:rPr>
        <w:t>（3）投标人可以保函、电子增信替代预付款担保、质量保证金。</w:t>
      </w:r>
    </w:p>
    <w:p>
      <w:pPr>
        <w:adjustRightInd w:val="0"/>
        <w:snapToGrid w:val="0"/>
        <w:spacing w:line="360" w:lineRule="auto"/>
        <w:ind w:firstLine="420" w:firstLineChars="200"/>
        <w:rPr>
          <w:rFonts w:ascii="宋体" w:hAnsi="宋体"/>
          <w:szCs w:val="21"/>
        </w:rPr>
      </w:pPr>
      <w:r>
        <w:rPr>
          <w:rFonts w:hint="eastAsia" w:ascii="宋体" w:hAnsi="宋体"/>
        </w:rPr>
        <w:t>35.2招标文件需要补充的其</w:t>
      </w:r>
      <w:r>
        <w:rPr>
          <w:rFonts w:hint="eastAsia" w:ascii="宋体" w:hAnsi="宋体"/>
          <w:szCs w:val="21"/>
        </w:rPr>
        <w:t>他内容见</w:t>
      </w:r>
      <w:r>
        <w:rPr>
          <w:rFonts w:hint="eastAsia" w:ascii="宋体" w:hAnsi="宋体"/>
          <w:b/>
          <w:szCs w:val="21"/>
        </w:rPr>
        <w:t>【投标须知前附表】</w:t>
      </w:r>
      <w:r>
        <w:rPr>
          <w:rFonts w:hint="eastAsia" w:ascii="宋体" w:hAnsi="宋体"/>
          <w:szCs w:val="21"/>
        </w:rPr>
        <w:t>。</w:t>
      </w:r>
    </w:p>
    <w:p>
      <w:pPr>
        <w:pStyle w:val="25"/>
        <w:adjustRightInd w:val="0"/>
        <w:snapToGrid w:val="0"/>
        <w:spacing w:before="156" w:beforeLines="50" w:line="360" w:lineRule="auto"/>
        <w:jc w:val="center"/>
        <w:outlineLvl w:val="0"/>
        <w:rPr>
          <w:rFonts w:ascii="黑体" w:hAnsi="黑体" w:eastAsia="黑体"/>
          <w:b/>
          <w:sz w:val="32"/>
          <w:szCs w:val="32"/>
        </w:rPr>
      </w:pPr>
      <w:r>
        <w:rPr>
          <w:rFonts w:hAnsi="宋体"/>
        </w:rPr>
        <w:br w:type="page"/>
      </w:r>
      <w:bookmarkStart w:id="251" w:name="_Toc75289559"/>
      <w:bookmarkStart w:id="252" w:name="_Toc77199410"/>
      <w:bookmarkStart w:id="253" w:name="_Toc85972941"/>
      <w:bookmarkStart w:id="254" w:name="_Toc78449966"/>
      <w:bookmarkStart w:id="255" w:name="_Toc27253"/>
      <w:bookmarkStart w:id="256" w:name="_Toc15888495"/>
      <w:bookmarkStart w:id="257" w:name="_Toc108341948"/>
      <w:bookmarkStart w:id="258" w:name="_Toc77676477"/>
      <w:bookmarkStart w:id="259" w:name="_Toc95601376"/>
      <w:bookmarkStart w:id="260" w:name="_Toc75289237"/>
      <w:bookmarkStart w:id="261" w:name="_Toc112594268"/>
      <w:bookmarkStart w:id="262" w:name="_Toc100670432"/>
      <w:bookmarkStart w:id="263" w:name="_Toc100670679"/>
      <w:bookmarkStart w:id="264" w:name="_Toc13600"/>
      <w:bookmarkStart w:id="265" w:name="_Toc94367891"/>
      <w:bookmarkStart w:id="266" w:name="_Toc591"/>
      <w:bookmarkStart w:id="267" w:name="_Toc24655"/>
      <w:bookmarkStart w:id="268" w:name="_Toc78314273"/>
      <w:bookmarkStart w:id="269" w:name="_Toc13418"/>
      <w:r>
        <w:rPr>
          <w:rFonts w:hint="eastAsia" w:ascii="黑体" w:hAnsi="黑体" w:eastAsia="黑体"/>
          <w:b/>
          <w:sz w:val="32"/>
          <w:szCs w:val="32"/>
        </w:rPr>
        <w:t>第三章 资格审查</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5"/>
        <w:adjustRightInd w:val="0"/>
        <w:snapToGrid w:val="0"/>
        <w:spacing w:before="0" w:after="0" w:line="360" w:lineRule="auto"/>
        <w:rPr>
          <w:rFonts w:ascii="宋体" w:hAnsi="宋体"/>
          <w:sz w:val="24"/>
          <w:szCs w:val="24"/>
        </w:rPr>
      </w:pPr>
      <w:bookmarkStart w:id="270" w:name="_Toc112594269"/>
      <w:bookmarkStart w:id="271" w:name="_Toc10582"/>
      <w:bookmarkStart w:id="272" w:name="_Toc32689"/>
      <w:bookmarkStart w:id="273" w:name="_Toc13578"/>
      <w:bookmarkStart w:id="274" w:name="_Toc78449967"/>
      <w:bookmarkStart w:id="275" w:name="_Toc100670433"/>
      <w:bookmarkStart w:id="276" w:name="_Toc77199411"/>
      <w:bookmarkStart w:id="277" w:name="_Toc9299"/>
      <w:bookmarkStart w:id="278" w:name="_Toc15888496"/>
      <w:bookmarkStart w:id="279" w:name="_Toc94367892"/>
      <w:bookmarkStart w:id="280" w:name="_Toc78314274"/>
      <w:bookmarkStart w:id="281" w:name="_Toc85972942"/>
      <w:bookmarkStart w:id="282" w:name="_Toc108341949"/>
      <w:bookmarkStart w:id="283" w:name="_Toc75289238"/>
      <w:bookmarkStart w:id="284" w:name="_Toc95601377"/>
      <w:bookmarkStart w:id="285" w:name="_Toc12317"/>
      <w:bookmarkStart w:id="286" w:name="_Toc75289560"/>
      <w:bookmarkStart w:id="287" w:name="_Toc77676478"/>
      <w:bookmarkStart w:id="288" w:name="_Toc100670680"/>
      <w:r>
        <w:rPr>
          <w:rFonts w:hint="eastAsia" w:ascii="黑体" w:hAnsi="黑体" w:eastAsia="黑体"/>
          <w:sz w:val="24"/>
          <w:szCs w:val="24"/>
        </w:rPr>
        <w:t>1．</w:t>
      </w:r>
      <w:r>
        <w:rPr>
          <w:rFonts w:hint="eastAsia" w:ascii="宋体" w:hAnsi="宋体"/>
          <w:sz w:val="24"/>
          <w:szCs w:val="24"/>
        </w:rPr>
        <w:t>资格审查主体</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adjustRightInd w:val="0"/>
        <w:snapToGrid w:val="0"/>
        <w:spacing w:line="360" w:lineRule="auto"/>
        <w:ind w:firstLine="417" w:firstLineChars="199"/>
        <w:rPr>
          <w:rFonts w:ascii="宋体" w:hAnsi="宋体"/>
          <w:szCs w:val="21"/>
        </w:rPr>
      </w:pPr>
      <w:r>
        <w:rPr>
          <w:rFonts w:hint="eastAsia" w:ascii="宋体" w:hAnsi="宋体"/>
          <w:szCs w:val="21"/>
        </w:rPr>
        <w:t>1.1资格审查主体：采购人、采购代理机构负责资格审查。</w:t>
      </w:r>
    </w:p>
    <w:p>
      <w:pPr>
        <w:pStyle w:val="5"/>
        <w:adjustRightInd w:val="0"/>
        <w:snapToGrid w:val="0"/>
        <w:spacing w:before="0" w:after="0" w:line="360" w:lineRule="auto"/>
        <w:rPr>
          <w:rFonts w:ascii="宋体" w:hAnsi="宋体"/>
          <w:sz w:val="24"/>
          <w:szCs w:val="24"/>
        </w:rPr>
      </w:pPr>
      <w:bookmarkStart w:id="289" w:name="_Toc100670681"/>
      <w:bookmarkStart w:id="290" w:name="_Toc77676479"/>
      <w:bookmarkStart w:id="291" w:name="_Toc78449968"/>
      <w:bookmarkStart w:id="292" w:name="_Toc100670434"/>
      <w:bookmarkStart w:id="293" w:name="_Toc77199412"/>
      <w:bookmarkStart w:id="294" w:name="_Toc108341950"/>
      <w:bookmarkStart w:id="295" w:name="_Toc112594270"/>
      <w:bookmarkStart w:id="296" w:name="_Toc12528"/>
      <w:bookmarkStart w:id="297" w:name="_Toc95601378"/>
      <w:bookmarkStart w:id="298" w:name="_Toc15888497"/>
      <w:bookmarkStart w:id="299" w:name="_Toc15326"/>
      <w:bookmarkStart w:id="300" w:name="_Toc23793"/>
      <w:bookmarkStart w:id="301" w:name="_Toc13504"/>
      <w:bookmarkStart w:id="302" w:name="_Toc75289561"/>
      <w:bookmarkStart w:id="303" w:name="_Toc78314275"/>
      <w:bookmarkStart w:id="304" w:name="_Toc85972943"/>
      <w:bookmarkStart w:id="305" w:name="_Toc94367893"/>
      <w:bookmarkStart w:id="306" w:name="_Toc75289239"/>
      <w:bookmarkStart w:id="307" w:name="_Toc14613"/>
      <w:r>
        <w:rPr>
          <w:rFonts w:hint="eastAsia" w:ascii="宋体" w:hAnsi="宋体"/>
          <w:sz w:val="24"/>
          <w:szCs w:val="24"/>
        </w:rPr>
        <w:t>2．资格审查</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adjustRightInd w:val="0"/>
        <w:snapToGrid w:val="0"/>
        <w:spacing w:line="360" w:lineRule="auto"/>
        <w:ind w:firstLine="420" w:firstLineChars="200"/>
        <w:rPr>
          <w:rFonts w:ascii="宋体" w:hAnsi="宋体"/>
          <w:szCs w:val="21"/>
        </w:rPr>
      </w:pPr>
      <w:r>
        <w:rPr>
          <w:rFonts w:hint="eastAsia" w:ascii="宋体" w:hAnsi="宋体"/>
          <w:szCs w:val="21"/>
        </w:rPr>
        <w:t>2.1资格审查依据法律法规和招标文件的规定，对投标文件中的资格证明文件、投标报价等进行审查，以确定投标供应商是否具备投标资格。</w:t>
      </w:r>
    </w:p>
    <w:p>
      <w:pPr>
        <w:adjustRightInd w:val="0"/>
        <w:snapToGrid w:val="0"/>
        <w:spacing w:line="360" w:lineRule="auto"/>
        <w:ind w:firstLine="420" w:firstLineChars="200"/>
        <w:rPr>
          <w:rFonts w:ascii="宋体" w:hAnsi="宋体"/>
          <w:szCs w:val="21"/>
        </w:rPr>
      </w:pPr>
      <w:r>
        <w:rPr>
          <w:rFonts w:hint="eastAsia" w:ascii="宋体" w:hAnsi="宋体"/>
          <w:szCs w:val="21"/>
        </w:rPr>
        <w:t>2.2采购人、采购代理机构按本章附表1“资格审查表”所列审查项目及审查标准，对投标人资格进行审查。</w:t>
      </w:r>
    </w:p>
    <w:p>
      <w:pPr>
        <w:adjustRightInd w:val="0"/>
        <w:snapToGrid w:val="0"/>
        <w:spacing w:line="360" w:lineRule="auto"/>
        <w:ind w:firstLine="420" w:firstLineChars="200"/>
        <w:rPr>
          <w:rFonts w:ascii="宋体" w:hAnsi="宋体"/>
          <w:szCs w:val="21"/>
        </w:rPr>
      </w:pPr>
      <w:r>
        <w:rPr>
          <w:rFonts w:hint="eastAsia" w:ascii="宋体" w:hAnsi="宋体"/>
          <w:szCs w:val="21"/>
        </w:rPr>
        <w:t>2.3在资格审查时，投标人存在下列情况之一的，资格审查不合格，其投标无效：</w:t>
      </w:r>
    </w:p>
    <w:p>
      <w:pPr>
        <w:adjustRightInd w:val="0"/>
        <w:snapToGrid w:val="0"/>
        <w:spacing w:line="360" w:lineRule="auto"/>
        <w:ind w:firstLine="420" w:firstLineChars="200"/>
        <w:rPr>
          <w:rFonts w:ascii="宋体" w:hAnsi="宋体"/>
          <w:szCs w:val="21"/>
        </w:rPr>
      </w:pPr>
      <w:r>
        <w:rPr>
          <w:rFonts w:hint="eastAsia" w:ascii="宋体" w:hAnsi="宋体"/>
          <w:szCs w:val="21"/>
        </w:rPr>
        <w:t>（1）不具备招标文件中规定的资格要求的，或提交的资格证明文件不符合招标文件要求的；</w:t>
      </w:r>
    </w:p>
    <w:p>
      <w:pPr>
        <w:adjustRightInd w:val="0"/>
        <w:snapToGrid w:val="0"/>
        <w:spacing w:line="360" w:lineRule="auto"/>
        <w:ind w:firstLine="420" w:firstLineChars="200"/>
        <w:rPr>
          <w:rFonts w:ascii="宋体" w:hAnsi="宋体"/>
          <w:szCs w:val="21"/>
        </w:rPr>
      </w:pPr>
      <w:r>
        <w:rPr>
          <w:rFonts w:hint="eastAsia" w:ascii="宋体" w:hAnsi="宋体"/>
          <w:szCs w:val="21"/>
        </w:rPr>
        <w:t>（2）联合体投标未提交联合体协议书，或未提交联合体各方资格证明文件的；</w:t>
      </w:r>
    </w:p>
    <w:p>
      <w:pPr>
        <w:adjustRightInd w:val="0"/>
        <w:snapToGrid w:val="0"/>
        <w:spacing w:line="360" w:lineRule="auto"/>
        <w:ind w:firstLine="420" w:firstLineChars="200"/>
        <w:rPr>
          <w:rFonts w:ascii="宋体" w:hAnsi="宋体"/>
          <w:szCs w:val="21"/>
        </w:rPr>
      </w:pPr>
      <w:r>
        <w:rPr>
          <w:rFonts w:hint="eastAsia" w:ascii="宋体" w:hAnsi="宋体"/>
          <w:szCs w:val="21"/>
        </w:rPr>
        <w:t>（3）投标文件的资格证明文件未按照招标文件要求签署、盖章的；</w:t>
      </w:r>
    </w:p>
    <w:p>
      <w:pPr>
        <w:adjustRightInd w:val="0"/>
        <w:snapToGrid w:val="0"/>
        <w:spacing w:line="360" w:lineRule="auto"/>
        <w:ind w:firstLine="420" w:firstLineChars="200"/>
        <w:rPr>
          <w:rFonts w:ascii="宋体" w:hAnsi="宋体"/>
          <w:szCs w:val="21"/>
        </w:rPr>
      </w:pPr>
      <w:r>
        <w:rPr>
          <w:rFonts w:hint="eastAsia" w:ascii="宋体" w:hAnsi="宋体"/>
          <w:szCs w:val="21"/>
        </w:rPr>
        <w:t>（4）投标报价超过招标文件中规定的预算金额或者最高限价的；</w:t>
      </w:r>
    </w:p>
    <w:p>
      <w:pPr>
        <w:adjustRightInd w:val="0"/>
        <w:snapToGrid w:val="0"/>
        <w:spacing w:line="360" w:lineRule="auto"/>
        <w:ind w:firstLine="420" w:firstLineChars="200"/>
        <w:rPr>
          <w:rFonts w:ascii="宋体" w:hAnsi="宋体"/>
          <w:szCs w:val="21"/>
        </w:rPr>
      </w:pPr>
      <w:r>
        <w:rPr>
          <w:rFonts w:hint="eastAsia" w:ascii="宋体" w:hAnsi="宋体"/>
          <w:szCs w:val="21"/>
        </w:rPr>
        <w:t>（5）法律、法规和招标文件规定的其他投标无效情形的。</w:t>
      </w:r>
    </w:p>
    <w:p>
      <w:pPr>
        <w:adjustRightInd w:val="0"/>
        <w:snapToGrid w:val="0"/>
        <w:spacing w:line="360" w:lineRule="auto"/>
        <w:ind w:firstLine="420" w:firstLineChars="200"/>
        <w:rPr>
          <w:rFonts w:ascii="宋体" w:hAnsi="宋体"/>
          <w:b/>
          <w:sz w:val="32"/>
          <w:szCs w:val="32"/>
        </w:rPr>
      </w:pPr>
      <w:r>
        <w:rPr>
          <w:rFonts w:hint="eastAsia" w:ascii="宋体" w:hAnsi="宋体"/>
        </w:rPr>
        <w:t>2.4信用记录。开标结束后</w:t>
      </w:r>
      <w:r>
        <w:rPr>
          <w:rFonts w:hint="eastAsia" w:ascii="宋体" w:hAnsi="宋体"/>
          <w:szCs w:val="21"/>
        </w:rPr>
        <w:t>资格审查时，采购人、采购代理机构将对投标人信用记录进行甄别。</w:t>
      </w:r>
    </w:p>
    <w:p>
      <w:pPr>
        <w:adjustRightInd w:val="0"/>
        <w:snapToGrid w:val="0"/>
        <w:spacing w:line="360" w:lineRule="auto"/>
        <w:ind w:firstLine="420" w:firstLineChars="200"/>
        <w:rPr>
          <w:rFonts w:ascii="宋体" w:hAnsi="宋体"/>
          <w:szCs w:val="21"/>
        </w:rPr>
      </w:pPr>
      <w:bookmarkStart w:id="308" w:name="OLE_LINK5"/>
      <w:r>
        <w:rPr>
          <w:rFonts w:hint="eastAsia" w:ascii="宋体" w:hAnsi="宋体"/>
          <w:szCs w:val="21"/>
        </w:rPr>
        <w:t>（1）信用信息查询的查询渠道：信用中国网（www.creditchina.gov.cn）、中国政府采购网（www.ccgp.gov.cn）；</w:t>
      </w:r>
    </w:p>
    <w:p>
      <w:pPr>
        <w:adjustRightInd w:val="0"/>
        <w:snapToGrid w:val="0"/>
        <w:spacing w:line="360" w:lineRule="auto"/>
        <w:ind w:firstLine="420" w:firstLineChars="200"/>
        <w:rPr>
          <w:rFonts w:ascii="宋体" w:hAnsi="宋体" w:eastAsia="宋体" w:cs="Times New Roman"/>
          <w:szCs w:val="21"/>
        </w:rPr>
      </w:pPr>
      <w:r>
        <w:rPr>
          <w:rFonts w:hint="eastAsia" w:ascii="宋体" w:hAnsi="宋体"/>
          <w:szCs w:val="21"/>
        </w:rPr>
        <w:t>（2）不良信用记录是指：投标人在“信用中国”网站被列入失信被执行人和重大税收违法案件当事人名单，或在“中国政府采购网”网站被列入政府采购严重违法失信行为记录名单。投标人有上述不良</w:t>
      </w:r>
      <w:r>
        <w:rPr>
          <w:rFonts w:hint="eastAsia" w:ascii="宋体" w:hAnsi="宋体" w:eastAsia="宋体" w:cs="Times New Roman"/>
          <w:szCs w:val="21"/>
        </w:rPr>
        <w:t>信用记录的，其投标无效，其中，列入政府采购严重违法失信行为记录名单的，按处罚结果执行。</w:t>
      </w:r>
    </w:p>
    <w:p>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（3）联合体形式投标的，联合体成员存在不良信用记录的，视同联合体存在不良信用记录。</w:t>
      </w:r>
    </w:p>
    <w:p>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（4）信用信息查询记录和证据留存具体方式：采购人、采购代理机构</w:t>
      </w:r>
      <w:r>
        <w:rPr>
          <w:rFonts w:ascii="宋体" w:hAnsi="宋体" w:eastAsia="宋体" w:cs="Times New Roman"/>
          <w:szCs w:val="21"/>
        </w:rPr>
        <w:t>经办人将查询网页</w:t>
      </w:r>
      <w:r>
        <w:rPr>
          <w:rFonts w:hint="eastAsia" w:ascii="宋体" w:hAnsi="宋体" w:eastAsia="宋体" w:cs="Times New Roman"/>
          <w:szCs w:val="21"/>
        </w:rPr>
        <w:t>截图、</w:t>
      </w:r>
      <w:r>
        <w:rPr>
          <w:rFonts w:ascii="宋体" w:hAnsi="宋体" w:eastAsia="宋体" w:cs="Times New Roman"/>
          <w:szCs w:val="21"/>
        </w:rPr>
        <w:t>打印、签字</w:t>
      </w:r>
      <w:r>
        <w:rPr>
          <w:rFonts w:hint="eastAsia" w:ascii="宋体" w:hAnsi="宋体" w:eastAsia="宋体" w:cs="Times New Roman"/>
          <w:szCs w:val="21"/>
        </w:rPr>
        <w:t>，作为查询记录和证据，与其他采购文件一并保存。</w:t>
      </w:r>
      <w:r>
        <w:rPr>
          <w:rFonts w:ascii="宋体" w:hAnsi="宋体" w:eastAsia="宋体" w:cs="Times New Roman"/>
          <w:szCs w:val="21"/>
        </w:rPr>
        <w:t>投标人不良信用记录以</w:t>
      </w:r>
      <w:r>
        <w:rPr>
          <w:rFonts w:hint="eastAsia" w:ascii="宋体" w:hAnsi="宋体" w:eastAsia="宋体" w:cs="Times New Roman"/>
          <w:szCs w:val="21"/>
        </w:rPr>
        <w:t>采购人、采购代理机构</w:t>
      </w:r>
      <w:r>
        <w:rPr>
          <w:rFonts w:ascii="宋体" w:hAnsi="宋体" w:eastAsia="宋体" w:cs="Times New Roman"/>
          <w:szCs w:val="21"/>
        </w:rPr>
        <w:t>查询结果为准</w:t>
      </w:r>
      <w:r>
        <w:rPr>
          <w:rFonts w:hint="eastAsia" w:ascii="宋体" w:hAnsi="宋体" w:eastAsia="宋体" w:cs="Times New Roman"/>
          <w:szCs w:val="21"/>
        </w:rPr>
        <w:t>。</w:t>
      </w:r>
    </w:p>
    <w:bookmarkEnd w:id="308"/>
    <w:p>
      <w:pPr>
        <w:pStyle w:val="5"/>
        <w:adjustRightInd w:val="0"/>
        <w:snapToGrid w:val="0"/>
        <w:spacing w:before="0" w:after="0" w:line="360" w:lineRule="auto"/>
        <w:rPr>
          <w:rFonts w:ascii="宋体" w:hAnsi="宋体"/>
          <w:sz w:val="24"/>
          <w:szCs w:val="24"/>
        </w:rPr>
      </w:pPr>
      <w:bookmarkStart w:id="309" w:name="_Toc77676480"/>
      <w:bookmarkStart w:id="310" w:name="_Toc100670435"/>
      <w:bookmarkStart w:id="311" w:name="_Toc112594271"/>
      <w:bookmarkStart w:id="312" w:name="_Toc78314276"/>
      <w:bookmarkStart w:id="313" w:name="_Toc30058"/>
      <w:bookmarkStart w:id="314" w:name="_Toc29295"/>
      <w:bookmarkStart w:id="315" w:name="_Toc75289240"/>
      <w:bookmarkStart w:id="316" w:name="_Toc15888498"/>
      <w:bookmarkStart w:id="317" w:name="_Toc95601379"/>
      <w:bookmarkStart w:id="318" w:name="_Toc12574"/>
      <w:bookmarkStart w:id="319" w:name="_Toc75289562"/>
      <w:bookmarkStart w:id="320" w:name="_Toc664"/>
      <w:bookmarkStart w:id="321" w:name="_Toc77199413"/>
      <w:bookmarkStart w:id="322" w:name="_Toc100670682"/>
      <w:bookmarkStart w:id="323" w:name="_Toc78449969"/>
      <w:bookmarkStart w:id="324" w:name="_Toc85972944"/>
      <w:bookmarkStart w:id="325" w:name="_Toc22906"/>
      <w:bookmarkStart w:id="326" w:name="_Toc94367894"/>
      <w:bookmarkStart w:id="327" w:name="_Toc108341951"/>
      <w:r>
        <w:rPr>
          <w:rFonts w:hint="eastAsia" w:ascii="宋体" w:hAnsi="宋体"/>
          <w:sz w:val="24"/>
          <w:szCs w:val="24"/>
        </w:rPr>
        <w:t>3．资格审查结果</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adjustRightInd w:val="0"/>
        <w:snapToGrid w:val="0"/>
        <w:spacing w:line="360" w:lineRule="auto"/>
        <w:ind w:firstLine="420" w:firstLineChars="200"/>
        <w:rPr>
          <w:rFonts w:ascii="宋体" w:hAnsi="宋体"/>
          <w:szCs w:val="21"/>
        </w:rPr>
      </w:pPr>
      <w:r>
        <w:rPr>
          <w:rFonts w:hint="eastAsia" w:ascii="宋体" w:hAnsi="宋体"/>
          <w:szCs w:val="21"/>
        </w:rPr>
        <w:t>3.1未通过资格审查的投标人，采购人、采购代理机构应当告知其未通过的原因。</w:t>
      </w:r>
    </w:p>
    <w:p>
      <w:pPr>
        <w:adjustRightInd w:val="0"/>
        <w:snapToGrid w:val="0"/>
        <w:spacing w:line="360" w:lineRule="auto"/>
        <w:ind w:firstLine="420" w:firstLineChars="200"/>
        <w:rPr>
          <w:rFonts w:ascii="宋体" w:hAnsi="宋体"/>
          <w:szCs w:val="21"/>
        </w:rPr>
      </w:pPr>
      <w:r>
        <w:rPr>
          <w:rFonts w:hint="eastAsia" w:ascii="宋体" w:hAnsi="宋体"/>
          <w:szCs w:val="21"/>
        </w:rPr>
        <w:t>3.2资格审查结束后，采购人、采购代理机构应将资格审查结果告知评标委员会。</w:t>
      </w:r>
    </w:p>
    <w:p>
      <w:pPr>
        <w:adjustRightInd w:val="0"/>
        <w:snapToGrid w:val="0"/>
        <w:spacing w:line="360" w:lineRule="auto"/>
        <w:ind w:firstLine="420" w:firstLineChars="200"/>
        <w:rPr>
          <w:rFonts w:ascii="华文中宋" w:hAnsi="华文中宋" w:eastAsia="华文中宋"/>
        </w:rPr>
      </w:pPr>
      <w:r>
        <w:rPr>
          <w:rFonts w:ascii="华文中宋" w:hAnsi="华文中宋" w:eastAsia="华文中宋"/>
        </w:rPr>
        <w:br w:type="page"/>
      </w:r>
      <w:bookmarkStart w:id="328" w:name="_Toc15888500"/>
    </w:p>
    <w:p>
      <w:pPr>
        <w:adjustRightInd w:val="0"/>
        <w:snapToGrid w:val="0"/>
        <w:rPr>
          <w:rFonts w:ascii="黑体" w:hAnsi="黑体"/>
          <w:b/>
          <w:szCs w:val="21"/>
        </w:rPr>
      </w:pPr>
      <w:r>
        <w:rPr>
          <w:rFonts w:hint="eastAsia" w:ascii="黑体" w:hAnsi="黑体"/>
          <w:b/>
          <w:szCs w:val="21"/>
        </w:rPr>
        <w:t>附表1</w:t>
      </w:r>
      <w:r>
        <w:rPr>
          <w:rFonts w:ascii="黑体" w:hAnsi="黑体"/>
          <w:b/>
          <w:szCs w:val="21"/>
        </w:rPr>
        <w:t>资格审查表</w:t>
      </w:r>
      <w:bookmarkEnd w:id="328"/>
    </w:p>
    <w:p>
      <w:pPr>
        <w:pStyle w:val="4"/>
        <w:jc w:val="center"/>
        <w:rPr>
          <w:rFonts w:ascii="黑体" w:hAnsi="黑体" w:eastAsia="黑体"/>
          <w:b w:val="0"/>
          <w:sz w:val="28"/>
          <w:szCs w:val="28"/>
        </w:rPr>
      </w:pPr>
      <w:bookmarkStart w:id="329" w:name="_Toc78314278"/>
      <w:bookmarkStart w:id="330" w:name="_Toc85972946"/>
      <w:bookmarkStart w:id="331" w:name="_Toc11148"/>
      <w:bookmarkStart w:id="332" w:name="_Toc10625"/>
      <w:bookmarkStart w:id="333" w:name="_Toc9448"/>
      <w:bookmarkStart w:id="334" w:name="_Toc78449971"/>
      <w:bookmarkStart w:id="335" w:name="_Toc77676482"/>
      <w:bookmarkStart w:id="336" w:name="_Toc100670437"/>
      <w:bookmarkStart w:id="337" w:name="_Toc75289242"/>
      <w:bookmarkStart w:id="338" w:name="_Toc16324"/>
      <w:bookmarkStart w:id="339" w:name="_Toc100670684"/>
      <w:bookmarkStart w:id="340" w:name="_Toc108341953"/>
      <w:bookmarkStart w:id="341" w:name="_Toc94367896"/>
      <w:bookmarkStart w:id="342" w:name="_Toc75289564"/>
      <w:bookmarkStart w:id="343" w:name="_Toc112594272"/>
      <w:bookmarkStart w:id="344" w:name="_Toc77199415"/>
      <w:bookmarkStart w:id="345" w:name="_Toc25594"/>
      <w:bookmarkStart w:id="346" w:name="_Toc95601381"/>
      <w:r>
        <w:rPr>
          <w:rFonts w:ascii="黑体" w:hAnsi="黑体" w:eastAsia="黑体"/>
          <w:b w:val="0"/>
          <w:sz w:val="28"/>
          <w:szCs w:val="28"/>
        </w:rPr>
        <w:t>资格审查表</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tbl>
      <w:tblPr>
        <w:tblStyle w:val="48"/>
        <w:tblW w:w="8938"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493"/>
        <w:gridCol w:w="5520"/>
        <w:gridCol w:w="128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5" w:hRule="atLeast"/>
          <w:jc w:val="center"/>
        </w:trPr>
        <w:tc>
          <w:tcPr>
            <w:tcW w:w="644" w:type="dxa"/>
            <w:tcBorders>
              <w:right w:val="single" w:color="auto" w:sz="4" w:space="0"/>
            </w:tcBorders>
            <w:vAlign w:val="center"/>
          </w:tcPr>
          <w:p>
            <w:pPr>
              <w:adjustRightInd w:val="0"/>
              <w:snapToGrid w:val="0"/>
              <w:spacing w:line="360" w:lineRule="exact"/>
              <w:jc w:val="center"/>
              <w:rPr>
                <w:rFonts w:ascii="宋体" w:hAnsi="宋体"/>
                <w:b/>
                <w:kern w:val="0"/>
                <w:szCs w:val="21"/>
              </w:rPr>
            </w:pPr>
            <w:r>
              <w:rPr>
                <w:rFonts w:hint="eastAsia" w:ascii="宋体" w:hAnsi="宋体"/>
                <w:b/>
                <w:kern w:val="0"/>
                <w:szCs w:val="21"/>
              </w:rPr>
              <w:t>序号</w:t>
            </w:r>
          </w:p>
        </w:tc>
        <w:tc>
          <w:tcPr>
            <w:tcW w:w="1493" w:type="dxa"/>
            <w:tcBorders>
              <w:left w:val="single" w:color="auto" w:sz="4" w:space="0"/>
            </w:tcBorders>
            <w:vAlign w:val="center"/>
          </w:tcPr>
          <w:p>
            <w:pPr>
              <w:adjustRightInd w:val="0"/>
              <w:snapToGrid w:val="0"/>
              <w:spacing w:line="360" w:lineRule="exact"/>
              <w:jc w:val="center"/>
              <w:rPr>
                <w:rFonts w:ascii="宋体" w:hAnsi="宋体"/>
                <w:b/>
                <w:kern w:val="0"/>
                <w:szCs w:val="21"/>
              </w:rPr>
            </w:pPr>
            <w:r>
              <w:rPr>
                <w:rFonts w:hint="eastAsia" w:ascii="宋体" w:hAnsi="宋体"/>
                <w:b/>
                <w:kern w:val="0"/>
                <w:szCs w:val="21"/>
              </w:rPr>
              <w:t>评审项目名称</w:t>
            </w:r>
          </w:p>
        </w:tc>
        <w:tc>
          <w:tcPr>
            <w:tcW w:w="5520" w:type="dxa"/>
            <w:vAlign w:val="center"/>
          </w:tcPr>
          <w:p>
            <w:pPr>
              <w:adjustRightInd w:val="0"/>
              <w:snapToGrid w:val="0"/>
              <w:spacing w:line="360" w:lineRule="exact"/>
              <w:jc w:val="center"/>
              <w:rPr>
                <w:rFonts w:ascii="宋体" w:hAnsi="宋体"/>
                <w:b/>
                <w:kern w:val="0"/>
                <w:szCs w:val="21"/>
              </w:rPr>
            </w:pPr>
            <w:r>
              <w:rPr>
                <w:rFonts w:hint="eastAsia" w:ascii="宋体" w:hAnsi="宋体"/>
                <w:b/>
                <w:kern w:val="0"/>
                <w:szCs w:val="21"/>
              </w:rPr>
              <w:t>评审标准</w:t>
            </w:r>
          </w:p>
        </w:tc>
        <w:tc>
          <w:tcPr>
            <w:tcW w:w="1281" w:type="dxa"/>
            <w:vAlign w:val="center"/>
          </w:tcPr>
          <w:p>
            <w:pPr>
              <w:adjustRightInd w:val="0"/>
              <w:snapToGrid w:val="0"/>
              <w:spacing w:line="360" w:lineRule="exact"/>
              <w:jc w:val="center"/>
              <w:rPr>
                <w:rFonts w:ascii="宋体" w:hAnsi="宋体"/>
                <w:b/>
                <w:kern w:val="0"/>
                <w:szCs w:val="21"/>
              </w:rPr>
            </w:pPr>
            <w:r>
              <w:rPr>
                <w:rFonts w:ascii="宋体" w:hAnsi="宋体"/>
                <w:b/>
                <w:kern w:val="0"/>
                <w:szCs w:val="21"/>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84" w:hRule="atLeast"/>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1</w:t>
            </w:r>
          </w:p>
        </w:tc>
        <w:tc>
          <w:tcPr>
            <w:tcW w:w="1493" w:type="dxa"/>
            <w:tcBorders>
              <w:lef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营业执照</w:t>
            </w:r>
          </w:p>
        </w:tc>
        <w:tc>
          <w:tcPr>
            <w:tcW w:w="5520" w:type="dxa"/>
            <w:vAlign w:val="center"/>
          </w:tcPr>
          <w:p>
            <w:pPr>
              <w:adjustRightInd w:val="0"/>
              <w:snapToGrid w:val="0"/>
              <w:rPr>
                <w:rFonts w:ascii="宋体" w:hAnsi="宋体"/>
                <w:kern w:val="0"/>
                <w:szCs w:val="21"/>
              </w:rPr>
            </w:pPr>
            <w:r>
              <w:rPr>
                <w:rFonts w:hint="eastAsia" w:ascii="宋体" w:hAnsi="宋体"/>
                <w:szCs w:val="21"/>
              </w:rPr>
              <w:t>营业执照（或法人登记证书）扫描件</w:t>
            </w:r>
          </w:p>
        </w:tc>
        <w:tc>
          <w:tcPr>
            <w:tcW w:w="1281" w:type="dxa"/>
            <w:vAlign w:val="center"/>
          </w:tcPr>
          <w:p>
            <w:pPr>
              <w:adjustRightInd w:val="0"/>
              <w:snapToGrid w:val="0"/>
              <w:jc w:val="center"/>
              <w:rPr>
                <w:rFonts w:ascii="宋体" w:hAnsi="宋体"/>
                <w:kern w:val="0"/>
                <w:szCs w:val="21"/>
              </w:rPr>
            </w:pPr>
            <w:r>
              <w:rPr>
                <w:rFonts w:hint="eastAsia" w:ascii="宋体" w:hAnsi="宋体"/>
                <w:kern w:val="0"/>
                <w:szCs w:val="21"/>
              </w:rPr>
              <w:t>第二章第14款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2</w:t>
            </w:r>
          </w:p>
        </w:tc>
        <w:tc>
          <w:tcPr>
            <w:tcW w:w="1493" w:type="dxa"/>
            <w:tcBorders>
              <w:left w:val="single" w:color="auto" w:sz="4" w:space="0"/>
            </w:tcBorders>
            <w:vAlign w:val="center"/>
          </w:tcPr>
          <w:p>
            <w:pPr>
              <w:adjustRightInd w:val="0"/>
              <w:snapToGrid w:val="0"/>
              <w:jc w:val="center"/>
              <w:rPr>
                <w:rFonts w:ascii="宋体" w:hAnsi="宋体"/>
                <w:kern w:val="0"/>
                <w:szCs w:val="21"/>
              </w:rPr>
            </w:pPr>
            <w:r>
              <w:rPr>
                <w:rFonts w:ascii="宋体" w:hAnsi="宋体"/>
                <w:kern w:val="0"/>
                <w:szCs w:val="21"/>
              </w:rPr>
              <w:t>基本资格条件</w:t>
            </w:r>
          </w:p>
        </w:tc>
        <w:tc>
          <w:tcPr>
            <w:tcW w:w="5520" w:type="dxa"/>
            <w:vAlign w:val="center"/>
          </w:tcPr>
          <w:p>
            <w:pPr>
              <w:adjustRightInd w:val="0"/>
              <w:snapToGrid w:val="0"/>
              <w:rPr>
                <w:rFonts w:hint="default" w:ascii="宋体" w:hAnsi="宋体" w:eastAsia="宋体"/>
                <w:szCs w:val="21"/>
                <w:lang w:val="en-US" w:eastAsia="zh-CN"/>
              </w:rPr>
            </w:pPr>
            <w:r>
              <w:rPr>
                <w:rFonts w:ascii="宋体" w:hAnsi="宋体"/>
                <w:szCs w:val="21"/>
              </w:rPr>
              <w:t>是否提供</w:t>
            </w:r>
            <w:r>
              <w:rPr>
                <w:rFonts w:hint="eastAsia" w:ascii="宋体" w:hAnsi="宋体"/>
                <w:szCs w:val="21"/>
              </w:rPr>
              <w:t>湖南省政府采购供应商资格承诺函</w:t>
            </w:r>
            <w:r>
              <w:rPr>
                <w:rFonts w:hint="eastAsia" w:ascii="宋体" w:hAnsi="宋体"/>
                <w:szCs w:val="21"/>
                <w:lang w:val="en-US" w:eastAsia="zh-CN"/>
              </w:rPr>
              <w:t>及相关资料</w:t>
            </w:r>
          </w:p>
        </w:tc>
        <w:tc>
          <w:tcPr>
            <w:tcW w:w="1281" w:type="dxa"/>
            <w:vAlign w:val="center"/>
          </w:tcPr>
          <w:p>
            <w:pPr>
              <w:adjustRightInd w:val="0"/>
              <w:snapToGrid w:val="0"/>
              <w:jc w:val="center"/>
              <w:rPr>
                <w:rFonts w:ascii="宋体" w:hAnsi="宋体"/>
                <w:kern w:val="0"/>
                <w:szCs w:val="21"/>
              </w:rPr>
            </w:pPr>
            <w:r>
              <w:rPr>
                <w:rFonts w:hint="eastAsia" w:ascii="宋体" w:hAnsi="宋体"/>
                <w:kern w:val="0"/>
                <w:szCs w:val="21"/>
              </w:rPr>
              <w:t>第二章第14款、第</w:t>
            </w:r>
            <w:r>
              <w:rPr>
                <w:rFonts w:ascii="宋体" w:hAnsi="宋体"/>
                <w:kern w:val="0"/>
                <w:sz w:val="20"/>
                <w:szCs w:val="21"/>
              </w:rPr>
              <w:t>19</w:t>
            </w:r>
            <w:r>
              <w:rPr>
                <w:rFonts w:hint="eastAsia" w:ascii="宋体" w:hAnsi="宋体"/>
                <w:kern w:val="0"/>
                <w:sz w:val="20"/>
                <w:szCs w:val="21"/>
              </w:rPr>
              <w:t>.2款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3</w:t>
            </w:r>
          </w:p>
        </w:tc>
        <w:tc>
          <w:tcPr>
            <w:tcW w:w="1493" w:type="dxa"/>
            <w:tcBorders>
              <w:left w:val="single" w:color="auto" w:sz="4" w:space="0"/>
            </w:tcBorders>
            <w:vAlign w:val="center"/>
          </w:tcPr>
          <w:p>
            <w:pPr>
              <w:adjustRightInd w:val="0"/>
              <w:snapToGrid w:val="0"/>
              <w:jc w:val="center"/>
              <w:rPr>
                <w:rFonts w:ascii="宋体" w:hAnsi="宋体"/>
                <w:kern w:val="0"/>
                <w:szCs w:val="21"/>
              </w:rPr>
            </w:pPr>
            <w:r>
              <w:rPr>
                <w:rFonts w:hint="eastAsia" w:ascii="宋体" w:hAnsi="宋体"/>
                <w:kern w:val="1"/>
                <w:szCs w:val="21"/>
              </w:rPr>
              <w:t>特定资格</w:t>
            </w:r>
          </w:p>
        </w:tc>
        <w:tc>
          <w:tcPr>
            <w:tcW w:w="5520" w:type="dxa"/>
            <w:vAlign w:val="center"/>
          </w:tcPr>
          <w:p>
            <w:pPr>
              <w:adjustRightInd w:val="0"/>
              <w:snapToGrid w:val="0"/>
              <w:spacing w:line="360" w:lineRule="exact"/>
              <w:rPr>
                <w:rFonts w:ascii="宋体" w:hAnsi="宋体"/>
                <w:kern w:val="1"/>
                <w:szCs w:val="21"/>
              </w:rPr>
            </w:pPr>
            <w:r>
              <w:rPr>
                <w:rFonts w:hint="eastAsia" w:ascii="宋体" w:hAnsi="宋体"/>
                <w:kern w:val="1"/>
                <w:szCs w:val="21"/>
              </w:rPr>
              <w:t>是否满足招标文件的要求</w:t>
            </w:r>
          </w:p>
        </w:tc>
        <w:tc>
          <w:tcPr>
            <w:tcW w:w="1281" w:type="dxa"/>
            <w:vAlign w:val="center"/>
          </w:tcPr>
          <w:p>
            <w:pPr>
              <w:jc w:val="center"/>
              <w:rPr>
                <w:rFonts w:ascii="宋体" w:hAnsi="宋体"/>
                <w:kern w:val="0"/>
                <w:szCs w:val="21"/>
              </w:rPr>
            </w:pPr>
            <w:r>
              <w:rPr>
                <w:rFonts w:hint="eastAsia" w:ascii="宋体" w:hAnsi="宋体"/>
                <w:kern w:val="0"/>
                <w:szCs w:val="21"/>
              </w:rPr>
              <w:t>第二章第14款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4</w:t>
            </w:r>
          </w:p>
        </w:tc>
        <w:tc>
          <w:tcPr>
            <w:tcW w:w="1493" w:type="dxa"/>
            <w:tcBorders>
              <w:lef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联合体</w:t>
            </w:r>
          </w:p>
        </w:tc>
        <w:tc>
          <w:tcPr>
            <w:tcW w:w="5520" w:type="dxa"/>
            <w:vAlign w:val="center"/>
          </w:tcPr>
          <w:p>
            <w:pPr>
              <w:adjustRightInd w:val="0"/>
              <w:snapToGrid w:val="0"/>
              <w:spacing w:before="156" w:beforeLines="50" w:line="360" w:lineRule="auto"/>
              <w:rPr>
                <w:rFonts w:ascii="宋体" w:hAnsi="宋体"/>
                <w:kern w:val="0"/>
                <w:szCs w:val="21"/>
              </w:rPr>
            </w:pPr>
            <w:r>
              <w:rPr>
                <w:rFonts w:hint="eastAsia" w:ascii="宋体" w:hAnsi="宋体"/>
                <w:kern w:val="0"/>
                <w:szCs w:val="21"/>
              </w:rPr>
              <w:t>是否联合体投标</w:t>
            </w:r>
          </w:p>
        </w:tc>
        <w:tc>
          <w:tcPr>
            <w:tcW w:w="1281" w:type="dxa"/>
            <w:vAlign w:val="center"/>
          </w:tcPr>
          <w:p>
            <w:pPr>
              <w:jc w:val="center"/>
              <w:rPr>
                <w:rFonts w:ascii="宋体" w:hAnsi="宋体"/>
              </w:rPr>
            </w:pPr>
            <w:r>
              <w:rPr>
                <w:rFonts w:hint="eastAsia" w:ascii="宋体" w:hAnsi="宋体"/>
                <w:kern w:val="0"/>
                <w:szCs w:val="21"/>
              </w:rPr>
              <w:t>第二章第3款、第14款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5</w:t>
            </w:r>
          </w:p>
        </w:tc>
        <w:tc>
          <w:tcPr>
            <w:tcW w:w="1493" w:type="dxa"/>
            <w:tcBorders>
              <w:lef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文件的编制、签署、盖章</w:t>
            </w:r>
          </w:p>
        </w:tc>
        <w:tc>
          <w:tcPr>
            <w:tcW w:w="5520" w:type="dxa"/>
            <w:vAlign w:val="center"/>
          </w:tcPr>
          <w:p>
            <w:pPr>
              <w:adjustRightInd w:val="0"/>
              <w:snapToGrid w:val="0"/>
              <w:spacing w:before="156" w:beforeLines="50" w:line="360" w:lineRule="auto"/>
              <w:rPr>
                <w:rFonts w:ascii="宋体" w:hAnsi="宋体"/>
                <w:kern w:val="0"/>
                <w:szCs w:val="21"/>
              </w:rPr>
            </w:pPr>
            <w:r>
              <w:rPr>
                <w:rFonts w:hint="eastAsia" w:ascii="宋体" w:hAnsi="宋体"/>
                <w:kern w:val="0"/>
                <w:szCs w:val="21"/>
              </w:rPr>
              <w:t>资格证明文件的编制、签署、盖章</w:t>
            </w:r>
            <w:r>
              <w:rPr>
                <w:rFonts w:hint="eastAsia" w:ascii="宋体" w:hAnsi="宋体"/>
                <w:kern w:val="1"/>
                <w:szCs w:val="21"/>
              </w:rPr>
              <w:t>是否满足招标文件的要求</w:t>
            </w:r>
          </w:p>
        </w:tc>
        <w:tc>
          <w:tcPr>
            <w:tcW w:w="1281" w:type="dxa"/>
            <w:vAlign w:val="center"/>
          </w:tcPr>
          <w:p>
            <w:pPr>
              <w:adjustRightInd w:val="0"/>
              <w:snapToGrid w:val="0"/>
              <w:jc w:val="center"/>
              <w:rPr>
                <w:rFonts w:ascii="宋体" w:hAnsi="宋体"/>
                <w:kern w:val="0"/>
                <w:sz w:val="20"/>
                <w:szCs w:val="21"/>
              </w:rPr>
            </w:pPr>
            <w:r>
              <w:rPr>
                <w:rFonts w:hint="eastAsia" w:ascii="宋体" w:hAnsi="宋体"/>
                <w:kern w:val="0"/>
                <w:szCs w:val="21"/>
              </w:rPr>
              <w:t>第二章第</w:t>
            </w:r>
            <w:r>
              <w:rPr>
                <w:rFonts w:ascii="宋体" w:hAnsi="宋体"/>
                <w:kern w:val="0"/>
                <w:szCs w:val="21"/>
              </w:rPr>
              <w:t>14.3</w:t>
            </w:r>
            <w:r>
              <w:rPr>
                <w:rFonts w:hint="eastAsia" w:ascii="宋体" w:hAnsi="宋体"/>
                <w:kern w:val="0"/>
                <w:szCs w:val="21"/>
              </w:rPr>
              <w:t>款、第</w:t>
            </w:r>
            <w:r>
              <w:rPr>
                <w:rFonts w:ascii="宋体" w:hAnsi="宋体"/>
                <w:kern w:val="0"/>
                <w:sz w:val="20"/>
                <w:szCs w:val="21"/>
              </w:rPr>
              <w:t>19</w:t>
            </w:r>
            <w:r>
              <w:rPr>
                <w:rFonts w:hint="eastAsia" w:ascii="宋体" w:hAnsi="宋体"/>
                <w:kern w:val="0"/>
                <w:sz w:val="20"/>
                <w:szCs w:val="21"/>
              </w:rPr>
              <w:t>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6</w:t>
            </w:r>
          </w:p>
        </w:tc>
        <w:tc>
          <w:tcPr>
            <w:tcW w:w="1493" w:type="dxa"/>
            <w:tcBorders>
              <w:lef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投标报价</w:t>
            </w:r>
          </w:p>
        </w:tc>
        <w:tc>
          <w:tcPr>
            <w:tcW w:w="5520" w:type="dxa"/>
            <w:vAlign w:val="center"/>
          </w:tcPr>
          <w:p>
            <w:pPr>
              <w:adjustRightInd w:val="0"/>
              <w:snapToGrid w:val="0"/>
              <w:spacing w:before="156" w:beforeLines="50" w:line="360" w:lineRule="auto"/>
              <w:rPr>
                <w:rFonts w:ascii="宋体" w:hAnsi="宋体"/>
                <w:kern w:val="0"/>
                <w:szCs w:val="21"/>
              </w:rPr>
            </w:pPr>
            <w:r>
              <w:rPr>
                <w:rFonts w:hint="eastAsia" w:ascii="宋体" w:hAnsi="宋体"/>
                <w:kern w:val="0"/>
                <w:szCs w:val="21"/>
              </w:rPr>
              <w:t>投标报价</w:t>
            </w:r>
            <w:r>
              <w:rPr>
                <w:rFonts w:hint="eastAsia" w:ascii="宋体" w:hAnsi="宋体"/>
                <w:kern w:val="1"/>
                <w:szCs w:val="21"/>
              </w:rPr>
              <w:t>是否满足招标文件的要求</w:t>
            </w:r>
          </w:p>
        </w:tc>
        <w:tc>
          <w:tcPr>
            <w:tcW w:w="1281" w:type="dxa"/>
            <w:vAlign w:val="center"/>
          </w:tcPr>
          <w:p>
            <w:pPr>
              <w:adjustRightInd w:val="0"/>
              <w:snapToGrid w:val="0"/>
              <w:jc w:val="center"/>
              <w:rPr>
                <w:rFonts w:ascii="宋体" w:hAnsi="宋体"/>
                <w:kern w:val="0"/>
                <w:sz w:val="20"/>
                <w:szCs w:val="21"/>
              </w:rPr>
            </w:pPr>
            <w:r>
              <w:rPr>
                <w:rFonts w:hint="eastAsia" w:ascii="宋体" w:hAnsi="宋体"/>
                <w:kern w:val="0"/>
                <w:szCs w:val="21"/>
              </w:rPr>
              <w:t>第二章第</w:t>
            </w:r>
            <w:r>
              <w:rPr>
                <w:rFonts w:ascii="宋体" w:hAnsi="宋体"/>
                <w:kern w:val="0"/>
                <w:sz w:val="20"/>
                <w:szCs w:val="21"/>
              </w:rPr>
              <w:t>1</w:t>
            </w:r>
            <w:r>
              <w:rPr>
                <w:rFonts w:hint="eastAsia" w:ascii="宋体" w:hAnsi="宋体"/>
                <w:kern w:val="0"/>
                <w:sz w:val="20"/>
                <w:szCs w:val="21"/>
              </w:rPr>
              <w:t>3款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7</w:t>
            </w:r>
          </w:p>
        </w:tc>
        <w:tc>
          <w:tcPr>
            <w:tcW w:w="1493" w:type="dxa"/>
            <w:tcBorders>
              <w:lef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信用记录</w:t>
            </w:r>
          </w:p>
        </w:tc>
        <w:tc>
          <w:tcPr>
            <w:tcW w:w="5520" w:type="dxa"/>
            <w:vAlign w:val="center"/>
          </w:tcPr>
          <w:p>
            <w:pPr>
              <w:adjustRightInd w:val="0"/>
              <w:snapToGrid w:val="0"/>
              <w:spacing w:before="156" w:beforeLines="50" w:line="360" w:lineRule="auto"/>
              <w:rPr>
                <w:rFonts w:ascii="宋体" w:hAnsi="宋体"/>
                <w:kern w:val="0"/>
                <w:szCs w:val="21"/>
              </w:rPr>
            </w:pPr>
            <w:r>
              <w:rPr>
                <w:rFonts w:hint="eastAsia" w:ascii="宋体" w:hAnsi="宋体"/>
                <w:kern w:val="0"/>
                <w:szCs w:val="21"/>
              </w:rPr>
              <w:t>是否存在不良信用记录情况</w:t>
            </w:r>
          </w:p>
        </w:tc>
        <w:tc>
          <w:tcPr>
            <w:tcW w:w="1281" w:type="dxa"/>
            <w:vAlign w:val="center"/>
          </w:tcPr>
          <w:p>
            <w:pPr>
              <w:adjustRightInd w:val="0"/>
              <w:snapToGrid w:val="0"/>
              <w:jc w:val="center"/>
              <w:rPr>
                <w:rFonts w:ascii="宋体" w:hAnsi="宋体"/>
                <w:kern w:val="0"/>
                <w:szCs w:val="21"/>
              </w:rPr>
            </w:pPr>
            <w:r>
              <w:rPr>
                <w:rFonts w:hint="eastAsia" w:ascii="宋体" w:hAnsi="宋体"/>
                <w:kern w:val="0"/>
                <w:szCs w:val="21"/>
              </w:rPr>
              <w:t>本章第2.4（2）项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44" w:type="dxa"/>
            <w:tcBorders>
              <w:righ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8</w:t>
            </w:r>
          </w:p>
        </w:tc>
        <w:tc>
          <w:tcPr>
            <w:tcW w:w="1493" w:type="dxa"/>
            <w:tcBorders>
              <w:left w:val="single" w:color="auto" w:sz="4" w:space="0"/>
            </w:tcBorders>
            <w:vAlign w:val="center"/>
          </w:tcPr>
          <w:p>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其他</w:t>
            </w:r>
          </w:p>
        </w:tc>
        <w:tc>
          <w:tcPr>
            <w:tcW w:w="5520" w:type="dxa"/>
            <w:vAlign w:val="center"/>
          </w:tcPr>
          <w:p>
            <w:pPr>
              <w:adjustRightInd w:val="0"/>
              <w:snapToGrid w:val="0"/>
              <w:spacing w:before="156" w:beforeLines="50" w:line="360" w:lineRule="auto"/>
              <w:rPr>
                <w:rFonts w:ascii="宋体" w:hAnsi="宋体"/>
                <w:kern w:val="0"/>
                <w:szCs w:val="21"/>
              </w:rPr>
            </w:pPr>
            <w:r>
              <w:rPr>
                <w:rFonts w:hint="eastAsia" w:ascii="宋体" w:hAnsi="宋体"/>
                <w:szCs w:val="21"/>
              </w:rPr>
              <w:t>法律、法规和招标文件规定的其他投标无效情形的。</w:t>
            </w:r>
          </w:p>
        </w:tc>
        <w:tc>
          <w:tcPr>
            <w:tcW w:w="1281" w:type="dxa"/>
            <w:vAlign w:val="center"/>
          </w:tcPr>
          <w:p>
            <w:pPr>
              <w:adjustRightInd w:val="0"/>
              <w:snapToGrid w:val="0"/>
              <w:jc w:val="center"/>
              <w:rPr>
                <w:rFonts w:ascii="宋体" w:hAnsi="宋体"/>
                <w:kern w:val="0"/>
                <w:szCs w:val="21"/>
              </w:rPr>
            </w:pPr>
            <w:r>
              <w:rPr>
                <w:rFonts w:hint="eastAsia" w:ascii="宋体" w:hAnsi="宋体"/>
                <w:kern w:val="0"/>
                <w:szCs w:val="21"/>
              </w:rPr>
              <w:t>第二章第14款</w:t>
            </w:r>
          </w:p>
        </w:tc>
      </w:tr>
    </w:tbl>
    <w:p>
      <w:pPr>
        <w:widowControl/>
        <w:jc w:val="left"/>
        <w:rPr>
          <w:rFonts w:ascii="黑体" w:hAnsi="黑体" w:eastAsia="黑体"/>
          <w:bCs/>
          <w:szCs w:val="21"/>
        </w:rPr>
      </w:pPr>
      <w:r>
        <w:rPr>
          <w:rFonts w:ascii="黑体" w:hAnsi="黑体"/>
          <w:b/>
          <w:szCs w:val="21"/>
        </w:rPr>
        <w:br w:type="page"/>
      </w:r>
    </w:p>
    <w:p>
      <w:pPr>
        <w:pStyle w:val="6"/>
        <w:adjustRightInd w:val="0"/>
        <w:snapToGrid w:val="0"/>
        <w:spacing w:before="0" w:after="0" w:line="360" w:lineRule="auto"/>
        <w:rPr>
          <w:rFonts w:ascii="黑体" w:hAnsi="黑体"/>
          <w:b w:val="0"/>
          <w:sz w:val="21"/>
          <w:szCs w:val="21"/>
        </w:rPr>
      </w:pPr>
      <w:bookmarkStart w:id="347" w:name="_Toc75289243"/>
      <w:bookmarkStart w:id="348" w:name="_Toc15888501"/>
      <w:r>
        <w:rPr>
          <w:rFonts w:hint="eastAsia" w:ascii="黑体" w:hAnsi="黑体"/>
          <w:b w:val="0"/>
          <w:sz w:val="21"/>
          <w:szCs w:val="21"/>
        </w:rPr>
        <w:t>附表2 资格审查结果一览表</w:t>
      </w:r>
      <w:bookmarkEnd w:id="347"/>
      <w:bookmarkEnd w:id="348"/>
    </w:p>
    <w:p>
      <w:pPr>
        <w:pStyle w:val="4"/>
        <w:jc w:val="center"/>
        <w:rPr>
          <w:rFonts w:ascii="黑体" w:hAnsi="黑体" w:eastAsia="黑体"/>
          <w:b w:val="0"/>
          <w:sz w:val="28"/>
          <w:szCs w:val="28"/>
        </w:rPr>
      </w:pPr>
      <w:bookmarkStart w:id="349" w:name="_Toc75289244"/>
      <w:bookmarkStart w:id="350" w:name="_Toc77199416"/>
      <w:bookmarkStart w:id="351" w:name="_Toc100670438"/>
      <w:bookmarkStart w:id="352" w:name="_Toc112594273"/>
      <w:bookmarkStart w:id="353" w:name="_Toc9892"/>
      <w:bookmarkStart w:id="354" w:name="_Toc85972947"/>
      <w:bookmarkStart w:id="355" w:name="_Toc94367897"/>
      <w:bookmarkStart w:id="356" w:name="_Toc78449972"/>
      <w:bookmarkStart w:id="357" w:name="_Toc10096"/>
      <w:bookmarkStart w:id="358" w:name="_Toc77676483"/>
      <w:bookmarkStart w:id="359" w:name="_Toc10704"/>
      <w:bookmarkStart w:id="360" w:name="_Toc108341954"/>
      <w:bookmarkStart w:id="361" w:name="_Toc100670685"/>
      <w:bookmarkStart w:id="362" w:name="_Toc30449"/>
      <w:bookmarkStart w:id="363" w:name="_Toc78314279"/>
      <w:bookmarkStart w:id="364" w:name="_Toc23898"/>
      <w:bookmarkStart w:id="365" w:name="_Toc95601382"/>
      <w:bookmarkStart w:id="366" w:name="_Toc75289565"/>
      <w:r>
        <w:rPr>
          <w:rFonts w:hint="eastAsia" w:ascii="黑体" w:hAnsi="黑体" w:eastAsia="黑体"/>
          <w:b w:val="0"/>
          <w:sz w:val="28"/>
          <w:szCs w:val="28"/>
        </w:rPr>
        <w:t>资格审查结果一览表</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adjustRightInd w:val="0"/>
        <w:snapToGrid w:val="0"/>
        <w:spacing w:line="360" w:lineRule="auto"/>
        <w:rPr>
          <w:rFonts w:ascii="宋体" w:hAnsi="宋体"/>
          <w:szCs w:val="21"/>
        </w:rPr>
      </w:pPr>
      <w:r>
        <w:rPr>
          <w:rFonts w:hint="eastAsia" w:ascii="宋体" w:hAnsi="宋体"/>
          <w:szCs w:val="21"/>
        </w:rPr>
        <w:t>项目名称：                                           政府采购计划编号：</w:t>
      </w:r>
    </w:p>
    <w:tbl>
      <w:tblPr>
        <w:tblStyle w:val="48"/>
        <w:tblW w:w="8741"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64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vAlign w:val="center"/>
          </w:tcPr>
          <w:p>
            <w:pPr>
              <w:jc w:val="center"/>
              <w:rPr>
                <w:rFonts w:ascii="宋体" w:hAnsi="宋体"/>
                <w:b/>
                <w:kern w:val="0"/>
                <w:szCs w:val="21"/>
              </w:rPr>
            </w:pPr>
            <w:r>
              <w:rPr>
                <w:rFonts w:hint="eastAsia" w:ascii="宋体" w:hAnsi="宋体"/>
                <w:b/>
                <w:kern w:val="0"/>
                <w:szCs w:val="21"/>
              </w:rPr>
              <w:t>序号</w:t>
            </w:r>
          </w:p>
        </w:tc>
        <w:tc>
          <w:tcPr>
            <w:tcW w:w="2963" w:type="dxa"/>
            <w:vAlign w:val="center"/>
          </w:tcPr>
          <w:p>
            <w:pPr>
              <w:jc w:val="center"/>
              <w:rPr>
                <w:rFonts w:ascii="宋体" w:hAnsi="宋体"/>
                <w:b/>
                <w:kern w:val="0"/>
                <w:szCs w:val="21"/>
              </w:rPr>
            </w:pPr>
            <w:r>
              <w:rPr>
                <w:rFonts w:hint="eastAsia" w:ascii="宋体" w:hAnsi="宋体"/>
                <w:b/>
                <w:kern w:val="0"/>
                <w:szCs w:val="21"/>
              </w:rPr>
              <w:t>投标人名称</w:t>
            </w:r>
          </w:p>
        </w:tc>
        <w:tc>
          <w:tcPr>
            <w:tcW w:w="2439" w:type="dxa"/>
            <w:vAlign w:val="center"/>
          </w:tcPr>
          <w:p>
            <w:pPr>
              <w:jc w:val="center"/>
              <w:rPr>
                <w:rFonts w:ascii="宋体" w:hAnsi="宋体"/>
                <w:b/>
                <w:kern w:val="0"/>
                <w:szCs w:val="21"/>
              </w:rPr>
            </w:pPr>
            <w:r>
              <w:rPr>
                <w:rFonts w:hint="eastAsia" w:ascii="宋体" w:hAnsi="宋体"/>
                <w:b/>
                <w:kern w:val="0"/>
                <w:szCs w:val="21"/>
              </w:rPr>
              <w:t>资格审查结果</w:t>
            </w:r>
          </w:p>
          <w:p>
            <w:pPr>
              <w:jc w:val="center"/>
              <w:rPr>
                <w:rFonts w:ascii="宋体" w:hAnsi="宋体"/>
                <w:b/>
                <w:kern w:val="0"/>
                <w:szCs w:val="21"/>
              </w:rPr>
            </w:pPr>
            <w:r>
              <w:rPr>
                <w:rFonts w:hint="eastAsia" w:ascii="宋体" w:hAnsi="宋体"/>
                <w:b/>
                <w:kern w:val="0"/>
                <w:szCs w:val="21"/>
              </w:rPr>
              <w:t>（合格/不合格）</w:t>
            </w:r>
          </w:p>
        </w:tc>
        <w:tc>
          <w:tcPr>
            <w:tcW w:w="2642" w:type="dxa"/>
            <w:vAlign w:val="center"/>
          </w:tcPr>
          <w:p>
            <w:pPr>
              <w:jc w:val="center"/>
              <w:rPr>
                <w:rFonts w:ascii="宋体" w:hAnsi="宋体"/>
                <w:b/>
                <w:kern w:val="0"/>
                <w:szCs w:val="21"/>
              </w:rPr>
            </w:pPr>
            <w:r>
              <w:rPr>
                <w:rFonts w:hint="eastAsia" w:ascii="宋体" w:hAnsi="宋体"/>
                <w:b/>
                <w:kern w:val="0"/>
                <w:szCs w:val="21"/>
              </w:rPr>
              <w:t>资格审查不合格原因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42" w:type="dxa"/>
          </w:tcPr>
          <w:p>
            <w:pPr>
              <w:adjustRightInd w:val="0"/>
              <w:snapToGrid w:val="0"/>
              <w:spacing w:line="360" w:lineRule="auto"/>
              <w:rPr>
                <w:rFonts w:ascii="宋体" w:hAnsi="宋体"/>
                <w:kern w:val="0"/>
                <w:sz w:val="24"/>
              </w:rPr>
            </w:pPr>
          </w:p>
        </w:tc>
      </w:tr>
    </w:tbl>
    <w:p>
      <w:pPr>
        <w:adjustRightInd w:val="0"/>
        <w:snapToGrid w:val="0"/>
        <w:spacing w:line="360" w:lineRule="auto"/>
        <w:rPr>
          <w:rFonts w:ascii="宋体" w:hAnsi="宋体"/>
          <w:szCs w:val="21"/>
        </w:rPr>
      </w:pPr>
      <w:r>
        <w:rPr>
          <w:rFonts w:hint="eastAsia" w:ascii="宋体" w:hAnsi="宋体"/>
          <w:szCs w:val="21"/>
        </w:rPr>
        <w:t>采购人（签字）：</w:t>
      </w:r>
    </w:p>
    <w:p>
      <w:pPr>
        <w:adjustRightInd w:val="0"/>
        <w:snapToGrid w:val="0"/>
        <w:spacing w:line="360" w:lineRule="auto"/>
        <w:rPr>
          <w:rFonts w:ascii="宋体" w:hAnsi="宋体"/>
          <w:szCs w:val="21"/>
        </w:rPr>
      </w:pPr>
      <w:r>
        <w:rPr>
          <w:rFonts w:hint="eastAsia" w:ascii="宋体" w:hAnsi="宋体"/>
          <w:szCs w:val="21"/>
        </w:rPr>
        <w:t>采购代理机构（签字）：</w:t>
      </w:r>
    </w:p>
    <w:p>
      <w:pPr>
        <w:adjustRightInd w:val="0"/>
        <w:snapToGrid w:val="0"/>
        <w:spacing w:line="360" w:lineRule="auto"/>
        <w:rPr>
          <w:rFonts w:ascii="宋体" w:hAnsi="宋体"/>
          <w:szCs w:val="21"/>
        </w:rPr>
      </w:pPr>
      <w:r>
        <w:rPr>
          <w:rFonts w:hint="eastAsia" w:ascii="宋体" w:hAnsi="宋体"/>
          <w:szCs w:val="21"/>
        </w:rPr>
        <w:t>日期：年月日</w:t>
      </w:r>
    </w:p>
    <w:p>
      <w:pPr>
        <w:widowControl/>
        <w:jc w:val="left"/>
        <w:rPr>
          <w:rFonts w:ascii="宋体" w:hAnsi="宋体"/>
          <w:sz w:val="24"/>
        </w:rPr>
      </w:pPr>
      <w:r>
        <w:rPr>
          <w:rFonts w:ascii="宋体" w:hAnsi="宋体"/>
          <w:sz w:val="24"/>
        </w:rPr>
        <w:br w:type="page"/>
      </w:r>
    </w:p>
    <w:p>
      <w:pPr>
        <w:pStyle w:val="6"/>
        <w:adjustRightInd w:val="0"/>
        <w:snapToGrid w:val="0"/>
        <w:spacing w:before="0" w:after="0" w:line="360" w:lineRule="auto"/>
        <w:rPr>
          <w:rFonts w:ascii="黑体" w:hAnsi="黑体"/>
          <w:b w:val="0"/>
          <w:sz w:val="21"/>
          <w:szCs w:val="21"/>
        </w:rPr>
      </w:pPr>
      <w:bookmarkStart w:id="367" w:name="_Toc15888502"/>
      <w:bookmarkStart w:id="368" w:name="_Toc75289245"/>
      <w:r>
        <w:rPr>
          <w:rFonts w:hint="eastAsia" w:ascii="黑体" w:hAnsi="黑体"/>
          <w:b w:val="0"/>
          <w:sz w:val="21"/>
          <w:szCs w:val="21"/>
        </w:rPr>
        <w:t>附表3 资格审查合格投标人名单</w:t>
      </w:r>
      <w:bookmarkEnd w:id="367"/>
      <w:bookmarkEnd w:id="368"/>
    </w:p>
    <w:p>
      <w:pPr>
        <w:pStyle w:val="4"/>
        <w:jc w:val="center"/>
        <w:rPr>
          <w:rFonts w:ascii="黑体" w:hAnsi="黑体" w:eastAsia="黑体"/>
          <w:b w:val="0"/>
          <w:sz w:val="28"/>
          <w:szCs w:val="28"/>
        </w:rPr>
      </w:pPr>
      <w:bookmarkStart w:id="369" w:name="_Toc85972948"/>
      <w:bookmarkStart w:id="370" w:name="_Toc78314280"/>
      <w:bookmarkStart w:id="371" w:name="_Toc25207"/>
      <w:bookmarkStart w:id="372" w:name="_Toc94367898"/>
      <w:bookmarkStart w:id="373" w:name="_Toc112594274"/>
      <w:bookmarkStart w:id="374" w:name="_Toc78449973"/>
      <w:bookmarkStart w:id="375" w:name="_Toc100670439"/>
      <w:bookmarkStart w:id="376" w:name="_Toc75289246"/>
      <w:bookmarkStart w:id="377" w:name="_Toc17957"/>
      <w:bookmarkStart w:id="378" w:name="_Toc14209"/>
      <w:bookmarkStart w:id="379" w:name="_Toc75289566"/>
      <w:bookmarkStart w:id="380" w:name="_Toc32214"/>
      <w:bookmarkStart w:id="381" w:name="_Toc77199417"/>
      <w:bookmarkStart w:id="382" w:name="_Toc100670686"/>
      <w:bookmarkStart w:id="383" w:name="_Toc95601383"/>
      <w:bookmarkStart w:id="384" w:name="_Toc108341955"/>
      <w:bookmarkStart w:id="385" w:name="_Toc9789"/>
      <w:bookmarkStart w:id="386" w:name="_Toc77676484"/>
      <w:r>
        <w:rPr>
          <w:rFonts w:hint="eastAsia" w:ascii="黑体" w:hAnsi="黑体" w:eastAsia="黑体"/>
          <w:b w:val="0"/>
          <w:sz w:val="28"/>
          <w:szCs w:val="28"/>
        </w:rPr>
        <w:t>资格审查合格投标人名单</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adjustRightInd w:val="0"/>
        <w:snapToGrid w:val="0"/>
        <w:spacing w:line="360" w:lineRule="auto"/>
        <w:rPr>
          <w:rFonts w:ascii="华文中宋" w:hAnsi="华文中宋" w:eastAsia="华文中宋"/>
          <w:sz w:val="32"/>
          <w:szCs w:val="32"/>
        </w:rPr>
      </w:pPr>
      <w:r>
        <w:rPr>
          <w:rFonts w:hint="eastAsia" w:ascii="宋体" w:hAnsi="宋体"/>
          <w:szCs w:val="21"/>
        </w:rPr>
        <w:t>项目名称：                                        政府采购计划编号：</w:t>
      </w:r>
    </w:p>
    <w:tbl>
      <w:tblPr>
        <w:tblStyle w:val="48"/>
        <w:tblW w:w="8606"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61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vAlign w:val="center"/>
          </w:tcPr>
          <w:p>
            <w:pPr>
              <w:jc w:val="center"/>
              <w:rPr>
                <w:b/>
                <w:kern w:val="0"/>
                <w:szCs w:val="21"/>
              </w:rPr>
            </w:pPr>
            <w:r>
              <w:rPr>
                <w:rFonts w:hint="eastAsia"/>
                <w:b/>
                <w:kern w:val="0"/>
                <w:szCs w:val="21"/>
              </w:rPr>
              <w:t>序号</w:t>
            </w:r>
          </w:p>
        </w:tc>
        <w:tc>
          <w:tcPr>
            <w:tcW w:w="7613" w:type="dxa"/>
            <w:vAlign w:val="center"/>
          </w:tcPr>
          <w:p>
            <w:pPr>
              <w:jc w:val="center"/>
              <w:rPr>
                <w:b/>
                <w:kern w:val="0"/>
                <w:szCs w:val="21"/>
              </w:rPr>
            </w:pPr>
            <w:r>
              <w:rPr>
                <w:rFonts w:hint="eastAsia"/>
                <w:b/>
                <w:kern w:val="0"/>
                <w:szCs w:val="21"/>
              </w:rPr>
              <w:t>合格投标人名称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tcPr>
          <w:p>
            <w:pPr>
              <w:adjustRightInd w:val="0"/>
              <w:snapToGrid w:val="0"/>
              <w:spacing w:line="360" w:lineRule="auto"/>
              <w:rPr>
                <w:rFonts w:ascii="宋体" w:hAnsi="宋体"/>
                <w:kern w:val="0"/>
                <w:szCs w:val="21"/>
              </w:rPr>
            </w:pPr>
          </w:p>
        </w:tc>
        <w:tc>
          <w:tcPr>
            <w:tcW w:w="7613" w:type="dxa"/>
          </w:tcPr>
          <w:p>
            <w:pPr>
              <w:adjustRightInd w:val="0"/>
              <w:snapToGrid w:val="0"/>
              <w:spacing w:line="360" w:lineRule="auto"/>
              <w:rPr>
                <w:rFonts w:ascii="宋体" w:hAnsi="宋体"/>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tcPr>
          <w:p>
            <w:pPr>
              <w:adjustRightInd w:val="0"/>
              <w:snapToGrid w:val="0"/>
              <w:spacing w:line="360" w:lineRule="auto"/>
              <w:rPr>
                <w:rFonts w:ascii="宋体" w:hAnsi="宋体"/>
                <w:kern w:val="0"/>
                <w:sz w:val="24"/>
              </w:rPr>
            </w:pPr>
          </w:p>
        </w:tc>
        <w:tc>
          <w:tcPr>
            <w:tcW w:w="7613"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tcPr>
          <w:p>
            <w:pPr>
              <w:adjustRightInd w:val="0"/>
              <w:snapToGrid w:val="0"/>
              <w:spacing w:line="360" w:lineRule="auto"/>
              <w:rPr>
                <w:rFonts w:ascii="宋体" w:hAnsi="宋体"/>
                <w:kern w:val="0"/>
                <w:sz w:val="24"/>
              </w:rPr>
            </w:pPr>
          </w:p>
        </w:tc>
        <w:tc>
          <w:tcPr>
            <w:tcW w:w="7613"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tcPr>
          <w:p>
            <w:pPr>
              <w:adjustRightInd w:val="0"/>
              <w:snapToGrid w:val="0"/>
              <w:spacing w:line="360" w:lineRule="auto"/>
              <w:rPr>
                <w:rFonts w:ascii="宋体" w:hAnsi="宋体"/>
                <w:kern w:val="0"/>
                <w:sz w:val="24"/>
              </w:rPr>
            </w:pPr>
          </w:p>
        </w:tc>
        <w:tc>
          <w:tcPr>
            <w:tcW w:w="7613"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tcPr>
          <w:p>
            <w:pPr>
              <w:adjustRightInd w:val="0"/>
              <w:snapToGrid w:val="0"/>
              <w:spacing w:line="360" w:lineRule="auto"/>
              <w:rPr>
                <w:rFonts w:ascii="宋体" w:hAnsi="宋体"/>
                <w:kern w:val="0"/>
                <w:sz w:val="24"/>
              </w:rPr>
            </w:pPr>
          </w:p>
        </w:tc>
        <w:tc>
          <w:tcPr>
            <w:tcW w:w="7613"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93" w:type="dxa"/>
          </w:tcPr>
          <w:p>
            <w:pPr>
              <w:adjustRightInd w:val="0"/>
              <w:snapToGrid w:val="0"/>
              <w:spacing w:line="360" w:lineRule="auto"/>
              <w:rPr>
                <w:rFonts w:ascii="宋体" w:hAnsi="宋体"/>
                <w:kern w:val="0"/>
                <w:sz w:val="24"/>
              </w:rPr>
            </w:pPr>
          </w:p>
        </w:tc>
        <w:tc>
          <w:tcPr>
            <w:tcW w:w="7613" w:type="dxa"/>
          </w:tcPr>
          <w:p>
            <w:pPr>
              <w:adjustRightInd w:val="0"/>
              <w:snapToGrid w:val="0"/>
              <w:spacing w:line="360" w:lineRule="auto"/>
              <w:rPr>
                <w:rFonts w:ascii="宋体" w:hAnsi="宋体"/>
                <w:kern w:val="0"/>
                <w:sz w:val="24"/>
              </w:rPr>
            </w:pPr>
          </w:p>
        </w:tc>
      </w:tr>
    </w:tbl>
    <w:p>
      <w:pPr>
        <w:adjustRightInd w:val="0"/>
        <w:snapToGrid w:val="0"/>
        <w:spacing w:line="360" w:lineRule="auto"/>
        <w:rPr>
          <w:rFonts w:ascii="宋体" w:hAnsi="宋体"/>
          <w:szCs w:val="21"/>
        </w:rPr>
      </w:pPr>
      <w:r>
        <w:rPr>
          <w:rFonts w:hint="eastAsia" w:ascii="宋体" w:hAnsi="宋体"/>
          <w:szCs w:val="21"/>
        </w:rPr>
        <w:t>采购人（签字）：</w:t>
      </w:r>
    </w:p>
    <w:p>
      <w:pPr>
        <w:adjustRightInd w:val="0"/>
        <w:snapToGrid w:val="0"/>
        <w:spacing w:line="360" w:lineRule="auto"/>
        <w:rPr>
          <w:rFonts w:ascii="宋体" w:hAnsi="宋体"/>
          <w:szCs w:val="21"/>
        </w:rPr>
      </w:pPr>
      <w:r>
        <w:rPr>
          <w:rFonts w:hint="eastAsia" w:ascii="宋体" w:hAnsi="宋体"/>
          <w:szCs w:val="21"/>
        </w:rPr>
        <w:t>采购代理机构（签字）：</w:t>
      </w:r>
    </w:p>
    <w:p>
      <w:pPr>
        <w:jc w:val="left"/>
        <w:rPr>
          <w:rFonts w:ascii="宋体" w:hAnsi="宋体"/>
          <w:szCs w:val="21"/>
        </w:rPr>
      </w:pPr>
      <w:r>
        <w:rPr>
          <w:rFonts w:hint="eastAsia" w:ascii="宋体" w:hAnsi="宋体"/>
          <w:szCs w:val="21"/>
        </w:rPr>
        <w:t>日期：年月日</w:t>
      </w:r>
    </w:p>
    <w:p>
      <w:pPr>
        <w:pStyle w:val="3"/>
        <w:rPr>
          <w:rFonts w:ascii="黑体" w:hAnsi="华文中宋" w:eastAsia="黑体"/>
          <w:b w:val="0"/>
          <w:sz w:val="28"/>
          <w:szCs w:val="28"/>
        </w:rPr>
      </w:pPr>
      <w:r>
        <w:rPr>
          <w:rFonts w:ascii="宋体" w:hAnsi="宋体"/>
        </w:rPr>
        <w:br w:type="page"/>
      </w:r>
      <w:bookmarkStart w:id="387" w:name="_Toc95601384"/>
      <w:bookmarkStart w:id="388" w:name="_Toc15888503"/>
      <w:bookmarkStart w:id="389" w:name="_Toc75289567"/>
      <w:bookmarkStart w:id="390" w:name="_Toc112594275"/>
      <w:bookmarkStart w:id="391" w:name="_Toc78314281"/>
      <w:bookmarkStart w:id="392" w:name="_Toc78449974"/>
      <w:bookmarkStart w:id="393" w:name="_Toc85972949"/>
      <w:bookmarkStart w:id="394" w:name="_Toc77676485"/>
      <w:bookmarkStart w:id="395" w:name="_Toc75289247"/>
      <w:bookmarkStart w:id="396" w:name="_Toc100670440"/>
      <w:bookmarkStart w:id="397" w:name="_Toc77199418"/>
      <w:bookmarkStart w:id="398" w:name="_Toc100670687"/>
      <w:bookmarkStart w:id="399" w:name="_Toc108341956"/>
      <w:bookmarkStart w:id="400" w:name="_Toc19558"/>
      <w:bookmarkStart w:id="401" w:name="_Toc94367899"/>
      <w:bookmarkStart w:id="402" w:name="_Toc14761"/>
      <w:bookmarkStart w:id="403" w:name="_Toc22175"/>
      <w:bookmarkStart w:id="404" w:name="_Toc14422"/>
      <w:bookmarkStart w:id="405" w:name="_Toc23034"/>
      <w:r>
        <w:rPr>
          <w:rFonts w:hint="eastAsia" w:ascii="黑体" w:hAnsi="华文中宋" w:eastAsia="黑体"/>
          <w:b w:val="0"/>
          <w:sz w:val="32"/>
          <w:szCs w:val="32"/>
        </w:rPr>
        <w:t>第四章  评标方法及标准</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4"/>
        <w:jc w:val="center"/>
        <w:rPr>
          <w:rFonts w:ascii="黑体" w:hAnsi="华文中宋" w:eastAsia="黑体"/>
          <w:sz w:val="28"/>
          <w:szCs w:val="28"/>
        </w:rPr>
      </w:pPr>
      <w:bookmarkStart w:id="406" w:name="_Toc75289568"/>
      <w:bookmarkStart w:id="407" w:name="_Toc18889"/>
      <w:bookmarkStart w:id="408" w:name="_Toc94367900"/>
      <w:bookmarkStart w:id="409" w:name="_Toc75289248"/>
      <w:bookmarkStart w:id="410" w:name="_Toc10199"/>
      <w:bookmarkStart w:id="411" w:name="_Toc112594276"/>
      <w:bookmarkStart w:id="412" w:name="_Toc77199419"/>
      <w:bookmarkStart w:id="413" w:name="_Toc19274"/>
      <w:bookmarkStart w:id="414" w:name="_Toc30053"/>
      <w:bookmarkStart w:id="415" w:name="_Toc85972950"/>
      <w:bookmarkStart w:id="416" w:name="_Toc77676486"/>
      <w:bookmarkStart w:id="417" w:name="_Toc15888504"/>
      <w:bookmarkStart w:id="418" w:name="_Toc78449975"/>
      <w:bookmarkStart w:id="419" w:name="_Toc100670688"/>
      <w:bookmarkStart w:id="420" w:name="_Toc108341957"/>
      <w:bookmarkStart w:id="421" w:name="_Toc100670441"/>
      <w:bookmarkStart w:id="422" w:name="_Toc95601385"/>
      <w:bookmarkStart w:id="423" w:name="_Toc78314282"/>
      <w:bookmarkStart w:id="424" w:name="_Toc27718"/>
      <w:r>
        <w:rPr>
          <w:rFonts w:hint="eastAsia" w:ascii="黑体" w:hAnsi="华文中宋" w:eastAsia="黑体"/>
          <w:b w:val="0"/>
          <w:bCs w:val="0"/>
          <w:sz w:val="28"/>
          <w:szCs w:val="28"/>
        </w:rPr>
        <w:t>第一</w:t>
      </w:r>
      <w:r>
        <w:rPr>
          <w:rFonts w:hint="eastAsia" w:ascii="黑体" w:hAnsi="华文中宋" w:eastAsia="黑体"/>
          <w:sz w:val="28"/>
          <w:szCs w:val="28"/>
        </w:rPr>
        <w:t>节  评标方法及标准前附表</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adjustRightInd w:val="0"/>
        <w:snapToGrid w:val="0"/>
        <w:jc w:val="right"/>
        <w:rPr>
          <w:rFonts w:ascii="宋体" w:hAnsi="宋体"/>
          <w:bCs/>
          <w:i/>
          <w:szCs w:val="21"/>
        </w:rPr>
      </w:pPr>
      <w:r>
        <w:rPr>
          <w:rFonts w:hint="eastAsia" w:ascii="宋体" w:hAnsi="宋体"/>
          <w:bCs/>
          <w:i/>
          <w:szCs w:val="21"/>
        </w:rPr>
        <w:t>本项目启用的条款在“编列内容规定”栏内以“</w:t>
      </w:r>
      <w:r>
        <w:rPr>
          <w:rFonts w:hint="eastAsia" w:ascii="宋体" w:hAnsi="宋体"/>
          <w:szCs w:val="21"/>
        </w:rPr>
        <w:sym w:font="Wingdings" w:char="00FE"/>
      </w:r>
      <w:r>
        <w:rPr>
          <w:rFonts w:hint="eastAsia" w:ascii="宋体" w:hAnsi="宋体"/>
          <w:bCs/>
          <w:i/>
          <w:szCs w:val="21"/>
        </w:rPr>
        <w:t>”标注。</w:t>
      </w:r>
    </w:p>
    <w:tbl>
      <w:tblPr>
        <w:tblStyle w:val="48"/>
        <w:tblW w:w="8606"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8"/>
        <w:gridCol w:w="1984"/>
        <w:gridCol w:w="505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1568" w:type="dxa"/>
          </w:tcPr>
          <w:p>
            <w:pPr>
              <w:adjustRightInd w:val="0"/>
              <w:snapToGrid w:val="0"/>
              <w:spacing w:line="360" w:lineRule="exact"/>
              <w:jc w:val="center"/>
              <w:rPr>
                <w:b/>
              </w:rPr>
            </w:pPr>
            <w:r>
              <w:rPr>
                <w:rFonts w:hint="eastAsia"/>
                <w:b/>
              </w:rPr>
              <w:t>条款号</w:t>
            </w:r>
          </w:p>
        </w:tc>
        <w:tc>
          <w:tcPr>
            <w:tcW w:w="1984" w:type="dxa"/>
          </w:tcPr>
          <w:p>
            <w:pPr>
              <w:adjustRightInd w:val="0"/>
              <w:snapToGrid w:val="0"/>
              <w:spacing w:line="360" w:lineRule="exact"/>
              <w:jc w:val="center"/>
              <w:rPr>
                <w:b/>
              </w:rPr>
            </w:pPr>
            <w:r>
              <w:rPr>
                <w:rFonts w:hint="eastAsia"/>
                <w:b/>
              </w:rPr>
              <w:t>条款名称</w:t>
            </w:r>
          </w:p>
        </w:tc>
        <w:tc>
          <w:tcPr>
            <w:tcW w:w="5054" w:type="dxa"/>
          </w:tcPr>
          <w:p>
            <w:pPr>
              <w:adjustRightInd w:val="0"/>
              <w:snapToGrid w:val="0"/>
              <w:spacing w:line="360" w:lineRule="exact"/>
              <w:jc w:val="center"/>
              <w:rPr>
                <w:b/>
              </w:rPr>
            </w:pPr>
            <w:r>
              <w:rPr>
                <w:rFonts w:hint="eastAsia"/>
                <w:b/>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1568" w:type="dxa"/>
            <w:vAlign w:val="center"/>
          </w:tcPr>
          <w:p>
            <w:pPr>
              <w:adjustRightInd w:val="0"/>
              <w:snapToGrid w:val="0"/>
              <w:spacing w:line="360" w:lineRule="exact"/>
              <w:jc w:val="center"/>
              <w:rPr>
                <w:rFonts w:ascii="宋体" w:hAnsi="宋体"/>
                <w:szCs w:val="21"/>
              </w:rPr>
            </w:pPr>
            <w:r>
              <w:rPr>
                <w:rFonts w:hint="eastAsia" w:ascii="宋体" w:hAnsi="宋体"/>
                <w:szCs w:val="21"/>
              </w:rPr>
              <w:t>第1.3</w:t>
            </w:r>
            <w:r>
              <w:rPr>
                <w:rFonts w:hint="eastAsia" w:ascii="宋体" w:hAnsi="宋体" w:cs="宋体"/>
                <w:kern w:val="0"/>
                <w:szCs w:val="21"/>
                <w:lang w:val="zh-CN"/>
              </w:rPr>
              <w:t>款</w:t>
            </w:r>
          </w:p>
        </w:tc>
        <w:tc>
          <w:tcPr>
            <w:tcW w:w="1984" w:type="dxa"/>
            <w:vAlign w:val="center"/>
          </w:tcPr>
          <w:p>
            <w:pPr>
              <w:adjustRightInd w:val="0"/>
              <w:snapToGrid w:val="0"/>
              <w:spacing w:line="360" w:lineRule="exact"/>
              <w:jc w:val="center"/>
              <w:rPr>
                <w:rFonts w:ascii="宋体" w:hAnsi="宋体"/>
                <w:szCs w:val="21"/>
              </w:rPr>
            </w:pPr>
            <w:r>
              <w:rPr>
                <w:rFonts w:hint="eastAsia" w:ascii="宋体" w:hAnsi="宋体"/>
                <w:szCs w:val="21"/>
              </w:rPr>
              <w:t>评标方法</w:t>
            </w:r>
          </w:p>
        </w:tc>
        <w:tc>
          <w:tcPr>
            <w:tcW w:w="5054" w:type="dxa"/>
            <w:vAlign w:val="center"/>
          </w:tcPr>
          <w:p>
            <w:pPr>
              <w:widowControl/>
              <w:adjustRightInd w:val="0"/>
              <w:snapToGrid w:val="0"/>
              <w:rPr>
                <w:rFonts w:ascii="宋体" w:hAnsi="宋体" w:cs="宋体"/>
                <w:kern w:val="0"/>
                <w:szCs w:val="21"/>
              </w:rPr>
            </w:pPr>
            <w:r>
              <w:rPr>
                <w:rFonts w:hint="eastAsia" w:ascii="宋体" w:hAnsi="宋体" w:cs="宋体"/>
                <w:kern w:val="0"/>
                <w:szCs w:val="21"/>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57" w:hRule="atLeast"/>
          <w:jc w:val="center"/>
        </w:trPr>
        <w:tc>
          <w:tcPr>
            <w:tcW w:w="1568" w:type="dxa"/>
            <w:vAlign w:val="center"/>
          </w:tcPr>
          <w:p>
            <w:pPr>
              <w:adjustRightInd w:val="0"/>
              <w:snapToGrid w:val="0"/>
              <w:spacing w:line="360" w:lineRule="exact"/>
              <w:jc w:val="center"/>
              <w:rPr>
                <w:rFonts w:ascii="宋体" w:hAnsi="宋体"/>
                <w:szCs w:val="21"/>
              </w:rPr>
            </w:pPr>
            <w:r>
              <w:rPr>
                <w:rFonts w:hint="eastAsia" w:ascii="宋体" w:hAnsi="宋体"/>
                <w:szCs w:val="21"/>
              </w:rPr>
              <w:t>第3.4</w:t>
            </w:r>
            <w:r>
              <w:rPr>
                <w:rFonts w:hint="eastAsia" w:ascii="宋体" w:hAnsi="宋体" w:cs="宋体"/>
                <w:kern w:val="0"/>
                <w:szCs w:val="21"/>
                <w:lang w:val="zh-CN"/>
              </w:rPr>
              <w:t>款</w:t>
            </w:r>
          </w:p>
        </w:tc>
        <w:tc>
          <w:tcPr>
            <w:tcW w:w="1984" w:type="dxa"/>
            <w:vAlign w:val="center"/>
          </w:tcPr>
          <w:p>
            <w:pPr>
              <w:adjustRightInd w:val="0"/>
              <w:snapToGrid w:val="0"/>
              <w:spacing w:line="360" w:lineRule="exact"/>
              <w:jc w:val="center"/>
              <w:rPr>
                <w:rFonts w:hint="eastAsia" w:ascii="宋体" w:hAnsi="宋体"/>
                <w:szCs w:val="21"/>
              </w:rPr>
            </w:pPr>
            <w:r>
              <w:rPr>
                <w:rFonts w:hint="eastAsia" w:ascii="宋体" w:hAnsi="宋体"/>
                <w:szCs w:val="21"/>
              </w:rPr>
              <w:t>非单一产品采购项目的核心产品</w:t>
            </w:r>
          </w:p>
        </w:tc>
        <w:tc>
          <w:tcPr>
            <w:tcW w:w="5054" w:type="dxa"/>
            <w:vAlign w:val="center"/>
          </w:tcPr>
          <w:p>
            <w:pPr>
              <w:adjustRightInd w:val="0"/>
              <w:snapToGrid w:val="0"/>
              <w:spacing w:line="360" w:lineRule="exact"/>
              <w:jc w:val="both"/>
              <w:rPr>
                <w:rFonts w:hint="default"/>
                <w:lang w:val="en-US" w:eastAsia="zh-CN"/>
              </w:rPr>
            </w:pPr>
            <w:r>
              <w:rPr>
                <w:rFonts w:hint="eastAsia" w:ascii="宋体" w:hAnsi="宋体" w:eastAsia="宋体" w:cs="Times New Roman"/>
                <w:szCs w:val="21"/>
                <w:lang w:val="en-US" w:eastAsia="zh-CN"/>
              </w:rPr>
              <w:t>罗红霉素胶囊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1568" w:type="dxa"/>
            <w:vAlign w:val="center"/>
          </w:tcPr>
          <w:p>
            <w:pPr>
              <w:adjustRightInd w:val="0"/>
              <w:snapToGrid w:val="0"/>
              <w:spacing w:line="360" w:lineRule="exact"/>
              <w:jc w:val="center"/>
              <w:rPr>
                <w:rFonts w:ascii="宋体" w:hAnsi="宋体"/>
                <w:szCs w:val="21"/>
              </w:rPr>
            </w:pPr>
            <w:r>
              <w:rPr>
                <w:rFonts w:hint="eastAsia" w:ascii="宋体" w:hAnsi="宋体"/>
                <w:szCs w:val="21"/>
              </w:rPr>
              <w:t>第4.2</w:t>
            </w:r>
            <w:r>
              <w:rPr>
                <w:rFonts w:hint="eastAsia" w:ascii="宋体" w:hAnsi="宋体" w:cs="宋体"/>
                <w:kern w:val="0"/>
                <w:szCs w:val="21"/>
                <w:lang w:val="zh-CN"/>
              </w:rPr>
              <w:t>款</w:t>
            </w:r>
          </w:p>
        </w:tc>
        <w:tc>
          <w:tcPr>
            <w:tcW w:w="1984" w:type="dxa"/>
            <w:vAlign w:val="center"/>
          </w:tcPr>
          <w:p>
            <w:pPr>
              <w:adjustRightInd w:val="0"/>
              <w:snapToGrid w:val="0"/>
              <w:spacing w:line="360" w:lineRule="exact"/>
              <w:jc w:val="center"/>
              <w:rPr>
                <w:rFonts w:ascii="宋体" w:hAnsi="宋体"/>
                <w:szCs w:val="21"/>
              </w:rPr>
            </w:pPr>
            <w:r>
              <w:rPr>
                <w:rFonts w:hint="eastAsia" w:ascii="宋体" w:hAnsi="宋体"/>
                <w:szCs w:val="21"/>
              </w:rPr>
              <w:t>投标文件报价出现前后不一致的修正</w:t>
            </w:r>
          </w:p>
        </w:tc>
        <w:tc>
          <w:tcPr>
            <w:tcW w:w="5054" w:type="dxa"/>
            <w:vAlign w:val="center"/>
          </w:tcPr>
          <w:p>
            <w:pPr>
              <w:pStyle w:val="25"/>
              <w:adjustRightInd w:val="0"/>
              <w:snapToGrid w:val="0"/>
              <w:spacing w:line="360" w:lineRule="exact"/>
              <w:rPr>
                <w:rFonts w:hAnsi="宋体"/>
                <w:kern w:val="2"/>
                <w:sz w:val="21"/>
              </w:rPr>
            </w:pPr>
            <w:r>
              <w:rPr>
                <w:rFonts w:hint="eastAsia" w:hAnsi="宋体"/>
                <w:sz w:val="21"/>
              </w:rPr>
              <w:t>按第二节“评标方法及标准”第4.2条规定修正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1568" w:type="dxa"/>
            <w:vAlign w:val="center"/>
          </w:tcPr>
          <w:p>
            <w:pPr>
              <w:adjustRightInd w:val="0"/>
              <w:snapToGrid w:val="0"/>
              <w:spacing w:line="360" w:lineRule="exact"/>
              <w:jc w:val="center"/>
              <w:rPr>
                <w:rFonts w:ascii="宋体" w:hAnsi="宋体"/>
                <w:szCs w:val="21"/>
              </w:rPr>
            </w:pPr>
            <w:r>
              <w:rPr>
                <w:rFonts w:hint="eastAsia" w:ascii="宋体" w:hAnsi="宋体"/>
                <w:szCs w:val="21"/>
              </w:rPr>
              <w:t>第5.2</w:t>
            </w:r>
            <w:r>
              <w:rPr>
                <w:rFonts w:hint="eastAsia" w:ascii="宋体" w:hAnsi="宋体" w:cs="宋体"/>
                <w:kern w:val="0"/>
                <w:szCs w:val="21"/>
                <w:lang w:val="zh-CN"/>
              </w:rPr>
              <w:t>款</w:t>
            </w:r>
          </w:p>
        </w:tc>
        <w:tc>
          <w:tcPr>
            <w:tcW w:w="1984" w:type="dxa"/>
            <w:vAlign w:val="center"/>
          </w:tcPr>
          <w:p>
            <w:pPr>
              <w:adjustRightInd w:val="0"/>
              <w:snapToGrid w:val="0"/>
              <w:spacing w:line="360" w:lineRule="exact"/>
              <w:jc w:val="center"/>
              <w:rPr>
                <w:rFonts w:ascii="宋体" w:hAnsi="宋体"/>
                <w:bCs/>
                <w:szCs w:val="21"/>
              </w:rPr>
            </w:pPr>
            <w:r>
              <w:rPr>
                <w:rFonts w:hint="eastAsia" w:ascii="宋体" w:hAnsi="宋体"/>
                <w:bCs/>
                <w:szCs w:val="21"/>
              </w:rPr>
              <w:t>相同品牌产品评审得分相同的规定</w:t>
            </w:r>
          </w:p>
        </w:tc>
        <w:tc>
          <w:tcPr>
            <w:tcW w:w="5054" w:type="dxa"/>
            <w:vAlign w:val="center"/>
          </w:tcPr>
          <w:p>
            <w:pPr>
              <w:adjustRightInd w:val="0"/>
              <w:snapToGrid w:val="0"/>
              <w:spacing w:line="360" w:lineRule="exact"/>
              <w:rPr>
                <w:rFonts w:ascii="宋体" w:hAnsi="宋体"/>
                <w:szCs w:val="21"/>
              </w:rPr>
            </w:pPr>
            <w:r>
              <w:rPr>
                <w:rFonts w:hint="eastAsia" w:ascii="宋体" w:hAnsi="宋体"/>
                <w:szCs w:val="21"/>
              </w:rPr>
              <w:t>得分相同的，按投标报价由低到高顺序排列。得分且投标报价相同的，按技术指标优劣顺序排列。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1568" w:type="dxa"/>
            <w:vAlign w:val="center"/>
          </w:tcPr>
          <w:p>
            <w:pPr>
              <w:adjustRightInd w:val="0"/>
              <w:snapToGrid w:val="0"/>
              <w:spacing w:line="360" w:lineRule="exact"/>
              <w:jc w:val="center"/>
              <w:rPr>
                <w:rFonts w:ascii="宋体" w:hAnsi="宋体"/>
                <w:szCs w:val="21"/>
              </w:rPr>
            </w:pPr>
            <w:r>
              <w:rPr>
                <w:rFonts w:hint="eastAsia" w:ascii="宋体" w:hAnsi="宋体"/>
                <w:szCs w:val="21"/>
              </w:rPr>
              <w:t>第5.4（1）</w:t>
            </w:r>
            <w:r>
              <w:rPr>
                <w:rFonts w:hint="eastAsia" w:ascii="宋体" w:hAnsi="宋体" w:cs="宋体"/>
                <w:kern w:val="0"/>
                <w:szCs w:val="21"/>
                <w:lang w:val="zh-CN"/>
              </w:rPr>
              <w:t>项</w:t>
            </w:r>
          </w:p>
        </w:tc>
        <w:tc>
          <w:tcPr>
            <w:tcW w:w="1984" w:type="dxa"/>
            <w:vAlign w:val="center"/>
          </w:tcPr>
          <w:p>
            <w:pPr>
              <w:adjustRightInd w:val="0"/>
              <w:snapToGrid w:val="0"/>
              <w:spacing w:line="360" w:lineRule="exact"/>
              <w:jc w:val="center"/>
              <w:rPr>
                <w:rFonts w:ascii="宋体" w:hAnsi="宋体"/>
                <w:bCs/>
                <w:szCs w:val="21"/>
              </w:rPr>
            </w:pPr>
            <w:r>
              <w:rPr>
                <w:rFonts w:hint="eastAsia" w:ascii="宋体" w:hAnsi="宋体"/>
                <w:szCs w:val="21"/>
              </w:rPr>
              <w:t>价格评审优惠</w:t>
            </w:r>
          </w:p>
        </w:tc>
        <w:tc>
          <w:tcPr>
            <w:tcW w:w="5054" w:type="dxa"/>
            <w:vAlign w:val="center"/>
          </w:tcPr>
          <w:p>
            <w:pPr>
              <w:adjustRightInd w:val="0"/>
              <w:snapToGrid w:val="0"/>
              <w:spacing w:line="360" w:lineRule="exact"/>
              <w:rPr>
                <w:rFonts w:hint="eastAsia" w:ascii="宋体" w:hAnsi="宋体"/>
                <w:szCs w:val="21"/>
                <w:lang w:val="en-US" w:eastAsia="zh-CN"/>
              </w:rPr>
            </w:pPr>
            <w:r>
              <w:rPr>
                <w:rFonts w:hint="eastAsia" w:ascii="宋体" w:hAnsi="宋体"/>
                <w:szCs w:val="21"/>
              </w:rPr>
              <w:sym w:font="Wingdings" w:char="00A8"/>
            </w:r>
            <w:r>
              <w:rPr>
                <w:rFonts w:hint="eastAsia" w:ascii="宋体" w:hAnsi="宋体"/>
                <w:szCs w:val="21"/>
              </w:rPr>
              <w:t xml:space="preserve"> </w:t>
            </w:r>
            <w:r>
              <w:rPr>
                <w:rFonts w:hint="eastAsia" w:ascii="宋体" w:hAnsi="宋体"/>
                <w:szCs w:val="21"/>
                <w:lang w:val="en-US" w:eastAsia="zh-CN"/>
              </w:rPr>
              <w:t>本项目专门面向中小企业，无优惠。</w:t>
            </w:r>
          </w:p>
          <w:p>
            <w:pPr>
              <w:adjustRightInd w:val="0"/>
              <w:snapToGrid w:val="0"/>
              <w:spacing w:line="360" w:lineRule="exact"/>
              <w:rPr>
                <w:rFonts w:ascii="宋体" w:hAnsi="宋体"/>
                <w:szCs w:val="21"/>
              </w:rPr>
            </w:pPr>
            <w:r>
              <w:rPr>
                <w:rFonts w:hint="eastAsia" w:ascii="宋体" w:hAnsi="宋体"/>
                <w:szCs w:val="21"/>
              </w:rPr>
              <w:sym w:font="Wingdings" w:char="00FE"/>
            </w:r>
            <w:r>
              <w:rPr>
                <w:rFonts w:hint="eastAsia" w:ascii="宋体" w:hAnsi="宋体"/>
                <w:szCs w:val="21"/>
              </w:rPr>
              <w:t xml:space="preserve"> 给予小型和微型企业产品的价格给予10%-20%的扣除，用扣除后的价格参与评审，本项目具体扣除比例为</w:t>
            </w:r>
            <w:r>
              <w:rPr>
                <w:rFonts w:hint="eastAsia" w:ascii="宋体" w:hAnsi="宋体"/>
                <w:szCs w:val="21"/>
                <w:u w:val="single"/>
              </w:rPr>
              <w:t xml:space="preserve"> </w:t>
            </w:r>
            <w:r>
              <w:rPr>
                <w:rFonts w:hint="eastAsia" w:ascii="宋体" w:hAnsi="宋体"/>
                <w:szCs w:val="21"/>
                <w:u w:val="single"/>
                <w:lang w:val="en-US" w:eastAsia="zh-CN"/>
              </w:rPr>
              <w:t>10</w:t>
            </w:r>
            <w:r>
              <w:rPr>
                <w:rFonts w:hint="eastAsia" w:ascii="宋体" w:hAnsi="宋体"/>
                <w:szCs w:val="21"/>
                <w:u w:val="single"/>
              </w:rPr>
              <w:t xml:space="preserve"> </w:t>
            </w:r>
            <w:r>
              <w:rPr>
                <w:rFonts w:hint="eastAsia" w:ascii="宋体" w:hAnsi="宋体"/>
                <w:szCs w:val="21"/>
              </w:rPr>
              <w:t>％。</w:t>
            </w:r>
          </w:p>
          <w:p>
            <w:pPr>
              <w:spacing w:line="360" w:lineRule="exact"/>
              <w:rPr>
                <w:szCs w:val="21"/>
              </w:rPr>
            </w:pPr>
            <w:bookmarkStart w:id="425" w:name="_Toc112594277"/>
            <w:bookmarkStart w:id="426" w:name="_Toc2845"/>
            <w:bookmarkStart w:id="427" w:name="_Toc10333"/>
            <w:bookmarkStart w:id="428" w:name="_Toc15089"/>
            <w:r>
              <w:rPr>
                <w:rStyle w:val="114"/>
                <w:rFonts w:hint="eastAsia" w:ascii="宋体"/>
                <w:szCs w:val="21"/>
              </w:rPr>
              <w:sym w:font="Wingdings 2" w:char="00A3"/>
            </w:r>
            <w:r>
              <w:rPr>
                <w:rStyle w:val="114"/>
                <w:rFonts w:hint="eastAsia" w:ascii="宋体"/>
                <w:szCs w:val="21"/>
              </w:rPr>
              <w:t xml:space="preserve"> </w:t>
            </w:r>
            <w:r>
              <w:rPr>
                <w:rFonts w:hint="eastAsia" w:ascii="宋体" w:hAnsi="宋体"/>
                <w:szCs w:val="21"/>
              </w:rPr>
              <w:t>联合协议或者分包意向协议约定小微企业的合同份额占到合同总金额40%以上的，对联合体或者大中型企业的报价给予4%-6%的扣除，本项目具体扣除比例为</w:t>
            </w:r>
            <w:r>
              <w:rPr>
                <w:rFonts w:hint="eastAsia" w:ascii="宋体" w:hAnsi="宋体"/>
                <w:szCs w:val="21"/>
                <w:u w:val="single"/>
              </w:rPr>
              <w:t xml:space="preserve"> / </w:t>
            </w:r>
            <w:r>
              <w:rPr>
                <w:rFonts w:hint="eastAsia" w:ascii="宋体" w:hAnsi="宋体"/>
                <w:szCs w:val="21"/>
              </w:rPr>
              <w:t>%；</w:t>
            </w:r>
            <w:bookmarkEnd w:id="425"/>
            <w:bookmarkEnd w:id="426"/>
            <w:bookmarkEnd w:id="427"/>
            <w:bookmarkEnd w:id="428"/>
          </w:p>
          <w:p>
            <w:pPr>
              <w:adjustRightInd w:val="0"/>
              <w:snapToGrid w:val="0"/>
              <w:spacing w:line="360" w:lineRule="exact"/>
              <w:rPr>
                <w:rFonts w:ascii="宋体" w:hAnsi="宋体"/>
                <w:szCs w:val="21"/>
              </w:rPr>
            </w:pPr>
            <w:r>
              <w:rPr>
                <w:rFonts w:hint="eastAsia" w:ascii="宋体" w:hAnsi="宋体"/>
                <w:szCs w:val="21"/>
              </w:rPr>
              <w:t>（注：监狱企业、残疾人福利性单位视同小型、微型企业，享受评审中价格扣除等促进中小企业发展的政府采购政策）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972" w:hRule="atLeast"/>
          <w:jc w:val="center"/>
        </w:trPr>
        <w:tc>
          <w:tcPr>
            <w:tcW w:w="1568" w:type="dxa"/>
            <w:vMerge w:val="restart"/>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第5.4（2）</w:t>
            </w:r>
            <w:r>
              <w:rPr>
                <w:rFonts w:hint="eastAsia" w:ascii="宋体" w:hAnsi="宋体" w:cs="宋体"/>
                <w:kern w:val="0"/>
                <w:szCs w:val="21"/>
                <w:lang w:val="zh-CN"/>
              </w:rPr>
              <w:t>项</w:t>
            </w:r>
          </w:p>
        </w:tc>
        <w:tc>
          <w:tcPr>
            <w:tcW w:w="1984" w:type="dxa"/>
            <w:tcBorders>
              <w:bottom w:val="single" w:color="auto" w:sz="4" w:space="0"/>
            </w:tcBorders>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优先采购</w:t>
            </w:r>
          </w:p>
        </w:tc>
        <w:tc>
          <w:tcPr>
            <w:tcW w:w="5054" w:type="dxa"/>
            <w:tcBorders>
              <w:bottom w:val="single" w:color="auto" w:sz="4" w:space="0"/>
            </w:tcBorders>
            <w:vAlign w:val="center"/>
          </w:tcPr>
          <w:p>
            <w:pPr>
              <w:widowControl/>
              <w:spacing w:line="360" w:lineRule="exact"/>
              <w:rPr>
                <w:rFonts w:ascii="宋体" w:hAnsi="宋体"/>
              </w:rPr>
            </w:pPr>
            <w:r>
              <w:rPr>
                <w:rFonts w:ascii="宋体" w:hAnsi="宋体"/>
              </w:rPr>
              <w:t>1、节能产品:</w:t>
            </w:r>
            <w:r>
              <w:rPr>
                <w:rFonts w:hint="eastAsia" w:ascii="宋体" w:hAnsi="宋体" w:cs="宋体"/>
                <w:szCs w:val="21"/>
              </w:rPr>
              <w:t>最新一期《节能标志产品政府采购品目清单》内的，</w:t>
            </w:r>
            <w:r>
              <w:rPr>
                <w:rFonts w:ascii="宋体" w:hAnsi="宋体"/>
              </w:rPr>
              <w:t>对于技术和价格分，应分别给予一级评标因素权重4%-8%的加分。本项目具体加分比例分别为：技术</w:t>
            </w:r>
            <w:r>
              <w:rPr>
                <w:rFonts w:hint="eastAsia" w:ascii="宋体" w:hAnsi="宋体"/>
                <w:lang w:val="en-US" w:eastAsia="zh-CN"/>
              </w:rPr>
              <w:t>4</w:t>
            </w:r>
            <w:r>
              <w:rPr>
                <w:rFonts w:ascii="宋体" w:hAnsi="宋体"/>
              </w:rPr>
              <w:t>%、价格</w:t>
            </w:r>
            <w:bookmarkStart w:id="429" w:name="EB9538fb8ff42f4d9ead4e0bff59b7f8af"/>
            <w:r>
              <w:rPr>
                <w:rFonts w:hint="eastAsia" w:ascii="宋体" w:hAnsi="宋体"/>
              </w:rPr>
              <w:t>4</w:t>
            </w:r>
            <w:bookmarkEnd w:id="429"/>
            <w:r>
              <w:rPr>
                <w:rFonts w:ascii="宋体" w:hAnsi="宋体"/>
              </w:rPr>
              <w:t>%。</w:t>
            </w:r>
          </w:p>
          <w:p>
            <w:pPr>
              <w:widowControl/>
              <w:spacing w:line="360" w:lineRule="exact"/>
              <w:rPr>
                <w:rFonts w:ascii="宋体" w:hAnsi="宋体"/>
                <w:szCs w:val="21"/>
              </w:rPr>
            </w:pPr>
            <w:r>
              <w:rPr>
                <w:rFonts w:ascii="宋体" w:hAnsi="宋体"/>
              </w:rPr>
              <w:t>2、环境标志产品:</w:t>
            </w:r>
            <w:r>
              <w:rPr>
                <w:rFonts w:hint="eastAsia" w:ascii="宋体" w:hAnsi="宋体" w:cs="宋体"/>
                <w:szCs w:val="21"/>
              </w:rPr>
              <w:t>最新一期《节能标志产品政府采购品目清单》内的，</w:t>
            </w:r>
            <w:r>
              <w:rPr>
                <w:rFonts w:ascii="宋体" w:hAnsi="宋体"/>
              </w:rPr>
              <w:t>对于技术和价格分，应分别给予一级评标因素权重4%-8%的加分。本项目具体加分比例分别为：技术</w:t>
            </w:r>
            <w:r>
              <w:rPr>
                <w:rFonts w:hint="eastAsia" w:ascii="宋体" w:hAnsi="宋体"/>
                <w:lang w:val="en-US" w:eastAsia="zh-CN"/>
              </w:rPr>
              <w:t>4</w:t>
            </w:r>
            <w:r>
              <w:rPr>
                <w:rFonts w:ascii="宋体" w:hAnsi="宋体"/>
              </w:rPr>
              <w:t>%、价格</w:t>
            </w:r>
            <w:bookmarkStart w:id="430" w:name="EBdb9759187d044bda8880e39194a13e3c"/>
            <w:r>
              <w:rPr>
                <w:rFonts w:hint="eastAsia" w:ascii="宋体" w:hAnsi="宋体"/>
              </w:rPr>
              <w:t>4</w:t>
            </w:r>
            <w:bookmarkEnd w:id="430"/>
            <w:r>
              <w:rPr>
                <w:rFonts w:ascii="宋体" w:hAnsi="宋体"/>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23" w:hRule="atLeast"/>
          <w:jc w:val="center"/>
        </w:trPr>
        <w:tc>
          <w:tcPr>
            <w:tcW w:w="1568" w:type="dxa"/>
            <w:vMerge w:val="continue"/>
            <w:vAlign w:val="center"/>
          </w:tcPr>
          <w:p>
            <w:pPr>
              <w:adjustRightInd w:val="0"/>
              <w:snapToGrid w:val="0"/>
              <w:spacing w:before="156" w:beforeLines="50" w:line="360" w:lineRule="auto"/>
              <w:jc w:val="center"/>
              <w:rPr>
                <w:rFonts w:ascii="宋体" w:hAnsi="宋体"/>
                <w:szCs w:val="21"/>
              </w:rPr>
            </w:pPr>
          </w:p>
        </w:tc>
        <w:tc>
          <w:tcPr>
            <w:tcW w:w="1984" w:type="dxa"/>
            <w:tcBorders>
              <w:top w:val="single" w:color="auto" w:sz="4" w:space="0"/>
            </w:tcBorders>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技术、价格分值调整计算方法</w:t>
            </w:r>
          </w:p>
        </w:tc>
        <w:tc>
          <w:tcPr>
            <w:tcW w:w="5054" w:type="dxa"/>
            <w:tcBorders>
              <w:top w:val="single" w:color="auto" w:sz="4" w:space="0"/>
            </w:tcBorders>
            <w:vAlign w:val="center"/>
          </w:tcPr>
          <w:p>
            <w:pPr>
              <w:adjustRightInd w:val="0"/>
              <w:snapToGrid w:val="0"/>
              <w:spacing w:line="360" w:lineRule="exact"/>
              <w:rPr>
                <w:rFonts w:ascii="宋体" w:hAnsi="宋体" w:cs="宋体"/>
                <w:szCs w:val="21"/>
              </w:rPr>
            </w:pPr>
            <w:r>
              <w:rPr>
                <w:rFonts w:hint="eastAsia" w:ascii="宋体" w:hAnsi="宋体" w:cs="宋体"/>
                <w:szCs w:val="21"/>
              </w:rPr>
              <w:t>1、节能产品：</w:t>
            </w:r>
          </w:p>
          <w:p>
            <w:pPr>
              <w:adjustRightInd w:val="0"/>
              <w:spacing w:line="360" w:lineRule="exact"/>
              <w:rPr>
                <w:rFonts w:ascii="宋体" w:hAnsi="宋体"/>
                <w:szCs w:val="21"/>
              </w:rPr>
            </w:pPr>
            <w:r>
              <w:rPr>
                <w:rFonts w:hint="eastAsia" w:ascii="宋体" w:hAnsi="宋体"/>
                <w:szCs w:val="21"/>
                <w:highlight w:val="white"/>
              </w:rPr>
              <w:t>技术加分＝技术分值× 加分比例×（节能产品报价÷总报价）；</w:t>
            </w:r>
          </w:p>
          <w:p>
            <w:pPr>
              <w:adjustRightInd w:val="0"/>
              <w:snapToGrid w:val="0"/>
              <w:spacing w:line="360" w:lineRule="exact"/>
              <w:ind w:left="210" w:hanging="210" w:hangingChars="100"/>
              <w:rPr>
                <w:rFonts w:ascii="宋体" w:hAnsi="宋体" w:cs="宋体"/>
                <w:spacing w:val="-5"/>
                <w:szCs w:val="21"/>
              </w:rPr>
            </w:pPr>
            <w:r>
              <w:rPr>
                <w:rFonts w:hint="eastAsia" w:ascii="宋体" w:hAnsi="宋体"/>
                <w:szCs w:val="21"/>
                <w:highlight w:val="white"/>
              </w:rPr>
              <w:t>价格加分＝价格分值×加分比例×（节能产品报价÷总报价）。</w:t>
            </w:r>
          </w:p>
          <w:p>
            <w:pPr>
              <w:adjustRightInd w:val="0"/>
              <w:snapToGrid w:val="0"/>
              <w:spacing w:line="360" w:lineRule="exact"/>
              <w:rPr>
                <w:rFonts w:ascii="宋体" w:hAnsi="宋体" w:cs="宋体"/>
                <w:szCs w:val="21"/>
              </w:rPr>
            </w:pPr>
            <w:r>
              <w:rPr>
                <w:rFonts w:hint="eastAsia" w:ascii="宋体" w:hAnsi="宋体" w:cs="宋体"/>
                <w:szCs w:val="21"/>
              </w:rPr>
              <w:t>2、环境标志产品：</w:t>
            </w:r>
          </w:p>
          <w:p>
            <w:pPr>
              <w:adjustRightInd w:val="0"/>
              <w:spacing w:line="360" w:lineRule="exact"/>
              <w:rPr>
                <w:rFonts w:ascii="宋体" w:hAnsi="宋体"/>
                <w:szCs w:val="21"/>
              </w:rPr>
            </w:pPr>
            <w:r>
              <w:rPr>
                <w:rFonts w:hint="eastAsia" w:ascii="宋体" w:hAnsi="宋体"/>
                <w:szCs w:val="21"/>
                <w:highlight w:val="white"/>
              </w:rPr>
              <w:t>技术加分＝技术分值×加分比例×（环境标志产品报价÷总报价）；</w:t>
            </w:r>
          </w:p>
          <w:p>
            <w:pPr>
              <w:adjustRightInd w:val="0"/>
              <w:snapToGrid w:val="0"/>
              <w:spacing w:line="360" w:lineRule="exact"/>
              <w:ind w:hanging="1"/>
              <w:rPr>
                <w:rFonts w:ascii="宋体" w:hAnsi="宋体"/>
              </w:rPr>
            </w:pPr>
            <w:r>
              <w:rPr>
                <w:rFonts w:hint="eastAsia" w:ascii="宋体" w:hAnsi="宋体"/>
                <w:szCs w:val="21"/>
                <w:highlight w:val="white"/>
              </w:rPr>
              <w:t>价格加分＝价格分值×加分比例×（环境标志产品报价÷总报价）</w:t>
            </w:r>
            <w:r>
              <w:rPr>
                <w:rFonts w:hint="eastAsia" w:ascii="宋体" w:hAnsi="宋体" w:cs="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1568"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第6.1</w:t>
            </w:r>
            <w:r>
              <w:rPr>
                <w:rFonts w:hint="eastAsia" w:ascii="宋体" w:hAnsi="宋体" w:cs="宋体"/>
                <w:kern w:val="0"/>
                <w:szCs w:val="21"/>
                <w:lang w:val="zh-CN"/>
              </w:rPr>
              <w:t>款</w:t>
            </w:r>
          </w:p>
        </w:tc>
        <w:tc>
          <w:tcPr>
            <w:tcW w:w="1984"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中标候选人并列的确定中标人的方式</w:t>
            </w:r>
          </w:p>
        </w:tc>
        <w:tc>
          <w:tcPr>
            <w:tcW w:w="5054" w:type="dxa"/>
            <w:vAlign w:val="center"/>
          </w:tcPr>
          <w:p>
            <w:pPr>
              <w:adjustRightInd w:val="0"/>
              <w:snapToGrid w:val="0"/>
              <w:spacing w:line="360" w:lineRule="exact"/>
              <w:rPr>
                <w:rFonts w:ascii="宋体" w:hAnsi="宋体"/>
                <w:szCs w:val="21"/>
              </w:rPr>
            </w:pPr>
            <w:r>
              <w:rPr>
                <w:rFonts w:hint="eastAsia" w:ascii="宋体" w:hAnsi="宋体"/>
                <w:szCs w:val="21"/>
              </w:rPr>
              <w:t>完全满足采购文件实质性需求且综合得分最高的单位为中标单位，得分相同的，按投标报价由低到高顺序排列；得分且投标报价相同的，按技术指标优劣顺序排列。</w:t>
            </w:r>
          </w:p>
        </w:tc>
      </w:tr>
    </w:tbl>
    <w:p>
      <w:pPr>
        <w:pStyle w:val="4"/>
        <w:spacing w:after="156" w:afterLines="50"/>
        <w:jc w:val="center"/>
        <w:rPr>
          <w:rFonts w:ascii="黑体" w:hAnsi="黑体" w:eastAsia="黑体"/>
          <w:b w:val="0"/>
          <w:sz w:val="28"/>
          <w:szCs w:val="28"/>
        </w:rPr>
      </w:pPr>
      <w:r>
        <w:rPr>
          <w:rFonts w:ascii="宋体" w:hAnsi="宋体"/>
        </w:rPr>
        <w:br w:type="page"/>
      </w:r>
      <w:bookmarkStart w:id="431" w:name="_Toc75289569"/>
      <w:bookmarkStart w:id="432" w:name="_Toc12839"/>
      <w:bookmarkStart w:id="433" w:name="_Toc85972951"/>
      <w:bookmarkStart w:id="434" w:name="_Toc112594278"/>
      <w:bookmarkStart w:id="435" w:name="_Toc78314283"/>
      <w:bookmarkStart w:id="436" w:name="_Toc77676487"/>
      <w:bookmarkStart w:id="437" w:name="_Toc15039"/>
      <w:bookmarkStart w:id="438" w:name="_Toc94367901"/>
      <w:bookmarkStart w:id="439" w:name="_Toc95601386"/>
      <w:bookmarkStart w:id="440" w:name="_Toc75289249"/>
      <w:bookmarkStart w:id="441" w:name="_Toc77199420"/>
      <w:bookmarkStart w:id="442" w:name="_Toc9641"/>
      <w:bookmarkStart w:id="443" w:name="_Toc100670442"/>
      <w:bookmarkStart w:id="444" w:name="_Toc100670689"/>
      <w:bookmarkStart w:id="445" w:name="_Toc78449976"/>
      <w:bookmarkStart w:id="446" w:name="_Toc15888507"/>
      <w:bookmarkStart w:id="447" w:name="_Toc108341958"/>
      <w:bookmarkStart w:id="448" w:name="_Toc26089"/>
      <w:bookmarkStart w:id="449" w:name="_Toc32751"/>
      <w:r>
        <w:rPr>
          <w:rFonts w:hint="eastAsia" w:ascii="黑体" w:hAnsi="黑体" w:eastAsia="黑体"/>
          <w:b w:val="0"/>
          <w:sz w:val="28"/>
          <w:szCs w:val="28"/>
        </w:rPr>
        <w:t>第二节  评标方法及标准</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5"/>
        <w:adjustRightInd w:val="0"/>
        <w:snapToGrid w:val="0"/>
        <w:spacing w:before="0" w:after="0" w:line="360" w:lineRule="auto"/>
        <w:rPr>
          <w:rFonts w:ascii="宋体" w:hAnsi="宋体"/>
          <w:sz w:val="24"/>
          <w:szCs w:val="24"/>
        </w:rPr>
      </w:pPr>
      <w:bookmarkStart w:id="450" w:name="_Toc75289570"/>
      <w:bookmarkStart w:id="451" w:name="_Toc108341959"/>
      <w:bookmarkStart w:id="452" w:name="_Toc112594279"/>
      <w:bookmarkStart w:id="453" w:name="_Toc20549"/>
      <w:bookmarkStart w:id="454" w:name="_Toc100670443"/>
      <w:bookmarkStart w:id="455" w:name="_Toc10325"/>
      <w:bookmarkStart w:id="456" w:name="_Toc15888508"/>
      <w:bookmarkStart w:id="457" w:name="_Toc77199421"/>
      <w:bookmarkStart w:id="458" w:name="_Toc100670690"/>
      <w:bookmarkStart w:id="459" w:name="_Toc78314284"/>
      <w:bookmarkStart w:id="460" w:name="_Toc75289250"/>
      <w:bookmarkStart w:id="461" w:name="_Toc94367902"/>
      <w:bookmarkStart w:id="462" w:name="_Toc78449977"/>
      <w:bookmarkStart w:id="463" w:name="_Toc85972952"/>
      <w:bookmarkStart w:id="464" w:name="_Toc77676488"/>
      <w:bookmarkStart w:id="465" w:name="_Toc9758"/>
      <w:bookmarkStart w:id="466" w:name="_Toc1850"/>
      <w:bookmarkStart w:id="467" w:name="_Toc95601387"/>
      <w:bookmarkStart w:id="468" w:name="_Toc27433"/>
      <w:r>
        <w:rPr>
          <w:rFonts w:hint="eastAsia" w:ascii="宋体" w:hAnsi="宋体"/>
          <w:sz w:val="24"/>
          <w:szCs w:val="24"/>
        </w:rPr>
        <w:t>1．评标方法</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adjustRightInd w:val="0"/>
        <w:snapToGrid w:val="0"/>
        <w:spacing w:line="360" w:lineRule="auto"/>
        <w:ind w:firstLine="420" w:firstLineChars="200"/>
        <w:rPr>
          <w:rFonts w:ascii="宋体" w:hAnsi="宋体"/>
          <w:szCs w:val="21"/>
        </w:rPr>
      </w:pPr>
      <w:r>
        <w:rPr>
          <w:rFonts w:hint="eastAsia" w:ascii="宋体" w:hAnsi="宋体"/>
          <w:szCs w:val="21"/>
        </w:rPr>
        <w:t>1.1综合评分法，指投标文件满足招标文件全部实质性要求，且按照评审因素的量化指标评审得分最高的投标人为中标候选人的评标方法。</w:t>
      </w:r>
    </w:p>
    <w:p>
      <w:pPr>
        <w:adjustRightInd w:val="0"/>
        <w:snapToGrid w:val="0"/>
        <w:spacing w:line="360" w:lineRule="auto"/>
        <w:ind w:firstLine="420" w:firstLineChars="200"/>
        <w:rPr>
          <w:rFonts w:ascii="宋体" w:hAnsi="宋体"/>
          <w:bCs/>
          <w:szCs w:val="21"/>
        </w:rPr>
      </w:pPr>
      <w:r>
        <w:rPr>
          <w:rFonts w:hint="eastAsia" w:ascii="宋体" w:hAnsi="宋体"/>
          <w:bCs/>
          <w:szCs w:val="21"/>
        </w:rPr>
        <w:t>1.2最低评标价，是指投标文件满足招标文件全部实质性要求，且投标报价最低的投标人为中标候选人的评标方法。</w:t>
      </w:r>
    </w:p>
    <w:p>
      <w:pPr>
        <w:adjustRightInd w:val="0"/>
        <w:snapToGrid w:val="0"/>
        <w:spacing w:line="360" w:lineRule="auto"/>
        <w:ind w:firstLine="420" w:firstLineChars="200"/>
        <w:rPr>
          <w:rFonts w:ascii="宋体" w:hAnsi="宋体"/>
          <w:szCs w:val="21"/>
        </w:rPr>
      </w:pPr>
      <w:r>
        <w:rPr>
          <w:rFonts w:hint="eastAsia" w:ascii="宋体" w:hAnsi="宋体"/>
          <w:bCs/>
          <w:szCs w:val="21"/>
        </w:rPr>
        <w:t>1.3本采购项目评标方法见本章第一节</w:t>
      </w:r>
      <w:r>
        <w:rPr>
          <w:rFonts w:hint="eastAsia" w:ascii="宋体" w:hAnsi="宋体"/>
          <w:b/>
          <w:szCs w:val="21"/>
        </w:rPr>
        <w:t>【评标方法及标准前附表】</w:t>
      </w:r>
      <w:r>
        <w:rPr>
          <w:rFonts w:hint="eastAsia" w:ascii="宋体" w:hAnsi="宋体"/>
          <w:szCs w:val="21"/>
        </w:rPr>
        <w:t>。</w:t>
      </w:r>
    </w:p>
    <w:p>
      <w:pPr>
        <w:pStyle w:val="5"/>
        <w:adjustRightInd w:val="0"/>
        <w:snapToGrid w:val="0"/>
        <w:spacing w:before="0" w:after="0" w:line="360" w:lineRule="auto"/>
        <w:rPr>
          <w:rFonts w:ascii="宋体" w:hAnsi="宋体"/>
          <w:bCs w:val="0"/>
          <w:sz w:val="24"/>
          <w:szCs w:val="24"/>
        </w:rPr>
      </w:pPr>
      <w:bookmarkStart w:id="469" w:name="_Toc78449978"/>
      <w:bookmarkStart w:id="470" w:name="_Toc85972953"/>
      <w:bookmarkStart w:id="471" w:name="_Toc94367903"/>
      <w:bookmarkStart w:id="472" w:name="_Toc75289251"/>
      <w:bookmarkStart w:id="473" w:name="_Toc100670444"/>
      <w:bookmarkStart w:id="474" w:name="_Toc75289571"/>
      <w:bookmarkStart w:id="475" w:name="_Toc15106"/>
      <w:bookmarkStart w:id="476" w:name="_Toc100670691"/>
      <w:bookmarkStart w:id="477" w:name="_Toc78314285"/>
      <w:bookmarkStart w:id="478" w:name="_Toc18253"/>
      <w:bookmarkStart w:id="479" w:name="_Toc108341960"/>
      <w:bookmarkStart w:id="480" w:name="_Toc12702"/>
      <w:bookmarkStart w:id="481" w:name="_Toc77676489"/>
      <w:bookmarkStart w:id="482" w:name="_Toc1907"/>
      <w:bookmarkStart w:id="483" w:name="_Toc15888509"/>
      <w:bookmarkStart w:id="484" w:name="_Toc112594280"/>
      <w:bookmarkStart w:id="485" w:name="_Toc77199422"/>
      <w:bookmarkStart w:id="486" w:name="_Toc95601388"/>
      <w:bookmarkStart w:id="487" w:name="_Toc10283"/>
      <w:r>
        <w:rPr>
          <w:rFonts w:hint="eastAsia" w:ascii="宋体" w:hAnsi="宋体"/>
          <w:bCs w:val="0"/>
          <w:sz w:val="24"/>
          <w:szCs w:val="24"/>
        </w:rPr>
        <w:t>2．评标程序</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adjustRightInd w:val="0"/>
        <w:snapToGrid w:val="0"/>
        <w:spacing w:line="360" w:lineRule="auto"/>
        <w:ind w:firstLine="420" w:firstLineChars="200"/>
        <w:rPr>
          <w:rFonts w:ascii="宋体" w:hAnsi="宋体"/>
          <w:bCs/>
          <w:szCs w:val="21"/>
        </w:rPr>
      </w:pPr>
      <w:r>
        <w:rPr>
          <w:rFonts w:hint="eastAsia" w:ascii="宋体" w:hAnsi="宋体"/>
          <w:bCs/>
          <w:szCs w:val="21"/>
        </w:rPr>
        <w:t>2.1评标程序分为投标文件符合性审查、澄清有关问题、比较和评价、推荐中标候选人。</w:t>
      </w:r>
    </w:p>
    <w:p>
      <w:pPr>
        <w:pStyle w:val="5"/>
        <w:adjustRightInd w:val="0"/>
        <w:snapToGrid w:val="0"/>
        <w:spacing w:before="0" w:after="0" w:line="360" w:lineRule="auto"/>
        <w:rPr>
          <w:rFonts w:ascii="宋体" w:hAnsi="宋体"/>
          <w:bCs w:val="0"/>
          <w:sz w:val="24"/>
          <w:szCs w:val="24"/>
        </w:rPr>
      </w:pPr>
      <w:bookmarkStart w:id="488" w:name="_Toc112594281"/>
      <w:bookmarkStart w:id="489" w:name="_Toc77199423"/>
      <w:bookmarkStart w:id="490" w:name="_Toc77676490"/>
      <w:bookmarkStart w:id="491" w:name="_Toc78314286"/>
      <w:bookmarkStart w:id="492" w:name="_Toc75289572"/>
      <w:bookmarkStart w:id="493" w:name="_Toc100670445"/>
      <w:bookmarkStart w:id="494" w:name="_Toc7816"/>
      <w:bookmarkStart w:id="495" w:name="_Toc15208"/>
      <w:bookmarkStart w:id="496" w:name="_Toc85972954"/>
      <w:bookmarkStart w:id="497" w:name="_Toc95601389"/>
      <w:bookmarkStart w:id="498" w:name="_Toc100670692"/>
      <w:bookmarkStart w:id="499" w:name="_Toc15888510"/>
      <w:bookmarkStart w:id="500" w:name="_Toc4573"/>
      <w:bookmarkStart w:id="501" w:name="_Toc75289252"/>
      <w:bookmarkStart w:id="502" w:name="_Toc108341961"/>
      <w:bookmarkStart w:id="503" w:name="_Toc94367904"/>
      <w:bookmarkStart w:id="504" w:name="_Toc29034"/>
      <w:bookmarkStart w:id="505" w:name="_Toc78449979"/>
      <w:bookmarkStart w:id="506" w:name="_Toc24978"/>
      <w:r>
        <w:rPr>
          <w:rFonts w:hint="eastAsia" w:ascii="宋体" w:hAnsi="宋体"/>
          <w:bCs w:val="0"/>
          <w:sz w:val="24"/>
          <w:szCs w:val="24"/>
        </w:rPr>
        <w:t>3．投标文件符合性审查</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adjustRightInd w:val="0"/>
        <w:snapToGrid w:val="0"/>
        <w:spacing w:line="360" w:lineRule="auto"/>
        <w:ind w:firstLine="420" w:firstLineChars="200"/>
        <w:rPr>
          <w:rFonts w:ascii="宋体" w:hAnsi="宋体"/>
          <w:szCs w:val="21"/>
        </w:rPr>
      </w:pPr>
      <w:r>
        <w:rPr>
          <w:rFonts w:hint="eastAsia" w:ascii="宋体" w:hAnsi="宋体"/>
          <w:szCs w:val="21"/>
        </w:rPr>
        <w:t>3.1资格审查结束后，评标委员会依法按照本章第三节“投标文件的符合性审查”规定进行投标文件符合性。</w:t>
      </w:r>
    </w:p>
    <w:p>
      <w:pPr>
        <w:adjustRightInd w:val="0"/>
        <w:snapToGrid w:val="0"/>
        <w:spacing w:line="360" w:lineRule="auto"/>
        <w:ind w:firstLine="420" w:firstLineChars="200"/>
        <w:rPr>
          <w:rFonts w:ascii="宋体" w:hAnsi="宋体"/>
          <w:szCs w:val="21"/>
        </w:rPr>
      </w:pPr>
      <w:r>
        <w:rPr>
          <w:rFonts w:hint="eastAsia" w:ascii="宋体" w:hAnsi="宋体"/>
          <w:szCs w:val="21"/>
        </w:rPr>
        <w:t>3.2符合性审查合格投标人少于3家的，应予废标。</w:t>
      </w:r>
    </w:p>
    <w:p>
      <w:pPr>
        <w:adjustRightInd w:val="0"/>
        <w:snapToGrid w:val="0"/>
        <w:spacing w:line="360" w:lineRule="auto"/>
        <w:ind w:firstLine="420" w:firstLineChars="200"/>
        <w:rPr>
          <w:rFonts w:ascii="宋体" w:hAnsi="宋体"/>
          <w:szCs w:val="21"/>
        </w:rPr>
      </w:pPr>
      <w:r>
        <w:rPr>
          <w:rFonts w:hint="eastAsia" w:ascii="宋体" w:hAnsi="宋体"/>
          <w:szCs w:val="21"/>
        </w:rPr>
        <w:t>3.3单一产品采购项目：提供相同品牌产品的不同投标人参加同一合同项下投标的，按一家投标人计算。提供不同品牌产品的投标人不足三家的，应予废标。</w:t>
      </w:r>
    </w:p>
    <w:p>
      <w:pPr>
        <w:adjustRightInd w:val="0"/>
        <w:snapToGrid w:val="0"/>
        <w:spacing w:line="360" w:lineRule="auto"/>
        <w:ind w:firstLine="420" w:firstLineChars="200"/>
        <w:rPr>
          <w:rFonts w:ascii="宋体" w:hAnsi="宋体"/>
          <w:szCs w:val="21"/>
        </w:rPr>
      </w:pPr>
      <w:r>
        <w:rPr>
          <w:rFonts w:hint="eastAsia" w:ascii="宋体" w:hAnsi="宋体"/>
          <w:szCs w:val="21"/>
        </w:rPr>
        <w:t>3.4非单一产品采购项目：采购人或者采购代理机构将在</w:t>
      </w:r>
      <w:r>
        <w:rPr>
          <w:rFonts w:hint="eastAsia" w:ascii="宋体" w:hAnsi="宋体"/>
          <w:b/>
          <w:szCs w:val="21"/>
        </w:rPr>
        <w:t>【评标方法及标准前附表】</w:t>
      </w:r>
      <w:r>
        <w:rPr>
          <w:rFonts w:hint="eastAsia" w:ascii="宋体" w:hAnsi="宋体"/>
          <w:szCs w:val="21"/>
        </w:rPr>
        <w:t>中载明核心产品。多家投标人提供的核心产品品牌相同的，视为相同品牌，按本章本节第3.3款规定处理。</w:t>
      </w:r>
    </w:p>
    <w:p>
      <w:pPr>
        <w:pStyle w:val="5"/>
        <w:adjustRightInd w:val="0"/>
        <w:snapToGrid w:val="0"/>
        <w:spacing w:before="0" w:after="0" w:line="360" w:lineRule="auto"/>
        <w:rPr>
          <w:rFonts w:ascii="宋体" w:hAnsi="宋体"/>
          <w:bCs w:val="0"/>
          <w:sz w:val="24"/>
          <w:szCs w:val="24"/>
        </w:rPr>
      </w:pPr>
      <w:bookmarkStart w:id="507" w:name="_Toc15888511"/>
      <w:bookmarkStart w:id="508" w:name="_Toc100670446"/>
      <w:bookmarkStart w:id="509" w:name="_Toc100670693"/>
      <w:bookmarkStart w:id="510" w:name="_Toc112594282"/>
      <w:bookmarkStart w:id="511" w:name="_Toc108341962"/>
      <w:bookmarkStart w:id="512" w:name="_Toc1339"/>
      <w:bookmarkStart w:id="513" w:name="_Toc78449980"/>
      <w:bookmarkStart w:id="514" w:name="_Toc85972955"/>
      <w:bookmarkStart w:id="515" w:name="_Toc2344"/>
      <w:bookmarkStart w:id="516" w:name="_Toc12077"/>
      <w:bookmarkStart w:id="517" w:name="_Toc77676491"/>
      <w:bookmarkStart w:id="518" w:name="_Toc25467"/>
      <w:bookmarkStart w:id="519" w:name="_Toc75289573"/>
      <w:bookmarkStart w:id="520" w:name="_Toc75289253"/>
      <w:bookmarkStart w:id="521" w:name="_Toc95601390"/>
      <w:bookmarkStart w:id="522" w:name="_Toc77199424"/>
      <w:bookmarkStart w:id="523" w:name="_Toc94367905"/>
      <w:bookmarkStart w:id="524" w:name="_Toc23510"/>
      <w:bookmarkStart w:id="525" w:name="_Toc78314287"/>
      <w:r>
        <w:rPr>
          <w:rFonts w:hint="eastAsia" w:ascii="宋体" w:hAnsi="宋体"/>
          <w:bCs w:val="0"/>
          <w:sz w:val="24"/>
          <w:szCs w:val="24"/>
        </w:rPr>
        <w:t>4．</w:t>
      </w:r>
      <w:bookmarkEnd w:id="507"/>
      <w:r>
        <w:rPr>
          <w:rFonts w:hint="eastAsia" w:ascii="宋体" w:hAnsi="宋体"/>
          <w:bCs w:val="0"/>
          <w:sz w:val="24"/>
          <w:szCs w:val="24"/>
        </w:rPr>
        <w:t>投标文件的澄清</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adjustRightInd w:val="0"/>
        <w:snapToGrid w:val="0"/>
        <w:spacing w:line="360" w:lineRule="auto"/>
        <w:ind w:firstLine="420" w:firstLineChars="200"/>
        <w:rPr>
          <w:rFonts w:ascii="宋体" w:hAnsi="宋体"/>
          <w:szCs w:val="21"/>
        </w:rPr>
      </w:pPr>
      <w:r>
        <w:rPr>
          <w:rFonts w:hint="eastAsia" w:ascii="宋体" w:hAnsi="宋体"/>
          <w:szCs w:val="21"/>
        </w:rPr>
        <w:t>4.1对于投标文件中含义不明确、同类问题表述不一致或者有明显文字和计算错误的内容，评标委员会应当要求投标人作出必要的澄清、说明或者补正。</w:t>
      </w:r>
    </w:p>
    <w:p>
      <w:pPr>
        <w:adjustRightInd w:val="0"/>
        <w:snapToGrid w:val="0"/>
        <w:spacing w:line="360" w:lineRule="auto"/>
        <w:ind w:firstLine="420" w:firstLineChars="200"/>
        <w:rPr>
          <w:rFonts w:ascii="宋体" w:hAnsi="宋体"/>
          <w:szCs w:val="21"/>
        </w:rPr>
      </w:pPr>
      <w:r>
        <w:rPr>
          <w:rFonts w:hint="eastAsia" w:ascii="宋体" w:hAnsi="宋体"/>
          <w:szCs w:val="21"/>
        </w:rPr>
        <w:t>4.2投标文件的投标报价出现前后不一致的，除</w:t>
      </w:r>
      <w:r>
        <w:rPr>
          <w:rFonts w:hint="eastAsia" w:ascii="宋体" w:hAnsi="宋体"/>
          <w:b/>
          <w:szCs w:val="21"/>
        </w:rPr>
        <w:t>【评标方法及标准前附表】</w:t>
      </w:r>
      <w:r>
        <w:rPr>
          <w:rFonts w:hint="eastAsia" w:ascii="宋体" w:hAnsi="宋体"/>
          <w:szCs w:val="21"/>
        </w:rPr>
        <w:t>另有规定外，按照下列规定修正：</w:t>
      </w:r>
    </w:p>
    <w:p>
      <w:pPr>
        <w:adjustRightInd w:val="0"/>
        <w:snapToGrid w:val="0"/>
        <w:spacing w:line="360" w:lineRule="auto"/>
        <w:ind w:firstLine="420" w:firstLineChars="200"/>
        <w:rPr>
          <w:rFonts w:ascii="宋体" w:hAnsi="宋体"/>
          <w:szCs w:val="21"/>
        </w:rPr>
      </w:pPr>
      <w:r>
        <w:rPr>
          <w:rFonts w:hint="eastAsia" w:ascii="宋体" w:hAnsi="宋体"/>
          <w:szCs w:val="21"/>
        </w:rPr>
        <w:t>（1）投标文件中开标一览表内容与投标文件中相应内容不一致的，以开标一览表为准；</w:t>
      </w:r>
    </w:p>
    <w:p>
      <w:pPr>
        <w:adjustRightInd w:val="0"/>
        <w:snapToGrid w:val="0"/>
        <w:spacing w:line="360" w:lineRule="auto"/>
        <w:ind w:firstLine="420" w:firstLineChars="200"/>
        <w:rPr>
          <w:rFonts w:ascii="宋体" w:hAnsi="宋体"/>
          <w:szCs w:val="21"/>
        </w:rPr>
      </w:pPr>
      <w:r>
        <w:rPr>
          <w:rFonts w:hint="eastAsia" w:ascii="宋体" w:hAnsi="宋体"/>
          <w:szCs w:val="21"/>
        </w:rPr>
        <w:t>（2）大写金额和小写金额不一致的，以大写金额为准；</w:t>
      </w:r>
    </w:p>
    <w:p>
      <w:pPr>
        <w:adjustRightInd w:val="0"/>
        <w:snapToGrid w:val="0"/>
        <w:spacing w:line="360" w:lineRule="auto"/>
        <w:ind w:firstLine="420" w:firstLineChars="200"/>
        <w:rPr>
          <w:rFonts w:ascii="宋体" w:hAnsi="宋体"/>
          <w:szCs w:val="21"/>
        </w:rPr>
      </w:pPr>
      <w:r>
        <w:rPr>
          <w:rFonts w:hint="eastAsia" w:ascii="宋体" w:hAnsi="宋体"/>
          <w:szCs w:val="21"/>
        </w:rPr>
        <w:t>（3）单价金额小数点或者百分比有明显错位的，以开标一览表的总价为准，并修改单价；</w:t>
      </w:r>
    </w:p>
    <w:p>
      <w:pPr>
        <w:adjustRightInd w:val="0"/>
        <w:snapToGrid w:val="0"/>
        <w:spacing w:line="360" w:lineRule="auto"/>
        <w:ind w:firstLine="420" w:firstLineChars="200"/>
        <w:rPr>
          <w:rFonts w:ascii="宋体" w:hAnsi="宋体"/>
          <w:szCs w:val="21"/>
        </w:rPr>
      </w:pPr>
      <w:r>
        <w:rPr>
          <w:rFonts w:hint="eastAsia" w:ascii="宋体" w:hAnsi="宋体"/>
          <w:szCs w:val="21"/>
        </w:rPr>
        <w:t>（4）总价金额与按单价汇总金额不一致的，以单价金额计算结果为准。</w:t>
      </w:r>
    </w:p>
    <w:p>
      <w:pPr>
        <w:adjustRightInd w:val="0"/>
        <w:snapToGrid w:val="0"/>
        <w:spacing w:line="360" w:lineRule="auto"/>
        <w:ind w:firstLine="420" w:firstLineChars="200"/>
        <w:rPr>
          <w:rFonts w:ascii="宋体" w:hAnsi="宋体"/>
          <w:szCs w:val="21"/>
        </w:rPr>
      </w:pPr>
      <w:r>
        <w:rPr>
          <w:rFonts w:hint="eastAsia" w:ascii="宋体" w:hAnsi="宋体"/>
          <w:szCs w:val="21"/>
        </w:rPr>
        <w:t>4.3投标文件报价同时出现两种以上不一致的，按照前款规定的顺序修正。修正后的报价由投标人代表签字或者加盖单位章确认后产生约束力，投标人不确认的，其投标无效。</w:t>
      </w:r>
    </w:p>
    <w:p>
      <w:pPr>
        <w:adjustRightInd w:val="0"/>
        <w:snapToGrid w:val="0"/>
        <w:spacing w:line="360" w:lineRule="auto"/>
        <w:ind w:firstLine="420" w:firstLineChars="200"/>
        <w:rPr>
          <w:rFonts w:ascii="宋体" w:hAnsi="宋体"/>
          <w:szCs w:val="21"/>
        </w:rPr>
      </w:pPr>
      <w:r>
        <w:rPr>
          <w:rFonts w:hint="eastAsia" w:ascii="宋体" w:hAnsi="宋体"/>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pPr>
        <w:adjustRightInd w:val="0"/>
        <w:snapToGrid w:val="0"/>
        <w:spacing w:line="360" w:lineRule="auto"/>
        <w:ind w:firstLine="420" w:firstLineChars="200"/>
        <w:rPr>
          <w:rFonts w:ascii="宋体" w:hAnsi="宋体"/>
          <w:szCs w:val="21"/>
        </w:rPr>
      </w:pPr>
      <w:r>
        <w:rPr>
          <w:rFonts w:hint="eastAsia" w:ascii="宋体" w:hAnsi="宋体"/>
          <w:szCs w:val="21"/>
        </w:rPr>
        <w:t>4.5有效的书面澄清材料，是投标文件的补充材料，成为投标文件的组成部分。</w:t>
      </w:r>
    </w:p>
    <w:p>
      <w:pPr>
        <w:adjustRightInd w:val="0"/>
        <w:snapToGrid w:val="0"/>
        <w:spacing w:line="360" w:lineRule="auto"/>
        <w:ind w:firstLine="420" w:firstLineChars="200"/>
        <w:rPr>
          <w:rFonts w:ascii="宋体" w:hAnsi="宋体"/>
          <w:szCs w:val="21"/>
        </w:rPr>
      </w:pPr>
      <w:r>
        <w:rPr>
          <w:rFonts w:hint="eastAsia" w:ascii="宋体" w:hAnsi="宋体"/>
          <w:szCs w:val="21"/>
        </w:rPr>
        <w:t>4.6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投标无效处理。</w:t>
      </w:r>
    </w:p>
    <w:p>
      <w:pPr>
        <w:pStyle w:val="5"/>
        <w:adjustRightInd w:val="0"/>
        <w:snapToGrid w:val="0"/>
        <w:spacing w:before="0" w:after="0" w:line="360" w:lineRule="auto"/>
        <w:rPr>
          <w:rFonts w:ascii="宋体" w:hAnsi="宋体"/>
          <w:bCs w:val="0"/>
          <w:sz w:val="24"/>
          <w:szCs w:val="24"/>
        </w:rPr>
      </w:pPr>
      <w:bookmarkStart w:id="526" w:name="_Toc77676492"/>
      <w:bookmarkStart w:id="527" w:name="_Toc75289574"/>
      <w:bookmarkStart w:id="528" w:name="_Toc112594283"/>
      <w:bookmarkStart w:id="529" w:name="_Toc30147"/>
      <w:bookmarkStart w:id="530" w:name="_Toc78314288"/>
      <w:bookmarkStart w:id="531" w:name="_Toc14247"/>
      <w:bookmarkStart w:id="532" w:name="_Toc95601391"/>
      <w:bookmarkStart w:id="533" w:name="_Toc75289254"/>
      <w:bookmarkStart w:id="534" w:name="_Toc15888512"/>
      <w:bookmarkStart w:id="535" w:name="_Toc26753"/>
      <w:bookmarkStart w:id="536" w:name="_Toc11082"/>
      <w:bookmarkStart w:id="537" w:name="_Toc94367906"/>
      <w:bookmarkStart w:id="538" w:name="_Toc108341963"/>
      <w:bookmarkStart w:id="539" w:name="_Toc30823"/>
      <w:bookmarkStart w:id="540" w:name="_Toc100670694"/>
      <w:bookmarkStart w:id="541" w:name="_Toc85972956"/>
      <w:bookmarkStart w:id="542" w:name="_Toc100670447"/>
      <w:bookmarkStart w:id="543" w:name="_Toc78449981"/>
      <w:bookmarkStart w:id="544" w:name="_Toc77199425"/>
      <w:r>
        <w:rPr>
          <w:rFonts w:hint="eastAsia" w:ascii="宋体" w:hAnsi="宋体"/>
          <w:bCs w:val="0"/>
          <w:sz w:val="24"/>
          <w:szCs w:val="24"/>
        </w:rPr>
        <w:t>5．投标文件的比较与评价</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adjustRightInd w:val="0"/>
        <w:snapToGrid w:val="0"/>
        <w:spacing w:line="360" w:lineRule="auto"/>
        <w:ind w:firstLine="420" w:firstLineChars="200"/>
        <w:rPr>
          <w:rFonts w:ascii="宋体" w:hAnsi="宋体"/>
          <w:bCs/>
          <w:szCs w:val="21"/>
        </w:rPr>
      </w:pPr>
      <w:r>
        <w:rPr>
          <w:rFonts w:hint="eastAsia" w:ascii="宋体" w:hAnsi="宋体"/>
          <w:bCs/>
          <w:szCs w:val="21"/>
        </w:rPr>
        <w:t>5.1评标委员会依法按照本章第四节“投标文件的比较与评价”规定，对资格性检查和符合性检查合格的投标文件进行比较和评价。</w:t>
      </w:r>
    </w:p>
    <w:p>
      <w:pPr>
        <w:adjustRightInd w:val="0"/>
        <w:snapToGrid w:val="0"/>
        <w:spacing w:line="360" w:lineRule="auto"/>
        <w:ind w:firstLine="420" w:firstLineChars="200"/>
        <w:rPr>
          <w:rFonts w:ascii="宋体" w:hAnsi="宋体"/>
          <w:bCs/>
          <w:szCs w:val="21"/>
        </w:rPr>
      </w:pPr>
      <w:r>
        <w:rPr>
          <w:rFonts w:hint="eastAsia" w:ascii="宋体" w:hAnsi="宋体"/>
          <w:bCs/>
          <w:szCs w:val="21"/>
        </w:rPr>
        <w:t>5.2单一产品采购项目：</w:t>
      </w:r>
    </w:p>
    <w:p>
      <w:pPr>
        <w:adjustRightInd w:val="0"/>
        <w:snapToGrid w:val="0"/>
        <w:spacing w:line="360" w:lineRule="auto"/>
        <w:ind w:firstLine="420" w:firstLineChars="200"/>
        <w:rPr>
          <w:rFonts w:ascii="宋体" w:hAnsi="宋体"/>
          <w:szCs w:val="21"/>
        </w:rPr>
      </w:pPr>
      <w:r>
        <w:rPr>
          <w:rFonts w:hint="eastAsia" w:ascii="宋体" w:hAnsi="宋体"/>
          <w:szCs w:val="21"/>
        </w:rPr>
        <w:t>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b/>
          <w:szCs w:val="21"/>
        </w:rPr>
        <w:t>【评标方法及标准前附表】</w:t>
      </w:r>
      <w:r>
        <w:rPr>
          <w:rFonts w:hint="eastAsia" w:ascii="宋体" w:hAnsi="宋体"/>
          <w:szCs w:val="21"/>
        </w:rPr>
        <w:t>规定的方式确定一个投标人获得中标人推荐资格，招标文件未规定的采取随机抽取方式确定，其他同品牌投标人</w:t>
      </w:r>
      <w:r>
        <w:rPr>
          <w:rFonts w:hint="eastAsia" w:ascii="宋体" w:hAnsi="宋体"/>
          <w:b/>
          <w:szCs w:val="21"/>
        </w:rPr>
        <w:t>不作为中标候选人</w:t>
      </w:r>
      <w:r>
        <w:rPr>
          <w:rFonts w:hint="eastAsia" w:ascii="宋体" w:hAnsi="宋体"/>
          <w:szCs w:val="21"/>
        </w:rPr>
        <w:t>。</w:t>
      </w:r>
    </w:p>
    <w:p>
      <w:pPr>
        <w:adjustRightInd w:val="0"/>
        <w:snapToGrid w:val="0"/>
        <w:spacing w:line="360" w:lineRule="auto"/>
        <w:ind w:firstLine="420" w:firstLineChars="200"/>
        <w:rPr>
          <w:rFonts w:ascii="宋体" w:hAnsi="宋体"/>
          <w:bCs/>
          <w:szCs w:val="21"/>
        </w:rPr>
      </w:pPr>
      <w:r>
        <w:rPr>
          <w:rFonts w:hint="eastAsia" w:ascii="宋体" w:hAnsi="宋体"/>
          <w:bCs/>
          <w:szCs w:val="21"/>
        </w:rPr>
        <w:t>5.3非单一产品采购项目：多家投标人提供的核心产品品牌相同的，视为相同品牌，按本章本节第 5.2 款规定处理。</w:t>
      </w:r>
    </w:p>
    <w:p>
      <w:pPr>
        <w:adjustRightInd w:val="0"/>
        <w:snapToGrid w:val="0"/>
        <w:spacing w:line="360" w:lineRule="auto"/>
        <w:ind w:firstLine="420" w:firstLineChars="200"/>
        <w:rPr>
          <w:rFonts w:ascii="宋体" w:hAnsi="宋体"/>
          <w:bCs/>
          <w:szCs w:val="21"/>
        </w:rPr>
      </w:pPr>
      <w:r>
        <w:rPr>
          <w:rFonts w:hint="eastAsia" w:ascii="宋体" w:hAnsi="宋体"/>
          <w:bCs/>
          <w:szCs w:val="21"/>
        </w:rPr>
        <w:t>5.4政府采购政策：</w:t>
      </w:r>
    </w:p>
    <w:p>
      <w:pPr>
        <w:adjustRightInd w:val="0"/>
        <w:snapToGrid w:val="0"/>
        <w:spacing w:line="360" w:lineRule="auto"/>
        <w:ind w:firstLine="420" w:firstLineChars="200"/>
        <w:rPr>
          <w:rFonts w:ascii="宋体" w:hAnsi="宋体"/>
          <w:bCs/>
          <w:szCs w:val="21"/>
        </w:rPr>
      </w:pPr>
      <w:r>
        <w:rPr>
          <w:rFonts w:hint="eastAsia" w:ascii="宋体" w:hAnsi="宋体"/>
          <w:szCs w:val="21"/>
        </w:rPr>
        <w:t>（1）</w:t>
      </w:r>
      <w:r>
        <w:rPr>
          <w:rFonts w:hint="eastAsia" w:ascii="宋体" w:hAnsi="宋体"/>
          <w:bCs/>
          <w:szCs w:val="21"/>
        </w:rPr>
        <w:t>价格评审优惠：</w:t>
      </w:r>
      <w:r>
        <w:rPr>
          <w:rFonts w:hint="eastAsia" w:ascii="宋体" w:hAnsi="宋体"/>
          <w:szCs w:val="21"/>
        </w:rPr>
        <w:t>按</w:t>
      </w:r>
      <w:r>
        <w:rPr>
          <w:rFonts w:hint="eastAsia" w:ascii="宋体" w:hAnsi="宋体"/>
          <w:b/>
          <w:szCs w:val="21"/>
        </w:rPr>
        <w:t>【评标方法及标准前附表】</w:t>
      </w:r>
      <w:r>
        <w:rPr>
          <w:rFonts w:hint="eastAsia" w:ascii="宋体" w:hAnsi="宋体"/>
          <w:szCs w:val="21"/>
        </w:rPr>
        <w:t>及第二章“投标须知”的相关规定给予相应比例的价格折扣。</w:t>
      </w:r>
    </w:p>
    <w:p>
      <w:pPr>
        <w:adjustRightInd w:val="0"/>
        <w:snapToGrid w:val="0"/>
        <w:spacing w:line="360" w:lineRule="auto"/>
        <w:ind w:firstLine="420" w:firstLineChars="200"/>
        <w:rPr>
          <w:rFonts w:ascii="宋体" w:hAnsi="宋体"/>
          <w:szCs w:val="21"/>
        </w:rPr>
      </w:pPr>
      <w:r>
        <w:rPr>
          <w:rFonts w:hint="eastAsia" w:ascii="宋体" w:hAnsi="宋体"/>
          <w:szCs w:val="21"/>
        </w:rPr>
        <w:t>（2）优先采购：</w:t>
      </w:r>
      <w:r>
        <w:rPr>
          <w:rFonts w:hint="eastAsia" w:ascii="宋体" w:hAnsi="宋体"/>
          <w:bCs/>
          <w:szCs w:val="21"/>
        </w:rPr>
        <w:t>评审时按</w:t>
      </w:r>
      <w:r>
        <w:rPr>
          <w:rFonts w:hint="eastAsia" w:ascii="宋体" w:hAnsi="宋体"/>
          <w:b/>
          <w:szCs w:val="21"/>
        </w:rPr>
        <w:t>【评标方法及标准前附表】</w:t>
      </w:r>
      <w:r>
        <w:rPr>
          <w:rFonts w:hint="eastAsia" w:ascii="宋体" w:hAnsi="宋体"/>
          <w:bCs/>
          <w:szCs w:val="21"/>
        </w:rPr>
        <w:t>及第二章</w:t>
      </w:r>
      <w:r>
        <w:rPr>
          <w:rFonts w:hint="eastAsia" w:ascii="宋体" w:hAnsi="宋体"/>
          <w:szCs w:val="21"/>
        </w:rPr>
        <w:t>“投标须知”</w:t>
      </w:r>
      <w:r>
        <w:rPr>
          <w:rFonts w:hint="eastAsia" w:ascii="宋体" w:hAnsi="宋体"/>
          <w:bCs/>
          <w:szCs w:val="21"/>
        </w:rPr>
        <w:t>的相关规定给予</w:t>
      </w:r>
      <w:r>
        <w:rPr>
          <w:rFonts w:hint="eastAsia" w:ascii="宋体" w:hAnsi="宋体"/>
          <w:szCs w:val="21"/>
        </w:rPr>
        <w:t>相应比例的</w:t>
      </w:r>
      <w:r>
        <w:rPr>
          <w:rFonts w:hint="eastAsia" w:ascii="宋体" w:hAnsi="宋体"/>
          <w:bCs/>
          <w:szCs w:val="21"/>
        </w:rPr>
        <w:t>价格折扣或者加分。</w:t>
      </w:r>
    </w:p>
    <w:p>
      <w:pPr>
        <w:pStyle w:val="5"/>
        <w:adjustRightInd w:val="0"/>
        <w:snapToGrid w:val="0"/>
        <w:spacing w:before="0" w:after="0" w:line="360" w:lineRule="auto"/>
        <w:rPr>
          <w:rFonts w:ascii="宋体" w:hAnsi="宋体"/>
          <w:sz w:val="24"/>
          <w:szCs w:val="24"/>
        </w:rPr>
      </w:pPr>
      <w:bookmarkStart w:id="545" w:name="_Toc15888513"/>
      <w:bookmarkStart w:id="546" w:name="_Toc27975"/>
      <w:bookmarkStart w:id="547" w:name="_Toc77199426"/>
      <w:bookmarkStart w:id="548" w:name="_Toc78449982"/>
      <w:bookmarkStart w:id="549" w:name="_Toc75289255"/>
      <w:bookmarkStart w:id="550" w:name="_Toc77676493"/>
      <w:bookmarkStart w:id="551" w:name="_Toc78314289"/>
      <w:bookmarkStart w:id="552" w:name="_Toc24265"/>
      <w:bookmarkStart w:id="553" w:name="_Toc75289575"/>
      <w:bookmarkStart w:id="554" w:name="_Toc108341964"/>
      <w:bookmarkStart w:id="555" w:name="_Toc31987"/>
      <w:bookmarkStart w:id="556" w:name="_Toc4406"/>
      <w:bookmarkStart w:id="557" w:name="_Toc11557"/>
      <w:bookmarkStart w:id="558" w:name="_Toc95601392"/>
      <w:bookmarkStart w:id="559" w:name="_Toc100670448"/>
      <w:bookmarkStart w:id="560" w:name="_Toc85972957"/>
      <w:bookmarkStart w:id="561" w:name="_Toc94367907"/>
      <w:bookmarkStart w:id="562" w:name="_Toc112594284"/>
      <w:bookmarkStart w:id="563" w:name="_Toc100670695"/>
      <w:r>
        <w:rPr>
          <w:rFonts w:hint="eastAsia" w:ascii="宋体" w:hAnsi="宋体"/>
          <w:bCs w:val="0"/>
          <w:sz w:val="24"/>
          <w:szCs w:val="24"/>
        </w:rPr>
        <w:t>6．</w:t>
      </w:r>
      <w:bookmarkEnd w:id="545"/>
      <w:r>
        <w:rPr>
          <w:rFonts w:hint="eastAsia" w:ascii="黑体" w:hAnsi="黑体" w:eastAsia="黑体"/>
          <w:sz w:val="24"/>
          <w:szCs w:val="24"/>
        </w:rPr>
        <w:t>推荐中标候选人</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adjustRightInd w:val="0"/>
        <w:snapToGrid w:val="0"/>
        <w:spacing w:line="360" w:lineRule="auto"/>
        <w:ind w:firstLine="420" w:firstLineChars="200"/>
        <w:rPr>
          <w:rFonts w:ascii="宋体" w:hAnsi="宋体"/>
          <w:bCs/>
          <w:szCs w:val="21"/>
        </w:rPr>
      </w:pPr>
      <w:r>
        <w:rPr>
          <w:rFonts w:hint="eastAsia" w:ascii="宋体" w:hAnsi="宋体"/>
          <w:szCs w:val="21"/>
        </w:rPr>
        <w:t>6.1</w:t>
      </w:r>
      <w:r>
        <w:rPr>
          <w:rFonts w:hint="eastAsia" w:ascii="宋体" w:hAnsi="宋体"/>
          <w:bCs/>
          <w:szCs w:val="21"/>
        </w:rPr>
        <w:t>评标结果按评审后得分由高到低顺序排列。得分相同的，按投标报价由低到高顺序排列。得分且投标报价相同的并列，按</w:t>
      </w:r>
      <w:r>
        <w:rPr>
          <w:rFonts w:hint="eastAsia" w:ascii="宋体" w:hAnsi="宋体"/>
          <w:b/>
          <w:bCs/>
          <w:szCs w:val="21"/>
        </w:rPr>
        <w:t>【评标方法及标准前附表】</w:t>
      </w:r>
      <w:r>
        <w:rPr>
          <w:rFonts w:hint="eastAsia" w:ascii="宋体" w:hAnsi="宋体"/>
          <w:bCs/>
          <w:szCs w:val="21"/>
        </w:rPr>
        <w:t>规定的方式确定中标人；招标文件未规定的，采取随机抽取的方式确定。</w:t>
      </w:r>
    </w:p>
    <w:p>
      <w:pPr>
        <w:pStyle w:val="5"/>
        <w:adjustRightInd w:val="0"/>
        <w:snapToGrid w:val="0"/>
        <w:spacing w:before="0" w:after="0" w:line="360" w:lineRule="auto"/>
        <w:rPr>
          <w:rFonts w:ascii="宋体" w:hAnsi="宋体"/>
          <w:sz w:val="24"/>
          <w:szCs w:val="24"/>
        </w:rPr>
      </w:pPr>
      <w:bookmarkStart w:id="564" w:name="_Toc95601393"/>
      <w:bookmarkStart w:id="565" w:name="_Toc4001"/>
      <w:bookmarkStart w:id="566" w:name="_Toc28328"/>
      <w:bookmarkStart w:id="567" w:name="_Toc13939"/>
      <w:bookmarkStart w:id="568" w:name="_Toc18677"/>
      <w:bookmarkStart w:id="569" w:name="_Toc15888514"/>
      <w:bookmarkStart w:id="570" w:name="_Toc75289576"/>
      <w:bookmarkStart w:id="571" w:name="_Toc77676494"/>
      <w:bookmarkStart w:id="572" w:name="_Toc100670696"/>
      <w:bookmarkStart w:id="573" w:name="_Toc108341965"/>
      <w:bookmarkStart w:id="574" w:name="_Toc8529"/>
      <w:bookmarkStart w:id="575" w:name="_Toc78314290"/>
      <w:bookmarkStart w:id="576" w:name="_Toc78449983"/>
      <w:bookmarkStart w:id="577" w:name="_Toc77199427"/>
      <w:bookmarkStart w:id="578" w:name="_Toc85972958"/>
      <w:bookmarkStart w:id="579" w:name="_Toc112594285"/>
      <w:bookmarkStart w:id="580" w:name="_Toc100670449"/>
      <w:bookmarkStart w:id="581" w:name="_Toc94367908"/>
      <w:bookmarkStart w:id="582" w:name="_Toc75289256"/>
      <w:r>
        <w:rPr>
          <w:rFonts w:hint="eastAsia" w:ascii="宋体" w:hAnsi="宋体"/>
          <w:bCs w:val="0"/>
          <w:sz w:val="24"/>
          <w:szCs w:val="24"/>
        </w:rPr>
        <w:t>7．</w:t>
      </w:r>
      <w:r>
        <w:rPr>
          <w:rFonts w:hint="eastAsia" w:ascii="宋体" w:hAnsi="宋体"/>
          <w:sz w:val="24"/>
          <w:szCs w:val="24"/>
        </w:rPr>
        <w:t>编写评标报告</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adjustRightInd w:val="0"/>
        <w:snapToGrid w:val="0"/>
        <w:spacing w:line="360" w:lineRule="auto"/>
        <w:ind w:firstLine="420" w:firstLineChars="200"/>
        <w:rPr>
          <w:rFonts w:ascii="宋体" w:hAnsi="宋体"/>
          <w:szCs w:val="21"/>
        </w:rPr>
      </w:pPr>
      <w:r>
        <w:rPr>
          <w:rFonts w:hint="eastAsia" w:ascii="宋体" w:hAnsi="宋体"/>
          <w:szCs w:val="21"/>
        </w:rPr>
        <w:t>7.1评标</w:t>
      </w:r>
      <w:r>
        <w:rPr>
          <w:rFonts w:hint="eastAsia" w:ascii="宋体" w:hAnsi="宋体"/>
          <w:bCs/>
          <w:szCs w:val="21"/>
        </w:rPr>
        <w:t>委员会</w:t>
      </w:r>
      <w:r>
        <w:rPr>
          <w:rFonts w:hint="eastAsia" w:ascii="宋体" w:hAnsi="宋体"/>
          <w:szCs w:val="21"/>
        </w:rPr>
        <w:t>根据全体评标成员签字的原始评标记录和评标结果编写评标报告。</w:t>
      </w:r>
    </w:p>
    <w:p>
      <w:pPr>
        <w:adjustRightInd w:val="0"/>
        <w:snapToGrid w:val="0"/>
        <w:spacing w:line="360" w:lineRule="auto"/>
        <w:ind w:firstLine="420" w:firstLineChars="200"/>
        <w:rPr>
          <w:rFonts w:ascii="宋体" w:hAnsi="宋体"/>
          <w:bCs/>
          <w:szCs w:val="21"/>
        </w:rPr>
      </w:pPr>
      <w:r>
        <w:rPr>
          <w:rFonts w:hint="eastAsia" w:ascii="宋体" w:hAnsi="宋体"/>
          <w:szCs w:val="21"/>
        </w:rPr>
        <w:t>7.2</w:t>
      </w:r>
      <w:r>
        <w:rPr>
          <w:rFonts w:hint="eastAsia" w:ascii="宋体" w:hAnsi="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pPr>
        <w:pStyle w:val="5"/>
        <w:adjustRightInd w:val="0"/>
        <w:snapToGrid w:val="0"/>
        <w:spacing w:before="0" w:after="0" w:line="360" w:lineRule="auto"/>
        <w:rPr>
          <w:rFonts w:ascii="宋体" w:hAnsi="宋体"/>
          <w:bCs w:val="0"/>
          <w:sz w:val="24"/>
          <w:szCs w:val="24"/>
        </w:rPr>
      </w:pPr>
      <w:bookmarkStart w:id="583" w:name="_Toc85972959"/>
      <w:bookmarkStart w:id="584" w:name="_Toc95601394"/>
      <w:bookmarkStart w:id="585" w:name="_Toc15888515"/>
      <w:bookmarkStart w:id="586" w:name="_Toc22331"/>
      <w:bookmarkStart w:id="587" w:name="_Toc78314291"/>
      <w:bookmarkStart w:id="588" w:name="_Toc32152"/>
      <w:bookmarkStart w:id="589" w:name="_Toc17910"/>
      <w:bookmarkStart w:id="590" w:name="_Toc108341966"/>
      <w:bookmarkStart w:id="591" w:name="_Toc77199428"/>
      <w:bookmarkStart w:id="592" w:name="_Toc75289257"/>
      <w:bookmarkStart w:id="593" w:name="_Toc78449984"/>
      <w:bookmarkStart w:id="594" w:name="_Toc75289577"/>
      <w:bookmarkStart w:id="595" w:name="_Toc100670450"/>
      <w:bookmarkStart w:id="596" w:name="_Toc100670697"/>
      <w:bookmarkStart w:id="597" w:name="_Toc112594286"/>
      <w:bookmarkStart w:id="598" w:name="_Toc77676495"/>
      <w:bookmarkStart w:id="599" w:name="_Toc15467"/>
      <w:bookmarkStart w:id="600" w:name="_Toc30427"/>
      <w:bookmarkStart w:id="601" w:name="_Toc94367909"/>
      <w:r>
        <w:rPr>
          <w:rFonts w:hint="eastAsia" w:ascii="宋体" w:hAnsi="宋体"/>
          <w:bCs w:val="0"/>
          <w:sz w:val="24"/>
          <w:szCs w:val="24"/>
        </w:rPr>
        <w:t>8．</w:t>
      </w:r>
      <w:r>
        <w:rPr>
          <w:rFonts w:hint="eastAsia" w:ascii="宋体" w:hAnsi="宋体"/>
          <w:sz w:val="24"/>
          <w:szCs w:val="24"/>
        </w:rPr>
        <w:t>评标报告</w:t>
      </w:r>
      <w:r>
        <w:rPr>
          <w:rFonts w:hint="eastAsia" w:ascii="宋体" w:hAnsi="宋体"/>
          <w:bCs w:val="0"/>
          <w:sz w:val="24"/>
          <w:szCs w:val="24"/>
        </w:rPr>
        <w:t>复核</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adjustRightInd w:val="0"/>
        <w:snapToGrid w:val="0"/>
        <w:spacing w:line="360" w:lineRule="auto"/>
        <w:ind w:firstLine="420" w:firstLineChars="200"/>
        <w:rPr>
          <w:rFonts w:ascii="宋体" w:hAnsi="宋体"/>
          <w:bCs/>
          <w:szCs w:val="21"/>
        </w:rPr>
      </w:pPr>
      <w:r>
        <w:rPr>
          <w:rFonts w:hint="eastAsia" w:ascii="宋体" w:hAnsi="宋体"/>
          <w:bCs/>
          <w:szCs w:val="21"/>
        </w:rPr>
        <w:t>8.1汇总结束后，评标委员会应当进行复核，特别要对拟推荐为中标候选供应商的、报价最低的、投标文件被认定为无效的进行重点复核。</w:t>
      </w:r>
    </w:p>
    <w:p>
      <w:pPr>
        <w:adjustRightInd w:val="0"/>
        <w:snapToGrid w:val="0"/>
        <w:spacing w:line="360" w:lineRule="auto"/>
        <w:ind w:firstLine="420" w:firstLineChars="200"/>
        <w:rPr>
          <w:rFonts w:ascii="宋体" w:hAnsi="宋体"/>
          <w:bCs/>
          <w:szCs w:val="21"/>
        </w:rPr>
      </w:pPr>
      <w:r>
        <w:rPr>
          <w:rFonts w:hint="eastAsia" w:ascii="宋体" w:hAnsi="宋体"/>
          <w:bCs/>
          <w:szCs w:val="21"/>
        </w:rPr>
        <w:t>8.2汇总完成后，除下列情形外，任何人不得修改评标结果：</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（1）分值汇总计算错误的；</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（2）分项评分超出评分标准范围的；</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（3）评标委员会成员对客观评审因素评分不一致的；</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（4）经评标委员会认定评分畸高、畸低的。</w:t>
      </w:r>
    </w:p>
    <w:p>
      <w:pPr>
        <w:adjustRightInd w:val="0"/>
        <w:snapToGrid w:val="0"/>
        <w:spacing w:line="360" w:lineRule="auto"/>
        <w:ind w:firstLine="420" w:firstLineChars="200"/>
        <w:rPr>
          <w:rFonts w:ascii="宋体" w:hAnsi="宋体"/>
          <w:bCs/>
          <w:szCs w:val="21"/>
        </w:rPr>
      </w:pPr>
      <w:r>
        <w:rPr>
          <w:rFonts w:hint="eastAsia" w:ascii="宋体" w:hAnsi="宋体"/>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5"/>
        <w:adjustRightInd w:val="0"/>
        <w:snapToGrid w:val="0"/>
        <w:spacing w:before="0" w:after="0" w:line="360" w:lineRule="auto"/>
        <w:rPr>
          <w:rFonts w:ascii="宋体" w:hAnsi="宋体"/>
          <w:bCs w:val="0"/>
          <w:sz w:val="24"/>
          <w:szCs w:val="24"/>
        </w:rPr>
      </w:pPr>
      <w:bookmarkStart w:id="602" w:name="_Toc15888516"/>
      <w:bookmarkStart w:id="603" w:name="_Toc108341967"/>
      <w:bookmarkStart w:id="604" w:name="_Toc95601395"/>
      <w:bookmarkStart w:id="605" w:name="_Toc77199429"/>
      <w:bookmarkStart w:id="606" w:name="_Toc100670698"/>
      <w:bookmarkStart w:id="607" w:name="_Toc94367910"/>
      <w:bookmarkStart w:id="608" w:name="_Toc78314292"/>
      <w:bookmarkStart w:id="609" w:name="_Toc75289578"/>
      <w:bookmarkStart w:id="610" w:name="_Toc112594287"/>
      <w:bookmarkStart w:id="611" w:name="_Toc4268"/>
      <w:bookmarkStart w:id="612" w:name="_Toc75289258"/>
      <w:bookmarkStart w:id="613" w:name="_Toc100670451"/>
      <w:bookmarkStart w:id="614" w:name="_Toc78449985"/>
      <w:bookmarkStart w:id="615" w:name="_Toc85972960"/>
      <w:bookmarkStart w:id="616" w:name="_Toc77676496"/>
      <w:bookmarkStart w:id="617" w:name="_Toc25690"/>
      <w:bookmarkStart w:id="618" w:name="_Toc4366"/>
      <w:bookmarkStart w:id="619" w:name="_Toc9989"/>
      <w:bookmarkStart w:id="620" w:name="_Toc1995"/>
      <w:r>
        <w:rPr>
          <w:rFonts w:hint="eastAsia" w:ascii="宋体" w:hAnsi="宋体"/>
          <w:sz w:val="24"/>
          <w:szCs w:val="24"/>
        </w:rPr>
        <w:t>9．</w:t>
      </w:r>
      <w:r>
        <w:rPr>
          <w:rFonts w:hint="eastAsia" w:ascii="宋体" w:hAnsi="宋体"/>
          <w:bCs w:val="0"/>
          <w:sz w:val="24"/>
          <w:szCs w:val="24"/>
        </w:rPr>
        <w:t>停止评标</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adjustRightInd w:val="0"/>
        <w:snapToGrid w:val="0"/>
        <w:spacing w:line="360" w:lineRule="auto"/>
        <w:ind w:firstLine="420" w:firstLineChars="200"/>
        <w:rPr>
          <w:rFonts w:ascii="宋体" w:hAnsi="宋体" w:cs="宋体"/>
          <w:kern w:val="0"/>
          <w:szCs w:val="21"/>
        </w:rPr>
      </w:pPr>
      <w:r>
        <w:rPr>
          <w:rFonts w:hint="eastAsia" w:ascii="宋体" w:hAnsi="宋体"/>
          <w:bCs/>
          <w:szCs w:val="21"/>
        </w:rPr>
        <w:t>9.1</w:t>
      </w:r>
      <w:r>
        <w:rPr>
          <w:rFonts w:hint="eastAsia" w:ascii="宋体" w:hAnsi="宋体" w:cs="宋体"/>
          <w:kern w:val="0"/>
          <w:szCs w:val="21"/>
        </w:rPr>
        <w:t>评标委员会发现招标文件存在歧义、重大缺陷导致评标工作无法进行，或者招标文件内容违反国家有关强制性规定的，应当停止评标工作，与采购人、者采购代理机构沟通并作书面记录。采购人、采购代理机构确认后，应当修改招标文件，重新组织采购活动。</w:t>
      </w:r>
    </w:p>
    <w:p>
      <w:pPr>
        <w:pStyle w:val="5"/>
        <w:spacing w:before="0" w:after="0" w:line="360" w:lineRule="auto"/>
        <w:rPr>
          <w:rFonts w:ascii="宋体" w:hAnsi="宋体"/>
          <w:sz w:val="24"/>
          <w:szCs w:val="24"/>
        </w:rPr>
      </w:pPr>
      <w:bookmarkStart w:id="621" w:name="_Toc108341968"/>
      <w:bookmarkStart w:id="622" w:name="_Toc112594288"/>
      <w:bookmarkStart w:id="623" w:name="_Toc30196"/>
      <w:bookmarkStart w:id="624" w:name="_Toc100670699"/>
      <w:bookmarkStart w:id="625" w:name="_Toc7913"/>
      <w:bookmarkStart w:id="626" w:name="_Toc22852"/>
      <w:bookmarkStart w:id="627" w:name="_Toc25101"/>
      <w:bookmarkStart w:id="628" w:name="_Toc4730"/>
      <w:r>
        <w:rPr>
          <w:rFonts w:hint="eastAsia" w:ascii="宋体" w:hAnsi="宋体"/>
          <w:sz w:val="24"/>
          <w:szCs w:val="24"/>
        </w:rPr>
        <w:t>10.废标</w:t>
      </w:r>
      <w:bookmarkEnd w:id="621"/>
      <w:bookmarkEnd w:id="622"/>
      <w:bookmarkEnd w:id="623"/>
      <w:bookmarkEnd w:id="624"/>
      <w:bookmarkEnd w:id="625"/>
      <w:bookmarkEnd w:id="626"/>
      <w:bookmarkEnd w:id="627"/>
      <w:bookmarkEnd w:id="628"/>
    </w:p>
    <w:p>
      <w:pPr>
        <w:adjustRightInd w:val="0"/>
        <w:snapToGrid w:val="0"/>
        <w:spacing w:line="360" w:lineRule="auto"/>
        <w:ind w:firstLine="420" w:firstLineChars="200"/>
        <w:rPr>
          <w:rFonts w:ascii="宋体" w:hAnsi="宋体"/>
          <w:szCs w:val="21"/>
        </w:rPr>
      </w:pPr>
      <w:r>
        <w:rPr>
          <w:rFonts w:hint="eastAsia" w:ascii="宋体" w:hAnsi="宋体"/>
          <w:szCs w:val="21"/>
        </w:rPr>
        <w:t>10.1 根据有关法律法规和招标文件的有关规定，如出现下列情况之一的，应予以废标：</w:t>
      </w:r>
    </w:p>
    <w:p>
      <w:pPr>
        <w:adjustRightInd w:val="0"/>
        <w:snapToGrid w:val="0"/>
        <w:spacing w:line="360" w:lineRule="auto"/>
        <w:ind w:firstLine="420" w:firstLineChars="200"/>
        <w:rPr>
          <w:rFonts w:ascii="宋体" w:hAnsi="宋体"/>
          <w:szCs w:val="21"/>
        </w:rPr>
      </w:pPr>
      <w:r>
        <w:rPr>
          <w:rFonts w:hint="eastAsia" w:ascii="宋体" w:hAnsi="宋体"/>
          <w:szCs w:val="21"/>
        </w:rPr>
        <w:t>（1）符合专业条件的投标人或者对招标文件作实质响应的投标人不足三家的；</w:t>
      </w:r>
    </w:p>
    <w:p>
      <w:pPr>
        <w:adjustRightInd w:val="0"/>
        <w:snapToGrid w:val="0"/>
        <w:spacing w:line="360" w:lineRule="auto"/>
        <w:ind w:firstLine="420" w:firstLineChars="200"/>
        <w:rPr>
          <w:rFonts w:ascii="宋体" w:hAnsi="宋体"/>
          <w:szCs w:val="21"/>
        </w:rPr>
      </w:pPr>
      <w:r>
        <w:rPr>
          <w:rFonts w:hint="eastAsia" w:ascii="宋体" w:hAnsi="宋体"/>
          <w:szCs w:val="21"/>
        </w:rPr>
        <w:t>（2）出现影响采购公正的违法、违规行为的；</w:t>
      </w:r>
    </w:p>
    <w:p>
      <w:pPr>
        <w:adjustRightInd w:val="0"/>
        <w:snapToGrid w:val="0"/>
        <w:spacing w:line="360" w:lineRule="auto"/>
        <w:ind w:firstLine="420" w:firstLineChars="200"/>
        <w:rPr>
          <w:rFonts w:ascii="宋体" w:hAnsi="宋体"/>
          <w:szCs w:val="21"/>
        </w:rPr>
      </w:pPr>
      <w:r>
        <w:rPr>
          <w:rFonts w:hint="eastAsia" w:ascii="宋体" w:hAnsi="宋体"/>
          <w:szCs w:val="21"/>
        </w:rPr>
        <w:t>（3）投标人的报价均超过招标人项目采购预算，采购人不能支付的；</w:t>
      </w:r>
    </w:p>
    <w:p>
      <w:pPr>
        <w:adjustRightInd w:val="0"/>
        <w:snapToGrid w:val="0"/>
        <w:spacing w:line="360" w:lineRule="auto"/>
        <w:ind w:firstLine="420" w:firstLineChars="200"/>
        <w:rPr>
          <w:rFonts w:ascii="宋体" w:hAnsi="宋体"/>
          <w:szCs w:val="21"/>
        </w:rPr>
      </w:pPr>
      <w:r>
        <w:rPr>
          <w:rFonts w:hint="eastAsia" w:ascii="宋体" w:hAnsi="宋体"/>
          <w:szCs w:val="21"/>
        </w:rPr>
        <w:t>（4）因重大变故，采购任务取消的。</w:t>
      </w:r>
    </w:p>
    <w:p>
      <w:pPr>
        <w:pStyle w:val="5"/>
        <w:keepNext w:val="0"/>
        <w:keepLines w:val="0"/>
        <w:adjustRightInd w:val="0"/>
        <w:snapToGrid w:val="0"/>
        <w:spacing w:before="0" w:after="0" w:line="360" w:lineRule="auto"/>
        <w:rPr>
          <w:rFonts w:ascii="宋体" w:hAnsi="宋体"/>
          <w:bCs w:val="0"/>
          <w:sz w:val="24"/>
          <w:szCs w:val="24"/>
        </w:rPr>
      </w:pPr>
      <w:bookmarkStart w:id="629" w:name="_Toc94367911"/>
      <w:bookmarkStart w:id="630" w:name="_Toc112594289"/>
      <w:bookmarkStart w:id="631" w:name="_Toc77199430"/>
      <w:bookmarkStart w:id="632" w:name="_Toc23842"/>
      <w:bookmarkStart w:id="633" w:name="_Toc78449986"/>
      <w:bookmarkStart w:id="634" w:name="_Toc8561"/>
      <w:bookmarkStart w:id="635" w:name="_Toc23219"/>
      <w:bookmarkStart w:id="636" w:name="_Toc994"/>
      <w:bookmarkStart w:id="637" w:name="_Toc75289579"/>
      <w:bookmarkStart w:id="638" w:name="_Toc100670700"/>
      <w:bookmarkStart w:id="639" w:name="_Toc95601396"/>
      <w:bookmarkStart w:id="640" w:name="_Toc78314293"/>
      <w:bookmarkStart w:id="641" w:name="_Toc10336"/>
      <w:bookmarkStart w:id="642" w:name="_Toc20651225"/>
      <w:bookmarkStart w:id="643" w:name="_Toc100670452"/>
      <w:bookmarkStart w:id="644" w:name="_Toc108341969"/>
      <w:bookmarkStart w:id="645" w:name="_Toc85972961"/>
      <w:bookmarkStart w:id="646" w:name="_Toc75289259"/>
      <w:bookmarkStart w:id="647" w:name="_Toc77676497"/>
      <w:r>
        <w:rPr>
          <w:rFonts w:hint="eastAsia" w:ascii="宋体" w:hAnsi="宋体" w:cs="宋体"/>
          <w:sz w:val="24"/>
          <w:szCs w:val="24"/>
        </w:rPr>
        <w:t>11．重新组建评标委员会进行评标</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adjustRightInd w:val="0"/>
        <w:snapToGrid w:val="0"/>
        <w:spacing w:line="360" w:lineRule="auto"/>
        <w:ind w:firstLine="420" w:firstLineChars="200"/>
        <w:rPr>
          <w:rFonts w:ascii="宋体" w:hAnsi="宋体"/>
          <w:szCs w:val="21"/>
        </w:rPr>
      </w:pPr>
      <w:r>
        <w:rPr>
          <w:rFonts w:hint="eastAsia" w:ascii="宋体" w:hAnsi="宋体"/>
          <w:szCs w:val="21"/>
        </w:rPr>
        <w:t>11.1评标委员会或者其成员存在下列情形导致评标结果无效的，采购人、采购代理机构可以重新组建评标委员会进行评标，并书面报告本级财政部门，但采购合同已经履行的除外：</w:t>
      </w:r>
    </w:p>
    <w:p>
      <w:pPr>
        <w:adjustRightInd w:val="0"/>
        <w:snapToGrid w:val="0"/>
        <w:spacing w:line="360" w:lineRule="auto"/>
        <w:ind w:firstLine="420" w:firstLineChars="200"/>
        <w:rPr>
          <w:rFonts w:ascii="宋体" w:hAnsi="宋体"/>
          <w:szCs w:val="21"/>
        </w:rPr>
      </w:pPr>
      <w:r>
        <w:rPr>
          <w:rFonts w:hint="eastAsia" w:ascii="宋体" w:hAnsi="宋体"/>
          <w:szCs w:val="21"/>
        </w:rPr>
        <w:t>（1）评标委员会组成不符合《政府采购货物和服务招标投标管理办法》规定的；</w:t>
      </w:r>
    </w:p>
    <w:p>
      <w:pPr>
        <w:adjustRightInd w:val="0"/>
        <w:snapToGrid w:val="0"/>
        <w:spacing w:line="360" w:lineRule="auto"/>
        <w:ind w:firstLine="420" w:firstLineChars="200"/>
        <w:rPr>
          <w:rFonts w:ascii="宋体" w:hAnsi="宋体"/>
          <w:szCs w:val="21"/>
        </w:rPr>
      </w:pPr>
      <w:r>
        <w:rPr>
          <w:rFonts w:hint="eastAsia" w:ascii="宋体" w:hAnsi="宋体"/>
          <w:szCs w:val="21"/>
        </w:rPr>
        <w:t>（2）有《政府采购货物和服务招标投标管理办法》第六十二条第一至五项情形的；</w:t>
      </w:r>
    </w:p>
    <w:p>
      <w:pPr>
        <w:adjustRightInd w:val="0"/>
        <w:snapToGrid w:val="0"/>
        <w:spacing w:line="360" w:lineRule="auto"/>
        <w:ind w:firstLine="420" w:firstLineChars="200"/>
        <w:rPr>
          <w:rFonts w:ascii="宋体" w:hAnsi="宋体"/>
          <w:szCs w:val="21"/>
        </w:rPr>
      </w:pPr>
      <w:r>
        <w:rPr>
          <w:rFonts w:hint="eastAsia" w:ascii="宋体" w:hAnsi="宋体"/>
          <w:szCs w:val="21"/>
        </w:rPr>
        <w:t>（3）评标委员会及其成员独立评标受到非法干预的；</w:t>
      </w:r>
    </w:p>
    <w:p>
      <w:pPr>
        <w:adjustRightInd w:val="0"/>
        <w:snapToGrid w:val="0"/>
        <w:spacing w:line="360" w:lineRule="auto"/>
        <w:ind w:firstLine="420" w:firstLineChars="200"/>
        <w:rPr>
          <w:rFonts w:ascii="宋体" w:hAnsi="宋体"/>
          <w:szCs w:val="21"/>
        </w:rPr>
      </w:pPr>
      <w:r>
        <w:rPr>
          <w:rFonts w:hint="eastAsia" w:ascii="宋体" w:hAnsi="宋体"/>
          <w:szCs w:val="21"/>
        </w:rPr>
        <w:t>（4）有政府采购法实施条例第七十五条规定的违法行为的。</w:t>
      </w:r>
    </w:p>
    <w:p>
      <w:pPr>
        <w:adjustRightInd w:val="0"/>
        <w:snapToGrid w:val="0"/>
        <w:spacing w:line="360" w:lineRule="auto"/>
        <w:ind w:firstLine="420" w:firstLineChars="200"/>
        <w:rPr>
          <w:rFonts w:ascii="宋体" w:hAnsi="宋体"/>
          <w:szCs w:val="21"/>
        </w:rPr>
      </w:pPr>
      <w:r>
        <w:rPr>
          <w:rFonts w:hint="eastAsia" w:ascii="宋体" w:hAnsi="宋体"/>
          <w:szCs w:val="21"/>
        </w:rPr>
        <w:t>11.2有违法违规行为的原评标委员会成员不得参加重新组建的评标委员会。</w:t>
      </w:r>
    </w:p>
    <w:p>
      <w:pPr>
        <w:pStyle w:val="4"/>
        <w:adjustRightInd w:val="0"/>
        <w:snapToGrid w:val="0"/>
        <w:spacing w:before="156" w:beforeLines="50"/>
        <w:jc w:val="center"/>
        <w:rPr>
          <w:rFonts w:ascii="黑体" w:hAnsi="华文中宋" w:eastAsia="黑体"/>
          <w:sz w:val="28"/>
          <w:szCs w:val="28"/>
        </w:rPr>
      </w:pPr>
      <w:r>
        <w:rPr>
          <w:rFonts w:ascii="黑体" w:hAnsi="华文中宋" w:eastAsia="黑体"/>
          <w:b w:val="0"/>
          <w:sz w:val="32"/>
        </w:rPr>
        <w:br w:type="page"/>
      </w:r>
      <w:bookmarkStart w:id="648" w:name="_Toc108341970"/>
      <w:bookmarkStart w:id="649" w:name="_Toc4097"/>
      <w:bookmarkStart w:id="650" w:name="_Toc77199431"/>
      <w:bookmarkStart w:id="651" w:name="_Toc95601397"/>
      <w:bookmarkStart w:id="652" w:name="_Toc13597"/>
      <w:bookmarkStart w:id="653" w:name="_Toc112594290"/>
      <w:bookmarkStart w:id="654" w:name="_Toc85972962"/>
      <w:bookmarkStart w:id="655" w:name="_Toc75289260"/>
      <w:bookmarkStart w:id="656" w:name="_Toc77676498"/>
      <w:bookmarkStart w:id="657" w:name="_Toc94367912"/>
      <w:bookmarkStart w:id="658" w:name="_Toc78449987"/>
      <w:bookmarkStart w:id="659" w:name="_Toc20651226"/>
      <w:bookmarkStart w:id="660" w:name="_Toc100670453"/>
      <w:bookmarkStart w:id="661" w:name="_Toc75289580"/>
      <w:bookmarkStart w:id="662" w:name="_Toc28919"/>
      <w:bookmarkStart w:id="663" w:name="_Toc22311"/>
      <w:bookmarkStart w:id="664" w:name="_Toc100670701"/>
      <w:bookmarkStart w:id="665" w:name="_Toc78314294"/>
      <w:bookmarkStart w:id="666" w:name="_Toc28997"/>
      <w:r>
        <w:rPr>
          <w:rFonts w:hint="eastAsia" w:ascii="黑体" w:hAnsi="华文中宋" w:eastAsia="黑体"/>
          <w:sz w:val="28"/>
          <w:szCs w:val="28"/>
        </w:rPr>
        <w:t>第三节 投标文件的符合性审查</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adjustRightInd w:val="0"/>
        <w:snapToGrid w:val="0"/>
        <w:spacing w:line="360" w:lineRule="auto"/>
        <w:rPr>
          <w:rFonts w:ascii="宋体" w:hAnsi="宋体"/>
          <w:b/>
          <w:sz w:val="24"/>
        </w:rPr>
      </w:pPr>
      <w:r>
        <w:rPr>
          <w:rFonts w:hint="eastAsia" w:ascii="宋体" w:hAnsi="宋体"/>
          <w:b/>
          <w:sz w:val="24"/>
        </w:rPr>
        <w:t>1.符合性审查</w:t>
      </w:r>
    </w:p>
    <w:p>
      <w:pPr>
        <w:adjustRightInd w:val="0"/>
        <w:snapToGrid w:val="0"/>
        <w:spacing w:line="360" w:lineRule="auto"/>
        <w:ind w:firstLine="420" w:firstLineChars="200"/>
        <w:rPr>
          <w:rFonts w:ascii="宋体" w:hAnsi="宋体"/>
        </w:rPr>
      </w:pPr>
      <w:r>
        <w:rPr>
          <w:rFonts w:hint="eastAsia" w:ascii="宋体" w:hAnsi="宋体"/>
        </w:rPr>
        <w:t>1.1</w:t>
      </w:r>
      <w:r>
        <w:rPr>
          <w:rFonts w:hint="eastAsia" w:ascii="宋体" w:hAnsi="宋体"/>
          <w:szCs w:val="21"/>
        </w:rPr>
        <w:t>评标委员会应按本章本节附表1“符合性审查表”所列审查项目及审查标准，</w:t>
      </w:r>
      <w:r>
        <w:rPr>
          <w:rFonts w:hint="eastAsia" w:ascii="宋体" w:hAnsi="宋体"/>
        </w:rPr>
        <w:t>对符合资格条件的投标人的投标文件进行符合性审查，以确定其是否满足招标文件的实质性要求。</w:t>
      </w:r>
    </w:p>
    <w:p>
      <w:pPr>
        <w:adjustRightInd w:val="0"/>
        <w:snapToGrid w:val="0"/>
        <w:spacing w:line="360" w:lineRule="auto"/>
        <w:ind w:firstLine="420" w:firstLineChars="200"/>
        <w:rPr>
          <w:rFonts w:ascii="宋体" w:hAnsi="宋体"/>
          <w:szCs w:val="21"/>
        </w:rPr>
      </w:pPr>
      <w:r>
        <w:rPr>
          <w:rFonts w:hint="eastAsia"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pPr>
        <w:adjustRightInd w:val="0"/>
        <w:snapToGrid w:val="0"/>
        <w:spacing w:line="360" w:lineRule="auto"/>
        <w:ind w:firstLine="420" w:firstLineChars="200"/>
        <w:rPr>
          <w:rFonts w:ascii="宋体" w:hAnsi="宋体"/>
          <w:szCs w:val="21"/>
        </w:rPr>
      </w:pPr>
      <w:r>
        <w:rPr>
          <w:rFonts w:hint="eastAsia" w:ascii="宋体" w:hAnsi="宋体"/>
          <w:szCs w:val="21"/>
        </w:rPr>
        <w:t>（2）投标人不得通过修正或撤销不合要求的偏离从而使其投标成为实质上响应的投标。</w:t>
      </w:r>
    </w:p>
    <w:p>
      <w:pPr>
        <w:adjustRightInd w:val="0"/>
        <w:snapToGrid w:val="0"/>
        <w:spacing w:line="360" w:lineRule="auto"/>
        <w:ind w:firstLine="420" w:firstLineChars="200"/>
        <w:rPr>
          <w:rFonts w:ascii="宋体" w:hAnsi="宋体"/>
        </w:rPr>
      </w:pPr>
      <w:r>
        <w:rPr>
          <w:rFonts w:hint="eastAsia" w:ascii="宋体" w:hAnsi="宋体"/>
          <w:kern w:val="0"/>
          <w:szCs w:val="21"/>
        </w:rPr>
        <w:t>1.2</w:t>
      </w:r>
      <w:r>
        <w:rPr>
          <w:rFonts w:hint="eastAsia" w:ascii="宋体" w:hAnsi="宋体"/>
        </w:rPr>
        <w:t>未通过符合性审查的投标人，其投标将被认定为投标无效，不能进入下一阶段评审。通过符合性审查的投标人数量不足 3 家的，不得作进一步的比较和评价。</w:t>
      </w:r>
    </w:p>
    <w:p>
      <w:pPr>
        <w:adjustRightInd w:val="0"/>
        <w:snapToGrid w:val="0"/>
        <w:spacing w:line="360" w:lineRule="auto"/>
        <w:rPr>
          <w:rFonts w:ascii="宋体" w:hAnsi="宋体"/>
          <w:b/>
          <w:sz w:val="24"/>
        </w:rPr>
      </w:pPr>
      <w:r>
        <w:rPr>
          <w:rFonts w:hint="eastAsia" w:ascii="宋体" w:hAnsi="宋体"/>
          <w:b/>
          <w:sz w:val="24"/>
        </w:rPr>
        <w:t>2.投标无效</w:t>
      </w:r>
    </w:p>
    <w:p>
      <w:pPr>
        <w:adjustRightInd w:val="0"/>
        <w:snapToGrid w:val="0"/>
        <w:spacing w:line="360" w:lineRule="auto"/>
        <w:ind w:firstLine="420" w:firstLineChars="200"/>
        <w:rPr>
          <w:rFonts w:ascii="宋体" w:hAnsi="宋体"/>
          <w:szCs w:val="21"/>
        </w:rPr>
      </w:pPr>
      <w:r>
        <w:rPr>
          <w:rFonts w:hint="eastAsia" w:ascii="宋体" w:hAnsi="宋体"/>
          <w:szCs w:val="21"/>
        </w:rPr>
        <w:t>2.1投标人存在下列情况之一的，符合性审查不合格，投标无效：</w:t>
      </w:r>
    </w:p>
    <w:p>
      <w:pPr>
        <w:adjustRightInd w:val="0"/>
        <w:snapToGrid w:val="0"/>
        <w:spacing w:line="360" w:lineRule="auto"/>
        <w:ind w:firstLine="420" w:firstLineChars="200"/>
        <w:rPr>
          <w:rFonts w:ascii="宋体" w:hAnsi="宋体"/>
          <w:szCs w:val="21"/>
        </w:rPr>
      </w:pPr>
      <w:r>
        <w:rPr>
          <w:rFonts w:hint="eastAsia" w:ascii="宋体" w:hAnsi="宋体"/>
          <w:szCs w:val="21"/>
        </w:rPr>
        <w:t>（1）投标文件中商务技术文件未按照招标文件规定要求签署、盖章的；</w:t>
      </w:r>
    </w:p>
    <w:p>
      <w:pPr>
        <w:adjustRightInd w:val="0"/>
        <w:snapToGrid w:val="0"/>
        <w:spacing w:line="360" w:lineRule="auto"/>
        <w:ind w:firstLine="420" w:firstLineChars="200"/>
        <w:rPr>
          <w:rFonts w:ascii="宋体" w:hAnsi="宋体"/>
          <w:szCs w:val="21"/>
        </w:rPr>
      </w:pPr>
      <w:r>
        <w:rPr>
          <w:rFonts w:hint="eastAsia" w:ascii="宋体" w:hAnsi="宋体"/>
          <w:szCs w:val="21"/>
        </w:rPr>
        <w:t>（2）投标文件没有对招标文件的实质性要求和条件作出响应，或者对招标文件的偏离超出招标文件规定的偏离范围和幅度；</w:t>
      </w:r>
    </w:p>
    <w:p>
      <w:pPr>
        <w:adjustRightInd w:val="0"/>
        <w:snapToGrid w:val="0"/>
        <w:spacing w:line="360" w:lineRule="auto"/>
        <w:ind w:firstLine="420" w:firstLineChars="200"/>
        <w:rPr>
          <w:rFonts w:ascii="宋体" w:hAnsi="宋体"/>
          <w:szCs w:val="21"/>
        </w:rPr>
      </w:pPr>
      <w:r>
        <w:rPr>
          <w:rFonts w:hint="eastAsia" w:ascii="宋体" w:hAnsi="宋体"/>
          <w:szCs w:val="21"/>
        </w:rPr>
        <w:t>（3）投标有效期不足的；</w:t>
      </w:r>
    </w:p>
    <w:p>
      <w:pPr>
        <w:adjustRightInd w:val="0"/>
        <w:snapToGrid w:val="0"/>
        <w:spacing w:line="360" w:lineRule="auto"/>
        <w:ind w:firstLine="420" w:firstLineChars="200"/>
        <w:rPr>
          <w:rFonts w:ascii="宋体" w:hAnsi="宋体"/>
          <w:szCs w:val="21"/>
        </w:rPr>
      </w:pPr>
      <w:r>
        <w:rPr>
          <w:rFonts w:hint="eastAsia" w:ascii="宋体" w:hAnsi="宋体"/>
          <w:szCs w:val="21"/>
        </w:rPr>
        <w:t>（4）投标文件含有采购人不能接受的附加条件的；</w:t>
      </w:r>
    </w:p>
    <w:p>
      <w:pPr>
        <w:adjustRightInd w:val="0"/>
        <w:snapToGrid w:val="0"/>
        <w:spacing w:line="360" w:lineRule="auto"/>
        <w:ind w:firstLine="420" w:firstLineChars="200"/>
        <w:rPr>
          <w:rFonts w:ascii="宋体" w:hAnsi="宋体"/>
          <w:szCs w:val="21"/>
        </w:rPr>
      </w:pPr>
      <w:r>
        <w:rPr>
          <w:rFonts w:hint="eastAsia" w:ascii="宋体" w:hAnsi="宋体"/>
          <w:szCs w:val="21"/>
        </w:rPr>
        <w:t>（5）不符合本节第1.1款规定符合性审查标准的；</w:t>
      </w:r>
    </w:p>
    <w:p>
      <w:pPr>
        <w:adjustRightInd w:val="0"/>
        <w:snapToGrid w:val="0"/>
        <w:spacing w:line="360" w:lineRule="auto"/>
        <w:ind w:firstLine="420" w:firstLineChars="200"/>
        <w:rPr>
          <w:rFonts w:ascii="宋体" w:hAnsi="宋体"/>
          <w:szCs w:val="21"/>
        </w:rPr>
      </w:pPr>
      <w:r>
        <w:rPr>
          <w:rFonts w:hint="eastAsia" w:ascii="宋体" w:hAnsi="宋体"/>
          <w:szCs w:val="21"/>
        </w:rPr>
        <w:t>（6）法律、法规和招标文件规定的其他投标无效情形的。</w:t>
      </w:r>
    </w:p>
    <w:p>
      <w:pPr>
        <w:adjustRightInd w:val="0"/>
        <w:snapToGrid w:val="0"/>
        <w:spacing w:line="360" w:lineRule="auto"/>
        <w:ind w:firstLine="420" w:firstLineChars="200"/>
        <w:rPr>
          <w:rFonts w:ascii="宋体" w:hAnsi="宋体"/>
          <w:szCs w:val="21"/>
        </w:rPr>
      </w:pPr>
      <w:r>
        <w:rPr>
          <w:rFonts w:hint="eastAsia" w:ascii="宋体" w:hAnsi="宋体"/>
          <w:szCs w:val="21"/>
        </w:rPr>
        <w:t>2.2在评标过程中发现投标人有不遵循公平竞争的原则，恶意串通，妨碍其他投标人的竞争行为，损害采购人或者其他投标人的合法权益的，评标委员会应当认定其投标无效，并书面报告本级财政部门。</w:t>
      </w:r>
    </w:p>
    <w:p>
      <w:pPr>
        <w:pStyle w:val="5"/>
        <w:adjustRightInd w:val="0"/>
        <w:snapToGrid w:val="0"/>
        <w:spacing w:before="156" w:beforeLines="50" w:after="0" w:line="360" w:lineRule="auto"/>
        <w:rPr>
          <w:sz w:val="21"/>
          <w:szCs w:val="21"/>
        </w:rPr>
      </w:pPr>
      <w:r>
        <w:rPr>
          <w:rFonts w:ascii="宋体" w:hAnsi="宋体"/>
        </w:rPr>
        <w:br w:type="page"/>
      </w:r>
      <w:bookmarkStart w:id="667" w:name="_Toc85972963"/>
      <w:bookmarkStart w:id="668" w:name="_Toc75289261"/>
      <w:bookmarkStart w:id="669" w:name="_Toc77676499"/>
      <w:bookmarkStart w:id="670" w:name="_Toc95601398"/>
      <w:bookmarkStart w:id="671" w:name="_Toc75289581"/>
      <w:bookmarkStart w:id="672" w:name="_Toc100670454"/>
      <w:bookmarkStart w:id="673" w:name="_Toc6004"/>
      <w:bookmarkStart w:id="674" w:name="_Toc20651227"/>
      <w:bookmarkStart w:id="675" w:name="_Toc7594"/>
      <w:bookmarkStart w:id="676" w:name="_Toc78449988"/>
      <w:bookmarkStart w:id="677" w:name="_Toc108341971"/>
      <w:bookmarkStart w:id="678" w:name="_Toc112594291"/>
      <w:bookmarkStart w:id="679" w:name="_Toc29653"/>
      <w:bookmarkStart w:id="680" w:name="_Toc31870"/>
      <w:bookmarkStart w:id="681" w:name="_Toc28365"/>
      <w:bookmarkStart w:id="682" w:name="_Toc77199432"/>
      <w:bookmarkStart w:id="683" w:name="_Toc100670702"/>
      <w:bookmarkStart w:id="684" w:name="_Toc94367913"/>
      <w:bookmarkStart w:id="685" w:name="_Toc78314295"/>
      <w:r>
        <w:rPr>
          <w:rFonts w:hint="eastAsia"/>
          <w:sz w:val="21"/>
          <w:szCs w:val="21"/>
        </w:rPr>
        <w:t>附表1 符合性审查表</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5"/>
        <w:jc w:val="center"/>
        <w:rPr>
          <w:rFonts w:ascii="黑体" w:hAnsi="黑体" w:eastAsia="黑体"/>
          <w:b w:val="0"/>
          <w:sz w:val="28"/>
          <w:szCs w:val="28"/>
        </w:rPr>
      </w:pPr>
      <w:bookmarkStart w:id="686" w:name="_Toc75289582"/>
      <w:bookmarkStart w:id="687" w:name="_Toc100670703"/>
      <w:bookmarkStart w:id="688" w:name="_Toc22671"/>
      <w:bookmarkStart w:id="689" w:name="_Toc75289262"/>
      <w:bookmarkStart w:id="690" w:name="_Toc94367914"/>
      <w:bookmarkStart w:id="691" w:name="_Toc77199433"/>
      <w:bookmarkStart w:id="692" w:name="_Toc78314296"/>
      <w:bookmarkStart w:id="693" w:name="_Toc78449989"/>
      <w:bookmarkStart w:id="694" w:name="_Toc77676500"/>
      <w:bookmarkStart w:id="695" w:name="_Toc85972964"/>
      <w:bookmarkStart w:id="696" w:name="_Toc108341972"/>
      <w:bookmarkStart w:id="697" w:name="_Toc95601399"/>
      <w:bookmarkStart w:id="698" w:name="_Toc20516"/>
      <w:bookmarkStart w:id="699" w:name="_Toc32329"/>
      <w:bookmarkStart w:id="700" w:name="_Toc112594292"/>
      <w:bookmarkStart w:id="701" w:name="_Toc8918"/>
      <w:bookmarkStart w:id="702" w:name="_Toc4771"/>
      <w:bookmarkStart w:id="703" w:name="_Toc100670455"/>
      <w:r>
        <w:rPr>
          <w:rFonts w:hint="eastAsia" w:ascii="黑体" w:hAnsi="黑体" w:eastAsia="黑体"/>
          <w:b w:val="0"/>
          <w:sz w:val="28"/>
          <w:szCs w:val="28"/>
        </w:rPr>
        <w:t>符合性审查表</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adjustRightInd w:val="0"/>
        <w:snapToGrid w:val="0"/>
        <w:spacing w:line="360" w:lineRule="auto"/>
        <w:rPr>
          <w:rFonts w:ascii="宋体" w:hAnsi="宋体"/>
          <w:szCs w:val="21"/>
        </w:rPr>
      </w:pPr>
      <w:r>
        <w:rPr>
          <w:rFonts w:hint="eastAsia" w:ascii="宋体" w:hAnsi="宋体"/>
          <w:szCs w:val="21"/>
        </w:rPr>
        <w:t>项目名称：                                       政府采购计划编号：</w:t>
      </w:r>
    </w:p>
    <w:tbl>
      <w:tblPr>
        <w:tblStyle w:val="48"/>
        <w:tblW w:w="8494"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4"/>
        <w:gridCol w:w="3935"/>
        <w:gridCol w:w="375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32" w:hRule="atLeast"/>
          <w:jc w:val="center"/>
        </w:trPr>
        <w:tc>
          <w:tcPr>
            <w:tcW w:w="804" w:type="dxa"/>
            <w:vAlign w:val="center"/>
          </w:tcPr>
          <w:p>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3935" w:type="dxa"/>
            <w:vAlign w:val="center"/>
          </w:tcPr>
          <w:p>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3755" w:type="dxa"/>
            <w:vAlign w:val="center"/>
          </w:tcPr>
          <w:p>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审查标准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116" w:hRule="atLeast"/>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1</w:t>
            </w:r>
          </w:p>
        </w:tc>
        <w:tc>
          <w:tcPr>
            <w:tcW w:w="3935"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szCs w:val="21"/>
              </w:rPr>
              <w:t>投标文件的有效性、完整性</w:t>
            </w:r>
          </w:p>
        </w:tc>
        <w:tc>
          <w:tcPr>
            <w:tcW w:w="375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投标人是否按照招标文件的要求编制投标文件。投标文件是否对招标文件提出的要求和条件作出明确响应。</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81" w:hRule="atLeast"/>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2</w:t>
            </w:r>
          </w:p>
        </w:tc>
        <w:tc>
          <w:tcPr>
            <w:tcW w:w="393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投标文件的响应程度（投标文件对招标文件的实质性要求和条件作出响应，或者对招标文件的偏离超出招标文件规定的偏离范围和幅度）</w:t>
            </w:r>
          </w:p>
        </w:tc>
        <w:tc>
          <w:tcPr>
            <w:tcW w:w="375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投标文件对招标文件的实质性要求和条件作出响应，或者对招标文件的偏离超出招标文件规定的偏离范围和幅度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3</w:t>
            </w:r>
          </w:p>
        </w:tc>
        <w:tc>
          <w:tcPr>
            <w:tcW w:w="3935" w:type="dxa"/>
          </w:tcPr>
          <w:p>
            <w:pPr>
              <w:adjustRightInd w:val="0"/>
              <w:snapToGrid w:val="0"/>
              <w:spacing w:before="156" w:beforeLines="50" w:line="360" w:lineRule="auto"/>
              <w:jc w:val="center"/>
              <w:rPr>
                <w:rFonts w:ascii="宋体" w:hAnsi="宋体" w:cs="宋体"/>
                <w:kern w:val="0"/>
                <w:szCs w:val="21"/>
              </w:rPr>
            </w:pPr>
            <w:r>
              <w:rPr>
                <w:rFonts w:hint="eastAsia" w:ascii="宋体" w:hAnsi="宋体"/>
                <w:szCs w:val="21"/>
              </w:rPr>
              <w:t>投标有效期</w:t>
            </w:r>
          </w:p>
        </w:tc>
        <w:tc>
          <w:tcPr>
            <w:tcW w:w="375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是否满足招标文件的要求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4</w:t>
            </w:r>
          </w:p>
        </w:tc>
        <w:tc>
          <w:tcPr>
            <w:tcW w:w="3935" w:type="dxa"/>
          </w:tcPr>
          <w:p>
            <w:pPr>
              <w:adjustRightInd w:val="0"/>
              <w:snapToGrid w:val="0"/>
              <w:spacing w:before="156" w:beforeLines="50" w:line="360" w:lineRule="auto"/>
              <w:jc w:val="center"/>
              <w:rPr>
                <w:rFonts w:ascii="宋体" w:hAnsi="宋体"/>
                <w:kern w:val="0"/>
                <w:szCs w:val="21"/>
              </w:rPr>
            </w:pPr>
            <w:r>
              <w:rPr>
                <w:rFonts w:hint="eastAsia" w:ascii="宋体" w:hAnsi="宋体"/>
                <w:szCs w:val="21"/>
              </w:rPr>
              <w:t>投标文件签署、盖章</w:t>
            </w:r>
          </w:p>
        </w:tc>
        <w:tc>
          <w:tcPr>
            <w:tcW w:w="375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是否存在未按照招标文件规定要求加密、签署、签章的</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5</w:t>
            </w:r>
          </w:p>
        </w:tc>
        <w:tc>
          <w:tcPr>
            <w:tcW w:w="393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附加条件</w:t>
            </w:r>
          </w:p>
        </w:tc>
        <w:tc>
          <w:tcPr>
            <w:tcW w:w="3755" w:type="dxa"/>
            <w:vAlign w:val="center"/>
          </w:tcPr>
          <w:p>
            <w:pPr>
              <w:adjustRightInd w:val="0"/>
              <w:snapToGrid w:val="0"/>
              <w:spacing w:before="156" w:beforeLines="50" w:line="360" w:lineRule="auto"/>
              <w:jc w:val="center"/>
              <w:rPr>
                <w:rFonts w:ascii="宋体" w:hAnsi="宋体"/>
                <w:szCs w:val="21"/>
              </w:rPr>
            </w:pPr>
            <w:r>
              <w:rPr>
                <w:rFonts w:ascii="宋体" w:hAnsi="宋体" w:cs="宋体"/>
              </w:rPr>
              <w:t>投标文件</w:t>
            </w:r>
            <w:r>
              <w:rPr>
                <w:rFonts w:hint="eastAsia" w:ascii="宋体" w:hAnsi="宋体" w:cs="宋体"/>
              </w:rPr>
              <w:t>是否</w:t>
            </w:r>
            <w:r>
              <w:rPr>
                <w:rFonts w:ascii="宋体" w:hAnsi="宋体" w:cs="宋体"/>
              </w:rPr>
              <w:t>含有采购人不能接受的附加条件的</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6</w:t>
            </w:r>
          </w:p>
        </w:tc>
        <w:tc>
          <w:tcPr>
            <w:tcW w:w="393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标的范围</w:t>
            </w:r>
          </w:p>
        </w:tc>
        <w:tc>
          <w:tcPr>
            <w:tcW w:w="3755" w:type="dxa"/>
            <w:vAlign w:val="center"/>
          </w:tcPr>
          <w:p>
            <w:pPr>
              <w:adjustRightInd w:val="0"/>
              <w:snapToGrid w:val="0"/>
              <w:spacing w:before="156" w:beforeLines="50" w:line="360" w:lineRule="auto"/>
              <w:jc w:val="center"/>
              <w:rPr>
                <w:rFonts w:ascii="宋体" w:hAnsi="宋体" w:cs="宋体"/>
              </w:rPr>
            </w:pPr>
            <w:r>
              <w:rPr>
                <w:rFonts w:hint="eastAsia" w:ascii="宋体" w:hAnsi="宋体" w:cs="宋体"/>
              </w:rPr>
              <w:t>投标标的是否小于采购标的范围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04"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7</w:t>
            </w:r>
          </w:p>
        </w:tc>
        <w:tc>
          <w:tcPr>
            <w:tcW w:w="3935" w:type="dxa"/>
            <w:vAlign w:val="center"/>
          </w:tcPr>
          <w:p>
            <w:pPr>
              <w:adjustRightInd w:val="0"/>
              <w:snapToGrid w:val="0"/>
              <w:spacing w:before="156" w:beforeLines="50" w:line="360" w:lineRule="auto"/>
              <w:jc w:val="center"/>
              <w:rPr>
                <w:rFonts w:ascii="宋体" w:hAnsi="宋体" w:cs="宋体"/>
                <w:kern w:val="0"/>
                <w:szCs w:val="21"/>
              </w:rPr>
            </w:pPr>
            <w:r>
              <w:rPr>
                <w:rFonts w:hint="eastAsia" w:ascii="宋体" w:hAnsi="宋体"/>
                <w:szCs w:val="21"/>
              </w:rPr>
              <w:t>法律、法规和招标文件规定的其他投标无效情形</w:t>
            </w:r>
          </w:p>
        </w:tc>
        <w:tc>
          <w:tcPr>
            <w:tcW w:w="3755" w:type="dxa"/>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是否存在有招标文件规定的其他投标无效情形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04" w:type="dxa"/>
            <w:vAlign w:val="center"/>
          </w:tcPr>
          <w:p>
            <w:pPr>
              <w:adjustRightInd w:val="0"/>
              <w:snapToGrid w:val="0"/>
              <w:spacing w:before="156" w:beforeLines="50" w:line="360" w:lineRule="auto"/>
              <w:jc w:val="center"/>
              <w:rPr>
                <w:rFonts w:ascii="宋体" w:hAnsi="宋体" w:cs="宋体"/>
                <w:kern w:val="0"/>
                <w:sz w:val="20"/>
                <w:szCs w:val="21"/>
              </w:rPr>
            </w:pPr>
            <w:r>
              <w:rPr>
                <w:rFonts w:hint="eastAsia" w:ascii="宋体" w:hAnsi="宋体" w:cs="宋体"/>
                <w:kern w:val="0"/>
                <w:sz w:val="20"/>
                <w:szCs w:val="21"/>
              </w:rPr>
              <w:t>结论</w:t>
            </w:r>
          </w:p>
        </w:tc>
        <w:tc>
          <w:tcPr>
            <w:tcW w:w="7690" w:type="dxa"/>
            <w:gridSpan w:val="2"/>
            <w:vAlign w:val="center"/>
          </w:tcPr>
          <w:p>
            <w:pPr>
              <w:adjustRightInd w:val="0"/>
              <w:snapToGrid w:val="0"/>
              <w:spacing w:before="156" w:beforeLines="50" w:line="360" w:lineRule="auto"/>
              <w:jc w:val="center"/>
              <w:rPr>
                <w:rFonts w:ascii="宋体" w:hAnsi="宋体" w:cs="宋体"/>
                <w:kern w:val="0"/>
                <w:sz w:val="20"/>
                <w:szCs w:val="21"/>
              </w:rPr>
            </w:pPr>
          </w:p>
        </w:tc>
      </w:tr>
    </w:tbl>
    <w:p>
      <w:pPr>
        <w:pStyle w:val="25"/>
        <w:adjustRightInd w:val="0"/>
        <w:snapToGrid w:val="0"/>
        <w:ind w:firstLine="422" w:firstLineChars="200"/>
        <w:rPr>
          <w:rFonts w:hAnsi="宋体"/>
          <w:b/>
          <w:sz w:val="21"/>
        </w:rPr>
      </w:pPr>
    </w:p>
    <w:p>
      <w:pPr>
        <w:pStyle w:val="25"/>
        <w:adjustRightInd w:val="0"/>
        <w:snapToGrid w:val="0"/>
        <w:ind w:firstLine="422" w:firstLineChars="200"/>
        <w:rPr>
          <w:rFonts w:hAnsi="宋体"/>
          <w:b/>
          <w:sz w:val="21"/>
        </w:rPr>
      </w:pPr>
      <w:r>
        <w:rPr>
          <w:rFonts w:hAnsi="宋体"/>
          <w:b/>
          <w:sz w:val="21"/>
        </w:rPr>
        <w:br w:type="page"/>
      </w:r>
    </w:p>
    <w:p>
      <w:pPr>
        <w:pStyle w:val="6"/>
        <w:adjustRightInd w:val="0"/>
        <w:snapToGrid w:val="0"/>
        <w:spacing w:before="0" w:after="0" w:line="360" w:lineRule="auto"/>
        <w:rPr>
          <w:rFonts w:ascii="黑体" w:hAnsi="黑体"/>
          <w:b w:val="0"/>
          <w:sz w:val="21"/>
          <w:szCs w:val="21"/>
        </w:rPr>
      </w:pPr>
      <w:bookmarkStart w:id="704" w:name="_Toc15888518"/>
      <w:bookmarkStart w:id="705" w:name="_Toc75289263"/>
      <w:r>
        <w:rPr>
          <w:rFonts w:hint="eastAsia" w:ascii="黑体" w:hAnsi="黑体"/>
          <w:b w:val="0"/>
          <w:sz w:val="21"/>
          <w:szCs w:val="21"/>
        </w:rPr>
        <w:t>附表2 符合性审查结果一览表</w:t>
      </w:r>
      <w:bookmarkEnd w:id="704"/>
      <w:bookmarkEnd w:id="705"/>
    </w:p>
    <w:p>
      <w:pPr>
        <w:pStyle w:val="5"/>
        <w:jc w:val="center"/>
        <w:rPr>
          <w:rFonts w:ascii="黑体" w:hAnsi="黑体" w:eastAsia="黑体"/>
          <w:b w:val="0"/>
          <w:sz w:val="28"/>
          <w:szCs w:val="28"/>
        </w:rPr>
      </w:pPr>
      <w:bookmarkStart w:id="706" w:name="_Toc95601400"/>
      <w:bookmarkStart w:id="707" w:name="_Toc100670456"/>
      <w:bookmarkStart w:id="708" w:name="_Toc77676501"/>
      <w:bookmarkStart w:id="709" w:name="_Toc94367915"/>
      <w:bookmarkStart w:id="710" w:name="_Toc78449990"/>
      <w:bookmarkStart w:id="711" w:name="_Toc100670704"/>
      <w:bookmarkStart w:id="712" w:name="_Toc77199434"/>
      <w:bookmarkStart w:id="713" w:name="_Toc108341973"/>
      <w:bookmarkStart w:id="714" w:name="_Toc78314297"/>
      <w:bookmarkStart w:id="715" w:name="_Toc14390"/>
      <w:bookmarkStart w:id="716" w:name="_Toc10630"/>
      <w:bookmarkStart w:id="717" w:name="_Toc75289583"/>
      <w:bookmarkStart w:id="718" w:name="_Toc112594293"/>
      <w:bookmarkStart w:id="719" w:name="_Toc11304"/>
      <w:bookmarkStart w:id="720" w:name="_Toc75289264"/>
      <w:bookmarkStart w:id="721" w:name="_Toc27681"/>
      <w:bookmarkStart w:id="722" w:name="_Toc2872"/>
      <w:bookmarkStart w:id="723" w:name="_Toc85972965"/>
      <w:r>
        <w:rPr>
          <w:rFonts w:hint="eastAsia" w:ascii="黑体" w:hAnsi="黑体" w:eastAsia="黑体"/>
          <w:b w:val="0"/>
          <w:sz w:val="28"/>
          <w:szCs w:val="28"/>
        </w:rPr>
        <w:t>符合性审查结果一览表</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adjustRightInd w:val="0"/>
        <w:snapToGrid w:val="0"/>
        <w:spacing w:line="360" w:lineRule="auto"/>
        <w:rPr>
          <w:rFonts w:ascii="宋体" w:hAnsi="宋体"/>
          <w:szCs w:val="21"/>
        </w:rPr>
      </w:pPr>
      <w:r>
        <w:rPr>
          <w:rFonts w:hint="eastAsia" w:ascii="宋体" w:hAnsi="宋体"/>
          <w:szCs w:val="21"/>
        </w:rPr>
        <w:t>项目名称：                                           政府采购计划编号：</w:t>
      </w:r>
    </w:p>
    <w:tbl>
      <w:tblPr>
        <w:tblStyle w:val="48"/>
        <w:tblW w:w="8798"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69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vAlign w:val="center"/>
          </w:tcPr>
          <w:p>
            <w:pPr>
              <w:jc w:val="center"/>
              <w:rPr>
                <w:rFonts w:ascii="宋体" w:hAnsi="宋体"/>
                <w:b/>
                <w:kern w:val="0"/>
                <w:szCs w:val="21"/>
              </w:rPr>
            </w:pPr>
            <w:r>
              <w:rPr>
                <w:rFonts w:hint="eastAsia" w:ascii="宋体" w:hAnsi="宋体"/>
                <w:b/>
                <w:kern w:val="0"/>
                <w:szCs w:val="21"/>
              </w:rPr>
              <w:t>序号</w:t>
            </w:r>
          </w:p>
        </w:tc>
        <w:tc>
          <w:tcPr>
            <w:tcW w:w="2963" w:type="dxa"/>
            <w:vAlign w:val="center"/>
          </w:tcPr>
          <w:p>
            <w:pPr>
              <w:jc w:val="center"/>
              <w:rPr>
                <w:rFonts w:ascii="宋体" w:hAnsi="宋体"/>
                <w:b/>
                <w:kern w:val="0"/>
                <w:szCs w:val="21"/>
              </w:rPr>
            </w:pPr>
            <w:r>
              <w:rPr>
                <w:rFonts w:hint="eastAsia" w:ascii="宋体" w:hAnsi="宋体"/>
                <w:b/>
                <w:kern w:val="0"/>
                <w:szCs w:val="21"/>
              </w:rPr>
              <w:t>投标人名称</w:t>
            </w:r>
          </w:p>
        </w:tc>
        <w:tc>
          <w:tcPr>
            <w:tcW w:w="2439" w:type="dxa"/>
            <w:vAlign w:val="center"/>
          </w:tcPr>
          <w:p>
            <w:pPr>
              <w:jc w:val="center"/>
              <w:rPr>
                <w:rFonts w:ascii="宋体" w:hAnsi="宋体"/>
                <w:b/>
                <w:kern w:val="0"/>
                <w:szCs w:val="21"/>
              </w:rPr>
            </w:pPr>
            <w:r>
              <w:rPr>
                <w:rFonts w:hint="eastAsia" w:ascii="宋体" w:hAnsi="宋体"/>
                <w:b/>
                <w:kern w:val="0"/>
                <w:szCs w:val="21"/>
              </w:rPr>
              <w:t>符合性审查结果</w:t>
            </w:r>
          </w:p>
          <w:p>
            <w:pPr>
              <w:jc w:val="center"/>
              <w:rPr>
                <w:rFonts w:ascii="宋体" w:hAnsi="宋体"/>
                <w:b/>
                <w:kern w:val="0"/>
                <w:szCs w:val="21"/>
              </w:rPr>
            </w:pPr>
            <w:r>
              <w:rPr>
                <w:rFonts w:hint="eastAsia" w:ascii="宋体" w:hAnsi="宋体"/>
                <w:b/>
                <w:kern w:val="0"/>
                <w:szCs w:val="21"/>
              </w:rPr>
              <w:t>（合格/不合格）</w:t>
            </w:r>
          </w:p>
        </w:tc>
        <w:tc>
          <w:tcPr>
            <w:tcW w:w="2699" w:type="dxa"/>
            <w:vAlign w:val="center"/>
          </w:tcPr>
          <w:p>
            <w:pPr>
              <w:jc w:val="center"/>
              <w:rPr>
                <w:rFonts w:ascii="宋体" w:hAnsi="宋体"/>
                <w:b/>
                <w:kern w:val="0"/>
                <w:szCs w:val="21"/>
              </w:rPr>
            </w:pPr>
            <w:r>
              <w:rPr>
                <w:rFonts w:hint="eastAsia" w:ascii="宋体" w:hAnsi="宋体"/>
                <w:b/>
                <w:kern w:val="0"/>
                <w:szCs w:val="21"/>
              </w:rPr>
              <w:t>符合性审查不合格原因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697" w:type="dxa"/>
          </w:tcPr>
          <w:p>
            <w:pPr>
              <w:adjustRightInd w:val="0"/>
              <w:snapToGrid w:val="0"/>
              <w:spacing w:line="360" w:lineRule="auto"/>
              <w:rPr>
                <w:rFonts w:ascii="宋体" w:hAnsi="宋体"/>
                <w:kern w:val="0"/>
                <w:sz w:val="24"/>
              </w:rPr>
            </w:pPr>
          </w:p>
        </w:tc>
        <w:tc>
          <w:tcPr>
            <w:tcW w:w="2963" w:type="dxa"/>
          </w:tcPr>
          <w:p>
            <w:pPr>
              <w:adjustRightInd w:val="0"/>
              <w:snapToGrid w:val="0"/>
              <w:spacing w:line="360" w:lineRule="auto"/>
              <w:rPr>
                <w:rFonts w:ascii="宋体" w:hAnsi="宋体"/>
                <w:kern w:val="0"/>
                <w:sz w:val="24"/>
              </w:rPr>
            </w:pPr>
          </w:p>
        </w:tc>
        <w:tc>
          <w:tcPr>
            <w:tcW w:w="2439" w:type="dxa"/>
          </w:tcPr>
          <w:p>
            <w:pPr>
              <w:adjustRightInd w:val="0"/>
              <w:snapToGrid w:val="0"/>
              <w:spacing w:line="360" w:lineRule="auto"/>
              <w:rPr>
                <w:rFonts w:ascii="宋体" w:hAnsi="宋体"/>
                <w:kern w:val="0"/>
                <w:sz w:val="24"/>
              </w:rPr>
            </w:pPr>
          </w:p>
        </w:tc>
        <w:tc>
          <w:tcPr>
            <w:tcW w:w="2699" w:type="dxa"/>
          </w:tcPr>
          <w:p>
            <w:pPr>
              <w:adjustRightInd w:val="0"/>
              <w:snapToGrid w:val="0"/>
              <w:spacing w:line="360" w:lineRule="auto"/>
              <w:rPr>
                <w:rFonts w:ascii="宋体" w:hAnsi="宋体"/>
                <w:kern w:val="0"/>
                <w:sz w:val="24"/>
              </w:rPr>
            </w:pPr>
          </w:p>
        </w:tc>
      </w:tr>
    </w:tbl>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评标委员会（签字）：</w:t>
      </w:r>
    </w:p>
    <w:p>
      <w:pPr>
        <w:adjustRightInd w:val="0"/>
        <w:snapToGrid w:val="0"/>
        <w:spacing w:line="360" w:lineRule="auto"/>
        <w:rPr>
          <w:rFonts w:ascii="宋体" w:hAnsi="宋体"/>
          <w:szCs w:val="21"/>
        </w:rPr>
      </w:pPr>
      <w:r>
        <w:rPr>
          <w:rFonts w:hint="eastAsia" w:ascii="宋体" w:hAnsi="宋体"/>
          <w:szCs w:val="21"/>
        </w:rPr>
        <w:t>日期：年月日</w:t>
      </w:r>
    </w:p>
    <w:p>
      <w:pPr>
        <w:widowControl/>
        <w:jc w:val="left"/>
        <w:rPr>
          <w:rFonts w:ascii="宋体" w:hAnsi="宋体"/>
          <w:sz w:val="24"/>
        </w:rPr>
      </w:pPr>
      <w:r>
        <w:rPr>
          <w:rFonts w:ascii="宋体" w:hAnsi="宋体"/>
          <w:sz w:val="24"/>
        </w:rPr>
        <w:br w:type="page"/>
      </w:r>
    </w:p>
    <w:p>
      <w:pPr>
        <w:pStyle w:val="6"/>
        <w:adjustRightInd w:val="0"/>
        <w:snapToGrid w:val="0"/>
        <w:spacing w:before="0" w:after="0" w:line="360" w:lineRule="auto"/>
        <w:rPr>
          <w:rFonts w:ascii="黑体" w:hAnsi="黑体"/>
          <w:b w:val="0"/>
          <w:sz w:val="21"/>
          <w:szCs w:val="21"/>
        </w:rPr>
      </w:pPr>
      <w:bookmarkStart w:id="724" w:name="_Toc15888519"/>
      <w:bookmarkStart w:id="725" w:name="_Toc75289265"/>
      <w:r>
        <w:rPr>
          <w:rFonts w:hint="eastAsia" w:ascii="黑体" w:hAnsi="黑体"/>
          <w:b w:val="0"/>
          <w:sz w:val="21"/>
          <w:szCs w:val="21"/>
        </w:rPr>
        <w:t>附表3 符合性审查合格投标人名单</w:t>
      </w:r>
      <w:bookmarkEnd w:id="724"/>
      <w:bookmarkEnd w:id="725"/>
    </w:p>
    <w:p>
      <w:pPr>
        <w:pStyle w:val="5"/>
        <w:jc w:val="center"/>
        <w:rPr>
          <w:rFonts w:ascii="黑体" w:hAnsi="黑体" w:eastAsia="黑体"/>
          <w:b w:val="0"/>
          <w:sz w:val="28"/>
          <w:szCs w:val="28"/>
        </w:rPr>
      </w:pPr>
      <w:bookmarkStart w:id="726" w:name="_Toc16491"/>
      <w:bookmarkStart w:id="727" w:name="_Toc17278"/>
      <w:bookmarkStart w:id="728" w:name="_Toc6114"/>
      <w:bookmarkStart w:id="729" w:name="_Toc77199435"/>
      <w:bookmarkStart w:id="730" w:name="_Toc94367916"/>
      <w:bookmarkStart w:id="731" w:name="_Toc95601401"/>
      <w:bookmarkStart w:id="732" w:name="_Toc78314298"/>
      <w:bookmarkStart w:id="733" w:name="_Toc85972966"/>
      <w:bookmarkStart w:id="734" w:name="_Toc100670705"/>
      <w:bookmarkStart w:id="735" w:name="_Toc112594294"/>
      <w:bookmarkStart w:id="736" w:name="_Toc78449991"/>
      <w:bookmarkStart w:id="737" w:name="_Toc100670457"/>
      <w:bookmarkStart w:id="738" w:name="_Toc29808"/>
      <w:bookmarkStart w:id="739" w:name="_Toc23892"/>
      <w:bookmarkStart w:id="740" w:name="_Toc75289584"/>
      <w:bookmarkStart w:id="741" w:name="_Toc75289266"/>
      <w:bookmarkStart w:id="742" w:name="_Toc77676502"/>
      <w:bookmarkStart w:id="743" w:name="_Toc108341974"/>
      <w:r>
        <w:rPr>
          <w:rFonts w:hint="eastAsia" w:ascii="黑体" w:hAnsi="黑体" w:eastAsia="黑体"/>
          <w:b w:val="0"/>
          <w:sz w:val="28"/>
          <w:szCs w:val="28"/>
        </w:rPr>
        <w:t>符合性审查合格投标人名单</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adjustRightInd w:val="0"/>
        <w:snapToGrid w:val="0"/>
        <w:spacing w:line="360" w:lineRule="auto"/>
        <w:rPr>
          <w:rFonts w:ascii="华文中宋" w:hAnsi="华文中宋" w:eastAsia="华文中宋"/>
          <w:sz w:val="32"/>
          <w:szCs w:val="32"/>
        </w:rPr>
      </w:pPr>
      <w:r>
        <w:rPr>
          <w:rFonts w:hint="eastAsia" w:ascii="宋体" w:hAnsi="宋体"/>
          <w:szCs w:val="21"/>
        </w:rPr>
        <w:t>项目名称：                                        政府采购计划编号：</w:t>
      </w:r>
    </w:p>
    <w:tbl>
      <w:tblPr>
        <w:tblStyle w:val="48"/>
        <w:tblW w:w="8586"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0"/>
        <w:gridCol w:w="779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vAlign w:val="center"/>
          </w:tcPr>
          <w:p>
            <w:pPr>
              <w:jc w:val="center"/>
              <w:rPr>
                <w:b/>
                <w:kern w:val="0"/>
                <w:szCs w:val="21"/>
              </w:rPr>
            </w:pPr>
            <w:r>
              <w:rPr>
                <w:rFonts w:hint="eastAsia"/>
                <w:b/>
                <w:kern w:val="0"/>
                <w:szCs w:val="21"/>
              </w:rPr>
              <w:t>序号</w:t>
            </w:r>
          </w:p>
        </w:tc>
        <w:tc>
          <w:tcPr>
            <w:tcW w:w="7796" w:type="dxa"/>
            <w:vAlign w:val="center"/>
          </w:tcPr>
          <w:p>
            <w:pPr>
              <w:jc w:val="center"/>
              <w:rPr>
                <w:b/>
                <w:kern w:val="0"/>
                <w:szCs w:val="21"/>
              </w:rPr>
            </w:pPr>
            <w:r>
              <w:rPr>
                <w:rFonts w:hint="eastAsia"/>
                <w:b/>
                <w:kern w:val="0"/>
                <w:szCs w:val="21"/>
              </w:rPr>
              <w:t>合格投标人名称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tcPr>
          <w:p>
            <w:pPr>
              <w:adjustRightInd w:val="0"/>
              <w:snapToGrid w:val="0"/>
              <w:spacing w:line="360" w:lineRule="auto"/>
              <w:rPr>
                <w:rFonts w:ascii="宋体" w:hAnsi="宋体"/>
                <w:kern w:val="0"/>
                <w:szCs w:val="21"/>
              </w:rPr>
            </w:pPr>
          </w:p>
        </w:tc>
        <w:tc>
          <w:tcPr>
            <w:tcW w:w="7796" w:type="dxa"/>
          </w:tcPr>
          <w:p>
            <w:pPr>
              <w:adjustRightInd w:val="0"/>
              <w:snapToGrid w:val="0"/>
              <w:spacing w:line="360" w:lineRule="auto"/>
              <w:rPr>
                <w:rFonts w:ascii="宋体" w:hAnsi="宋体"/>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tcPr>
          <w:p>
            <w:pPr>
              <w:adjustRightInd w:val="0"/>
              <w:snapToGrid w:val="0"/>
              <w:spacing w:line="360" w:lineRule="auto"/>
              <w:rPr>
                <w:rFonts w:ascii="宋体" w:hAnsi="宋体"/>
                <w:kern w:val="0"/>
                <w:sz w:val="24"/>
              </w:rPr>
            </w:pPr>
          </w:p>
        </w:tc>
        <w:tc>
          <w:tcPr>
            <w:tcW w:w="7796"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tcPr>
          <w:p>
            <w:pPr>
              <w:adjustRightInd w:val="0"/>
              <w:snapToGrid w:val="0"/>
              <w:spacing w:line="360" w:lineRule="auto"/>
              <w:rPr>
                <w:rFonts w:ascii="宋体" w:hAnsi="宋体"/>
                <w:kern w:val="0"/>
                <w:sz w:val="24"/>
              </w:rPr>
            </w:pPr>
          </w:p>
        </w:tc>
        <w:tc>
          <w:tcPr>
            <w:tcW w:w="7796"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tcPr>
          <w:p>
            <w:pPr>
              <w:adjustRightInd w:val="0"/>
              <w:snapToGrid w:val="0"/>
              <w:spacing w:line="360" w:lineRule="auto"/>
              <w:rPr>
                <w:rFonts w:ascii="宋体" w:hAnsi="宋体"/>
                <w:kern w:val="0"/>
                <w:sz w:val="24"/>
              </w:rPr>
            </w:pPr>
          </w:p>
        </w:tc>
        <w:tc>
          <w:tcPr>
            <w:tcW w:w="7796"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tcPr>
          <w:p>
            <w:pPr>
              <w:adjustRightInd w:val="0"/>
              <w:snapToGrid w:val="0"/>
              <w:spacing w:line="360" w:lineRule="auto"/>
              <w:rPr>
                <w:rFonts w:ascii="宋体" w:hAnsi="宋体"/>
                <w:kern w:val="0"/>
                <w:sz w:val="24"/>
              </w:rPr>
            </w:pPr>
          </w:p>
        </w:tc>
        <w:tc>
          <w:tcPr>
            <w:tcW w:w="7796" w:type="dxa"/>
          </w:tcPr>
          <w:p>
            <w:pPr>
              <w:adjustRightInd w:val="0"/>
              <w:snapToGrid w:val="0"/>
              <w:spacing w:line="360" w:lineRule="auto"/>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0" w:type="dxa"/>
          </w:tcPr>
          <w:p>
            <w:pPr>
              <w:adjustRightInd w:val="0"/>
              <w:snapToGrid w:val="0"/>
              <w:spacing w:line="360" w:lineRule="auto"/>
              <w:rPr>
                <w:rFonts w:ascii="宋体" w:hAnsi="宋体"/>
                <w:kern w:val="0"/>
                <w:sz w:val="24"/>
              </w:rPr>
            </w:pPr>
          </w:p>
        </w:tc>
        <w:tc>
          <w:tcPr>
            <w:tcW w:w="7796" w:type="dxa"/>
          </w:tcPr>
          <w:p>
            <w:pPr>
              <w:adjustRightInd w:val="0"/>
              <w:snapToGrid w:val="0"/>
              <w:spacing w:line="360" w:lineRule="auto"/>
              <w:rPr>
                <w:rFonts w:ascii="宋体" w:hAnsi="宋体"/>
                <w:kern w:val="0"/>
                <w:sz w:val="24"/>
              </w:rPr>
            </w:pPr>
          </w:p>
        </w:tc>
      </w:tr>
    </w:tbl>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评标委员会（签字）：</w:t>
      </w:r>
    </w:p>
    <w:p>
      <w:pPr>
        <w:jc w:val="left"/>
        <w:rPr>
          <w:rFonts w:ascii="宋体" w:hAnsi="宋体"/>
          <w:szCs w:val="21"/>
        </w:rPr>
      </w:pPr>
      <w:r>
        <w:rPr>
          <w:rFonts w:hint="eastAsia" w:ascii="宋体" w:hAnsi="宋体"/>
          <w:szCs w:val="21"/>
        </w:rPr>
        <w:t>日期：  年  月   日</w:t>
      </w:r>
    </w:p>
    <w:p>
      <w:pPr>
        <w:pStyle w:val="4"/>
        <w:adjustRightInd w:val="0"/>
        <w:snapToGrid w:val="0"/>
        <w:spacing w:after="156" w:afterLines="50"/>
        <w:jc w:val="center"/>
        <w:rPr>
          <w:rFonts w:ascii="黑体" w:hAnsi="华文中宋" w:eastAsia="黑体"/>
          <w:sz w:val="28"/>
          <w:szCs w:val="28"/>
        </w:rPr>
      </w:pPr>
      <w:r>
        <w:rPr>
          <w:rFonts w:ascii="宋体" w:hAnsi="宋体"/>
        </w:rPr>
        <w:br w:type="page"/>
      </w:r>
      <w:bookmarkStart w:id="744" w:name="_Toc20651230"/>
      <w:bookmarkStart w:id="745" w:name="_Toc77199436"/>
      <w:bookmarkStart w:id="746" w:name="_Toc100670458"/>
      <w:bookmarkStart w:id="747" w:name="_Toc75289585"/>
      <w:bookmarkStart w:id="748" w:name="_Toc108341975"/>
      <w:bookmarkStart w:id="749" w:name="_Toc85972967"/>
      <w:bookmarkStart w:id="750" w:name="_Toc100670706"/>
      <w:bookmarkStart w:id="751" w:name="_Toc77676503"/>
      <w:bookmarkStart w:id="752" w:name="_Toc78449992"/>
      <w:bookmarkStart w:id="753" w:name="_Toc94367917"/>
      <w:bookmarkStart w:id="754" w:name="_Toc17127"/>
      <w:bookmarkStart w:id="755" w:name="_Toc12785"/>
      <w:bookmarkStart w:id="756" w:name="_Toc112594295"/>
      <w:bookmarkStart w:id="757" w:name="_Toc18850"/>
      <w:bookmarkStart w:id="758" w:name="_Toc17185"/>
      <w:bookmarkStart w:id="759" w:name="_Toc78314299"/>
      <w:bookmarkStart w:id="760" w:name="_Toc95601402"/>
      <w:bookmarkStart w:id="761" w:name="_Toc5682"/>
      <w:bookmarkStart w:id="762" w:name="_Toc75289267"/>
      <w:r>
        <w:rPr>
          <w:rFonts w:hint="eastAsia" w:ascii="黑体" w:hAnsi="华文中宋" w:eastAsia="黑体"/>
          <w:sz w:val="28"/>
          <w:szCs w:val="28"/>
        </w:rPr>
        <w:t>第四节 投标文件的比较与评价（综合评分法）</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widowControl/>
        <w:adjustRightInd w:val="0"/>
        <w:snapToGrid w:val="0"/>
        <w:spacing w:line="360" w:lineRule="auto"/>
        <w:rPr>
          <w:rFonts w:ascii="宋体" w:hAnsi="宋体"/>
          <w:b/>
          <w:sz w:val="24"/>
        </w:rPr>
      </w:pPr>
      <w:r>
        <w:rPr>
          <w:rFonts w:hint="eastAsia" w:ascii="宋体" w:hAnsi="宋体"/>
          <w:b/>
          <w:sz w:val="24"/>
        </w:rPr>
        <w:t>1.综合评分法</w:t>
      </w:r>
    </w:p>
    <w:p>
      <w:pPr>
        <w:adjustRightInd w:val="0"/>
        <w:snapToGrid w:val="0"/>
        <w:spacing w:line="360" w:lineRule="auto"/>
        <w:ind w:firstLine="420" w:firstLineChars="200"/>
        <w:rPr>
          <w:rFonts w:ascii="宋体" w:hAnsi="宋体"/>
          <w:bCs/>
          <w:szCs w:val="21"/>
        </w:rPr>
      </w:pPr>
      <w:r>
        <w:rPr>
          <w:rFonts w:hint="eastAsia" w:ascii="宋体" w:hAnsi="宋体"/>
          <w:bCs/>
          <w:szCs w:val="21"/>
        </w:rPr>
        <w:t>1.1综合评分法，指投标文件满足招标文件全部实质性要求，且按照评审因素的量化指标评审得分最高的投标人为中标候选人的评标方法。</w:t>
      </w:r>
    </w:p>
    <w:p>
      <w:pPr>
        <w:adjustRightInd w:val="0"/>
        <w:snapToGrid w:val="0"/>
        <w:spacing w:line="360" w:lineRule="auto"/>
        <w:ind w:firstLine="420" w:firstLineChars="200"/>
        <w:rPr>
          <w:rFonts w:ascii="宋体" w:hAnsi="宋体"/>
          <w:bCs/>
          <w:szCs w:val="21"/>
        </w:rPr>
      </w:pPr>
      <w:r>
        <w:rPr>
          <w:rFonts w:hint="eastAsia" w:ascii="宋体" w:hAnsi="宋体"/>
          <w:bCs/>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pPr>
        <w:adjustRightInd w:val="0"/>
        <w:snapToGrid w:val="0"/>
        <w:spacing w:line="360" w:lineRule="auto"/>
        <w:ind w:firstLine="420" w:firstLineChars="200"/>
        <w:rPr>
          <w:rFonts w:ascii="宋体" w:hAnsi="宋体"/>
          <w:bCs/>
          <w:szCs w:val="21"/>
        </w:rPr>
      </w:pPr>
      <w:r>
        <w:rPr>
          <w:rFonts w:hint="eastAsia" w:ascii="宋体" w:hAnsi="宋体"/>
          <w:bCs/>
          <w:szCs w:val="21"/>
        </w:rPr>
        <w:t>1.3未通过符合性审查的投标文件不得进入比较与评价。</w:t>
      </w:r>
    </w:p>
    <w:p>
      <w:pPr>
        <w:adjustRightInd w:val="0"/>
        <w:snapToGrid w:val="0"/>
        <w:spacing w:line="360" w:lineRule="auto"/>
        <w:rPr>
          <w:rFonts w:ascii="宋体" w:hAnsi="宋体"/>
          <w:b/>
          <w:bCs/>
          <w:sz w:val="24"/>
        </w:rPr>
      </w:pPr>
      <w:r>
        <w:rPr>
          <w:rFonts w:hint="eastAsia" w:ascii="宋体" w:hAnsi="宋体"/>
          <w:b/>
          <w:bCs/>
          <w:sz w:val="24"/>
        </w:rPr>
        <w:t>2.投标报价的算术修正及政府采购政策调整</w:t>
      </w:r>
    </w:p>
    <w:p>
      <w:pPr>
        <w:adjustRightInd w:val="0"/>
        <w:snapToGrid w:val="0"/>
        <w:spacing w:line="360" w:lineRule="auto"/>
        <w:ind w:firstLine="420" w:firstLineChars="200"/>
        <w:rPr>
          <w:rFonts w:ascii="宋体" w:hAnsi="宋体"/>
          <w:bCs/>
          <w:szCs w:val="21"/>
        </w:rPr>
      </w:pPr>
      <w:r>
        <w:rPr>
          <w:rFonts w:hint="eastAsia" w:ascii="宋体" w:hAnsi="宋体"/>
          <w:bCs/>
          <w:szCs w:val="21"/>
        </w:rPr>
        <w:t>2.1如果有算术错误，投标报价将按本章第二节第4.2款、第4.3款规定进行算术修正。</w:t>
      </w:r>
    </w:p>
    <w:p>
      <w:pPr>
        <w:adjustRightInd w:val="0"/>
        <w:snapToGrid w:val="0"/>
        <w:spacing w:line="360" w:lineRule="auto"/>
        <w:ind w:firstLine="420" w:firstLineChars="200"/>
        <w:rPr>
          <w:rFonts w:ascii="宋体" w:hAnsi="宋体"/>
          <w:bCs/>
          <w:szCs w:val="21"/>
        </w:rPr>
      </w:pPr>
      <w:r>
        <w:rPr>
          <w:rFonts w:hint="eastAsia" w:ascii="宋体" w:hAnsi="宋体"/>
          <w:bCs/>
          <w:szCs w:val="21"/>
        </w:rPr>
        <w:t>2.2需落实政府采购政策（价格评审优惠）的，按第二章“投标须知”及本章第二节第</w:t>
      </w:r>
      <w:r>
        <w:rPr>
          <w:rFonts w:ascii="宋体" w:hAnsi="宋体"/>
          <w:bCs/>
          <w:szCs w:val="21"/>
        </w:rPr>
        <w:t>5.</w:t>
      </w:r>
      <w:r>
        <w:rPr>
          <w:rFonts w:hint="eastAsia" w:ascii="宋体" w:hAnsi="宋体"/>
          <w:bCs/>
          <w:szCs w:val="21"/>
        </w:rPr>
        <w:t>4（1）项的相关规定进行价格调整。</w:t>
      </w:r>
    </w:p>
    <w:p>
      <w:pPr>
        <w:adjustRightInd w:val="0"/>
        <w:snapToGrid w:val="0"/>
        <w:spacing w:line="360" w:lineRule="auto"/>
        <w:ind w:firstLine="420" w:firstLineChars="200"/>
        <w:rPr>
          <w:rFonts w:ascii="宋体" w:hAnsi="宋体"/>
          <w:bCs/>
          <w:szCs w:val="21"/>
        </w:rPr>
      </w:pPr>
      <w:r>
        <w:rPr>
          <w:rFonts w:hint="eastAsia" w:ascii="宋体" w:hAnsi="宋体"/>
          <w:bCs/>
          <w:szCs w:val="21"/>
        </w:rPr>
        <w:t>2.3按本章本节第2.1款、第2.2款规定，以修正或调整后的价格确定投标人的投标报价和评标基准价，用于投标报价评价。</w:t>
      </w:r>
    </w:p>
    <w:p>
      <w:pPr>
        <w:adjustRightInd w:val="0"/>
        <w:snapToGrid w:val="0"/>
        <w:spacing w:line="360" w:lineRule="auto"/>
        <w:rPr>
          <w:rFonts w:ascii="宋体" w:hAnsi="宋体"/>
          <w:b/>
          <w:bCs/>
          <w:sz w:val="24"/>
        </w:rPr>
      </w:pPr>
      <w:r>
        <w:rPr>
          <w:rFonts w:hint="eastAsia" w:ascii="宋体" w:hAnsi="宋体"/>
          <w:b/>
          <w:bCs/>
          <w:sz w:val="24"/>
        </w:rPr>
        <w:t>3.投标报价评价</w:t>
      </w:r>
    </w:p>
    <w:p>
      <w:pPr>
        <w:adjustRightInd w:val="0"/>
        <w:snapToGrid w:val="0"/>
        <w:spacing w:line="360" w:lineRule="auto"/>
        <w:ind w:firstLine="420" w:firstLineChars="200"/>
        <w:rPr>
          <w:rFonts w:hint="eastAsia" w:ascii="宋体" w:hAnsi="宋体" w:cs="Times New Roman"/>
          <w:szCs w:val="21"/>
        </w:rPr>
      </w:pPr>
      <w:r>
        <w:rPr>
          <w:rFonts w:hint="eastAsia" w:ascii="宋体" w:hAnsi="宋体"/>
          <w:szCs w:val="21"/>
        </w:rPr>
        <w:t>3.1投标报价评价：价格分应当采用低价优先法计</w:t>
      </w:r>
      <w:r>
        <w:rPr>
          <w:rFonts w:hint="eastAsia" w:ascii="宋体" w:hAnsi="宋体" w:cs="Times New Roman"/>
          <w:szCs w:val="21"/>
        </w:rPr>
        <w:t>算，即满足招标文件要求且投标价格最低的投标报价为评标基准价，其价格分为满分（报价权重分）。其他投标人的价格分统一按照下列公式计算：</w:t>
      </w:r>
    </w:p>
    <w:p>
      <w:pPr>
        <w:adjustRightInd w:val="0"/>
        <w:snapToGrid w:val="0"/>
        <w:spacing w:line="360" w:lineRule="auto"/>
        <w:ind w:firstLine="420" w:firstLineChars="200"/>
        <w:rPr>
          <w:rFonts w:hint="eastAsia" w:ascii="宋体" w:hAnsi="宋体" w:cs="Times New Roman"/>
          <w:szCs w:val="21"/>
        </w:rPr>
      </w:pPr>
      <w:r>
        <w:rPr>
          <w:rFonts w:hint="eastAsia" w:ascii="宋体" w:hAnsi="宋体" w:cs="Times New Roman"/>
          <w:szCs w:val="21"/>
        </w:rPr>
        <w:t>投标报价得分=（评标基准价修正或调整／投标报价修正或调整） ×100×报价权重分</w:t>
      </w:r>
    </w:p>
    <w:p>
      <w:pPr>
        <w:adjustRightInd w:val="0"/>
        <w:snapToGrid w:val="0"/>
        <w:spacing w:line="360" w:lineRule="auto"/>
        <w:rPr>
          <w:rFonts w:ascii="宋体" w:hAnsi="宋体"/>
          <w:b/>
          <w:sz w:val="24"/>
        </w:rPr>
      </w:pPr>
      <w:r>
        <w:rPr>
          <w:rFonts w:hint="eastAsia" w:ascii="宋体" w:hAnsi="宋体"/>
          <w:b/>
          <w:bCs/>
          <w:sz w:val="24"/>
        </w:rPr>
        <w:t>4.</w:t>
      </w:r>
      <w:r>
        <w:rPr>
          <w:rFonts w:hint="eastAsia" w:ascii="宋体" w:hAnsi="宋体"/>
          <w:b/>
          <w:sz w:val="24"/>
        </w:rPr>
        <w:t>技术、商务等评分项响应评价及政府采购政策加分</w:t>
      </w:r>
    </w:p>
    <w:p>
      <w:pPr>
        <w:adjustRightInd w:val="0"/>
        <w:snapToGrid w:val="0"/>
        <w:spacing w:line="360" w:lineRule="auto"/>
        <w:ind w:firstLine="420" w:firstLineChars="200"/>
        <w:rPr>
          <w:rFonts w:hint="eastAsia" w:ascii="宋体" w:hAnsi="宋体"/>
          <w:szCs w:val="21"/>
        </w:rPr>
      </w:pPr>
      <w:r>
        <w:rPr>
          <w:rFonts w:hint="eastAsia" w:ascii="宋体" w:hAnsi="宋体"/>
          <w:szCs w:val="21"/>
        </w:rPr>
        <w:t>4.1技术、商务等评分项响应评分。按</w:t>
      </w:r>
      <w:r>
        <w:rPr>
          <w:rFonts w:hint="eastAsia" w:ascii="宋体" w:hAnsi="宋体"/>
          <w:bCs/>
          <w:szCs w:val="21"/>
        </w:rPr>
        <w:t>本章</w:t>
      </w:r>
      <w:r>
        <w:rPr>
          <w:rFonts w:hint="eastAsia" w:ascii="宋体" w:hAnsi="宋体"/>
          <w:szCs w:val="21"/>
        </w:rPr>
        <w:t>本节附页1“评标方法及标准表”规定的评标因素和标准，对技术、商务等评分项计算得分。</w:t>
      </w:r>
    </w:p>
    <w:p>
      <w:pPr>
        <w:adjustRightInd w:val="0"/>
        <w:snapToGrid w:val="0"/>
        <w:spacing w:line="360" w:lineRule="auto"/>
        <w:ind w:firstLine="420" w:firstLineChars="200"/>
        <w:rPr>
          <w:rFonts w:ascii="宋体" w:hAnsi="宋体"/>
          <w:szCs w:val="21"/>
        </w:rPr>
      </w:pPr>
      <w:r>
        <w:rPr>
          <w:rFonts w:hint="eastAsia" w:ascii="宋体" w:hAnsi="宋体"/>
          <w:szCs w:val="21"/>
        </w:rPr>
        <w:t>4.2需落实政府采购政策（优先采购）的，按第二章、本章第二节第5.4（2）项以及本节附页1“评标方法及标准表”的相关规定进行技术、价格、商务项得分(加分)计算。</w:t>
      </w:r>
    </w:p>
    <w:p>
      <w:pPr>
        <w:adjustRightInd w:val="0"/>
        <w:snapToGrid w:val="0"/>
        <w:spacing w:line="360" w:lineRule="auto"/>
        <w:rPr>
          <w:rFonts w:ascii="宋体" w:hAnsi="宋体"/>
          <w:b/>
          <w:sz w:val="24"/>
        </w:rPr>
      </w:pPr>
      <w:r>
        <w:rPr>
          <w:rFonts w:hint="eastAsia" w:ascii="宋体" w:hAnsi="宋体"/>
          <w:b/>
          <w:sz w:val="24"/>
        </w:rPr>
        <w:t>5.评标总得分</w:t>
      </w:r>
    </w:p>
    <w:p>
      <w:pPr>
        <w:adjustRightInd w:val="0"/>
        <w:snapToGrid w:val="0"/>
        <w:spacing w:line="360" w:lineRule="auto"/>
        <w:ind w:firstLine="420" w:firstLineChars="200"/>
        <w:rPr>
          <w:rFonts w:ascii="宋体" w:hAnsi="宋体"/>
          <w:szCs w:val="21"/>
        </w:rPr>
      </w:pPr>
      <w:r>
        <w:rPr>
          <w:rFonts w:hint="eastAsia" w:ascii="宋体" w:hAnsi="宋体"/>
          <w:szCs w:val="21"/>
        </w:rPr>
        <w:t>5.1评标总得分为投标报价、技术、商务等评分项得分(含优先采购政策加分)之和。</w:t>
      </w:r>
    </w:p>
    <w:p>
      <w:pPr>
        <w:adjustRightInd w:val="0"/>
        <w:snapToGrid w:val="0"/>
        <w:spacing w:line="360" w:lineRule="auto"/>
        <w:ind w:firstLine="420" w:firstLineChars="200"/>
        <w:rPr>
          <w:rFonts w:ascii="宋体" w:hAnsi="宋体"/>
          <w:szCs w:val="21"/>
        </w:rPr>
      </w:pPr>
      <w:r>
        <w:rPr>
          <w:rFonts w:hint="eastAsia" w:ascii="宋体" w:hAnsi="宋体"/>
          <w:szCs w:val="21"/>
        </w:rPr>
        <w:t>评标总得分＝F1×A1＋F2×A2＋……＋Fn×An</w:t>
      </w:r>
    </w:p>
    <w:p>
      <w:pPr>
        <w:adjustRightInd w:val="0"/>
        <w:snapToGrid w:val="0"/>
        <w:spacing w:line="360" w:lineRule="auto"/>
        <w:ind w:firstLine="420" w:firstLineChars="200"/>
        <w:rPr>
          <w:rFonts w:ascii="宋体" w:hAnsi="宋体"/>
          <w:szCs w:val="21"/>
        </w:rPr>
      </w:pPr>
      <w:r>
        <w:rPr>
          <w:rFonts w:hint="eastAsia" w:ascii="宋体" w:hAnsi="宋体"/>
          <w:szCs w:val="21"/>
        </w:rPr>
        <w:t>F1、F2……Fn分别为各项评审因素的得分；</w:t>
      </w:r>
    </w:p>
    <w:p>
      <w:pPr>
        <w:adjustRightInd w:val="0"/>
        <w:snapToGrid w:val="0"/>
        <w:spacing w:line="360" w:lineRule="auto"/>
        <w:ind w:firstLine="420" w:firstLineChars="200"/>
        <w:rPr>
          <w:rFonts w:ascii="宋体" w:hAnsi="宋体"/>
          <w:szCs w:val="21"/>
        </w:rPr>
      </w:pPr>
      <w:r>
        <w:rPr>
          <w:rFonts w:hint="eastAsia" w:ascii="宋体" w:hAnsi="宋体"/>
          <w:szCs w:val="21"/>
        </w:rPr>
        <w:t>A1、A2、……An分别为各项评审因素所占的权重（A1＋A2＋…＋An＝1）</w:t>
      </w:r>
    </w:p>
    <w:p>
      <w:pPr>
        <w:adjustRightInd w:val="0"/>
        <w:snapToGrid w:val="0"/>
        <w:spacing w:line="360" w:lineRule="auto"/>
        <w:ind w:firstLine="420" w:firstLineChars="200"/>
        <w:rPr>
          <w:rFonts w:ascii="宋体" w:hAnsi="宋体"/>
          <w:szCs w:val="21"/>
        </w:rPr>
      </w:pPr>
      <w:r>
        <w:rPr>
          <w:rFonts w:hint="eastAsia" w:ascii="宋体" w:hAnsi="宋体"/>
          <w:szCs w:val="21"/>
        </w:rPr>
        <w:t>5.2评分分值计算保留小数点后两位，小数点后第三位“四舍五入”。</w:t>
      </w:r>
    </w:p>
    <w:p>
      <w:pPr>
        <w:adjustRightInd w:val="0"/>
        <w:snapToGrid w:val="0"/>
        <w:spacing w:line="360" w:lineRule="auto"/>
        <w:ind w:firstLine="420" w:firstLineChars="200"/>
        <w:rPr>
          <w:rFonts w:ascii="宋体" w:hAnsi="宋体"/>
          <w:szCs w:val="21"/>
        </w:rPr>
      </w:pPr>
      <w:r>
        <w:rPr>
          <w:rFonts w:hint="eastAsia" w:ascii="宋体" w:hAnsi="宋体" w:cs="宋体"/>
          <w:kern w:val="0"/>
          <w:szCs w:val="21"/>
        </w:rPr>
        <w:t>5.3</w:t>
      </w:r>
      <w:r>
        <w:rPr>
          <w:rFonts w:hint="eastAsia" w:ascii="宋体" w:hAnsi="宋体"/>
          <w:szCs w:val="21"/>
        </w:rPr>
        <w:t>评标时，评标委员会成员应当独立对满足招标文件全部实质性要求投标人的</w:t>
      </w:r>
      <w:r>
        <w:rPr>
          <w:rFonts w:hint="eastAsia" w:ascii="宋体" w:hAnsi="宋体"/>
          <w:bCs/>
          <w:szCs w:val="21"/>
        </w:rPr>
        <w:t>投标文件</w:t>
      </w:r>
      <w:r>
        <w:rPr>
          <w:rFonts w:hint="eastAsia" w:ascii="宋体" w:hAnsi="宋体"/>
          <w:szCs w:val="21"/>
        </w:rPr>
        <w:t>进行评价、评分，然后汇总每个投标人每项评分因素的得分。每个投标人的最终得分为所有评标委员会成员评分的算术平均值。</w:t>
      </w:r>
    </w:p>
    <w:p>
      <w:pPr>
        <w:adjustRightInd w:val="0"/>
        <w:snapToGrid w:val="0"/>
        <w:spacing w:line="360" w:lineRule="auto"/>
        <w:rPr>
          <w:rFonts w:ascii="宋体" w:hAnsi="宋体"/>
          <w:b/>
          <w:bCs/>
          <w:sz w:val="24"/>
        </w:rPr>
      </w:pPr>
      <w:r>
        <w:rPr>
          <w:rFonts w:hint="eastAsia" w:ascii="宋体" w:hAnsi="宋体"/>
          <w:b/>
          <w:bCs/>
          <w:sz w:val="24"/>
        </w:rPr>
        <w:t>6.中标候选人的推荐方法</w:t>
      </w:r>
    </w:p>
    <w:p>
      <w:pPr>
        <w:adjustRightInd w:val="0"/>
        <w:snapToGrid w:val="0"/>
        <w:spacing w:line="360" w:lineRule="auto"/>
        <w:ind w:firstLine="420" w:firstLineChars="200"/>
        <w:rPr>
          <w:rFonts w:ascii="宋体" w:hAnsi="宋体"/>
          <w:bCs/>
          <w:szCs w:val="21"/>
        </w:rPr>
      </w:pPr>
      <w:r>
        <w:rPr>
          <w:rFonts w:hint="eastAsia" w:ascii="宋体" w:hAnsi="宋体"/>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20" w:firstLineChars="200"/>
        <w:rPr>
          <w:rFonts w:ascii="宋体" w:hAnsi="宋体"/>
        </w:rPr>
      </w:pPr>
      <w:r>
        <w:rPr>
          <w:rFonts w:hint="eastAsia" w:ascii="宋体" w:hAnsi="宋体"/>
          <w:bCs/>
          <w:szCs w:val="21"/>
        </w:rPr>
        <w:t>6.2得分且投标报价相同的并列，按本章第二节规定确定中标侯选人。</w:t>
      </w:r>
    </w:p>
    <w:p>
      <w:pPr>
        <w:pStyle w:val="5"/>
        <w:adjustRightInd w:val="0"/>
        <w:snapToGrid w:val="0"/>
        <w:spacing w:before="156" w:beforeLines="50" w:after="0" w:line="360" w:lineRule="auto"/>
        <w:rPr>
          <w:rFonts w:hint="eastAsia" w:ascii="黑体" w:hAnsi="黑体" w:eastAsia="黑体" w:cs="黑体"/>
          <w:b/>
          <w:bCs/>
          <w:color w:val="auto"/>
          <w:sz w:val="21"/>
          <w:szCs w:val="21"/>
        </w:rPr>
      </w:pPr>
      <w:r>
        <w:rPr>
          <w:rFonts w:ascii="宋体" w:hAnsi="宋体"/>
        </w:rPr>
        <w:br w:type="page"/>
      </w:r>
      <w:bookmarkStart w:id="763" w:name="_Toc19275"/>
      <w:bookmarkStart w:id="764" w:name="_Toc27168"/>
      <w:bookmarkStart w:id="765" w:name="_Toc100670459"/>
      <w:bookmarkStart w:id="766" w:name="_Toc85972968"/>
      <w:bookmarkStart w:id="767" w:name="_Toc75289587"/>
      <w:bookmarkStart w:id="768" w:name="_Toc94367918"/>
      <w:bookmarkStart w:id="769" w:name="_Toc108341976"/>
      <w:bookmarkStart w:id="770" w:name="_Toc6684"/>
      <w:bookmarkStart w:id="771" w:name="_Toc75289269"/>
      <w:bookmarkStart w:id="772" w:name="_Toc100670707"/>
      <w:bookmarkStart w:id="773" w:name="_Toc95601403"/>
      <w:r>
        <w:rPr>
          <w:rFonts w:hint="eastAsia" w:ascii="黑体" w:hAnsi="黑体" w:eastAsia="黑体" w:cs="黑体"/>
          <w:b/>
          <w:bCs/>
          <w:color w:val="auto"/>
          <w:sz w:val="21"/>
          <w:szCs w:val="21"/>
        </w:rPr>
        <w:t>附表1 评标方法及标准表</w:t>
      </w:r>
      <w:bookmarkEnd w:id="763"/>
      <w:bookmarkEnd w:id="764"/>
    </w:p>
    <w:p>
      <w:pPr>
        <w:pStyle w:val="47"/>
        <w:ind w:left="0" w:leftChars="0" w:firstLine="0" w:firstLineChars="0"/>
        <w:jc w:val="center"/>
        <w:rPr>
          <w:b/>
          <w:bCs/>
          <w:color w:val="auto"/>
        </w:rPr>
      </w:pPr>
      <w:bookmarkStart w:id="774" w:name="OLE_LINK9"/>
      <w:r>
        <w:rPr>
          <w:rFonts w:hint="eastAsia"/>
          <w:b/>
          <w:bCs/>
          <w:color w:val="auto"/>
        </w:rPr>
        <w:t>本采购项目的权值见下表</w:t>
      </w:r>
    </w:p>
    <w:tbl>
      <w:tblPr>
        <w:tblStyle w:val="48"/>
        <w:tblW w:w="8820"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720" w:type="dxa"/>
            <w:noWrap w:val="0"/>
            <w:vAlign w:val="center"/>
          </w:tcPr>
          <w:p>
            <w:pPr>
              <w:adjustRightInd w:val="0"/>
              <w:snapToGrid w:val="0"/>
              <w:spacing w:line="240" w:lineRule="exact"/>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序号</w:t>
            </w:r>
          </w:p>
        </w:tc>
        <w:tc>
          <w:tcPr>
            <w:tcW w:w="4680" w:type="dxa"/>
            <w:noWrap w:val="0"/>
            <w:vAlign w:val="center"/>
          </w:tcPr>
          <w:p>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项     目</w:t>
            </w:r>
          </w:p>
        </w:tc>
        <w:tc>
          <w:tcPr>
            <w:tcW w:w="3420" w:type="dxa"/>
            <w:noWrap w:val="0"/>
            <w:vAlign w:val="center"/>
          </w:tcPr>
          <w:p>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权值的取值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9" w:hRule="atLeast"/>
          <w:jc w:val="center"/>
        </w:trPr>
        <w:tc>
          <w:tcPr>
            <w:tcW w:w="720" w:type="dxa"/>
            <w:noWrap w:val="0"/>
            <w:vAlign w:val="center"/>
          </w:tcPr>
          <w:p>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1</w:t>
            </w:r>
          </w:p>
        </w:tc>
        <w:tc>
          <w:tcPr>
            <w:tcW w:w="4680" w:type="dxa"/>
            <w:noWrap w:val="0"/>
            <w:vAlign w:val="center"/>
          </w:tcPr>
          <w:p>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eastAsia="ru-RU"/>
              </w:rPr>
              <w:t>报价</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1</w:t>
            </w:r>
            <w:r>
              <w:rPr>
                <w:rFonts w:hint="eastAsia" w:ascii="宋体" w:hAnsi="宋体" w:cs="宋体"/>
                <w:color w:val="auto"/>
                <w:kern w:val="0"/>
                <w:sz w:val="20"/>
                <w:szCs w:val="21"/>
                <w:lang w:val="ru-RU"/>
              </w:rPr>
              <w:t>）</w:t>
            </w:r>
          </w:p>
        </w:tc>
        <w:tc>
          <w:tcPr>
            <w:tcW w:w="3420" w:type="dxa"/>
            <w:noWrap w:val="0"/>
            <w:vAlign w:val="center"/>
          </w:tcPr>
          <w:p>
            <w:pPr>
              <w:adjustRightInd w:val="0"/>
              <w:snapToGrid w:val="0"/>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0.35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720" w:type="dxa"/>
            <w:noWrap w:val="0"/>
            <w:vAlign w:val="center"/>
          </w:tcPr>
          <w:p>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2</w:t>
            </w:r>
          </w:p>
        </w:tc>
        <w:tc>
          <w:tcPr>
            <w:tcW w:w="4680" w:type="dxa"/>
            <w:noWrap w:val="0"/>
            <w:vAlign w:val="center"/>
          </w:tcPr>
          <w:p>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lang w:val="ru-RU" w:eastAsia="ru-RU"/>
              </w:rPr>
              <w:t>技术</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2</w:t>
            </w:r>
            <w:r>
              <w:rPr>
                <w:rFonts w:hint="eastAsia" w:ascii="宋体" w:hAnsi="宋体" w:cs="宋体"/>
                <w:color w:val="auto"/>
                <w:kern w:val="0"/>
                <w:sz w:val="20"/>
                <w:szCs w:val="21"/>
                <w:lang w:val="ru-RU"/>
              </w:rPr>
              <w:t>）</w:t>
            </w:r>
          </w:p>
        </w:tc>
        <w:tc>
          <w:tcPr>
            <w:tcW w:w="3420" w:type="dxa"/>
            <w:noWrap w:val="0"/>
            <w:vAlign w:val="center"/>
          </w:tcPr>
          <w:p>
            <w:pPr>
              <w:adjustRightInd w:val="0"/>
              <w:snapToGrid w:val="0"/>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0.45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720" w:type="dxa"/>
            <w:noWrap w:val="0"/>
            <w:vAlign w:val="center"/>
          </w:tcPr>
          <w:p>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3</w:t>
            </w:r>
          </w:p>
        </w:tc>
        <w:tc>
          <w:tcPr>
            <w:tcW w:w="4680" w:type="dxa"/>
            <w:noWrap w:val="0"/>
            <w:vAlign w:val="center"/>
          </w:tcPr>
          <w:p>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rPr>
              <w:t>商务（A</w:t>
            </w:r>
            <w:r>
              <w:rPr>
                <w:rFonts w:ascii="Calibri" w:hAnsi="Calibri" w:cs="宋体"/>
                <w:color w:val="auto"/>
                <w:kern w:val="0"/>
                <w:sz w:val="13"/>
                <w:szCs w:val="13"/>
                <w:lang w:val="ru-RU"/>
              </w:rPr>
              <w:t>3</w:t>
            </w:r>
            <w:r>
              <w:rPr>
                <w:rFonts w:hint="eastAsia" w:ascii="宋体" w:hAnsi="宋体" w:cs="宋体"/>
                <w:color w:val="auto"/>
                <w:kern w:val="0"/>
                <w:sz w:val="20"/>
                <w:szCs w:val="21"/>
                <w:lang w:val="ru-RU"/>
              </w:rPr>
              <w:t>）</w:t>
            </w:r>
          </w:p>
        </w:tc>
        <w:tc>
          <w:tcPr>
            <w:tcW w:w="3420" w:type="dxa"/>
            <w:noWrap w:val="0"/>
            <w:vAlign w:val="center"/>
          </w:tcPr>
          <w:p>
            <w:pPr>
              <w:adjustRightInd w:val="0"/>
              <w:snapToGrid w:val="0"/>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5400" w:type="dxa"/>
            <w:gridSpan w:val="2"/>
            <w:noWrap w:val="0"/>
            <w:vAlign w:val="center"/>
          </w:tcPr>
          <w:p>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rPr>
              <w:t xml:space="preserve">       </w:t>
            </w:r>
            <w:r>
              <w:rPr>
                <w:rFonts w:hint="eastAsia" w:ascii="宋体" w:hAnsi="宋体" w:cs="宋体"/>
                <w:color w:val="auto"/>
                <w:kern w:val="0"/>
                <w:sz w:val="20"/>
                <w:szCs w:val="21"/>
                <w:lang w:val="ru-RU"/>
              </w:rPr>
              <w:t>合计</w:t>
            </w:r>
          </w:p>
        </w:tc>
        <w:tc>
          <w:tcPr>
            <w:tcW w:w="3420" w:type="dxa"/>
            <w:noWrap w:val="0"/>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r>
    </w:tbl>
    <w:p>
      <w:pPr>
        <w:adjustRightInd w:val="0"/>
        <w:snapToGrid w:val="0"/>
        <w:spacing w:before="156" w:beforeLines="50" w:line="360" w:lineRule="auto"/>
        <w:jc w:val="center"/>
        <w:rPr>
          <w:rFonts w:hint="eastAsia"/>
          <w:b/>
          <w:bCs/>
          <w:color w:val="auto"/>
        </w:rPr>
      </w:pPr>
    </w:p>
    <w:p>
      <w:pPr>
        <w:adjustRightInd w:val="0"/>
        <w:snapToGrid w:val="0"/>
        <w:spacing w:before="156" w:beforeLines="50" w:line="360" w:lineRule="auto"/>
        <w:jc w:val="center"/>
        <w:rPr>
          <w:b/>
          <w:bCs/>
          <w:color w:val="auto"/>
        </w:rPr>
      </w:pPr>
      <w:r>
        <w:rPr>
          <w:rFonts w:hint="eastAsia"/>
          <w:b/>
          <w:bCs/>
          <w:color w:val="auto"/>
        </w:rPr>
        <w:t>附表1.1投标报价评审标准表</w:t>
      </w:r>
    </w:p>
    <w:tbl>
      <w:tblPr>
        <w:tblStyle w:val="48"/>
        <w:tblW w:w="8916"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268"/>
        <w:gridCol w:w="614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序号</w:t>
            </w:r>
          </w:p>
        </w:tc>
        <w:tc>
          <w:tcPr>
            <w:tcW w:w="2268" w:type="dxa"/>
            <w:tcBorders>
              <w:left w:val="single" w:color="auto" w:sz="4" w:space="0"/>
              <w:righ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评标因素（分值）</w:t>
            </w:r>
          </w:p>
        </w:tc>
        <w:tc>
          <w:tcPr>
            <w:tcW w:w="6145" w:type="dxa"/>
            <w:tcBorders>
              <w:lef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评标标准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r>
              <w:rPr>
                <w:rFonts w:hint="eastAsia" w:ascii="宋体" w:hAnsi="宋体"/>
                <w:color w:val="auto"/>
                <w:sz w:val="18"/>
                <w:szCs w:val="18"/>
              </w:rPr>
              <w:t>1</w:t>
            </w:r>
          </w:p>
        </w:tc>
        <w:tc>
          <w:tcPr>
            <w:tcW w:w="2268" w:type="dxa"/>
            <w:tcBorders>
              <w:left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价格评价项</w:t>
            </w:r>
          </w:p>
          <w:p>
            <w:pPr>
              <w:adjustRightInd w:val="0"/>
              <w:snapToGrid w:val="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（F=100分）</w:t>
            </w:r>
          </w:p>
        </w:tc>
        <w:tc>
          <w:tcPr>
            <w:tcW w:w="6145" w:type="dxa"/>
            <w:tcBorders>
              <w:left w:val="single" w:color="auto" w:sz="4" w:space="0"/>
            </w:tcBorders>
            <w:noWrap w:val="0"/>
            <w:vAlign w:val="center"/>
          </w:tcPr>
          <w:p>
            <w:pPr>
              <w:pStyle w:val="66"/>
              <w:ind w:left="0" w:leftChars="0" w:firstLine="0" w:firstLineChars="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1、满足招标文件要求且经评标委员会认定有效报价最低的投标人的价格为评标基准价，其价格分为满分；其他投标人的价格分统一按照以下公式计算：</w:t>
            </w:r>
          </w:p>
          <w:p>
            <w:pPr>
              <w:pStyle w:val="66"/>
              <w:ind w:left="0" w:leftChars="0" w:firstLine="0" w:firstLineChars="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各投标人报价得分=（评标基准价/各投标人报价）×价格权值×100</w:t>
            </w:r>
          </w:p>
          <w:p>
            <w:pPr>
              <w:pStyle w:val="66"/>
              <w:ind w:left="0" w:leftChars="0" w:firstLine="0" w:firstLineChars="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项目评审过程中，不得去掉报价中的最高报价和最低报价。</w:t>
            </w:r>
          </w:p>
          <w:p>
            <w:pPr>
              <w:pStyle w:val="66"/>
              <w:ind w:left="0" w:leftChars="0" w:firstLine="0" w:firstLineChars="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r>
              <w:rPr>
                <w:rFonts w:hint="eastAsia" w:ascii="宋体" w:hAnsi="宋体"/>
                <w:color w:val="auto"/>
                <w:sz w:val="18"/>
                <w:szCs w:val="18"/>
              </w:rPr>
              <w:t>2</w:t>
            </w:r>
          </w:p>
        </w:tc>
        <w:tc>
          <w:tcPr>
            <w:tcW w:w="2268" w:type="dxa"/>
            <w:tcBorders>
              <w:lef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优先采购加分（F</w:t>
            </w:r>
            <w:r>
              <w:rPr>
                <w:rFonts w:hint="eastAsia" w:ascii="宋体" w:hAnsi="宋体"/>
                <w:color w:val="auto"/>
                <w:sz w:val="18"/>
                <w:szCs w:val="18"/>
                <w:vertAlign w:val="subscript"/>
              </w:rPr>
              <w:t>优先采购加分</w:t>
            </w:r>
            <w:r>
              <w:rPr>
                <w:rFonts w:hint="eastAsia" w:ascii="宋体" w:hAnsi="宋体"/>
                <w:color w:val="auto"/>
                <w:sz w:val="18"/>
                <w:szCs w:val="18"/>
              </w:rPr>
              <w:t>）</w:t>
            </w:r>
          </w:p>
        </w:tc>
        <w:tc>
          <w:tcPr>
            <w:tcW w:w="6145" w:type="dxa"/>
            <w:tcBorders>
              <w:bottom w:val="single" w:color="auto" w:sz="4" w:space="0"/>
            </w:tcBorders>
            <w:noWrap w:val="0"/>
            <w:vAlign w:val="center"/>
          </w:tcPr>
          <w:p>
            <w:pPr>
              <w:pStyle w:val="66"/>
              <w:ind w:left="0" w:leftChars="0" w:firstLine="0" w:firstLineChars="0"/>
              <w:rPr>
                <w:rFonts w:hint="eastAsia" w:ascii="Times New Roman" w:hAnsi="Times New Roman" w:eastAsia="宋体" w:cs="Times New Roman"/>
                <w:kern w:val="2"/>
                <w:sz w:val="21"/>
                <w:lang w:val="en-US" w:eastAsia="zh-CN" w:bidi="ar-SA"/>
              </w:rPr>
            </w:pPr>
            <w:bookmarkStart w:id="775" w:name="OLE_LINK21"/>
            <w:r>
              <w:rPr>
                <w:rFonts w:hint="eastAsia" w:ascii="Times New Roman" w:hAnsi="Times New Roman" w:eastAsia="宋体" w:cs="Times New Roman"/>
                <w:kern w:val="2"/>
                <w:sz w:val="21"/>
                <w:lang w:val="en-US" w:eastAsia="zh-CN" w:bidi="ar-SA"/>
              </w:rPr>
              <w:t>（1）拟投本项目用材为《节能产品政府采购清单》(最新)内非标记★符号的，给予价格项标准总分值4%-8%的加分。本项目具体加分比例为 ：价格 4  %。</w:t>
            </w:r>
          </w:p>
          <w:p>
            <w:pPr>
              <w:pStyle w:val="66"/>
              <w:ind w:left="0" w:leftChars="0" w:firstLine="0" w:firstLineChars="0"/>
              <w:rPr>
                <w:rFonts w:ascii="宋体" w:hAnsi="宋体"/>
                <w:color w:val="auto"/>
                <w:sz w:val="18"/>
                <w:szCs w:val="18"/>
              </w:rPr>
            </w:pPr>
            <w:r>
              <w:rPr>
                <w:rFonts w:hint="eastAsia" w:ascii="Times New Roman" w:hAnsi="Times New Roman" w:eastAsia="宋体" w:cs="Times New Roman"/>
                <w:kern w:val="2"/>
                <w:sz w:val="21"/>
                <w:lang w:val="en-US" w:eastAsia="zh-CN" w:bidi="ar-SA"/>
              </w:rPr>
              <w:t>（2）拟投本项目用材为《环境标志产品政府采购清单》(最新期)内的，给予价格项标准总分值4%-8%的加分。本项目具体加分比例为 ：价格  4  %。</w:t>
            </w:r>
            <w:bookmarkEnd w:id="775"/>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w:t>
            </w:r>
          </w:p>
        </w:tc>
        <w:tc>
          <w:tcPr>
            <w:tcW w:w="8413" w:type="dxa"/>
            <w:gridSpan w:val="2"/>
            <w:tcBorders>
              <w:left w:val="single" w:color="auto" w:sz="4" w:space="0"/>
            </w:tcBorders>
            <w:noWrap w:val="0"/>
            <w:vAlign w:val="center"/>
          </w:tcPr>
          <w:p>
            <w:pPr>
              <w:adjustRightInd w:val="0"/>
              <w:snapToGrid w:val="0"/>
              <w:rPr>
                <w:rFonts w:ascii="宋体" w:hAnsi="宋体"/>
                <w:color w:val="auto"/>
                <w:sz w:val="18"/>
                <w:szCs w:val="18"/>
              </w:rPr>
            </w:pPr>
            <w:r>
              <w:rPr>
                <w:rFonts w:hint="eastAsia" w:ascii="宋体" w:hAnsi="宋体"/>
                <w:color w:val="auto"/>
                <w:sz w:val="18"/>
                <w:szCs w:val="18"/>
              </w:rPr>
              <w:t>F</w:t>
            </w:r>
            <w:r>
              <w:rPr>
                <w:rFonts w:hint="eastAsia" w:ascii="宋体" w:hAnsi="宋体"/>
                <w:color w:val="auto"/>
                <w:sz w:val="18"/>
                <w:szCs w:val="18"/>
                <w:vertAlign w:val="subscript"/>
              </w:rPr>
              <w:t>1</w:t>
            </w:r>
            <w:r>
              <w:rPr>
                <w:rFonts w:hint="eastAsia" w:ascii="宋体" w:hAnsi="宋体"/>
                <w:color w:val="auto"/>
                <w:sz w:val="18"/>
                <w:szCs w:val="18"/>
              </w:rPr>
              <w:t>=F+</w:t>
            </w:r>
            <w:r>
              <w:rPr>
                <w:rFonts w:hint="eastAsia"/>
                <w:color w:val="auto"/>
                <w:sz w:val="18"/>
                <w:szCs w:val="18"/>
              </w:rPr>
              <w:t xml:space="preserve"> </w:t>
            </w:r>
            <w:r>
              <w:rPr>
                <w:rFonts w:hint="eastAsia" w:ascii="宋体" w:hAnsi="宋体"/>
                <w:color w:val="auto"/>
                <w:sz w:val="18"/>
                <w:szCs w:val="18"/>
              </w:rPr>
              <w:t>F</w:t>
            </w:r>
            <w:r>
              <w:rPr>
                <w:rFonts w:hint="eastAsia" w:ascii="宋体" w:hAnsi="宋体"/>
                <w:color w:val="auto"/>
                <w:sz w:val="18"/>
                <w:szCs w:val="18"/>
                <w:vertAlign w:val="subscript"/>
              </w:rPr>
              <w:t>优先采购加分</w:t>
            </w:r>
          </w:p>
        </w:tc>
      </w:tr>
    </w:tbl>
    <w:p>
      <w:pPr>
        <w:adjustRightInd w:val="0"/>
        <w:snapToGrid w:val="0"/>
        <w:spacing w:before="156" w:beforeLines="50" w:line="360" w:lineRule="auto"/>
        <w:jc w:val="center"/>
        <w:rPr>
          <w:b/>
          <w:bCs/>
          <w:color w:val="auto"/>
        </w:rPr>
      </w:pPr>
      <w:r>
        <w:rPr>
          <w:rFonts w:hint="eastAsia"/>
          <w:b/>
          <w:bCs/>
          <w:color w:val="auto"/>
        </w:rPr>
        <w:t>附表1.2技术部分评审标准表</w:t>
      </w:r>
    </w:p>
    <w:tbl>
      <w:tblPr>
        <w:tblStyle w:val="48"/>
        <w:tblW w:w="8940"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73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序号</w:t>
            </w:r>
          </w:p>
        </w:tc>
        <w:tc>
          <w:tcPr>
            <w:tcW w:w="2160" w:type="dxa"/>
            <w:tcBorders>
              <w:left w:val="single" w:color="auto" w:sz="4" w:space="0"/>
              <w:righ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评标因素（分值）</w:t>
            </w:r>
          </w:p>
        </w:tc>
        <w:tc>
          <w:tcPr>
            <w:tcW w:w="6277" w:type="dxa"/>
            <w:gridSpan w:val="2"/>
            <w:tcBorders>
              <w:lef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评标标准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bookmarkStart w:id="776" w:name="OLE_LINK22" w:colFirst="3" w:colLast="3"/>
            <w:r>
              <w:rPr>
                <w:rFonts w:hint="eastAsia" w:ascii="宋体" w:hAnsi="宋体"/>
                <w:color w:val="auto"/>
                <w:sz w:val="18"/>
                <w:szCs w:val="18"/>
              </w:rPr>
              <w:t>1</w:t>
            </w:r>
          </w:p>
        </w:tc>
        <w:tc>
          <w:tcPr>
            <w:tcW w:w="2160" w:type="dxa"/>
            <w:vMerge w:val="restart"/>
            <w:tcBorders>
              <w:lef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技术评价项</w:t>
            </w:r>
          </w:p>
          <w:p>
            <w:pPr>
              <w:adjustRightInd w:val="0"/>
              <w:snapToGrid w:val="0"/>
              <w:jc w:val="center"/>
              <w:rPr>
                <w:rFonts w:ascii="宋体" w:hAnsi="宋体"/>
                <w:color w:val="auto"/>
                <w:sz w:val="18"/>
                <w:szCs w:val="18"/>
              </w:rPr>
            </w:pPr>
            <w:r>
              <w:rPr>
                <w:rFonts w:hint="eastAsia" w:ascii="宋体" w:hAnsi="宋体"/>
                <w:color w:val="auto"/>
                <w:sz w:val="18"/>
                <w:szCs w:val="18"/>
              </w:rPr>
              <w:t>（F=100分）</w:t>
            </w:r>
          </w:p>
        </w:tc>
        <w:tc>
          <w:tcPr>
            <w:tcW w:w="1545" w:type="dxa"/>
            <w:noWrap w:val="0"/>
            <w:vAlign w:val="center"/>
          </w:tcPr>
          <w:p>
            <w:pPr>
              <w:spacing w:line="360" w:lineRule="auto"/>
              <w:ind w:firstLine="210" w:firstLineChars="100"/>
              <w:jc w:val="left"/>
              <w:rPr>
                <w:rFonts w:ascii="宋体" w:hAnsi="宋体" w:cs="宋体"/>
                <w:color w:val="auto"/>
                <w:sz w:val="18"/>
                <w:szCs w:val="18"/>
                <w:highlight w:val="none"/>
              </w:rPr>
            </w:pPr>
            <w:r>
              <w:rPr>
                <w:rFonts w:hint="eastAsia" w:ascii="宋体" w:hAnsi="宋体" w:cs="Times New Roman"/>
                <w:color w:val="000000"/>
                <w:lang w:val="en-US" w:eastAsia="zh-CN"/>
              </w:rPr>
              <w:t>团队服务方案（30分）</w:t>
            </w:r>
          </w:p>
        </w:tc>
        <w:tc>
          <w:tcPr>
            <w:tcW w:w="4732" w:type="dxa"/>
            <w:noWrap w:val="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olor w:val="auto"/>
                <w:sz w:val="18"/>
                <w:szCs w:val="18"/>
                <w:highlight w:val="none"/>
              </w:rPr>
            </w:pPr>
            <w:r>
              <w:rPr>
                <w:rFonts w:hint="eastAsia" w:ascii="宋体" w:hAnsi="宋体" w:eastAsia="宋体" w:cs="Times New Roman"/>
                <w:color w:val="000000"/>
                <w:lang w:val="zh-TW" w:eastAsia="zh-TW"/>
              </w:rPr>
              <w:t>投标人提供本项目</w:t>
            </w:r>
            <w:r>
              <w:rPr>
                <w:rFonts w:hint="eastAsia" w:ascii="宋体" w:hAnsi="宋体" w:cs="Times New Roman"/>
                <w:color w:val="000000"/>
                <w:lang w:val="en-US" w:eastAsia="zh-CN"/>
              </w:rPr>
              <w:t>制作</w:t>
            </w:r>
            <w:r>
              <w:rPr>
                <w:rFonts w:hint="eastAsia" w:ascii="宋体" w:hAnsi="宋体" w:eastAsia="宋体" w:cs="Times New Roman"/>
                <w:color w:val="000000"/>
                <w:lang w:val="zh-TW" w:eastAsia="zh-TW"/>
              </w:rPr>
              <w:t>团队</w:t>
            </w:r>
            <w:r>
              <w:rPr>
                <w:rFonts w:hint="eastAsia" w:ascii="宋体" w:hAnsi="宋体" w:cs="Times New Roman"/>
                <w:color w:val="000000"/>
                <w:lang w:val="en-US" w:eastAsia="zh-CN"/>
              </w:rPr>
              <w:t>服务</w:t>
            </w:r>
            <w:r>
              <w:rPr>
                <w:rFonts w:hint="eastAsia" w:ascii="宋体" w:hAnsi="宋体" w:eastAsia="宋体" w:cs="Times New Roman"/>
                <w:color w:val="000000"/>
                <w:lang w:val="zh-TW" w:eastAsia="zh-TW"/>
              </w:rPr>
              <w:t>方案，内容包括但不限于</w:t>
            </w:r>
            <w:r>
              <w:rPr>
                <w:rFonts w:hint="eastAsia" w:ascii="宋体" w:hAnsi="宋体" w:cs="Times New Roman"/>
                <w:color w:val="000000"/>
                <w:lang w:val="zh-TW" w:eastAsia="zh-CN"/>
              </w:rPr>
              <w:t>：</w:t>
            </w:r>
            <w:r>
              <w:rPr>
                <w:rFonts w:hint="default" w:ascii="宋体" w:hAnsi="宋体" w:eastAsia="宋体" w:cs="宋体"/>
                <w:bCs w:val="0"/>
                <w:iCs w:val="0"/>
                <w:color w:val="auto"/>
                <w:spacing w:val="0"/>
                <w:w w:val="100"/>
                <w:kern w:val="0"/>
                <w:sz w:val="21"/>
                <w:szCs w:val="21"/>
                <w:lang w:val="en-US" w:eastAsia="zh-CN" w:bidi="ar-SA"/>
              </w:rPr>
              <w:t>①</w:t>
            </w:r>
            <w:r>
              <w:rPr>
                <w:rFonts w:hint="eastAsia" w:ascii="宋体" w:hAnsi="宋体" w:eastAsia="宋体" w:cs="Times New Roman"/>
                <w:color w:val="000000"/>
                <w:lang w:val="zh-TW" w:eastAsia="zh-TW"/>
              </w:rPr>
              <w:t>组织架构、</w:t>
            </w:r>
            <w:r>
              <w:rPr>
                <w:rFonts w:hint="default" w:ascii="宋体" w:hAnsi="宋体" w:eastAsia="宋体" w:cs="宋体"/>
                <w:bCs w:val="0"/>
                <w:iCs w:val="0"/>
                <w:color w:val="auto"/>
                <w:spacing w:val="0"/>
                <w:w w:val="100"/>
                <w:kern w:val="0"/>
                <w:sz w:val="21"/>
                <w:szCs w:val="21"/>
                <w:lang w:val="en-US" w:eastAsia="zh-CN" w:bidi="ar-SA"/>
              </w:rPr>
              <w:t>②</w:t>
            </w:r>
            <w:r>
              <w:rPr>
                <w:rFonts w:hint="eastAsia" w:ascii="宋体" w:hAnsi="宋体" w:eastAsia="宋体" w:cs="Times New Roman"/>
                <w:color w:val="000000"/>
                <w:lang w:val="zh-TW" w:eastAsia="zh-TW"/>
              </w:rPr>
              <w:t>岗位职责、</w:t>
            </w:r>
            <w:r>
              <w:rPr>
                <w:rFonts w:hint="default" w:ascii="宋体" w:hAnsi="宋体" w:eastAsia="宋体" w:cs="宋体"/>
                <w:bCs w:val="0"/>
                <w:iCs w:val="0"/>
                <w:color w:val="auto"/>
                <w:spacing w:val="0"/>
                <w:w w:val="100"/>
                <w:kern w:val="0"/>
                <w:sz w:val="21"/>
                <w:szCs w:val="21"/>
                <w:lang w:val="en-US" w:eastAsia="zh-CN" w:bidi="ar-SA"/>
              </w:rPr>
              <w:t>③</w:t>
            </w:r>
            <w:r>
              <w:rPr>
                <w:rFonts w:hint="eastAsia" w:ascii="宋体" w:hAnsi="宋体" w:eastAsia="宋体" w:cs="Times New Roman"/>
                <w:color w:val="000000"/>
                <w:lang w:val="zh-TW" w:eastAsia="zh-TW"/>
              </w:rPr>
              <w:t>人员数量及培训等</w:t>
            </w:r>
            <w:r>
              <w:rPr>
                <w:rFonts w:hint="eastAsia" w:ascii="宋体" w:hAnsi="宋体" w:eastAsia="宋体" w:cs="Times New Roman"/>
                <w:color w:val="000000"/>
                <w:lang w:val="en-US" w:eastAsia="zh-CN"/>
              </w:rPr>
              <w:t>内容</w:t>
            </w:r>
            <w:r>
              <w:rPr>
                <w:rFonts w:hint="eastAsia" w:ascii="宋体" w:hAnsi="宋体" w:cs="Times New Roman"/>
                <w:color w:val="000000"/>
                <w:lang w:val="zh-TW" w:eastAsia="zh-CN"/>
              </w:rPr>
              <w:t>，</w:t>
            </w:r>
            <w:r>
              <w:rPr>
                <w:rFonts w:hint="eastAsia" w:ascii="宋体" w:hAnsi="宋体" w:eastAsia="宋体" w:cs="Times New Roman"/>
                <w:color w:val="000000"/>
                <w:lang w:val="zh-TW" w:eastAsia="zh-TW"/>
              </w:rPr>
              <w:t>方案内容完善、供货</w:t>
            </w:r>
            <w:r>
              <w:rPr>
                <w:rFonts w:hint="eastAsia" w:ascii="宋体" w:hAnsi="宋体" w:eastAsia="宋体" w:cs="Times New Roman"/>
                <w:color w:val="000000"/>
                <w:lang w:val="zh-TW" w:eastAsia="zh-CN"/>
              </w:rPr>
              <w:t>方案</w:t>
            </w:r>
            <w:r>
              <w:rPr>
                <w:rFonts w:hint="eastAsia" w:ascii="宋体" w:hAnsi="宋体" w:eastAsia="宋体" w:cs="Times New Roman"/>
                <w:color w:val="000000"/>
                <w:lang w:val="zh-TW" w:eastAsia="zh-TW"/>
              </w:rPr>
              <w:t>的合理以及配送流程的科学</w:t>
            </w:r>
            <w:r>
              <w:rPr>
                <w:rFonts w:hint="eastAsia" w:ascii="宋体" w:hAnsi="宋体" w:eastAsia="宋体" w:cs="Times New Roman"/>
                <w:color w:val="000000"/>
                <w:lang w:val="zh-TW" w:eastAsia="zh-CN"/>
              </w:rPr>
              <w:t>的</w:t>
            </w:r>
            <w:r>
              <w:rPr>
                <w:rFonts w:hint="eastAsia" w:ascii="宋体" w:hAnsi="宋体" w:eastAsia="宋体" w:cs="Times New Roman"/>
                <w:color w:val="000000"/>
                <w:lang w:val="en-US" w:eastAsia="zh-CN"/>
              </w:rPr>
              <w:t>计30分；内容有缺漏项的每处扣10分，不符合要求、有缺陷、欠合理的每处扣3分，扣完为止；未提供的不计分。（不符合要求、有缺陷、欠合理是指：非专门针对本项目或不适用项目的情形、阐述不明确、内容不完整或缺少关键节点、内容逻辑混乱、套用其他项目方案、内容前后矛盾、前后内容无法连贯、涉及的规范及标准错误、不利于项目实施、不可能实现的情形等任意一种情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pPr>
              <w:adjustRightInd w:val="0"/>
              <w:snapToGrid w:val="0"/>
              <w:spacing w:before="156" w:beforeLines="50"/>
              <w:jc w:val="center"/>
              <w:rPr>
                <w:rFonts w:hint="eastAsia" w:ascii="宋体" w:hAnsi="宋体"/>
                <w:color w:val="auto"/>
                <w:sz w:val="18"/>
                <w:szCs w:val="18"/>
              </w:rPr>
            </w:pPr>
          </w:p>
        </w:tc>
        <w:tc>
          <w:tcPr>
            <w:tcW w:w="2160" w:type="dxa"/>
            <w:vMerge w:val="continue"/>
            <w:tcBorders>
              <w:left w:val="single" w:color="auto" w:sz="4" w:space="0"/>
            </w:tcBorders>
            <w:noWrap w:val="0"/>
            <w:vAlign w:val="center"/>
          </w:tcPr>
          <w:p>
            <w:pPr>
              <w:adjustRightInd w:val="0"/>
              <w:snapToGrid w:val="0"/>
              <w:jc w:val="center"/>
              <w:rPr>
                <w:rFonts w:hint="eastAsia" w:ascii="宋体" w:hAnsi="宋体"/>
                <w:color w:val="auto"/>
                <w:sz w:val="18"/>
                <w:szCs w:val="18"/>
              </w:rPr>
            </w:pPr>
          </w:p>
        </w:tc>
        <w:tc>
          <w:tcPr>
            <w:tcW w:w="1545" w:type="dxa"/>
            <w:noWrap w:val="0"/>
            <w:vAlign w:val="center"/>
          </w:tcPr>
          <w:p>
            <w:pPr>
              <w:spacing w:line="320" w:lineRule="exact"/>
              <w:jc w:val="center"/>
              <w:rPr>
                <w:rFonts w:hint="eastAsia" w:ascii="宋体" w:hAnsi="宋体" w:eastAsia="宋体" w:cs="Times New Roman"/>
                <w:color w:val="000000"/>
                <w:lang w:val="en-US" w:eastAsia="zh-CN"/>
              </w:rPr>
            </w:pPr>
            <w:r>
              <w:rPr>
                <w:rFonts w:hint="eastAsia" w:ascii="宋体" w:hAnsi="宋体" w:cs="Times New Roman"/>
                <w:color w:val="000000"/>
                <w:lang w:val="en-US" w:eastAsia="zh-CN"/>
              </w:rPr>
              <w:t>实施方案</w:t>
            </w:r>
            <w:r>
              <w:rPr>
                <w:rFonts w:hint="eastAsia" w:ascii="宋体" w:hAnsi="宋体" w:eastAsia="宋体" w:cs="Times New Roman"/>
                <w:color w:val="000000"/>
                <w:lang w:val="en-US" w:eastAsia="zh-CN"/>
              </w:rPr>
              <w:t>（</w:t>
            </w:r>
            <w:r>
              <w:rPr>
                <w:rFonts w:hint="eastAsia" w:ascii="宋体" w:hAnsi="宋体" w:cs="Times New Roman"/>
                <w:color w:val="000000"/>
                <w:lang w:val="en-US" w:eastAsia="zh-CN"/>
              </w:rPr>
              <w:t>15</w:t>
            </w:r>
            <w:r>
              <w:rPr>
                <w:rFonts w:hint="eastAsia" w:ascii="宋体" w:hAnsi="宋体"/>
                <w:color w:val="auto"/>
                <w:sz w:val="18"/>
                <w:szCs w:val="18"/>
              </w:rPr>
              <w:t>分</w:t>
            </w:r>
            <w:r>
              <w:rPr>
                <w:rFonts w:hint="eastAsia" w:ascii="宋体" w:hAnsi="宋体" w:eastAsia="宋体" w:cs="Times New Roman"/>
                <w:color w:val="000000"/>
                <w:lang w:val="en-US" w:eastAsia="zh-CN"/>
              </w:rPr>
              <w:t>）</w:t>
            </w:r>
          </w:p>
        </w:tc>
        <w:tc>
          <w:tcPr>
            <w:tcW w:w="4732" w:type="dxa"/>
            <w:noWrap w:val="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lang w:val="en-US" w:eastAsia="zh-CN"/>
              </w:rPr>
              <w:t>投标人</w:t>
            </w:r>
            <w:r>
              <w:rPr>
                <w:rFonts w:hint="eastAsia" w:ascii="宋体" w:hAnsi="宋体" w:cs="Times New Roman"/>
                <w:color w:val="000000"/>
                <w:lang w:val="en-US" w:eastAsia="zh-CN"/>
              </w:rPr>
              <w:t>针对本项目</w:t>
            </w:r>
            <w:r>
              <w:rPr>
                <w:rFonts w:hint="eastAsia" w:ascii="宋体" w:hAnsi="宋体" w:eastAsia="宋体" w:cs="Times New Roman"/>
                <w:color w:val="000000"/>
                <w:lang w:val="en-US" w:eastAsia="zh-CN"/>
              </w:rPr>
              <w:t>提供完整的场地优化方方案内容包括且不限于:</w:t>
            </w:r>
            <w:r>
              <w:rPr>
                <w:rFonts w:hint="default" w:ascii="宋体" w:hAnsi="宋体" w:eastAsia="宋体" w:cs="宋体"/>
                <w:bCs w:val="0"/>
                <w:iCs w:val="0"/>
                <w:color w:val="auto"/>
                <w:spacing w:val="0"/>
                <w:w w:val="100"/>
                <w:kern w:val="0"/>
                <w:sz w:val="21"/>
                <w:szCs w:val="21"/>
                <w:lang w:val="en-US" w:eastAsia="zh-CN" w:bidi="ar-SA"/>
              </w:rPr>
              <w:t>①</w:t>
            </w:r>
            <w:r>
              <w:rPr>
                <w:rFonts w:hint="eastAsia" w:ascii="宋体" w:hAnsi="宋体" w:eastAsia="宋体" w:cs="Times New Roman"/>
                <w:color w:val="000000"/>
                <w:lang w:val="en-US" w:eastAsia="zh-CN"/>
              </w:rPr>
              <w:t>场地布局优化、</w:t>
            </w:r>
            <w:r>
              <w:rPr>
                <w:rFonts w:hint="default" w:ascii="宋体" w:hAnsi="宋体" w:eastAsia="宋体" w:cs="宋体"/>
                <w:bCs w:val="0"/>
                <w:iCs w:val="0"/>
                <w:color w:val="auto"/>
                <w:spacing w:val="0"/>
                <w:w w:val="100"/>
                <w:kern w:val="0"/>
                <w:sz w:val="21"/>
                <w:szCs w:val="21"/>
                <w:lang w:val="en-US" w:eastAsia="zh-CN" w:bidi="ar-SA"/>
              </w:rPr>
              <w:t>②</w:t>
            </w:r>
            <w:r>
              <w:rPr>
                <w:rFonts w:hint="eastAsia" w:ascii="宋体" w:hAnsi="宋体" w:eastAsia="宋体" w:cs="Times New Roman"/>
                <w:color w:val="000000"/>
                <w:lang w:val="en-US" w:eastAsia="zh-CN"/>
              </w:rPr>
              <w:t>现场可视化改善、</w:t>
            </w:r>
            <w:r>
              <w:rPr>
                <w:rFonts w:hint="default" w:ascii="宋体" w:hAnsi="宋体" w:eastAsia="宋体" w:cs="宋体"/>
                <w:bCs w:val="0"/>
                <w:iCs w:val="0"/>
                <w:color w:val="auto"/>
                <w:spacing w:val="0"/>
                <w:w w:val="100"/>
                <w:kern w:val="0"/>
                <w:sz w:val="21"/>
                <w:szCs w:val="21"/>
                <w:lang w:val="en-US" w:eastAsia="zh-CN" w:bidi="ar-SA"/>
              </w:rPr>
              <w:t>③</w:t>
            </w:r>
            <w:r>
              <w:rPr>
                <w:rFonts w:hint="eastAsia" w:ascii="宋体" w:hAnsi="宋体" w:eastAsia="宋体" w:cs="Times New Roman"/>
                <w:color w:val="000000"/>
                <w:lang w:val="en-US" w:eastAsia="zh-CN"/>
              </w:rPr>
              <w:t>流程梳</w:t>
            </w:r>
            <w:r>
              <w:rPr>
                <w:rFonts w:hint="eastAsia" w:ascii="宋体" w:hAnsi="宋体" w:cs="Times New Roman"/>
                <w:color w:val="000000"/>
                <w:lang w:val="en-US" w:eastAsia="zh-CN"/>
              </w:rPr>
              <w:t>理</w:t>
            </w:r>
            <w:r>
              <w:rPr>
                <w:rFonts w:hint="eastAsia" w:ascii="宋体" w:hAnsi="宋体" w:eastAsia="宋体" w:cs="Times New Roman"/>
                <w:color w:val="000000"/>
                <w:lang w:val="en-US" w:eastAsia="zh-CN"/>
              </w:rPr>
              <w:t>等</w:t>
            </w:r>
            <w:r>
              <w:rPr>
                <w:rFonts w:hint="eastAsia" w:ascii="宋体" w:hAnsi="宋体" w:cs="Times New Roman"/>
                <w:color w:val="000000"/>
                <w:lang w:val="en-US" w:eastAsia="zh-CN"/>
              </w:rPr>
              <w:t>内容，</w:t>
            </w:r>
            <w:r>
              <w:rPr>
                <w:rFonts w:hint="eastAsia" w:ascii="宋体" w:hAnsi="宋体" w:eastAsia="宋体" w:cs="Times New Roman"/>
                <w:color w:val="000000"/>
                <w:lang w:val="en-US" w:eastAsia="zh-CN"/>
              </w:rPr>
              <w:t>方案内容完整详实、充分结合实际情况、科学合理、可行的计</w:t>
            </w:r>
            <w:r>
              <w:rPr>
                <w:rFonts w:hint="eastAsia" w:ascii="宋体" w:hAnsi="宋体" w:cs="Times New Roman"/>
                <w:color w:val="000000"/>
                <w:lang w:val="en-US" w:eastAsia="zh-CN"/>
              </w:rPr>
              <w:t>15</w:t>
            </w:r>
            <w:r>
              <w:rPr>
                <w:rFonts w:hint="eastAsia" w:ascii="宋体" w:hAnsi="宋体" w:eastAsia="宋体" w:cs="Times New Roman"/>
                <w:color w:val="000000"/>
                <w:lang w:val="en-US" w:eastAsia="zh-CN"/>
              </w:rPr>
              <w:t>分；内容有缺漏项的每处扣</w:t>
            </w:r>
            <w:r>
              <w:rPr>
                <w:rFonts w:hint="eastAsia" w:ascii="宋体" w:hAnsi="宋体" w:cs="Times New Roman"/>
                <w:color w:val="000000"/>
                <w:lang w:val="en-US" w:eastAsia="zh-CN"/>
              </w:rPr>
              <w:t>5</w:t>
            </w:r>
            <w:r>
              <w:rPr>
                <w:rFonts w:hint="eastAsia" w:ascii="宋体" w:hAnsi="宋体" w:eastAsia="宋体" w:cs="Times New Roman"/>
                <w:color w:val="000000"/>
                <w:lang w:val="en-US" w:eastAsia="zh-CN"/>
              </w:rPr>
              <w:t>分，不符合要求、有缺陷、欠合理的每处扣</w:t>
            </w:r>
            <w:r>
              <w:rPr>
                <w:rFonts w:hint="eastAsia" w:ascii="宋体" w:hAnsi="宋体" w:cs="Times New Roman"/>
                <w:color w:val="000000"/>
                <w:lang w:val="en-US" w:eastAsia="zh-CN"/>
              </w:rPr>
              <w:t>3</w:t>
            </w:r>
            <w:r>
              <w:rPr>
                <w:rFonts w:hint="eastAsia" w:ascii="宋体" w:hAnsi="宋体" w:eastAsia="宋体" w:cs="Times New Roman"/>
                <w:color w:val="000000"/>
                <w:lang w:val="en-US" w:eastAsia="zh-CN"/>
              </w:rPr>
              <w:t>分，扣完为止；未提供的不计分。（不符合要求、有缺陷、欠合理是指：非专门针对本项目或不适用项目的情形、阐述不明确、内容不完整或缺少关键节点、内容逻辑混乱、套用其他项目方案、内容前后矛盾、前后内容无法连贯、涉及的规范及标准错误、不利于项目实施、不可能实现的情形等任意一种情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2160" w:type="dxa"/>
            <w:vMerge w:val="continue"/>
            <w:tcBorders>
              <w:lef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1545" w:type="dxa"/>
            <w:noWrap w:val="0"/>
            <w:vAlign w:val="center"/>
          </w:tcPr>
          <w:p>
            <w:pPr>
              <w:rPr>
                <w:rFonts w:hint="default" w:ascii="宋体" w:hAnsi="宋体" w:eastAsia="宋体" w:cs="Times New Roman"/>
                <w:color w:val="000000"/>
                <w:lang w:val="en-US" w:eastAsia="zh-CN"/>
              </w:rPr>
            </w:pPr>
            <w:r>
              <w:rPr>
                <w:rFonts w:hint="eastAsia" w:ascii="宋体" w:hAnsi="宋体" w:eastAsia="宋体" w:cs="Times New Roman"/>
                <w:color w:val="000000"/>
                <w:lang w:val="en-US" w:eastAsia="zh-CN"/>
              </w:rPr>
              <w:t>售后方案（40</w:t>
            </w:r>
            <w:r>
              <w:rPr>
                <w:rFonts w:hint="eastAsia" w:ascii="宋体" w:hAnsi="宋体"/>
                <w:color w:val="auto"/>
                <w:sz w:val="18"/>
                <w:szCs w:val="18"/>
              </w:rPr>
              <w:t>分</w:t>
            </w:r>
            <w:r>
              <w:rPr>
                <w:rFonts w:hint="eastAsia" w:ascii="宋体" w:hAnsi="宋体" w:eastAsia="宋体" w:cs="Times New Roman"/>
                <w:color w:val="000000"/>
                <w:lang w:val="en-US" w:eastAsia="zh-CN"/>
              </w:rPr>
              <w:t>）</w:t>
            </w:r>
          </w:p>
        </w:tc>
        <w:tc>
          <w:tcPr>
            <w:tcW w:w="4732" w:type="dxa"/>
            <w:noWrap w:val="0"/>
            <w:vAlign w:val="center"/>
          </w:tcPr>
          <w:p>
            <w:pPr>
              <w:rPr>
                <w:rFonts w:hint="eastAsia" w:ascii="宋体" w:hAnsi="宋体" w:eastAsia="宋体" w:cs="Times New Roman"/>
                <w:color w:val="000000"/>
                <w:lang w:val="zh-TW" w:eastAsia="zh-CN"/>
              </w:rPr>
            </w:pPr>
            <w:r>
              <w:rPr>
                <w:rFonts w:hint="eastAsia"/>
                <w:lang w:val="en-US" w:eastAsia="zh-CN"/>
              </w:rPr>
              <w:t>投标人针对本项目制定的售后服务方案，</w:t>
            </w:r>
            <w:r>
              <w:rPr>
                <w:rFonts w:hint="eastAsia" w:ascii="宋体" w:hAnsi="宋体" w:eastAsia="宋体" w:cs="Times New Roman"/>
                <w:color w:val="000000"/>
                <w:lang w:val="en-US" w:eastAsia="zh-CN"/>
              </w:rPr>
              <w:t>包括但不限于：</w:t>
            </w:r>
            <w:r>
              <w:rPr>
                <w:rFonts w:hint="default" w:ascii="宋体" w:hAnsi="宋体" w:eastAsia="宋体" w:cs="宋体"/>
                <w:bCs w:val="0"/>
                <w:iCs w:val="0"/>
                <w:color w:val="auto"/>
                <w:spacing w:val="0"/>
                <w:w w:val="100"/>
                <w:kern w:val="0"/>
                <w:sz w:val="21"/>
                <w:szCs w:val="21"/>
                <w:lang w:val="en-US" w:eastAsia="zh-CN" w:bidi="ar-SA"/>
              </w:rPr>
              <w:t>①</w:t>
            </w:r>
            <w:r>
              <w:rPr>
                <w:rFonts w:hint="eastAsia"/>
                <w:lang w:val="en-US" w:eastAsia="zh-CN"/>
              </w:rPr>
              <w:t>服务响应时间、</w:t>
            </w:r>
            <w:r>
              <w:rPr>
                <w:rFonts w:hint="default" w:ascii="宋体" w:hAnsi="宋体" w:eastAsia="宋体" w:cs="宋体"/>
                <w:bCs w:val="0"/>
                <w:iCs w:val="0"/>
                <w:color w:val="auto"/>
                <w:spacing w:val="0"/>
                <w:w w:val="100"/>
                <w:kern w:val="0"/>
                <w:sz w:val="21"/>
                <w:szCs w:val="21"/>
                <w:lang w:val="en-US" w:eastAsia="zh-CN" w:bidi="ar-SA"/>
              </w:rPr>
              <w:t>②</w:t>
            </w:r>
            <w:r>
              <w:rPr>
                <w:rFonts w:hint="eastAsia"/>
                <w:lang w:val="en-US" w:eastAsia="zh-CN"/>
              </w:rPr>
              <w:t>售后服务团队的配置、</w:t>
            </w:r>
            <w:r>
              <w:rPr>
                <w:rFonts w:hint="default" w:ascii="宋体" w:hAnsi="宋体" w:eastAsia="宋体" w:cs="宋体"/>
                <w:bCs w:val="0"/>
                <w:iCs w:val="0"/>
                <w:color w:val="auto"/>
                <w:spacing w:val="0"/>
                <w:w w:val="100"/>
                <w:kern w:val="0"/>
                <w:sz w:val="21"/>
                <w:szCs w:val="21"/>
                <w:lang w:val="en-US" w:eastAsia="zh-CN" w:bidi="ar-SA"/>
              </w:rPr>
              <w:t>③</w:t>
            </w:r>
            <w:r>
              <w:rPr>
                <w:rFonts w:hint="eastAsia"/>
                <w:lang w:val="en-US" w:eastAsia="zh-CN"/>
              </w:rPr>
              <w:t>服务流程（满足采购人调换、增补需求）、</w:t>
            </w:r>
            <w:r>
              <w:rPr>
                <w:rFonts w:hint="eastAsia" w:ascii="宋体" w:hAnsi="宋体" w:eastAsia="宋体" w:cs="宋体"/>
                <w:color w:val="auto"/>
                <w:kern w:val="2"/>
                <w:sz w:val="21"/>
                <w:szCs w:val="21"/>
                <w:lang w:val="en-US" w:eastAsia="zh-CN" w:bidi="ar-SA"/>
              </w:rPr>
              <w:t>④</w:t>
            </w:r>
            <w:r>
              <w:rPr>
                <w:rFonts w:hint="eastAsia"/>
                <w:lang w:val="en-US" w:eastAsia="zh-CN"/>
              </w:rPr>
              <w:t>现场服务保障等内容。方案内容完整详实、充分结合实际情况、合理可行的计40分；内容有缺漏项的每处扣10分，</w:t>
            </w:r>
            <w:r>
              <w:rPr>
                <w:rFonts w:hint="eastAsia" w:ascii="宋体" w:hAnsi="宋体" w:eastAsia="宋体" w:cs="Times New Roman"/>
                <w:color w:val="000000"/>
                <w:lang w:val="en-US" w:eastAsia="zh-CN"/>
              </w:rPr>
              <w:t>不符合要求、有缺陷、欠合理的每处扣4分，扣完为止；未提供的不计分。（不符合要求、有缺陷、欠合理是指：非专门针对本项目或不适用项目的情形、阐述不明确、内容不完整或缺少关键节点、内容逻辑混乱、套用其他项目方案、内容前后矛盾、前后内容无法连贯、涉及的规范及标准错误、不利于项目实施、不可能实现的情形等任意一种情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2160" w:type="dxa"/>
            <w:vMerge w:val="continue"/>
            <w:tcBorders>
              <w:lef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1545" w:type="dxa"/>
            <w:noWrap w:val="0"/>
            <w:vAlign w:val="center"/>
          </w:tcPr>
          <w:p>
            <w:pPr>
              <w:spacing w:line="360" w:lineRule="auto"/>
              <w:ind w:firstLine="210" w:firstLineChars="100"/>
              <w:jc w:val="left"/>
              <w:rPr>
                <w:rFonts w:ascii="宋体" w:hAnsi="宋体" w:cs="宋体"/>
                <w:color w:val="auto"/>
                <w:sz w:val="18"/>
                <w:szCs w:val="18"/>
              </w:rPr>
            </w:pPr>
            <w:r>
              <w:rPr>
                <w:rFonts w:hint="eastAsia" w:ascii="宋体" w:hAnsi="宋体" w:eastAsia="宋体" w:cs="Times New Roman"/>
                <w:color w:val="000000"/>
                <w:lang w:val="en-US" w:eastAsia="zh-CN"/>
              </w:rPr>
              <w:t>供货方案（</w:t>
            </w:r>
            <w:r>
              <w:rPr>
                <w:rFonts w:hint="eastAsia" w:ascii="宋体" w:hAnsi="宋体" w:cs="Times New Roman"/>
                <w:color w:val="000000"/>
                <w:lang w:val="en-US" w:eastAsia="zh-CN"/>
              </w:rPr>
              <w:t>15</w:t>
            </w:r>
            <w:r>
              <w:rPr>
                <w:rFonts w:hint="eastAsia" w:ascii="宋体" w:hAnsi="宋体"/>
                <w:color w:val="auto"/>
                <w:sz w:val="18"/>
                <w:szCs w:val="18"/>
              </w:rPr>
              <w:t>分</w:t>
            </w:r>
            <w:r>
              <w:rPr>
                <w:rFonts w:hint="eastAsia" w:ascii="宋体" w:hAnsi="宋体" w:eastAsia="宋体" w:cs="Times New Roman"/>
                <w:color w:val="000000"/>
                <w:lang w:val="en-US" w:eastAsia="zh-CN"/>
              </w:rPr>
              <w:t>）</w:t>
            </w:r>
          </w:p>
        </w:tc>
        <w:tc>
          <w:tcPr>
            <w:tcW w:w="4732" w:type="dxa"/>
            <w:noWrap w:val="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color w:val="auto"/>
                <w:sz w:val="18"/>
                <w:szCs w:val="18"/>
              </w:rPr>
            </w:pPr>
            <w:r>
              <w:rPr>
                <w:rFonts w:hint="eastAsia" w:ascii="宋体" w:hAnsi="宋体" w:eastAsia="宋体" w:cs="Times New Roman"/>
                <w:color w:val="000000"/>
                <w:lang w:val="zh-TW" w:eastAsia="zh-TW"/>
              </w:rPr>
              <w:t>投标人提供本项目</w:t>
            </w:r>
            <w:r>
              <w:rPr>
                <w:rFonts w:hint="eastAsia" w:ascii="宋体" w:hAnsi="宋体" w:cs="Times New Roman"/>
                <w:color w:val="000000"/>
                <w:lang w:val="en-US" w:eastAsia="zh-CN"/>
              </w:rPr>
              <w:t>制作</w:t>
            </w:r>
            <w:r>
              <w:rPr>
                <w:rFonts w:hint="eastAsia" w:ascii="宋体" w:hAnsi="宋体" w:eastAsia="宋体" w:cs="Times New Roman"/>
                <w:color w:val="000000"/>
                <w:lang w:val="zh-TW" w:eastAsia="zh-TW"/>
              </w:rPr>
              <w:t>供货方案</w:t>
            </w:r>
            <w:r>
              <w:rPr>
                <w:rFonts w:hint="eastAsia" w:ascii="宋体" w:hAnsi="宋体" w:eastAsia="宋体" w:cs="Times New Roman"/>
                <w:color w:val="000000"/>
                <w:lang w:val="zh-TW" w:eastAsia="zh-CN"/>
              </w:rPr>
              <w:t>，</w:t>
            </w:r>
            <w:r>
              <w:rPr>
                <w:rFonts w:hint="eastAsia" w:ascii="宋体" w:hAnsi="宋体" w:eastAsia="宋体" w:cs="Times New Roman"/>
                <w:color w:val="000000"/>
                <w:lang w:val="zh-TW" w:eastAsia="zh-TW"/>
              </w:rPr>
              <w:t>包括但不限于：</w:t>
            </w:r>
            <w:r>
              <w:rPr>
                <w:rFonts w:hint="default" w:ascii="宋体" w:hAnsi="宋体" w:eastAsia="宋体" w:cs="宋体"/>
                <w:bCs w:val="0"/>
                <w:iCs w:val="0"/>
                <w:color w:val="auto"/>
                <w:spacing w:val="0"/>
                <w:w w:val="100"/>
                <w:kern w:val="0"/>
                <w:sz w:val="21"/>
                <w:szCs w:val="21"/>
                <w:lang w:val="en-US" w:eastAsia="zh-CN" w:bidi="ar-SA"/>
              </w:rPr>
              <w:t>①</w:t>
            </w:r>
            <w:r>
              <w:rPr>
                <w:rFonts w:hint="eastAsia" w:ascii="宋体" w:hAnsi="宋体" w:eastAsia="宋体" w:cs="Times New Roman"/>
                <w:color w:val="000000"/>
                <w:lang w:val="zh-TW" w:eastAsia="zh-TW"/>
              </w:rPr>
              <w:t>供货时间</w:t>
            </w:r>
            <w:r>
              <w:rPr>
                <w:rFonts w:hint="eastAsia" w:ascii="宋体" w:hAnsi="宋体" w:cs="Times New Roman"/>
                <w:color w:val="000000"/>
                <w:lang w:val="en-US" w:eastAsia="zh-CN"/>
              </w:rPr>
              <w:t>及</w:t>
            </w:r>
            <w:r>
              <w:rPr>
                <w:rFonts w:hint="eastAsia" w:ascii="宋体" w:hAnsi="宋体" w:eastAsia="宋体" w:cs="Times New Roman"/>
                <w:color w:val="000000"/>
                <w:lang w:val="zh-TW" w:eastAsia="zh-CN"/>
              </w:rPr>
              <w:t>配送车辆</w:t>
            </w:r>
            <w:r>
              <w:rPr>
                <w:rFonts w:hint="eastAsia" w:ascii="宋体" w:hAnsi="宋体" w:eastAsia="宋体" w:cs="Times New Roman"/>
                <w:color w:val="000000"/>
                <w:lang w:val="zh-TW" w:eastAsia="zh-TW"/>
              </w:rPr>
              <w:t>安排、</w:t>
            </w:r>
            <w:r>
              <w:rPr>
                <w:rFonts w:hint="default" w:ascii="宋体" w:hAnsi="宋体" w:eastAsia="宋体" w:cs="宋体"/>
                <w:bCs w:val="0"/>
                <w:iCs w:val="0"/>
                <w:color w:val="auto"/>
                <w:spacing w:val="0"/>
                <w:w w:val="100"/>
                <w:kern w:val="0"/>
                <w:sz w:val="21"/>
                <w:szCs w:val="21"/>
                <w:lang w:val="en-US" w:eastAsia="zh-CN" w:bidi="ar-SA"/>
              </w:rPr>
              <w:t>②</w:t>
            </w:r>
            <w:r>
              <w:rPr>
                <w:rFonts w:hint="eastAsia" w:ascii="宋体" w:hAnsi="宋体" w:eastAsia="宋体" w:cs="Times New Roman"/>
                <w:color w:val="000000"/>
                <w:lang w:val="zh-TW" w:eastAsia="zh-CN"/>
              </w:rPr>
              <w:t>、</w:t>
            </w:r>
            <w:bookmarkStart w:id="777" w:name="OLE_LINK4"/>
            <w:r>
              <w:rPr>
                <w:rFonts w:hint="eastAsia"/>
              </w:rPr>
              <w:t>产品紧急供货处理预案</w:t>
            </w:r>
            <w:r>
              <w:rPr>
                <w:rFonts w:hint="eastAsia"/>
                <w:lang w:eastAsia="zh-CN"/>
              </w:rPr>
              <w:t>、</w:t>
            </w:r>
            <w:r>
              <w:rPr>
                <w:rFonts w:hint="default" w:ascii="宋体" w:hAnsi="宋体" w:eastAsia="宋体" w:cs="宋体"/>
                <w:bCs w:val="0"/>
                <w:iCs w:val="0"/>
                <w:color w:val="auto"/>
                <w:spacing w:val="0"/>
                <w:w w:val="100"/>
                <w:kern w:val="0"/>
                <w:sz w:val="21"/>
                <w:szCs w:val="21"/>
                <w:lang w:val="en-US" w:eastAsia="zh-CN" w:bidi="ar-SA"/>
              </w:rPr>
              <w:t>③</w:t>
            </w:r>
            <w:bookmarkEnd w:id="777"/>
            <w:r>
              <w:rPr>
                <w:rFonts w:hint="eastAsia" w:ascii="宋体" w:hAnsi="宋体" w:eastAsia="宋体" w:cs="Times New Roman"/>
                <w:color w:val="000000"/>
                <w:lang w:val="zh-TW" w:eastAsia="zh-CN"/>
              </w:rPr>
              <w:t>供货配送流程</w:t>
            </w:r>
            <w:r>
              <w:rPr>
                <w:rFonts w:hint="eastAsia" w:ascii="宋体" w:hAnsi="宋体" w:eastAsia="宋体" w:cs="Times New Roman"/>
                <w:color w:val="000000"/>
                <w:lang w:val="zh-TW" w:eastAsia="zh-TW"/>
              </w:rPr>
              <w:t>等</w:t>
            </w:r>
            <w:r>
              <w:rPr>
                <w:rFonts w:hint="eastAsia" w:ascii="宋体" w:hAnsi="宋体" w:cs="Times New Roman"/>
                <w:color w:val="000000"/>
                <w:lang w:val="en-US" w:eastAsia="zh-CN"/>
              </w:rPr>
              <w:t>内容</w:t>
            </w:r>
            <w:r>
              <w:rPr>
                <w:rFonts w:hint="eastAsia" w:ascii="宋体" w:hAnsi="宋体" w:eastAsia="宋体" w:cs="Times New Roman"/>
                <w:color w:val="000000"/>
                <w:lang w:val="zh-TW" w:eastAsia="zh-TW"/>
              </w:rPr>
              <w:t>，方案内容完善、供货</w:t>
            </w:r>
            <w:r>
              <w:rPr>
                <w:rFonts w:hint="eastAsia" w:ascii="宋体" w:hAnsi="宋体" w:eastAsia="宋体" w:cs="Times New Roman"/>
                <w:color w:val="000000"/>
                <w:lang w:val="zh-TW" w:eastAsia="zh-CN"/>
              </w:rPr>
              <w:t>方案</w:t>
            </w:r>
            <w:r>
              <w:rPr>
                <w:rFonts w:hint="eastAsia" w:ascii="宋体" w:hAnsi="宋体" w:eastAsia="宋体" w:cs="Times New Roman"/>
                <w:color w:val="000000"/>
                <w:lang w:val="zh-TW" w:eastAsia="zh-TW"/>
              </w:rPr>
              <w:t>的合理以及配送流程的科学</w:t>
            </w:r>
            <w:r>
              <w:rPr>
                <w:rFonts w:hint="eastAsia" w:ascii="宋体" w:hAnsi="宋体" w:eastAsia="宋体" w:cs="Times New Roman"/>
                <w:color w:val="000000"/>
                <w:lang w:val="zh-TW" w:eastAsia="zh-CN"/>
              </w:rPr>
              <w:t>的</w:t>
            </w:r>
            <w:r>
              <w:rPr>
                <w:rFonts w:hint="eastAsia" w:ascii="宋体" w:hAnsi="宋体" w:eastAsia="宋体" w:cs="Times New Roman"/>
                <w:color w:val="000000"/>
                <w:lang w:val="en-US" w:eastAsia="zh-CN"/>
              </w:rPr>
              <w:t>计</w:t>
            </w:r>
            <w:r>
              <w:rPr>
                <w:rFonts w:hint="eastAsia" w:ascii="宋体" w:hAnsi="宋体" w:cs="Times New Roman"/>
                <w:color w:val="000000"/>
                <w:lang w:val="en-US" w:eastAsia="zh-CN"/>
              </w:rPr>
              <w:t>15</w:t>
            </w:r>
            <w:r>
              <w:rPr>
                <w:rFonts w:hint="eastAsia" w:ascii="宋体" w:hAnsi="宋体" w:eastAsia="宋体" w:cs="Times New Roman"/>
                <w:color w:val="000000"/>
                <w:lang w:val="en-US" w:eastAsia="zh-CN"/>
              </w:rPr>
              <w:t>分；内容有缺漏项的每处扣</w:t>
            </w:r>
            <w:r>
              <w:rPr>
                <w:rFonts w:hint="eastAsia" w:ascii="宋体" w:hAnsi="宋体" w:cs="Times New Roman"/>
                <w:color w:val="000000"/>
                <w:lang w:val="en-US" w:eastAsia="zh-CN"/>
              </w:rPr>
              <w:t>5</w:t>
            </w:r>
            <w:r>
              <w:rPr>
                <w:rFonts w:hint="eastAsia" w:ascii="宋体" w:hAnsi="宋体" w:eastAsia="宋体" w:cs="Times New Roman"/>
                <w:color w:val="000000"/>
                <w:lang w:val="en-US" w:eastAsia="zh-CN"/>
              </w:rPr>
              <w:t>分，不符合要求、有缺陷、欠合理的每处扣</w:t>
            </w:r>
            <w:r>
              <w:rPr>
                <w:rFonts w:hint="eastAsia" w:ascii="宋体" w:hAnsi="宋体" w:cs="Times New Roman"/>
                <w:color w:val="000000"/>
                <w:lang w:val="en-US" w:eastAsia="zh-CN"/>
              </w:rPr>
              <w:t>3</w:t>
            </w:r>
            <w:r>
              <w:rPr>
                <w:rFonts w:hint="eastAsia" w:ascii="宋体" w:hAnsi="宋体" w:eastAsia="宋体" w:cs="Times New Roman"/>
                <w:color w:val="000000"/>
                <w:lang w:val="en-US" w:eastAsia="zh-CN"/>
              </w:rPr>
              <w:t>分，扣完为止；未提供的不计分。（不符合要求、有缺陷、欠合理是指：非专门针对本项目或不适用项目的情形、阐述不明确、内容不完整或缺少关键节点、内容逻辑混乱、套用其他项目方案、内容前后矛盾、前后内容无法连贯、涉及的规范及标准错误、不利于项目实施、不可能实现的情形等任意一种情形。）</w:t>
            </w:r>
          </w:p>
        </w:tc>
      </w:tr>
      <w:bookmarkEnd w:id="776"/>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r>
              <w:rPr>
                <w:rFonts w:hint="eastAsia" w:ascii="宋体" w:hAnsi="宋体"/>
                <w:color w:val="auto"/>
                <w:sz w:val="18"/>
                <w:szCs w:val="18"/>
              </w:rPr>
              <w:t>2</w:t>
            </w:r>
          </w:p>
        </w:tc>
        <w:tc>
          <w:tcPr>
            <w:tcW w:w="2160" w:type="dxa"/>
            <w:tcBorders>
              <w:lef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优先采购加分（F</w:t>
            </w:r>
            <w:r>
              <w:rPr>
                <w:rFonts w:hint="eastAsia" w:ascii="宋体" w:hAnsi="宋体"/>
                <w:color w:val="auto"/>
                <w:sz w:val="18"/>
                <w:szCs w:val="18"/>
                <w:vertAlign w:val="subscript"/>
              </w:rPr>
              <w:t>优先采购加分</w:t>
            </w:r>
            <w:r>
              <w:rPr>
                <w:rFonts w:hint="eastAsia" w:ascii="宋体" w:hAnsi="宋体"/>
                <w:color w:val="auto"/>
                <w:sz w:val="18"/>
                <w:szCs w:val="18"/>
              </w:rPr>
              <w:t>）</w:t>
            </w:r>
          </w:p>
        </w:tc>
        <w:tc>
          <w:tcPr>
            <w:tcW w:w="6277" w:type="dxa"/>
            <w:gridSpan w:val="2"/>
            <w:tcBorders>
              <w:bottom w:val="single" w:color="auto" w:sz="4" w:space="0"/>
            </w:tcBorders>
            <w:noWrap w:val="0"/>
            <w:vAlign w:val="center"/>
          </w:tcPr>
          <w:p>
            <w:pPr>
              <w:pStyle w:val="66"/>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textAlignment w:val="auto"/>
              <w:rPr>
                <w:rFonts w:hint="eastAsia" w:ascii="Times New Roman" w:hAnsi="Times New Roman" w:eastAsia="宋体" w:cs="Times New Roman"/>
                <w:kern w:val="2"/>
                <w:sz w:val="21"/>
                <w:lang w:val="en-US" w:eastAsia="zh-CN" w:bidi="ar-SA"/>
              </w:rPr>
            </w:pPr>
            <w:r>
              <w:rPr>
                <w:rFonts w:hint="eastAsia" w:ascii="Times New Roman" w:hAnsi="Times New Roman" w:eastAsia="宋体" w:cs="Times New Roman"/>
                <w:kern w:val="2"/>
                <w:sz w:val="21"/>
                <w:lang w:val="en-US" w:eastAsia="zh-CN" w:bidi="ar-SA"/>
              </w:rPr>
              <w:t>（1）拟投本项目用材为《节能产品政府采购清单》(最新)内非标记★符号的，给予技术项标准总分值4%-8%的加分。本项目具体加分比例为 ：技术4  %。</w:t>
            </w:r>
          </w:p>
          <w:p>
            <w:pPr>
              <w:pStyle w:val="66"/>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textAlignment w:val="auto"/>
              <w:rPr>
                <w:rFonts w:hint="eastAsia" w:ascii="Times New Roman" w:hAnsi="Times New Roman" w:eastAsia="宋体" w:cs="Times New Roman"/>
                <w:kern w:val="2"/>
                <w:sz w:val="21"/>
                <w:lang w:val="en-US" w:eastAsia="zh-CN" w:bidi="ar-SA"/>
              </w:rPr>
            </w:pPr>
            <w:r>
              <w:rPr>
                <w:rFonts w:hint="eastAsia" w:ascii="Times New Roman" w:hAnsi="Times New Roman" w:eastAsia="宋体" w:cs="Times New Roman"/>
                <w:kern w:val="2"/>
                <w:sz w:val="21"/>
                <w:lang w:val="en-US" w:eastAsia="zh-CN" w:bidi="ar-SA"/>
              </w:rPr>
              <w:t>（2）拟投本项目用材为《环境标志产品政府采购清单》(最新期)内的，给予技术项标准总分值4%-8%的加分。本项目具体加分比例为 ：技术 4  %。</w:t>
            </w:r>
          </w:p>
          <w:p>
            <w:pPr>
              <w:pStyle w:val="66"/>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textAlignment w:val="auto"/>
              <w:rPr>
                <w:rFonts w:ascii="宋体" w:hAnsi="宋体"/>
                <w:color w:val="auto"/>
                <w:sz w:val="18"/>
                <w:szCs w:val="18"/>
              </w:rPr>
            </w:pPr>
            <w:r>
              <w:rPr>
                <w:rFonts w:hint="eastAsia" w:ascii="Times New Roman" w:hAnsi="Times New Roman" w:eastAsia="宋体" w:cs="Times New Roman"/>
                <w:kern w:val="2"/>
                <w:sz w:val="21"/>
                <w:lang w:val="en-US" w:eastAsia="zh-CN" w:bidi="ar-SA"/>
              </w:rPr>
              <w:t>注：同时属于“节能产品”、“环境标志产品”及“两型产品”中的，取其中一项享受技术优惠加分。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w:t>
            </w:r>
          </w:p>
        </w:tc>
        <w:tc>
          <w:tcPr>
            <w:tcW w:w="8437" w:type="dxa"/>
            <w:gridSpan w:val="3"/>
            <w:tcBorders>
              <w:left w:val="single" w:color="auto" w:sz="4" w:space="0"/>
            </w:tcBorders>
            <w:noWrap w:val="0"/>
            <w:vAlign w:val="center"/>
          </w:tcPr>
          <w:p>
            <w:pPr>
              <w:adjustRightInd w:val="0"/>
              <w:snapToGrid w:val="0"/>
              <w:rPr>
                <w:rFonts w:ascii="宋体" w:hAnsi="宋体"/>
                <w:color w:val="auto"/>
                <w:sz w:val="18"/>
                <w:szCs w:val="18"/>
              </w:rPr>
            </w:pPr>
            <w:r>
              <w:rPr>
                <w:rFonts w:hint="eastAsia" w:ascii="宋体" w:hAnsi="宋体"/>
                <w:color w:val="auto"/>
                <w:sz w:val="18"/>
                <w:szCs w:val="18"/>
              </w:rPr>
              <w:t>F</w:t>
            </w:r>
            <w:r>
              <w:rPr>
                <w:rFonts w:ascii="宋体" w:hAnsi="宋体"/>
                <w:color w:val="auto"/>
                <w:sz w:val="18"/>
                <w:szCs w:val="18"/>
                <w:vertAlign w:val="subscript"/>
              </w:rPr>
              <w:t>2</w:t>
            </w:r>
            <w:r>
              <w:rPr>
                <w:rFonts w:hint="eastAsia" w:ascii="宋体" w:hAnsi="宋体"/>
                <w:color w:val="auto"/>
                <w:sz w:val="18"/>
                <w:szCs w:val="18"/>
              </w:rPr>
              <w:t>=F+</w:t>
            </w:r>
            <w:r>
              <w:rPr>
                <w:rFonts w:hint="eastAsia"/>
                <w:color w:val="auto"/>
                <w:sz w:val="18"/>
                <w:szCs w:val="18"/>
              </w:rPr>
              <w:t xml:space="preserve"> </w:t>
            </w:r>
            <w:r>
              <w:rPr>
                <w:rFonts w:hint="eastAsia" w:ascii="宋体" w:hAnsi="宋体"/>
                <w:color w:val="auto"/>
                <w:sz w:val="18"/>
                <w:szCs w:val="18"/>
              </w:rPr>
              <w:t>F</w:t>
            </w:r>
            <w:r>
              <w:rPr>
                <w:rFonts w:hint="eastAsia" w:ascii="宋体" w:hAnsi="宋体"/>
                <w:color w:val="auto"/>
                <w:sz w:val="18"/>
                <w:szCs w:val="18"/>
                <w:vertAlign w:val="subscript"/>
              </w:rPr>
              <w:t>优先采购加分</w:t>
            </w:r>
          </w:p>
        </w:tc>
      </w:tr>
    </w:tbl>
    <w:p>
      <w:pPr>
        <w:adjustRightInd w:val="0"/>
        <w:snapToGrid w:val="0"/>
        <w:spacing w:before="156" w:beforeLines="50" w:line="360" w:lineRule="auto"/>
        <w:jc w:val="center"/>
        <w:rPr>
          <w:rFonts w:hint="eastAsia"/>
          <w:b/>
          <w:bCs/>
          <w:color w:val="auto"/>
        </w:rPr>
      </w:pPr>
    </w:p>
    <w:p>
      <w:pPr>
        <w:adjustRightInd w:val="0"/>
        <w:snapToGrid w:val="0"/>
        <w:spacing w:before="156" w:beforeLines="50" w:line="360" w:lineRule="auto"/>
        <w:jc w:val="center"/>
        <w:rPr>
          <w:rFonts w:hint="eastAsia"/>
          <w:b/>
          <w:bCs/>
          <w:color w:val="auto"/>
        </w:rPr>
      </w:pPr>
    </w:p>
    <w:p>
      <w:pPr>
        <w:rPr>
          <w:rFonts w:hint="eastAsia"/>
          <w:b/>
          <w:bCs/>
          <w:color w:val="auto"/>
        </w:rPr>
      </w:pPr>
      <w:r>
        <w:rPr>
          <w:rFonts w:hint="eastAsia"/>
          <w:b/>
          <w:bCs/>
          <w:color w:val="auto"/>
        </w:rPr>
        <w:br w:type="page"/>
      </w:r>
    </w:p>
    <w:p>
      <w:pPr>
        <w:adjustRightInd w:val="0"/>
        <w:snapToGrid w:val="0"/>
        <w:spacing w:before="156" w:beforeLines="50" w:line="360" w:lineRule="auto"/>
        <w:jc w:val="center"/>
        <w:rPr>
          <w:b/>
          <w:bCs/>
          <w:color w:val="auto"/>
        </w:rPr>
      </w:pPr>
      <w:r>
        <w:rPr>
          <w:rFonts w:hint="eastAsia"/>
          <w:b/>
          <w:bCs/>
          <w:color w:val="auto"/>
        </w:rPr>
        <w:t>附表1.3商务部分评审标准表</w:t>
      </w:r>
    </w:p>
    <w:tbl>
      <w:tblPr>
        <w:tblStyle w:val="48"/>
        <w:tblW w:w="8985"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77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序号</w:t>
            </w:r>
          </w:p>
        </w:tc>
        <w:tc>
          <w:tcPr>
            <w:tcW w:w="2160" w:type="dxa"/>
            <w:tcBorders>
              <w:left w:val="single" w:color="auto" w:sz="4" w:space="0"/>
              <w:righ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评标因素（分值）</w:t>
            </w:r>
          </w:p>
        </w:tc>
        <w:tc>
          <w:tcPr>
            <w:tcW w:w="6322" w:type="dxa"/>
            <w:gridSpan w:val="2"/>
            <w:tcBorders>
              <w:left w:val="single" w:color="auto" w:sz="4" w:space="0"/>
            </w:tcBorders>
            <w:noWrap w:val="0"/>
            <w:vAlign w:val="center"/>
          </w:tcPr>
          <w:p>
            <w:pPr>
              <w:adjustRightInd w:val="0"/>
              <w:snapToGrid w:val="0"/>
              <w:jc w:val="center"/>
              <w:rPr>
                <w:rFonts w:ascii="宋体" w:hAnsi="宋体"/>
                <w:b/>
                <w:color w:val="auto"/>
                <w:sz w:val="18"/>
                <w:szCs w:val="18"/>
              </w:rPr>
            </w:pPr>
            <w:r>
              <w:rPr>
                <w:rFonts w:hint="eastAsia" w:ascii="宋体" w:hAnsi="宋体"/>
                <w:b/>
                <w:color w:val="auto"/>
                <w:sz w:val="18"/>
                <w:szCs w:val="18"/>
              </w:rPr>
              <w:t>评标标准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r>
              <w:rPr>
                <w:rFonts w:hint="eastAsia" w:ascii="宋体" w:hAnsi="宋体"/>
                <w:color w:val="auto"/>
                <w:sz w:val="18"/>
                <w:szCs w:val="18"/>
              </w:rPr>
              <w:t>1</w:t>
            </w:r>
          </w:p>
        </w:tc>
        <w:tc>
          <w:tcPr>
            <w:tcW w:w="2160" w:type="dxa"/>
            <w:vMerge w:val="restart"/>
            <w:tcBorders>
              <w:lef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商务评价项</w:t>
            </w:r>
          </w:p>
          <w:p>
            <w:pPr>
              <w:adjustRightInd w:val="0"/>
              <w:snapToGrid w:val="0"/>
              <w:jc w:val="center"/>
              <w:rPr>
                <w:rFonts w:ascii="宋体" w:hAnsi="宋体"/>
                <w:color w:val="auto"/>
                <w:sz w:val="18"/>
                <w:szCs w:val="18"/>
              </w:rPr>
            </w:pPr>
            <w:r>
              <w:rPr>
                <w:rFonts w:hint="eastAsia" w:ascii="宋体" w:hAnsi="宋体"/>
                <w:color w:val="auto"/>
                <w:sz w:val="18"/>
                <w:szCs w:val="18"/>
              </w:rPr>
              <w:t>（F=100分）</w:t>
            </w:r>
          </w:p>
        </w:tc>
        <w:tc>
          <w:tcPr>
            <w:tcW w:w="1545" w:type="dxa"/>
            <w:noWrap w:val="0"/>
            <w:vAlign w:val="center"/>
          </w:tcPr>
          <w:p>
            <w:pPr>
              <w:rPr>
                <w:rFonts w:hint="default" w:eastAsia="宋体"/>
                <w:color w:val="auto"/>
                <w:lang w:val="en-US" w:eastAsia="zh-CN"/>
              </w:rPr>
            </w:pPr>
            <w:r>
              <w:rPr>
                <w:rFonts w:hint="eastAsia"/>
                <w:color w:val="auto"/>
                <w:lang w:val="en-US" w:eastAsia="zh-CN"/>
              </w:rPr>
              <w:t>类似业绩</w:t>
            </w:r>
            <w:r>
              <w:rPr>
                <w:rFonts w:hint="eastAsia" w:ascii="宋体" w:hAnsi="宋体" w:eastAsia="宋体" w:cs="Times New Roman"/>
                <w:color w:val="000000"/>
                <w:lang w:val="en-US" w:eastAsia="zh-CN"/>
              </w:rPr>
              <w:t>（</w:t>
            </w:r>
            <w:r>
              <w:rPr>
                <w:rFonts w:hint="eastAsia" w:ascii="宋体" w:hAnsi="宋体" w:cs="Times New Roman"/>
                <w:color w:val="000000"/>
                <w:lang w:val="en-US" w:eastAsia="zh-CN"/>
              </w:rPr>
              <w:t>30</w:t>
            </w:r>
            <w:r>
              <w:rPr>
                <w:rFonts w:hint="eastAsia" w:ascii="宋体" w:hAnsi="宋体"/>
                <w:color w:val="auto"/>
                <w:sz w:val="18"/>
                <w:szCs w:val="18"/>
              </w:rPr>
              <w:t>分</w:t>
            </w:r>
            <w:r>
              <w:rPr>
                <w:rFonts w:hint="eastAsia" w:ascii="宋体" w:hAnsi="宋体" w:eastAsia="宋体" w:cs="Times New Roman"/>
                <w:color w:val="000000"/>
                <w:lang w:val="en-US" w:eastAsia="zh-CN"/>
              </w:rPr>
              <w:t>）</w:t>
            </w:r>
          </w:p>
        </w:tc>
        <w:tc>
          <w:tcPr>
            <w:tcW w:w="4777" w:type="dxa"/>
            <w:noWrap w:val="0"/>
            <w:vAlign w:val="center"/>
          </w:tcPr>
          <w:p>
            <w:pPr>
              <w:spacing w:line="360" w:lineRule="exact"/>
              <w:rPr>
                <w:rFonts w:hint="default" w:ascii="宋体" w:hAnsi="宋体" w:eastAsia="宋体" w:cs="Times New Roman"/>
                <w:color w:val="000000"/>
                <w:lang w:val="en-US" w:eastAsia="zh-CN"/>
              </w:rPr>
            </w:pPr>
            <w:r>
              <w:rPr>
                <w:rFonts w:hint="eastAsia" w:ascii="宋体" w:hAnsi="宋体" w:eastAsia="宋体" w:cs="Times New Roman"/>
                <w:color w:val="000000"/>
                <w:lang w:val="en-US" w:eastAsia="zh-CN"/>
              </w:rPr>
              <w:t>投标人自202</w:t>
            </w:r>
            <w:r>
              <w:rPr>
                <w:rFonts w:hint="eastAsia" w:ascii="宋体" w:hAnsi="宋体" w:cs="Times New Roman"/>
                <w:color w:val="000000"/>
                <w:lang w:val="en-US" w:eastAsia="zh-CN"/>
              </w:rPr>
              <w:t>3</w:t>
            </w:r>
            <w:r>
              <w:rPr>
                <w:rFonts w:hint="eastAsia" w:ascii="宋体" w:hAnsi="宋体" w:eastAsia="宋体" w:cs="Times New Roman"/>
                <w:color w:val="000000"/>
                <w:lang w:val="en-US" w:eastAsia="zh-CN"/>
              </w:rPr>
              <w:t>年</w:t>
            </w:r>
            <w:r>
              <w:rPr>
                <w:rFonts w:hint="eastAsia" w:ascii="宋体" w:hAnsi="宋体" w:cs="Times New Roman"/>
                <w:color w:val="000000"/>
                <w:lang w:val="en-US" w:eastAsia="zh-CN"/>
              </w:rPr>
              <w:t>1</w:t>
            </w:r>
            <w:r>
              <w:rPr>
                <w:rFonts w:hint="eastAsia" w:ascii="宋体" w:hAnsi="宋体" w:eastAsia="宋体" w:cs="Times New Roman"/>
                <w:color w:val="000000"/>
                <w:lang w:val="en-US" w:eastAsia="zh-CN"/>
              </w:rPr>
              <w:t>月以来（以合同签订时间</w:t>
            </w:r>
            <w:r>
              <w:rPr>
                <w:rFonts w:hint="eastAsia" w:ascii="宋体" w:hAnsi="宋体" w:cs="Times New Roman"/>
                <w:color w:val="000000"/>
                <w:lang w:val="en-US" w:eastAsia="zh-CN"/>
              </w:rPr>
              <w:t>或通知书发放时间</w:t>
            </w:r>
            <w:r>
              <w:rPr>
                <w:rFonts w:hint="eastAsia" w:ascii="宋体" w:hAnsi="宋体" w:eastAsia="宋体" w:cs="Times New Roman"/>
                <w:color w:val="000000"/>
                <w:lang w:val="en-US" w:eastAsia="zh-CN"/>
              </w:rPr>
              <w:t>为准）具</w:t>
            </w:r>
            <w:r>
              <w:rPr>
                <w:rFonts w:hint="eastAsia" w:ascii="宋体" w:hAnsi="宋体" w:eastAsia="宋体" w:cs="Times New Roman"/>
                <w:color w:val="000000"/>
                <w:highlight w:val="none"/>
                <w:lang w:val="en-US" w:eastAsia="zh-CN"/>
              </w:rPr>
              <w:t>有类似</w:t>
            </w:r>
            <w:r>
              <w:rPr>
                <w:rFonts w:hint="eastAsia" w:ascii="宋体" w:hAnsi="宋体" w:cs="Times New Roman"/>
                <w:color w:val="000000"/>
                <w:highlight w:val="none"/>
                <w:lang w:val="en-US" w:eastAsia="zh-CN"/>
              </w:rPr>
              <w:t>药品配送（或销售）</w:t>
            </w:r>
            <w:r>
              <w:rPr>
                <w:rFonts w:hint="eastAsia" w:ascii="宋体" w:hAnsi="宋体" w:eastAsia="宋体" w:cs="Times New Roman"/>
                <w:color w:val="000000"/>
                <w:lang w:val="en-US" w:eastAsia="zh-CN"/>
              </w:rPr>
              <w:t>业绩的每个计</w:t>
            </w:r>
            <w:r>
              <w:rPr>
                <w:rFonts w:hint="eastAsia" w:ascii="宋体" w:hAnsi="宋体" w:cs="Times New Roman"/>
                <w:color w:val="000000"/>
                <w:lang w:val="en-US" w:eastAsia="zh-CN"/>
              </w:rPr>
              <w:t>15</w:t>
            </w:r>
            <w:r>
              <w:rPr>
                <w:rFonts w:hint="eastAsia" w:ascii="宋体" w:hAnsi="宋体" w:eastAsia="宋体" w:cs="Times New Roman"/>
                <w:color w:val="000000"/>
                <w:lang w:val="en-US" w:eastAsia="zh-CN"/>
              </w:rPr>
              <w:t>分，计满</w:t>
            </w:r>
            <w:r>
              <w:rPr>
                <w:rFonts w:hint="eastAsia" w:ascii="宋体" w:hAnsi="宋体" w:cs="Times New Roman"/>
                <w:color w:val="000000"/>
                <w:lang w:val="en-US" w:eastAsia="zh-CN"/>
              </w:rPr>
              <w:t>30</w:t>
            </w:r>
            <w:r>
              <w:rPr>
                <w:rFonts w:hint="eastAsia" w:ascii="宋体" w:hAnsi="宋体" w:eastAsia="宋体" w:cs="Times New Roman"/>
                <w:color w:val="000000"/>
                <w:lang w:val="en-US" w:eastAsia="zh-CN"/>
              </w:rPr>
              <w:t>分为止。</w:t>
            </w:r>
          </w:p>
          <w:p>
            <w:pPr>
              <w:rPr>
                <w:color w:val="auto"/>
              </w:rPr>
            </w:pPr>
            <w:r>
              <w:rPr>
                <w:rFonts w:hint="eastAsia" w:ascii="宋体" w:hAnsi="宋体" w:eastAsia="宋体" w:cs="Times New Roman"/>
                <w:color w:val="000000"/>
                <w:lang w:val="en-US" w:eastAsia="zh-CN"/>
              </w:rPr>
              <w:t>（提供相应的合同扫描件或中标</w:t>
            </w:r>
            <w:r>
              <w:rPr>
                <w:rFonts w:hint="eastAsia" w:ascii="宋体" w:hAnsi="宋体" w:cs="Times New Roman"/>
                <w:color w:val="000000"/>
                <w:lang w:val="en-US" w:eastAsia="zh-CN"/>
              </w:rPr>
              <w:t>（成交）</w:t>
            </w:r>
            <w:r>
              <w:rPr>
                <w:rFonts w:hint="eastAsia" w:ascii="宋体" w:hAnsi="宋体" w:eastAsia="宋体" w:cs="Times New Roman"/>
                <w:color w:val="000000"/>
                <w:lang w:val="en-US" w:eastAsia="zh-CN"/>
              </w:rPr>
              <w:t>通知书扫描件，并加盖投标人公章，未按要求提供不计分。）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2160" w:type="dxa"/>
            <w:vMerge w:val="continue"/>
            <w:tcBorders>
              <w:lef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1545" w:type="dxa"/>
            <w:noWrap w:val="0"/>
            <w:vAlign w:val="center"/>
          </w:tcPr>
          <w:p>
            <w:pPr>
              <w:snapToGrid w:val="0"/>
              <w:spacing w:line="300" w:lineRule="auto"/>
              <w:jc w:val="both"/>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团队配备</w:t>
            </w:r>
          </w:p>
          <w:p>
            <w:pPr>
              <w:snapToGrid w:val="0"/>
              <w:spacing w:line="300" w:lineRule="auto"/>
              <w:jc w:val="both"/>
              <w:rPr>
                <w:color w:val="auto"/>
              </w:rPr>
            </w:pPr>
            <w:r>
              <w:rPr>
                <w:rFonts w:hint="eastAsia" w:ascii="宋体" w:hAnsi="宋体" w:eastAsia="宋体" w:cs="Times New Roman"/>
                <w:color w:val="000000"/>
                <w:lang w:val="en-US" w:eastAsia="zh-CN"/>
              </w:rPr>
              <w:t>（</w:t>
            </w:r>
            <w:r>
              <w:rPr>
                <w:rFonts w:hint="eastAsia" w:ascii="宋体" w:hAnsi="宋体" w:cs="Times New Roman"/>
                <w:color w:val="000000"/>
                <w:lang w:val="en-US" w:eastAsia="zh-CN"/>
              </w:rPr>
              <w:t>10</w:t>
            </w:r>
            <w:r>
              <w:rPr>
                <w:rFonts w:hint="eastAsia" w:ascii="宋体" w:hAnsi="宋体"/>
                <w:color w:val="auto"/>
                <w:sz w:val="18"/>
                <w:szCs w:val="18"/>
              </w:rPr>
              <w:t>分</w:t>
            </w:r>
            <w:r>
              <w:rPr>
                <w:rFonts w:hint="eastAsia" w:ascii="宋体" w:hAnsi="宋体" w:eastAsia="宋体" w:cs="Times New Roman"/>
                <w:color w:val="000000"/>
                <w:lang w:val="en-US" w:eastAsia="zh-CN"/>
              </w:rPr>
              <w:t>）</w:t>
            </w:r>
          </w:p>
        </w:tc>
        <w:tc>
          <w:tcPr>
            <w:tcW w:w="4777" w:type="dxa"/>
            <w:noWrap w:val="0"/>
            <w:vAlign w:val="center"/>
          </w:tcPr>
          <w:p>
            <w:pPr>
              <w:rPr>
                <w:rFonts w:hint="default" w:ascii="宋体" w:hAnsi="宋体" w:eastAsia="宋体" w:cs="Times New Roman"/>
                <w:color w:val="000000"/>
                <w:lang w:val="en-US" w:eastAsia="zh-CN"/>
              </w:rPr>
            </w:pPr>
            <w:r>
              <w:rPr>
                <w:rFonts w:hint="eastAsia" w:ascii="宋体" w:hAnsi="宋体" w:cs="Times New Roman"/>
                <w:color w:val="000000"/>
                <w:lang w:val="en-US" w:eastAsia="zh-CN"/>
              </w:rPr>
              <w:t>投标人为本项目配备的团队中具有执业药师证书的，每提供一个计2.5分，总分10分，未提供不计分。（需提供人员证书并加盖投标人公章、提供人员在投标人单位近三个月任意一个月社保记录）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2160" w:type="dxa"/>
            <w:vMerge w:val="continue"/>
            <w:tcBorders>
              <w:lef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1545" w:type="dxa"/>
            <w:noWrap w:val="0"/>
            <w:vAlign w:val="center"/>
          </w:tcPr>
          <w:p>
            <w:pPr>
              <w:snapToGrid w:val="0"/>
              <w:spacing w:line="300" w:lineRule="auto"/>
              <w:jc w:val="both"/>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响应时间（40分）</w:t>
            </w:r>
          </w:p>
        </w:tc>
        <w:tc>
          <w:tcPr>
            <w:tcW w:w="4777" w:type="dxa"/>
            <w:noWrap w:val="0"/>
            <w:vAlign w:val="center"/>
          </w:tcPr>
          <w:p>
            <w:pPr>
              <w:rPr>
                <w:rFonts w:hint="eastAsia"/>
                <w:lang w:val="en-US" w:eastAsia="zh-CN"/>
              </w:rPr>
            </w:pPr>
            <w:r>
              <w:rPr>
                <w:rFonts w:hint="eastAsia"/>
                <w:lang w:val="en-US" w:eastAsia="zh-CN"/>
              </w:rPr>
              <w:t>投标人承诺在采购人下达采购需求时:</w:t>
            </w:r>
          </w:p>
          <w:p>
            <w:pPr>
              <w:rPr>
                <w:rFonts w:hint="eastAsia"/>
                <w:lang w:val="en-US" w:eastAsia="zh-CN"/>
              </w:rPr>
            </w:pPr>
            <w:r>
              <w:rPr>
                <w:rFonts w:hint="eastAsia"/>
                <w:lang w:val="en-US" w:eastAsia="zh-CN"/>
              </w:rPr>
              <w:t>在1天以内能到达采购人单位的计40分；</w:t>
            </w:r>
          </w:p>
          <w:p>
            <w:pPr>
              <w:rPr>
                <w:rFonts w:hint="eastAsia"/>
                <w:lang w:val="en-US" w:eastAsia="zh-CN"/>
              </w:rPr>
            </w:pPr>
            <w:r>
              <w:rPr>
                <w:rFonts w:hint="eastAsia"/>
                <w:lang w:val="en-US" w:eastAsia="zh-CN"/>
              </w:rPr>
              <w:t>在3天以内能到达采购人单位的计20分；</w:t>
            </w:r>
          </w:p>
          <w:p>
            <w:pPr>
              <w:rPr>
                <w:rFonts w:hint="eastAsia"/>
                <w:lang w:val="en-US" w:eastAsia="zh-CN"/>
              </w:rPr>
            </w:pPr>
            <w:r>
              <w:rPr>
                <w:rFonts w:hint="eastAsia"/>
                <w:lang w:val="en-US" w:eastAsia="zh-CN"/>
              </w:rPr>
              <w:t>在5天以内能到达采购人单位的计10分；</w:t>
            </w:r>
          </w:p>
          <w:p>
            <w:pPr>
              <w:rPr>
                <w:rFonts w:hint="default"/>
                <w:lang w:val="en-US" w:eastAsia="zh-CN"/>
              </w:rPr>
            </w:pPr>
            <w:r>
              <w:rPr>
                <w:rFonts w:hint="eastAsia"/>
                <w:lang w:val="en-US" w:eastAsia="zh-CN"/>
              </w:rPr>
              <w:t>5天以后不计分，未承诺不计分。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2160" w:type="dxa"/>
            <w:vMerge w:val="continue"/>
            <w:tcBorders>
              <w:left w:val="single" w:color="auto" w:sz="4" w:space="0"/>
            </w:tcBorders>
            <w:noWrap w:val="0"/>
            <w:vAlign w:val="center"/>
          </w:tcPr>
          <w:p>
            <w:pPr>
              <w:adjustRightInd w:val="0"/>
              <w:snapToGrid w:val="0"/>
              <w:spacing w:before="156" w:beforeLines="50"/>
              <w:jc w:val="center"/>
              <w:rPr>
                <w:rFonts w:ascii="宋体" w:hAnsi="宋体"/>
                <w:color w:val="auto"/>
                <w:sz w:val="18"/>
                <w:szCs w:val="18"/>
              </w:rPr>
            </w:pPr>
          </w:p>
        </w:tc>
        <w:tc>
          <w:tcPr>
            <w:tcW w:w="1545" w:type="dxa"/>
            <w:noWrap w:val="0"/>
            <w:vAlign w:val="center"/>
          </w:tcPr>
          <w:p>
            <w:pPr>
              <w:snapToGrid w:val="0"/>
              <w:spacing w:line="300" w:lineRule="auto"/>
              <w:jc w:val="both"/>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仓储能力（20分）</w:t>
            </w:r>
          </w:p>
        </w:tc>
        <w:tc>
          <w:tcPr>
            <w:tcW w:w="4777" w:type="dxa"/>
            <w:noWrap w:val="0"/>
            <w:vAlign w:val="center"/>
          </w:tcPr>
          <w:p>
            <w:pPr>
              <w:rPr>
                <w:rFonts w:hint="eastAsia"/>
                <w:lang w:val="en-US" w:eastAsia="zh-CN"/>
              </w:rPr>
            </w:pPr>
            <w:r>
              <w:rPr>
                <w:rFonts w:hint="eastAsia"/>
                <w:lang w:val="en-US" w:eastAsia="zh-CN"/>
              </w:rPr>
              <w:t>投标人仓储面积≥4000平以上的计20分</w:t>
            </w:r>
          </w:p>
          <w:p>
            <w:pPr>
              <w:rPr>
                <w:rFonts w:hint="eastAsia"/>
                <w:lang w:val="en-US" w:eastAsia="zh-CN"/>
              </w:rPr>
            </w:pPr>
            <w:r>
              <w:rPr>
                <w:rFonts w:hint="eastAsia"/>
                <w:lang w:val="en-US" w:eastAsia="zh-CN"/>
              </w:rPr>
              <w:t>投标人仓储面积≥2000平以上的计10分</w:t>
            </w:r>
          </w:p>
          <w:p>
            <w:pPr>
              <w:rPr>
                <w:rFonts w:hint="eastAsia"/>
                <w:lang w:val="en-US" w:eastAsia="zh-CN"/>
              </w:rPr>
            </w:pPr>
            <w:r>
              <w:rPr>
                <w:rFonts w:hint="eastAsia"/>
                <w:lang w:val="en-US" w:eastAsia="zh-CN"/>
              </w:rPr>
              <w:t>投标人仓储面积≤1000平以上的计5分</w:t>
            </w:r>
          </w:p>
          <w:p>
            <w:pPr>
              <w:rPr>
                <w:rFonts w:hint="eastAsia"/>
                <w:lang w:val="en-US" w:eastAsia="zh-CN"/>
              </w:rPr>
            </w:pPr>
            <w:r>
              <w:rPr>
                <w:rFonts w:hint="eastAsia"/>
                <w:lang w:val="en-US" w:eastAsia="zh-CN"/>
              </w:rPr>
              <w:t>投标人仓储面积≤500平或无仓储能力的以上的计0分</w:t>
            </w:r>
          </w:p>
          <w:p>
            <w:pPr>
              <w:rPr>
                <w:rFonts w:hint="default"/>
                <w:lang w:val="en-US" w:eastAsia="zh-CN"/>
              </w:rPr>
            </w:pPr>
            <w:r>
              <w:rPr>
                <w:rFonts w:hint="eastAsia"/>
                <w:lang w:val="en-US" w:eastAsia="zh-CN"/>
              </w:rPr>
              <w:t>（证明资料：自有仓库的需提供产权证明资料及结构图及相关照片，租赁仓库的还需提供租赁合同）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pPr>
              <w:adjustRightInd w:val="0"/>
              <w:snapToGrid w:val="0"/>
              <w:spacing w:before="156" w:beforeLines="50"/>
              <w:jc w:val="center"/>
              <w:rPr>
                <w:rFonts w:ascii="宋体" w:hAnsi="宋体"/>
                <w:color w:val="auto"/>
                <w:sz w:val="18"/>
                <w:szCs w:val="18"/>
              </w:rPr>
            </w:pPr>
            <w:r>
              <w:rPr>
                <w:rFonts w:hint="eastAsia" w:ascii="宋体" w:hAnsi="宋体"/>
                <w:color w:val="auto"/>
                <w:sz w:val="18"/>
                <w:szCs w:val="18"/>
              </w:rPr>
              <w:t>2</w:t>
            </w:r>
          </w:p>
        </w:tc>
        <w:tc>
          <w:tcPr>
            <w:tcW w:w="2160" w:type="dxa"/>
            <w:tcBorders>
              <w:lef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优先采购加分（F</w:t>
            </w:r>
            <w:r>
              <w:rPr>
                <w:rFonts w:hint="eastAsia" w:ascii="宋体" w:hAnsi="宋体"/>
                <w:color w:val="auto"/>
                <w:sz w:val="18"/>
                <w:szCs w:val="18"/>
                <w:vertAlign w:val="subscript"/>
              </w:rPr>
              <w:t>优先采购加分</w:t>
            </w:r>
            <w:r>
              <w:rPr>
                <w:rFonts w:hint="eastAsia" w:ascii="宋体" w:hAnsi="宋体"/>
                <w:color w:val="auto"/>
                <w:sz w:val="18"/>
                <w:szCs w:val="18"/>
              </w:rPr>
              <w:t>）</w:t>
            </w:r>
          </w:p>
        </w:tc>
        <w:tc>
          <w:tcPr>
            <w:tcW w:w="6322" w:type="dxa"/>
            <w:gridSpan w:val="2"/>
            <w:tcBorders>
              <w:bottom w:val="single" w:color="auto" w:sz="4" w:space="0"/>
            </w:tcBorders>
            <w:noWrap w:val="0"/>
            <w:vAlign w:val="center"/>
          </w:tcPr>
          <w:p>
            <w:pPr>
              <w:adjustRightInd w:val="0"/>
              <w:snapToGrid w:val="0"/>
              <w:spacing w:before="156" w:beforeLines="50"/>
              <w:rPr>
                <w:rFonts w:hint="default" w:ascii="宋体" w:hAnsi="宋体"/>
                <w:color w:val="auto"/>
                <w:sz w:val="18"/>
                <w:szCs w:val="18"/>
                <w:lang w:val="en-US"/>
              </w:rPr>
            </w:pPr>
            <w:r>
              <w:rPr>
                <w:rFonts w:hint="eastAsia" w:ascii="Times New Roman" w:hAnsi="Times New Roman" w:eastAsia="宋体" w:cs="Times New Roman"/>
                <w:kern w:val="2"/>
                <w:sz w:val="21"/>
                <w:lang w:val="en-US" w:eastAsia="zh-CN" w:bidi="ar-SA"/>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pPr>
              <w:adjustRightInd w:val="0"/>
              <w:snapToGrid w:val="0"/>
              <w:jc w:val="center"/>
              <w:rPr>
                <w:rFonts w:ascii="宋体" w:hAnsi="宋体"/>
                <w:color w:val="auto"/>
                <w:sz w:val="18"/>
                <w:szCs w:val="18"/>
              </w:rPr>
            </w:pPr>
            <w:r>
              <w:rPr>
                <w:rFonts w:hint="eastAsia" w:ascii="宋体" w:hAnsi="宋体"/>
                <w:color w:val="auto"/>
                <w:sz w:val="18"/>
                <w:szCs w:val="18"/>
              </w:rPr>
              <w:t>∑</w:t>
            </w:r>
          </w:p>
        </w:tc>
        <w:tc>
          <w:tcPr>
            <w:tcW w:w="8482" w:type="dxa"/>
            <w:gridSpan w:val="3"/>
            <w:tcBorders>
              <w:left w:val="single" w:color="auto" w:sz="4" w:space="0"/>
            </w:tcBorders>
            <w:noWrap w:val="0"/>
            <w:vAlign w:val="center"/>
          </w:tcPr>
          <w:p>
            <w:pPr>
              <w:adjustRightInd w:val="0"/>
              <w:snapToGrid w:val="0"/>
              <w:rPr>
                <w:rFonts w:ascii="宋体" w:hAnsi="宋体"/>
                <w:color w:val="auto"/>
                <w:sz w:val="18"/>
                <w:szCs w:val="18"/>
              </w:rPr>
            </w:pPr>
            <w:r>
              <w:rPr>
                <w:rFonts w:hint="eastAsia" w:ascii="宋体" w:hAnsi="宋体"/>
                <w:color w:val="auto"/>
                <w:sz w:val="18"/>
                <w:szCs w:val="18"/>
              </w:rPr>
              <w:t>F</w:t>
            </w:r>
            <w:r>
              <w:rPr>
                <w:rFonts w:hint="eastAsia" w:ascii="宋体" w:hAnsi="宋体"/>
                <w:color w:val="auto"/>
                <w:sz w:val="18"/>
                <w:szCs w:val="18"/>
                <w:vertAlign w:val="subscript"/>
              </w:rPr>
              <w:t>3</w:t>
            </w:r>
            <w:r>
              <w:rPr>
                <w:rFonts w:hint="eastAsia" w:ascii="宋体" w:hAnsi="宋体"/>
                <w:color w:val="auto"/>
                <w:sz w:val="18"/>
                <w:szCs w:val="18"/>
              </w:rPr>
              <w:t>=F+</w:t>
            </w:r>
            <w:r>
              <w:rPr>
                <w:rFonts w:hint="eastAsia"/>
                <w:color w:val="auto"/>
                <w:sz w:val="18"/>
                <w:szCs w:val="18"/>
              </w:rPr>
              <w:t xml:space="preserve"> </w:t>
            </w:r>
            <w:r>
              <w:rPr>
                <w:rFonts w:hint="eastAsia" w:ascii="宋体" w:hAnsi="宋体"/>
                <w:color w:val="auto"/>
                <w:sz w:val="18"/>
                <w:szCs w:val="18"/>
              </w:rPr>
              <w:t>F</w:t>
            </w:r>
            <w:r>
              <w:rPr>
                <w:rFonts w:hint="eastAsia" w:ascii="宋体" w:hAnsi="宋体"/>
                <w:color w:val="auto"/>
                <w:sz w:val="18"/>
                <w:szCs w:val="18"/>
                <w:vertAlign w:val="subscript"/>
              </w:rPr>
              <w:t>优先采购加分</w:t>
            </w:r>
          </w:p>
        </w:tc>
      </w:tr>
    </w:tbl>
    <w:p>
      <w:pPr>
        <w:pStyle w:val="65"/>
        <w:ind w:firstLine="0"/>
        <w:rPr>
          <w:color w:val="auto"/>
          <w:highlight w:val="none"/>
        </w:rPr>
      </w:pPr>
    </w:p>
    <w:p>
      <w:pPr>
        <w:widowControl/>
        <w:jc w:val="left"/>
        <w:rPr>
          <w:rFonts w:ascii="Calibri" w:hAnsi="Calibri"/>
          <w:b/>
          <w:bCs/>
          <w:color w:val="auto"/>
          <w:kern w:val="0"/>
          <w:sz w:val="24"/>
          <w:highlight w:val="none"/>
        </w:rPr>
      </w:pPr>
      <w:r>
        <w:rPr>
          <w:b/>
          <w:bCs/>
          <w:color w:val="auto"/>
          <w:highlight w:val="none"/>
        </w:rPr>
        <w:br w:type="page"/>
      </w:r>
    </w:p>
    <w:bookmarkEnd w:id="765"/>
    <w:bookmarkEnd w:id="766"/>
    <w:bookmarkEnd w:id="767"/>
    <w:bookmarkEnd w:id="768"/>
    <w:bookmarkEnd w:id="769"/>
    <w:bookmarkEnd w:id="770"/>
    <w:bookmarkEnd w:id="771"/>
    <w:bookmarkEnd w:id="772"/>
    <w:bookmarkEnd w:id="773"/>
    <w:bookmarkEnd w:id="774"/>
    <w:p>
      <w:pPr>
        <w:pStyle w:val="66"/>
        <w:ind w:firstLine="0" w:firstLineChars="0"/>
        <w:jc w:val="center"/>
        <w:outlineLvl w:val="0"/>
        <w:rPr>
          <w:rFonts w:ascii="黑体" w:hAnsi="华文中宋" w:eastAsia="黑体" w:cs="Courier New"/>
          <w:b/>
          <w:sz w:val="32"/>
          <w:szCs w:val="32"/>
        </w:rPr>
      </w:pPr>
      <w:bookmarkStart w:id="778" w:name="_Toc5804"/>
      <w:bookmarkStart w:id="779" w:name="_Toc25972"/>
      <w:bookmarkStart w:id="780" w:name="_Toc77199443"/>
      <w:bookmarkStart w:id="781" w:name="_Toc75289271"/>
      <w:bookmarkStart w:id="782" w:name="_Toc12140"/>
      <w:bookmarkStart w:id="783" w:name="_Toc94367919"/>
      <w:bookmarkStart w:id="784" w:name="_Toc108341978"/>
      <w:bookmarkStart w:id="785" w:name="_Toc78314303"/>
      <w:bookmarkStart w:id="786" w:name="_Toc112594296"/>
      <w:bookmarkStart w:id="787" w:name="_Toc100670712"/>
      <w:bookmarkStart w:id="788" w:name="_Toc95601404"/>
      <w:bookmarkStart w:id="789" w:name="_Toc78449996"/>
      <w:bookmarkStart w:id="790" w:name="_Toc100670464"/>
      <w:bookmarkStart w:id="791" w:name="_Toc85972969"/>
      <w:bookmarkStart w:id="792" w:name="_Toc75289589"/>
      <w:bookmarkStart w:id="793" w:name="_Toc12857"/>
      <w:bookmarkStart w:id="794" w:name="_Toc17775"/>
      <w:bookmarkStart w:id="795" w:name="_Toc77676507"/>
      <w:r>
        <w:rPr>
          <w:rFonts w:hint="eastAsia" w:ascii="黑体" w:hAnsi="华文中宋" w:eastAsia="黑体" w:cs="Courier New"/>
          <w:b/>
          <w:sz w:val="32"/>
          <w:szCs w:val="32"/>
        </w:rPr>
        <w:t>第五章  采购需求</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4"/>
        <w:adjustRightInd w:val="0"/>
        <w:snapToGrid w:val="0"/>
        <w:spacing w:before="156" w:beforeLines="50"/>
        <w:jc w:val="center"/>
        <w:rPr>
          <w:rFonts w:ascii="黑体" w:hAnsi="黑体" w:eastAsia="黑体"/>
          <w:sz w:val="28"/>
          <w:szCs w:val="28"/>
        </w:rPr>
      </w:pPr>
      <w:bookmarkStart w:id="796" w:name="_Toc75289272"/>
      <w:bookmarkStart w:id="797" w:name="_Toc108341979"/>
      <w:bookmarkStart w:id="798" w:name="_Toc77199444"/>
      <w:bookmarkStart w:id="799" w:name="_Toc95601405"/>
      <w:bookmarkStart w:id="800" w:name="_Toc77676508"/>
      <w:bookmarkStart w:id="801" w:name="_Toc112594297"/>
      <w:bookmarkStart w:id="802" w:name="_Toc15888520"/>
      <w:bookmarkStart w:id="803" w:name="_Toc100670465"/>
      <w:bookmarkStart w:id="804" w:name="_Toc75289590"/>
      <w:bookmarkStart w:id="805" w:name="_Toc3907"/>
      <w:bookmarkStart w:id="806" w:name="_Toc78449997"/>
      <w:bookmarkStart w:id="807" w:name="_Toc31348"/>
      <w:bookmarkStart w:id="808" w:name="_Toc29319"/>
      <w:bookmarkStart w:id="809" w:name="_Toc1585"/>
      <w:bookmarkStart w:id="810" w:name="_Toc85972970"/>
      <w:bookmarkStart w:id="811" w:name="_Toc100670713"/>
      <w:bookmarkStart w:id="812" w:name="_Toc94367920"/>
      <w:bookmarkStart w:id="813" w:name="_Toc78314304"/>
      <w:bookmarkStart w:id="814" w:name="_Toc13940"/>
      <w:r>
        <w:rPr>
          <w:rFonts w:hint="eastAsia" w:ascii="黑体" w:hAnsi="黑体" w:eastAsia="黑体"/>
          <w:sz w:val="28"/>
          <w:szCs w:val="28"/>
        </w:rPr>
        <w:t>第一节、采购清单一览表</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tbl>
      <w:tblPr>
        <w:tblStyle w:val="48"/>
        <w:tblW w:w="8336" w:type="dxa"/>
        <w:tblCellSpacing w:w="0" w:type="dxa"/>
        <w:tblInd w:w="0"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686"/>
        <w:gridCol w:w="906"/>
        <w:gridCol w:w="1561"/>
        <w:gridCol w:w="1616"/>
        <w:gridCol w:w="855"/>
        <w:gridCol w:w="902"/>
        <w:gridCol w:w="905"/>
        <w:gridCol w:w="905"/>
      </w:tblGrid>
      <w:tr>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86"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包名称</w:t>
            </w:r>
          </w:p>
        </w:tc>
        <w:tc>
          <w:tcPr>
            <w:tcW w:w="906"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最高限价（元）</w:t>
            </w:r>
          </w:p>
        </w:tc>
        <w:tc>
          <w:tcPr>
            <w:tcW w:w="1561"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标的名称</w:t>
            </w:r>
          </w:p>
        </w:tc>
        <w:tc>
          <w:tcPr>
            <w:tcW w:w="1616"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简要技术要求</w:t>
            </w:r>
          </w:p>
        </w:tc>
        <w:tc>
          <w:tcPr>
            <w:tcW w:w="855"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数量</w:t>
            </w:r>
          </w:p>
        </w:tc>
        <w:tc>
          <w:tcPr>
            <w:tcW w:w="902"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标的预算（元）</w:t>
            </w:r>
          </w:p>
        </w:tc>
        <w:tc>
          <w:tcPr>
            <w:tcW w:w="905"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节能产品</w:t>
            </w:r>
          </w:p>
        </w:tc>
        <w:tc>
          <w:tcPr>
            <w:tcW w:w="905" w:type="dxa"/>
            <w:tcBorders>
              <w:top w:val="single" w:color="D5D5D5" w:sz="6" w:space="0"/>
              <w:left w:val="single" w:color="D5D5D5" w:sz="6" w:space="0"/>
              <w:bottom w:val="single" w:color="D5D5D5" w:sz="6" w:space="0"/>
              <w:right w:val="single" w:color="D5D5D5" w:sz="6" w:space="0"/>
            </w:tcBorders>
            <w:noWrap/>
            <w:vAlign w:val="center"/>
          </w:tcPr>
          <w:p>
            <w:pPr>
              <w:widowControl/>
              <w:spacing w:line="420" w:lineRule="atLeast"/>
              <w:jc w:val="center"/>
              <w:rPr>
                <w:rFonts w:ascii="宋体" w:hAnsi="宋体" w:cs="宋体"/>
                <w:kern w:val="0"/>
                <w:sz w:val="24"/>
              </w:rPr>
            </w:pPr>
            <w:r>
              <w:rPr>
                <w:rFonts w:ascii="宋体" w:hAnsi="宋体" w:cs="宋体"/>
                <w:b/>
                <w:bCs/>
                <w:kern w:val="0"/>
                <w:sz w:val="24"/>
              </w:rPr>
              <w:t>进口产品</w:t>
            </w:r>
          </w:p>
        </w:tc>
      </w:tr>
      <w:tr>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86"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ascii="宋体" w:hAnsi="宋体" w:cs="宋体"/>
                <w:kern w:val="0"/>
                <w:sz w:val="24"/>
              </w:rPr>
            </w:pPr>
            <w:r>
              <w:rPr>
                <w:rFonts w:hint="eastAsia" w:asciiTheme="minorEastAsia" w:hAnsiTheme="minorEastAsia" w:eastAsiaTheme="minorEastAsia" w:cstheme="minorEastAsia"/>
                <w:szCs w:val="21"/>
                <w:lang w:val="en-US" w:eastAsia="zh-CN"/>
              </w:rPr>
              <w:t>包1</w:t>
            </w:r>
          </w:p>
        </w:tc>
        <w:tc>
          <w:tcPr>
            <w:tcW w:w="906"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ascii="宋体" w:hAnsi="宋体" w:cs="宋体"/>
                <w:kern w:val="0"/>
                <w:sz w:val="24"/>
              </w:rPr>
            </w:pPr>
            <w:r>
              <w:rPr>
                <w:rFonts w:hint="eastAsia" w:asciiTheme="minorEastAsia" w:hAnsiTheme="minorEastAsia" w:eastAsiaTheme="minorEastAsia" w:cstheme="minorEastAsia"/>
                <w:szCs w:val="21"/>
                <w:lang w:val="en-US" w:eastAsia="zh-CN"/>
              </w:rPr>
              <w:t>1378918元</w:t>
            </w:r>
          </w:p>
        </w:tc>
        <w:tc>
          <w:tcPr>
            <w:tcW w:w="1561"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2026年度</w:t>
            </w:r>
          </w:p>
          <w:p>
            <w:pPr>
              <w:adjustRightInd w:val="0"/>
              <w:snapToGrid w:val="0"/>
              <w:spacing w:line="360" w:lineRule="exact"/>
              <w:rPr>
                <w:rFonts w:ascii="宋体" w:hAnsi="宋体" w:cs="宋体"/>
                <w:kern w:val="0"/>
                <w:sz w:val="24"/>
              </w:rPr>
            </w:pPr>
            <w:r>
              <w:rPr>
                <w:rFonts w:hint="eastAsia" w:asciiTheme="minorEastAsia" w:hAnsiTheme="minorEastAsia" w:eastAsiaTheme="minorEastAsia" w:cstheme="minorEastAsia"/>
                <w:szCs w:val="21"/>
                <w:lang w:val="en-US" w:eastAsia="zh-CN"/>
              </w:rPr>
              <w:t>药品采购包</w:t>
            </w:r>
          </w:p>
        </w:tc>
        <w:tc>
          <w:tcPr>
            <w:tcW w:w="1616" w:type="dxa"/>
            <w:tcBorders>
              <w:top w:val="single" w:color="D5D5D5" w:sz="6" w:space="0"/>
              <w:left w:val="single" w:color="D5D5D5" w:sz="6" w:space="0"/>
              <w:bottom w:val="single" w:color="D5D5D5" w:sz="6" w:space="0"/>
              <w:right w:val="single" w:color="D5D5D5" w:sz="6" w:space="0"/>
            </w:tcBorders>
            <w:vAlign w:val="top"/>
          </w:tcPr>
          <w:p>
            <w:pPr>
              <w:adjustRightInd w:val="0"/>
              <w:snapToGrid w:val="0"/>
              <w:spacing w:line="360" w:lineRule="exact"/>
              <w:rPr>
                <w:rFonts w:asciiTheme="minorHAnsi" w:hAnsiTheme="minorHAnsi" w:eastAsiaTheme="minorEastAsia" w:cstheme="minorBidi"/>
                <w:szCs w:val="21"/>
              </w:rPr>
            </w:pPr>
            <w:r>
              <w:rPr>
                <w:rFonts w:hint="eastAsia" w:asciiTheme="minorEastAsia" w:hAnsiTheme="minorEastAsia" w:eastAsiaTheme="minorEastAsia" w:cstheme="minorEastAsia"/>
                <w:szCs w:val="21"/>
                <w:lang w:val="en-US" w:eastAsia="zh-CN"/>
              </w:rPr>
              <w:t>本项目为湖南省娄底监狱2026年度药品采购，详见采购需求</w:t>
            </w:r>
          </w:p>
        </w:tc>
        <w:tc>
          <w:tcPr>
            <w:tcW w:w="855"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ascii="宋体" w:hAnsi="宋体" w:cs="宋体"/>
                <w:kern w:val="0"/>
                <w:sz w:val="24"/>
              </w:rPr>
            </w:pPr>
            <w:r>
              <w:rPr>
                <w:rFonts w:hint="eastAsia" w:asciiTheme="minorEastAsia" w:hAnsiTheme="minorEastAsia" w:eastAsiaTheme="minorEastAsia" w:cstheme="minorEastAsia"/>
                <w:szCs w:val="21"/>
                <w:lang w:val="en-US" w:eastAsia="zh-CN"/>
              </w:rPr>
              <w:t>1项</w:t>
            </w:r>
          </w:p>
        </w:tc>
        <w:tc>
          <w:tcPr>
            <w:tcW w:w="902"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ascii="宋体" w:hAnsi="宋体" w:cs="宋体"/>
                <w:kern w:val="0"/>
                <w:sz w:val="24"/>
              </w:rPr>
            </w:pPr>
            <w:r>
              <w:rPr>
                <w:rFonts w:hint="eastAsia" w:asciiTheme="minorEastAsia" w:hAnsiTheme="minorEastAsia" w:eastAsiaTheme="minorEastAsia" w:cstheme="minorEastAsia"/>
                <w:szCs w:val="21"/>
                <w:lang w:val="en-US" w:eastAsia="zh-CN"/>
              </w:rPr>
              <w:t>1378918元</w:t>
            </w:r>
          </w:p>
        </w:tc>
        <w:tc>
          <w:tcPr>
            <w:tcW w:w="905" w:type="dxa"/>
            <w:tcBorders>
              <w:top w:val="single" w:color="D5D5D5" w:sz="6" w:space="0"/>
              <w:left w:val="single" w:color="D5D5D5" w:sz="6" w:space="0"/>
              <w:bottom w:val="single" w:color="D5D5D5" w:sz="6" w:space="0"/>
              <w:right w:val="single" w:color="D5D5D5" w:sz="6" w:space="0"/>
            </w:tcBorders>
            <w:vAlign w:val="center"/>
          </w:tcPr>
          <w:p>
            <w:pPr>
              <w:adjustRightInd w:val="0"/>
              <w:snapToGrid w:val="0"/>
              <w:spacing w:line="360" w:lineRule="exact"/>
              <w:rPr>
                <w:rFonts w:ascii="宋体" w:hAnsi="宋体" w:cs="宋体"/>
                <w:kern w:val="0"/>
                <w:sz w:val="24"/>
              </w:rPr>
            </w:pPr>
            <w:r>
              <w:rPr>
                <w:rFonts w:hint="eastAsia" w:asciiTheme="minorEastAsia" w:hAnsiTheme="minorEastAsia" w:eastAsiaTheme="minorEastAsia" w:cstheme="minorEastAsia"/>
                <w:szCs w:val="21"/>
                <w:lang w:val="en-US" w:eastAsia="zh-CN"/>
              </w:rPr>
              <w:object>
                <v:shape id="_x0000_i1048" o:spt="201" alt="" type="#_x0000_t201" style="height:15.75pt;width:20.25pt;" o:ole="t" filled="f" o:preferrelative="t" stroked="f" coordsize="21600,21600">
                  <v:path/>
                  <v:fill on="f" focussize="0,0"/>
                  <v:stroke on="f"/>
                  <v:imagedata r:id="rId15" o:title=""/>
                  <o:lock v:ext="edit" aspectratio="t"/>
                  <w10:wrap type="none"/>
                  <w10:anchorlock/>
                </v:shape>
                <w:control r:id="rId40" w:name="CheckBox7" w:shapeid="_x0000_i1048"/>
              </w:object>
            </w:r>
          </w:p>
        </w:tc>
        <w:tc>
          <w:tcPr>
            <w:tcW w:w="905" w:type="dxa"/>
            <w:tcBorders>
              <w:top w:val="single" w:color="D5D5D5" w:sz="6" w:space="0"/>
              <w:left w:val="single" w:color="D5D5D5" w:sz="6" w:space="0"/>
              <w:bottom w:val="single" w:color="D5D5D5" w:sz="6" w:space="0"/>
              <w:right w:val="single" w:color="D5D5D5" w:sz="6" w:space="0"/>
            </w:tcBorders>
            <w:vAlign w:val="center"/>
          </w:tcPr>
          <w:p>
            <w:pPr>
              <w:widowControl/>
              <w:spacing w:before="75" w:line="420" w:lineRule="atLeast"/>
              <w:jc w:val="center"/>
              <w:rPr>
                <w:rFonts w:ascii="宋体" w:hAnsi="宋体" w:cs="宋体"/>
                <w:kern w:val="0"/>
                <w:sz w:val="24"/>
              </w:rPr>
            </w:pPr>
            <w:r>
              <w:rPr>
                <w:rFonts w:hint="eastAsia" w:asciiTheme="minorEastAsia" w:hAnsiTheme="minorEastAsia" w:eastAsiaTheme="minorEastAsia" w:cstheme="minorEastAsia"/>
                <w:kern w:val="0"/>
                <w:sz w:val="24"/>
              </w:rPr>
              <w:object>
                <v:shape id="_x0000_i1049" o:spt="201" alt="" type="#_x0000_t201" style="height:15.75pt;width:20.25pt;" o:ole="t" filled="f" o:preferrelative="t" stroked="f" coordsize="21600,21600">
                  <v:path/>
                  <v:fill on="f" focussize="0,0"/>
                  <v:stroke on="f"/>
                  <v:imagedata r:id="rId15" o:title=""/>
                  <o:lock v:ext="edit" aspectratio="t"/>
                  <w10:wrap type="none"/>
                  <w10:anchorlock/>
                </v:shape>
                <w:control r:id="rId41" w:name="CheckBox8" w:shapeid="_x0000_i1049"/>
              </w:object>
            </w:r>
          </w:p>
        </w:tc>
      </w:tr>
    </w:tbl>
    <w:p>
      <w:pPr>
        <w:adjustRightInd w:val="0"/>
        <w:snapToGrid w:val="0"/>
        <w:spacing w:line="360" w:lineRule="exact"/>
        <w:rPr>
          <w:rFonts w:ascii="宋体" w:hAnsi="宋体"/>
          <w:szCs w:val="21"/>
        </w:rPr>
      </w:pPr>
      <w:r>
        <w:rPr>
          <w:rFonts w:hint="eastAsia" w:ascii="宋体" w:hAnsi="宋体"/>
          <w:szCs w:val="21"/>
        </w:rPr>
        <w:t>注：1、“包”为最小合同单位（最小投标单位）。每“包”内容应细化到具体标的。</w:t>
      </w:r>
    </w:p>
    <w:p>
      <w:pPr>
        <w:adjustRightInd w:val="0"/>
        <w:snapToGrid w:val="0"/>
        <w:spacing w:line="360" w:lineRule="exact"/>
        <w:ind w:firstLine="420" w:firstLineChars="200"/>
        <w:rPr>
          <w:rFonts w:ascii="宋体" w:hAnsi="宋体"/>
          <w:szCs w:val="21"/>
        </w:rPr>
      </w:pPr>
      <w:r>
        <w:rPr>
          <w:rFonts w:hint="eastAsia" w:ascii="宋体" w:hAnsi="宋体"/>
          <w:szCs w:val="21"/>
        </w:rPr>
        <w:t>2、投标人必须对一个完整、独立的包进行投标，不得仅对一个包中的部分品目投标，否则投标无效。</w:t>
      </w:r>
    </w:p>
    <w:p>
      <w:pPr>
        <w:adjustRightInd w:val="0"/>
        <w:snapToGrid w:val="0"/>
        <w:spacing w:line="360" w:lineRule="exact"/>
        <w:ind w:firstLine="420" w:firstLineChars="200"/>
        <w:rPr>
          <w:rFonts w:ascii="宋体" w:hAnsi="宋体" w:cs="宋体"/>
          <w:color w:val="auto"/>
          <w:kern w:val="0"/>
          <w:szCs w:val="21"/>
          <w:highlight w:val="none"/>
        </w:rPr>
      </w:pPr>
      <w:r>
        <w:rPr>
          <w:rFonts w:hint="eastAsia" w:ascii="宋体" w:hAnsi="宋体"/>
          <w:color w:val="auto"/>
          <w:szCs w:val="21"/>
          <w:highlight w:val="none"/>
        </w:rPr>
        <w:t>3、货物的主要技术参数或规格：</w:t>
      </w:r>
      <w:r>
        <w:rPr>
          <w:rFonts w:ascii="宋体" w:hAnsi="宋体" w:cs="宋体"/>
          <w:color w:val="auto"/>
          <w:kern w:val="0"/>
          <w:szCs w:val="21"/>
          <w:highlight w:val="none"/>
        </w:rPr>
        <w:t>详见“</w:t>
      </w:r>
      <w:r>
        <w:rPr>
          <w:rFonts w:hint="eastAsia" w:ascii="宋体" w:hAnsi="宋体" w:cs="宋体"/>
          <w:color w:val="auto"/>
          <w:kern w:val="0"/>
          <w:szCs w:val="21"/>
          <w:highlight w:val="none"/>
        </w:rPr>
        <w:t xml:space="preserve">第五章 第二节 </w:t>
      </w:r>
      <w:r>
        <w:rPr>
          <w:rFonts w:ascii="宋体" w:hAnsi="宋体" w:cs="宋体"/>
          <w:color w:val="auto"/>
          <w:kern w:val="0"/>
          <w:szCs w:val="21"/>
          <w:highlight w:val="none"/>
        </w:rPr>
        <w:t>技术要求”中的具体技术参数</w:t>
      </w:r>
      <w:r>
        <w:rPr>
          <w:rFonts w:hint="eastAsia" w:ascii="宋体" w:hAnsi="宋体" w:cs="宋体"/>
          <w:color w:val="auto"/>
          <w:kern w:val="0"/>
          <w:szCs w:val="21"/>
          <w:highlight w:val="none"/>
        </w:rPr>
        <w:t>，进行逐条应答。</w:t>
      </w:r>
    </w:p>
    <w:p>
      <w:pPr>
        <w:adjustRightInd w:val="0"/>
        <w:snapToGrid w:val="0"/>
        <w:spacing w:line="360" w:lineRule="exact"/>
        <w:ind w:firstLine="420" w:firstLineChars="200"/>
        <w:rPr>
          <w:rFonts w:ascii="宋体" w:hAnsi="宋体" w:cs="宋体"/>
          <w:kern w:val="0"/>
          <w:szCs w:val="21"/>
        </w:rPr>
      </w:pPr>
      <w:r>
        <w:rPr>
          <w:rFonts w:hint="eastAsia" w:ascii="宋体" w:hAnsi="宋体" w:cs="宋体"/>
          <w:bCs/>
          <w:kern w:val="0"/>
          <w:szCs w:val="21"/>
        </w:rPr>
        <w:t>4、投标人应</w:t>
      </w:r>
      <w:r>
        <w:rPr>
          <w:rFonts w:hint="eastAsia" w:ascii="宋体" w:hAnsi="宋体" w:cs="宋体"/>
          <w:kern w:val="0"/>
          <w:szCs w:val="21"/>
        </w:rPr>
        <w:t>在投标文件《分项报价明细表》中按</w:t>
      </w:r>
      <w:r>
        <w:rPr>
          <w:rFonts w:hint="eastAsia" w:ascii="宋体" w:hAnsi="宋体"/>
          <w:szCs w:val="21"/>
        </w:rPr>
        <w:t>标的名称</w:t>
      </w:r>
      <w:r>
        <w:rPr>
          <w:rFonts w:hint="eastAsia" w:ascii="宋体" w:hAnsi="宋体" w:cs="宋体"/>
          <w:kern w:val="0"/>
          <w:szCs w:val="21"/>
        </w:rPr>
        <w:t>顺序逐项填写，且每个标的中的条目均需按招标文件规定报价。如有缺项、漏项，其</w:t>
      </w:r>
      <w:r>
        <w:rPr>
          <w:rFonts w:hint="eastAsia" w:ascii="宋体" w:hAnsi="宋体" w:cs="宋体"/>
          <w:b/>
          <w:kern w:val="0"/>
          <w:szCs w:val="21"/>
        </w:rPr>
        <w:t>投标无效</w:t>
      </w:r>
      <w:r>
        <w:rPr>
          <w:rFonts w:hint="eastAsia" w:ascii="宋体" w:hAnsi="宋体" w:cs="宋体"/>
          <w:kern w:val="0"/>
          <w:szCs w:val="21"/>
        </w:rPr>
        <w:t>。</w:t>
      </w:r>
    </w:p>
    <w:p>
      <w:pPr>
        <w:pStyle w:val="66"/>
        <w:ind w:firstLine="400"/>
      </w:pPr>
    </w:p>
    <w:p>
      <w:pPr>
        <w:rPr>
          <w:rFonts w:hint="eastAsia" w:ascii="宋体" w:hAnsi="宋体" w:eastAsia="宋体" w:cs="Times New Roman"/>
          <w:b/>
          <w:color w:val="auto"/>
          <w:kern w:val="2"/>
          <w:sz w:val="21"/>
          <w:szCs w:val="21"/>
          <w:highlight w:val="none"/>
          <w:lang w:val="en-US" w:eastAsia="zh-CN" w:bidi="ar-SA"/>
        </w:rPr>
      </w:pPr>
      <w:bookmarkStart w:id="815" w:name="_Toc13301"/>
      <w:bookmarkStart w:id="816" w:name="_Toc2898"/>
      <w:bookmarkStart w:id="817" w:name="_Toc112594298"/>
      <w:bookmarkStart w:id="818" w:name="_Toc15345"/>
      <w:bookmarkStart w:id="819" w:name="_Toc10212"/>
      <w:bookmarkStart w:id="820" w:name="_Toc8085"/>
      <w:r>
        <w:rPr>
          <w:rFonts w:hint="eastAsia" w:ascii="宋体" w:hAnsi="宋体" w:eastAsia="宋体" w:cs="Times New Roman"/>
          <w:b/>
          <w:color w:val="auto"/>
          <w:kern w:val="2"/>
          <w:sz w:val="21"/>
          <w:szCs w:val="21"/>
          <w:highlight w:val="none"/>
          <w:lang w:val="en-US" w:eastAsia="zh-CN" w:bidi="ar-SA"/>
        </w:rPr>
        <w:br w:type="page"/>
      </w:r>
    </w:p>
    <w:bookmarkEnd w:id="815"/>
    <w:bookmarkEnd w:id="816"/>
    <w:bookmarkEnd w:id="817"/>
    <w:bookmarkEnd w:id="818"/>
    <w:bookmarkEnd w:id="819"/>
    <w:bookmarkEnd w:id="820"/>
    <w:tbl>
      <w:tblPr>
        <w:tblStyle w:val="48"/>
        <w:tblW w:w="96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
        <w:gridCol w:w="638"/>
        <w:gridCol w:w="2422"/>
        <w:gridCol w:w="2042"/>
        <w:gridCol w:w="669"/>
        <w:gridCol w:w="994"/>
        <w:gridCol w:w="903"/>
        <w:gridCol w:w="1392"/>
        <w:gridCol w:w="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Before w:val="1"/>
          <w:wBefore w:w="3" w:type="dxa"/>
          <w:trHeight w:val="564" w:hRule="atLeast"/>
        </w:trPr>
        <w:tc>
          <w:tcPr>
            <w:tcW w:w="9680"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lang w:val="en-US"/>
              </w:rPr>
            </w:pPr>
            <w:bookmarkStart w:id="821" w:name="OLE_LINK15"/>
            <w:bookmarkStart w:id="822" w:name="OLE_LINK8"/>
            <w:r>
              <w:rPr>
                <w:rFonts w:hint="eastAsia" w:ascii="宋体" w:hAnsi="宋体" w:eastAsia="宋体" w:cs="宋体"/>
                <w:i w:val="0"/>
                <w:iCs w:val="0"/>
                <w:color w:val="000000"/>
                <w:kern w:val="0"/>
                <w:sz w:val="44"/>
                <w:szCs w:val="44"/>
                <w:u w:val="none"/>
                <w:lang w:val="en-US" w:eastAsia="zh-CN" w:bidi="ar"/>
              </w:rPr>
              <w:t>第二节技术要求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Before w:val="1"/>
          <w:wBefore w:w="3" w:type="dxa"/>
          <w:trHeight w:val="312" w:hRule="atLeast"/>
        </w:trPr>
        <w:tc>
          <w:tcPr>
            <w:tcW w:w="9680" w:type="dxa"/>
            <w:gridSpan w:val="8"/>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医药药品清单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品名</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克拉霉素片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0.25g*6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罗红霉素胶囊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150mg*6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左氧氟沙星胶囊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0.1g*12粒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诺氟沙星胶囊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盐酸环丙沙星片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阿莫西林胶囊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0.25g*20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氨苄西林胶囊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0.25g*20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头孢拉定胶囊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0.25g*24粒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头孢克洛胶囊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0.25g*12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阿奇霉素片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0.25g*6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甲硝唑片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甲硝唑芬布芬胶囊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0.1g*24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阿昔洛韦片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0.1g*24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复方氨酚烷胺片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0.4g*12片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氯芬黄敏片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32.5mg*24粒/板</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氨咖黄敏胶囊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250mg*10 粒/板</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连花清瘟胶囊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0.35g*36粒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板蓝根冲剂</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15g*20袋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包</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穿心莲片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牛黄解毒片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0.24g*12片*30袋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包</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黄连上清片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0.3g*48片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吗啉胍片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咳特灵</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0.5g*30粒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复方岩白菜片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0.127g*30片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枸橼酸喷托维林片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氨茶碱片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沙丁胺醇片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2mg*100s</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沙丁胺醇气雾剂</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100ug:200揿</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安乃近片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布络芬片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吲哚美辛片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双氯芬酸钠肠溶片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0.19g*48片/盒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秋水仙碱片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0.5mg*20片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别嘌醇片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0.1g*30片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非布司他</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40mg*7片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苏打片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小活络丸</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3g*10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跌打丸</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3g*6 丸/盒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舒筋活血片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强的松片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硝酸甘油片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丹参片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0.32g*60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速效救心丸</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40mg*50粒*3瓶</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倍它乐克</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25mg*20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卡托普利片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尼群地平片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依那普利</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5mg*16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尼莫地平片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20mg*50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缬沙坦片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80mg*35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硝苯地平片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硝酸异山梨酯片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普萘洛尔片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脑络通</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0.5g*30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血塞通片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25mg*24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吡拉西坦片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苯磺酸氨氯地平片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氯吡格雷片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75mg*14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螺内酯片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氢氯噻嗪片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呋塞米片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盐酸氟桂利嗪胶囊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5mg*20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哌唑嗪</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利可君片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20mg*32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辛伐他汀片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阿司匹林肠溶片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扑尔敏片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普乐安片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0.57g*60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葡萄糖酸钙片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骨刺平片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千柏鼻炎片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石淋通片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丙戊酸钠片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利培酮片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1mg*30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盐酸舍曲林分散片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50mg*14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奥氮平</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5mg*14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喹硫平</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0.1g*30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碳酸锂</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氟伏沙明</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50mg*30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舒必利片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苯妥英钠片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100mg*100片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氯氮平片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苯海索片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卡马西平</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甲巯咪唑片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丙硫氧嘧啶片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左甲状腺钠片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50ug*100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二甲双胍片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0.25g*48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二甲双胍缓释片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0.5g*20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格列齐特缓释片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30mg*30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格列本脲片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氢氧化铝片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0.245g*100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西咪替丁片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奥美拉唑胶囊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20mg*14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雷尼替丁胶囊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20mg*14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陈香露白露片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0.5g*60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甲氧氯普胺片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消旋山莨菪碱片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肠康片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50mg*20片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蒙脱石散</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3g*10袋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地衣芽孢杆菌活菌胶囊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0.25g*6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麻仁丸</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酵母片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0.2g*80 粒/袋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袋</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盐酸小檗碱片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多潘立酮片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10mg*30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口服补液盐</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14.75g*20 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包</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维生素AD胶囊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3000U*100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维生素E软胶囊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100mg*30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维生素B1片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维生素B2片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维生素B4片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维生素B6片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复合维生素 B</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谷维素片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恩替卡韦片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0.5mg*7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消炎利胆片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氯化钾片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HIV抗原抗体诊断试剂</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20人份/盒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地塞米松软膏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克霉唑软膏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克霉唑溶液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曲咪新乳膏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酮康唑软膏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阿昔洛韦软膏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红霉素软膏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金霉素眼膏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硫软膏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四环素软膏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烧伤膏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痔疮膏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冻疮膏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甘油</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萘甲唑啉滴鼻液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8ml*8mg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氯霉素滴眼液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8ml*20mg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左氧滴眼液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氧氟沙星滴耳液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开塞露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伤湿止痛膏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 贴/袋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袋</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伤湿怯痛膏</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 贴/袋</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袋</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丙硫异烟胺片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帕司烟肼胶囊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4970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异烟肼片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利福平</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0.15g*100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5346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吡嗪酰胺片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乙胺丁醇片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维生素C片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葡醛内酯片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50mg*100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肌苷片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护肝片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0.35g*100 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甲钴胺</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0.5mg*20片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鲨肝醇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20mg*100片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4430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藿香正气胶囊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0.3g*12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清凉油</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风油精</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龙虎人丹</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0.04g*30 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袋</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夏桑菊凉茶</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10g*20 袋/包</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包</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利福平眼药水</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云南白药</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阿立哌唑片</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5mg*40片</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冰硼散</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头孢哌酮舒巴坦注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头孢曲松钠</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青霉素钠注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 万单位</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氨苄青霉素注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头孢甲肟</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头孢呋辛注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头孢噻肟注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脑蛋白水解物</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30mg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辅酶A注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 单位*10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维生素B6注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氯化钾注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10ml:1g*5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三磷酸腺苷二钠注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2ml*20mg*10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门冬氨酸钾镁注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肌苷注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2ml:0.1g*10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维生素C注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2ml*0.5g*10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消旋山莨菪碱注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马来酸氯苯那敏注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曲克芦丁注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2ml*100mg*10支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维生素B12注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0.5mg:1ml*10支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维生素B1注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2ml:50mg*10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注射用甲泼尼龙琥珀酸钠</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40mg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地塞米松注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1ml:5mg*10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胞磷胆碱注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当归注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氨溴索注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15mg:2ml*10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红花注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5ml*10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黄芪注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甘利欣注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10ml:50mg*5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安痛定注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柴胡注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呋塞米注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2ml:20mg*10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胰岛素注射液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400U:10ml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破伤风抗毒素注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1500lu*10支 </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垂体后叶素注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1ml:6 单位*10支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重组粒细胞刺激因子</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150ug/0.6ml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单硝酸异山梨酯注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20mg：5ml*5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间羟胺注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1ml:10mg*2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去甲肾上腺素注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1ml:2mg*2支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阿托品注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1ml:0.5mg*10支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盐酸肾上腺素注射液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异丙嗪注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2ml*50mg*10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氢溴酸东莨菪碱针</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1ml:0.3mg*2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氟哌啶醇注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1ml:5mg*5支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氯丙嗪注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芬妥拉明注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1ml*10mg*5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去乙酰毛花苷注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2ml*0.4mg*2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胺碘酮注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3ml:0.15g*6支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多巴胺注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2ml:20mg*10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硝酸甘油注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1ml*5mg*10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10%葡萄糖酸钙注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10ml*1g*5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普罗帕酮注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20ml*70mg*5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尼可刹米注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1.5ml:0.375g*5支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洛贝林注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1ml:3mg*5支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利多卡因注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5ml*0.1g*5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酚磺乙胺注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2ml:0.5g*10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氨甲苯酸注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2ml:0.5g*10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阿米卡星注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2ml*0.2g*10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林可霉素注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2ml*0.6g*10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庆大霉素注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 万单位*10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利巴韦林注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阿昔洛韦注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克林霉素注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阿奇霉素注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奥美拉唑注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40mg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雷尼替丁注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2ml*50mg*10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西咪替丁注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2ml*0.2g*10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胃复安注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香丹注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参麦注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10ml*5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氨茶碱注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黄体酮注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1ml*10mg*10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盐酸奈福泮注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1ml:20mg*10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392</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醋酸泼尼松龙注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5ml*0.125g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曲安奈德注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1ml:40mg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50%葡萄糖注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20ml*10g*5 支</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吡拉西坦注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18-COAA 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低右注射液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碳酸氢钠注射液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甘露醇注射液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左氧氟沙星注射液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0.2g*100ml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0.5%甲硝唑注射液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242</w:t>
            </w:r>
          </w:p>
        </w:tc>
        <w:tc>
          <w:tcPr>
            <w:tcW w:w="2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0.9%氯化钠注注射液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0.9%氯化钠注射液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0.9%氯化钠注射液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5%葡萄糖注射液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5%葡萄糖注射液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5%葡萄糖注射液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5%葡萄糖氯化钠注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5%葡萄糖氯化钠注</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复方氯化钠注射液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10%葡萄糖注射液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10%葡萄糖注射液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253</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磷酸奥司他韦胶囊</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75mg*10粒</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盒</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254</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甘油果糖注射液</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250ml</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瓶</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菊花</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甘草</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257</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薄荷</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258</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金银花</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板蓝根</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260</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防风</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261</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柴胡</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387"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262</w:t>
            </w:r>
          </w:p>
        </w:tc>
        <w:tc>
          <w:tcPr>
            <w:tcW w:w="24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荆芥</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公斤</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0" w:type="dxa"/>
            <w:bottom w:w="0" w:type="dxa"/>
            <w:right w:w="0" w:type="dxa"/>
          </w:tblCellMar>
        </w:tblPrEx>
        <w:trPr>
          <w:gridAfter w:val="1"/>
          <w:wAfter w:w="620" w:type="dxa"/>
          <w:trHeight w:val="420" w:hRule="atLeast"/>
        </w:trPr>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263</w:t>
            </w:r>
          </w:p>
        </w:tc>
        <w:tc>
          <w:tcPr>
            <w:tcW w:w="703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1378918</w:t>
            </w:r>
          </w:p>
        </w:tc>
      </w:tr>
    </w:tbl>
    <w:p/>
    <w:p>
      <w:pPr>
        <w:pStyle w:val="66"/>
        <w:spacing w:after="156" w:afterLines="50" w:line="360" w:lineRule="auto"/>
        <w:ind w:firstLine="560"/>
        <w:jc w:val="both"/>
        <w:outlineLvl w:val="1"/>
        <w:rPr>
          <w:rFonts w:hint="eastAsia" w:ascii="宋体" w:hAnsi="宋体" w:eastAsia="宋体" w:cs="Times New Roman"/>
          <w:b/>
          <w:color w:val="auto"/>
          <w:kern w:val="2"/>
          <w:sz w:val="21"/>
          <w:szCs w:val="21"/>
          <w:highlight w:val="none"/>
          <w:lang w:val="en-US" w:eastAsia="zh-CN" w:bidi="ar-SA"/>
        </w:rPr>
      </w:pPr>
    </w:p>
    <w:p>
      <w:pPr>
        <w:pStyle w:val="66"/>
        <w:spacing w:after="156" w:afterLines="50" w:line="360" w:lineRule="auto"/>
        <w:ind w:firstLine="560"/>
        <w:jc w:val="center"/>
        <w:outlineLvl w:val="1"/>
        <w:rPr>
          <w:rFonts w:hint="eastAsia" w:ascii="黑体" w:hAnsi="黑体" w:eastAsia="黑体" w:cs="Times New Roman"/>
          <w:b/>
          <w:bCs/>
          <w:kern w:val="0"/>
          <w:sz w:val="28"/>
          <w:szCs w:val="28"/>
          <w:lang w:val="en-US" w:eastAsia="zh-CN" w:bidi="ar-SA"/>
        </w:rPr>
      </w:pPr>
      <w:bookmarkStart w:id="823" w:name="_Toc23578"/>
      <w:bookmarkStart w:id="824" w:name="_Toc15283"/>
      <w:bookmarkStart w:id="825" w:name="_Toc14269"/>
      <w:bookmarkStart w:id="826" w:name="_Toc112594299"/>
      <w:bookmarkStart w:id="827" w:name="_Toc19777"/>
      <w:bookmarkStart w:id="828" w:name="_Toc17069"/>
    </w:p>
    <w:p>
      <w:pPr>
        <w:pStyle w:val="66"/>
        <w:spacing w:after="156" w:afterLines="50" w:line="360" w:lineRule="auto"/>
        <w:ind w:firstLine="560"/>
        <w:jc w:val="both"/>
        <w:outlineLvl w:val="1"/>
        <w:rPr>
          <w:rFonts w:hint="default" w:ascii="宋体" w:hAnsi="宋体" w:eastAsia="宋体" w:cs="Times New Roman"/>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w:t>
      </w:r>
      <w:r>
        <w:rPr>
          <w:rFonts w:hint="eastAsia" w:ascii="宋体" w:hAnsi="宋体" w:cs="Times New Roman"/>
          <w:b/>
          <w:color w:val="auto"/>
          <w:kern w:val="2"/>
          <w:sz w:val="21"/>
          <w:szCs w:val="21"/>
          <w:highlight w:val="none"/>
          <w:lang w:val="en-US" w:eastAsia="zh-CN" w:bidi="ar-SA"/>
        </w:rPr>
        <w:t>所投产品需等于或优于清单所名列的规格，因不同厂家所制造药品中药品数量和重量不一样，投标人所投产品中单件产品中的药品数量和重量可不一致，总规格需大于或等于清单要求总规格。如清单所列产品</w:t>
      </w:r>
      <w:r>
        <w:rPr>
          <w:rFonts w:hint="eastAsia" w:ascii="宋体" w:hAnsi="宋体" w:cs="Times New Roman"/>
          <w:b/>
          <w:bCs w:val="0"/>
          <w:color w:val="auto"/>
          <w:kern w:val="2"/>
          <w:sz w:val="21"/>
          <w:szCs w:val="21"/>
          <w:highlight w:val="none"/>
          <w:lang w:val="en-US" w:eastAsia="zh-CN" w:bidi="ar-SA"/>
        </w:rPr>
        <w:t>：</w:t>
      </w:r>
      <w:r>
        <w:rPr>
          <w:rFonts w:hint="eastAsia" w:ascii="宋体" w:hAnsi="宋体" w:eastAsia="宋体" w:cs="宋体"/>
          <w:b/>
          <w:bCs w:val="0"/>
          <w:i w:val="0"/>
          <w:iCs w:val="0"/>
          <w:color w:val="000000"/>
          <w:kern w:val="0"/>
          <w:sz w:val="22"/>
          <w:szCs w:val="22"/>
          <w:u w:val="none"/>
          <w:lang w:val="en-US" w:eastAsia="zh-CN" w:bidi="ar"/>
        </w:rPr>
        <w:t>罗红霉素胶囊</w:t>
      </w:r>
      <w:r>
        <w:rPr>
          <w:rFonts w:hint="eastAsia" w:ascii="宋体" w:hAnsi="宋体" w:cs="宋体"/>
          <w:b/>
          <w:bCs w:val="0"/>
          <w:i w:val="0"/>
          <w:iCs w:val="0"/>
          <w:color w:val="000000"/>
          <w:kern w:val="0"/>
          <w:sz w:val="22"/>
          <w:szCs w:val="22"/>
          <w:u w:val="none"/>
          <w:lang w:val="en-US" w:eastAsia="zh-CN" w:bidi="ar"/>
        </w:rPr>
        <w:t>规格为</w:t>
      </w:r>
      <w:r>
        <w:rPr>
          <w:rFonts w:hint="eastAsia" w:ascii="宋体" w:hAnsi="宋体" w:eastAsia="宋体" w:cs="宋体"/>
          <w:b/>
          <w:bCs w:val="0"/>
          <w:i w:val="0"/>
          <w:iCs w:val="0"/>
          <w:color w:val="000000"/>
          <w:kern w:val="0"/>
          <w:sz w:val="22"/>
          <w:szCs w:val="22"/>
          <w:u w:val="none"/>
          <w:lang w:val="en-US" w:eastAsia="zh-CN" w:bidi="ar"/>
        </w:rPr>
        <w:t>150mg*6 粒</w:t>
      </w:r>
      <w:r>
        <w:rPr>
          <w:rFonts w:hint="eastAsia" w:ascii="宋体" w:hAnsi="宋体" w:cs="宋体"/>
          <w:b/>
          <w:bCs w:val="0"/>
          <w:i w:val="0"/>
          <w:iCs w:val="0"/>
          <w:color w:val="000000"/>
          <w:kern w:val="0"/>
          <w:sz w:val="22"/>
          <w:szCs w:val="22"/>
          <w:u w:val="none"/>
          <w:lang w:val="en-US" w:eastAsia="zh-CN" w:bidi="ar"/>
        </w:rPr>
        <w:t>，总规格为150mg*6=900mg，其中150mg和6粒可不一致，但是投标产品的总规格需大于或等于900mg。</w:t>
      </w:r>
    </w:p>
    <w:p>
      <w:pPr>
        <w:rPr>
          <w:rFonts w:hint="eastAsia" w:ascii="黑体" w:hAnsi="黑体" w:eastAsia="黑体" w:cs="Times New Roman"/>
          <w:b/>
          <w:bCs/>
          <w:kern w:val="0"/>
          <w:sz w:val="28"/>
          <w:szCs w:val="28"/>
          <w:lang w:val="en-US" w:eastAsia="zh-CN" w:bidi="ar-SA"/>
        </w:rPr>
      </w:pPr>
      <w:r>
        <w:rPr>
          <w:rFonts w:hint="eastAsia" w:ascii="黑体" w:hAnsi="黑体" w:eastAsia="黑体" w:cs="Times New Roman"/>
          <w:b/>
          <w:bCs/>
          <w:kern w:val="0"/>
          <w:sz w:val="28"/>
          <w:szCs w:val="28"/>
          <w:lang w:val="en-US" w:eastAsia="zh-CN" w:bidi="ar-SA"/>
        </w:rPr>
        <w:br w:type="page"/>
      </w:r>
    </w:p>
    <w:p>
      <w:pPr>
        <w:pStyle w:val="2"/>
        <w:rPr>
          <w:rFonts w:hint="eastAsia"/>
          <w:lang w:val="en-US" w:eastAsia="zh-CN"/>
        </w:rPr>
      </w:pPr>
    </w:p>
    <w:p>
      <w:pPr>
        <w:pStyle w:val="66"/>
        <w:spacing w:after="156" w:afterLines="50" w:line="360" w:lineRule="auto"/>
        <w:ind w:firstLine="560"/>
        <w:jc w:val="center"/>
        <w:outlineLvl w:val="1"/>
        <w:rPr>
          <w:rFonts w:hint="eastAsia" w:ascii="黑体" w:hAnsi="黑体" w:eastAsia="黑体" w:cs="Times New Roman"/>
          <w:b/>
          <w:bCs/>
          <w:kern w:val="0"/>
          <w:sz w:val="28"/>
          <w:szCs w:val="28"/>
          <w:lang w:val="en-US" w:eastAsia="zh-CN" w:bidi="ar-SA"/>
        </w:rPr>
      </w:pPr>
      <w:r>
        <w:rPr>
          <w:rFonts w:hint="eastAsia" w:ascii="黑体" w:hAnsi="黑体" w:eastAsia="黑体" w:cs="Times New Roman"/>
          <w:b/>
          <w:bCs/>
          <w:kern w:val="0"/>
          <w:sz w:val="28"/>
          <w:szCs w:val="28"/>
          <w:lang w:val="en-US" w:eastAsia="zh-CN" w:bidi="ar-SA"/>
        </w:rPr>
        <w:t>商务要求</w:t>
      </w:r>
      <w:bookmarkEnd w:id="823"/>
      <w:bookmarkEnd w:id="824"/>
      <w:bookmarkEnd w:id="825"/>
      <w:bookmarkEnd w:id="826"/>
      <w:bookmarkEnd w:id="827"/>
      <w:bookmarkEnd w:id="828"/>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val="0"/>
          <w:strike w:val="0"/>
          <w:dstrike w:val="0"/>
          <w:color w:val="auto"/>
          <w:kern w:val="2"/>
          <w:sz w:val="21"/>
          <w:szCs w:val="21"/>
          <w:highlight w:val="none"/>
          <w:lang w:val="en-US" w:eastAsia="zh-CN" w:bidi="ar-SA"/>
        </w:rPr>
      </w:pPr>
      <w:bookmarkStart w:id="829" w:name="OLE_LINK14"/>
      <w:bookmarkStart w:id="830" w:name="_Toc77199446"/>
      <w:bookmarkStart w:id="831" w:name="_Toc108341982"/>
      <w:bookmarkStart w:id="832" w:name="_Toc78314306"/>
      <w:bookmarkStart w:id="833" w:name="_Toc112594300"/>
      <w:bookmarkStart w:id="834" w:name="_Toc94367922"/>
      <w:bookmarkStart w:id="835" w:name="_Toc22064"/>
      <w:bookmarkStart w:id="836" w:name="_Toc21944"/>
      <w:bookmarkStart w:id="837" w:name="_Toc100670467"/>
      <w:bookmarkStart w:id="838" w:name="_Toc31475"/>
      <w:bookmarkStart w:id="839" w:name="_Toc85972972"/>
      <w:bookmarkStart w:id="840" w:name="_Toc26454"/>
      <w:bookmarkStart w:id="841" w:name="_Toc75289274"/>
      <w:bookmarkStart w:id="842" w:name="_Toc15888522"/>
      <w:bookmarkStart w:id="843" w:name="_Toc78449999"/>
      <w:bookmarkStart w:id="844" w:name="_Toc77676510"/>
      <w:bookmarkStart w:id="845" w:name="_Toc95601407"/>
      <w:bookmarkStart w:id="846" w:name="_Toc100670715"/>
      <w:bookmarkStart w:id="847" w:name="_Toc75289592"/>
      <w:bookmarkStart w:id="848" w:name="_Toc3592"/>
      <w:r>
        <w:rPr>
          <w:rFonts w:hint="eastAsia" w:ascii="宋体" w:hAnsi="宋体" w:eastAsia="宋体" w:cs="宋体"/>
          <w:b w:val="0"/>
          <w:bCs w:val="0"/>
          <w:strike w:val="0"/>
          <w:dstrike w:val="0"/>
          <w:color w:val="auto"/>
          <w:kern w:val="2"/>
          <w:sz w:val="21"/>
          <w:szCs w:val="21"/>
          <w:highlight w:val="none"/>
          <w:lang w:val="en-US" w:eastAsia="zh-CN" w:bidi="ar-SA"/>
        </w:rPr>
        <w:t>主要商务要求：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210" w:firstLineChars="100"/>
        <w:jc w:val="left"/>
        <w:textAlignment w:val="auto"/>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1、本项目采购清单为预估的药品、医疗耗材名称及数量，实际以采购人每批次需求计划采购的药品、医疗耗材名称及数量为准。目录内未能查到的药品或医疗耗材单价由采购人小组市场询价确定。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210" w:firstLineChars="100"/>
        <w:jc w:val="left"/>
        <w:textAlignment w:val="auto"/>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2、采购结算方式：甲方在收到配送药品及耗材且经甲方验收合格并收到乙方开具的正式税务发票之日起按乙方送货的批次向乙方支付货款。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210" w:firstLineChars="100"/>
        <w:jc w:val="left"/>
        <w:textAlignment w:val="auto"/>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3、单价上限包括但不限于货物原价、装卸费、管理费、运费、保险、税金等费用。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210" w:firstLineChars="100"/>
        <w:jc w:val="left"/>
        <w:textAlignment w:val="auto"/>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4、如遇重大疫情所需要的药品、耗材及防疫物资不在本次招标范围内。</w:t>
      </w:r>
    </w:p>
    <w:p>
      <w:pPr>
        <w:keepNext w:val="0"/>
        <w:keepLines w:val="0"/>
        <w:pageBreakBefore w:val="0"/>
        <w:widowControl/>
        <w:kinsoku/>
        <w:wordWrap/>
        <w:overflowPunct/>
        <w:topLinePunct w:val="0"/>
        <w:autoSpaceDE/>
        <w:autoSpaceDN/>
        <w:bidi w:val="0"/>
        <w:adjustRightInd/>
        <w:snapToGrid/>
        <w:spacing w:line="240" w:lineRule="auto"/>
        <w:ind w:firstLine="210" w:firstLineChars="100"/>
        <w:jc w:val="left"/>
        <w:textAlignment w:val="auto"/>
        <w:rPr>
          <w:rStyle w:val="50"/>
          <w:rFonts w:hint="eastAsia" w:ascii="宋体" w:hAnsi="宋体" w:eastAsia="宋体" w:cs="宋体"/>
          <w:b w:val="0"/>
          <w:bCs w:val="0"/>
          <w:strike w:val="0"/>
          <w:dstrike w:val="0"/>
          <w:color w:val="auto"/>
          <w:spacing w:val="0"/>
          <w:kern w:val="0"/>
          <w:sz w:val="21"/>
          <w:szCs w:val="21"/>
          <w:highlight w:val="none"/>
          <w:lang w:eastAsia="zh-CN"/>
        </w:rPr>
      </w:pPr>
      <w:r>
        <w:rPr>
          <w:rStyle w:val="50"/>
          <w:rFonts w:hint="eastAsia" w:ascii="宋体" w:hAnsi="宋体" w:eastAsia="宋体" w:cs="宋体"/>
          <w:b w:val="0"/>
          <w:bCs w:val="0"/>
          <w:strike w:val="0"/>
          <w:dstrike w:val="0"/>
          <w:color w:val="auto"/>
          <w:spacing w:val="0"/>
          <w:kern w:val="0"/>
          <w:sz w:val="21"/>
          <w:szCs w:val="21"/>
          <w:highlight w:val="none"/>
          <w:lang w:val="en-US" w:eastAsia="zh-CN"/>
        </w:rPr>
        <w:t>5、</w:t>
      </w:r>
      <w:r>
        <w:rPr>
          <w:rStyle w:val="50"/>
          <w:rFonts w:hint="eastAsia" w:ascii="宋体" w:hAnsi="宋体" w:eastAsia="宋体" w:cs="宋体"/>
          <w:b w:val="0"/>
          <w:bCs w:val="0"/>
          <w:strike w:val="0"/>
          <w:dstrike w:val="0"/>
          <w:color w:val="auto"/>
          <w:spacing w:val="0"/>
          <w:kern w:val="0"/>
          <w:sz w:val="21"/>
          <w:szCs w:val="21"/>
          <w:highlight w:val="none"/>
        </w:rPr>
        <w:t>履行时间、地点及方式</w:t>
      </w:r>
      <w:r>
        <w:rPr>
          <w:rStyle w:val="50"/>
          <w:rFonts w:hint="eastAsia" w:ascii="宋体" w:hAnsi="宋体" w:eastAsia="宋体" w:cs="宋体"/>
          <w:b w:val="0"/>
          <w:bCs w:val="0"/>
          <w:strike w:val="0"/>
          <w:dstrike w:val="0"/>
          <w:color w:val="auto"/>
          <w:spacing w:val="0"/>
          <w:kern w:val="0"/>
          <w:sz w:val="21"/>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b w:val="0"/>
          <w:bCs w:val="0"/>
          <w:strike w:val="0"/>
          <w:dstrike w:val="0"/>
          <w:color w:val="auto"/>
          <w:sz w:val="21"/>
          <w:szCs w:val="21"/>
          <w:highlight w:val="none"/>
          <w:lang w:val="en-US" w:eastAsia="zh-CN"/>
        </w:rPr>
      </w:pPr>
      <w:r>
        <w:rPr>
          <w:rStyle w:val="50"/>
          <w:rFonts w:hint="eastAsia" w:ascii="宋体" w:hAnsi="宋体" w:eastAsia="宋体" w:cs="宋体"/>
          <w:b w:val="0"/>
          <w:bCs w:val="0"/>
          <w:strike w:val="0"/>
          <w:dstrike w:val="0"/>
          <w:color w:val="auto"/>
          <w:spacing w:val="0"/>
          <w:kern w:val="0"/>
          <w:sz w:val="21"/>
          <w:szCs w:val="21"/>
          <w:highlight w:val="none"/>
          <w:lang w:eastAsia="zh-CN"/>
        </w:rPr>
        <w:t>交货时间：</w:t>
      </w:r>
      <w:r>
        <w:rPr>
          <w:rFonts w:hint="eastAsia" w:ascii="宋体" w:hAnsi="宋体" w:eastAsia="宋体" w:cs="宋体"/>
          <w:b w:val="0"/>
          <w:bCs w:val="0"/>
          <w:strike w:val="0"/>
          <w:dstrike w:val="0"/>
          <w:color w:val="auto"/>
          <w:sz w:val="21"/>
          <w:szCs w:val="21"/>
          <w:highlight w:val="none"/>
          <w:lang w:val="en-US" w:eastAsia="zh-CN"/>
        </w:rPr>
        <w:t>每批次采购计划下达后5个工作日内。</w:t>
      </w:r>
    </w:p>
    <w:p>
      <w:pPr>
        <w:keepNext w:val="0"/>
        <w:keepLines w:val="0"/>
        <w:pageBreakBefore w:val="0"/>
        <w:widowControl/>
        <w:kinsoku/>
        <w:wordWrap/>
        <w:overflowPunct/>
        <w:topLinePunct w:val="0"/>
        <w:autoSpaceDE/>
        <w:autoSpaceDN/>
        <w:bidi w:val="0"/>
        <w:adjustRightInd/>
        <w:snapToGrid/>
        <w:spacing w:line="240" w:lineRule="auto"/>
        <w:ind w:firstLine="210" w:firstLineChars="100"/>
        <w:jc w:val="left"/>
        <w:textAlignment w:val="auto"/>
        <w:rPr>
          <w:rStyle w:val="50"/>
          <w:rFonts w:hint="eastAsia" w:ascii="宋体" w:hAnsi="宋体" w:eastAsia="宋体" w:cs="宋体"/>
          <w:b w:val="0"/>
          <w:bCs w:val="0"/>
          <w:strike w:val="0"/>
          <w:dstrike w:val="0"/>
          <w:color w:val="auto"/>
          <w:spacing w:val="0"/>
          <w:kern w:val="0"/>
          <w:sz w:val="21"/>
          <w:szCs w:val="21"/>
          <w:highlight w:val="none"/>
          <w:lang w:val="en-US" w:eastAsia="zh-CN"/>
        </w:rPr>
      </w:pPr>
      <w:r>
        <w:rPr>
          <w:rStyle w:val="50"/>
          <w:rFonts w:hint="eastAsia" w:ascii="宋体" w:hAnsi="宋体" w:eastAsia="宋体" w:cs="宋体"/>
          <w:b w:val="0"/>
          <w:bCs w:val="0"/>
          <w:strike w:val="0"/>
          <w:dstrike w:val="0"/>
          <w:color w:val="auto"/>
          <w:spacing w:val="0"/>
          <w:kern w:val="0"/>
          <w:sz w:val="21"/>
          <w:szCs w:val="21"/>
          <w:highlight w:val="none"/>
          <w:lang w:val="en-US" w:eastAsia="zh-CN"/>
        </w:rPr>
        <w:t>交货地点：采购人指定地点。</w:t>
      </w:r>
    </w:p>
    <w:p>
      <w:pPr>
        <w:pStyle w:val="2"/>
        <w:numPr>
          <w:ilvl w:val="0"/>
          <w:numId w:val="0"/>
        </w:numPr>
        <w:ind w:firstLine="210" w:firstLineChars="100"/>
        <w:rPr>
          <w:rFonts w:hint="eastAsia" w:eastAsia="宋体" w:asciiTheme="minorEastAsia" w:hAnsiTheme="minorEastAsia" w:cstheme="minorEastAsia"/>
          <w:b/>
          <w:bCs/>
          <w:color w:val="000000" w:themeColor="text1"/>
          <w:kern w:val="0"/>
          <w:szCs w:val="21"/>
          <w:lang w:val="en-US" w:eastAsia="zh-CN"/>
          <w14:textFill>
            <w14:solidFill>
              <w14:schemeClr w14:val="tx1"/>
            </w14:solidFill>
          </w14:textFill>
        </w:rPr>
      </w:pPr>
      <w:r>
        <w:rPr>
          <w:rStyle w:val="50"/>
          <w:rFonts w:hint="eastAsia" w:ascii="宋体" w:hAnsi="宋体" w:eastAsia="宋体" w:cs="宋体"/>
          <w:b w:val="0"/>
          <w:bCs w:val="0"/>
          <w:strike w:val="0"/>
          <w:dstrike w:val="0"/>
          <w:color w:val="auto"/>
          <w:spacing w:val="0"/>
          <w:kern w:val="0"/>
          <w:sz w:val="21"/>
          <w:szCs w:val="21"/>
          <w:highlight w:val="none"/>
          <w:lang w:val="en-US" w:eastAsia="zh-CN"/>
        </w:rPr>
        <w:t>交货方式：</w:t>
      </w:r>
      <w:r>
        <w:rPr>
          <w:rFonts w:hint="eastAsia" w:ascii="宋体" w:hAnsi="宋体" w:eastAsia="宋体" w:cs="宋体"/>
          <w:b w:val="0"/>
          <w:bCs w:val="0"/>
          <w:strike w:val="0"/>
          <w:dstrike w:val="0"/>
          <w:color w:val="auto"/>
          <w:kern w:val="2"/>
          <w:sz w:val="21"/>
          <w:szCs w:val="21"/>
          <w:highlight w:val="none"/>
          <w:lang w:val="en-US" w:eastAsia="zh-CN" w:bidi="ar-SA"/>
        </w:rPr>
        <w:t>现场交货。</w:t>
      </w:r>
    </w:p>
    <w:p>
      <w:pPr>
        <w:pStyle w:val="2"/>
        <w:numPr>
          <w:ilvl w:val="0"/>
          <w:numId w:val="0"/>
        </w:numPr>
        <w:ind w:left="-13" w:leftChars="0" w:firstLine="226" w:firstLineChars="1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6、货品有效期或质保期：所供药品有效期不少于三分之二，耗材质保期按国家标准执行。</w:t>
      </w:r>
    </w:p>
    <w:p>
      <w:pPr>
        <w:keepNext w:val="0"/>
        <w:keepLines w:val="0"/>
        <w:pageBreakBefore w:val="0"/>
        <w:widowControl w:val="0"/>
        <w:kinsoku/>
        <w:wordWrap/>
        <w:overflowPunct/>
        <w:topLinePunct w:val="0"/>
        <w:autoSpaceDE/>
        <w:autoSpaceDN/>
        <w:bidi w:val="0"/>
        <w:adjustRightInd/>
        <w:snapToGrid/>
        <w:spacing w:line="360" w:lineRule="auto"/>
        <w:ind w:firstLine="226" w:firstLineChars="100"/>
        <w:textAlignment w:val="auto"/>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二、应提供的技术文件和资料</w:t>
      </w:r>
    </w:p>
    <w:p>
      <w:pPr>
        <w:keepNext w:val="0"/>
        <w:keepLines w:val="0"/>
        <w:pageBreakBefore w:val="0"/>
        <w:widowControl w:val="0"/>
        <w:kinsoku/>
        <w:wordWrap/>
        <w:overflowPunct/>
        <w:topLinePunct w:val="0"/>
        <w:autoSpaceDE/>
        <w:autoSpaceDN/>
        <w:bidi w:val="0"/>
        <w:adjustRightInd/>
        <w:snapToGrid/>
        <w:spacing w:line="360" w:lineRule="auto"/>
        <w:ind w:firstLine="226" w:firstLineChars="100"/>
        <w:textAlignment w:val="auto"/>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1、</w:t>
      </w:r>
      <w:r>
        <w:rPr>
          <w:rFonts w:hint="eastAsia" w:ascii="宋体" w:hAnsi="宋体" w:cs="宋体"/>
          <w:b w:val="0"/>
          <w:bCs w:val="0"/>
          <w:strike w:val="0"/>
          <w:dstrike w:val="0"/>
          <w:snapToGrid w:val="0"/>
          <w:color w:val="auto"/>
          <w:spacing w:val="8"/>
          <w:kern w:val="0"/>
          <w:sz w:val="21"/>
          <w:szCs w:val="21"/>
          <w:highlight w:val="none"/>
          <w:lang w:val="en-US" w:eastAsia="zh-CN" w:bidi="ar-SA"/>
        </w:rPr>
        <w:t>中标人在</w:t>
      </w: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供货</w:t>
      </w:r>
      <w:r>
        <w:rPr>
          <w:rFonts w:hint="eastAsia" w:ascii="宋体" w:hAnsi="宋体" w:cs="宋体"/>
          <w:b w:val="0"/>
          <w:bCs w:val="0"/>
          <w:strike w:val="0"/>
          <w:dstrike w:val="0"/>
          <w:snapToGrid w:val="0"/>
          <w:color w:val="auto"/>
          <w:spacing w:val="8"/>
          <w:kern w:val="0"/>
          <w:sz w:val="21"/>
          <w:szCs w:val="21"/>
          <w:highlight w:val="none"/>
          <w:lang w:val="en-US" w:eastAsia="zh-CN" w:bidi="ar-SA"/>
        </w:rPr>
        <w:t>时</w:t>
      </w: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应提供产品说明书等技术文件资料，包含但不限于</w:t>
      </w:r>
      <w:r>
        <w:rPr>
          <w:rFonts w:hint="eastAsia" w:ascii="宋体" w:hAnsi="宋体" w:cs="宋体"/>
          <w:b w:val="0"/>
          <w:bCs w:val="0"/>
          <w:strike w:val="0"/>
          <w:dstrike w:val="0"/>
          <w:snapToGrid w:val="0"/>
          <w:color w:val="auto"/>
          <w:spacing w:val="8"/>
          <w:kern w:val="0"/>
          <w:sz w:val="21"/>
          <w:szCs w:val="21"/>
          <w:highlight w:val="none"/>
          <w:lang w:val="en-US" w:eastAsia="zh-CN" w:bidi="ar-SA"/>
        </w:rPr>
        <w:t>药品注册批件</w:t>
      </w: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、使用说明书等。</w:t>
      </w:r>
    </w:p>
    <w:p>
      <w:pPr>
        <w:keepNext w:val="0"/>
        <w:keepLines w:val="0"/>
        <w:pageBreakBefore w:val="0"/>
        <w:widowControl w:val="0"/>
        <w:kinsoku/>
        <w:wordWrap/>
        <w:overflowPunct/>
        <w:topLinePunct w:val="0"/>
        <w:autoSpaceDE/>
        <w:autoSpaceDN/>
        <w:bidi w:val="0"/>
        <w:adjustRightInd/>
        <w:snapToGrid/>
        <w:spacing w:line="360" w:lineRule="auto"/>
        <w:ind w:firstLine="226" w:firstLineChars="100"/>
        <w:textAlignment w:val="auto"/>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2、采购人确认供货方提供的技术资料不完整或在运输过程中丢失，供货方应在收到采购人通知后15天内将所缺失资料免费送达提供给采购人。</w:t>
      </w:r>
    </w:p>
    <w:p>
      <w:pPr>
        <w:keepNext w:val="0"/>
        <w:keepLines w:val="0"/>
        <w:pageBreakBefore w:val="0"/>
        <w:widowControl w:val="0"/>
        <w:kinsoku/>
        <w:wordWrap/>
        <w:overflowPunct/>
        <w:topLinePunct w:val="0"/>
        <w:autoSpaceDE/>
        <w:autoSpaceDN/>
        <w:bidi w:val="0"/>
        <w:adjustRightInd/>
        <w:snapToGrid/>
        <w:spacing w:line="360" w:lineRule="auto"/>
        <w:ind w:firstLine="226" w:firstLineChars="100"/>
        <w:textAlignment w:val="auto"/>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三、运输及安全要求</w:t>
      </w:r>
    </w:p>
    <w:p>
      <w:pPr>
        <w:pageBreakBefore w:val="0"/>
        <w:wordWrap/>
        <w:overflowPunct/>
        <w:topLinePunct w:val="0"/>
        <w:bidi w:val="0"/>
        <w:spacing w:line="360" w:lineRule="auto"/>
        <w:ind w:firstLine="226" w:firstLineChars="1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供货方应保证货物包装完整、冷链运输温度符合要求，并负责运输到采购人指定交货地点。包装及运输方式不当，致货物受损的，所有损失概由供货方自行承担。</w:t>
      </w:r>
    </w:p>
    <w:p>
      <w:pPr>
        <w:pageBreakBefore w:val="0"/>
        <w:wordWrap/>
        <w:overflowPunct/>
        <w:topLinePunct w:val="0"/>
        <w:bidi w:val="0"/>
        <w:spacing w:line="360" w:lineRule="auto"/>
        <w:ind w:firstLine="452" w:firstLineChars="2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四、验收标准和方法</w:t>
      </w:r>
    </w:p>
    <w:p>
      <w:pPr>
        <w:pageBreakBefore w:val="0"/>
        <w:wordWrap/>
        <w:overflowPunct/>
        <w:topLinePunct w:val="0"/>
        <w:bidi w:val="0"/>
        <w:spacing w:line="360" w:lineRule="auto"/>
        <w:ind w:firstLine="452" w:firstLineChars="2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1、供货方必须严格按照本合同及附件要求提供符合国家标准的产品（如无相关国家标准则应符合行业标准；既无可适用的国家标准又无行业标准的，适用企业标准。招标文件要求或者投标人承诺的参数高于相关标准的，从高适用）。供货方所出售的货物还应符合国家有关安全、环保、卫生之规定。</w:t>
      </w:r>
    </w:p>
    <w:p>
      <w:pPr>
        <w:pageBreakBefore w:val="0"/>
        <w:wordWrap/>
        <w:overflowPunct/>
        <w:topLinePunct w:val="0"/>
        <w:bidi w:val="0"/>
        <w:spacing w:line="360" w:lineRule="auto"/>
        <w:ind w:firstLine="452" w:firstLineChars="2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2、供货方保证所提供的产品是原装、全新、通过合法渠道取得的正规产品，满足合同规定的质量、性能、技术规范等的要求。</w:t>
      </w:r>
    </w:p>
    <w:p>
      <w:pPr>
        <w:pageBreakBefore w:val="0"/>
        <w:wordWrap/>
        <w:overflowPunct/>
        <w:topLinePunct w:val="0"/>
        <w:bidi w:val="0"/>
        <w:spacing w:line="360" w:lineRule="auto"/>
        <w:ind w:firstLine="452" w:firstLineChars="2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3、货物运抵采购人指定地点，由双方组织相关人员共同对到货产品的数量、规格、外观质量、冷链运输、技术资料等进行初验。初验发现与合同要求不符的货物，不得收货确认，一切损失概由供货方自行负担；供货方拒绝更换的，采购人不予验收。</w:t>
      </w:r>
    </w:p>
    <w:p>
      <w:pPr>
        <w:keepNext w:val="0"/>
        <w:keepLines w:val="0"/>
        <w:pageBreakBefore w:val="0"/>
        <w:wordWrap/>
        <w:overflowPunct/>
        <w:topLinePunct w:val="0"/>
        <w:bidi w:val="0"/>
        <w:spacing w:line="360" w:lineRule="auto"/>
        <w:ind w:firstLine="452" w:firstLineChars="2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4、合同标的如有任何部分须依法报请政府主管机关检验检测或查验、或需取得国家强制检验检测合格证方可投入使用的，由供货方提出申请并负担有关费用。</w:t>
      </w:r>
    </w:p>
    <w:p>
      <w:pPr>
        <w:keepNext w:val="0"/>
        <w:keepLines w:val="0"/>
        <w:pageBreakBefore w:val="0"/>
        <w:wordWrap/>
        <w:overflowPunct/>
        <w:topLinePunct w:val="0"/>
        <w:bidi w:val="0"/>
        <w:spacing w:line="360" w:lineRule="auto"/>
        <w:ind w:firstLine="452" w:firstLineChars="200"/>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5、必要时，采购人可按检验检测标准自行检查或委托有资质的相关质检机构的检验检测。如采购人发现产品的质量、规格与合同和采购文件要求不符，以书面形式通知供货方。供货方在收到通知后3日内应无条件免费更换。</w:t>
      </w:r>
    </w:p>
    <w:p>
      <w:pPr>
        <w:keepNext w:val="0"/>
        <w:keepLines w:val="0"/>
        <w:pageBreakBefore w:val="0"/>
        <w:widowControl w:val="0"/>
        <w:kinsoku/>
        <w:wordWrap/>
        <w:overflowPunct/>
        <w:topLinePunct w:val="0"/>
        <w:autoSpaceDE/>
        <w:autoSpaceDN/>
        <w:bidi w:val="0"/>
        <w:adjustRightInd/>
        <w:snapToGrid/>
        <w:spacing w:line="360" w:lineRule="auto"/>
        <w:ind w:firstLine="452" w:firstLineChars="200"/>
        <w:textAlignment w:val="auto"/>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五、售后服务要求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1、技术支持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1）提供 7×24 小时的技术咨询服务。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b w:val="0"/>
          <w:bCs w:val="0"/>
          <w:strike w:val="0"/>
          <w:dstrike w:val="0"/>
          <w:snapToGrid w:val="0"/>
          <w:color w:val="auto"/>
          <w:spacing w:val="8"/>
          <w:kern w:val="0"/>
          <w:sz w:val="21"/>
          <w:szCs w:val="21"/>
          <w:highlight w:val="none"/>
          <w:lang w:val="en-US" w:eastAsia="zh-CN" w:bidi="ar-SA"/>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2、售后服务承诺书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Theme="minorEastAsia" w:hAnsiTheme="minorEastAsia" w:eastAsiaTheme="minorEastAsia" w:cstheme="minorEastAsia"/>
          <w:lang w:val="en-US" w:eastAsia="zh-CN"/>
        </w:rPr>
      </w:pPr>
      <w:r>
        <w:rPr>
          <w:rFonts w:hint="eastAsia" w:ascii="宋体" w:hAnsi="宋体" w:eastAsia="宋体" w:cs="宋体"/>
          <w:b w:val="0"/>
          <w:bCs w:val="0"/>
          <w:strike w:val="0"/>
          <w:dstrike w:val="0"/>
          <w:snapToGrid w:val="0"/>
          <w:color w:val="auto"/>
          <w:spacing w:val="8"/>
          <w:kern w:val="0"/>
          <w:sz w:val="21"/>
          <w:szCs w:val="21"/>
          <w:highlight w:val="none"/>
          <w:lang w:val="en-US" w:eastAsia="zh-CN" w:bidi="ar-SA"/>
        </w:rPr>
        <w:t>六、</w:t>
      </w:r>
      <w:r>
        <w:rPr>
          <w:rFonts w:hint="eastAsia" w:asciiTheme="minorEastAsia" w:hAnsiTheme="minorEastAsia" w:eastAsiaTheme="minorEastAsia" w:cstheme="minorEastAsia"/>
          <w:b/>
          <w:bCs/>
          <w:color w:val="000000" w:themeColor="text1"/>
          <w:kern w:val="0"/>
          <w:szCs w:val="21"/>
          <w:lang w:val="en-US" w:eastAsia="zh-CN"/>
          <w14:textFill>
            <w14:solidFill>
              <w14:schemeClr w14:val="tx1"/>
            </w14:solidFill>
          </w14:textFill>
        </w:rPr>
        <w:t>其他：</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投标人需对上述要求进行相关响应。</w:t>
      </w:r>
    </w:p>
    <w:p>
      <w:pPr>
        <w:pStyle w:val="2"/>
        <w:numPr>
          <w:ilvl w:val="0"/>
          <w:numId w:val="0"/>
        </w:numPr>
        <w:ind w:leftChars="-150" w:firstLine="632" w:firstLineChars="300"/>
        <w:rPr>
          <w:rFonts w:hint="eastAsia" w:asciiTheme="minorEastAsia" w:hAnsiTheme="minorEastAsia" w:eastAsiaTheme="minorEastAsia" w:cstheme="minorEastAsia"/>
          <w:b/>
          <w:bCs/>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SA"/>
          <w14:textFill>
            <w14:solidFill>
              <w14:schemeClr w14:val="tx1"/>
            </w14:solidFill>
          </w14:textFill>
        </w:rPr>
        <w:t>七、未尽事宜双方签订合同时约定</w:t>
      </w:r>
    </w:p>
    <w:bookmarkEnd w:id="821"/>
    <w:bookmarkEnd w:id="829"/>
    <w:p>
      <w:pPr>
        <w:rPr>
          <w:rFonts w:hint="eastAsia" w:ascii="黑体" w:hAnsi="华文中宋" w:eastAsia="黑体"/>
          <w:b/>
          <w:sz w:val="32"/>
          <w:szCs w:val="32"/>
        </w:rPr>
      </w:pPr>
      <w:r>
        <w:rPr>
          <w:rFonts w:hint="eastAsia" w:ascii="黑体" w:hAnsi="华文中宋" w:eastAsia="黑体"/>
          <w:b/>
          <w:sz w:val="32"/>
          <w:szCs w:val="32"/>
        </w:rPr>
        <w:br w:type="page"/>
      </w:r>
    </w:p>
    <w:bookmarkEnd w:id="822"/>
    <w:p>
      <w:pPr>
        <w:pStyle w:val="25"/>
        <w:adjustRightInd w:val="0"/>
        <w:snapToGrid w:val="0"/>
        <w:spacing w:line="360" w:lineRule="auto"/>
        <w:jc w:val="center"/>
        <w:outlineLvl w:val="0"/>
        <w:rPr>
          <w:rFonts w:ascii="黑体" w:hAnsi="华文中宋" w:eastAsia="黑体"/>
          <w:b/>
          <w:sz w:val="32"/>
          <w:szCs w:val="32"/>
        </w:rPr>
      </w:pPr>
      <w:r>
        <w:rPr>
          <w:rFonts w:hint="eastAsia" w:ascii="黑体" w:hAnsi="华文中宋" w:eastAsia="黑体"/>
          <w:b/>
          <w:sz w:val="32"/>
          <w:szCs w:val="32"/>
        </w:rPr>
        <w:t>第六章 政府采购合同</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4"/>
        <w:adjustRightInd w:val="0"/>
        <w:snapToGrid w:val="0"/>
        <w:jc w:val="center"/>
        <w:rPr>
          <w:rFonts w:ascii="黑体" w:hAnsi="华文中宋" w:eastAsia="黑体"/>
          <w:sz w:val="28"/>
          <w:szCs w:val="28"/>
        </w:rPr>
      </w:pPr>
      <w:bookmarkStart w:id="849" w:name="_Toc78450000"/>
      <w:bookmarkStart w:id="850" w:name="_Toc94367923"/>
      <w:bookmarkStart w:id="851" w:name="_Toc1902"/>
      <w:bookmarkStart w:id="852" w:name="_Toc78314307"/>
      <w:bookmarkStart w:id="853" w:name="_Toc18206"/>
      <w:bookmarkStart w:id="854" w:name="_Toc11856"/>
      <w:bookmarkStart w:id="855" w:name="_Toc2714"/>
      <w:bookmarkStart w:id="856" w:name="_Toc77199447"/>
      <w:bookmarkStart w:id="857" w:name="_Toc77676511"/>
      <w:bookmarkStart w:id="858" w:name="_Toc100670716"/>
      <w:bookmarkStart w:id="859" w:name="_Toc85972973"/>
      <w:bookmarkStart w:id="860" w:name="_Toc112594301"/>
      <w:bookmarkStart w:id="861" w:name="_Toc75289593"/>
      <w:bookmarkStart w:id="862" w:name="_Toc75289275"/>
      <w:bookmarkStart w:id="863" w:name="_Toc108341983"/>
      <w:bookmarkStart w:id="864" w:name="_Toc95601408"/>
      <w:bookmarkStart w:id="865" w:name="_Toc15888523"/>
      <w:bookmarkStart w:id="866" w:name="_Toc28357"/>
      <w:bookmarkStart w:id="867" w:name="_Toc100670468"/>
      <w:bookmarkStart w:id="868" w:name="OLE_LINK10"/>
      <w:r>
        <w:rPr>
          <w:rFonts w:hint="eastAsia" w:ascii="黑体" w:hAnsi="华文中宋" w:eastAsia="黑体"/>
          <w:sz w:val="28"/>
          <w:szCs w:val="28"/>
        </w:rPr>
        <w:t>第一节 政府采购合同协议书</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adjustRightInd w:val="0"/>
        <w:snapToGrid w:val="0"/>
        <w:spacing w:line="360" w:lineRule="auto"/>
        <w:jc w:val="center"/>
        <w:rPr>
          <w:rFonts w:ascii="宋体" w:hAnsi="宋体"/>
          <w:szCs w:val="21"/>
        </w:rPr>
      </w:pPr>
    </w:p>
    <w:p>
      <w:pPr>
        <w:adjustRightInd w:val="0"/>
        <w:snapToGrid w:val="0"/>
        <w:spacing w:line="360" w:lineRule="auto"/>
        <w:ind w:firstLine="5880" w:firstLineChars="2800"/>
        <w:rPr>
          <w:rFonts w:ascii="宋体" w:hAnsi="宋体"/>
          <w:b/>
          <w:szCs w:val="21"/>
        </w:rPr>
      </w:pPr>
      <w:r>
        <w:rPr>
          <w:rFonts w:hint="eastAsia" w:ascii="宋体" w:hAnsi="宋体"/>
          <w:szCs w:val="21"/>
        </w:rPr>
        <w:t>采购合同编号：</w:t>
      </w:r>
    </w:p>
    <w:p>
      <w:pPr>
        <w:adjustRightInd w:val="0"/>
        <w:snapToGrid w:val="0"/>
        <w:spacing w:line="360" w:lineRule="auto"/>
        <w:ind w:firstLine="420" w:firstLineChars="200"/>
        <w:rPr>
          <w:rFonts w:ascii="宋体" w:hAnsi="宋体"/>
          <w:szCs w:val="21"/>
        </w:rPr>
      </w:pPr>
      <w:r>
        <w:rPr>
          <w:rFonts w:hint="eastAsia" w:ascii="宋体" w:hAnsi="宋体"/>
          <w:szCs w:val="21"/>
        </w:rPr>
        <w:t>采购人（全称）：（甲方）</w:t>
      </w:r>
    </w:p>
    <w:p>
      <w:pPr>
        <w:adjustRightInd w:val="0"/>
        <w:snapToGrid w:val="0"/>
        <w:spacing w:line="360" w:lineRule="auto"/>
        <w:ind w:firstLine="420" w:firstLineChars="200"/>
        <w:rPr>
          <w:rFonts w:ascii="宋体" w:hAnsi="宋体"/>
          <w:szCs w:val="21"/>
        </w:rPr>
      </w:pPr>
      <w:r>
        <w:rPr>
          <w:rFonts w:hint="eastAsia" w:ascii="宋体" w:hAnsi="宋体"/>
          <w:szCs w:val="21"/>
        </w:rPr>
        <w:t>供应商（全称）：（乙方）</w:t>
      </w:r>
    </w:p>
    <w:p>
      <w:pPr>
        <w:pStyle w:val="20"/>
        <w:adjustRightInd w:val="0"/>
        <w:snapToGrid w:val="0"/>
        <w:spacing w:after="0" w:line="360" w:lineRule="auto"/>
        <w:ind w:left="0" w:leftChars="0" w:firstLine="400" w:firstLineChars="200"/>
        <w:rPr>
          <w:rFonts w:ascii="宋体" w:hAnsi="宋体"/>
          <w:szCs w:val="21"/>
        </w:rPr>
      </w:pPr>
    </w:p>
    <w:p>
      <w:pPr>
        <w:pStyle w:val="20"/>
        <w:adjustRightInd w:val="0"/>
        <w:snapToGrid w:val="0"/>
        <w:spacing w:after="0" w:line="360" w:lineRule="auto"/>
        <w:ind w:left="0" w:leftChars="0" w:firstLine="420" w:firstLineChars="200"/>
        <w:rPr>
          <w:rFonts w:ascii="宋体" w:hAnsi="宋体"/>
          <w:sz w:val="21"/>
          <w:szCs w:val="21"/>
        </w:rPr>
      </w:pPr>
      <w:r>
        <w:rPr>
          <w:rFonts w:hint="eastAsia" w:ascii="宋体" w:hAnsi="宋体"/>
          <w:sz w:val="21"/>
          <w:szCs w:val="21"/>
        </w:rPr>
        <w:t>为了保护甲、乙双方合法权益，根据《中华人民共和国民法典》、《中华人民共和国政府采购法》及其他有关法律、法规、规章，双方签订本合同协议书。</w:t>
      </w:r>
    </w:p>
    <w:p>
      <w:pPr>
        <w:adjustRightInd w:val="0"/>
        <w:snapToGrid w:val="0"/>
        <w:spacing w:line="360" w:lineRule="auto"/>
        <w:ind w:firstLine="422" w:firstLineChars="200"/>
        <w:rPr>
          <w:rFonts w:ascii="宋体" w:hAnsi="宋体"/>
          <w:b/>
          <w:szCs w:val="21"/>
        </w:rPr>
      </w:pPr>
      <w:r>
        <w:rPr>
          <w:rFonts w:hint="eastAsia" w:ascii="宋体" w:hAnsi="宋体"/>
          <w:b/>
          <w:szCs w:val="21"/>
        </w:rPr>
        <w:t>1.项目信息</w:t>
      </w:r>
    </w:p>
    <w:p>
      <w:pPr>
        <w:pStyle w:val="20"/>
        <w:adjustRightInd w:val="0"/>
        <w:snapToGrid w:val="0"/>
        <w:spacing w:after="0" w:line="360" w:lineRule="auto"/>
        <w:rPr>
          <w:rFonts w:ascii="宋体" w:hAnsi="宋体"/>
          <w:sz w:val="21"/>
          <w:szCs w:val="21"/>
        </w:rPr>
      </w:pPr>
      <w:r>
        <w:rPr>
          <w:rFonts w:hint="eastAsia" w:ascii="宋体" w:hAnsi="宋体"/>
          <w:sz w:val="21"/>
          <w:szCs w:val="21"/>
        </w:rPr>
        <w:t>（1）采购项目名称：</w:t>
      </w:r>
    </w:p>
    <w:p>
      <w:pPr>
        <w:pStyle w:val="20"/>
        <w:adjustRightInd w:val="0"/>
        <w:snapToGrid w:val="0"/>
        <w:spacing w:after="0" w:line="360" w:lineRule="auto"/>
        <w:rPr>
          <w:rFonts w:ascii="宋体" w:hAnsi="宋体"/>
          <w:sz w:val="21"/>
          <w:szCs w:val="21"/>
        </w:rPr>
      </w:pPr>
      <w:r>
        <w:rPr>
          <w:rFonts w:hint="eastAsia" w:ascii="宋体" w:hAnsi="宋体"/>
          <w:sz w:val="21"/>
          <w:szCs w:val="21"/>
        </w:rPr>
        <w:t>（2）政府采购计划编号：</w:t>
      </w:r>
    </w:p>
    <w:p>
      <w:pPr>
        <w:adjustRightInd w:val="0"/>
        <w:snapToGrid w:val="0"/>
        <w:spacing w:line="360" w:lineRule="auto"/>
        <w:ind w:firstLine="420" w:firstLineChars="200"/>
        <w:rPr>
          <w:rFonts w:ascii="宋体" w:hAnsi="宋体"/>
          <w:szCs w:val="21"/>
        </w:rPr>
      </w:pPr>
      <w:r>
        <w:rPr>
          <w:rFonts w:hint="eastAsia" w:ascii="宋体" w:hAnsi="宋体"/>
          <w:szCs w:val="21"/>
        </w:rPr>
        <w:t>（3）项目内容：</w:t>
      </w:r>
    </w:p>
    <w:p>
      <w:pPr>
        <w:adjustRightInd w:val="0"/>
        <w:snapToGrid w:val="0"/>
        <w:spacing w:line="360" w:lineRule="auto"/>
        <w:ind w:firstLine="420" w:firstLineChars="200"/>
        <w:rPr>
          <w:rFonts w:ascii="宋体" w:hAnsi="宋体"/>
          <w:szCs w:val="21"/>
        </w:rPr>
      </w:pPr>
      <w:r>
        <w:rPr>
          <w:rFonts w:hint="eastAsia" w:ascii="宋体" w:hAnsi="宋体"/>
          <w:szCs w:val="21"/>
        </w:rPr>
        <w:t>（4）是否分包：。</w:t>
      </w:r>
    </w:p>
    <w:p>
      <w:pPr>
        <w:adjustRightInd w:val="0"/>
        <w:snapToGrid w:val="0"/>
        <w:spacing w:line="360" w:lineRule="auto"/>
        <w:ind w:firstLine="420" w:firstLineChars="200"/>
        <w:rPr>
          <w:rFonts w:ascii="宋体" w:hAnsi="宋体"/>
          <w:szCs w:val="21"/>
        </w:rPr>
      </w:pPr>
      <w:r>
        <w:rPr>
          <w:rFonts w:hint="eastAsia" w:ascii="宋体" w:hAnsi="宋体"/>
          <w:szCs w:val="21"/>
        </w:rPr>
        <w:t>（5）项目负责人：。</w:t>
      </w:r>
    </w:p>
    <w:p>
      <w:pPr>
        <w:adjustRightInd w:val="0"/>
        <w:snapToGrid w:val="0"/>
        <w:spacing w:line="360" w:lineRule="auto"/>
        <w:ind w:firstLine="420" w:firstLineChars="200"/>
        <w:rPr>
          <w:rFonts w:ascii="宋体" w:hAnsi="宋体"/>
          <w:szCs w:val="21"/>
        </w:rPr>
      </w:pPr>
      <w:r>
        <w:rPr>
          <w:rFonts w:hint="eastAsia" w:ascii="宋体" w:hAnsi="宋体"/>
          <w:szCs w:val="21"/>
        </w:rPr>
        <w:t>（6）联系电话：。</w:t>
      </w:r>
    </w:p>
    <w:p>
      <w:pPr>
        <w:adjustRightInd w:val="0"/>
        <w:snapToGrid w:val="0"/>
        <w:spacing w:line="360" w:lineRule="auto"/>
        <w:ind w:firstLine="413" w:firstLineChars="196"/>
        <w:rPr>
          <w:rFonts w:ascii="宋体" w:hAnsi="宋体"/>
          <w:b/>
          <w:szCs w:val="21"/>
        </w:rPr>
      </w:pPr>
      <w:r>
        <w:rPr>
          <w:rFonts w:hint="eastAsia" w:ascii="宋体" w:hAnsi="宋体"/>
          <w:b/>
          <w:szCs w:val="21"/>
        </w:rPr>
        <w:t>2.合同金额</w:t>
      </w:r>
    </w:p>
    <w:p>
      <w:pPr>
        <w:adjustRightInd w:val="0"/>
        <w:snapToGrid w:val="0"/>
        <w:spacing w:line="360" w:lineRule="auto"/>
        <w:ind w:firstLine="420" w:firstLineChars="200"/>
        <w:rPr>
          <w:rFonts w:ascii="宋体" w:hAnsi="宋体"/>
          <w:szCs w:val="21"/>
        </w:rPr>
      </w:pPr>
      <w:r>
        <w:rPr>
          <w:rFonts w:hint="eastAsia" w:ascii="宋体" w:hAnsi="宋体"/>
          <w:szCs w:val="21"/>
        </w:rPr>
        <w:t>（1）合同金额小写：</w:t>
      </w:r>
    </w:p>
    <w:p>
      <w:pPr>
        <w:adjustRightInd w:val="0"/>
        <w:snapToGrid w:val="0"/>
        <w:spacing w:line="360" w:lineRule="auto"/>
        <w:ind w:firstLine="1260" w:firstLineChars="600"/>
        <w:rPr>
          <w:rFonts w:ascii="宋体" w:hAnsi="宋体"/>
          <w:b/>
          <w:szCs w:val="21"/>
        </w:rPr>
      </w:pPr>
      <w:r>
        <w:rPr>
          <w:rFonts w:hint="eastAsia" w:ascii="宋体" w:hAnsi="宋体"/>
          <w:szCs w:val="21"/>
        </w:rPr>
        <w:t>大写：</w:t>
      </w:r>
    </w:p>
    <w:p>
      <w:pPr>
        <w:adjustRightInd w:val="0"/>
        <w:snapToGrid w:val="0"/>
        <w:spacing w:line="360" w:lineRule="auto"/>
        <w:ind w:firstLine="420" w:firstLineChars="200"/>
        <w:rPr>
          <w:rFonts w:ascii="宋体" w:hAnsi="宋体"/>
          <w:szCs w:val="21"/>
        </w:rPr>
      </w:pPr>
      <w:r>
        <w:rPr>
          <w:rFonts w:hint="eastAsia" w:ascii="宋体" w:hAnsi="宋体"/>
          <w:szCs w:val="21"/>
        </w:rPr>
        <w:t>（2）具体标的见附件。</w:t>
      </w:r>
    </w:p>
    <w:p>
      <w:pPr>
        <w:adjustRightInd w:val="0"/>
        <w:snapToGrid w:val="0"/>
        <w:spacing w:line="360" w:lineRule="auto"/>
        <w:ind w:firstLine="420" w:firstLineChars="200"/>
        <w:rPr>
          <w:rFonts w:ascii="宋体" w:hAnsi="宋体"/>
          <w:szCs w:val="21"/>
        </w:rPr>
      </w:pPr>
      <w:r>
        <w:rPr>
          <w:rFonts w:hint="eastAsia" w:ascii="宋体" w:hAnsi="宋体"/>
          <w:szCs w:val="21"/>
        </w:rPr>
        <w:t>（3）合同定价方式：</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szCs w:val="21"/>
        </w:rPr>
        <w:sym w:font="Wingdings" w:char="00FE"/>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pPr>
        <w:adjustRightInd w:val="0"/>
        <w:snapToGrid w:val="0"/>
        <w:spacing w:line="360" w:lineRule="auto"/>
        <w:ind w:firstLine="420" w:firstLineChars="200"/>
        <w:rPr>
          <w:rFonts w:ascii="宋体" w:hAnsi="宋体"/>
          <w:szCs w:val="21"/>
        </w:rPr>
      </w:pPr>
      <w:r>
        <w:rPr>
          <w:rFonts w:hint="eastAsia" w:ascii="宋体" w:hAnsi="宋体"/>
          <w:szCs w:val="21"/>
        </w:rPr>
        <w:t>（4）付款方式（按项目实际勾选填写）：</w:t>
      </w:r>
    </w:p>
    <w:p>
      <w:pPr>
        <w:adjustRightInd w:val="0"/>
        <w:snapToGrid w:val="0"/>
        <w:spacing w:line="360" w:lineRule="auto"/>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（应一次性支付全部合同款项）                    </w:t>
      </w:r>
    </w:p>
    <w:p>
      <w:pPr>
        <w:adjustRightInd w:val="0"/>
        <w:snapToGrid w:val="0"/>
        <w:spacing w:line="360" w:lineRule="auto"/>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预付款：</w:t>
      </w:r>
      <w:r>
        <w:rPr>
          <w:rFonts w:hint="eastAsia" w:ascii="宋体" w:hAnsi="宋体"/>
          <w:szCs w:val="21"/>
          <w:u w:val="single"/>
        </w:rPr>
        <w:t xml:space="preserve">    （应明确预付款的支付比例和支付条件）               </w:t>
      </w:r>
    </w:p>
    <w:p>
      <w:pPr>
        <w:adjustRightInd w:val="0"/>
        <w:snapToGrid w:val="0"/>
        <w:spacing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（应按照季度分期支付合同款项）                   </w:t>
      </w:r>
    </w:p>
    <w:p>
      <w:pPr>
        <w:adjustRightInd w:val="0"/>
        <w:snapToGrid w:val="0"/>
        <w:spacing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pPr>
        <w:adjustRightInd w:val="0"/>
        <w:snapToGrid w:val="0"/>
        <w:spacing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pPr>
        <w:adjustRightInd w:val="0"/>
        <w:snapToGrid w:val="0"/>
        <w:spacing w:line="360" w:lineRule="auto"/>
        <w:ind w:firstLine="422" w:firstLineChars="200"/>
        <w:rPr>
          <w:rFonts w:ascii="宋体" w:hAnsi="宋体"/>
          <w:szCs w:val="21"/>
          <w:u w:val="single"/>
        </w:rPr>
      </w:pPr>
      <w:r>
        <w:rPr>
          <w:rFonts w:hint="eastAsia" w:ascii="宋体" w:hAnsi="宋体"/>
          <w:b/>
          <w:szCs w:val="21"/>
        </w:rPr>
        <w:t>3.合同履行</w:t>
      </w:r>
    </w:p>
    <w:p>
      <w:pPr>
        <w:adjustRightInd w:val="0"/>
        <w:snapToGrid w:val="0"/>
        <w:spacing w:line="360" w:lineRule="auto"/>
        <w:ind w:firstLine="420" w:firstLineChars="200"/>
        <w:rPr>
          <w:rFonts w:ascii="宋体" w:hAnsi="宋体"/>
          <w:szCs w:val="21"/>
        </w:rPr>
      </w:pPr>
      <w:r>
        <w:rPr>
          <w:rFonts w:hint="eastAsia" w:ascii="宋体" w:hAnsi="宋体"/>
          <w:szCs w:val="21"/>
        </w:rPr>
        <w:t>（1）起始日期：年月日，完成日期：年月日。总日历天数：天。</w:t>
      </w:r>
    </w:p>
    <w:p>
      <w:pPr>
        <w:adjustRightInd w:val="0"/>
        <w:snapToGrid w:val="0"/>
        <w:spacing w:line="360" w:lineRule="auto"/>
        <w:ind w:firstLine="420" w:firstLineChars="200"/>
        <w:rPr>
          <w:rFonts w:ascii="宋体" w:hAnsi="宋体"/>
          <w:szCs w:val="21"/>
          <w:u w:val="single"/>
        </w:rPr>
      </w:pPr>
      <w:r>
        <w:rPr>
          <w:rFonts w:hint="eastAsia" w:ascii="宋体" w:hAnsi="宋体"/>
          <w:szCs w:val="21"/>
        </w:rPr>
        <w:t>（2）地点</w:t>
      </w:r>
      <w:r>
        <w:rPr>
          <w:rFonts w:hint="eastAsia" w:ascii="宋体" w:hAnsi="宋体"/>
          <w:b/>
          <w:szCs w:val="21"/>
        </w:rPr>
        <w:t>：</w:t>
      </w:r>
    </w:p>
    <w:p>
      <w:pPr>
        <w:adjustRightInd w:val="0"/>
        <w:snapToGrid w:val="0"/>
        <w:spacing w:line="360" w:lineRule="auto"/>
        <w:ind w:firstLine="420" w:firstLineChars="200"/>
        <w:rPr>
          <w:rFonts w:ascii="宋体" w:hAnsi="宋体"/>
          <w:szCs w:val="21"/>
          <w:u w:val="single"/>
        </w:rPr>
      </w:pPr>
      <w:r>
        <w:rPr>
          <w:rFonts w:hint="eastAsia" w:ascii="宋体" w:hAnsi="宋体"/>
          <w:szCs w:val="21"/>
        </w:rPr>
        <w:t>（3）方式：</w:t>
      </w:r>
    </w:p>
    <w:p>
      <w:pPr>
        <w:adjustRightInd w:val="0"/>
        <w:snapToGrid w:val="0"/>
        <w:spacing w:line="360" w:lineRule="auto"/>
        <w:ind w:firstLine="420" w:firstLineChars="200"/>
        <w:rPr>
          <w:rFonts w:ascii="宋体" w:hAnsi="宋体"/>
          <w:bCs/>
          <w:szCs w:val="21"/>
        </w:rPr>
      </w:pPr>
      <w:r>
        <w:rPr>
          <w:rFonts w:hint="eastAsia" w:ascii="宋体" w:hAnsi="宋体"/>
          <w:bCs/>
          <w:szCs w:val="21"/>
        </w:rPr>
        <w:t>（4）履约担保：</w:t>
      </w:r>
      <w:r>
        <w:rPr>
          <w:rFonts w:hint="eastAsia" w:ascii="宋体" w:hAnsi="宋体"/>
          <w:bCs/>
          <w:szCs w:val="21"/>
          <w:u w:val="single"/>
        </w:rPr>
        <w:t>履约担保的金额、形式和期限要求</w:t>
      </w:r>
      <w:r>
        <w:rPr>
          <w:rFonts w:hint="eastAsia" w:ascii="宋体" w:hAnsi="宋体"/>
          <w:bCs/>
          <w:szCs w:val="21"/>
        </w:rPr>
        <w:t>。</w:t>
      </w:r>
    </w:p>
    <w:p>
      <w:pPr>
        <w:adjustRightInd w:val="0"/>
        <w:snapToGrid w:val="0"/>
        <w:spacing w:line="360" w:lineRule="auto"/>
        <w:ind w:firstLine="420" w:firstLineChars="200"/>
        <w:rPr>
          <w:rFonts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r>
        <w:rPr>
          <w:rFonts w:hint="eastAsia" w:ascii="宋体" w:hAnsi="宋体"/>
          <w:bCs/>
          <w:szCs w:val="21"/>
        </w:rPr>
        <w:t>。</w:t>
      </w:r>
    </w:p>
    <w:p>
      <w:pPr>
        <w:adjustRightInd w:val="0"/>
        <w:snapToGrid w:val="0"/>
        <w:spacing w:line="360" w:lineRule="auto"/>
        <w:ind w:firstLine="422" w:firstLineChars="200"/>
        <w:rPr>
          <w:rFonts w:ascii="宋体" w:hAnsi="宋体"/>
          <w:b/>
          <w:szCs w:val="21"/>
        </w:rPr>
      </w:pPr>
      <w:r>
        <w:rPr>
          <w:rFonts w:hint="eastAsia" w:ascii="宋体" w:hAnsi="宋体"/>
          <w:b/>
          <w:szCs w:val="21"/>
        </w:rPr>
        <w:t>4.合同验收</w:t>
      </w:r>
    </w:p>
    <w:p>
      <w:pPr>
        <w:adjustRightInd w:val="0"/>
        <w:snapToGrid w:val="0"/>
        <w:spacing w:line="360" w:lineRule="auto"/>
        <w:ind w:firstLine="420" w:firstLineChars="200"/>
        <w:rPr>
          <w:rFonts w:ascii="宋体" w:hAnsi="宋体"/>
          <w:bCs/>
          <w:szCs w:val="21"/>
        </w:rPr>
      </w:pPr>
      <w:r>
        <w:rPr>
          <w:rFonts w:hint="eastAsia" w:ascii="宋体" w:hAnsi="宋体"/>
          <w:bCs/>
          <w:szCs w:val="21"/>
        </w:rPr>
        <w:t>（1）验收主体：。</w:t>
      </w:r>
    </w:p>
    <w:p>
      <w:pPr>
        <w:adjustRightInd w:val="0"/>
        <w:snapToGrid w:val="0"/>
        <w:spacing w:line="360" w:lineRule="auto"/>
        <w:ind w:firstLine="420" w:firstLineChars="200"/>
        <w:rPr>
          <w:rFonts w:ascii="宋体" w:hAnsi="宋体"/>
          <w:bCs/>
          <w:szCs w:val="21"/>
        </w:rPr>
      </w:pPr>
      <w:r>
        <w:rPr>
          <w:rFonts w:hint="eastAsia" w:ascii="宋体" w:hAnsi="宋体"/>
          <w:bCs/>
          <w:szCs w:val="21"/>
        </w:rPr>
        <w:t>（2）验收方式：。</w:t>
      </w:r>
    </w:p>
    <w:p>
      <w:pPr>
        <w:adjustRightInd w:val="0"/>
        <w:snapToGrid w:val="0"/>
        <w:spacing w:line="360" w:lineRule="auto"/>
        <w:ind w:firstLine="420" w:firstLineChars="200"/>
        <w:rPr>
          <w:rFonts w:ascii="宋体" w:hAnsi="宋体"/>
          <w:bCs/>
          <w:szCs w:val="21"/>
        </w:rPr>
      </w:pPr>
      <w:r>
        <w:rPr>
          <w:rFonts w:hint="eastAsia" w:ascii="宋体" w:hAnsi="宋体"/>
          <w:bCs/>
          <w:szCs w:val="21"/>
        </w:rPr>
        <w:t>（3）验收标准：。</w:t>
      </w:r>
    </w:p>
    <w:p>
      <w:pPr>
        <w:adjustRightInd w:val="0"/>
        <w:snapToGrid w:val="0"/>
        <w:spacing w:line="360" w:lineRule="auto"/>
        <w:ind w:firstLine="422" w:firstLineChars="200"/>
        <w:rPr>
          <w:rFonts w:ascii="宋体" w:hAnsi="宋体"/>
          <w:b/>
          <w:szCs w:val="21"/>
        </w:rPr>
      </w:pPr>
      <w:r>
        <w:rPr>
          <w:rFonts w:hint="eastAsia" w:ascii="宋体" w:hAnsi="宋体"/>
          <w:b/>
          <w:szCs w:val="21"/>
        </w:rPr>
        <w:t>5.组成合同的文件</w:t>
      </w:r>
    </w:p>
    <w:p>
      <w:pPr>
        <w:adjustRightInd w:val="0"/>
        <w:snapToGrid w:val="0"/>
        <w:spacing w:line="360" w:lineRule="auto"/>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pPr>
        <w:adjustRightInd w:val="0"/>
        <w:snapToGrid w:val="0"/>
        <w:spacing w:line="360" w:lineRule="auto"/>
        <w:ind w:firstLine="420" w:firstLineChars="200"/>
        <w:rPr>
          <w:rFonts w:ascii="宋体" w:hAnsi="宋体"/>
          <w:szCs w:val="21"/>
        </w:rPr>
      </w:pPr>
      <w:r>
        <w:rPr>
          <w:rFonts w:hint="eastAsia" w:ascii="宋体" w:hAnsi="宋体"/>
          <w:szCs w:val="21"/>
        </w:rPr>
        <w:t>（1）在采购或合同履行过程中乙方作出的承诺以及双方协商达成的变更或补充协议</w:t>
      </w:r>
    </w:p>
    <w:p>
      <w:pPr>
        <w:adjustRightInd w:val="0"/>
        <w:snapToGrid w:val="0"/>
        <w:spacing w:line="360" w:lineRule="auto"/>
        <w:ind w:firstLine="420" w:firstLineChars="200"/>
        <w:rPr>
          <w:rFonts w:ascii="宋体" w:hAnsi="宋体"/>
          <w:szCs w:val="21"/>
        </w:rPr>
      </w:pPr>
      <w:r>
        <w:rPr>
          <w:rFonts w:hint="eastAsia" w:ascii="宋体" w:hAnsi="宋体"/>
          <w:szCs w:val="21"/>
        </w:rPr>
        <w:t>（2）本合同协议书</w:t>
      </w:r>
    </w:p>
    <w:p>
      <w:pPr>
        <w:adjustRightInd w:val="0"/>
        <w:snapToGrid w:val="0"/>
        <w:spacing w:line="360" w:lineRule="auto"/>
        <w:ind w:firstLine="420" w:firstLineChars="200"/>
        <w:rPr>
          <w:rFonts w:ascii="宋体" w:hAnsi="宋体"/>
          <w:szCs w:val="21"/>
        </w:rPr>
      </w:pPr>
      <w:r>
        <w:rPr>
          <w:rFonts w:hint="eastAsia" w:ascii="宋体" w:hAnsi="宋体"/>
          <w:szCs w:val="21"/>
        </w:rPr>
        <w:t>（3）中标通知书</w:t>
      </w:r>
    </w:p>
    <w:p>
      <w:pPr>
        <w:adjustRightInd w:val="0"/>
        <w:snapToGrid w:val="0"/>
        <w:spacing w:line="360" w:lineRule="auto"/>
        <w:ind w:firstLine="420" w:firstLineChars="200"/>
        <w:rPr>
          <w:rFonts w:ascii="宋体" w:hAnsi="宋体"/>
          <w:szCs w:val="21"/>
        </w:rPr>
      </w:pPr>
      <w:r>
        <w:rPr>
          <w:rFonts w:hint="eastAsia" w:ascii="宋体" w:hAnsi="宋体"/>
          <w:szCs w:val="21"/>
        </w:rPr>
        <w:t>（4）投标文件</w:t>
      </w:r>
    </w:p>
    <w:p>
      <w:pPr>
        <w:adjustRightInd w:val="0"/>
        <w:snapToGrid w:val="0"/>
        <w:spacing w:line="360" w:lineRule="auto"/>
        <w:ind w:firstLine="420" w:firstLineChars="200"/>
        <w:rPr>
          <w:rFonts w:ascii="宋体" w:hAnsi="宋体"/>
          <w:szCs w:val="21"/>
        </w:rPr>
      </w:pPr>
      <w:r>
        <w:rPr>
          <w:rFonts w:hint="eastAsia" w:ascii="宋体" w:hAnsi="宋体"/>
          <w:szCs w:val="21"/>
        </w:rPr>
        <w:t>（5）政府采购合同专用条款</w:t>
      </w:r>
    </w:p>
    <w:p>
      <w:pPr>
        <w:adjustRightInd w:val="0"/>
        <w:snapToGrid w:val="0"/>
        <w:spacing w:line="360" w:lineRule="auto"/>
        <w:ind w:firstLine="420" w:firstLineChars="200"/>
        <w:rPr>
          <w:rFonts w:ascii="宋体" w:hAnsi="宋体"/>
          <w:szCs w:val="21"/>
        </w:rPr>
      </w:pPr>
      <w:r>
        <w:rPr>
          <w:rFonts w:hint="eastAsia" w:ascii="宋体" w:hAnsi="宋体"/>
          <w:szCs w:val="21"/>
        </w:rPr>
        <w:t>（6）政府采购合同通用条款</w:t>
      </w:r>
    </w:p>
    <w:p>
      <w:pPr>
        <w:adjustRightInd w:val="0"/>
        <w:snapToGrid w:val="0"/>
        <w:spacing w:line="360" w:lineRule="auto"/>
        <w:ind w:firstLine="420" w:firstLineChars="200"/>
        <w:rPr>
          <w:rFonts w:ascii="宋体" w:hAnsi="宋体"/>
          <w:szCs w:val="21"/>
        </w:rPr>
      </w:pPr>
      <w:r>
        <w:rPr>
          <w:rFonts w:hint="eastAsia" w:ascii="宋体" w:hAnsi="宋体"/>
          <w:szCs w:val="21"/>
        </w:rPr>
        <w:t>（7）标准、规范及有关技术文件，图纸。</w:t>
      </w:r>
    </w:p>
    <w:p>
      <w:pPr>
        <w:adjustRightInd w:val="0"/>
        <w:snapToGrid w:val="0"/>
        <w:spacing w:line="360" w:lineRule="auto"/>
        <w:ind w:firstLine="420" w:firstLineChars="200"/>
        <w:rPr>
          <w:rFonts w:ascii="宋体" w:hAnsi="宋体"/>
          <w:szCs w:val="21"/>
        </w:rPr>
      </w:pPr>
      <w:r>
        <w:rPr>
          <w:rFonts w:hint="eastAsia" w:ascii="宋体" w:hAnsi="宋体"/>
          <w:szCs w:val="21"/>
        </w:rPr>
        <w:t>（8）其他合同文件。</w:t>
      </w:r>
    </w:p>
    <w:p>
      <w:pPr>
        <w:adjustRightInd w:val="0"/>
        <w:snapToGrid w:val="0"/>
        <w:spacing w:line="360" w:lineRule="auto"/>
        <w:ind w:firstLine="310" w:firstLineChars="147"/>
        <w:rPr>
          <w:rFonts w:ascii="宋体" w:hAnsi="宋体"/>
          <w:b/>
          <w:szCs w:val="21"/>
        </w:rPr>
      </w:pPr>
      <w:r>
        <w:rPr>
          <w:rFonts w:hint="eastAsia" w:ascii="宋体" w:hAnsi="宋体"/>
          <w:b/>
          <w:szCs w:val="21"/>
        </w:rPr>
        <w:t>6.合同生效</w:t>
      </w:r>
    </w:p>
    <w:p>
      <w:pPr>
        <w:adjustRightInd w:val="0"/>
        <w:snapToGrid w:val="0"/>
        <w:spacing w:line="360" w:lineRule="auto"/>
        <w:ind w:firstLine="420" w:firstLineChars="200"/>
        <w:rPr>
          <w:rFonts w:ascii="宋体" w:hAnsi="宋体"/>
          <w:szCs w:val="21"/>
        </w:rPr>
      </w:pPr>
      <w:r>
        <w:rPr>
          <w:rFonts w:hint="eastAsia" w:ascii="宋体" w:hAnsi="宋体"/>
          <w:szCs w:val="21"/>
        </w:rPr>
        <w:t>本合同自生效。</w:t>
      </w:r>
    </w:p>
    <w:p>
      <w:pPr>
        <w:adjustRightInd w:val="0"/>
        <w:snapToGrid w:val="0"/>
        <w:spacing w:line="360" w:lineRule="auto"/>
        <w:ind w:firstLine="310" w:firstLineChars="147"/>
        <w:rPr>
          <w:rFonts w:ascii="宋体" w:hAnsi="宋体"/>
          <w:b/>
          <w:szCs w:val="21"/>
        </w:rPr>
      </w:pPr>
      <w:r>
        <w:rPr>
          <w:rFonts w:hint="eastAsia" w:ascii="宋体" w:hAnsi="宋体"/>
          <w:b/>
          <w:szCs w:val="21"/>
        </w:rPr>
        <w:t>7.合同份数</w:t>
      </w:r>
    </w:p>
    <w:p>
      <w:pPr>
        <w:adjustRightInd w:val="0"/>
        <w:snapToGrid w:val="0"/>
        <w:spacing w:line="360" w:lineRule="auto"/>
        <w:ind w:firstLine="420" w:firstLineChars="200"/>
        <w:rPr>
          <w:rFonts w:ascii="宋体" w:hAnsi="宋体"/>
          <w:szCs w:val="21"/>
        </w:rPr>
      </w:pPr>
      <w:r>
        <w:rPr>
          <w:rFonts w:hint="eastAsia" w:ascii="宋体" w:hAnsi="宋体"/>
          <w:szCs w:val="21"/>
        </w:rPr>
        <w:t>本合同一式份，采购人执份，供应商执份，均具有同等法律效力。</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合同订立时间：   年   月   日</w:t>
      </w:r>
    </w:p>
    <w:p>
      <w:pPr>
        <w:adjustRightInd w:val="0"/>
        <w:snapToGrid w:val="0"/>
        <w:spacing w:line="360" w:lineRule="auto"/>
        <w:ind w:firstLine="420" w:firstLineChars="200"/>
        <w:rPr>
          <w:rFonts w:ascii="宋体" w:hAnsi="宋体"/>
          <w:szCs w:val="21"/>
        </w:rPr>
      </w:pPr>
      <w:r>
        <w:rPr>
          <w:rFonts w:hint="eastAsia" w:ascii="宋体" w:hAnsi="宋体"/>
          <w:szCs w:val="21"/>
        </w:rPr>
        <w:t>合同订立地点：</w:t>
      </w:r>
    </w:p>
    <w:p>
      <w:pPr>
        <w:adjustRightInd w:val="0"/>
        <w:snapToGrid w:val="0"/>
        <w:spacing w:line="360" w:lineRule="auto"/>
        <w:ind w:firstLine="420" w:firstLineChars="200"/>
        <w:rPr>
          <w:rFonts w:ascii="宋体" w:hAnsi="宋体"/>
          <w:szCs w:val="21"/>
        </w:rPr>
      </w:pPr>
    </w:p>
    <w:p>
      <w:pPr>
        <w:adjustRightInd w:val="0"/>
        <w:snapToGrid w:val="0"/>
        <w:spacing w:line="360" w:lineRule="auto"/>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甲      方：（公章）                     乙      方：（公章）</w:t>
      </w:r>
    </w:p>
    <w:p>
      <w:pPr>
        <w:adjustRightInd w:val="0"/>
        <w:snapToGrid w:val="0"/>
        <w:spacing w:line="360" w:lineRule="auto"/>
        <w:ind w:firstLine="420" w:firstLineChars="200"/>
        <w:rPr>
          <w:rFonts w:ascii="宋体" w:hAnsi="宋体"/>
          <w:szCs w:val="21"/>
        </w:rPr>
      </w:pPr>
      <w:r>
        <w:rPr>
          <w:rFonts w:hint="eastAsia" w:ascii="宋体" w:hAnsi="宋体"/>
          <w:szCs w:val="21"/>
        </w:rPr>
        <w:t>法定代表人：                             法定代表人：</w:t>
      </w:r>
    </w:p>
    <w:p>
      <w:pPr>
        <w:adjustRightInd w:val="0"/>
        <w:snapToGrid w:val="0"/>
        <w:spacing w:line="360" w:lineRule="auto"/>
        <w:ind w:firstLine="420" w:firstLineChars="200"/>
        <w:rPr>
          <w:rFonts w:ascii="宋体" w:hAnsi="宋体"/>
          <w:szCs w:val="21"/>
        </w:rPr>
      </w:pPr>
      <w:r>
        <w:rPr>
          <w:rFonts w:hint="eastAsia" w:ascii="宋体" w:hAnsi="宋体"/>
          <w:szCs w:val="21"/>
        </w:rPr>
        <w:t>或委托代理人：                           或委托代理人：</w:t>
      </w:r>
    </w:p>
    <w:p>
      <w:pPr>
        <w:adjustRightInd w:val="0"/>
        <w:snapToGrid w:val="0"/>
        <w:spacing w:line="360" w:lineRule="auto"/>
        <w:ind w:firstLine="420" w:firstLineChars="200"/>
        <w:rPr>
          <w:rFonts w:ascii="宋体" w:hAnsi="宋体"/>
          <w:szCs w:val="21"/>
        </w:rPr>
      </w:pPr>
      <w:r>
        <w:rPr>
          <w:rFonts w:hint="eastAsia" w:ascii="宋体" w:hAnsi="宋体"/>
          <w:szCs w:val="21"/>
        </w:rPr>
        <w:t>电      话：                             电      话：</w:t>
      </w:r>
    </w:p>
    <w:p>
      <w:pPr>
        <w:adjustRightInd w:val="0"/>
        <w:snapToGrid w:val="0"/>
        <w:spacing w:line="360" w:lineRule="auto"/>
        <w:ind w:firstLine="420" w:firstLineChars="200"/>
        <w:rPr>
          <w:rFonts w:ascii="宋体" w:hAnsi="宋体"/>
          <w:szCs w:val="21"/>
        </w:rPr>
      </w:pPr>
      <w:r>
        <w:rPr>
          <w:rFonts w:hint="eastAsia" w:ascii="宋体" w:hAnsi="宋体"/>
          <w:szCs w:val="21"/>
        </w:rPr>
        <w:t>传      真：                             传      真：</w:t>
      </w:r>
    </w:p>
    <w:p>
      <w:pPr>
        <w:adjustRightInd w:val="0"/>
        <w:snapToGrid w:val="0"/>
        <w:spacing w:line="360" w:lineRule="auto"/>
        <w:ind w:firstLine="420" w:firstLineChars="200"/>
        <w:rPr>
          <w:rFonts w:ascii="宋体" w:hAnsi="宋体"/>
          <w:szCs w:val="21"/>
        </w:rPr>
      </w:pPr>
      <w:r>
        <w:rPr>
          <w:rFonts w:hint="eastAsia" w:ascii="宋体" w:hAnsi="宋体"/>
          <w:szCs w:val="21"/>
        </w:rPr>
        <w:t xml:space="preserve">                                         开 户 银 行：</w:t>
      </w:r>
    </w:p>
    <w:p>
      <w:pPr>
        <w:adjustRightInd w:val="0"/>
        <w:snapToGrid w:val="0"/>
        <w:spacing w:line="360" w:lineRule="auto"/>
        <w:ind w:firstLine="420" w:firstLineChars="200"/>
        <w:jc w:val="center"/>
        <w:rPr>
          <w:rFonts w:ascii="宋体" w:hAnsi="宋体"/>
          <w:b/>
          <w:szCs w:val="21"/>
        </w:rPr>
      </w:pPr>
      <w:r>
        <w:rPr>
          <w:rFonts w:hint="eastAsia" w:ascii="宋体" w:hAnsi="宋体"/>
          <w:szCs w:val="21"/>
        </w:rPr>
        <w:t xml:space="preserve">                   帐       号：</w:t>
      </w:r>
    </w:p>
    <w:p>
      <w:pPr>
        <w:pStyle w:val="4"/>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869" w:name="_Toc108341984"/>
      <w:bookmarkStart w:id="870" w:name="_Toc75289276"/>
      <w:bookmarkStart w:id="871" w:name="_Toc15998"/>
      <w:bookmarkStart w:id="872" w:name="_Toc94367924"/>
      <w:bookmarkStart w:id="873" w:name="_Toc100670469"/>
      <w:bookmarkStart w:id="874" w:name="_Toc15888524"/>
      <w:bookmarkStart w:id="875" w:name="_Toc285"/>
      <w:bookmarkStart w:id="876" w:name="_Toc112594302"/>
      <w:bookmarkStart w:id="877" w:name="_Toc77676512"/>
      <w:bookmarkStart w:id="878" w:name="_Toc78450001"/>
      <w:bookmarkStart w:id="879" w:name="_Toc95601409"/>
      <w:bookmarkStart w:id="880" w:name="_Toc23742"/>
      <w:bookmarkStart w:id="881" w:name="_Toc6272"/>
      <w:bookmarkStart w:id="882" w:name="_Toc78314308"/>
      <w:bookmarkStart w:id="883" w:name="_Toc10587"/>
      <w:bookmarkStart w:id="884" w:name="_Toc75289594"/>
      <w:bookmarkStart w:id="885" w:name="_Toc100670717"/>
      <w:bookmarkStart w:id="886" w:name="_Toc77199448"/>
      <w:bookmarkStart w:id="887" w:name="_Toc85972974"/>
      <w:r>
        <w:rPr>
          <w:rFonts w:hint="eastAsia" w:ascii="黑体" w:hAnsi="黑体" w:eastAsia="黑体"/>
          <w:sz w:val="28"/>
          <w:szCs w:val="28"/>
        </w:rPr>
        <w:t>第二节 政府采购合同通用条款</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tabs>
          <w:tab w:val="left" w:pos="8820"/>
          <w:tab w:val="left" w:pos="9345"/>
          <w:tab w:val="left" w:pos="9765"/>
        </w:tabs>
        <w:adjustRightInd w:val="0"/>
        <w:snapToGrid w:val="0"/>
        <w:spacing w:before="50" w:line="360" w:lineRule="auto"/>
        <w:jc w:val="left"/>
        <w:rPr>
          <w:rFonts w:ascii="宋体" w:hAnsi="宋体"/>
          <w:b/>
          <w:bCs/>
          <w:sz w:val="24"/>
        </w:rPr>
      </w:pPr>
      <w:r>
        <w:rPr>
          <w:rFonts w:hint="eastAsia" w:ascii="宋体" w:hAnsi="宋体"/>
          <w:b/>
          <w:sz w:val="24"/>
        </w:rPr>
        <w:t>1.</w:t>
      </w:r>
      <w:r>
        <w:rPr>
          <w:rFonts w:hint="eastAsia" w:ascii="宋体" w:hAnsi="宋体"/>
          <w:b/>
          <w:bCs/>
          <w:sz w:val="24"/>
        </w:rPr>
        <w:t xml:space="preserve"> 定义</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1.1合同当事人</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（1）采购人（以下称甲方）是指使用财政性资金，通过政府采购方式向供应商购买货物、服务的国家机关、事业单位、团体组织。本次采购的甲方名称、地址见</w:t>
      </w:r>
      <w:r>
        <w:rPr>
          <w:rFonts w:hint="eastAsia" w:ascii="宋体" w:hAnsi="宋体"/>
          <w:b/>
          <w:szCs w:val="21"/>
        </w:rPr>
        <w:t>【政府采购合同专用条款】。</w:t>
      </w:r>
    </w:p>
    <w:p>
      <w:pPr>
        <w:autoSpaceDE w:val="0"/>
        <w:autoSpaceDN w:val="0"/>
        <w:adjustRightInd w:val="0"/>
        <w:snapToGrid w:val="0"/>
        <w:spacing w:before="50" w:line="360" w:lineRule="auto"/>
        <w:ind w:firstLine="42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1.2本合同下列术语应解释为：</w:t>
      </w:r>
    </w:p>
    <w:p>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pPr>
        <w:tabs>
          <w:tab w:val="left" w:pos="570"/>
          <w:tab w:val="left" w:pos="888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（5）“合同条款”系指本合同及其附件、补充文件约定的全部条款。</w:t>
      </w:r>
    </w:p>
    <w:p>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2.合同的适用范围</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2.2 合同内容根据招标文件、投标文件而确定。</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3.1 合同标的及金额应与中标结果一致。</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4.</w:t>
      </w:r>
      <w:r>
        <w:rPr>
          <w:rFonts w:hint="eastAsia" w:ascii="宋体" w:hAnsi="宋体"/>
          <w:b/>
          <w:sz w:val="24"/>
        </w:rPr>
        <w:t>合同价款</w:t>
      </w:r>
    </w:p>
    <w:p>
      <w:pPr>
        <w:adjustRightInd w:val="0"/>
        <w:snapToGrid w:val="0"/>
        <w:spacing w:before="50"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pPr>
        <w:adjustRightInd w:val="0"/>
        <w:snapToGrid w:val="0"/>
        <w:spacing w:before="50" w:line="360" w:lineRule="auto"/>
        <w:jc w:val="left"/>
        <w:rPr>
          <w:rFonts w:ascii="宋体" w:hAnsi="宋体"/>
          <w:b/>
          <w:sz w:val="24"/>
        </w:rPr>
      </w:pPr>
      <w:r>
        <w:rPr>
          <w:rFonts w:hint="eastAsia" w:ascii="宋体" w:hAnsi="宋体"/>
          <w:b/>
          <w:sz w:val="24"/>
        </w:rPr>
        <w:t>5.履行合同的时间、地点和方式</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5.2 乙方提供服务的应当在甲方指定的时间和地点完成服务项目。</w:t>
      </w:r>
    </w:p>
    <w:p>
      <w:pPr>
        <w:adjustRightInd w:val="0"/>
        <w:snapToGrid w:val="0"/>
        <w:spacing w:before="50" w:line="360" w:lineRule="auto"/>
        <w:jc w:val="left"/>
        <w:rPr>
          <w:rFonts w:ascii="宋体" w:hAnsi="宋体"/>
          <w:b/>
          <w:bCs/>
          <w:sz w:val="24"/>
        </w:rPr>
      </w:pPr>
      <w:r>
        <w:rPr>
          <w:rFonts w:hint="eastAsia" w:ascii="宋体" w:hAnsi="宋体"/>
          <w:b/>
          <w:bCs/>
          <w:sz w:val="24"/>
        </w:rPr>
        <w:t>6.</w:t>
      </w:r>
      <w:r>
        <w:rPr>
          <w:rFonts w:hint="eastAsia" w:ascii="宋体" w:hAnsi="宋体"/>
          <w:b/>
          <w:sz w:val="24"/>
        </w:rPr>
        <w:t>货物的验收</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乙方提供的进口产品，乙方应出示中华人民共和国进出口商品检验部门出具的检验证书（招标文件第五章采购需求另有约定的除外）。</w:t>
      </w:r>
    </w:p>
    <w:p>
      <w:pPr>
        <w:adjustRightInd w:val="0"/>
        <w:snapToGrid w:val="0"/>
        <w:spacing w:before="50" w:line="360" w:lineRule="auto"/>
        <w:jc w:val="left"/>
        <w:rPr>
          <w:rFonts w:ascii="宋体" w:hAnsi="宋体"/>
          <w:b/>
          <w:bCs/>
          <w:sz w:val="24"/>
        </w:rPr>
      </w:pPr>
      <w:r>
        <w:rPr>
          <w:rFonts w:hint="eastAsia" w:ascii="宋体" w:hAnsi="宋体"/>
          <w:b/>
          <w:bCs/>
          <w:sz w:val="24"/>
        </w:rPr>
        <w:t>7.货物包装要求</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pPr>
        <w:adjustRightInd w:val="0"/>
        <w:snapToGrid w:val="0"/>
        <w:spacing w:before="50" w:line="360" w:lineRule="auto"/>
        <w:jc w:val="left"/>
        <w:rPr>
          <w:rFonts w:ascii="宋体" w:hAnsi="宋体"/>
          <w:b/>
          <w:sz w:val="24"/>
        </w:rPr>
      </w:pPr>
      <w:r>
        <w:rPr>
          <w:rFonts w:hint="eastAsia" w:ascii="宋体" w:hAnsi="宋体"/>
          <w:b/>
          <w:sz w:val="24"/>
        </w:rPr>
        <w:t>8.运输和保险</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pPr>
        <w:adjustRightInd w:val="0"/>
        <w:snapToGrid w:val="0"/>
        <w:spacing w:before="50" w:line="360" w:lineRule="auto"/>
        <w:jc w:val="left"/>
        <w:rPr>
          <w:rFonts w:ascii="宋体" w:hAnsi="宋体"/>
          <w:b/>
          <w:sz w:val="24"/>
        </w:rPr>
      </w:pPr>
      <w:r>
        <w:rPr>
          <w:rFonts w:hint="eastAsia" w:ascii="宋体" w:hAnsi="宋体"/>
          <w:b/>
          <w:sz w:val="24"/>
        </w:rPr>
        <w:t>9.质量标准和保证</w:t>
      </w:r>
    </w:p>
    <w:p>
      <w:pPr>
        <w:pStyle w:val="25"/>
        <w:adjustRightInd w:val="0"/>
        <w:snapToGrid w:val="0"/>
        <w:spacing w:before="50" w:line="360" w:lineRule="auto"/>
        <w:ind w:firstLine="400" w:firstLineChars="200"/>
        <w:jc w:val="left"/>
        <w:rPr>
          <w:rFonts w:hAnsi="宋体"/>
          <w:b/>
        </w:rPr>
      </w:pPr>
      <w:r>
        <w:rPr>
          <w:rFonts w:hint="eastAsia" w:hAnsi="宋体"/>
        </w:rPr>
        <w:t>9.1 质量标准</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（1）本合同下交付的货物应符合招标文件第四章“技术规格、参数与要求”所述的标准。如果没有提及适用标准，则应符合中华人民共和国有关机构发布的最新版本的标准。</w:t>
      </w:r>
    </w:p>
    <w:p>
      <w:pPr>
        <w:pStyle w:val="25"/>
        <w:adjustRightInd w:val="0"/>
        <w:snapToGrid w:val="0"/>
        <w:spacing w:before="50" w:line="360" w:lineRule="auto"/>
        <w:ind w:firstLine="400" w:firstLineChars="200"/>
        <w:jc w:val="left"/>
        <w:rPr>
          <w:rFonts w:hAnsi="宋体"/>
        </w:rPr>
      </w:pPr>
      <w:r>
        <w:rPr>
          <w:rFonts w:hint="eastAsia" w:hAnsi="宋体"/>
        </w:rPr>
        <w:t>（2）采用中华人民共和国法定计量单位。</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（3）乙方所出售的货物还应符合国家有关安全、环保、卫生之规定。</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9.2 保证</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pPr>
        <w:adjustRightInd w:val="0"/>
        <w:snapToGrid w:val="0"/>
        <w:spacing w:before="50" w:line="360" w:lineRule="auto"/>
        <w:ind w:firstLine="42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pPr>
        <w:adjustRightInd w:val="0"/>
        <w:snapToGrid w:val="0"/>
        <w:spacing w:before="50" w:line="360" w:lineRule="auto"/>
        <w:jc w:val="left"/>
        <w:rPr>
          <w:rFonts w:ascii="宋体" w:hAnsi="宋体"/>
          <w:b/>
          <w:bCs/>
          <w:sz w:val="24"/>
        </w:rPr>
      </w:pPr>
      <w:r>
        <w:rPr>
          <w:rFonts w:hint="eastAsia" w:ascii="宋体" w:hAnsi="宋体"/>
          <w:b/>
          <w:bCs/>
          <w:sz w:val="24"/>
        </w:rPr>
        <w:t>10.权利瑕疵担保</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10.1 乙方保证对其出售的货物享有合法的权利。</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10.3 如甲方使用该货物构成上述侵权的，则由乙方承担全部责任。</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11.知识产权保护</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12.保密义务</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13.合同价款支付</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合同价款构成中应当由甲方自行支付的部分，甲方应当在货物验收合格后十五个工作日内支付。</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 乙方还应提供下列服务：</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14.3 乙方提供的服务的费用应包含在合同价款中，甲方不再另行支付。</w:t>
      </w:r>
    </w:p>
    <w:p>
      <w:pPr>
        <w:adjustRightInd w:val="0"/>
        <w:snapToGrid w:val="0"/>
        <w:spacing w:before="50" w:line="360" w:lineRule="auto"/>
        <w:jc w:val="left"/>
        <w:rPr>
          <w:rFonts w:ascii="宋体" w:hAnsi="宋体"/>
          <w:b/>
          <w:bCs/>
          <w:sz w:val="24"/>
        </w:rPr>
      </w:pPr>
      <w:r>
        <w:rPr>
          <w:rFonts w:hint="eastAsia" w:ascii="宋体" w:hAnsi="宋体"/>
          <w:b/>
          <w:bCs/>
          <w:sz w:val="24"/>
        </w:rPr>
        <w:t>15.违约责任</w:t>
      </w:r>
    </w:p>
    <w:p>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15.1质量瑕疵的补救措施和索赔</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①乙方同意退货并将货款退还给甲方，由此发生的一切费用和损失由乙方承担。</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pPr>
        <w:autoSpaceDE w:val="0"/>
        <w:autoSpaceDN w:val="0"/>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15.2 迟延交货的违约责任</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16.合同的变更</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17.合同中止与终止</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17.1合同的中止</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17.2合同的终止</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（1）合同因有效期限届满而终止；</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18.合同转让和分包</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18.1 乙方不得以任何形式将合同转包。</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18.2 乙方未在投标文件中说明，不得将</w:t>
      </w:r>
      <w:r>
        <w:rPr>
          <w:rFonts w:hint="eastAsia" w:ascii="宋体" w:hAnsi="宋体"/>
          <w:bCs/>
          <w:szCs w:val="21"/>
        </w:rPr>
        <w:t>合同</w:t>
      </w:r>
      <w:r>
        <w:rPr>
          <w:rFonts w:hint="eastAsia" w:ascii="宋体" w:hAnsi="宋体"/>
          <w:szCs w:val="21"/>
        </w:rPr>
        <w:t>的非主体、非关键性工作分包给他人。</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19.不可抗力</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20.解决争议的方法</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20.2 调解不成可以向甲方所在地人民法院提起诉讼。</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21.法律适用</w:t>
      </w:r>
    </w:p>
    <w:p>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22.</w:t>
      </w:r>
      <w:r>
        <w:rPr>
          <w:rFonts w:hint="eastAsia" w:ascii="宋体" w:hAnsi="宋体"/>
          <w:b/>
          <w:sz w:val="24"/>
        </w:rPr>
        <w:t>通知</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pPr>
        <w:adjustRightInd w:val="0"/>
        <w:snapToGrid w:val="0"/>
        <w:spacing w:before="50"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pPr>
        <w:adjustRightInd w:val="0"/>
        <w:snapToGrid w:val="0"/>
        <w:spacing w:before="50" w:line="360" w:lineRule="auto"/>
        <w:jc w:val="left"/>
        <w:rPr>
          <w:rFonts w:ascii="宋体" w:hAnsi="宋体"/>
          <w:b/>
          <w:bCs/>
          <w:sz w:val="24"/>
        </w:rPr>
      </w:pPr>
      <w:r>
        <w:rPr>
          <w:rFonts w:hint="eastAsia" w:ascii="宋体" w:hAnsi="宋体"/>
          <w:b/>
          <w:bCs/>
          <w:sz w:val="24"/>
        </w:rPr>
        <w:t>23. 合同未尽事项</w:t>
      </w:r>
    </w:p>
    <w:p>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pPr>
        <w:adjustRightInd w:val="0"/>
        <w:snapToGrid w:val="0"/>
        <w:spacing w:before="50" w:line="360" w:lineRule="auto"/>
        <w:jc w:val="left"/>
        <w:rPr>
          <w:rFonts w:ascii="宋体" w:hAnsi="宋体"/>
          <w:b/>
          <w:bCs/>
          <w:sz w:val="24"/>
        </w:rPr>
      </w:pPr>
      <w:r>
        <w:rPr>
          <w:rFonts w:hint="eastAsia" w:ascii="宋体" w:hAnsi="宋体"/>
          <w:b/>
          <w:bCs/>
          <w:sz w:val="24"/>
        </w:rPr>
        <w:t>24.合同生效</w:t>
      </w:r>
    </w:p>
    <w:p>
      <w:pPr>
        <w:tabs>
          <w:tab w:val="left" w:pos="8820"/>
          <w:tab w:val="left" w:pos="9345"/>
          <w:tab w:val="left" w:pos="9765"/>
        </w:tabs>
        <w:adjustRightInd w:val="0"/>
        <w:snapToGrid w:val="0"/>
        <w:spacing w:before="50" w:line="360" w:lineRule="auto"/>
        <w:jc w:val="left"/>
        <w:rPr>
          <w:rFonts w:ascii="宋体" w:hAnsi="宋体"/>
          <w:szCs w:val="21"/>
        </w:rPr>
      </w:pPr>
      <w:r>
        <w:rPr>
          <w:rFonts w:hint="eastAsia" w:ascii="宋体" w:hAnsi="宋体"/>
          <w:szCs w:val="21"/>
        </w:rPr>
        <w:t>24.1 本合同在合同双方签字盖章后生效。</w:t>
      </w:r>
    </w:p>
    <w:p>
      <w:pPr>
        <w:autoSpaceDE w:val="0"/>
        <w:autoSpaceDN w:val="0"/>
        <w:adjustRightInd w:val="0"/>
        <w:snapToGrid w:val="0"/>
        <w:jc w:val="center"/>
        <w:rPr>
          <w:rFonts w:ascii="黑体" w:hAnsi="黑体" w:eastAsia="黑体"/>
          <w:b/>
          <w:bCs/>
          <w:szCs w:val="21"/>
        </w:rPr>
      </w:pPr>
      <w:r>
        <w:rPr>
          <w:rFonts w:ascii="黑体" w:hAnsi="黑体" w:eastAsia="黑体"/>
          <w:b/>
          <w:bCs/>
          <w:sz w:val="32"/>
        </w:rPr>
        <w:br w:type="page"/>
      </w:r>
      <w:bookmarkStart w:id="888" w:name="_Toc15888525"/>
    </w:p>
    <w:p>
      <w:pPr>
        <w:pStyle w:val="4"/>
        <w:jc w:val="center"/>
        <w:rPr>
          <w:rFonts w:ascii="黑体" w:hAnsi="华文中宋" w:eastAsia="黑体"/>
          <w:sz w:val="28"/>
          <w:szCs w:val="28"/>
        </w:rPr>
      </w:pPr>
      <w:bookmarkStart w:id="889" w:name="_Toc100670470"/>
      <w:bookmarkStart w:id="890" w:name="_Toc112594303"/>
      <w:bookmarkStart w:id="891" w:name="_Toc29678"/>
      <w:bookmarkStart w:id="892" w:name="_Toc108341985"/>
      <w:bookmarkStart w:id="893" w:name="_Toc78450002"/>
      <w:bookmarkStart w:id="894" w:name="_Toc8249"/>
      <w:bookmarkStart w:id="895" w:name="_Toc95601410"/>
      <w:bookmarkStart w:id="896" w:name="_Toc100670718"/>
      <w:bookmarkStart w:id="897" w:name="_Toc27474"/>
      <w:bookmarkStart w:id="898" w:name="_Toc25357"/>
      <w:bookmarkStart w:id="899" w:name="_Toc78314309"/>
      <w:bookmarkStart w:id="900" w:name="_Toc85972975"/>
      <w:bookmarkStart w:id="901" w:name="_Toc77676513"/>
      <w:bookmarkStart w:id="902" w:name="_Toc77199449"/>
      <w:bookmarkStart w:id="903" w:name="_Toc6910"/>
      <w:bookmarkStart w:id="904" w:name="_Toc94367925"/>
      <w:bookmarkStart w:id="905" w:name="_Toc75289595"/>
      <w:bookmarkStart w:id="906" w:name="_Toc75289277"/>
      <w:r>
        <w:rPr>
          <w:rFonts w:hint="eastAsia" w:ascii="黑体" w:hAnsi="华文中宋" w:eastAsia="黑体"/>
          <w:sz w:val="28"/>
          <w:szCs w:val="28"/>
        </w:rPr>
        <w:t>第三节 政府采购合同专用条款</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adjustRightInd w:val="0"/>
        <w:snapToGrid w:val="0"/>
        <w:jc w:val="center"/>
        <w:rPr>
          <w:rFonts w:ascii="宋体" w:hAnsi="宋体"/>
          <w:sz w:val="24"/>
        </w:rPr>
      </w:pPr>
    </w:p>
    <w:tbl>
      <w:tblPr>
        <w:tblStyle w:val="48"/>
        <w:tblW w:w="8715"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1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第1.1款</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甲方名称、地址</w:t>
            </w:r>
          </w:p>
        </w:tc>
        <w:tc>
          <w:tcPr>
            <w:tcW w:w="5171" w:type="dxa"/>
            <w:vAlign w:val="center"/>
          </w:tcPr>
          <w:p>
            <w:pPr>
              <w:adjustRightInd w:val="0"/>
              <w:snapToGrid w:val="0"/>
              <w:spacing w:line="360" w:lineRule="exact"/>
              <w:rPr>
                <w:rFonts w:hint="eastAsia" w:ascii="宋体" w:hAnsi="宋体" w:eastAsia="宋体"/>
                <w:szCs w:val="21"/>
                <w:lang w:eastAsia="zh-CN"/>
              </w:rPr>
            </w:pPr>
            <w:r>
              <w:rPr>
                <w:rFonts w:hint="eastAsia" w:ascii="宋体" w:hAnsi="宋体"/>
                <w:szCs w:val="21"/>
                <w:lang w:eastAsia="zh-CN"/>
              </w:rPr>
              <w:t>湖南省娄底监狱</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第1.2（6）项</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项目现场</w:t>
            </w:r>
          </w:p>
        </w:tc>
        <w:tc>
          <w:tcPr>
            <w:tcW w:w="5171" w:type="dxa"/>
            <w:vAlign w:val="center"/>
          </w:tcPr>
          <w:p>
            <w:pPr>
              <w:adjustRightInd w:val="0"/>
              <w:snapToGrid w:val="0"/>
              <w:spacing w:line="360" w:lineRule="exact"/>
              <w:rPr>
                <w:rFonts w:ascii="宋体" w:hAnsi="宋体"/>
                <w:szCs w:val="21"/>
              </w:rPr>
            </w:pPr>
            <w:r>
              <w:rPr>
                <w:rFonts w:hint="eastAsia" w:ascii="宋体" w:hAnsi="宋体"/>
                <w:szCs w:val="21"/>
              </w:rPr>
              <w:t>具体由采购人指定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第5.1款</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履行合同的时间、地点及方式</w:t>
            </w:r>
          </w:p>
        </w:tc>
        <w:tc>
          <w:tcPr>
            <w:tcW w:w="5171" w:type="dxa"/>
            <w:vAlign w:val="center"/>
          </w:tcPr>
          <w:p>
            <w:pPr>
              <w:adjustRightInd w:val="0"/>
              <w:snapToGrid w:val="0"/>
              <w:spacing w:line="360" w:lineRule="exact"/>
              <w:rPr>
                <w:rFonts w:ascii="宋体" w:hAnsi="宋体"/>
              </w:rPr>
            </w:pPr>
            <w:r>
              <w:rPr>
                <w:rFonts w:hint="eastAsia" w:ascii="宋体" w:hAnsi="宋体"/>
              </w:rPr>
              <w:t>交货时间：</w:t>
            </w:r>
          </w:p>
          <w:p>
            <w:pPr>
              <w:adjustRightInd w:val="0"/>
              <w:snapToGrid w:val="0"/>
              <w:spacing w:line="360" w:lineRule="exact"/>
              <w:rPr>
                <w:rFonts w:ascii="宋体" w:hAnsi="宋体"/>
              </w:rPr>
            </w:pPr>
            <w:r>
              <w:rPr>
                <w:rFonts w:hint="eastAsia" w:ascii="宋体" w:hAnsi="宋体"/>
              </w:rPr>
              <w:t>交货地点：</w:t>
            </w:r>
          </w:p>
          <w:p>
            <w:pPr>
              <w:adjustRightInd w:val="0"/>
              <w:snapToGrid w:val="0"/>
              <w:spacing w:line="360" w:lineRule="exact"/>
              <w:rPr>
                <w:rFonts w:ascii="宋体" w:hAnsi="宋体"/>
              </w:rPr>
            </w:pPr>
            <w:r>
              <w:rPr>
                <w:rFonts w:hint="eastAsia" w:ascii="宋体" w:hAnsi="宋体"/>
                <w:szCs w:val="21"/>
              </w:rPr>
              <w:t>方式：</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第9.2（1）项</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质保期</w:t>
            </w:r>
          </w:p>
        </w:tc>
        <w:tc>
          <w:tcPr>
            <w:tcW w:w="5171" w:type="dxa"/>
            <w:vAlign w:val="center"/>
          </w:tcPr>
          <w:p>
            <w:pPr>
              <w:adjustRightInd w:val="0"/>
              <w:snapToGrid w:val="0"/>
              <w:spacing w:line="360" w:lineRule="exact"/>
              <w:rPr>
                <w:rFonts w:ascii="宋体" w:hAnsi="宋体"/>
              </w:rPr>
            </w:pPr>
            <w:r>
              <w:rPr>
                <w:rFonts w:hint="eastAsia" w:ascii="宋体" w:hAnsi="宋体"/>
                <w:szCs w:val="21"/>
              </w:rPr>
              <w:t>第五章采购需求。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第9.2（3）项</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响应时间</w:t>
            </w:r>
          </w:p>
        </w:tc>
        <w:tc>
          <w:tcPr>
            <w:tcW w:w="5171" w:type="dxa"/>
            <w:vAlign w:val="center"/>
          </w:tcPr>
          <w:p>
            <w:pPr>
              <w:adjustRightInd w:val="0"/>
              <w:snapToGrid w:val="0"/>
              <w:spacing w:line="360" w:lineRule="exact"/>
              <w:rPr>
                <w:rFonts w:ascii="宋体" w:hAnsi="宋体"/>
              </w:rPr>
            </w:pPr>
            <w:r>
              <w:rPr>
                <w:rFonts w:hint="eastAsia" w:ascii="宋体" w:hAnsi="宋体"/>
                <w:szCs w:val="21"/>
              </w:rPr>
              <w:t>第五章采购需求（如有）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第13.5款</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合同价款支付方式</w:t>
            </w:r>
            <w:r>
              <w:rPr>
                <w:rFonts w:hint="eastAsia" w:ascii="宋体" w:hAnsi="宋体"/>
                <w:bCs/>
                <w:szCs w:val="21"/>
              </w:rPr>
              <w:t>和条件</w:t>
            </w:r>
          </w:p>
        </w:tc>
        <w:tc>
          <w:tcPr>
            <w:tcW w:w="5171" w:type="dxa"/>
            <w:vAlign w:val="center"/>
          </w:tcPr>
          <w:p>
            <w:pPr>
              <w:adjustRightInd w:val="0"/>
              <w:snapToGrid w:val="0"/>
              <w:spacing w:line="360" w:lineRule="exact"/>
              <w:rPr>
                <w:rFonts w:ascii="宋体" w:hAnsi="宋体"/>
                <w:szCs w:val="21"/>
              </w:rPr>
            </w:pPr>
            <w:r>
              <w:rPr>
                <w:rFonts w:hint="eastAsia" w:ascii="宋体" w:hAnsi="宋体"/>
                <w:szCs w:val="21"/>
              </w:rPr>
              <w:t>付款方式：签订合同时另行约定；</w:t>
            </w:r>
          </w:p>
          <w:p>
            <w:pPr>
              <w:adjustRightInd w:val="0"/>
              <w:snapToGrid w:val="0"/>
              <w:spacing w:line="360" w:lineRule="exact"/>
              <w:rPr>
                <w:rFonts w:ascii="宋体" w:hAnsi="宋体"/>
              </w:rPr>
            </w:pPr>
            <w:r>
              <w:rPr>
                <w:rFonts w:hint="eastAsia" w:ascii="宋体" w:hAnsi="宋体"/>
                <w:szCs w:val="21"/>
              </w:rPr>
              <w:t>付款条件：发票和验收材料。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第14.2（5）项</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szCs w:val="21"/>
              </w:rPr>
              <w:t>伴随服务</w:t>
            </w:r>
          </w:p>
        </w:tc>
        <w:tc>
          <w:tcPr>
            <w:tcW w:w="5171" w:type="dxa"/>
            <w:vAlign w:val="center"/>
          </w:tcPr>
          <w:p>
            <w:pPr>
              <w:adjustRightInd w:val="0"/>
              <w:snapToGrid w:val="0"/>
              <w:spacing w:line="360" w:lineRule="exact"/>
              <w:rPr>
                <w:rFonts w:ascii="宋体" w:hAnsi="宋体"/>
                <w:szCs w:val="21"/>
              </w:rPr>
            </w:pPr>
            <w:r>
              <w:rPr>
                <w:rFonts w:hint="eastAsia" w:ascii="宋体" w:hAnsi="宋体"/>
                <w:szCs w:val="21"/>
              </w:rPr>
              <w:t>第五章 采购需求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bCs/>
                <w:szCs w:val="21"/>
              </w:rPr>
            </w:pPr>
            <w:r>
              <w:rPr>
                <w:rFonts w:hint="eastAsia" w:ascii="宋体" w:hAnsi="宋体"/>
                <w:szCs w:val="21"/>
              </w:rPr>
              <w:t>第20.2款</w:t>
            </w:r>
          </w:p>
        </w:tc>
        <w:tc>
          <w:tcPr>
            <w:tcW w:w="1843" w:type="dxa"/>
            <w:vAlign w:val="center"/>
          </w:tcPr>
          <w:p>
            <w:pPr>
              <w:adjustRightInd w:val="0"/>
              <w:snapToGrid w:val="0"/>
              <w:spacing w:line="360" w:lineRule="exact"/>
              <w:jc w:val="center"/>
              <w:rPr>
                <w:rFonts w:ascii="宋体" w:hAnsi="宋体"/>
                <w:bCs/>
                <w:szCs w:val="21"/>
              </w:rPr>
            </w:pPr>
            <w:r>
              <w:rPr>
                <w:rFonts w:hint="eastAsia" w:ascii="宋体" w:hAnsi="宋体"/>
                <w:szCs w:val="21"/>
              </w:rPr>
              <w:t>解决争议的方式</w:t>
            </w:r>
          </w:p>
        </w:tc>
        <w:tc>
          <w:tcPr>
            <w:tcW w:w="5171" w:type="dxa"/>
            <w:vAlign w:val="center"/>
          </w:tcPr>
          <w:p>
            <w:pPr>
              <w:adjustRightInd w:val="0"/>
              <w:snapToGrid w:val="0"/>
              <w:spacing w:line="360" w:lineRule="exact"/>
              <w:rPr>
                <w:rFonts w:ascii="宋体" w:hAnsi="宋体"/>
                <w:szCs w:val="21"/>
              </w:rPr>
            </w:pPr>
            <w:r>
              <w:rPr>
                <w:rFonts w:hint="eastAsia" w:ascii="宋体" w:hAnsi="宋体"/>
                <w:szCs w:val="21"/>
              </w:rPr>
              <w:t>仲裁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701" w:type="dxa"/>
            <w:vAlign w:val="center"/>
          </w:tcPr>
          <w:p>
            <w:pPr>
              <w:adjustRightInd w:val="0"/>
              <w:snapToGrid w:val="0"/>
              <w:spacing w:line="360" w:lineRule="exact"/>
              <w:jc w:val="center"/>
              <w:rPr>
                <w:rFonts w:ascii="宋体" w:hAnsi="宋体"/>
                <w:szCs w:val="21"/>
              </w:rPr>
            </w:pPr>
            <w:r>
              <w:rPr>
                <w:rFonts w:hint="eastAsia" w:ascii="宋体" w:hAnsi="宋体"/>
                <w:szCs w:val="21"/>
              </w:rPr>
              <w:t>第六章第二节</w:t>
            </w:r>
          </w:p>
          <w:p>
            <w:pPr>
              <w:adjustRightInd w:val="0"/>
              <w:snapToGrid w:val="0"/>
              <w:spacing w:line="360" w:lineRule="exact"/>
              <w:jc w:val="center"/>
              <w:rPr>
                <w:rFonts w:ascii="宋体" w:hAnsi="宋体"/>
                <w:szCs w:val="21"/>
              </w:rPr>
            </w:pPr>
            <w:r>
              <w:rPr>
                <w:rFonts w:hint="eastAsia" w:ascii="宋体" w:hAnsi="宋体"/>
                <w:szCs w:val="21"/>
              </w:rPr>
              <w:t>第23.1款</w:t>
            </w:r>
          </w:p>
        </w:tc>
        <w:tc>
          <w:tcPr>
            <w:tcW w:w="1843" w:type="dxa"/>
            <w:vAlign w:val="center"/>
          </w:tcPr>
          <w:p>
            <w:pPr>
              <w:adjustRightInd w:val="0"/>
              <w:snapToGrid w:val="0"/>
              <w:spacing w:line="360" w:lineRule="exact"/>
              <w:jc w:val="center"/>
              <w:rPr>
                <w:rFonts w:ascii="宋体" w:hAnsi="宋体"/>
                <w:szCs w:val="21"/>
              </w:rPr>
            </w:pPr>
            <w:r>
              <w:rPr>
                <w:rFonts w:hint="eastAsia" w:ascii="宋体" w:hAnsi="宋体"/>
                <w:bCs/>
                <w:szCs w:val="21"/>
              </w:rPr>
              <w:t>合同未尽事项</w:t>
            </w:r>
          </w:p>
        </w:tc>
        <w:tc>
          <w:tcPr>
            <w:tcW w:w="5171" w:type="dxa"/>
            <w:vAlign w:val="center"/>
          </w:tcPr>
          <w:p>
            <w:pPr>
              <w:adjustRightInd w:val="0"/>
              <w:snapToGrid w:val="0"/>
              <w:spacing w:line="360" w:lineRule="exact"/>
              <w:rPr>
                <w:rFonts w:ascii="宋体" w:hAnsi="宋体"/>
                <w:szCs w:val="21"/>
              </w:rPr>
            </w:pPr>
            <w:r>
              <w:rPr>
                <w:rFonts w:hint="eastAsia" w:ascii="宋体" w:hAnsi="宋体"/>
                <w:szCs w:val="21"/>
              </w:rPr>
              <w:t>协商解决</w:t>
            </w:r>
          </w:p>
        </w:tc>
      </w:tr>
      <w:bookmarkEnd w:id="868"/>
    </w:tbl>
    <w:p>
      <w:pPr>
        <w:pStyle w:val="25"/>
        <w:adjustRightInd w:val="0"/>
        <w:snapToGrid w:val="0"/>
        <w:spacing w:before="156" w:beforeLines="50" w:line="360" w:lineRule="auto"/>
        <w:jc w:val="center"/>
        <w:outlineLvl w:val="0"/>
        <w:rPr>
          <w:rFonts w:ascii="黑体" w:hAnsi="华文中宋" w:eastAsia="黑体"/>
          <w:b/>
          <w:sz w:val="32"/>
          <w:szCs w:val="32"/>
        </w:rPr>
      </w:pPr>
      <w:r>
        <w:rPr>
          <w:rFonts w:hAnsi="宋体"/>
          <w:b/>
          <w:bCs/>
          <w:sz w:val="52"/>
          <w:szCs w:val="30"/>
        </w:rPr>
        <w:br w:type="page"/>
      </w:r>
      <w:bookmarkStart w:id="907" w:name="_Toc13235"/>
      <w:bookmarkStart w:id="908" w:name="_Toc78450003"/>
      <w:bookmarkStart w:id="909" w:name="_Toc75289278"/>
      <w:bookmarkStart w:id="910" w:name="_Toc100670719"/>
      <w:bookmarkStart w:id="911" w:name="_Toc7687"/>
      <w:bookmarkStart w:id="912" w:name="_Toc24375"/>
      <w:bookmarkStart w:id="913" w:name="_Toc85972976"/>
      <w:bookmarkStart w:id="914" w:name="_Toc77199450"/>
      <w:bookmarkStart w:id="915" w:name="_Toc78314310"/>
      <w:bookmarkStart w:id="916" w:name="_Toc77676514"/>
      <w:bookmarkStart w:id="917" w:name="_Toc5812"/>
      <w:bookmarkStart w:id="918" w:name="_Toc15888526"/>
      <w:bookmarkStart w:id="919" w:name="_Toc75289596"/>
      <w:bookmarkStart w:id="920" w:name="_Toc108341986"/>
      <w:bookmarkStart w:id="921" w:name="_Toc94367926"/>
      <w:bookmarkStart w:id="922" w:name="_Toc95601411"/>
      <w:bookmarkStart w:id="923" w:name="_Toc100670471"/>
      <w:bookmarkStart w:id="924" w:name="_Toc112594304"/>
      <w:bookmarkStart w:id="925" w:name="_Toc26285"/>
      <w:r>
        <w:rPr>
          <w:rFonts w:hint="eastAsia" w:ascii="黑体" w:hAnsi="华文中宋" w:eastAsia="黑体"/>
          <w:b/>
          <w:sz w:val="32"/>
          <w:szCs w:val="32"/>
        </w:rPr>
        <w:t>第七章 投标文件的组成</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adjustRightInd w:val="0"/>
        <w:snapToGrid w:val="0"/>
        <w:spacing w:line="360" w:lineRule="auto"/>
        <w:ind w:left="-88" w:leftChars="-42"/>
        <w:jc w:val="center"/>
        <w:rPr>
          <w:b/>
          <w:bCs/>
          <w:szCs w:val="21"/>
        </w:rPr>
      </w:pPr>
    </w:p>
    <w:p>
      <w:pPr>
        <w:adjustRightInd w:val="0"/>
        <w:snapToGrid w:val="0"/>
        <w:spacing w:before="156" w:beforeLines="50" w:line="360" w:lineRule="auto"/>
        <w:jc w:val="left"/>
        <w:rPr>
          <w:rFonts w:ascii="宋体" w:hAnsi="宋体"/>
          <w:b/>
          <w:szCs w:val="21"/>
        </w:rPr>
      </w:pPr>
      <w:r>
        <w:rPr>
          <w:rFonts w:hint="eastAsia" w:ascii="宋体" w:hAnsi="宋体"/>
          <w:b/>
          <w:szCs w:val="21"/>
        </w:rPr>
        <w:t>第一部分 资格证明文件</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一、开标一览表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二、法定代表人身份证明</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三、授权委托书</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四、投标人提供的资格证明文件</w:t>
      </w:r>
    </w:p>
    <w:p>
      <w:pPr>
        <w:adjustRightInd w:val="0"/>
        <w:snapToGrid w:val="0"/>
        <w:spacing w:before="156" w:beforeLines="50" w:line="360" w:lineRule="auto"/>
        <w:jc w:val="left"/>
        <w:rPr>
          <w:rFonts w:ascii="宋体" w:hAnsi="宋体"/>
          <w:b/>
          <w:szCs w:val="21"/>
        </w:rPr>
      </w:pPr>
      <w:r>
        <w:rPr>
          <w:rFonts w:hint="eastAsia" w:ascii="宋体" w:hAnsi="宋体"/>
          <w:b/>
          <w:szCs w:val="21"/>
        </w:rPr>
        <w:t>第二部分 商务技术文件</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五、投标函</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六、分项报价</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七、采购需求响应</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八、合同条款偏离表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九、采购需求偏离表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十、享受政府采购政策优惠的证明资料和清单表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十一、投标货物符合招标文件规定的证明文件</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十二、投标人认为需提供的其他资料</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pPr>
        <w:adjustRightInd w:val="0"/>
        <w:snapToGrid w:val="0"/>
        <w:spacing w:line="360" w:lineRule="auto"/>
        <w:jc w:val="center"/>
        <w:rPr>
          <w:rFonts w:ascii="仿宋_GB2312" w:hAnsi="宋体" w:eastAsia="仿宋_GB2312"/>
          <w:szCs w:val="21"/>
        </w:rPr>
      </w:pPr>
    </w:p>
    <w:p>
      <w:pPr>
        <w:adjustRightInd w:val="0"/>
        <w:snapToGrid w:val="0"/>
        <w:spacing w:line="360" w:lineRule="auto"/>
        <w:jc w:val="center"/>
        <w:rPr>
          <w:rFonts w:ascii="黑体" w:eastAsia="黑体"/>
          <w:sz w:val="32"/>
          <w:szCs w:val="32"/>
        </w:rPr>
      </w:pPr>
      <w:r>
        <w:rPr>
          <w:rFonts w:ascii="仿宋_GB2312" w:hAnsi="宋体" w:eastAsia="仿宋_GB2312"/>
          <w:szCs w:val="21"/>
        </w:rPr>
        <w:br w:type="page"/>
      </w:r>
    </w:p>
    <w:p>
      <w:pPr>
        <w:adjustRightInd w:val="0"/>
        <w:snapToGrid w:val="0"/>
        <w:spacing w:line="360" w:lineRule="auto"/>
        <w:jc w:val="center"/>
        <w:rPr>
          <w:rFonts w:ascii="黑体" w:eastAsia="黑体"/>
          <w:sz w:val="32"/>
          <w:szCs w:val="32"/>
        </w:rPr>
      </w:pPr>
    </w:p>
    <w:p>
      <w:pPr>
        <w:adjustRightInd w:val="0"/>
        <w:snapToGrid w:val="0"/>
        <w:spacing w:line="360" w:lineRule="auto"/>
        <w:jc w:val="center"/>
        <w:rPr>
          <w:rFonts w:ascii="黑体" w:eastAsia="黑体"/>
          <w:sz w:val="32"/>
          <w:szCs w:val="32"/>
        </w:rPr>
      </w:pPr>
    </w:p>
    <w:p>
      <w:pPr>
        <w:pStyle w:val="25"/>
        <w:adjustRightInd w:val="0"/>
        <w:snapToGrid w:val="0"/>
        <w:spacing w:line="360" w:lineRule="auto"/>
        <w:jc w:val="center"/>
        <w:rPr>
          <w:rFonts w:hAnsi="宋体"/>
          <w:b/>
          <w:bCs/>
          <w:sz w:val="72"/>
          <w:szCs w:val="72"/>
        </w:rPr>
      </w:pPr>
      <w:r>
        <w:rPr>
          <w:rFonts w:hint="eastAsia" w:hAnsi="宋体"/>
          <w:b/>
          <w:bCs/>
          <w:sz w:val="72"/>
          <w:szCs w:val="72"/>
        </w:rPr>
        <w:t>政府采购</w:t>
      </w:r>
    </w:p>
    <w:p>
      <w:pPr>
        <w:adjustRightInd w:val="0"/>
        <w:snapToGrid w:val="0"/>
        <w:spacing w:line="360" w:lineRule="auto"/>
        <w:jc w:val="center"/>
        <w:rPr>
          <w:rFonts w:ascii="宋体" w:hAnsi="宋体"/>
          <w:b/>
          <w:bCs/>
          <w:sz w:val="84"/>
          <w:szCs w:val="84"/>
        </w:rPr>
      </w:pPr>
      <w:r>
        <w:rPr>
          <w:rFonts w:hint="eastAsia" w:ascii="宋体" w:hAnsi="宋体"/>
          <w:b/>
          <w:bCs/>
          <w:sz w:val="84"/>
          <w:szCs w:val="84"/>
        </w:rPr>
        <w:t>投 标 文 件</w:t>
      </w:r>
    </w:p>
    <w:p>
      <w:pPr>
        <w:pStyle w:val="4"/>
        <w:adjustRightInd w:val="0"/>
        <w:snapToGrid w:val="0"/>
        <w:jc w:val="center"/>
        <w:rPr>
          <w:rFonts w:ascii="黑体" w:hAnsi="黑体" w:eastAsia="黑体"/>
          <w:sz w:val="44"/>
          <w:szCs w:val="44"/>
        </w:rPr>
      </w:pPr>
      <w:bookmarkStart w:id="926" w:name="_Toc78314311"/>
      <w:bookmarkStart w:id="927" w:name="_Toc100670472"/>
      <w:bookmarkStart w:id="928" w:name="_Toc77199451"/>
      <w:bookmarkStart w:id="929" w:name="_Toc15888527"/>
      <w:bookmarkStart w:id="930" w:name="_Toc94367927"/>
      <w:bookmarkStart w:id="931" w:name="_Toc108341987"/>
      <w:bookmarkStart w:id="932" w:name="_Toc15822"/>
      <w:bookmarkStart w:id="933" w:name="_Toc85972977"/>
      <w:bookmarkStart w:id="934" w:name="_Toc9378"/>
      <w:bookmarkStart w:id="935" w:name="_Toc95601412"/>
      <w:bookmarkStart w:id="936" w:name="_Toc78450004"/>
      <w:bookmarkStart w:id="937" w:name="_Toc75289597"/>
      <w:bookmarkStart w:id="938" w:name="_Toc112594305"/>
      <w:bookmarkStart w:id="939" w:name="_Toc100670720"/>
      <w:bookmarkStart w:id="940" w:name="_Toc24904"/>
      <w:bookmarkStart w:id="941" w:name="_Toc77676515"/>
      <w:bookmarkStart w:id="942" w:name="_Toc75289279"/>
      <w:bookmarkStart w:id="943" w:name="_Toc1963"/>
      <w:bookmarkStart w:id="944" w:name="_Toc9971"/>
      <w:r>
        <w:rPr>
          <w:rFonts w:hint="eastAsia" w:ascii="黑体" w:hAnsi="黑体" w:eastAsia="黑体"/>
          <w:sz w:val="44"/>
          <w:szCs w:val="44"/>
        </w:rPr>
        <w:t>第一部分 资格证明文件</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adjustRightInd w:val="0"/>
        <w:snapToGrid w:val="0"/>
        <w:spacing w:line="360" w:lineRule="auto"/>
        <w:rPr>
          <w:rFonts w:ascii="黑体" w:hAnsi="黑体" w:eastAsia="黑体"/>
          <w:b/>
          <w:sz w:val="32"/>
          <w:szCs w:val="32"/>
        </w:rPr>
      </w:pPr>
    </w:p>
    <w:p>
      <w:pPr>
        <w:adjustRightInd w:val="0"/>
        <w:snapToGrid w:val="0"/>
        <w:spacing w:line="360" w:lineRule="auto"/>
        <w:rPr>
          <w:rFonts w:ascii="宋体" w:hAnsi="宋体"/>
          <w:b/>
          <w:sz w:val="30"/>
          <w:szCs w:val="30"/>
        </w:rPr>
      </w:pP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p>
    <w:p>
      <w:pPr>
        <w:pStyle w:val="25"/>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政府采购计划编号:</w:t>
      </w: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委托代理编号:</w:t>
      </w: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p>
    <w:p>
      <w:pPr>
        <w:adjustRightInd w:val="0"/>
        <w:snapToGrid w:val="0"/>
        <w:spacing w:line="360" w:lineRule="auto"/>
        <w:rPr>
          <w:rFonts w:ascii="黑体" w:hAnsi="黑体" w:eastAsia="黑体"/>
          <w:sz w:val="30"/>
          <w:szCs w:val="30"/>
        </w:rPr>
      </w:pPr>
    </w:p>
    <w:p>
      <w:pPr>
        <w:adjustRightInd w:val="0"/>
        <w:snapToGrid w:val="0"/>
        <w:rPr>
          <w:rFonts w:ascii="黑体" w:hAnsi="宋体" w:eastAsia="黑体"/>
          <w:sz w:val="30"/>
          <w:szCs w:val="30"/>
        </w:rPr>
      </w:pPr>
    </w:p>
    <w:p>
      <w:pPr>
        <w:adjustRightInd w:val="0"/>
        <w:snapToGrid w:val="0"/>
        <w:spacing w:line="360" w:lineRule="auto"/>
        <w:rPr>
          <w:rFonts w:ascii="黑体" w:hAnsi="宋体" w:eastAsia="黑体"/>
          <w:sz w:val="30"/>
          <w:szCs w:val="30"/>
        </w:rPr>
      </w:pPr>
    </w:p>
    <w:p>
      <w:pPr>
        <w:adjustRightInd w:val="0"/>
        <w:snapToGrid w:val="0"/>
        <w:spacing w:line="360" w:lineRule="auto"/>
        <w:rPr>
          <w:rFonts w:ascii="黑体" w:hAnsi="宋体" w:eastAsia="黑体"/>
          <w:sz w:val="30"/>
          <w:szCs w:val="30"/>
        </w:rPr>
      </w:pPr>
    </w:p>
    <w:p>
      <w:pPr>
        <w:adjustRightInd w:val="0"/>
        <w:snapToGrid w:val="0"/>
        <w:spacing w:line="360" w:lineRule="auto"/>
        <w:ind w:firstLine="2464" w:firstLineChars="770"/>
        <w:rPr>
          <w:rFonts w:ascii="黑体" w:hAnsi="宋体" w:eastAsia="黑体"/>
          <w:sz w:val="32"/>
          <w:szCs w:val="32"/>
          <w:u w:val="single"/>
        </w:rPr>
      </w:pPr>
      <w:r>
        <w:rPr>
          <w:rFonts w:hint="eastAsia" w:ascii="黑体" w:hAnsi="宋体" w:eastAsia="黑体"/>
          <w:sz w:val="32"/>
          <w:szCs w:val="32"/>
        </w:rPr>
        <w:t>投标人</w:t>
      </w:r>
    </w:p>
    <w:p>
      <w:pPr>
        <w:adjustRightInd w:val="0"/>
        <w:snapToGrid w:val="0"/>
        <w:jc w:val="center"/>
        <w:rPr>
          <w:rFonts w:ascii="黑体" w:hAnsi="宋体" w:eastAsia="黑体"/>
          <w:sz w:val="32"/>
          <w:szCs w:val="32"/>
        </w:rPr>
      </w:pPr>
      <w:r>
        <w:rPr>
          <w:rFonts w:hint="eastAsia" w:ascii="黑体" w:hAnsi="宋体" w:eastAsia="黑体"/>
          <w:sz w:val="32"/>
          <w:szCs w:val="32"/>
        </w:rPr>
        <w:t>年  月  日</w:t>
      </w:r>
    </w:p>
    <w:p>
      <w:pPr>
        <w:adjustRightInd w:val="0"/>
        <w:snapToGrid w:val="0"/>
        <w:rPr>
          <w:rFonts w:ascii="黑体" w:hAnsi="宋体" w:eastAsia="黑体"/>
          <w:szCs w:val="21"/>
        </w:rPr>
      </w:pPr>
      <w:r>
        <w:rPr>
          <w:rFonts w:ascii="黑体" w:eastAsia="黑体"/>
          <w:sz w:val="28"/>
          <w:szCs w:val="28"/>
        </w:rPr>
        <w:br w:type="page"/>
      </w:r>
    </w:p>
    <w:p>
      <w:pPr>
        <w:pStyle w:val="4"/>
        <w:jc w:val="center"/>
        <w:rPr>
          <w:rFonts w:ascii="黑体" w:hAnsi="宋体" w:eastAsia="黑体"/>
          <w:sz w:val="28"/>
          <w:szCs w:val="28"/>
        </w:rPr>
      </w:pPr>
      <w:bookmarkStart w:id="945" w:name="_Toc13604"/>
      <w:bookmarkStart w:id="946" w:name="_Toc78450006"/>
      <w:bookmarkStart w:id="947" w:name="_Toc5346"/>
      <w:bookmarkStart w:id="948" w:name="_Toc24280"/>
      <w:bookmarkStart w:id="949" w:name="_Toc85972979"/>
      <w:bookmarkStart w:id="950" w:name="_Toc78314313"/>
      <w:bookmarkStart w:id="951" w:name="_Toc75289281"/>
      <w:bookmarkStart w:id="952" w:name="_Toc75289599"/>
      <w:bookmarkStart w:id="953" w:name="_Toc112594306"/>
      <w:bookmarkStart w:id="954" w:name="_Toc95601414"/>
      <w:bookmarkStart w:id="955" w:name="_Toc20651243"/>
      <w:bookmarkStart w:id="956" w:name="_Toc108341989"/>
      <w:bookmarkStart w:id="957" w:name="_Toc94367929"/>
      <w:bookmarkStart w:id="958" w:name="_Toc100670474"/>
      <w:bookmarkStart w:id="959" w:name="_Toc11736"/>
      <w:bookmarkStart w:id="960" w:name="_Toc1660"/>
      <w:bookmarkStart w:id="961" w:name="_Toc77676517"/>
      <w:bookmarkStart w:id="962" w:name="_Toc100670722"/>
      <w:bookmarkStart w:id="963" w:name="_Toc77199453"/>
      <w:r>
        <w:rPr>
          <w:rFonts w:hint="eastAsia" w:ascii="黑体" w:hAnsi="宋体" w:eastAsia="黑体"/>
          <w:sz w:val="28"/>
          <w:szCs w:val="28"/>
        </w:rPr>
        <w:t>一、开标一览表</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adjustRightInd w:val="0"/>
        <w:snapToGrid w:val="0"/>
        <w:spacing w:line="360" w:lineRule="auto"/>
        <w:ind w:left="-88" w:leftChars="-42"/>
        <w:jc w:val="center"/>
        <w:rPr>
          <w:rFonts w:ascii="仿宋_GB2312" w:hAnsi="宋体" w:eastAsia="仿宋_GB2312"/>
          <w:sz w:val="24"/>
        </w:rPr>
      </w:pPr>
    </w:p>
    <w:p>
      <w:pPr>
        <w:adjustRightInd w:val="0"/>
        <w:snapToGrid w:val="0"/>
        <w:spacing w:line="360" w:lineRule="auto"/>
        <w:rPr>
          <w:rFonts w:ascii="宋体" w:hAnsi="宋体"/>
          <w:szCs w:val="21"/>
        </w:rPr>
      </w:pPr>
      <w:r>
        <w:rPr>
          <w:rFonts w:hint="eastAsia" w:ascii="宋体" w:hAnsi="宋体"/>
          <w:szCs w:val="21"/>
        </w:rPr>
        <w:t>政府采购计划编号：                   项目名称：</w:t>
      </w:r>
    </w:p>
    <w:p>
      <w:pPr>
        <w:adjustRightInd w:val="0"/>
        <w:snapToGrid w:val="0"/>
        <w:spacing w:line="360" w:lineRule="auto"/>
        <w:rPr>
          <w:rFonts w:ascii="宋体" w:hAnsi="宋体"/>
          <w:b/>
          <w:szCs w:val="21"/>
        </w:rPr>
      </w:pPr>
      <w:r>
        <w:rPr>
          <w:rFonts w:hint="eastAsia" w:ascii="宋体" w:hAnsi="宋体"/>
          <w:szCs w:val="21"/>
        </w:rPr>
        <w:t>包号：                               包名称：</w:t>
      </w:r>
    </w:p>
    <w:tbl>
      <w:tblPr>
        <w:tblStyle w:val="48"/>
        <w:tblW w:w="8789"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23" w:hRule="atLeast"/>
          <w:jc w:val="center"/>
        </w:trPr>
        <w:tc>
          <w:tcPr>
            <w:tcW w:w="5670" w:type="dxa"/>
            <w:vAlign w:val="center"/>
          </w:tcPr>
          <w:p>
            <w:pPr>
              <w:adjustRightInd w:val="0"/>
              <w:snapToGrid w:val="0"/>
              <w:spacing w:line="360" w:lineRule="auto"/>
              <w:jc w:val="center"/>
              <w:rPr>
                <w:rFonts w:ascii="宋体" w:hAnsi="宋体"/>
                <w:b/>
                <w:kern w:val="0"/>
                <w:sz w:val="20"/>
                <w:szCs w:val="21"/>
              </w:rPr>
            </w:pPr>
            <w:r>
              <w:rPr>
                <w:rFonts w:hint="eastAsia" w:ascii="宋体" w:hAnsi="宋体"/>
                <w:b/>
                <w:kern w:val="0"/>
                <w:szCs w:val="21"/>
              </w:rPr>
              <w:t>投标报价</w:t>
            </w:r>
          </w:p>
        </w:tc>
        <w:tc>
          <w:tcPr>
            <w:tcW w:w="3119" w:type="dxa"/>
            <w:vAlign w:val="center"/>
          </w:tcPr>
          <w:p>
            <w:pPr>
              <w:adjustRightInd w:val="0"/>
              <w:snapToGrid w:val="0"/>
              <w:spacing w:line="360" w:lineRule="auto"/>
              <w:jc w:val="center"/>
              <w:rPr>
                <w:rFonts w:ascii="宋体" w:hAnsi="宋体"/>
                <w:b/>
                <w:kern w:val="0"/>
                <w:szCs w:val="21"/>
              </w:rPr>
            </w:pPr>
            <w:r>
              <w:rPr>
                <w:rFonts w:hint="eastAsia" w:ascii="宋体" w:hAnsi="宋体"/>
                <w:b/>
                <w:kern w:val="0"/>
                <w:szCs w:val="21"/>
              </w:rPr>
              <w:t>其他内容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23" w:hRule="atLeast"/>
          <w:jc w:val="center"/>
        </w:trPr>
        <w:tc>
          <w:tcPr>
            <w:tcW w:w="5670"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 w:val="20"/>
                <w:szCs w:val="21"/>
              </w:rPr>
              <w:t>人民币元</w:t>
            </w:r>
            <w:r>
              <w:rPr>
                <w:rFonts w:hint="eastAsia" w:ascii="宋体" w:hAnsi="宋体"/>
                <w:kern w:val="0"/>
                <w:szCs w:val="21"/>
              </w:rPr>
              <w:t>）</w:t>
            </w:r>
          </w:p>
          <w:p>
            <w:pPr>
              <w:adjustRightInd w:val="0"/>
              <w:snapToGrid w:val="0"/>
              <w:spacing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 w:val="20"/>
                <w:szCs w:val="21"/>
              </w:rPr>
              <w:t>人民币元</w:t>
            </w:r>
            <w:r>
              <w:rPr>
                <w:rFonts w:hint="eastAsia" w:ascii="宋体" w:hAnsi="宋体"/>
                <w:kern w:val="0"/>
                <w:szCs w:val="21"/>
              </w:rPr>
              <w:t>）</w:t>
            </w:r>
          </w:p>
          <w:p>
            <w:pPr>
              <w:adjustRightInd w:val="0"/>
              <w:snapToGrid w:val="0"/>
              <w:spacing w:line="360" w:lineRule="auto"/>
              <w:jc w:val="center"/>
              <w:rPr>
                <w:rFonts w:ascii="宋体" w:hAnsi="宋体"/>
                <w:kern w:val="0"/>
                <w:szCs w:val="21"/>
              </w:rPr>
            </w:pPr>
            <w:r>
              <w:rPr>
                <w:rFonts w:hint="eastAsia" w:ascii="宋体" w:hAnsi="宋体"/>
                <w:kern w:val="0"/>
                <w:szCs w:val="21"/>
              </w:rPr>
              <w:t>（大写金额与小写金额不一致时，以大写金额为准）</w:t>
            </w:r>
          </w:p>
        </w:tc>
        <w:tc>
          <w:tcPr>
            <w:tcW w:w="3119" w:type="dxa"/>
            <w:vAlign w:val="center"/>
          </w:tcPr>
          <w:p>
            <w:pPr>
              <w:adjustRightInd w:val="0"/>
              <w:snapToGrid w:val="0"/>
              <w:spacing w:line="360" w:lineRule="exact"/>
              <w:rPr>
                <w:rFonts w:ascii="宋体" w:hAnsi="宋体"/>
                <w:kern w:val="0"/>
                <w:szCs w:val="21"/>
              </w:rPr>
            </w:pPr>
            <w:r>
              <w:rPr>
                <w:rFonts w:hint="eastAsia" w:ascii="宋体" w:hAnsi="宋体"/>
                <w:kern w:val="0"/>
                <w:szCs w:val="21"/>
              </w:rPr>
              <w:t>交货期：</w:t>
            </w:r>
          </w:p>
          <w:p>
            <w:pPr>
              <w:pStyle w:val="4"/>
              <w:rPr>
                <w:b w:val="0"/>
                <w:sz w:val="21"/>
                <w:szCs w:val="21"/>
              </w:rPr>
            </w:pPr>
            <w:bookmarkStart w:id="964" w:name="_Toc30854"/>
            <w:bookmarkStart w:id="965" w:name="_Toc95601415"/>
            <w:bookmarkStart w:id="966" w:name="_Toc100670723"/>
            <w:bookmarkStart w:id="967" w:name="_Toc78450007"/>
            <w:bookmarkStart w:id="968" w:name="_Toc27278"/>
            <w:bookmarkStart w:id="969" w:name="_Toc112594307"/>
            <w:bookmarkStart w:id="970" w:name="_Toc108341990"/>
            <w:bookmarkStart w:id="971" w:name="_Toc31276"/>
            <w:bookmarkStart w:id="972" w:name="_Toc85972980"/>
            <w:bookmarkStart w:id="973" w:name="_Toc78314314"/>
            <w:bookmarkStart w:id="974" w:name="_Toc3750"/>
            <w:bookmarkStart w:id="975" w:name="_Toc94367930"/>
            <w:bookmarkStart w:id="976" w:name="_Toc4989"/>
            <w:bookmarkStart w:id="977" w:name="_Toc77676518"/>
            <w:bookmarkStart w:id="978" w:name="_Toc100670475"/>
            <w:r>
              <w:rPr>
                <w:rFonts w:hint="eastAsia"/>
                <w:b w:val="0"/>
                <w:sz w:val="21"/>
                <w:szCs w:val="21"/>
                <w:lang w:val="en-US" w:eastAsia="zh-CN"/>
              </w:rPr>
              <w:t>项目负责人</w:t>
            </w:r>
            <w:r>
              <w:rPr>
                <w:rFonts w:hint="eastAsia"/>
                <w:b w:val="0"/>
                <w:sz w:val="21"/>
                <w:szCs w:val="21"/>
              </w:rPr>
              <w:t>：</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c>
      </w:tr>
    </w:tbl>
    <w:p>
      <w:pPr>
        <w:adjustRightInd w:val="0"/>
        <w:snapToGrid w:val="0"/>
        <w:spacing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pPr>
        <w:adjustRightInd w:val="0"/>
        <w:snapToGrid w:val="0"/>
        <w:spacing w:line="360" w:lineRule="auto"/>
        <w:ind w:firstLine="630" w:firstLineChars="300"/>
        <w:rPr>
          <w:rFonts w:ascii="宋体" w:hAnsi="宋体"/>
          <w:szCs w:val="21"/>
        </w:rPr>
      </w:pPr>
      <w:r>
        <w:rPr>
          <w:rFonts w:hint="eastAsia" w:ascii="宋体" w:hAnsi="宋体"/>
          <w:szCs w:val="21"/>
        </w:rPr>
        <w:t>2.</w:t>
      </w:r>
      <w:r>
        <w:rPr>
          <w:rFonts w:hint="eastAsia" w:ascii="宋体" w:hAnsi="宋体"/>
        </w:rPr>
        <w:t>投标人对采购项目内容只允许有一个投标报价，否则其</w:t>
      </w:r>
      <w:r>
        <w:rPr>
          <w:rFonts w:hint="eastAsia" w:ascii="宋体" w:hAnsi="宋体"/>
          <w:b/>
        </w:rPr>
        <w:t>投标无效</w:t>
      </w:r>
      <w:r>
        <w:rPr>
          <w:rFonts w:hint="eastAsia" w:ascii="宋体" w:hAnsi="宋体"/>
          <w:szCs w:val="21"/>
        </w:rPr>
        <w:t>。</w:t>
      </w:r>
    </w:p>
    <w:p>
      <w:pPr>
        <w:adjustRightInd w:val="0"/>
        <w:snapToGrid w:val="0"/>
        <w:spacing w:line="360" w:lineRule="auto"/>
        <w:ind w:firstLine="630" w:firstLineChars="300"/>
        <w:rPr>
          <w:rFonts w:ascii="宋体" w:hAnsi="宋体"/>
        </w:rPr>
      </w:pPr>
      <w:r>
        <w:rPr>
          <w:rFonts w:hint="eastAsia" w:ascii="宋体" w:hAnsi="宋体"/>
          <w:szCs w:val="21"/>
        </w:rPr>
        <w:t>3.</w:t>
      </w:r>
      <w:r>
        <w:rPr>
          <w:rFonts w:hint="eastAsia" w:ascii="宋体" w:hAnsi="宋体"/>
        </w:rPr>
        <w:t>投标人在投标截止时间前修改“开标一览表”中的投标报价的，应同时修改投标文件“分项报价明细表”“享受政府采购政策优惠的证明资料”以及“联合体协议书”（如果影响）等相关内容。</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或其授权的代理人（签字或印章）：_</w:t>
      </w:r>
    </w:p>
    <w:p>
      <w:pPr>
        <w:adjustRightInd w:val="0"/>
        <w:snapToGrid w:val="0"/>
        <w:spacing w:line="360" w:lineRule="auto"/>
        <w:rPr>
          <w:rFonts w:ascii="宋体" w:hAnsi="宋体"/>
          <w:szCs w:val="21"/>
        </w:rPr>
      </w:pPr>
      <w:r>
        <w:rPr>
          <w:rFonts w:hint="eastAsia" w:ascii="宋体" w:hAnsi="宋体"/>
          <w:szCs w:val="21"/>
        </w:rPr>
        <w:t>日期：年月日</w:t>
      </w:r>
    </w:p>
    <w:p>
      <w:pPr>
        <w:widowControl/>
        <w:jc w:val="left"/>
        <w:rPr>
          <w:rFonts w:ascii="宋体" w:hAnsi="宋体"/>
          <w:szCs w:val="21"/>
        </w:rPr>
      </w:pPr>
      <w:r>
        <w:rPr>
          <w:rFonts w:ascii="宋体" w:hAnsi="宋体"/>
          <w:szCs w:val="21"/>
        </w:rPr>
        <w:br w:type="page"/>
      </w:r>
    </w:p>
    <w:p>
      <w:pPr>
        <w:pStyle w:val="4"/>
        <w:jc w:val="center"/>
        <w:rPr>
          <w:rFonts w:ascii="黑体" w:hAnsi="黑体" w:eastAsia="黑体"/>
          <w:sz w:val="28"/>
          <w:szCs w:val="28"/>
        </w:rPr>
      </w:pPr>
      <w:bookmarkStart w:id="979" w:name="_Toc108341991"/>
      <w:bookmarkStart w:id="980" w:name="_Toc1179"/>
      <w:bookmarkStart w:id="981" w:name="_Toc18975"/>
      <w:bookmarkStart w:id="982" w:name="_Toc85972982"/>
      <w:bookmarkStart w:id="983" w:name="_Toc77676520"/>
      <w:bookmarkStart w:id="984" w:name="_Toc77199455"/>
      <w:bookmarkStart w:id="985" w:name="_Toc75289283"/>
      <w:bookmarkStart w:id="986" w:name="_Toc10581"/>
      <w:bookmarkStart w:id="987" w:name="_Toc99"/>
      <w:bookmarkStart w:id="988" w:name="_Toc95601417"/>
      <w:bookmarkStart w:id="989" w:name="_Toc78450009"/>
      <w:bookmarkStart w:id="990" w:name="_Toc20651246"/>
      <w:bookmarkStart w:id="991" w:name="_Toc100670476"/>
      <w:bookmarkStart w:id="992" w:name="_Toc100670724"/>
      <w:bookmarkStart w:id="993" w:name="_Toc75289601"/>
      <w:bookmarkStart w:id="994" w:name="_Toc94367932"/>
      <w:bookmarkStart w:id="995" w:name="_Toc112594308"/>
      <w:bookmarkStart w:id="996" w:name="_Toc17876"/>
      <w:bookmarkStart w:id="997" w:name="_Toc78314316"/>
      <w:r>
        <w:rPr>
          <w:rFonts w:hint="eastAsia" w:ascii="黑体" w:hAnsi="黑体" w:eastAsia="黑体"/>
          <w:sz w:val="28"/>
          <w:szCs w:val="28"/>
        </w:rPr>
        <w:t>二、法定代表人身份证明</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p>
    <w:p>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p>
    <w:p>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p>
    <w:p>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：系</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p>
    <w:p>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r>
        <w:rPr>
          <w:rFonts w:hint="eastAsia" w:ascii="宋体" w:hAnsi="宋体" w:cs="微软雅黑"/>
          <w:kern w:val="0"/>
          <w:szCs w:val="21"/>
        </w:rPr>
        <w:t>。</w:t>
      </w:r>
    </w:p>
    <w:tbl>
      <w:tblPr>
        <w:tblStyle w:val="48"/>
        <w:tblW w:w="7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5" w:hRule="atLeast"/>
          <w:jc w:val="center"/>
        </w:trPr>
        <w:tc>
          <w:tcPr>
            <w:tcW w:w="3898" w:type="dxa"/>
            <w:vAlign w:val="center"/>
          </w:tcPr>
          <w:p>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899" w:type="dxa"/>
            <w:vAlign w:val="center"/>
          </w:tcPr>
          <w:p>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注：投标人代表为法定代表人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的提供。自然人投标的无需提供。</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rPr>
        <w:t>年月日</w:t>
      </w:r>
    </w:p>
    <w:p>
      <w:pPr>
        <w:pStyle w:val="4"/>
        <w:jc w:val="center"/>
        <w:rPr>
          <w:rFonts w:ascii="黑体" w:hAnsi="宋体" w:eastAsia="黑体"/>
          <w:sz w:val="28"/>
          <w:szCs w:val="28"/>
        </w:rPr>
      </w:pPr>
      <w:r>
        <w:rPr>
          <w:rFonts w:ascii="黑体" w:hAnsi="黑体" w:eastAsia="黑体"/>
          <w:bCs w:val="0"/>
          <w:sz w:val="28"/>
          <w:szCs w:val="28"/>
        </w:rPr>
        <w:br w:type="page"/>
      </w:r>
      <w:bookmarkStart w:id="998" w:name="_Toc100670725"/>
      <w:bookmarkStart w:id="999" w:name="_Toc31198"/>
      <w:bookmarkStart w:id="1000" w:name="_Toc75289284"/>
      <w:bookmarkStart w:id="1001" w:name="_Toc8381"/>
      <w:bookmarkStart w:id="1002" w:name="_Toc85972983"/>
      <w:bookmarkStart w:id="1003" w:name="_Toc20651247"/>
      <w:bookmarkStart w:id="1004" w:name="_Toc31300"/>
      <w:bookmarkStart w:id="1005" w:name="_Toc78450010"/>
      <w:bookmarkStart w:id="1006" w:name="_Toc78314317"/>
      <w:bookmarkStart w:id="1007" w:name="_Toc28816"/>
      <w:bookmarkStart w:id="1008" w:name="_Toc100670477"/>
      <w:bookmarkStart w:id="1009" w:name="_Toc112594309"/>
      <w:bookmarkStart w:id="1010" w:name="_Toc1470"/>
      <w:bookmarkStart w:id="1011" w:name="_Toc94367933"/>
      <w:bookmarkStart w:id="1012" w:name="_Toc75289602"/>
      <w:bookmarkStart w:id="1013" w:name="_Toc95601418"/>
      <w:bookmarkStart w:id="1014" w:name="_Toc77199456"/>
      <w:bookmarkStart w:id="1015" w:name="_Toc77676521"/>
      <w:bookmarkStart w:id="1016" w:name="_Toc108341992"/>
      <w:r>
        <w:rPr>
          <w:rFonts w:hint="eastAsia" w:ascii="黑体" w:hAnsi="宋体" w:eastAsia="黑体"/>
          <w:sz w:val="28"/>
          <w:szCs w:val="28"/>
        </w:rPr>
        <w:t>三、授权委托书</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autoSpaceDE w:val="0"/>
        <w:autoSpaceDN w:val="0"/>
        <w:adjustRightInd w:val="0"/>
        <w:snapToGrid w:val="0"/>
        <w:spacing w:line="360" w:lineRule="auto"/>
        <w:ind w:firstLine="446" w:firstLineChars="200"/>
        <w:jc w:val="left"/>
        <w:rPr>
          <w:rFonts w:ascii="宋体" w:hAnsi="宋体"/>
          <w:b/>
          <w:spacing w:val="6"/>
          <w:szCs w:val="21"/>
        </w:rPr>
      </w:pPr>
    </w:p>
    <w:p>
      <w:pPr>
        <w:autoSpaceDE w:val="0"/>
        <w:autoSpaceDN w:val="0"/>
        <w:adjustRightInd w:val="0"/>
        <w:snapToGrid w:val="0"/>
        <w:spacing w:line="360" w:lineRule="auto"/>
        <w:ind w:firstLine="420" w:firstLineChars="200"/>
        <w:jc w:val="left"/>
        <w:rPr>
          <w:rFonts w:ascii="宋体" w:hAnsi="宋体" w:cs="宋体"/>
          <w:kern w:val="0"/>
          <w:szCs w:val="21"/>
        </w:rPr>
      </w:pPr>
    </w:p>
    <w:p>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本人（姓名、职务）系 （</w:t>
      </w:r>
      <w:r>
        <w:rPr>
          <w:rFonts w:hint="eastAsia" w:ascii="宋体" w:hAnsi="宋体"/>
          <w:szCs w:val="21"/>
        </w:rPr>
        <w:t>投标人</w:t>
      </w:r>
      <w:r>
        <w:rPr>
          <w:rFonts w:hint="eastAsia" w:ascii="宋体" w:hAnsi="宋体" w:cs="宋体"/>
          <w:kern w:val="0"/>
          <w:szCs w:val="21"/>
        </w:rPr>
        <w:t>名称）的法定代表人，现授权（姓名、职务）为我方代理人。代理人根据授权，以我方名义签署、澄清、说明、补正、递交、撤回、修改（项目名称</w:t>
      </w:r>
      <w:r>
        <w:rPr>
          <w:rFonts w:ascii="宋体" w:hAnsi="宋体" w:cs="宋体"/>
          <w:kern w:val="0"/>
          <w:szCs w:val="21"/>
        </w:rPr>
        <w:t>）</w:t>
      </w:r>
      <w:r>
        <w:rPr>
          <w:rFonts w:hint="eastAsia" w:ascii="宋体" w:hAnsi="宋体" w:cs="宋体"/>
          <w:kern w:val="0"/>
          <w:szCs w:val="21"/>
        </w:rPr>
        <w:t>（</w:t>
      </w:r>
      <w:r>
        <w:rPr>
          <w:rFonts w:hint="eastAsia" w:ascii="宋体" w:hAnsi="宋体"/>
        </w:rPr>
        <w:t>政府采购计划编号</w:t>
      </w:r>
      <w:r>
        <w:rPr>
          <w:rFonts w:hint="eastAsia" w:ascii="宋体" w:hAnsi="宋体"/>
          <w:iCs/>
        </w:rPr>
        <w:t>： ，</w:t>
      </w:r>
      <w:r>
        <w:rPr>
          <w:rFonts w:hint="eastAsia" w:ascii="宋体" w:hAnsi="宋体" w:cs="宋体"/>
          <w:kern w:val="0"/>
          <w:szCs w:val="21"/>
        </w:rPr>
        <w:t>委托代理编号：）投标文件、签订合同和处理有关事宜，其法律后果由我方承担。</w:t>
      </w:r>
    </w:p>
    <w:p>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 。</w:t>
      </w:r>
    </w:p>
    <w:p>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pPr>
        <w:adjustRightInd w:val="0"/>
        <w:snapToGrid w:val="0"/>
        <w:spacing w:line="360" w:lineRule="auto"/>
        <w:ind w:firstLine="435"/>
        <w:rPr>
          <w:rFonts w:ascii="宋体" w:hAnsi="宋体" w:cs="微软雅黑"/>
          <w:kern w:val="0"/>
          <w:szCs w:val="21"/>
        </w:rPr>
      </w:pPr>
      <w:r>
        <w:rPr>
          <w:rFonts w:hint="eastAsia" w:ascii="宋体" w:hAnsi="宋体"/>
          <w:szCs w:val="21"/>
        </w:rPr>
        <w:t>本授权书于年月日签字生效，特此声明。</w:t>
      </w:r>
    </w:p>
    <w:tbl>
      <w:tblPr>
        <w:tblStyle w:val="48"/>
        <w:tblW w:w="7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5" w:hRule="atLeast"/>
          <w:jc w:val="center"/>
        </w:trPr>
        <w:tc>
          <w:tcPr>
            <w:tcW w:w="3898" w:type="dxa"/>
            <w:vAlign w:val="center"/>
          </w:tcPr>
          <w:p>
            <w:pPr>
              <w:adjustRightInd w:val="0"/>
              <w:snapToGrid w:val="0"/>
              <w:spacing w:line="360" w:lineRule="auto"/>
              <w:jc w:val="center"/>
              <w:rPr>
                <w:rFonts w:ascii="宋体" w:hAnsi="宋体"/>
                <w:szCs w:val="21"/>
              </w:rPr>
            </w:pPr>
            <w:r>
              <w:rPr>
                <w:rFonts w:hint="eastAsia" w:ascii="宋体" w:hAnsi="宋体"/>
                <w:szCs w:val="21"/>
              </w:rPr>
              <w:t>委托代理人身份证（正面）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899" w:type="dxa"/>
            <w:vAlign w:val="center"/>
          </w:tcPr>
          <w:p>
            <w:pPr>
              <w:adjustRightInd w:val="0"/>
              <w:snapToGrid w:val="0"/>
              <w:spacing w:line="360" w:lineRule="auto"/>
              <w:jc w:val="center"/>
              <w:rPr>
                <w:rFonts w:ascii="宋体" w:hAnsi="宋体"/>
                <w:szCs w:val="21"/>
              </w:rPr>
            </w:pPr>
            <w:r>
              <w:rPr>
                <w:rFonts w:hint="eastAsia" w:ascii="宋体" w:hAnsi="宋体"/>
                <w:szCs w:val="21"/>
              </w:rPr>
              <w:t>委托代理人身份证（反面）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5" w:hRule="atLeast"/>
          <w:jc w:val="center"/>
        </w:trPr>
        <w:tc>
          <w:tcPr>
            <w:tcW w:w="3898" w:type="dxa"/>
            <w:vAlign w:val="center"/>
          </w:tcPr>
          <w:p>
            <w:pPr>
              <w:adjustRightInd w:val="0"/>
              <w:snapToGrid w:val="0"/>
              <w:spacing w:line="360" w:lineRule="auto"/>
              <w:jc w:val="center"/>
              <w:rPr>
                <w:rFonts w:ascii="宋体" w:hAnsi="宋体"/>
                <w:szCs w:val="21"/>
              </w:rPr>
            </w:pPr>
            <w:r>
              <w:rPr>
                <w:rFonts w:hint="eastAsia" w:ascii="宋体" w:hAnsi="宋体"/>
                <w:szCs w:val="21"/>
              </w:rPr>
              <w:t>法定代表人身份证（正面）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899" w:type="dxa"/>
            <w:vAlign w:val="center"/>
          </w:tcPr>
          <w:p>
            <w:pPr>
              <w:adjustRightInd w:val="0"/>
              <w:snapToGrid w:val="0"/>
              <w:spacing w:line="360" w:lineRule="auto"/>
              <w:jc w:val="center"/>
              <w:rPr>
                <w:rFonts w:ascii="宋体" w:hAnsi="宋体"/>
                <w:szCs w:val="21"/>
              </w:rPr>
            </w:pPr>
            <w:r>
              <w:rPr>
                <w:rFonts w:hint="eastAsia" w:ascii="宋体" w:hAnsi="宋体"/>
                <w:szCs w:val="21"/>
              </w:rPr>
              <w:t>法定代表人身份证（反面）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注：投标人代表不是投标人的法定代表人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的提供。自然人投标的无需提供。</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p>
    <w:p>
      <w:pPr>
        <w:adjustRightInd w:val="0"/>
        <w:snapToGrid w:val="0"/>
        <w:spacing w:line="360" w:lineRule="auto"/>
        <w:ind w:right="420"/>
        <w:rPr>
          <w:rFonts w:ascii="宋体" w:hAnsi="宋体"/>
          <w:szCs w:val="21"/>
        </w:rPr>
      </w:pPr>
      <w:r>
        <w:rPr>
          <w:rFonts w:hint="eastAsia" w:ascii="宋体" w:hAnsi="宋体"/>
          <w:szCs w:val="21"/>
        </w:rPr>
        <w:t>委托代理人（签字或印章）：</w:t>
      </w:r>
    </w:p>
    <w:p>
      <w:pPr>
        <w:adjustRightInd w:val="0"/>
        <w:snapToGrid w:val="0"/>
        <w:spacing w:line="360" w:lineRule="auto"/>
        <w:jc w:val="left"/>
        <w:rPr>
          <w:rFonts w:ascii="宋体" w:hAnsi="宋体"/>
          <w:szCs w:val="21"/>
        </w:rPr>
      </w:pPr>
      <w:r>
        <w:rPr>
          <w:rFonts w:hint="eastAsia" w:ascii="宋体" w:hAnsi="宋体" w:cs="宋体"/>
          <w:szCs w:val="21"/>
        </w:rPr>
        <w:t>日期：</w:t>
      </w:r>
      <w:r>
        <w:rPr>
          <w:rFonts w:hint="eastAsia" w:ascii="宋体" w:hAnsi="宋体"/>
          <w:szCs w:val="21"/>
        </w:rPr>
        <w:t>年月日</w:t>
      </w:r>
    </w:p>
    <w:p>
      <w:pPr>
        <w:pStyle w:val="66"/>
        <w:ind w:firstLine="400"/>
      </w:pPr>
      <w:r>
        <w:br w:type="page"/>
      </w:r>
    </w:p>
    <w:p>
      <w:pPr>
        <w:pStyle w:val="4"/>
        <w:jc w:val="center"/>
        <w:rPr>
          <w:rFonts w:ascii="黑体" w:hAnsi="宋体" w:eastAsia="黑体"/>
          <w:sz w:val="28"/>
          <w:szCs w:val="28"/>
        </w:rPr>
      </w:pPr>
      <w:bookmarkStart w:id="1017" w:name="_Toc24293"/>
      <w:bookmarkStart w:id="1018" w:name="_Toc77199457"/>
      <w:bookmarkStart w:id="1019" w:name="_Toc77676522"/>
      <w:bookmarkStart w:id="1020" w:name="_Toc94367934"/>
      <w:bookmarkStart w:id="1021" w:name="_Toc78450011"/>
      <w:bookmarkStart w:id="1022" w:name="_Toc85972984"/>
      <w:bookmarkStart w:id="1023" w:name="_Toc95601419"/>
      <w:bookmarkStart w:id="1024" w:name="_Toc112594310"/>
      <w:bookmarkStart w:id="1025" w:name="_Toc108341993"/>
      <w:bookmarkStart w:id="1026" w:name="_Toc15888533"/>
      <w:bookmarkStart w:id="1027" w:name="_Toc78314318"/>
      <w:bookmarkStart w:id="1028" w:name="_Toc75289603"/>
      <w:bookmarkStart w:id="1029" w:name="_Toc22590"/>
      <w:bookmarkStart w:id="1030" w:name="_Toc21113"/>
      <w:bookmarkStart w:id="1031" w:name="_Toc100670726"/>
      <w:bookmarkStart w:id="1032" w:name="_Toc75289285"/>
      <w:bookmarkStart w:id="1033" w:name="_Toc26363"/>
      <w:bookmarkStart w:id="1034" w:name="_Toc26981"/>
      <w:bookmarkStart w:id="1035" w:name="_Toc100670478"/>
      <w:r>
        <w:rPr>
          <w:rFonts w:hint="eastAsia" w:ascii="黑体" w:hAnsi="宋体" w:eastAsia="黑体"/>
          <w:sz w:val="28"/>
          <w:szCs w:val="28"/>
        </w:rPr>
        <w:t>四、投标人提供的资格证明文件</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Start w:id="1036" w:name="_Toc294206743"/>
      <w:bookmarkStart w:id="1037" w:name="_Toc294186060"/>
    </w:p>
    <w:p>
      <w:pPr>
        <w:pStyle w:val="25"/>
        <w:adjustRightInd w:val="0"/>
        <w:snapToGrid w:val="0"/>
        <w:spacing w:line="360" w:lineRule="auto"/>
        <w:jc w:val="center"/>
        <w:rPr>
          <w:rFonts w:hAnsi="宋体"/>
          <w:b/>
          <w:bCs/>
          <w:sz w:val="24"/>
          <w:szCs w:val="24"/>
        </w:rPr>
      </w:pPr>
    </w:p>
    <w:p>
      <w:pPr>
        <w:pStyle w:val="25"/>
        <w:adjustRightInd w:val="0"/>
        <w:snapToGrid w:val="0"/>
        <w:spacing w:line="360" w:lineRule="auto"/>
        <w:jc w:val="center"/>
        <w:rPr>
          <w:rFonts w:ascii="黑体" w:hAnsi="黑体" w:eastAsia="黑体"/>
          <w:b/>
          <w:bCs/>
          <w:sz w:val="28"/>
          <w:szCs w:val="28"/>
        </w:rPr>
      </w:pPr>
      <w:r>
        <w:rPr>
          <w:rFonts w:hint="eastAsia" w:ascii="黑体" w:hAnsi="黑体" w:eastAsia="黑体"/>
          <w:b/>
          <w:bCs/>
          <w:sz w:val="28"/>
          <w:szCs w:val="28"/>
        </w:rPr>
        <w:t>须  知</w:t>
      </w:r>
    </w:p>
    <w:p>
      <w:pPr>
        <w:numPr>
          <w:ilvl w:val="0"/>
          <w:numId w:val="4"/>
        </w:numPr>
        <w:tabs>
          <w:tab w:val="left" w:pos="4725"/>
        </w:tabs>
        <w:adjustRightInd w:val="0"/>
        <w:snapToGrid w:val="0"/>
        <w:spacing w:before="156" w:beforeLines="50" w:line="360" w:lineRule="auto"/>
        <w:ind w:firstLine="422" w:firstLineChars="200"/>
        <w:rPr>
          <w:rFonts w:ascii="宋体" w:hAnsi="宋体"/>
          <w:b/>
          <w:bCs/>
          <w:szCs w:val="21"/>
        </w:rPr>
      </w:pPr>
      <w:r>
        <w:rPr>
          <w:rFonts w:hint="eastAsia" w:ascii="宋体" w:hAnsi="宋体"/>
          <w:b/>
          <w:szCs w:val="21"/>
        </w:rPr>
        <w:t>投标人</w:t>
      </w:r>
      <w:r>
        <w:rPr>
          <w:rFonts w:hint="eastAsia" w:ascii="宋体" w:hAnsi="宋体"/>
          <w:b/>
          <w:bCs/>
          <w:szCs w:val="21"/>
        </w:rPr>
        <w:t>应按第二章第14.1款要求提供下列的证明材料</w:t>
      </w:r>
    </w:p>
    <w:p>
      <w:pPr>
        <w:tabs>
          <w:tab w:val="left" w:pos="4725"/>
        </w:tabs>
        <w:adjustRightInd w:val="0"/>
        <w:snapToGrid w:val="0"/>
        <w:spacing w:line="360" w:lineRule="auto"/>
        <w:ind w:firstLine="735" w:firstLineChars="350"/>
        <w:rPr>
          <w:rFonts w:ascii="宋体" w:hAnsi="宋体"/>
          <w:szCs w:val="21"/>
        </w:rPr>
      </w:pPr>
      <w:r>
        <w:rPr>
          <w:rFonts w:hint="eastAsia" w:ascii="宋体" w:hAnsi="宋体"/>
          <w:szCs w:val="21"/>
        </w:rPr>
        <w:t>附件4-1 法人或者其他组织的营业执照等主体资格证明文件，自然人的身份证明</w:t>
      </w:r>
    </w:p>
    <w:p>
      <w:pPr>
        <w:tabs>
          <w:tab w:val="left" w:pos="4725"/>
        </w:tabs>
        <w:adjustRightInd w:val="0"/>
        <w:snapToGrid w:val="0"/>
        <w:spacing w:line="360" w:lineRule="auto"/>
        <w:ind w:firstLine="735" w:firstLineChars="350"/>
        <w:rPr>
          <w:rFonts w:ascii="宋体" w:hAnsi="宋体"/>
          <w:szCs w:val="21"/>
        </w:rPr>
      </w:pPr>
      <w:r>
        <w:rPr>
          <w:rFonts w:hint="eastAsia" w:ascii="宋体" w:hAnsi="宋体"/>
          <w:szCs w:val="21"/>
        </w:rPr>
        <w:t>附件4-2 湖南省政府采购供应商资格承诺函(格式)</w:t>
      </w:r>
    </w:p>
    <w:p>
      <w:pPr>
        <w:tabs>
          <w:tab w:val="left" w:pos="4725"/>
        </w:tabs>
        <w:adjustRightInd w:val="0"/>
        <w:snapToGrid w:val="0"/>
        <w:spacing w:line="360" w:lineRule="auto"/>
        <w:ind w:firstLine="735" w:firstLineChars="350"/>
        <w:rPr>
          <w:rFonts w:ascii="宋体" w:hAnsi="宋体"/>
          <w:szCs w:val="21"/>
        </w:rPr>
      </w:pPr>
      <w:r>
        <w:rPr>
          <w:rFonts w:hint="eastAsia" w:ascii="宋体" w:hAnsi="宋体"/>
          <w:szCs w:val="21"/>
        </w:rPr>
        <w:t>附件4-3 符合特定资格条件证明材料复印件或者情况说明</w:t>
      </w:r>
    </w:p>
    <w:p>
      <w:pPr>
        <w:tabs>
          <w:tab w:val="left" w:pos="4725"/>
        </w:tabs>
        <w:adjustRightInd w:val="0"/>
        <w:snapToGrid w:val="0"/>
        <w:spacing w:line="360" w:lineRule="auto"/>
        <w:ind w:firstLine="735" w:firstLineChars="350"/>
        <w:rPr>
          <w:rFonts w:ascii="宋体" w:hAnsi="宋体"/>
          <w:szCs w:val="21"/>
        </w:rPr>
      </w:pPr>
      <w:r>
        <w:rPr>
          <w:rFonts w:hint="eastAsia" w:ascii="宋体" w:hAnsi="宋体"/>
          <w:szCs w:val="21"/>
        </w:rPr>
        <w:t>附件4-4 联合体协议书（格式）（联合体形式投标的提供）</w:t>
      </w:r>
    </w:p>
    <w:p>
      <w:pPr>
        <w:pStyle w:val="66"/>
        <w:spacing w:line="360" w:lineRule="auto"/>
        <w:ind w:firstLine="4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投标人以联合体形式投标的，除应提交联合协议书(本节附4-4)外，参加联合体的各方均应提交上款资格证明材料。</w:t>
      </w:r>
    </w:p>
    <w:p>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3、附件4-5 分包承诺（执行强制分包的提供）</w:t>
      </w:r>
    </w:p>
    <w:p>
      <w:pPr>
        <w:tabs>
          <w:tab w:val="left" w:pos="4725"/>
        </w:tabs>
        <w:adjustRightInd w:val="0"/>
        <w:snapToGrid w:val="0"/>
        <w:spacing w:line="360" w:lineRule="auto"/>
        <w:rPr>
          <w:rFonts w:ascii="宋体" w:hAnsi="宋体" w:cs="宋体"/>
          <w:szCs w:val="21"/>
        </w:rPr>
      </w:pPr>
    </w:p>
    <w:p>
      <w:pPr>
        <w:widowControl/>
        <w:adjustRightInd w:val="0"/>
        <w:snapToGrid w:val="0"/>
        <w:jc w:val="left"/>
        <w:rPr>
          <w:rFonts w:ascii="黑体" w:hAnsi="仿宋" w:eastAsia="黑体" w:cs="宋体"/>
          <w:szCs w:val="21"/>
        </w:rPr>
      </w:pPr>
      <w:r>
        <w:rPr>
          <w:rFonts w:ascii="黑体" w:hAnsi="仿宋" w:eastAsia="黑体" w:cs="宋体"/>
          <w:szCs w:val="21"/>
        </w:rPr>
        <w:br w:type="page"/>
      </w:r>
    </w:p>
    <w:p>
      <w:pPr>
        <w:pStyle w:val="6"/>
        <w:adjustRightInd w:val="0"/>
        <w:snapToGrid w:val="0"/>
        <w:spacing w:before="156" w:beforeLines="50" w:after="0" w:line="360" w:lineRule="auto"/>
        <w:rPr>
          <w:rFonts w:ascii="黑体" w:hAnsi="仿宋" w:cs="宋体"/>
          <w:b w:val="0"/>
          <w:sz w:val="21"/>
          <w:szCs w:val="21"/>
        </w:rPr>
      </w:pPr>
      <w:bookmarkStart w:id="1038" w:name="_Toc75289286"/>
      <w:bookmarkStart w:id="1039" w:name="_Toc15888534"/>
      <w:r>
        <w:rPr>
          <w:rFonts w:hint="eastAsia" w:ascii="黑体" w:hAnsi="仿宋" w:cs="宋体"/>
          <w:b w:val="0"/>
          <w:sz w:val="21"/>
          <w:szCs w:val="21"/>
        </w:rPr>
        <w:t>附件4-1</w:t>
      </w:r>
      <w:bookmarkEnd w:id="1038"/>
      <w:bookmarkEnd w:id="1039"/>
      <w:r>
        <w:rPr>
          <w:rFonts w:hint="eastAsia" w:ascii="黑体" w:hAnsi="仿宋" w:cs="宋体"/>
          <w:b w:val="0"/>
          <w:sz w:val="21"/>
          <w:szCs w:val="21"/>
        </w:rPr>
        <w:t>法人或者其他组织的营业执照等主体资格证明文件，自然人的身份证明</w:t>
      </w:r>
    </w:p>
    <w:p>
      <w:pPr>
        <w:pStyle w:val="5"/>
        <w:jc w:val="center"/>
        <w:rPr>
          <w:rFonts w:ascii="黑体" w:hAnsi="黑体" w:eastAsia="黑体" w:cs="宋体"/>
          <w:sz w:val="28"/>
          <w:szCs w:val="28"/>
        </w:rPr>
      </w:pPr>
      <w:bookmarkStart w:id="1040" w:name="_Toc111543599"/>
      <w:bookmarkStart w:id="1041" w:name="_Toc112594311"/>
      <w:bookmarkStart w:id="1042" w:name="_Toc5687"/>
      <w:bookmarkStart w:id="1043" w:name="_Toc18704"/>
      <w:bookmarkStart w:id="1044" w:name="_Toc30655"/>
      <w:bookmarkStart w:id="1045" w:name="_Toc6617"/>
      <w:r>
        <w:rPr>
          <w:rFonts w:hint="eastAsia" w:ascii="黑体" w:hAnsi="仿宋" w:eastAsia="黑体" w:cs="宋体"/>
          <w:b w:val="0"/>
          <w:sz w:val="28"/>
          <w:szCs w:val="28"/>
        </w:rPr>
        <w:t>法人或者其他组织的营业执照等主体资格证明文件，自然人的身份证明</w:t>
      </w:r>
      <w:bookmarkEnd w:id="1040"/>
      <w:bookmarkEnd w:id="1041"/>
      <w:bookmarkEnd w:id="1042"/>
      <w:bookmarkEnd w:id="1043"/>
      <w:bookmarkEnd w:id="1044"/>
      <w:bookmarkEnd w:id="1045"/>
    </w:p>
    <w:p>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（1）项要求提供。</w:t>
      </w:r>
    </w:p>
    <w:p>
      <w:pPr>
        <w:adjustRightInd w:val="0"/>
        <w:snapToGrid w:val="0"/>
        <w:spacing w:before="156" w:beforeLines="50" w:line="360" w:lineRule="auto"/>
        <w:ind w:firstLine="420" w:firstLineChars="200"/>
        <w:rPr>
          <w:rFonts w:ascii="宋体" w:hAnsi="宋体"/>
        </w:rPr>
      </w:pPr>
      <w:r>
        <w:rPr>
          <w:rFonts w:hint="eastAsia" w:ascii="宋体" w:hAnsi="宋体" w:cs="宋体"/>
          <w:szCs w:val="21"/>
        </w:rPr>
        <w:t>（1）</w:t>
      </w:r>
      <w:r>
        <w:rPr>
          <w:rFonts w:hint="eastAsia" w:ascii="宋体" w:hAnsi="宋体"/>
        </w:rPr>
        <w:t>投标人为法人的，应提交营业执照或法人登记证书的复印件；</w:t>
      </w:r>
    </w:p>
    <w:p>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投标人为非法人组织的，应提交依法登记证书复印件；</w:t>
      </w:r>
    </w:p>
    <w:p>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投标人为个体工商户的，应提交个体工商户营业执照复印件；</w:t>
      </w:r>
    </w:p>
    <w:p>
      <w:pPr>
        <w:pStyle w:val="66"/>
        <w:ind w:firstLine="400"/>
        <w:rPr>
          <w:rFonts w:ascii="宋体" w:hAnsi="宋体" w:cs="宋体"/>
          <w:b/>
          <w:sz w:val="21"/>
          <w:szCs w:val="21"/>
        </w:rPr>
      </w:pPr>
      <w:r>
        <w:rPr>
          <w:rFonts w:hint="eastAsia" w:ascii="宋体" w:hAnsi="宋体" w:cs="宋体"/>
          <w:szCs w:val="21"/>
        </w:rPr>
        <w:t>（4）</w:t>
      </w:r>
      <w:r>
        <w:rPr>
          <w:rFonts w:hint="eastAsia" w:ascii="宋体" w:hAnsi="宋体"/>
        </w:rPr>
        <w:t>投标人为自然人的，应提交自然人的身份证明复印件。</w:t>
      </w:r>
    </w:p>
    <w:p>
      <w:pPr>
        <w:jc w:val="center"/>
        <w:rPr>
          <w:rFonts w:ascii="黑体" w:hAnsi="仿宋" w:eastAsia="黑体" w:cs="宋体"/>
          <w:bCs/>
          <w:szCs w:val="21"/>
        </w:rPr>
      </w:pPr>
      <w:r>
        <w:rPr>
          <w:rFonts w:ascii="黑体" w:hAnsi="仿宋" w:cs="宋体"/>
          <w:b/>
          <w:szCs w:val="21"/>
        </w:rPr>
        <w:br w:type="page"/>
      </w:r>
    </w:p>
    <w:p>
      <w:pPr>
        <w:pStyle w:val="6"/>
        <w:spacing w:before="0" w:line="240" w:lineRule="auto"/>
        <w:rPr>
          <w:rFonts w:ascii="黑体" w:hAnsi="仿宋" w:cs="宋体"/>
          <w:b w:val="0"/>
          <w:sz w:val="21"/>
          <w:szCs w:val="21"/>
        </w:rPr>
      </w:pPr>
      <w:r>
        <w:rPr>
          <w:rFonts w:hint="eastAsia" w:ascii="黑体" w:hAnsi="仿宋" w:cs="宋体"/>
          <w:b w:val="0"/>
          <w:sz w:val="21"/>
          <w:szCs w:val="21"/>
        </w:rPr>
        <w:t>附件4-2 湖南省政府采购供应商资格承诺函(格式)</w:t>
      </w:r>
    </w:p>
    <w:p>
      <w:pPr>
        <w:pStyle w:val="5"/>
        <w:jc w:val="center"/>
        <w:rPr>
          <w:rFonts w:ascii="宋体" w:hAnsi="宋体" w:cs="宋体"/>
          <w:szCs w:val="21"/>
        </w:rPr>
      </w:pPr>
      <w:bookmarkStart w:id="1046" w:name="_Toc17491"/>
      <w:bookmarkStart w:id="1047" w:name="_Toc112594312"/>
      <w:bookmarkStart w:id="1048" w:name="_Toc8571"/>
      <w:bookmarkStart w:id="1049" w:name="_Toc14800"/>
      <w:bookmarkStart w:id="1050" w:name="_Toc111543600"/>
      <w:bookmarkStart w:id="1051" w:name="_Toc8468"/>
      <w:r>
        <w:rPr>
          <w:rFonts w:hint="eastAsia" w:ascii="黑体" w:hAnsi="仿宋" w:eastAsia="黑体" w:cs="宋体"/>
          <w:b w:val="0"/>
          <w:sz w:val="28"/>
          <w:szCs w:val="28"/>
        </w:rPr>
        <w:t>湖南省政府采购供应商资格承诺函(格式)</w:t>
      </w:r>
      <w:bookmarkEnd w:id="1046"/>
      <w:bookmarkEnd w:id="1047"/>
      <w:bookmarkEnd w:id="1048"/>
      <w:bookmarkEnd w:id="1049"/>
      <w:bookmarkEnd w:id="1050"/>
      <w:bookmarkEnd w:id="1051"/>
    </w:p>
    <w:p>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按照《政府采购促进中小企业发展管理办法》(财库〔2020〕46号),本公司企业规模为: 大型口中型口小型□微型</w:t>
      </w:r>
      <w:r>
        <w:rPr>
          <w:rFonts w:hint="eastAsia" w:ascii="宋体" w:hAnsi="宋体" w:cs="宋体"/>
          <w:szCs w:val="21"/>
        </w:rPr>
        <w:sym w:font="Wingdings 2" w:char="00A3"/>
      </w:r>
      <w:r>
        <w:rPr>
          <w:rFonts w:hint="eastAsia" w:ascii="宋体" w:hAnsi="宋体" w:cs="宋体"/>
          <w:szCs w:val="21"/>
        </w:rPr>
        <w:t>。</w:t>
      </w:r>
    </w:p>
    <w:p>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pPr>
        <w:widowControl/>
        <w:spacing w:before="156" w:beforeLines="50" w:line="360" w:lineRule="auto"/>
        <w:ind w:firstLine="420" w:firstLineChars="200"/>
        <w:jc w:val="left"/>
        <w:rPr>
          <w:rFonts w:ascii="宋体" w:hAnsi="宋体" w:cs="宋体"/>
          <w:szCs w:val="21"/>
        </w:rPr>
      </w:pPr>
    </w:p>
    <w:p>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公司(单位)名称(盖章)：</w:t>
      </w:r>
    </w:p>
    <w:p>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机构代码、注册登记机构、日期、有效期、注册资本、地 址、经济行业、经济性质</w:t>
      </w:r>
    </w:p>
    <w:p>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法定代表人(负责人)姓名(签字)、身份证号、手机号:</w:t>
      </w:r>
    </w:p>
    <w:p>
      <w:pPr>
        <w:adjustRightInd w:val="0"/>
        <w:snapToGrid w:val="0"/>
        <w:spacing w:line="360" w:lineRule="auto"/>
        <w:ind w:firstLine="420" w:firstLineChars="200"/>
        <w:rPr>
          <w:rFonts w:ascii="宋体" w:hAnsi="宋体"/>
        </w:rPr>
      </w:pPr>
      <w:r>
        <w:rPr>
          <w:rFonts w:hint="eastAsia" w:ascii="宋体" w:hAnsi="宋体" w:cs="宋体"/>
          <w:szCs w:val="21"/>
        </w:rPr>
        <w:t>授权代表人姓名(签字)、身份证号、手机号:</w:t>
      </w:r>
    </w:p>
    <w:p>
      <w:pPr>
        <w:widowControl/>
        <w:adjustRightInd w:val="0"/>
        <w:snapToGrid w:val="0"/>
        <w:spacing w:before="156" w:beforeLines="50" w:line="360" w:lineRule="auto"/>
        <w:ind w:firstLine="422" w:firstLineChars="200"/>
        <w:jc w:val="left"/>
        <w:rPr>
          <w:rFonts w:ascii="宋体" w:hAnsi="宋体"/>
          <w:b/>
        </w:rPr>
      </w:pPr>
    </w:p>
    <w:p>
      <w:pPr>
        <w:widowControl/>
        <w:adjustRightInd w:val="0"/>
        <w:snapToGrid w:val="0"/>
        <w:spacing w:before="156" w:beforeLines="50" w:line="360" w:lineRule="auto"/>
        <w:ind w:firstLine="420" w:firstLineChars="200"/>
        <w:jc w:val="left"/>
        <w:rPr>
          <w:rFonts w:ascii="宋体" w:hAnsi="宋体" w:cs="宋体"/>
          <w:szCs w:val="21"/>
        </w:rPr>
      </w:pPr>
    </w:p>
    <w:p>
      <w:pPr>
        <w:widowControl/>
        <w:jc w:val="left"/>
        <w:rPr>
          <w:rFonts w:ascii="黑体" w:hAnsi="仿宋" w:eastAsia="黑体" w:cs="宋体"/>
          <w:szCs w:val="21"/>
        </w:rPr>
      </w:pPr>
      <w:r>
        <w:rPr>
          <w:rFonts w:ascii="黑体" w:hAnsi="仿宋" w:eastAsia="黑体" w:cs="宋体"/>
          <w:szCs w:val="21"/>
        </w:rPr>
        <w:br w:type="page"/>
      </w:r>
    </w:p>
    <w:p>
      <w:pPr>
        <w:pStyle w:val="6"/>
        <w:spacing w:before="0" w:line="240" w:lineRule="auto"/>
        <w:rPr>
          <w:rFonts w:ascii="黑体" w:hAnsi="仿宋" w:cs="宋体"/>
          <w:b w:val="0"/>
          <w:sz w:val="21"/>
          <w:szCs w:val="21"/>
        </w:rPr>
      </w:pPr>
      <w:bookmarkStart w:id="1052" w:name="_Toc13891"/>
      <w:r>
        <w:rPr>
          <w:rFonts w:hint="eastAsia" w:ascii="黑体" w:hAnsi="仿宋" w:cs="宋体"/>
          <w:b w:val="0"/>
          <w:sz w:val="21"/>
          <w:szCs w:val="21"/>
        </w:rPr>
        <w:t>附件4-3 符合特定资格条件证明材料复印件或者情况说明</w:t>
      </w:r>
      <w:bookmarkEnd w:id="1052"/>
    </w:p>
    <w:p>
      <w:pPr>
        <w:pStyle w:val="5"/>
        <w:jc w:val="center"/>
        <w:rPr>
          <w:rFonts w:ascii="黑体" w:hAnsi="仿宋" w:eastAsia="黑体" w:cs="宋体"/>
          <w:b w:val="0"/>
          <w:sz w:val="28"/>
          <w:szCs w:val="28"/>
        </w:rPr>
      </w:pPr>
      <w:bookmarkStart w:id="1053" w:name="_Toc28211"/>
      <w:bookmarkStart w:id="1054" w:name="_Toc112594313"/>
      <w:bookmarkStart w:id="1055" w:name="_Toc16522"/>
      <w:bookmarkStart w:id="1056" w:name="_Toc14549"/>
      <w:bookmarkStart w:id="1057" w:name="_Toc111543601"/>
      <w:bookmarkStart w:id="1058" w:name="_Toc882"/>
      <w:r>
        <w:rPr>
          <w:rFonts w:hint="eastAsia" w:ascii="黑体" w:hAnsi="仿宋" w:eastAsia="黑体" w:cs="宋体"/>
          <w:b w:val="0"/>
          <w:sz w:val="28"/>
          <w:szCs w:val="28"/>
        </w:rPr>
        <w:t>符合特定资格条件证明材料复印件或者情况说明</w:t>
      </w:r>
      <w:bookmarkEnd w:id="1053"/>
      <w:bookmarkEnd w:id="1054"/>
      <w:bookmarkEnd w:id="1055"/>
      <w:bookmarkEnd w:id="1056"/>
      <w:bookmarkEnd w:id="1057"/>
      <w:bookmarkEnd w:id="1058"/>
    </w:p>
    <w:p>
      <w:pPr>
        <w:widowControl/>
        <w:adjustRightInd w:val="0"/>
        <w:snapToGrid w:val="0"/>
        <w:spacing w:line="360" w:lineRule="auto"/>
        <w:ind w:firstLine="420" w:firstLineChars="200"/>
        <w:jc w:val="left"/>
        <w:rPr>
          <w:rFonts w:ascii="宋体" w:hAnsi="宋体" w:cs="宋体"/>
          <w:szCs w:val="21"/>
        </w:rPr>
      </w:pPr>
    </w:p>
    <w:p>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注：按第二章第</w:t>
      </w:r>
      <w:r>
        <w:rPr>
          <w:rFonts w:ascii="宋体" w:hAnsi="宋体" w:cs="宋体"/>
          <w:szCs w:val="21"/>
        </w:rPr>
        <w:t>14.1</w:t>
      </w:r>
      <w:r>
        <w:rPr>
          <w:rFonts w:hint="eastAsia" w:ascii="宋体" w:hAnsi="宋体" w:cs="宋体"/>
          <w:szCs w:val="21"/>
        </w:rPr>
        <w:t>项要求提供。</w:t>
      </w:r>
    </w:p>
    <w:p>
      <w:pPr>
        <w:widowControl/>
        <w:jc w:val="left"/>
        <w:rPr>
          <w:rFonts w:ascii="黑体" w:hAnsi="仿宋" w:eastAsia="黑体" w:cs="宋体"/>
          <w:szCs w:val="21"/>
        </w:rPr>
      </w:pPr>
      <w:r>
        <w:rPr>
          <w:rFonts w:ascii="黑体" w:hAnsi="仿宋" w:eastAsia="黑体" w:cs="宋体"/>
          <w:szCs w:val="21"/>
        </w:rPr>
        <w:br w:type="page"/>
      </w:r>
    </w:p>
    <w:p>
      <w:pPr>
        <w:pStyle w:val="6"/>
        <w:spacing w:before="0" w:line="240" w:lineRule="auto"/>
        <w:rPr>
          <w:rFonts w:ascii="黑体" w:hAnsi="宋体" w:cs="宋体"/>
          <w:b w:val="0"/>
          <w:sz w:val="21"/>
          <w:szCs w:val="21"/>
        </w:rPr>
      </w:pPr>
      <w:bookmarkStart w:id="1059" w:name="_Toc75289289"/>
      <w:bookmarkStart w:id="1060" w:name="_Toc15888537"/>
      <w:r>
        <w:rPr>
          <w:rFonts w:hint="eastAsia" w:ascii="黑体" w:hAnsi="仿宋" w:cs="宋体"/>
          <w:b w:val="0"/>
          <w:sz w:val="21"/>
          <w:szCs w:val="21"/>
        </w:rPr>
        <w:t>附件4-4 联合体协议书（格式）</w:t>
      </w:r>
      <w:bookmarkEnd w:id="1059"/>
      <w:bookmarkEnd w:id="1060"/>
    </w:p>
    <w:p>
      <w:pPr>
        <w:pStyle w:val="5"/>
        <w:jc w:val="center"/>
        <w:rPr>
          <w:rFonts w:ascii="宋体" w:hAnsi="宋体"/>
          <w:b w:val="0"/>
          <w:szCs w:val="21"/>
        </w:rPr>
      </w:pPr>
      <w:bookmarkStart w:id="1061" w:name="_Toc27239"/>
      <w:bookmarkStart w:id="1062" w:name="_Toc108341997"/>
      <w:bookmarkStart w:id="1063" w:name="_Toc78314322"/>
      <w:bookmarkStart w:id="1064" w:name="_Toc23817"/>
      <w:bookmarkStart w:id="1065" w:name="_Toc94367938"/>
      <w:bookmarkStart w:id="1066" w:name="_Toc112594314"/>
      <w:bookmarkStart w:id="1067" w:name="_Toc26482"/>
      <w:bookmarkStart w:id="1068" w:name="_Toc95601423"/>
      <w:bookmarkStart w:id="1069" w:name="_Toc85972988"/>
      <w:bookmarkStart w:id="1070" w:name="_Toc75289607"/>
      <w:bookmarkStart w:id="1071" w:name="_Toc22365"/>
      <w:bookmarkStart w:id="1072" w:name="_Toc78450015"/>
      <w:bookmarkStart w:id="1073" w:name="_Toc100670730"/>
      <w:bookmarkStart w:id="1074" w:name="_Toc77199461"/>
      <w:bookmarkStart w:id="1075" w:name="_Toc77676526"/>
      <w:bookmarkStart w:id="1076" w:name="_Toc11469"/>
      <w:bookmarkStart w:id="1077" w:name="_Toc100670482"/>
      <w:r>
        <w:rPr>
          <w:rFonts w:hint="eastAsia" w:ascii="黑体" w:hAnsi="仿宋" w:eastAsia="黑体" w:cs="宋体"/>
          <w:b w:val="0"/>
          <w:sz w:val="28"/>
          <w:szCs w:val="28"/>
        </w:rPr>
        <w:t>联合体协议书（本项目不适用）</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adjustRightInd w:val="0"/>
        <w:snapToGrid w:val="0"/>
        <w:spacing w:line="360" w:lineRule="auto"/>
        <w:rPr>
          <w:rFonts w:ascii="宋体" w:hAnsi="宋体"/>
          <w:szCs w:val="21"/>
        </w:rPr>
      </w:pPr>
    </w:p>
    <w:bookmarkEnd w:id="1036"/>
    <w:bookmarkEnd w:id="1037"/>
    <w:p>
      <w:pPr>
        <w:adjustRightInd w:val="0"/>
        <w:snapToGrid w:val="0"/>
        <w:spacing w:line="360" w:lineRule="auto"/>
        <w:rPr>
          <w:rFonts w:ascii="宋体" w:hAnsi="宋体"/>
          <w:szCs w:val="21"/>
        </w:rPr>
      </w:pPr>
      <w:r>
        <w:rPr>
          <w:rFonts w:hint="eastAsia" w:ascii="宋体" w:hAnsi="宋体"/>
          <w:szCs w:val="21"/>
        </w:rPr>
        <w:t>致（采购人、采购代理机构）：</w:t>
      </w:r>
    </w:p>
    <w:p>
      <w:pPr>
        <w:adjustRightInd w:val="0"/>
        <w:snapToGrid w:val="0"/>
        <w:spacing w:line="360" w:lineRule="auto"/>
        <w:ind w:firstLine="420" w:firstLineChars="200"/>
        <w:rPr>
          <w:rFonts w:ascii="宋体" w:hAnsi="宋体"/>
          <w:szCs w:val="21"/>
        </w:rPr>
      </w:pPr>
      <w:r>
        <w:rPr>
          <w:rFonts w:hint="eastAsia" w:ascii="宋体" w:hAnsi="宋体"/>
          <w:szCs w:val="21"/>
        </w:rPr>
        <w:t>经研究，我们决定自愿组成联合体共同参加（项目名称</w:t>
      </w:r>
      <w:r>
        <w:rPr>
          <w:rFonts w:ascii="宋体" w:hAnsi="宋体"/>
          <w:szCs w:val="21"/>
        </w:rPr>
        <w:t>）</w:t>
      </w:r>
      <w:r>
        <w:rPr>
          <w:rFonts w:hint="eastAsia" w:ascii="宋体" w:hAnsi="宋体"/>
          <w:szCs w:val="21"/>
        </w:rPr>
        <w:t>（政府采购计划编号： ）项目的投标。现就联合体投标事宜订立如下协议：</w:t>
      </w:r>
    </w:p>
    <w:p>
      <w:pPr>
        <w:adjustRightInd w:val="0"/>
        <w:snapToGrid w:val="0"/>
        <w:spacing w:line="360" w:lineRule="auto"/>
        <w:ind w:firstLine="420" w:firstLineChars="200"/>
        <w:rPr>
          <w:rFonts w:ascii="宋体" w:hAnsi="宋体"/>
          <w:szCs w:val="21"/>
          <w:u w:val="single"/>
        </w:rPr>
      </w:pPr>
      <w:r>
        <w:rPr>
          <w:rFonts w:hint="eastAsia" w:ascii="宋体" w:hAnsi="宋体"/>
          <w:szCs w:val="21"/>
        </w:rPr>
        <w:t>一、联合体基本信息：（各方公司名称、地址、注册资金、营业执照、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pPr>
        <w:adjustRightInd w:val="0"/>
        <w:snapToGrid w:val="0"/>
        <w:spacing w:line="360" w:lineRule="auto"/>
        <w:ind w:firstLine="420" w:firstLineChars="200"/>
        <w:rPr>
          <w:rFonts w:ascii="宋体" w:hAnsi="宋体"/>
          <w:szCs w:val="21"/>
        </w:rPr>
      </w:pPr>
      <w:r>
        <w:rPr>
          <w:rFonts w:hint="eastAsia" w:ascii="宋体" w:hAnsi="宋体"/>
          <w:szCs w:val="21"/>
        </w:rPr>
        <w:t>二、（某成员单位名称）为（联合体名称）牵头人。</w:t>
      </w:r>
    </w:p>
    <w:p>
      <w:pPr>
        <w:adjustRightInd w:val="0"/>
        <w:snapToGrid w:val="0"/>
        <w:spacing w:line="360" w:lineRule="auto"/>
        <w:ind w:firstLine="420" w:firstLineChars="200"/>
        <w:rPr>
          <w:rFonts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pPr>
        <w:adjustRightInd w:val="0"/>
        <w:snapToGrid w:val="0"/>
        <w:spacing w:line="360" w:lineRule="auto"/>
        <w:ind w:firstLine="420" w:firstLineChars="200"/>
        <w:rPr>
          <w:rFonts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pPr>
        <w:adjustRightInd w:val="0"/>
        <w:snapToGrid w:val="0"/>
        <w:spacing w:line="360" w:lineRule="auto"/>
        <w:ind w:firstLine="420" w:firstLineChars="200"/>
        <w:rPr>
          <w:rFonts w:ascii="宋体" w:hAnsi="宋体"/>
          <w:szCs w:val="21"/>
          <w:u w:val="single"/>
        </w:rPr>
      </w:pPr>
      <w:r>
        <w:rPr>
          <w:rFonts w:hint="eastAsia" w:ascii="宋体" w:hAnsi="宋体"/>
          <w:szCs w:val="21"/>
        </w:rPr>
        <w:t>五、联合体各成员单位内部的职责分工如下：。按照本条上述分工，联合体各成员的协议合同金额占联合体协议合同总金额比例如下：。</w:t>
      </w:r>
    </w:p>
    <w:p>
      <w:pPr>
        <w:adjustRightInd w:val="0"/>
        <w:snapToGrid w:val="0"/>
        <w:spacing w:line="360" w:lineRule="auto"/>
        <w:ind w:firstLine="420" w:firstLineChars="200"/>
        <w:rPr>
          <w:rFonts w:ascii="宋体" w:hAnsi="宋体"/>
          <w:szCs w:val="21"/>
        </w:rPr>
      </w:pPr>
      <w:r>
        <w:rPr>
          <w:rFonts w:hint="eastAsia" w:ascii="宋体" w:hAnsi="宋体"/>
          <w:szCs w:val="21"/>
        </w:rPr>
        <w:t>六、本协议书自签署之日起生效，合同履行完毕后自动失效。</w:t>
      </w:r>
    </w:p>
    <w:p>
      <w:pPr>
        <w:adjustRightInd w:val="0"/>
        <w:snapToGrid w:val="0"/>
        <w:spacing w:line="360" w:lineRule="auto"/>
        <w:ind w:firstLine="420" w:firstLineChars="200"/>
        <w:rPr>
          <w:rFonts w:ascii="宋体" w:hAnsi="宋体"/>
          <w:szCs w:val="21"/>
        </w:rPr>
      </w:pPr>
      <w:r>
        <w:rPr>
          <w:rFonts w:hint="eastAsia" w:ascii="宋体" w:hAnsi="宋体"/>
          <w:szCs w:val="21"/>
        </w:rPr>
        <w:t>七、本协议书一式份，联合体成员和采购人各执一份。</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牵头人名称（盖单位章）：</w:t>
      </w:r>
    </w:p>
    <w:p>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成员1名称（盖单位章）：</w:t>
      </w:r>
    </w:p>
    <w:p>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pPr>
        <w:adjustRightInd w:val="0"/>
        <w:snapToGrid w:val="0"/>
        <w:spacing w:line="360" w:lineRule="auto"/>
        <w:rPr>
          <w:rFonts w:ascii="宋体" w:hAnsi="宋体"/>
          <w:szCs w:val="21"/>
        </w:rPr>
      </w:pPr>
      <w:r>
        <w:rPr>
          <w:rFonts w:hint="eastAsia" w:ascii="宋体" w:hAnsi="宋体"/>
          <w:szCs w:val="21"/>
        </w:rPr>
        <w:t>成员2名称（盖单位章）：</w:t>
      </w:r>
    </w:p>
    <w:p>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pPr>
        <w:adjustRightInd w:val="0"/>
        <w:snapToGrid w:val="0"/>
        <w:spacing w:line="360" w:lineRule="auto"/>
        <w:rPr>
          <w:rFonts w:ascii="宋体" w:hAnsi="宋体"/>
          <w:szCs w:val="21"/>
        </w:rPr>
      </w:pPr>
      <w:r>
        <w:rPr>
          <w:rFonts w:ascii="宋体" w:hAnsi="宋体"/>
          <w:szCs w:val="21"/>
        </w:rPr>
        <w:t>…</w:t>
      </w:r>
    </w:p>
    <w:p>
      <w:pPr>
        <w:adjustRightInd w:val="0"/>
        <w:snapToGrid w:val="0"/>
        <w:spacing w:line="360" w:lineRule="auto"/>
        <w:rPr>
          <w:rFonts w:ascii="宋体" w:hAnsi="宋体"/>
          <w:szCs w:val="21"/>
        </w:rPr>
      </w:pPr>
      <w:r>
        <w:rPr>
          <w:rFonts w:hint="eastAsia" w:ascii="宋体" w:hAnsi="宋体"/>
          <w:szCs w:val="21"/>
        </w:rPr>
        <w:t xml:space="preserve">日期：年月日  </w:t>
      </w:r>
    </w:p>
    <w:p>
      <w:pPr>
        <w:widowControl/>
        <w:adjustRightInd w:val="0"/>
        <w:snapToGrid w:val="0"/>
        <w:spacing w:line="360" w:lineRule="auto"/>
        <w:ind w:firstLine="420" w:firstLineChars="200"/>
        <w:jc w:val="left"/>
        <w:rPr>
          <w:rFonts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pPr>
        <w:pStyle w:val="4"/>
      </w:pPr>
      <w:r>
        <w:br w:type="page"/>
      </w:r>
    </w:p>
    <w:p>
      <w:pPr>
        <w:pStyle w:val="66"/>
        <w:rPr>
          <w:rFonts w:ascii="黑体" w:hAnsi="仿宋" w:eastAsia="黑体" w:cs="宋体"/>
          <w:bCs/>
          <w:sz w:val="21"/>
          <w:szCs w:val="21"/>
        </w:rPr>
      </w:pPr>
    </w:p>
    <w:p>
      <w:pPr>
        <w:pStyle w:val="66"/>
        <w:ind w:firstLine="0" w:firstLineChars="0"/>
        <w:rPr>
          <w:rFonts w:ascii="黑体" w:hAnsi="仿宋" w:eastAsia="黑体" w:cs="宋体"/>
          <w:bCs/>
          <w:sz w:val="21"/>
          <w:szCs w:val="21"/>
        </w:rPr>
      </w:pPr>
      <w:r>
        <w:rPr>
          <w:rFonts w:hint="eastAsia" w:ascii="黑体" w:hAnsi="仿宋" w:eastAsia="黑体" w:cs="宋体"/>
          <w:bCs/>
          <w:sz w:val="21"/>
          <w:szCs w:val="21"/>
        </w:rPr>
        <w:t>附件4-5 分包承诺（本项目不适用）</w:t>
      </w:r>
    </w:p>
    <w:p>
      <w:pPr>
        <w:pStyle w:val="66"/>
        <w:rPr>
          <w:rFonts w:ascii="黑体" w:hAnsi="仿宋" w:cs="宋体"/>
          <w:sz w:val="21"/>
          <w:szCs w:val="21"/>
        </w:rPr>
      </w:pPr>
    </w:p>
    <w:p>
      <w:pPr>
        <w:widowControl/>
        <w:adjustRightInd w:val="0"/>
        <w:snapToGrid w:val="0"/>
        <w:spacing w:line="360" w:lineRule="auto"/>
        <w:ind w:firstLine="420" w:firstLineChars="200"/>
        <w:jc w:val="left"/>
        <w:rPr>
          <w:rFonts w:ascii="黑体" w:eastAsia="黑体"/>
          <w:sz w:val="32"/>
          <w:szCs w:val="32"/>
        </w:rPr>
      </w:pPr>
      <w:r>
        <w:rPr>
          <w:rFonts w:hint="eastAsia"/>
        </w:rPr>
        <w:t>注：采购项目或者采购包属于“预留采购份额”，且要求合同分包的，投标人应当按照招标文件第一章第三条第2款规定提供《分包承诺》，格式自拟。</w:t>
      </w:r>
      <w:r>
        <w:rPr>
          <w:rFonts w:ascii="宋体" w:hAnsi="宋体"/>
          <w:szCs w:val="21"/>
        </w:rPr>
        <w:br w:type="page"/>
      </w:r>
    </w:p>
    <w:p>
      <w:pPr>
        <w:adjustRightInd w:val="0"/>
        <w:snapToGrid w:val="0"/>
        <w:spacing w:line="360" w:lineRule="auto"/>
        <w:jc w:val="center"/>
        <w:rPr>
          <w:rFonts w:ascii="黑体" w:eastAsia="黑体"/>
          <w:sz w:val="32"/>
          <w:szCs w:val="32"/>
        </w:rPr>
      </w:pPr>
    </w:p>
    <w:p>
      <w:pPr>
        <w:pStyle w:val="25"/>
        <w:adjustRightInd w:val="0"/>
        <w:snapToGrid w:val="0"/>
        <w:spacing w:line="360" w:lineRule="auto"/>
        <w:jc w:val="center"/>
        <w:rPr>
          <w:rFonts w:ascii="华文中宋" w:hAnsi="华文中宋" w:eastAsia="华文中宋"/>
          <w:bCs/>
          <w:sz w:val="72"/>
          <w:szCs w:val="72"/>
        </w:rPr>
      </w:pPr>
      <w:r>
        <w:rPr>
          <w:rFonts w:hint="eastAsia" w:ascii="华文中宋" w:hAnsi="华文中宋" w:eastAsia="华文中宋"/>
          <w:bCs/>
          <w:sz w:val="72"/>
          <w:szCs w:val="72"/>
        </w:rPr>
        <w:t>政府采购</w:t>
      </w:r>
    </w:p>
    <w:p>
      <w:pPr>
        <w:adjustRightInd w:val="0"/>
        <w:snapToGrid w:val="0"/>
        <w:spacing w:line="360" w:lineRule="auto"/>
        <w:jc w:val="center"/>
        <w:rPr>
          <w:rFonts w:ascii="宋体" w:hAnsi="宋体"/>
          <w:b/>
          <w:bCs/>
          <w:sz w:val="84"/>
          <w:szCs w:val="84"/>
        </w:rPr>
      </w:pPr>
      <w:r>
        <w:rPr>
          <w:rFonts w:hint="eastAsia" w:ascii="宋体" w:hAnsi="宋体"/>
          <w:b/>
          <w:bCs/>
          <w:sz w:val="84"/>
          <w:szCs w:val="84"/>
        </w:rPr>
        <w:t>投 标 文 件</w:t>
      </w:r>
    </w:p>
    <w:p>
      <w:pPr>
        <w:pStyle w:val="4"/>
        <w:adjustRightInd w:val="0"/>
        <w:snapToGrid w:val="0"/>
        <w:jc w:val="center"/>
        <w:rPr>
          <w:rFonts w:ascii="黑体" w:hAnsi="黑体" w:eastAsia="黑体"/>
          <w:sz w:val="44"/>
          <w:szCs w:val="44"/>
        </w:rPr>
      </w:pPr>
      <w:bookmarkStart w:id="1078" w:name="_Toc94367939"/>
      <w:bookmarkStart w:id="1079" w:name="_Toc100670483"/>
      <w:bookmarkStart w:id="1080" w:name="_Toc78314323"/>
      <w:bookmarkStart w:id="1081" w:name="_Toc112594315"/>
      <w:bookmarkStart w:id="1082" w:name="_Toc75289290"/>
      <w:bookmarkStart w:id="1083" w:name="_Toc19672"/>
      <w:bookmarkStart w:id="1084" w:name="_Toc31679"/>
      <w:bookmarkStart w:id="1085" w:name="_Toc7730"/>
      <w:bookmarkStart w:id="1086" w:name="_Toc19172"/>
      <w:bookmarkStart w:id="1087" w:name="_Toc77199462"/>
      <w:bookmarkStart w:id="1088" w:name="_Toc77676527"/>
      <w:bookmarkStart w:id="1089" w:name="_Toc95601424"/>
      <w:bookmarkStart w:id="1090" w:name="_Toc85972989"/>
      <w:bookmarkStart w:id="1091" w:name="_Toc100670731"/>
      <w:bookmarkStart w:id="1092" w:name="_Toc75289608"/>
      <w:bookmarkStart w:id="1093" w:name="_Toc15888538"/>
      <w:bookmarkStart w:id="1094" w:name="_Toc78450016"/>
      <w:bookmarkStart w:id="1095" w:name="_Toc7432"/>
      <w:bookmarkStart w:id="1096" w:name="_Toc108341998"/>
      <w:r>
        <w:rPr>
          <w:rFonts w:hint="eastAsia" w:ascii="黑体" w:hAnsi="黑体" w:eastAsia="黑体"/>
          <w:sz w:val="44"/>
          <w:szCs w:val="44"/>
        </w:rPr>
        <w:t>第二部分 商务技术文件</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adjustRightInd w:val="0"/>
        <w:snapToGrid w:val="0"/>
        <w:spacing w:line="360" w:lineRule="auto"/>
        <w:rPr>
          <w:rFonts w:ascii="宋体" w:hAnsi="宋体"/>
          <w:sz w:val="32"/>
          <w:szCs w:val="32"/>
        </w:rPr>
      </w:pPr>
    </w:p>
    <w:p>
      <w:pPr>
        <w:pStyle w:val="25"/>
        <w:adjustRightInd w:val="0"/>
        <w:snapToGrid w:val="0"/>
        <w:spacing w:line="360" w:lineRule="auto"/>
        <w:ind w:firstLine="1988" w:firstLineChars="660"/>
        <w:rPr>
          <w:rFonts w:hAnsi="宋体"/>
          <w:b/>
          <w:bCs/>
          <w:sz w:val="30"/>
          <w:szCs w:val="30"/>
        </w:rPr>
      </w:pP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p>
    <w:p>
      <w:pPr>
        <w:pStyle w:val="25"/>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政府采购计划编号:</w:t>
      </w: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委托代理编号:</w:t>
      </w:r>
    </w:p>
    <w:p>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p>
    <w:p>
      <w:pPr>
        <w:adjustRightInd w:val="0"/>
        <w:snapToGrid w:val="0"/>
        <w:spacing w:line="360" w:lineRule="auto"/>
        <w:rPr>
          <w:rFonts w:ascii="宋体" w:hAnsi="宋体"/>
          <w:sz w:val="30"/>
          <w:szCs w:val="30"/>
        </w:rPr>
      </w:pPr>
    </w:p>
    <w:p>
      <w:pPr>
        <w:adjustRightInd w:val="0"/>
        <w:snapToGrid w:val="0"/>
        <w:spacing w:line="360" w:lineRule="auto"/>
        <w:rPr>
          <w:rFonts w:ascii="宋体" w:hAnsi="宋体"/>
          <w:sz w:val="30"/>
          <w:szCs w:val="30"/>
        </w:rPr>
      </w:pPr>
    </w:p>
    <w:p>
      <w:pPr>
        <w:adjustRightInd w:val="0"/>
        <w:snapToGrid w:val="0"/>
        <w:spacing w:line="360" w:lineRule="auto"/>
        <w:rPr>
          <w:rFonts w:ascii="宋体" w:hAnsi="宋体"/>
          <w:sz w:val="30"/>
          <w:szCs w:val="30"/>
        </w:rPr>
      </w:pPr>
    </w:p>
    <w:p>
      <w:pPr>
        <w:adjustRightInd w:val="0"/>
        <w:snapToGrid w:val="0"/>
        <w:spacing w:line="360" w:lineRule="auto"/>
        <w:rPr>
          <w:rFonts w:ascii="宋体" w:hAnsi="宋体"/>
          <w:sz w:val="30"/>
          <w:szCs w:val="30"/>
        </w:rPr>
      </w:pPr>
    </w:p>
    <w:p>
      <w:pPr>
        <w:adjustRightInd w:val="0"/>
        <w:snapToGrid w:val="0"/>
        <w:spacing w:line="360" w:lineRule="auto"/>
        <w:ind w:left="1273" w:leftChars="606" w:firstLine="2"/>
        <w:rPr>
          <w:rFonts w:ascii="宋体" w:hAnsi="宋体"/>
          <w:sz w:val="32"/>
          <w:szCs w:val="32"/>
          <w:u w:val="single"/>
        </w:rPr>
      </w:pPr>
      <w:r>
        <w:rPr>
          <w:rFonts w:hint="eastAsia" w:ascii="宋体" w:hAnsi="宋体"/>
          <w:sz w:val="32"/>
          <w:szCs w:val="32"/>
        </w:rPr>
        <w:t>投标人</w:t>
      </w:r>
    </w:p>
    <w:p>
      <w:pPr>
        <w:adjustRightInd w:val="0"/>
        <w:snapToGrid w:val="0"/>
        <w:spacing w:line="360" w:lineRule="auto"/>
        <w:jc w:val="center"/>
        <w:rPr>
          <w:rFonts w:ascii="宋体" w:hAnsi="宋体"/>
          <w:sz w:val="32"/>
          <w:szCs w:val="32"/>
        </w:rPr>
      </w:pPr>
      <w:r>
        <w:rPr>
          <w:rFonts w:hint="eastAsia" w:ascii="宋体" w:hAnsi="宋体"/>
          <w:sz w:val="32"/>
          <w:szCs w:val="32"/>
        </w:rPr>
        <w:t>年  月  日</w:t>
      </w:r>
    </w:p>
    <w:p>
      <w:pPr>
        <w:pStyle w:val="6"/>
        <w:adjustRightInd w:val="0"/>
        <w:spacing w:before="156" w:beforeLines="50" w:after="0" w:line="360" w:lineRule="auto"/>
        <w:jc w:val="left"/>
        <w:rPr>
          <w:rFonts w:ascii="黑体" w:hAnsi="宋体"/>
          <w:b w:val="0"/>
          <w:bCs w:val="0"/>
          <w:szCs w:val="21"/>
        </w:rPr>
      </w:pPr>
      <w:r>
        <w:rPr>
          <w:rFonts w:ascii="宋体" w:hAnsi="宋体" w:eastAsia="宋体"/>
        </w:rPr>
        <w:br w:type="page"/>
      </w:r>
    </w:p>
    <w:p>
      <w:pPr>
        <w:pStyle w:val="4"/>
        <w:jc w:val="center"/>
        <w:rPr>
          <w:rFonts w:ascii="黑体" w:hAnsi="宋体" w:eastAsia="黑体"/>
          <w:sz w:val="28"/>
          <w:szCs w:val="28"/>
        </w:rPr>
      </w:pPr>
      <w:bookmarkStart w:id="1097" w:name="_Toc75289293"/>
      <w:bookmarkStart w:id="1098" w:name="_Toc4451"/>
      <w:bookmarkStart w:id="1099" w:name="_Toc78314326"/>
      <w:bookmarkStart w:id="1100" w:name="_Toc21637"/>
      <w:bookmarkStart w:id="1101" w:name="_Toc112594316"/>
      <w:bookmarkStart w:id="1102" w:name="_Toc108342001"/>
      <w:bookmarkStart w:id="1103" w:name="_Toc95601427"/>
      <w:bookmarkStart w:id="1104" w:name="_Toc100670486"/>
      <w:bookmarkStart w:id="1105" w:name="_Toc85972992"/>
      <w:bookmarkStart w:id="1106" w:name="_Toc77199465"/>
      <w:bookmarkStart w:id="1107" w:name="_Toc75289611"/>
      <w:bookmarkStart w:id="1108" w:name="_Toc78450019"/>
      <w:bookmarkStart w:id="1109" w:name="_Toc4195"/>
      <w:bookmarkStart w:id="1110" w:name="_Toc100670734"/>
      <w:bookmarkStart w:id="1111" w:name="_Toc22957"/>
      <w:bookmarkStart w:id="1112" w:name="_Toc77676530"/>
      <w:bookmarkStart w:id="1113" w:name="_Toc871"/>
      <w:bookmarkStart w:id="1114" w:name="_Toc15888541"/>
      <w:bookmarkStart w:id="1115" w:name="_Toc94367942"/>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adjustRightInd w:val="0"/>
        <w:snapToGrid w:val="0"/>
        <w:spacing w:before="156" w:beforeLines="50" w:line="360" w:lineRule="auto"/>
        <w:rPr>
          <w:rFonts w:ascii="宋体" w:hAnsi="宋体"/>
          <w:szCs w:val="21"/>
        </w:rPr>
      </w:pPr>
      <w:r>
        <w:rPr>
          <w:rFonts w:hint="eastAsia" w:ascii="宋体" w:hAnsi="宋体"/>
          <w:szCs w:val="21"/>
        </w:rPr>
        <w:t>致：（采购人、采购代理机构）：</w:t>
      </w:r>
    </w:p>
    <w:p>
      <w:pPr>
        <w:adjustRightInd w:val="0"/>
        <w:snapToGrid w:val="0"/>
        <w:spacing w:before="156" w:beforeLines="50" w:line="360" w:lineRule="auto"/>
        <w:ind w:firstLine="435"/>
        <w:rPr>
          <w:rFonts w:ascii="宋体" w:hAnsi="宋体"/>
          <w:szCs w:val="21"/>
        </w:rPr>
      </w:pPr>
      <w:r>
        <w:rPr>
          <w:rFonts w:hint="eastAsia" w:ascii="宋体" w:hAnsi="宋体"/>
          <w:szCs w:val="21"/>
        </w:rPr>
        <w:t>根据贵方为（项目名称）的投标邀请（</w:t>
      </w:r>
      <w:r>
        <w:rPr>
          <w:rFonts w:hint="eastAsia" w:ascii="宋体" w:hAnsi="宋体"/>
        </w:rPr>
        <w:t>政府采购计划编号</w:t>
      </w:r>
      <w:r>
        <w:rPr>
          <w:rFonts w:hint="eastAsia" w:ascii="宋体" w:hAnsi="宋体"/>
          <w:iCs/>
        </w:rPr>
        <w:t>： ，</w:t>
      </w:r>
      <w:r>
        <w:rPr>
          <w:rFonts w:hint="eastAsia" w:ascii="宋体" w:hAnsi="宋体"/>
          <w:szCs w:val="21"/>
        </w:rPr>
        <w:t>委托代理编号：），签字代表 （姓名、职务）经正式授权并代表投标人 （投标人名称）提交下述投标文件电子文档一份，参加采购项目第包投标，并在此声明，所递交的投标文件内容完整、真实。</w:t>
      </w:r>
    </w:p>
    <w:p>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第一部分 资格证明文件</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一、开标一览表</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二、法定代表人身份证明</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三、授权委托书</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四、投标人提供的资格证明文件</w:t>
      </w:r>
    </w:p>
    <w:p>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第二部分 商务技术文件</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五、投标函</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六、分项报价</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七、采购需求响应</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八、合同条款偏离表</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九、采购需求偏离表</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十、享受政府采购政策优惠的证明资料</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十一、投标货物符合招标文件规定的证明文件</w:t>
      </w:r>
    </w:p>
    <w:p>
      <w:pPr>
        <w:adjustRightInd w:val="0"/>
        <w:snapToGrid w:val="0"/>
        <w:spacing w:before="156" w:beforeLines="50" w:line="360" w:lineRule="auto"/>
        <w:ind w:firstLine="630" w:firstLineChars="300"/>
        <w:rPr>
          <w:rFonts w:ascii="宋体" w:hAnsi="宋体"/>
          <w:szCs w:val="21"/>
        </w:rPr>
      </w:pPr>
      <w:r>
        <w:rPr>
          <w:rFonts w:hint="eastAsia" w:ascii="宋体" w:hAnsi="宋体"/>
          <w:szCs w:val="21"/>
        </w:rPr>
        <w:t>十二、投标人认为需提供的其他资料</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在此，签字代表宣布同意如下：</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1、投标人严格按照招标文件的规定报价，见《开标一览表》。</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2、投标人将按招标文件的规定履行合同责任和义务。</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3、投标人已详细审查招标文件。我们完全理解并同意放弃对这方面有不明及误解的权力。</w:t>
      </w:r>
    </w:p>
    <w:p>
      <w:pPr>
        <w:adjustRightInd w:val="0"/>
        <w:snapToGrid w:val="0"/>
        <w:spacing w:before="156" w:beforeLines="50" w:line="360" w:lineRule="auto"/>
        <w:ind w:firstLine="420" w:firstLineChars="200"/>
        <w:rPr>
          <w:rFonts w:ascii="宋体" w:hAnsi="宋体"/>
        </w:rPr>
      </w:pPr>
      <w:r>
        <w:rPr>
          <w:rFonts w:hint="eastAsia" w:ascii="宋体" w:hAnsi="宋体"/>
          <w:szCs w:val="21"/>
        </w:rPr>
        <w:t>4、本投标有效期为自招标文件规定的提交投标文件截止之日起个日历日。在投标有效期内，</w:t>
      </w:r>
      <w:r>
        <w:rPr>
          <w:rFonts w:hint="eastAsia" w:ascii="宋体" w:hAnsi="宋体"/>
        </w:rPr>
        <w:t>投标人同意遵守本</w:t>
      </w:r>
      <w:r>
        <w:rPr>
          <w:rFonts w:hint="eastAsia" w:ascii="宋体" w:hAnsi="宋体"/>
          <w:szCs w:val="21"/>
        </w:rPr>
        <w:t>投标</w:t>
      </w:r>
      <w:r>
        <w:rPr>
          <w:rFonts w:hint="eastAsia" w:ascii="宋体" w:hAnsi="宋体"/>
        </w:rPr>
        <w:t>文件中的承诺且在此期限期满之前</w:t>
      </w:r>
      <w:r>
        <w:rPr>
          <w:rFonts w:hint="eastAsia" w:ascii="宋体" w:hAnsi="宋体"/>
          <w:szCs w:val="21"/>
        </w:rPr>
        <w:t>投标</w:t>
      </w:r>
      <w:r>
        <w:rPr>
          <w:rFonts w:hint="eastAsia" w:ascii="宋体" w:hAnsi="宋体"/>
        </w:rPr>
        <w:t>文件</w:t>
      </w:r>
      <w:r>
        <w:rPr>
          <w:rFonts w:hint="eastAsia" w:ascii="宋体" w:hAnsi="宋体"/>
          <w:szCs w:val="21"/>
        </w:rPr>
        <w:t>对我方具有法律约束力</w:t>
      </w:r>
      <w:r>
        <w:rPr>
          <w:rFonts w:hint="eastAsia" w:ascii="宋体" w:hAnsi="宋体"/>
        </w:rPr>
        <w:t>。</w:t>
      </w:r>
    </w:p>
    <w:p>
      <w:pPr>
        <w:adjustRightInd w:val="0"/>
        <w:snapToGrid w:val="0"/>
        <w:spacing w:before="156" w:beforeLines="50" w:line="360" w:lineRule="auto"/>
        <w:ind w:firstLine="420" w:firstLineChars="200"/>
        <w:rPr>
          <w:rFonts w:ascii="宋体" w:hAnsi="宋体"/>
        </w:rPr>
      </w:pPr>
      <w:r>
        <w:rPr>
          <w:rFonts w:hint="eastAsia" w:ascii="宋体" w:hAnsi="宋体"/>
        </w:rPr>
        <w:t>5、</w:t>
      </w:r>
      <w:r>
        <w:rPr>
          <w:rFonts w:hint="eastAsia" w:ascii="宋体" w:hAnsi="宋体"/>
          <w:szCs w:val="21"/>
        </w:rPr>
        <w:t>同意提供贵方可能要求的与其投标有关的一切数据或资料。</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6、与本投标有关的一切正式往来信函请寄：</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地址：；邮编： ；电话：；电子邮箱： 。</w:t>
      </w:r>
    </w:p>
    <w:p>
      <w:pPr>
        <w:adjustRightInd w:val="0"/>
        <w:snapToGrid w:val="0"/>
        <w:spacing w:before="156" w:beforeLines="50" w:line="360" w:lineRule="auto"/>
        <w:ind w:firstLine="420" w:firstLineChars="200"/>
        <w:rPr>
          <w:rFonts w:ascii="宋体" w:hAnsi="宋体"/>
          <w:szCs w:val="21"/>
        </w:rPr>
      </w:pPr>
    </w:p>
    <w:p>
      <w:pPr>
        <w:pStyle w:val="25"/>
        <w:adjustRightInd w:val="0"/>
        <w:snapToGrid w:val="0"/>
        <w:spacing w:before="156" w:beforeLines="50" w:line="360" w:lineRule="auto"/>
        <w:rPr>
          <w:rFonts w:hAnsi="宋体"/>
        </w:rPr>
      </w:pPr>
    </w:p>
    <w:p>
      <w:pPr>
        <w:pStyle w:val="25"/>
        <w:adjustRightInd w:val="0"/>
        <w:snapToGrid w:val="0"/>
        <w:spacing w:before="156" w:beforeLines="50" w:line="360" w:lineRule="auto"/>
        <w:rPr>
          <w:rFonts w:hAnsi="宋体"/>
          <w:sz w:val="21"/>
        </w:rPr>
      </w:pPr>
      <w:r>
        <w:rPr>
          <w:rFonts w:hint="eastAsia" w:hAnsi="宋体"/>
          <w:sz w:val="21"/>
        </w:rPr>
        <w:t xml:space="preserve">投标人名称（盖单位章）：                       </w:t>
      </w:r>
    </w:p>
    <w:p>
      <w:pPr>
        <w:adjustRightInd w:val="0"/>
        <w:snapToGrid w:val="0"/>
        <w:spacing w:before="156" w:beforeLines="50"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pPr>
        <w:pStyle w:val="4"/>
        <w:jc w:val="center"/>
        <w:rPr>
          <w:rFonts w:ascii="黑体" w:hAnsi="宋体" w:eastAsia="黑体"/>
          <w:sz w:val="28"/>
          <w:szCs w:val="28"/>
        </w:rPr>
      </w:pPr>
      <w:bookmarkStart w:id="1116" w:name="_Toc94367943"/>
      <w:bookmarkStart w:id="1117" w:name="_Toc27369"/>
      <w:bookmarkStart w:id="1118" w:name="_Toc100670735"/>
      <w:bookmarkStart w:id="1119" w:name="_Toc13970"/>
      <w:bookmarkStart w:id="1120" w:name="_Toc85972993"/>
      <w:bookmarkStart w:id="1121" w:name="_Toc26317"/>
      <w:bookmarkStart w:id="1122" w:name="_Toc112594317"/>
      <w:bookmarkStart w:id="1123" w:name="_Toc78450020"/>
      <w:bookmarkStart w:id="1124" w:name="_Toc75289612"/>
      <w:bookmarkStart w:id="1125" w:name="_Toc8982"/>
      <w:bookmarkStart w:id="1126" w:name="_Toc78314327"/>
      <w:bookmarkStart w:id="1127" w:name="_Toc77676531"/>
      <w:bookmarkStart w:id="1128" w:name="_Toc31345"/>
      <w:bookmarkStart w:id="1129" w:name="_Toc100670487"/>
      <w:bookmarkStart w:id="1130" w:name="_Toc108342002"/>
      <w:bookmarkStart w:id="1131" w:name="_Toc77199466"/>
      <w:bookmarkStart w:id="1132" w:name="_Toc95601428"/>
      <w:r>
        <w:rPr>
          <w:rFonts w:hint="eastAsia" w:ascii="宋体" w:hAnsi="宋体"/>
          <w:b w:val="0"/>
          <w:sz w:val="21"/>
          <w:szCs w:val="21"/>
        </w:rPr>
        <w:t>日期：年月日</w:t>
      </w:r>
      <w:r>
        <w:rPr>
          <w:rFonts w:ascii="黑体" w:hAnsi="宋体" w:eastAsia="黑体"/>
          <w:b w:val="0"/>
          <w:bCs w:val="0"/>
          <w:sz w:val="28"/>
          <w:szCs w:val="28"/>
        </w:rPr>
        <w:br w:type="page"/>
      </w:r>
      <w:bookmarkStart w:id="1133" w:name="_Toc94367944"/>
      <w:bookmarkStart w:id="1134" w:name="_Toc15888542"/>
      <w:bookmarkStart w:id="1135" w:name="_Toc78450021"/>
      <w:bookmarkStart w:id="1136" w:name="_Toc100670488"/>
      <w:bookmarkStart w:id="1137" w:name="_Toc108342003"/>
      <w:bookmarkStart w:id="1138" w:name="_Toc77676532"/>
      <w:bookmarkStart w:id="1139" w:name="_Toc95601429"/>
      <w:bookmarkStart w:id="1140" w:name="_Toc78314328"/>
      <w:bookmarkStart w:id="1141" w:name="_Toc100670736"/>
      <w:bookmarkStart w:id="1142" w:name="_Toc77199467"/>
      <w:bookmarkStart w:id="1143" w:name="_Toc75289613"/>
      <w:bookmarkStart w:id="1144" w:name="_Toc112594318"/>
      <w:bookmarkStart w:id="1145" w:name="_Toc85972994"/>
      <w:r>
        <w:rPr>
          <w:rFonts w:hint="eastAsia" w:ascii="黑体" w:hAnsi="宋体" w:eastAsia="黑体"/>
          <w:sz w:val="28"/>
          <w:szCs w:val="28"/>
        </w:rPr>
        <w:t>六、分项报价</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6"/>
        <w:spacing w:before="120" w:line="377" w:lineRule="auto"/>
        <w:jc w:val="left"/>
        <w:rPr>
          <w:rFonts w:ascii="黑体" w:hAnsi="宋体" w:cs="微软雅黑"/>
          <w:b w:val="0"/>
          <w:sz w:val="21"/>
          <w:szCs w:val="21"/>
        </w:rPr>
      </w:pPr>
      <w:bookmarkStart w:id="1146" w:name="_Toc75289294"/>
      <w:bookmarkStart w:id="1147" w:name="_Toc15888543"/>
      <w:r>
        <w:rPr>
          <w:rFonts w:hint="eastAsia" w:ascii="黑体" w:hAnsi="华文中宋" w:cs="宋体"/>
          <w:b w:val="0"/>
          <w:bCs w:val="0"/>
          <w:spacing w:val="6"/>
          <w:sz w:val="21"/>
          <w:szCs w:val="21"/>
        </w:rPr>
        <w:t xml:space="preserve">附件6-1 </w:t>
      </w:r>
      <w:r>
        <w:rPr>
          <w:rFonts w:hint="eastAsia" w:ascii="黑体" w:hAnsi="宋体" w:cs="微软雅黑"/>
          <w:b w:val="0"/>
          <w:spacing w:val="-2"/>
          <w:sz w:val="21"/>
          <w:szCs w:val="21"/>
        </w:rPr>
        <w:t>分</w:t>
      </w:r>
      <w:r>
        <w:rPr>
          <w:rFonts w:hint="eastAsia" w:ascii="黑体" w:hAnsi="宋体" w:cs="微软雅黑"/>
          <w:b w:val="0"/>
          <w:sz w:val="21"/>
          <w:szCs w:val="21"/>
        </w:rPr>
        <w:t>项</w:t>
      </w:r>
      <w:r>
        <w:rPr>
          <w:rFonts w:hint="eastAsia" w:ascii="黑体" w:hAnsi="宋体" w:cs="微软雅黑"/>
          <w:b w:val="0"/>
          <w:spacing w:val="-2"/>
          <w:sz w:val="21"/>
          <w:szCs w:val="21"/>
        </w:rPr>
        <w:t>报</w:t>
      </w:r>
      <w:r>
        <w:rPr>
          <w:rFonts w:hint="eastAsia" w:ascii="黑体" w:hAnsi="宋体" w:cs="微软雅黑"/>
          <w:b w:val="0"/>
          <w:sz w:val="21"/>
          <w:szCs w:val="21"/>
        </w:rPr>
        <w:t>价说明</w:t>
      </w:r>
      <w:bookmarkEnd w:id="1146"/>
      <w:bookmarkEnd w:id="1147"/>
    </w:p>
    <w:p>
      <w:pPr>
        <w:pStyle w:val="5"/>
        <w:jc w:val="center"/>
        <w:rPr>
          <w:rFonts w:ascii="黑体" w:hAnsi="宋体" w:eastAsia="黑体" w:cs="微软雅黑"/>
          <w:b w:val="0"/>
          <w:sz w:val="28"/>
          <w:szCs w:val="28"/>
        </w:rPr>
      </w:pPr>
      <w:bookmarkStart w:id="1148" w:name="_Toc31182"/>
      <w:bookmarkStart w:id="1149" w:name="_Toc11927"/>
      <w:bookmarkStart w:id="1150" w:name="_Toc94367945"/>
      <w:bookmarkStart w:id="1151" w:name="_Toc77676533"/>
      <w:bookmarkStart w:id="1152" w:name="_Toc30231"/>
      <w:bookmarkStart w:id="1153" w:name="_Toc100670489"/>
      <w:bookmarkStart w:id="1154" w:name="_Toc20952"/>
      <w:bookmarkStart w:id="1155" w:name="_Toc95601430"/>
      <w:bookmarkStart w:id="1156" w:name="_Toc108342004"/>
      <w:bookmarkStart w:id="1157" w:name="_Toc85972995"/>
      <w:bookmarkStart w:id="1158" w:name="_Toc75289614"/>
      <w:bookmarkStart w:id="1159" w:name="_Toc100670737"/>
      <w:bookmarkStart w:id="1160" w:name="_Toc112594319"/>
      <w:bookmarkStart w:id="1161" w:name="_Toc24903"/>
      <w:bookmarkStart w:id="1162" w:name="_Toc78450022"/>
      <w:bookmarkStart w:id="1163" w:name="_Toc77199468"/>
      <w:bookmarkStart w:id="1164" w:name="_Toc78314329"/>
      <w:r>
        <w:rPr>
          <w:rFonts w:hint="eastAsia" w:ascii="黑体" w:hAnsi="宋体" w:eastAsia="黑体" w:cs="微软雅黑"/>
          <w:b w:val="0"/>
          <w:spacing w:val="-2"/>
          <w:sz w:val="28"/>
          <w:szCs w:val="28"/>
        </w:rPr>
        <w:t>分</w:t>
      </w:r>
      <w:r>
        <w:rPr>
          <w:rFonts w:hint="eastAsia" w:ascii="黑体" w:hAnsi="宋体" w:eastAsia="黑体" w:cs="微软雅黑"/>
          <w:b w:val="0"/>
          <w:sz w:val="28"/>
          <w:szCs w:val="28"/>
        </w:rPr>
        <w:t>项</w:t>
      </w:r>
      <w:r>
        <w:rPr>
          <w:rFonts w:hint="eastAsia" w:ascii="黑体" w:hAnsi="宋体" w:eastAsia="黑体" w:cs="微软雅黑"/>
          <w:b w:val="0"/>
          <w:spacing w:val="-2"/>
          <w:sz w:val="28"/>
          <w:szCs w:val="28"/>
        </w:rPr>
        <w:t>报</w:t>
      </w:r>
      <w:r>
        <w:rPr>
          <w:rFonts w:hint="eastAsia" w:ascii="黑体" w:hAnsi="宋体" w:eastAsia="黑体" w:cs="微软雅黑"/>
          <w:b w:val="0"/>
          <w:sz w:val="28"/>
          <w:szCs w:val="28"/>
        </w:rPr>
        <w:t>价说明</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autoSpaceDE w:val="0"/>
        <w:autoSpaceDN w:val="0"/>
        <w:adjustRightInd w:val="0"/>
        <w:snapToGrid w:val="0"/>
        <w:spacing w:line="360" w:lineRule="auto"/>
        <w:jc w:val="left"/>
        <w:rPr>
          <w:rFonts w:ascii="宋体" w:hAnsi="宋体" w:cs="微软雅黑"/>
          <w:kern w:val="0"/>
          <w:szCs w:val="21"/>
        </w:rPr>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p>
      <w:pPr>
        <w:pStyle w:val="6"/>
        <w:spacing w:before="120" w:line="377" w:lineRule="auto"/>
        <w:jc w:val="left"/>
        <w:rPr>
          <w:rFonts w:ascii="黑体" w:hAnsi="宋体" w:cs="微软雅黑"/>
          <w:b w:val="0"/>
          <w:sz w:val="21"/>
          <w:szCs w:val="21"/>
        </w:rPr>
      </w:pPr>
      <w:bookmarkStart w:id="1165" w:name="_Toc75289295"/>
      <w:bookmarkStart w:id="1166" w:name="_Toc15888544"/>
      <w:r>
        <w:rPr>
          <w:rFonts w:hint="eastAsia" w:ascii="黑体" w:hAnsi="华文中宋" w:cs="宋体"/>
          <w:b w:val="0"/>
          <w:bCs w:val="0"/>
          <w:spacing w:val="6"/>
          <w:sz w:val="21"/>
          <w:szCs w:val="21"/>
        </w:rPr>
        <w:t xml:space="preserve">附件6-2 </w:t>
      </w:r>
      <w:r>
        <w:rPr>
          <w:rFonts w:hint="eastAsia" w:ascii="黑体" w:hAnsi="宋体" w:cs="微软雅黑"/>
          <w:b w:val="0"/>
          <w:spacing w:val="-2"/>
          <w:position w:val="-3"/>
          <w:sz w:val="21"/>
          <w:szCs w:val="21"/>
        </w:rPr>
        <w:t>分</w:t>
      </w:r>
      <w:r>
        <w:rPr>
          <w:rFonts w:hint="eastAsia" w:ascii="黑体" w:hAnsi="宋体" w:cs="微软雅黑"/>
          <w:b w:val="0"/>
          <w:position w:val="-3"/>
          <w:sz w:val="21"/>
          <w:szCs w:val="21"/>
        </w:rPr>
        <w:t>项</w:t>
      </w:r>
      <w:r>
        <w:rPr>
          <w:rFonts w:hint="eastAsia" w:ascii="黑体" w:hAnsi="宋体" w:cs="微软雅黑"/>
          <w:b w:val="0"/>
          <w:spacing w:val="-2"/>
          <w:position w:val="-3"/>
          <w:sz w:val="21"/>
          <w:szCs w:val="21"/>
        </w:rPr>
        <w:t>报</w:t>
      </w:r>
      <w:r>
        <w:rPr>
          <w:rFonts w:hint="eastAsia" w:ascii="黑体" w:hAnsi="宋体" w:cs="微软雅黑"/>
          <w:b w:val="0"/>
          <w:position w:val="-3"/>
          <w:sz w:val="21"/>
          <w:szCs w:val="21"/>
        </w:rPr>
        <w:t>价明细表</w:t>
      </w:r>
      <w:bookmarkEnd w:id="1165"/>
      <w:bookmarkEnd w:id="1166"/>
    </w:p>
    <w:p>
      <w:pPr>
        <w:pStyle w:val="5"/>
        <w:spacing w:after="0" w:line="415" w:lineRule="auto"/>
        <w:jc w:val="center"/>
        <w:rPr>
          <w:rFonts w:ascii="黑体" w:hAnsi="宋体" w:eastAsia="黑体" w:cs="微软雅黑"/>
          <w:b w:val="0"/>
          <w:position w:val="-3"/>
          <w:sz w:val="28"/>
          <w:szCs w:val="28"/>
        </w:rPr>
      </w:pPr>
      <w:bookmarkStart w:id="1167" w:name="_Toc29197"/>
      <w:bookmarkStart w:id="1168" w:name="_Toc100670738"/>
      <w:bookmarkStart w:id="1169" w:name="_Toc94367946"/>
      <w:bookmarkStart w:id="1170" w:name="_Toc1028"/>
      <w:bookmarkStart w:id="1171" w:name="_Toc18685"/>
      <w:bookmarkStart w:id="1172" w:name="_Toc77676534"/>
      <w:bookmarkStart w:id="1173" w:name="_Toc18652"/>
      <w:bookmarkStart w:id="1174" w:name="_Toc85972996"/>
      <w:bookmarkStart w:id="1175" w:name="_Toc78450023"/>
      <w:bookmarkStart w:id="1176" w:name="_Toc78314330"/>
      <w:bookmarkStart w:id="1177" w:name="_Toc112594320"/>
      <w:bookmarkStart w:id="1178" w:name="_Toc77199469"/>
      <w:bookmarkStart w:id="1179" w:name="_Toc75289615"/>
      <w:bookmarkStart w:id="1180" w:name="_Toc95601431"/>
      <w:bookmarkStart w:id="1181" w:name="_Toc108342005"/>
      <w:bookmarkStart w:id="1182" w:name="_Toc24224"/>
      <w:bookmarkStart w:id="1183" w:name="_Toc100670490"/>
      <w:r>
        <w:rPr>
          <w:rFonts w:hint="eastAsia" w:ascii="黑体" w:hAnsi="宋体" w:eastAsia="黑体" w:cs="微软雅黑"/>
          <w:b w:val="0"/>
          <w:spacing w:val="-2"/>
          <w:position w:val="-3"/>
          <w:sz w:val="28"/>
          <w:szCs w:val="28"/>
        </w:rPr>
        <w:t>分</w:t>
      </w:r>
      <w:r>
        <w:rPr>
          <w:rFonts w:hint="eastAsia" w:ascii="黑体" w:hAnsi="宋体" w:eastAsia="黑体" w:cs="微软雅黑"/>
          <w:b w:val="0"/>
          <w:position w:val="-3"/>
          <w:sz w:val="28"/>
          <w:szCs w:val="28"/>
        </w:rPr>
        <w:t>项</w:t>
      </w:r>
      <w:r>
        <w:rPr>
          <w:rFonts w:hint="eastAsia" w:ascii="黑体" w:hAnsi="宋体" w:eastAsia="黑体" w:cs="微软雅黑"/>
          <w:b w:val="0"/>
          <w:spacing w:val="-2"/>
          <w:position w:val="-3"/>
          <w:sz w:val="28"/>
          <w:szCs w:val="28"/>
        </w:rPr>
        <w:t>报</w:t>
      </w:r>
      <w:r>
        <w:rPr>
          <w:rFonts w:hint="eastAsia" w:ascii="黑体" w:hAnsi="宋体" w:eastAsia="黑体" w:cs="微软雅黑"/>
          <w:b w:val="0"/>
          <w:position w:val="-3"/>
          <w:sz w:val="28"/>
          <w:szCs w:val="28"/>
        </w:rPr>
        <w:t>价明细表</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政府采购计划编号：                项目名称：</w:t>
      </w:r>
    </w:p>
    <w:p>
      <w:pPr>
        <w:adjustRightInd w:val="0"/>
        <w:snapToGrid w:val="0"/>
        <w:spacing w:line="360" w:lineRule="auto"/>
        <w:rPr>
          <w:rFonts w:ascii="宋体" w:hAnsi="宋体"/>
          <w:szCs w:val="21"/>
        </w:rPr>
      </w:pPr>
      <w:r>
        <w:rPr>
          <w:rFonts w:hint="eastAsia" w:ascii="宋体" w:hAnsi="宋体"/>
          <w:szCs w:val="21"/>
        </w:rPr>
        <w:t>包号：                            包名称：</w:t>
      </w:r>
    </w:p>
    <w:tbl>
      <w:tblPr>
        <w:tblStyle w:val="48"/>
        <w:tblW w:w="8506" w:type="dxa"/>
        <w:jc w:val="center"/>
        <w:tblInd w:w="0" w:type="dxa"/>
        <w:tblLayout w:type="fixed"/>
        <w:tblCellMar>
          <w:top w:w="0" w:type="dxa"/>
          <w:left w:w="0" w:type="dxa"/>
          <w:bottom w:w="0" w:type="dxa"/>
          <w:right w:w="0" w:type="dxa"/>
        </w:tblCellMar>
      </w:tblPr>
      <w:tblGrid>
        <w:gridCol w:w="426"/>
        <w:gridCol w:w="1134"/>
        <w:gridCol w:w="1998"/>
        <w:gridCol w:w="1200"/>
        <w:gridCol w:w="1092"/>
        <w:gridCol w:w="910"/>
        <w:gridCol w:w="916"/>
        <w:gridCol w:w="830"/>
      </w:tblGrid>
      <w:tr>
        <w:tblPrEx>
          <w:tblLayout w:type="fixed"/>
          <w:tblCellMar>
            <w:top w:w="0" w:type="dxa"/>
            <w:left w:w="0" w:type="dxa"/>
            <w:bottom w:w="0" w:type="dxa"/>
            <w:right w:w="0" w:type="dxa"/>
          </w:tblCellMar>
        </w:tblPrEx>
        <w:trPr>
          <w:trHeight w:val="415" w:hRule="exact"/>
          <w:jc w:val="center"/>
        </w:trPr>
        <w:tc>
          <w:tcPr>
            <w:tcW w:w="1560" w:type="dxa"/>
            <w:gridSpan w:val="2"/>
            <w:vMerge w:val="restart"/>
            <w:tcBorders>
              <w:top w:val="double" w:color="auto" w:sz="4" w:space="0"/>
              <w:left w:val="double" w:color="auto" w:sz="4" w:space="0"/>
              <w:right w:val="single" w:color="auto" w:sz="6" w:space="0"/>
            </w:tcBorders>
            <w:vAlign w:val="center"/>
          </w:tcPr>
          <w:p>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1998" w:type="dxa"/>
            <w:vMerge w:val="restart"/>
            <w:tcBorders>
              <w:top w:val="double" w:color="auto" w:sz="4" w:space="0"/>
              <w:left w:val="single" w:color="auto" w:sz="6"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型号规格</w:t>
            </w:r>
          </w:p>
        </w:tc>
        <w:tc>
          <w:tcPr>
            <w:tcW w:w="1092" w:type="dxa"/>
            <w:vMerge w:val="restart"/>
            <w:tcBorders>
              <w:top w:val="double" w:color="auto" w:sz="4" w:space="0"/>
              <w:left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830" w:type="dxa"/>
            <w:vMerge w:val="restart"/>
            <w:tcBorders>
              <w:top w:val="double" w:color="auto" w:sz="4" w:space="0"/>
              <w:left w:val="single" w:color="auto" w:sz="6" w:space="0"/>
              <w:bottom w:val="single" w:color="auto" w:sz="6" w:space="0"/>
              <w:right w:val="double" w:color="auto" w:sz="4" w:space="0"/>
            </w:tcBorders>
            <w:vAlign w:val="center"/>
          </w:tcPr>
          <w:p>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tblPrEx>
          <w:tblLayout w:type="fixed"/>
          <w:tblCellMar>
            <w:top w:w="0" w:type="dxa"/>
            <w:left w:w="0" w:type="dxa"/>
            <w:bottom w:w="0" w:type="dxa"/>
            <w:right w:w="0" w:type="dxa"/>
          </w:tblCellMar>
        </w:tblPrEx>
        <w:trPr>
          <w:trHeight w:val="415" w:hRule="exact"/>
          <w:jc w:val="center"/>
        </w:trPr>
        <w:tc>
          <w:tcPr>
            <w:tcW w:w="1560" w:type="dxa"/>
            <w:gridSpan w:val="2"/>
            <w:vMerge w:val="continue"/>
            <w:tcBorders>
              <w:left w:val="double" w:color="auto" w:sz="4" w:space="0"/>
              <w:bottom w:val="single" w:color="auto" w:sz="6" w:space="0"/>
              <w:right w:val="single" w:color="auto" w:sz="6" w:space="0"/>
            </w:tcBorders>
          </w:tcPr>
          <w:p>
            <w:pPr>
              <w:autoSpaceDE w:val="0"/>
              <w:autoSpaceDN w:val="0"/>
              <w:adjustRightInd w:val="0"/>
              <w:snapToGrid w:val="0"/>
              <w:spacing w:line="360" w:lineRule="auto"/>
              <w:ind w:left="352" w:right="-20"/>
              <w:jc w:val="left"/>
              <w:rPr>
                <w:rFonts w:ascii="宋体" w:hAnsi="宋体"/>
                <w:kern w:val="0"/>
                <w:szCs w:val="21"/>
              </w:rPr>
            </w:pPr>
          </w:p>
        </w:tc>
        <w:tc>
          <w:tcPr>
            <w:tcW w:w="1998" w:type="dxa"/>
            <w:vMerge w:val="continue"/>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830" w:type="dxa"/>
            <w:vMerge w:val="continue"/>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ind w:left="422" w:right="-20"/>
              <w:jc w:val="left"/>
              <w:rPr>
                <w:rFonts w:ascii="宋体" w:hAnsi="宋体"/>
                <w:kern w:val="0"/>
                <w:szCs w:val="21"/>
              </w:rPr>
            </w:pPr>
          </w:p>
        </w:tc>
      </w:tr>
      <w:tr>
        <w:tblPrEx>
          <w:tblLayout w:type="fixed"/>
          <w:tblCellMar>
            <w:top w:w="0" w:type="dxa"/>
            <w:left w:w="0" w:type="dxa"/>
            <w:bottom w:w="0" w:type="dxa"/>
            <w:right w:w="0" w:type="dxa"/>
          </w:tblCellMar>
        </w:tblPrEx>
        <w:trPr>
          <w:trHeight w:val="378" w:hRule="exact"/>
          <w:jc w:val="center"/>
        </w:trPr>
        <w:tc>
          <w:tcPr>
            <w:tcW w:w="426" w:type="dxa"/>
            <w:tcBorders>
              <w:top w:val="single" w:color="auto" w:sz="6" w:space="0"/>
              <w:left w:val="double" w:color="auto" w:sz="4" w:space="0"/>
              <w:bottom w:val="single" w:color="auto" w:sz="6" w:space="0"/>
              <w:right w:val="single" w:color="auto" w:sz="6" w:space="0"/>
            </w:tcBorders>
            <w:vAlign w:val="center"/>
          </w:tcPr>
          <w:p>
            <w:pPr>
              <w:jc w:val="center"/>
              <w:rPr>
                <w:rFonts w:ascii="宋体" w:hAnsi="宋体" w:cs="宋体"/>
              </w:rPr>
            </w:pPr>
            <w:r>
              <w:rPr>
                <w:rFonts w:hint="eastAsia" w:ascii="宋体" w:hAnsi="宋体" w:cs="宋体"/>
              </w:rPr>
              <w:t>1</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宋体" w:hAnsi="宋体"/>
                <w:kern w:val="0"/>
                <w:szCs w:val="21"/>
              </w:rPr>
            </w:pPr>
          </w:p>
        </w:tc>
        <w:tc>
          <w:tcPr>
            <w:tcW w:w="1998"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r>
        <w:tblPrEx>
          <w:tblLayout w:type="fixed"/>
          <w:tblCellMar>
            <w:top w:w="0" w:type="dxa"/>
            <w:left w:w="0" w:type="dxa"/>
            <w:bottom w:w="0" w:type="dxa"/>
            <w:right w:w="0" w:type="dxa"/>
          </w:tblCellMar>
        </w:tblPrEx>
        <w:trPr>
          <w:trHeight w:val="415" w:hRule="exact"/>
          <w:jc w:val="center"/>
        </w:trPr>
        <w:tc>
          <w:tcPr>
            <w:tcW w:w="426" w:type="dxa"/>
            <w:tcBorders>
              <w:top w:val="single" w:color="auto" w:sz="6" w:space="0"/>
              <w:left w:val="double" w:color="auto" w:sz="4" w:space="0"/>
              <w:bottom w:val="single" w:color="auto" w:sz="6" w:space="0"/>
              <w:right w:val="single" w:color="auto" w:sz="6" w:space="0"/>
            </w:tcBorders>
            <w:vAlign w:val="center"/>
          </w:tcPr>
          <w:p>
            <w:pPr>
              <w:jc w:val="center"/>
              <w:rPr>
                <w:rFonts w:ascii="宋体" w:hAnsi="宋体" w:cs="宋体"/>
              </w:rPr>
            </w:pPr>
            <w:r>
              <w:rPr>
                <w:rFonts w:hint="eastAsia" w:ascii="宋体" w:hAnsi="宋体" w:cs="宋体"/>
              </w:rPr>
              <w:t>2</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宋体" w:hAnsi="宋体"/>
                <w:kern w:val="0"/>
                <w:szCs w:val="21"/>
              </w:rPr>
            </w:pPr>
          </w:p>
        </w:tc>
        <w:tc>
          <w:tcPr>
            <w:tcW w:w="1998"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r>
        <w:tblPrEx>
          <w:tblLayout w:type="fixed"/>
          <w:tblCellMar>
            <w:top w:w="0" w:type="dxa"/>
            <w:left w:w="0" w:type="dxa"/>
            <w:bottom w:w="0" w:type="dxa"/>
            <w:right w:w="0" w:type="dxa"/>
          </w:tblCellMar>
        </w:tblPrEx>
        <w:trPr>
          <w:trHeight w:val="415" w:hRule="exact"/>
          <w:jc w:val="center"/>
        </w:trPr>
        <w:tc>
          <w:tcPr>
            <w:tcW w:w="426" w:type="dxa"/>
            <w:tcBorders>
              <w:top w:val="single" w:color="auto" w:sz="6" w:space="0"/>
              <w:left w:val="double" w:color="auto" w:sz="4" w:space="0"/>
              <w:bottom w:val="single" w:color="auto" w:sz="6" w:space="0"/>
              <w:right w:val="single" w:color="auto" w:sz="6" w:space="0"/>
            </w:tcBorders>
            <w:vAlign w:val="center"/>
          </w:tcPr>
          <w:p>
            <w:pPr>
              <w:jc w:val="center"/>
              <w:rPr>
                <w:rFonts w:ascii="宋体" w:hAnsi="宋体" w:cs="宋体"/>
              </w:rPr>
            </w:pPr>
            <w:r>
              <w:rPr>
                <w:rFonts w:hint="eastAsia" w:ascii="宋体" w:hAnsi="宋体" w:cs="宋体"/>
              </w:rPr>
              <w:t>3</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宋体" w:hAnsi="宋体"/>
                <w:kern w:val="0"/>
                <w:szCs w:val="21"/>
              </w:rPr>
            </w:pPr>
          </w:p>
        </w:tc>
        <w:tc>
          <w:tcPr>
            <w:tcW w:w="1998"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r>
        <w:tblPrEx>
          <w:tblLayout w:type="fixed"/>
          <w:tblCellMar>
            <w:top w:w="0" w:type="dxa"/>
            <w:left w:w="0" w:type="dxa"/>
            <w:bottom w:w="0" w:type="dxa"/>
            <w:right w:w="0" w:type="dxa"/>
          </w:tblCellMar>
        </w:tblPrEx>
        <w:trPr>
          <w:trHeight w:val="415" w:hRule="exact"/>
          <w:jc w:val="center"/>
        </w:trPr>
        <w:tc>
          <w:tcPr>
            <w:tcW w:w="426" w:type="dxa"/>
            <w:tcBorders>
              <w:top w:val="single" w:color="auto" w:sz="6" w:space="0"/>
              <w:left w:val="double" w:color="auto" w:sz="4" w:space="0"/>
              <w:bottom w:val="single" w:color="auto" w:sz="6" w:space="0"/>
              <w:right w:val="single" w:color="auto" w:sz="6" w:space="0"/>
            </w:tcBorders>
            <w:vAlign w:val="center"/>
          </w:tcPr>
          <w:p>
            <w:pPr>
              <w:jc w:val="center"/>
              <w:rPr>
                <w:rFonts w:ascii="宋体" w:hAnsi="宋体" w:cs="宋体"/>
              </w:rPr>
            </w:pPr>
            <w:r>
              <w:rPr>
                <w:rFonts w:hint="eastAsia" w:ascii="宋体" w:hAnsi="宋体" w:cs="宋体"/>
              </w:rPr>
              <w:t>4</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宋体" w:hAnsi="宋体"/>
                <w:kern w:val="0"/>
                <w:szCs w:val="21"/>
              </w:rPr>
            </w:pPr>
          </w:p>
        </w:tc>
        <w:tc>
          <w:tcPr>
            <w:tcW w:w="1998"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r>
        <w:tblPrEx>
          <w:tblLayout w:type="fixed"/>
          <w:tblCellMar>
            <w:top w:w="0" w:type="dxa"/>
            <w:left w:w="0" w:type="dxa"/>
            <w:bottom w:w="0" w:type="dxa"/>
            <w:right w:w="0" w:type="dxa"/>
          </w:tblCellMar>
        </w:tblPrEx>
        <w:trPr>
          <w:trHeight w:val="415" w:hRule="exact"/>
          <w:jc w:val="center"/>
        </w:trPr>
        <w:tc>
          <w:tcPr>
            <w:tcW w:w="426" w:type="dxa"/>
            <w:tcBorders>
              <w:top w:val="single" w:color="auto" w:sz="6" w:space="0"/>
              <w:left w:val="double" w:color="auto" w:sz="4" w:space="0"/>
              <w:bottom w:val="single" w:color="auto" w:sz="6" w:space="0"/>
              <w:right w:val="single" w:color="auto" w:sz="6" w:space="0"/>
            </w:tcBorders>
            <w:vAlign w:val="center"/>
          </w:tcPr>
          <w:p>
            <w:pPr>
              <w:jc w:val="center"/>
              <w:rPr>
                <w:rFonts w:ascii="宋体" w:hAnsi="宋体" w:cs="宋体"/>
              </w:rPr>
            </w:pPr>
            <w:r>
              <w:rPr>
                <w:rFonts w:hint="eastAsia" w:ascii="宋体" w:hAnsi="宋体" w:cs="宋体"/>
              </w:rPr>
              <w:t>5</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宋体" w:hAnsi="宋体"/>
                <w:kern w:val="0"/>
                <w:szCs w:val="21"/>
              </w:rPr>
            </w:pPr>
          </w:p>
        </w:tc>
        <w:tc>
          <w:tcPr>
            <w:tcW w:w="1998"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r>
        <w:tblPrEx>
          <w:tblLayout w:type="fixed"/>
          <w:tblCellMar>
            <w:top w:w="0" w:type="dxa"/>
            <w:left w:w="0" w:type="dxa"/>
            <w:bottom w:w="0" w:type="dxa"/>
            <w:right w:w="0" w:type="dxa"/>
          </w:tblCellMar>
        </w:tblPrEx>
        <w:trPr>
          <w:trHeight w:val="415" w:hRule="exact"/>
          <w:jc w:val="center"/>
        </w:trPr>
        <w:tc>
          <w:tcPr>
            <w:tcW w:w="426" w:type="dxa"/>
            <w:tcBorders>
              <w:top w:val="single" w:color="auto" w:sz="6" w:space="0"/>
              <w:left w:val="double" w:color="auto" w:sz="4" w:space="0"/>
              <w:bottom w:val="single" w:color="auto" w:sz="6" w:space="0"/>
              <w:right w:val="single" w:color="auto" w:sz="6" w:space="0"/>
            </w:tcBorders>
            <w:vAlign w:val="center"/>
          </w:tcPr>
          <w:p>
            <w:pPr>
              <w:jc w:val="center"/>
            </w:pPr>
            <w:r>
              <w:t>…</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ind w:left="527" w:right="507"/>
              <w:jc w:val="center"/>
              <w:rPr>
                <w:rFonts w:ascii="宋体" w:hAnsi="宋体"/>
                <w:kern w:val="0"/>
                <w:szCs w:val="21"/>
              </w:rPr>
            </w:pPr>
          </w:p>
        </w:tc>
        <w:tc>
          <w:tcPr>
            <w:tcW w:w="1998"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r>
        <w:tblPrEx>
          <w:tblLayout w:type="fixed"/>
          <w:tblCellMar>
            <w:top w:w="0" w:type="dxa"/>
            <w:left w:w="0" w:type="dxa"/>
            <w:bottom w:w="0" w:type="dxa"/>
            <w:right w:w="0" w:type="dxa"/>
          </w:tblCellMar>
        </w:tblPrEx>
        <w:trPr>
          <w:trHeight w:val="415" w:hRule="exact"/>
          <w:jc w:val="center"/>
        </w:trPr>
        <w:tc>
          <w:tcPr>
            <w:tcW w:w="6760" w:type="dxa"/>
            <w:gridSpan w:val="6"/>
            <w:tcBorders>
              <w:top w:val="single" w:color="auto" w:sz="6" w:space="0"/>
              <w:left w:val="double" w:color="auto" w:sz="4" w:space="0"/>
              <w:bottom w:val="double" w:color="auto" w:sz="4" w:space="0"/>
              <w:right w:val="single" w:color="auto" w:sz="6" w:space="0"/>
            </w:tcBorders>
            <w:vAlign w:val="center"/>
          </w:tcPr>
          <w:p>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报价合计（投标总价）（元）</w:t>
            </w:r>
          </w:p>
        </w:tc>
        <w:tc>
          <w:tcPr>
            <w:tcW w:w="916" w:type="dxa"/>
            <w:tcBorders>
              <w:top w:val="single" w:color="auto" w:sz="6" w:space="0"/>
              <w:left w:val="single" w:color="auto" w:sz="6" w:space="0"/>
              <w:bottom w:val="double" w:color="auto" w:sz="4" w:space="0"/>
              <w:right w:val="single" w:color="auto" w:sz="6" w:space="0"/>
            </w:tcBorders>
          </w:tcPr>
          <w:p>
            <w:pPr>
              <w:autoSpaceDE w:val="0"/>
              <w:autoSpaceDN w:val="0"/>
              <w:adjustRightInd w:val="0"/>
              <w:snapToGrid w:val="0"/>
              <w:spacing w:line="360" w:lineRule="auto"/>
              <w:jc w:val="left"/>
              <w:rPr>
                <w:rFonts w:ascii="宋体" w:hAnsi="宋体"/>
                <w:kern w:val="0"/>
                <w:szCs w:val="21"/>
              </w:rPr>
            </w:pPr>
          </w:p>
        </w:tc>
        <w:tc>
          <w:tcPr>
            <w:tcW w:w="830" w:type="dxa"/>
            <w:tcBorders>
              <w:top w:val="single" w:color="auto" w:sz="6" w:space="0"/>
              <w:left w:val="single" w:color="auto" w:sz="6" w:space="0"/>
              <w:bottom w:val="double" w:color="auto" w:sz="4" w:space="0"/>
              <w:right w:val="double" w:color="auto" w:sz="4" w:space="0"/>
            </w:tcBorders>
          </w:tcPr>
          <w:p>
            <w:pPr>
              <w:autoSpaceDE w:val="0"/>
              <w:autoSpaceDN w:val="0"/>
              <w:adjustRightInd w:val="0"/>
              <w:snapToGrid w:val="0"/>
              <w:spacing w:line="360" w:lineRule="auto"/>
              <w:jc w:val="left"/>
              <w:rPr>
                <w:rFonts w:ascii="宋体" w:hAnsi="宋体"/>
                <w:kern w:val="0"/>
                <w:szCs w:val="21"/>
              </w:rPr>
            </w:pPr>
          </w:p>
        </w:tc>
      </w:tr>
    </w:tbl>
    <w:p>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开标一览表</w:t>
      </w:r>
      <w:r>
        <w:rPr>
          <w:rFonts w:hint="eastAsia" w:ascii="宋体" w:hAnsi="宋体"/>
          <w:szCs w:val="21"/>
        </w:rPr>
        <w:t>”</w:t>
      </w:r>
      <w:r>
        <w:rPr>
          <w:rFonts w:hint="eastAsia" w:ascii="宋体" w:hAnsi="宋体"/>
          <w:b/>
          <w:szCs w:val="21"/>
        </w:rPr>
        <w:t>，按包填写</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投标无效</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3.如果开标一览表内容与本表内容不一致的，以开标一览表内容为准。</w:t>
      </w:r>
    </w:p>
    <w:p>
      <w:pPr>
        <w:adjustRightInd w:val="0"/>
        <w:snapToGrid w:val="0"/>
        <w:spacing w:line="360" w:lineRule="auto"/>
        <w:rPr>
          <w:rFonts w:ascii="宋体" w:hAnsi="宋体"/>
          <w:szCs w:val="21"/>
        </w:rPr>
      </w:pPr>
      <w:r>
        <w:rPr>
          <w:rFonts w:hint="eastAsia" w:ascii="宋体" w:hAnsi="宋体"/>
          <w:szCs w:val="21"/>
        </w:rPr>
        <w:t>4.</w:t>
      </w:r>
      <w:r>
        <w:rPr>
          <w:rFonts w:hint="eastAsia" w:ascii="宋体" w:hAnsi="宋体"/>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pPr>
        <w:adjustRightInd w:val="0"/>
        <w:snapToGrid w:val="0"/>
        <w:spacing w:line="360" w:lineRule="auto"/>
        <w:rPr>
          <w:rFonts w:ascii="宋体" w:hAnsi="宋体"/>
          <w:szCs w:val="21"/>
        </w:rPr>
      </w:pPr>
      <w:r>
        <w:rPr>
          <w:rFonts w:hint="eastAsia" w:ascii="宋体" w:hAnsi="宋体"/>
          <w:szCs w:val="21"/>
        </w:rPr>
        <w:t>日期：年月日</w:t>
      </w:r>
    </w:p>
    <w:p>
      <w:pPr>
        <w:pStyle w:val="4"/>
        <w:jc w:val="center"/>
        <w:rPr>
          <w:rFonts w:ascii="黑体" w:hAnsi="宋体" w:eastAsia="黑体"/>
          <w:sz w:val="28"/>
          <w:szCs w:val="28"/>
        </w:rPr>
      </w:pPr>
      <w:bookmarkStart w:id="1184" w:name="_Toc13831"/>
      <w:bookmarkStart w:id="1185" w:name="_Toc75289616"/>
      <w:bookmarkStart w:id="1186" w:name="_Toc95601432"/>
      <w:bookmarkStart w:id="1187" w:name="_Toc112594321"/>
      <w:bookmarkStart w:id="1188" w:name="_Toc108342006"/>
      <w:bookmarkStart w:id="1189" w:name="_Toc77676535"/>
      <w:bookmarkStart w:id="1190" w:name="_Toc78450024"/>
      <w:bookmarkStart w:id="1191" w:name="_Toc8387"/>
      <w:bookmarkStart w:id="1192" w:name="_Toc75289296"/>
      <w:bookmarkStart w:id="1193" w:name="_Toc16072"/>
      <w:bookmarkStart w:id="1194" w:name="_Toc18636"/>
      <w:bookmarkStart w:id="1195" w:name="_Toc100670739"/>
      <w:bookmarkStart w:id="1196" w:name="_Toc15888547"/>
      <w:bookmarkStart w:id="1197" w:name="_Toc85972997"/>
      <w:bookmarkStart w:id="1198" w:name="_Toc78314331"/>
      <w:bookmarkStart w:id="1199" w:name="_Toc11805"/>
      <w:bookmarkStart w:id="1200" w:name="_Toc100670491"/>
      <w:bookmarkStart w:id="1201" w:name="_Toc94367947"/>
      <w:bookmarkStart w:id="1202" w:name="_Toc77199470"/>
      <w:r>
        <w:rPr>
          <w:rFonts w:hint="eastAsia" w:ascii="黑体" w:hAnsi="宋体" w:eastAsia="黑体"/>
          <w:sz w:val="28"/>
          <w:szCs w:val="28"/>
        </w:rPr>
        <w:t>七、采购需求响应</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adjustRightInd w:val="0"/>
        <w:snapToGrid w:val="0"/>
        <w:spacing w:line="360" w:lineRule="auto"/>
        <w:rPr>
          <w:rFonts w:ascii="宋体" w:hAnsi="宋体"/>
          <w:b/>
          <w:szCs w:val="21"/>
        </w:rPr>
      </w:pPr>
    </w:p>
    <w:p>
      <w:pPr>
        <w:adjustRightInd w:val="0"/>
        <w:snapToGrid w:val="0"/>
        <w:spacing w:line="360" w:lineRule="auto"/>
        <w:rPr>
          <w:b/>
        </w:rPr>
      </w:pPr>
      <w:r>
        <w:rPr>
          <w:rFonts w:hint="eastAsia" w:ascii="宋体" w:hAnsi="宋体"/>
          <w:b/>
          <w:szCs w:val="21"/>
        </w:rPr>
        <w:t>备注</w:t>
      </w:r>
      <w:r>
        <w:rPr>
          <w:rFonts w:hint="eastAsia" w:ascii="宋体" w:hAnsi="宋体"/>
          <w:bCs/>
          <w:szCs w:val="21"/>
        </w:rPr>
        <w:t>：</w:t>
      </w:r>
      <w:r>
        <w:rPr>
          <w:rFonts w:hint="eastAsia"/>
          <w:b/>
        </w:rPr>
        <w:t>投标人应按招标文件第五章采购需求与评审标准自行编写采购需求响应文件（其内容可包括，且不限于详细的技术指标和性能、售后服务和技术服务的组织及保证措施等，格式自拟）。</w:t>
      </w:r>
    </w:p>
    <w:p>
      <w:pPr>
        <w:pStyle w:val="27"/>
        <w:adjustRightInd w:val="0"/>
        <w:snapToGrid w:val="0"/>
        <w:spacing w:line="360" w:lineRule="auto"/>
        <w:ind w:left="-88" w:leftChars="-42"/>
        <w:rPr>
          <w:rFonts w:ascii="宋体" w:hAnsi="宋体"/>
          <w:bCs/>
          <w:sz w:val="21"/>
          <w:szCs w:val="21"/>
        </w:rPr>
      </w:pPr>
    </w:p>
    <w:p/>
    <w:p/>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u w:val="single"/>
        </w:rPr>
      </w:pPr>
      <w:r>
        <w:rPr>
          <w:rFonts w:hint="eastAsia" w:ascii="宋体" w:hAnsi="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pPr>
        <w:adjustRightInd w:val="0"/>
        <w:snapToGrid w:val="0"/>
        <w:spacing w:line="360" w:lineRule="auto"/>
        <w:rPr>
          <w:rFonts w:ascii="宋体" w:hAnsi="宋体"/>
          <w:szCs w:val="21"/>
        </w:rPr>
      </w:pPr>
      <w:r>
        <w:rPr>
          <w:rFonts w:hint="eastAsia" w:ascii="宋体" w:hAnsi="宋体"/>
          <w:szCs w:val="21"/>
        </w:rPr>
        <w:t>日期：年月日</w:t>
      </w:r>
    </w:p>
    <w:p/>
    <w:p>
      <w:pPr>
        <w:pStyle w:val="4"/>
      </w:pPr>
    </w:p>
    <w:p/>
    <w:p>
      <w:pPr>
        <w:pStyle w:val="4"/>
      </w:pPr>
    </w:p>
    <w:p>
      <w:pPr>
        <w:pStyle w:val="66"/>
        <w:ind w:firstLine="400"/>
      </w:pPr>
    </w:p>
    <w:p>
      <w:pPr>
        <w:pStyle w:val="6"/>
        <w:adjustRightInd w:val="0"/>
        <w:snapToGrid w:val="0"/>
        <w:spacing w:before="156" w:beforeLines="50" w:after="0" w:line="360" w:lineRule="auto"/>
        <w:rPr>
          <w:rFonts w:ascii="黑体" w:hAnsi="黑体"/>
          <w:b w:val="0"/>
          <w:sz w:val="21"/>
          <w:szCs w:val="21"/>
        </w:rPr>
      </w:pPr>
      <w:bookmarkStart w:id="1203" w:name="_Toc75289297"/>
      <w:bookmarkStart w:id="1204" w:name="_Toc15888548"/>
      <w:r>
        <w:rPr>
          <w:rFonts w:hint="eastAsia" w:ascii="黑体" w:hAnsi="黑体" w:cs="宋体"/>
          <w:b w:val="0"/>
          <w:spacing w:val="6"/>
          <w:sz w:val="21"/>
          <w:szCs w:val="21"/>
        </w:rPr>
        <w:t>附件7-1 响应</w:t>
      </w:r>
      <w:r>
        <w:rPr>
          <w:rFonts w:hint="eastAsia" w:ascii="黑体" w:hAnsi="黑体"/>
          <w:b w:val="0"/>
          <w:sz w:val="21"/>
          <w:szCs w:val="21"/>
        </w:rPr>
        <w:t>-览表</w:t>
      </w:r>
      <w:bookmarkEnd w:id="1203"/>
      <w:bookmarkEnd w:id="1204"/>
    </w:p>
    <w:p>
      <w:pPr>
        <w:pStyle w:val="5"/>
        <w:jc w:val="center"/>
        <w:rPr>
          <w:rFonts w:ascii="黑体" w:hAnsi="黑体" w:eastAsia="黑体"/>
          <w:b w:val="0"/>
          <w:bCs w:val="0"/>
          <w:sz w:val="28"/>
          <w:szCs w:val="28"/>
        </w:rPr>
      </w:pPr>
      <w:bookmarkStart w:id="1205" w:name="_Toc32113"/>
      <w:bookmarkStart w:id="1206" w:name="_Toc23515"/>
      <w:bookmarkStart w:id="1207" w:name="_Toc78450025"/>
      <w:bookmarkStart w:id="1208" w:name="_Toc77676536"/>
      <w:bookmarkStart w:id="1209" w:name="_Toc100670492"/>
      <w:bookmarkStart w:id="1210" w:name="_Toc94367948"/>
      <w:bookmarkStart w:id="1211" w:name="_Toc95601433"/>
      <w:bookmarkStart w:id="1212" w:name="_Toc75289617"/>
      <w:bookmarkStart w:id="1213" w:name="_Toc100670740"/>
      <w:bookmarkStart w:id="1214" w:name="_Toc78314332"/>
      <w:bookmarkStart w:id="1215" w:name="_Toc108342007"/>
      <w:bookmarkStart w:id="1216" w:name="_Toc77199471"/>
      <w:bookmarkStart w:id="1217" w:name="_Toc2299"/>
      <w:bookmarkStart w:id="1218" w:name="_Toc112594322"/>
      <w:bookmarkStart w:id="1219" w:name="_Toc85972998"/>
      <w:bookmarkStart w:id="1220" w:name="_Toc13463"/>
      <w:bookmarkStart w:id="1221" w:name="_Toc3190"/>
      <w:r>
        <w:rPr>
          <w:rFonts w:hint="eastAsia" w:ascii="黑体" w:hAnsi="黑体" w:eastAsia="黑体"/>
          <w:b w:val="0"/>
          <w:bCs w:val="0"/>
          <w:sz w:val="28"/>
          <w:szCs w:val="28"/>
        </w:rPr>
        <w:t>响应-览表</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tbl>
      <w:tblPr>
        <w:tblStyle w:val="48"/>
        <w:tblW w:w="896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880" w:hRule="atLeast"/>
        </w:trPr>
        <w:tc>
          <w:tcPr>
            <w:tcW w:w="429" w:type="dxa"/>
            <w:vAlign w:val="center"/>
          </w:tcPr>
          <w:p>
            <w:pPr>
              <w:jc w:val="center"/>
              <w:rPr>
                <w:szCs w:val="21"/>
              </w:rPr>
            </w:pPr>
            <w:r>
              <w:rPr>
                <w:rFonts w:hint="eastAsia"/>
                <w:szCs w:val="21"/>
              </w:rPr>
              <w:t xml:space="preserve">包号 </w:t>
            </w:r>
          </w:p>
        </w:tc>
        <w:tc>
          <w:tcPr>
            <w:tcW w:w="957" w:type="dxa"/>
            <w:tcBorders>
              <w:right w:val="single" w:color="auto" w:sz="4" w:space="0"/>
            </w:tcBorders>
            <w:vAlign w:val="center"/>
          </w:tcPr>
          <w:p>
            <w:pPr>
              <w:jc w:val="center"/>
              <w:rPr>
                <w:szCs w:val="21"/>
              </w:rPr>
            </w:pPr>
            <w:r>
              <w:rPr>
                <w:rFonts w:hint="eastAsia"/>
                <w:szCs w:val="21"/>
              </w:rPr>
              <w:t>包名称</w:t>
            </w:r>
          </w:p>
        </w:tc>
        <w:tc>
          <w:tcPr>
            <w:tcW w:w="2124" w:type="dxa"/>
            <w:tcBorders>
              <w:left w:val="single" w:color="auto" w:sz="4" w:space="0"/>
            </w:tcBorders>
            <w:vAlign w:val="center"/>
          </w:tcPr>
          <w:p>
            <w:pPr>
              <w:jc w:val="center"/>
              <w:rPr>
                <w:szCs w:val="21"/>
              </w:rPr>
            </w:pPr>
            <w:r>
              <w:rPr>
                <w:rFonts w:hint="eastAsia"/>
                <w:szCs w:val="21"/>
              </w:rPr>
              <w:t>标的名称</w:t>
            </w:r>
          </w:p>
        </w:tc>
        <w:tc>
          <w:tcPr>
            <w:tcW w:w="2127" w:type="dxa"/>
            <w:vAlign w:val="center"/>
          </w:tcPr>
          <w:p>
            <w:pPr>
              <w:jc w:val="center"/>
              <w:rPr>
                <w:szCs w:val="21"/>
              </w:rPr>
            </w:pPr>
            <w:r>
              <w:rPr>
                <w:rFonts w:hint="eastAsia"/>
                <w:szCs w:val="21"/>
              </w:rPr>
              <w:t>主要技术参数或规格</w:t>
            </w:r>
          </w:p>
        </w:tc>
        <w:tc>
          <w:tcPr>
            <w:tcW w:w="992" w:type="dxa"/>
            <w:vAlign w:val="center"/>
          </w:tcPr>
          <w:p>
            <w:pPr>
              <w:jc w:val="center"/>
              <w:rPr>
                <w:szCs w:val="21"/>
              </w:rPr>
            </w:pPr>
            <w:r>
              <w:rPr>
                <w:rFonts w:hint="eastAsia"/>
                <w:szCs w:val="21"/>
              </w:rPr>
              <w:t>数量</w:t>
            </w:r>
          </w:p>
        </w:tc>
        <w:tc>
          <w:tcPr>
            <w:tcW w:w="1136" w:type="dxa"/>
            <w:vAlign w:val="center"/>
          </w:tcPr>
          <w:p>
            <w:pPr>
              <w:adjustRightInd w:val="0"/>
              <w:snapToGrid w:val="0"/>
              <w:jc w:val="center"/>
              <w:rPr>
                <w:szCs w:val="21"/>
              </w:rPr>
            </w:pPr>
            <w:r>
              <w:rPr>
                <w:rFonts w:hint="eastAsia"/>
                <w:szCs w:val="21"/>
              </w:rPr>
              <w:t>节能产品</w:t>
            </w:r>
          </w:p>
        </w:tc>
        <w:tc>
          <w:tcPr>
            <w:tcW w:w="1200" w:type="dxa"/>
            <w:vAlign w:val="center"/>
          </w:tcPr>
          <w:p>
            <w:pPr>
              <w:adjustRightInd w:val="0"/>
              <w:snapToGrid w:val="0"/>
              <w:jc w:val="center"/>
              <w:rPr>
                <w:szCs w:val="21"/>
              </w:rPr>
            </w:pPr>
            <w:r>
              <w:rPr>
                <w:rFonts w:hint="eastAsia"/>
                <w:szCs w:val="21"/>
              </w:rPr>
              <w:t>进口产品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trPr>
        <w:tc>
          <w:tcPr>
            <w:tcW w:w="429" w:type="dxa"/>
            <w:vMerge w:val="restart"/>
          </w:tcPr>
          <w:p>
            <w:pPr>
              <w:rPr>
                <w:szCs w:val="21"/>
              </w:rPr>
            </w:pPr>
          </w:p>
        </w:tc>
        <w:tc>
          <w:tcPr>
            <w:tcW w:w="957" w:type="dxa"/>
            <w:vMerge w:val="restart"/>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1136" w:type="dxa"/>
          </w:tcPr>
          <w:p>
            <w:pPr>
              <w:adjustRightInd w:val="0"/>
              <w:snapToGrid w:val="0"/>
              <w:spacing w:before="156" w:beforeLines="50" w:line="360" w:lineRule="auto"/>
              <w:rPr>
                <w:szCs w:val="21"/>
              </w:rPr>
            </w:pPr>
            <w:r>
              <w:rPr>
                <w:rFonts w:hint="eastAsia" w:ascii="宋体" w:hAnsi="宋体"/>
                <w:iCs/>
                <w:szCs w:val="21"/>
              </w:rPr>
              <w:sym w:font="Wingdings" w:char="00FE"/>
            </w:r>
          </w:p>
        </w:tc>
        <w:tc>
          <w:tcPr>
            <w:tcW w:w="1200" w:type="dxa"/>
          </w:tcPr>
          <w:p>
            <w:pPr>
              <w:adjustRightInd w:val="0"/>
              <w:snapToGrid w:val="0"/>
              <w:spacing w:before="156" w:beforeLines="50" w:line="360" w:lineRule="auto"/>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trPr>
        <w:tc>
          <w:tcPr>
            <w:tcW w:w="429" w:type="dxa"/>
            <w:vMerge w:val="continue"/>
          </w:tcPr>
          <w:p>
            <w:pPr>
              <w:rPr>
                <w:szCs w:val="21"/>
              </w:rPr>
            </w:pPr>
          </w:p>
        </w:tc>
        <w:tc>
          <w:tcPr>
            <w:tcW w:w="957" w:type="dxa"/>
            <w:vMerge w:val="continue"/>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1136" w:type="dxa"/>
          </w:tcPr>
          <w:p>
            <w:pPr>
              <w:adjustRightInd w:val="0"/>
              <w:snapToGrid w:val="0"/>
              <w:spacing w:before="156" w:beforeLines="50" w:line="360" w:lineRule="auto"/>
              <w:rPr>
                <w:szCs w:val="21"/>
              </w:rPr>
            </w:pPr>
          </w:p>
        </w:tc>
        <w:tc>
          <w:tcPr>
            <w:tcW w:w="1200" w:type="dxa"/>
          </w:tcPr>
          <w:p>
            <w:pPr>
              <w:adjustRightInd w:val="0"/>
              <w:snapToGrid w:val="0"/>
              <w:spacing w:before="156" w:beforeLines="50" w:line="360" w:lineRule="auto"/>
              <w:rPr>
                <w:szCs w:val="21"/>
              </w:rPr>
            </w:pPr>
            <w:r>
              <w:rPr>
                <w:rFonts w:hint="eastAsia" w:ascii="宋体" w:hAnsi="宋体"/>
                <w:iCs/>
                <w:szCs w:val="21"/>
              </w:rPr>
              <w:sym w:font="Wingdings" w:char="00FE"/>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trPr>
        <w:tc>
          <w:tcPr>
            <w:tcW w:w="429" w:type="dxa"/>
            <w:vMerge w:val="restart"/>
          </w:tcPr>
          <w:p>
            <w:pPr>
              <w:rPr>
                <w:szCs w:val="21"/>
              </w:rPr>
            </w:pPr>
          </w:p>
        </w:tc>
        <w:tc>
          <w:tcPr>
            <w:tcW w:w="957" w:type="dxa"/>
            <w:vMerge w:val="restart"/>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1136" w:type="dxa"/>
          </w:tcPr>
          <w:p>
            <w:pPr>
              <w:rPr>
                <w:szCs w:val="21"/>
              </w:rPr>
            </w:pPr>
          </w:p>
        </w:tc>
        <w:tc>
          <w:tcPr>
            <w:tcW w:w="1200" w:type="dxa"/>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trPr>
        <w:tc>
          <w:tcPr>
            <w:tcW w:w="429" w:type="dxa"/>
            <w:vMerge w:val="continue"/>
          </w:tcPr>
          <w:p>
            <w:pPr>
              <w:rPr>
                <w:szCs w:val="21"/>
              </w:rPr>
            </w:pPr>
          </w:p>
        </w:tc>
        <w:tc>
          <w:tcPr>
            <w:tcW w:w="957" w:type="dxa"/>
            <w:vMerge w:val="continue"/>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1136" w:type="dxa"/>
          </w:tcPr>
          <w:p>
            <w:pPr>
              <w:rPr>
                <w:szCs w:val="21"/>
              </w:rPr>
            </w:pPr>
          </w:p>
        </w:tc>
        <w:tc>
          <w:tcPr>
            <w:tcW w:w="1200" w:type="dxa"/>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trPr>
        <w:tc>
          <w:tcPr>
            <w:tcW w:w="429" w:type="dxa"/>
            <w:vMerge w:val="continue"/>
          </w:tcPr>
          <w:p>
            <w:pPr>
              <w:rPr>
                <w:szCs w:val="21"/>
              </w:rPr>
            </w:pPr>
          </w:p>
        </w:tc>
        <w:tc>
          <w:tcPr>
            <w:tcW w:w="957" w:type="dxa"/>
            <w:vMerge w:val="continue"/>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1136" w:type="dxa"/>
          </w:tcPr>
          <w:p>
            <w:pPr>
              <w:rPr>
                <w:szCs w:val="21"/>
              </w:rPr>
            </w:pPr>
          </w:p>
        </w:tc>
        <w:tc>
          <w:tcPr>
            <w:tcW w:w="1200" w:type="dxa"/>
          </w:tcPr>
          <w:p>
            <w:pPr>
              <w:rPr>
                <w:szCs w:val="21"/>
              </w:rPr>
            </w:pPr>
          </w:p>
        </w:tc>
      </w:tr>
    </w:tbl>
    <w:p>
      <w:pPr>
        <w:adjustRightInd w:val="0"/>
        <w:snapToGrid w:val="0"/>
        <w:spacing w:line="360" w:lineRule="auto"/>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p>
    <w:p>
      <w:pPr>
        <w:adjustRightInd w:val="0"/>
        <w:snapToGrid w:val="0"/>
        <w:spacing w:line="360" w:lineRule="auto"/>
        <w:rPr>
          <w:rFonts w:ascii="黑体" w:hAnsi="宋体" w:eastAsia="黑体"/>
          <w:sz w:val="28"/>
          <w:szCs w:val="28"/>
        </w:rPr>
        <w:sectPr>
          <w:headerReference r:id="rId11" w:type="first"/>
          <w:headerReference r:id="rId9" w:type="default"/>
          <w:footerReference r:id="rId12" w:type="default"/>
          <w:headerReference r:id="rId10" w:type="even"/>
          <w:pgSz w:w="11906" w:h="16838"/>
          <w:pgMar w:top="1440" w:right="1800" w:bottom="1440" w:left="1800" w:header="851" w:footer="992" w:gutter="0"/>
          <w:cols w:space="720" w:num="1"/>
          <w:docGrid w:type="lines" w:linePitch="312" w:charSpace="0"/>
        </w:sectPr>
      </w:pPr>
    </w:p>
    <w:p>
      <w:pPr>
        <w:pStyle w:val="4"/>
        <w:jc w:val="center"/>
        <w:rPr>
          <w:rFonts w:ascii="黑体" w:hAnsi="黑体" w:eastAsia="黑体"/>
          <w:sz w:val="28"/>
          <w:szCs w:val="28"/>
        </w:rPr>
      </w:pPr>
      <w:bookmarkStart w:id="1222" w:name="_Toc78314333"/>
      <w:bookmarkStart w:id="1223" w:name="_Toc100670741"/>
      <w:bookmarkStart w:id="1224" w:name="_Toc75289618"/>
      <w:bookmarkStart w:id="1225" w:name="_Toc85972999"/>
      <w:bookmarkStart w:id="1226" w:name="_Toc31622"/>
      <w:bookmarkStart w:id="1227" w:name="_Toc2009"/>
      <w:bookmarkStart w:id="1228" w:name="_Toc77676537"/>
      <w:bookmarkStart w:id="1229" w:name="_Toc100670493"/>
      <w:bookmarkStart w:id="1230" w:name="_Toc94367949"/>
      <w:bookmarkStart w:id="1231" w:name="_Toc10129"/>
      <w:bookmarkStart w:id="1232" w:name="_Toc22746"/>
      <w:bookmarkStart w:id="1233" w:name="_Toc108342008"/>
      <w:bookmarkStart w:id="1234" w:name="_Toc78450026"/>
      <w:bookmarkStart w:id="1235" w:name="_Toc77199472"/>
      <w:bookmarkStart w:id="1236" w:name="_Toc15888549"/>
      <w:bookmarkStart w:id="1237" w:name="_Toc95601434"/>
      <w:bookmarkStart w:id="1238" w:name="_Toc23591"/>
      <w:bookmarkStart w:id="1239" w:name="_Toc112594323"/>
      <w:bookmarkStart w:id="1240" w:name="_Toc75289298"/>
      <w:r>
        <w:rPr>
          <w:rFonts w:hint="eastAsia" w:ascii="黑体" w:hAnsi="黑体" w:eastAsia="黑体"/>
          <w:sz w:val="28"/>
          <w:szCs w:val="28"/>
        </w:rPr>
        <w:t>八、合同条款偏离表</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adjustRightInd w:val="0"/>
        <w:snapToGrid w:val="0"/>
        <w:spacing w:line="360" w:lineRule="auto"/>
        <w:rPr>
          <w:rFonts w:ascii="宋体" w:hAnsi="宋体"/>
          <w:szCs w:val="21"/>
        </w:rPr>
      </w:pPr>
    </w:p>
    <w:p>
      <w:pPr>
        <w:adjustRightInd w:val="0"/>
        <w:snapToGrid w:val="0"/>
        <w:spacing w:line="360" w:lineRule="auto"/>
        <w:ind w:firstLine="420" w:firstLineChars="200"/>
        <w:rPr>
          <w:rFonts w:ascii="宋体" w:hAnsi="宋体"/>
          <w:szCs w:val="21"/>
          <w:u w:val="single"/>
        </w:rPr>
      </w:pPr>
      <w:r>
        <w:rPr>
          <w:rFonts w:hint="eastAsia" w:ascii="宋体" w:hAnsi="宋体"/>
          <w:szCs w:val="21"/>
        </w:rPr>
        <w:t>政府采购计划编号：            项目名称：</w:t>
      </w:r>
    </w:p>
    <w:p>
      <w:pPr>
        <w:adjustRightInd w:val="0"/>
        <w:snapToGrid w:val="0"/>
        <w:spacing w:line="360" w:lineRule="auto"/>
        <w:ind w:firstLine="420" w:firstLineChars="200"/>
        <w:rPr>
          <w:rFonts w:ascii="宋体" w:hAnsi="宋体"/>
          <w:szCs w:val="21"/>
          <w:u w:val="single"/>
        </w:rPr>
      </w:pPr>
      <w:r>
        <w:rPr>
          <w:rFonts w:hint="eastAsia" w:ascii="宋体" w:hAnsi="宋体"/>
          <w:szCs w:val="21"/>
        </w:rPr>
        <w:t>包号：                       包名称：</w:t>
      </w:r>
    </w:p>
    <w:tbl>
      <w:tblPr>
        <w:tblStyle w:val="48"/>
        <w:tblW w:w="9014"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pPr>
              <w:adjustRightInd w:val="0"/>
              <w:snapToGrid w:val="0"/>
              <w:spacing w:before="50" w:line="360" w:lineRule="auto"/>
              <w:ind w:left="-88" w:leftChars="-42"/>
              <w:jc w:val="center"/>
              <w:rPr>
                <w:rFonts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vAlign w:val="center"/>
          </w:tcPr>
          <w:p>
            <w:pPr>
              <w:adjustRightInd w:val="0"/>
              <w:snapToGrid w:val="0"/>
              <w:spacing w:before="50" w:line="360" w:lineRule="auto"/>
              <w:ind w:left="-88" w:leftChars="-42"/>
              <w:jc w:val="center"/>
              <w:rPr>
                <w:rFonts w:ascii="宋体" w:hAnsi="宋体"/>
                <w:szCs w:val="21"/>
              </w:rPr>
            </w:pPr>
            <w:r>
              <w:rPr>
                <w:rFonts w:hint="eastAsia"/>
              </w:rPr>
              <w:t>招标文件要求</w:t>
            </w:r>
          </w:p>
        </w:tc>
        <w:tc>
          <w:tcPr>
            <w:tcW w:w="2082" w:type="dxa"/>
            <w:tcBorders>
              <w:right w:val="single" w:color="auto" w:sz="4" w:space="0"/>
            </w:tcBorders>
            <w:vAlign w:val="center"/>
          </w:tcPr>
          <w:p>
            <w:pPr>
              <w:adjustRightInd w:val="0"/>
              <w:snapToGrid w:val="0"/>
              <w:spacing w:before="50" w:line="360" w:lineRule="auto"/>
              <w:jc w:val="center"/>
              <w:rPr>
                <w:rFonts w:ascii="宋体" w:hAnsi="宋体"/>
                <w:szCs w:val="21"/>
              </w:rPr>
            </w:pPr>
            <w:r>
              <w:rPr>
                <w:rFonts w:hint="eastAsia"/>
              </w:rPr>
              <w:t>投标文件的应答</w:t>
            </w:r>
          </w:p>
        </w:tc>
        <w:tc>
          <w:tcPr>
            <w:tcW w:w="1942"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Pr>
          <w:p>
            <w:pPr>
              <w:adjustRightInd w:val="0"/>
              <w:snapToGrid w:val="0"/>
              <w:spacing w:before="50" w:line="360" w:lineRule="auto"/>
            </w:pPr>
          </w:p>
        </w:tc>
        <w:tc>
          <w:tcPr>
            <w:tcW w:w="2082" w:type="dxa"/>
            <w:tcBorders>
              <w:right w:val="single" w:color="auto" w:sz="4" w:space="0"/>
            </w:tcBorders>
          </w:tcPr>
          <w:p>
            <w:pPr>
              <w:adjustRightInd w:val="0"/>
              <w:snapToGrid w:val="0"/>
              <w:spacing w:before="50" w:line="360" w:lineRule="auto"/>
            </w:pPr>
          </w:p>
        </w:tc>
        <w:tc>
          <w:tcPr>
            <w:tcW w:w="1942" w:type="dxa"/>
            <w:tcBorders>
              <w:left w:val="single" w:color="auto" w:sz="4" w:space="0"/>
            </w:tcBorders>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vAlign w:val="center"/>
          </w:tcPr>
          <w:p>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vAlign w:val="center"/>
          </w:tcPr>
          <w:p>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vAlign w:val="center"/>
          </w:tcPr>
          <w:p>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vAlign w:val="center"/>
          </w:tcPr>
          <w:p>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vAlign w:val="center"/>
          </w:tcPr>
          <w:p>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vAlign w:val="center"/>
          </w:tcPr>
          <w:p>
            <w:pPr>
              <w:adjustRightInd w:val="0"/>
              <w:snapToGrid w:val="0"/>
              <w:spacing w:before="50" w:line="360" w:lineRule="auto"/>
              <w:ind w:left="-88" w:leftChars="-42"/>
              <w:jc w:val="center"/>
              <w:rPr>
                <w:rFonts w:ascii="宋体" w:hAnsi="宋体"/>
                <w:szCs w:val="21"/>
              </w:rPr>
            </w:pPr>
          </w:p>
        </w:tc>
        <w:tc>
          <w:tcPr>
            <w:tcW w:w="4024" w:type="dxa"/>
            <w:gridSpan w:val="2"/>
            <w:vAlign w:val="center"/>
          </w:tcPr>
          <w:p>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投标人保证：除本合同条款偏离表列出的偏离外，我单位对招标文件的其他商务、合同条款完全响应，无偏离。</w:t>
            </w:r>
          </w:p>
        </w:tc>
      </w:tr>
    </w:tbl>
    <w:p>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投标人如果对招标文件第六章“政府采购合同”的响应有偏离，应将偏离条款逐条如实应答，并作出说明；</w:t>
      </w:r>
    </w:p>
    <w:p>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3.如不提供此表，则视为投标人不满足招标文件第六章的所有条款要求，其</w:t>
      </w:r>
      <w:r>
        <w:rPr>
          <w:rFonts w:hint="eastAsia" w:ascii="宋体" w:hAnsi="宋体"/>
          <w:b/>
          <w:szCs w:val="21"/>
        </w:rPr>
        <w:t>投标无效</w:t>
      </w:r>
      <w:r>
        <w:rPr>
          <w:rFonts w:hint="eastAsia" w:ascii="宋体" w:hAnsi="宋体"/>
          <w:szCs w:val="21"/>
        </w:rPr>
        <w:t>。</w:t>
      </w:r>
    </w:p>
    <w:p>
      <w:pPr>
        <w:adjustRightInd w:val="0"/>
        <w:snapToGrid w:val="0"/>
        <w:spacing w:line="360" w:lineRule="auto"/>
        <w:rPr>
          <w:rFonts w:ascii="宋体" w:hAnsi="宋体"/>
          <w:szCs w:val="21"/>
        </w:rPr>
      </w:pPr>
      <w:r>
        <w:rPr>
          <w:rFonts w:hint="eastAsia" w:ascii="宋体" w:hAnsi="宋体"/>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pPr>
        <w:adjustRightInd w:val="0"/>
        <w:snapToGrid w:val="0"/>
        <w:spacing w:before="50" w:line="360" w:lineRule="auto"/>
        <w:rPr>
          <w:rFonts w:ascii="宋体" w:hAnsi="宋体"/>
          <w:szCs w:val="21"/>
        </w:rPr>
      </w:pPr>
    </w:p>
    <w:p>
      <w:pPr>
        <w:adjustRightInd w:val="0"/>
        <w:snapToGrid w:val="0"/>
        <w:spacing w:before="50" w:line="360" w:lineRule="auto"/>
        <w:rPr>
          <w:rFonts w:ascii="宋体" w:hAnsi="宋体"/>
          <w:szCs w:val="21"/>
        </w:rPr>
      </w:pPr>
    </w:p>
    <w:p>
      <w:pPr>
        <w:adjustRightInd w:val="0"/>
        <w:snapToGrid w:val="0"/>
        <w:spacing w:before="50" w:line="360" w:lineRule="auto"/>
        <w:rPr>
          <w:rFonts w:ascii="宋体" w:hAnsi="宋体"/>
          <w:szCs w:val="21"/>
        </w:rPr>
      </w:pPr>
      <w:r>
        <w:rPr>
          <w:rFonts w:hint="eastAsia" w:ascii="宋体" w:hAnsi="宋体"/>
          <w:szCs w:val="21"/>
        </w:rPr>
        <w:t>投标人名称（盖单位章）：</w:t>
      </w:r>
    </w:p>
    <w:p>
      <w:pPr>
        <w:adjustRightInd w:val="0"/>
        <w:snapToGrid w:val="0"/>
        <w:spacing w:before="50" w:line="360" w:lineRule="auto"/>
        <w:rPr>
          <w:rFonts w:ascii="宋体" w:hAnsi="宋体"/>
          <w:szCs w:val="21"/>
        </w:rPr>
      </w:pPr>
      <w:r>
        <w:rPr>
          <w:rFonts w:hint="eastAsia" w:ascii="宋体" w:hAnsi="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pPr>
        <w:adjustRightInd w:val="0"/>
        <w:snapToGrid w:val="0"/>
        <w:rPr>
          <w:rFonts w:ascii="黑体" w:hAnsi="宋体" w:eastAsia="黑体"/>
          <w:b/>
          <w:bCs/>
          <w:szCs w:val="21"/>
        </w:rPr>
      </w:pPr>
      <w:r>
        <w:rPr>
          <w:rFonts w:hint="eastAsia" w:ascii="宋体" w:hAnsi="宋体"/>
          <w:szCs w:val="21"/>
        </w:rPr>
        <w:t>日       期：年月日</w:t>
      </w:r>
      <w:r>
        <w:rPr>
          <w:rFonts w:ascii="黑体" w:hAnsi="宋体" w:eastAsia="黑体"/>
          <w:sz w:val="28"/>
          <w:szCs w:val="28"/>
        </w:rPr>
        <w:br w:type="page"/>
      </w:r>
    </w:p>
    <w:p>
      <w:pPr>
        <w:pStyle w:val="4"/>
        <w:jc w:val="center"/>
        <w:rPr>
          <w:rFonts w:ascii="黑体" w:hAnsi="宋体" w:eastAsia="黑体"/>
          <w:sz w:val="28"/>
          <w:szCs w:val="28"/>
        </w:rPr>
      </w:pPr>
      <w:bookmarkStart w:id="1241" w:name="_Toc15098"/>
      <w:bookmarkStart w:id="1242" w:name="_Toc15888550"/>
      <w:bookmarkStart w:id="1243" w:name="_Toc95601435"/>
      <w:bookmarkStart w:id="1244" w:name="_Toc112594324"/>
      <w:bookmarkStart w:id="1245" w:name="_Toc912"/>
      <w:bookmarkStart w:id="1246" w:name="_Toc11916"/>
      <w:bookmarkStart w:id="1247" w:name="_Toc75289619"/>
      <w:bookmarkStart w:id="1248" w:name="_Toc31059"/>
      <w:bookmarkStart w:id="1249" w:name="_Toc75289299"/>
      <w:bookmarkStart w:id="1250" w:name="_Toc94367950"/>
      <w:bookmarkStart w:id="1251" w:name="_Toc108342009"/>
      <w:bookmarkStart w:id="1252" w:name="_Toc100670742"/>
      <w:bookmarkStart w:id="1253" w:name="_Toc100670494"/>
      <w:bookmarkStart w:id="1254" w:name="_Toc78314334"/>
      <w:bookmarkStart w:id="1255" w:name="_Toc78450027"/>
      <w:bookmarkStart w:id="1256" w:name="_Toc85973000"/>
      <w:bookmarkStart w:id="1257" w:name="_Toc77199473"/>
      <w:bookmarkStart w:id="1258" w:name="_Toc77676538"/>
      <w:bookmarkStart w:id="1259" w:name="_Toc11942"/>
      <w:r>
        <w:rPr>
          <w:rFonts w:hint="eastAsia" w:ascii="黑体" w:hAnsi="宋体" w:eastAsia="黑体"/>
          <w:sz w:val="28"/>
          <w:szCs w:val="28"/>
        </w:rPr>
        <w:t>九、采购需求偏离表</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pPr>
        <w:adjustRightInd w:val="0"/>
        <w:snapToGrid w:val="0"/>
        <w:spacing w:line="360" w:lineRule="auto"/>
        <w:rPr>
          <w:rFonts w:ascii="宋体" w:hAnsi="宋体"/>
          <w:szCs w:val="21"/>
        </w:rPr>
      </w:pPr>
    </w:p>
    <w:p>
      <w:pPr>
        <w:adjustRightInd w:val="0"/>
        <w:snapToGrid w:val="0"/>
        <w:spacing w:line="360" w:lineRule="auto"/>
        <w:ind w:firstLine="420" w:firstLineChars="200"/>
        <w:rPr>
          <w:rFonts w:ascii="宋体" w:hAnsi="宋体"/>
          <w:szCs w:val="21"/>
          <w:u w:val="single"/>
        </w:rPr>
      </w:pPr>
      <w:r>
        <w:rPr>
          <w:rFonts w:hint="eastAsia" w:ascii="宋体" w:hAnsi="宋体"/>
          <w:szCs w:val="21"/>
        </w:rPr>
        <w:t>政府采购计划编号：                 项目名称：</w:t>
      </w:r>
    </w:p>
    <w:p>
      <w:pPr>
        <w:adjustRightInd w:val="0"/>
        <w:snapToGrid w:val="0"/>
        <w:spacing w:line="360" w:lineRule="auto"/>
        <w:ind w:firstLine="420" w:firstLineChars="200"/>
        <w:rPr>
          <w:rFonts w:ascii="宋体" w:hAnsi="宋体"/>
          <w:szCs w:val="21"/>
        </w:rPr>
      </w:pPr>
      <w:r>
        <w:rPr>
          <w:rFonts w:hint="eastAsia" w:ascii="宋体" w:hAnsi="宋体"/>
          <w:szCs w:val="21"/>
        </w:rPr>
        <w:t>包号：                             包名称：</w:t>
      </w:r>
    </w:p>
    <w:tbl>
      <w:tblPr>
        <w:tblStyle w:val="48"/>
        <w:tblW w:w="9014"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pPr>
              <w:adjustRightInd w:val="0"/>
              <w:snapToGrid w:val="0"/>
              <w:spacing w:before="50" w:line="360" w:lineRule="auto"/>
              <w:ind w:left="-88" w:leftChars="-42"/>
              <w:jc w:val="center"/>
              <w:rPr>
                <w:rFonts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pPr>
              <w:adjustRightInd w:val="0"/>
              <w:snapToGrid w:val="0"/>
              <w:spacing w:before="50" w:line="360" w:lineRule="auto"/>
              <w:jc w:val="center"/>
            </w:pPr>
            <w:r>
              <w:rPr>
                <w:rFonts w:hint="eastAsia"/>
              </w:rPr>
              <w:t>投标文件应答</w:t>
            </w:r>
          </w:p>
        </w:tc>
        <w:tc>
          <w:tcPr>
            <w:tcW w:w="1756" w:type="dxa"/>
            <w:vAlign w:val="center"/>
          </w:tcPr>
          <w:p>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756" w:type="dxa"/>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756" w:type="dxa"/>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756" w:type="dxa"/>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756" w:type="dxa"/>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1756" w:type="dxa"/>
            <w:vAlign w:val="center"/>
          </w:tcPr>
          <w:p>
            <w:pPr>
              <w:adjustRightInd w:val="0"/>
              <w:snapToGrid w:val="0"/>
              <w:spacing w:before="50" w:line="360" w:lineRule="auto"/>
              <w:ind w:left="-88" w:leftChars="-42"/>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宋体" w:hAnsi="宋体"/>
                <w:szCs w:val="21"/>
              </w:rPr>
            </w:pPr>
          </w:p>
        </w:tc>
        <w:tc>
          <w:tcPr>
            <w:tcW w:w="2410" w:type="dxa"/>
            <w:vAlign w:val="center"/>
          </w:tcPr>
          <w:p>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pPr>
              <w:adjustRightInd w:val="0"/>
              <w:snapToGrid w:val="0"/>
              <w:spacing w:before="50" w:line="360" w:lineRule="auto"/>
              <w:ind w:firstLine="422" w:firstLineChars="200"/>
              <w:rPr>
                <w:rFonts w:ascii="宋体" w:hAnsi="宋体"/>
                <w:szCs w:val="21"/>
              </w:rPr>
            </w:pPr>
            <w:r>
              <w:rPr>
                <w:rFonts w:hint="eastAsia" w:ascii="宋体" w:hAnsi="宋体"/>
                <w:b/>
                <w:szCs w:val="21"/>
              </w:rPr>
              <w:t>投标人保证：除本采购需求偏离表列出的偏离外，我单位对招标文件的其他采购需求条款完全响应，无偏离。</w:t>
            </w:r>
          </w:p>
        </w:tc>
      </w:tr>
    </w:tbl>
    <w:p>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：1.投标人应根据招标文件第五章“采购需求”填写本表；</w:t>
      </w:r>
    </w:p>
    <w:p>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投标人如果对招标文件第五章“采购需求”的响应有偏离，应将偏离条款逐条如实应答，并作出说明；</w:t>
      </w:r>
    </w:p>
    <w:p>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3.如不提供此表，则视为投标人不满足招标文件第五章的所有条款要求，其</w:t>
      </w:r>
      <w:r>
        <w:rPr>
          <w:rFonts w:hint="eastAsia" w:ascii="宋体" w:hAnsi="宋体"/>
          <w:b/>
          <w:szCs w:val="21"/>
        </w:rPr>
        <w:t>投标无效</w:t>
      </w:r>
      <w:r>
        <w:rPr>
          <w:rFonts w:hint="eastAsia" w:ascii="宋体" w:hAnsi="宋体"/>
          <w:szCs w:val="21"/>
        </w:rPr>
        <w:t>。</w:t>
      </w:r>
    </w:p>
    <w:p>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pPr>
        <w:adjustRightInd w:val="0"/>
        <w:snapToGrid w:val="0"/>
        <w:spacing w:line="360" w:lineRule="auto"/>
        <w:ind w:firstLine="315" w:firstLineChars="150"/>
        <w:rPr>
          <w:rFonts w:ascii="宋体" w:hAnsi="宋体"/>
          <w:szCs w:val="21"/>
        </w:rPr>
      </w:pPr>
      <w:r>
        <w:rPr>
          <w:rFonts w:hint="eastAsia" w:ascii="宋体" w:hAnsi="宋体"/>
          <w:szCs w:val="21"/>
        </w:rPr>
        <w:t>5.本表偏离表与本章第七节“采购需求响应”不一致时，以“采购需求响应”为准。</w:t>
      </w:r>
    </w:p>
    <w:p>
      <w:pPr>
        <w:adjustRightInd w:val="0"/>
        <w:snapToGrid w:val="0"/>
        <w:spacing w:before="50" w:line="360" w:lineRule="auto"/>
        <w:rPr>
          <w:rFonts w:ascii="宋体" w:hAnsi="宋体"/>
          <w:szCs w:val="21"/>
        </w:rPr>
      </w:pPr>
    </w:p>
    <w:p>
      <w:pPr>
        <w:adjustRightInd w:val="0"/>
        <w:snapToGrid w:val="0"/>
        <w:spacing w:before="50" w:line="360" w:lineRule="auto"/>
        <w:rPr>
          <w:rFonts w:ascii="宋体" w:hAnsi="宋体"/>
          <w:szCs w:val="21"/>
        </w:rPr>
      </w:pPr>
    </w:p>
    <w:p>
      <w:pPr>
        <w:adjustRightInd w:val="0"/>
        <w:snapToGrid w:val="0"/>
        <w:spacing w:before="50" w:line="360" w:lineRule="auto"/>
        <w:rPr>
          <w:rFonts w:ascii="宋体" w:hAnsi="宋体"/>
          <w:szCs w:val="21"/>
        </w:rPr>
      </w:pPr>
      <w:r>
        <w:rPr>
          <w:rFonts w:hint="eastAsia" w:ascii="宋体" w:hAnsi="宋体"/>
          <w:szCs w:val="21"/>
        </w:rPr>
        <w:t>投标人名称（盖单位章）：</w:t>
      </w:r>
    </w:p>
    <w:p>
      <w:pPr>
        <w:adjustRightInd w:val="0"/>
        <w:snapToGrid w:val="0"/>
        <w:spacing w:before="50" w:line="360" w:lineRule="auto"/>
        <w:rPr>
          <w:rFonts w:ascii="宋体" w:hAnsi="宋体"/>
          <w:szCs w:val="21"/>
        </w:rPr>
      </w:pPr>
      <w:r>
        <w:rPr>
          <w:rFonts w:hint="eastAsia" w:ascii="宋体" w:hAnsi="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pPr>
        <w:adjustRightInd w:val="0"/>
        <w:snapToGrid w:val="0"/>
        <w:spacing w:before="50" w:line="360" w:lineRule="auto"/>
        <w:rPr>
          <w:rFonts w:ascii="宋体" w:hAnsi="宋体"/>
          <w:szCs w:val="21"/>
        </w:rPr>
      </w:pPr>
      <w:r>
        <w:rPr>
          <w:rFonts w:hint="eastAsia" w:ascii="宋体" w:hAnsi="宋体"/>
          <w:szCs w:val="21"/>
        </w:rPr>
        <w:t>日      期：年月日</w:t>
      </w:r>
    </w:p>
    <w:p>
      <w:pPr>
        <w:pStyle w:val="4"/>
        <w:jc w:val="center"/>
        <w:rPr>
          <w:rFonts w:ascii="黑体" w:hAnsi="宋体" w:eastAsia="黑体"/>
          <w:sz w:val="28"/>
          <w:szCs w:val="28"/>
        </w:rPr>
      </w:pPr>
      <w:r>
        <w:rPr>
          <w:rFonts w:ascii="宋体" w:hAnsi="宋体"/>
          <w:szCs w:val="21"/>
        </w:rPr>
        <w:br w:type="page"/>
      </w:r>
      <w:bookmarkStart w:id="1260" w:name="_Toc78314335"/>
      <w:bookmarkStart w:id="1261" w:name="_Toc95601436"/>
      <w:bookmarkStart w:id="1262" w:name="_Toc3580"/>
      <w:bookmarkStart w:id="1263" w:name="_Toc100670743"/>
      <w:bookmarkStart w:id="1264" w:name="_Toc75289300"/>
      <w:bookmarkStart w:id="1265" w:name="_Toc85973001"/>
      <w:bookmarkStart w:id="1266" w:name="_Toc6594"/>
      <w:bookmarkStart w:id="1267" w:name="_Toc100670495"/>
      <w:bookmarkStart w:id="1268" w:name="_Toc75289620"/>
      <w:bookmarkStart w:id="1269" w:name="_Toc112594325"/>
      <w:bookmarkStart w:id="1270" w:name="_Toc18868"/>
      <w:bookmarkStart w:id="1271" w:name="_Toc77199474"/>
      <w:bookmarkStart w:id="1272" w:name="_Toc77676539"/>
      <w:bookmarkStart w:id="1273" w:name="_Toc94367951"/>
      <w:bookmarkStart w:id="1274" w:name="_Toc15888551"/>
      <w:bookmarkStart w:id="1275" w:name="_Toc20343"/>
      <w:bookmarkStart w:id="1276" w:name="_Toc108342010"/>
      <w:bookmarkStart w:id="1277" w:name="_Toc78450028"/>
      <w:bookmarkStart w:id="1278" w:name="_Toc26783"/>
      <w:r>
        <w:rPr>
          <w:rFonts w:hint="eastAsia" w:ascii="黑体" w:hAnsi="宋体" w:eastAsia="黑体"/>
          <w:sz w:val="28"/>
          <w:szCs w:val="28"/>
        </w:rPr>
        <w:t>十、享受政府采购政策优惠的证明资料</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adjustRightInd w:val="0"/>
        <w:snapToGrid w:val="0"/>
        <w:spacing w:line="360" w:lineRule="auto"/>
        <w:rPr>
          <w:rFonts w:ascii="黑体" w:hAnsi="华文中宋" w:eastAsia="黑体" w:cs="宋体"/>
          <w:bCs/>
          <w:spacing w:val="6"/>
          <w:kern w:val="0"/>
          <w:szCs w:val="21"/>
        </w:rPr>
      </w:pPr>
    </w:p>
    <w:p>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投标人符合第二章第33.6条要求的，应提供下列证明资料，并填写相关数据。否则，评审时不予以考虑。</w:t>
      </w:r>
    </w:p>
    <w:p/>
    <w:p>
      <w:pPr>
        <w:pStyle w:val="6"/>
        <w:spacing w:after="0" w:line="377" w:lineRule="auto"/>
        <w:rPr>
          <w:rFonts w:ascii="黑体" w:hAnsi="华文中宋" w:cs="宋体"/>
          <w:b w:val="0"/>
          <w:bCs w:val="0"/>
          <w:spacing w:val="6"/>
          <w:sz w:val="21"/>
          <w:szCs w:val="21"/>
        </w:rPr>
      </w:pPr>
      <w:bookmarkStart w:id="1279" w:name="_Toc75289301"/>
      <w:bookmarkStart w:id="1280" w:name="_Toc15888552"/>
      <w:r>
        <w:rPr>
          <w:rFonts w:hint="eastAsia" w:ascii="黑体" w:hAnsi="华文中宋" w:cs="宋体"/>
          <w:b w:val="0"/>
          <w:bCs w:val="0"/>
          <w:spacing w:val="6"/>
          <w:sz w:val="21"/>
          <w:szCs w:val="21"/>
        </w:rPr>
        <w:t>附件10-1中小企业声明函</w:t>
      </w:r>
      <w:bookmarkEnd w:id="1279"/>
      <w:bookmarkEnd w:id="1280"/>
    </w:p>
    <w:p>
      <w:pPr>
        <w:pStyle w:val="5"/>
        <w:spacing w:after="0" w:line="415" w:lineRule="auto"/>
        <w:jc w:val="center"/>
        <w:rPr>
          <w:rFonts w:ascii="黑体" w:hAnsi="黑体" w:eastAsia="黑体" w:cs="宋体"/>
          <w:b w:val="0"/>
          <w:bCs w:val="0"/>
          <w:spacing w:val="6"/>
          <w:sz w:val="28"/>
          <w:szCs w:val="28"/>
        </w:rPr>
      </w:pPr>
      <w:bookmarkStart w:id="1281" w:name="_Toc100670744"/>
      <w:bookmarkStart w:id="1282" w:name="_Toc112594326"/>
      <w:bookmarkStart w:id="1283" w:name="_Toc95601437"/>
      <w:bookmarkStart w:id="1284" w:name="_Toc7935"/>
      <w:bookmarkStart w:id="1285" w:name="_Toc78450029"/>
      <w:bookmarkStart w:id="1286" w:name="_Toc14991"/>
      <w:bookmarkStart w:id="1287" w:name="_Toc100670496"/>
      <w:bookmarkStart w:id="1288" w:name="_Toc78314336"/>
      <w:bookmarkStart w:id="1289" w:name="_Toc28233"/>
      <w:bookmarkStart w:id="1290" w:name="_Toc20181"/>
      <w:bookmarkStart w:id="1291" w:name="_Toc94367952"/>
      <w:bookmarkStart w:id="1292" w:name="_Toc108342011"/>
      <w:bookmarkStart w:id="1293" w:name="_Toc7153"/>
      <w:bookmarkStart w:id="1294" w:name="_Toc85973002"/>
      <w:r>
        <w:rPr>
          <w:rFonts w:hint="eastAsia" w:ascii="黑体" w:hAnsi="黑体" w:eastAsia="黑体" w:cs="黑体"/>
          <w:b w:val="0"/>
          <w:bCs w:val="0"/>
          <w:spacing w:val="6"/>
          <w:sz w:val="28"/>
          <w:szCs w:val="28"/>
        </w:rPr>
        <w:t>中小企业声明函</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本公司（联合体）郑重声明，根据《政府采购促进中小企业发展管理办法》（财库﹝2020﹞46 号）的规定，本公司（联合体）参加</w:t>
      </w:r>
      <w:r>
        <w:rPr>
          <w:rFonts w:hint="eastAsia" w:ascii="宋体" w:hAnsi="宋体" w:cs="宋体"/>
          <w:kern w:val="0"/>
          <w:szCs w:val="21"/>
          <w:u w:val="single"/>
        </w:rPr>
        <w:t>（单位名称）</w:t>
      </w:r>
      <w:r>
        <w:rPr>
          <w:rFonts w:hint="eastAsia" w:ascii="宋体" w:hAnsi="宋体" w:cs="宋体"/>
          <w:kern w:val="0"/>
          <w:szCs w:val="21"/>
        </w:rPr>
        <w:t>的</w:t>
      </w:r>
      <w:r>
        <w:rPr>
          <w:rFonts w:hint="eastAsia" w:ascii="宋体" w:hAnsi="宋体" w:cs="宋体"/>
          <w:kern w:val="0"/>
          <w:szCs w:val="21"/>
          <w:u w:val="single"/>
        </w:rPr>
        <w:t>（项目名称）</w:t>
      </w:r>
      <w:r>
        <w:rPr>
          <w:rFonts w:hint="eastAsia" w:ascii="宋体" w:hAnsi="宋体" w:cs="宋体"/>
          <w:kern w:val="0"/>
          <w:szCs w:val="21"/>
        </w:rPr>
        <w:t xml:space="preserve">采购活动，提供的货物全部由符合政策要求的中小企业制造。相关企业（含联合体中的中小企业、签订分包意向协议的中小企业）的具体情况如下： </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 xml:space="preserve">1. </w:t>
      </w:r>
      <w:r>
        <w:rPr>
          <w:rFonts w:hint="eastAsia" w:ascii="宋体" w:hAnsi="宋体" w:cs="宋体"/>
          <w:kern w:val="0"/>
          <w:szCs w:val="21"/>
          <w:u w:val="single"/>
        </w:rPr>
        <w:t xml:space="preserve">（标的名称） </w:t>
      </w:r>
      <w:r>
        <w:rPr>
          <w:rFonts w:hint="eastAsia" w:ascii="宋体" w:hAnsi="宋体" w:cs="宋体"/>
          <w:kern w:val="0"/>
          <w:szCs w:val="21"/>
        </w:rPr>
        <w:t>，属于</w:t>
      </w:r>
      <w:r>
        <w:rPr>
          <w:rFonts w:hint="eastAsia" w:ascii="宋体" w:hAnsi="宋体" w:cs="宋体"/>
          <w:kern w:val="0"/>
          <w:szCs w:val="21"/>
          <w:u w:val="single"/>
        </w:rPr>
        <w:t>（采购文件中明确的所属行业）</w:t>
      </w:r>
      <w:r>
        <w:rPr>
          <w:rFonts w:hint="eastAsia" w:ascii="宋体" w:hAnsi="宋体" w:cs="宋体"/>
          <w:kern w:val="0"/>
          <w:szCs w:val="21"/>
        </w:rPr>
        <w:t>行业；制造商为</w:t>
      </w:r>
      <w:r>
        <w:rPr>
          <w:rFonts w:hint="eastAsia" w:ascii="宋体" w:hAnsi="宋体" w:cs="宋体"/>
          <w:kern w:val="0"/>
          <w:szCs w:val="21"/>
          <w:u w:val="single"/>
        </w:rPr>
        <w:t>（企业名称）</w:t>
      </w:r>
      <w:r>
        <w:rPr>
          <w:rFonts w:hint="eastAsia" w:ascii="宋体" w:hAnsi="宋体" w:cs="宋体"/>
          <w:kern w:val="0"/>
          <w:szCs w:val="21"/>
        </w:rPr>
        <w:t>，从业人员人，营业收入为万元，资产总额为万元，属于</w:t>
      </w:r>
      <w:r>
        <w:rPr>
          <w:rFonts w:hint="eastAsia" w:ascii="宋体" w:hAnsi="宋体" w:cs="宋体"/>
          <w:kern w:val="0"/>
          <w:szCs w:val="21"/>
          <w:u w:val="single"/>
        </w:rPr>
        <w:t>（中型企业、小型企业、微型企业）</w:t>
      </w:r>
      <w:r>
        <w:rPr>
          <w:rFonts w:hint="eastAsia" w:ascii="宋体" w:hAnsi="宋体" w:cs="宋体"/>
          <w:kern w:val="0"/>
          <w:szCs w:val="21"/>
        </w:rPr>
        <w:t xml:space="preserve">； </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 xml:space="preserve">2. </w:t>
      </w:r>
      <w:r>
        <w:rPr>
          <w:rFonts w:hint="eastAsia" w:ascii="宋体" w:hAnsi="宋体" w:cs="宋体"/>
          <w:kern w:val="0"/>
          <w:szCs w:val="21"/>
          <w:u w:val="single"/>
        </w:rPr>
        <w:t xml:space="preserve">（标的名称） </w:t>
      </w:r>
      <w:r>
        <w:rPr>
          <w:rFonts w:hint="eastAsia" w:ascii="宋体" w:hAnsi="宋体" w:cs="宋体"/>
          <w:kern w:val="0"/>
          <w:szCs w:val="21"/>
        </w:rPr>
        <w:t>，属于</w:t>
      </w:r>
      <w:r>
        <w:rPr>
          <w:rFonts w:hint="eastAsia" w:ascii="宋体" w:hAnsi="宋体" w:cs="宋体"/>
          <w:kern w:val="0"/>
          <w:szCs w:val="21"/>
          <w:u w:val="single"/>
        </w:rPr>
        <w:t>（采购文件中明确的所属行业）</w:t>
      </w:r>
      <w:r>
        <w:rPr>
          <w:rFonts w:hint="eastAsia" w:ascii="宋体" w:hAnsi="宋体" w:cs="宋体"/>
          <w:kern w:val="0"/>
          <w:szCs w:val="21"/>
        </w:rPr>
        <w:t>行业；制造商为</w:t>
      </w:r>
      <w:r>
        <w:rPr>
          <w:rFonts w:hint="eastAsia" w:ascii="宋体" w:hAnsi="宋体" w:cs="宋体"/>
          <w:kern w:val="0"/>
          <w:szCs w:val="21"/>
          <w:u w:val="single"/>
        </w:rPr>
        <w:t>（企业名称）</w:t>
      </w:r>
      <w:r>
        <w:rPr>
          <w:rFonts w:hint="eastAsia" w:ascii="宋体" w:hAnsi="宋体" w:cs="宋体"/>
          <w:kern w:val="0"/>
          <w:szCs w:val="21"/>
        </w:rPr>
        <w:t>，从业人员人，营业收入为万元，资产总额为万元，属于</w:t>
      </w:r>
      <w:r>
        <w:rPr>
          <w:rFonts w:hint="eastAsia" w:ascii="宋体" w:hAnsi="宋体" w:cs="宋体"/>
          <w:kern w:val="0"/>
          <w:szCs w:val="21"/>
          <w:u w:val="single"/>
        </w:rPr>
        <w:t>（中型企业、小型企业、微型企业）</w:t>
      </w:r>
      <w:r>
        <w:rPr>
          <w:rFonts w:hint="eastAsia" w:ascii="宋体" w:hAnsi="宋体" w:cs="宋体"/>
          <w:kern w:val="0"/>
          <w:szCs w:val="21"/>
        </w:rPr>
        <w:t xml:space="preserve">；  </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 xml:space="preserve">以上企业，不属于大企业的分支机构，不存在控股股东为大企业的情形，也不存在与大企业的负责人为同一人的情形。本企业对上述声明内容的真实性负责。如有虚假，将依法承担相应责任。 </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 xml:space="preserve">企业名称（盖章）： </w:t>
      </w:r>
    </w:p>
    <w:p>
      <w:pPr>
        <w:widowControl/>
        <w:spacing w:line="360" w:lineRule="auto"/>
        <w:ind w:firstLine="420" w:firstLineChars="200"/>
        <w:jc w:val="left"/>
        <w:rPr>
          <w:rFonts w:ascii="宋体" w:hAnsi="宋体" w:cs="宋体"/>
          <w:szCs w:val="21"/>
        </w:rPr>
      </w:pPr>
      <w:r>
        <w:rPr>
          <w:rFonts w:hint="eastAsia" w:ascii="宋体" w:hAnsi="宋体" w:cs="宋体"/>
          <w:kern w:val="0"/>
          <w:szCs w:val="21"/>
        </w:rPr>
        <w:t xml:space="preserve">日 期： </w:t>
      </w:r>
    </w:p>
    <w:p>
      <w:pPr>
        <w:widowControl/>
        <w:ind w:firstLine="360" w:firstLineChars="200"/>
        <w:jc w:val="left"/>
        <w:rPr>
          <w:rFonts w:ascii="宋体" w:hAnsi="宋体" w:cs="宋体"/>
          <w:kern w:val="0"/>
          <w:sz w:val="18"/>
          <w:szCs w:val="18"/>
        </w:rPr>
      </w:pPr>
    </w:p>
    <w:p>
      <w:pPr>
        <w:widowControl/>
        <w:ind w:firstLine="420" w:firstLineChars="200"/>
        <w:jc w:val="left"/>
        <w:rPr>
          <w:rFonts w:ascii="宋体" w:hAnsi="宋体" w:cs="宋体"/>
          <w:kern w:val="0"/>
          <w:szCs w:val="21"/>
        </w:rPr>
      </w:pPr>
      <w:r>
        <w:rPr>
          <w:rFonts w:hint="eastAsia" w:ascii="宋体" w:hAnsi="宋体" w:cs="宋体"/>
          <w:kern w:val="0"/>
          <w:szCs w:val="21"/>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kern w:val="0"/>
          <w:szCs w:val="21"/>
        </w:rPr>
        <w:t>投标无效。</w:t>
      </w:r>
    </w:p>
    <w:p>
      <w:pPr>
        <w:widowControl/>
        <w:adjustRightInd w:val="0"/>
        <w:snapToGrid w:val="0"/>
        <w:spacing w:line="360" w:lineRule="auto"/>
        <w:ind w:firstLine="420" w:firstLineChars="200"/>
        <w:jc w:val="left"/>
        <w:rPr>
          <w:rFonts w:ascii="宋体" w:hAnsi="宋体" w:cs="宋体"/>
          <w:spacing w:val="6"/>
          <w:kern w:val="0"/>
          <w:szCs w:val="21"/>
          <w:u w:val="single"/>
        </w:rPr>
      </w:pPr>
      <w:r>
        <w:rPr>
          <w:rFonts w:hint="eastAsia" w:ascii="宋体" w:hAnsi="宋体" w:cs="宋体"/>
          <w:kern w:val="0"/>
          <w:szCs w:val="21"/>
        </w:rPr>
        <w:t>2.从业人员、营业收入、资产总额填报上一年度数据，无上一年度数据的新成立企业可不填报。</w:t>
      </w:r>
    </w:p>
    <w:p/>
    <w:p>
      <w:pPr>
        <w:pStyle w:val="6"/>
        <w:spacing w:before="0" w:line="240" w:lineRule="auto"/>
        <w:rPr>
          <w:rFonts w:ascii="黑体" w:hAnsi="宋体"/>
          <w:b w:val="0"/>
          <w:spacing w:val="6"/>
          <w:sz w:val="21"/>
          <w:szCs w:val="21"/>
        </w:rPr>
      </w:pPr>
      <w:bookmarkStart w:id="1295" w:name="_Toc75289303"/>
      <w:bookmarkStart w:id="1296" w:name="_Toc15888553"/>
      <w:r>
        <w:rPr>
          <w:rFonts w:hint="eastAsia" w:ascii="黑体" w:hAnsi="华文中宋" w:cs="宋体"/>
          <w:b w:val="0"/>
          <w:bCs w:val="0"/>
          <w:spacing w:val="6"/>
          <w:sz w:val="21"/>
          <w:szCs w:val="21"/>
        </w:rPr>
        <w:t xml:space="preserve">附件10-2 </w:t>
      </w:r>
      <w:r>
        <w:rPr>
          <w:rFonts w:hint="eastAsia" w:ascii="黑体" w:hAnsi="宋体"/>
          <w:b w:val="0"/>
          <w:spacing w:val="6"/>
          <w:sz w:val="21"/>
          <w:szCs w:val="21"/>
        </w:rPr>
        <w:t>残疾人福利性单位声明函</w:t>
      </w:r>
      <w:bookmarkEnd w:id="1295"/>
      <w:bookmarkEnd w:id="1296"/>
    </w:p>
    <w:p>
      <w:pPr>
        <w:pStyle w:val="5"/>
        <w:jc w:val="center"/>
        <w:rPr>
          <w:rFonts w:ascii="黑体" w:hAnsi="黑体" w:eastAsia="黑体"/>
          <w:b w:val="0"/>
          <w:spacing w:val="6"/>
          <w:sz w:val="28"/>
          <w:szCs w:val="28"/>
        </w:rPr>
      </w:pPr>
      <w:bookmarkStart w:id="1297" w:name="_Toc75289623"/>
      <w:bookmarkStart w:id="1298" w:name="_Toc8329"/>
      <w:bookmarkStart w:id="1299" w:name="_Toc100670746"/>
      <w:bookmarkStart w:id="1300" w:name="_Toc95601439"/>
      <w:bookmarkStart w:id="1301" w:name="_Toc4372"/>
      <w:bookmarkStart w:id="1302" w:name="_Toc78450031"/>
      <w:bookmarkStart w:id="1303" w:name="_Toc77199477"/>
      <w:bookmarkStart w:id="1304" w:name="_Toc77676542"/>
      <w:bookmarkStart w:id="1305" w:name="_Toc21512"/>
      <w:bookmarkStart w:id="1306" w:name="_Toc85973004"/>
      <w:bookmarkStart w:id="1307" w:name="_Toc24223"/>
      <w:bookmarkStart w:id="1308" w:name="_Toc78314338"/>
      <w:bookmarkStart w:id="1309" w:name="_Toc1776"/>
      <w:bookmarkStart w:id="1310" w:name="_Toc108342013"/>
      <w:bookmarkStart w:id="1311" w:name="_Toc94367954"/>
      <w:bookmarkStart w:id="1312" w:name="_Toc100670498"/>
      <w:bookmarkStart w:id="1313" w:name="_Toc112594327"/>
      <w:r>
        <w:rPr>
          <w:rFonts w:hint="eastAsia" w:ascii="黑体" w:hAnsi="黑体" w:eastAsia="黑体"/>
          <w:b w:val="0"/>
          <w:spacing w:val="6"/>
          <w:sz w:val="28"/>
          <w:szCs w:val="28"/>
        </w:rPr>
        <w:t>残疾人福利性单位声明函</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pPr>
        <w:adjustRightInd w:val="0"/>
        <w:snapToGrid w:val="0"/>
        <w:spacing w:line="360" w:lineRule="auto"/>
        <w:jc w:val="center"/>
        <w:rPr>
          <w:rFonts w:ascii="宋体" w:hAnsi="宋体"/>
          <w:b/>
          <w:spacing w:val="6"/>
          <w:szCs w:val="21"/>
        </w:rPr>
      </w:pPr>
    </w:p>
    <w:p>
      <w:pPr>
        <w:adjustRightInd w:val="0"/>
        <w:snapToGrid w:val="0"/>
        <w:spacing w:line="360" w:lineRule="auto"/>
        <w:ind w:firstLine="444" w:firstLineChars="200"/>
        <w:rPr>
          <w:rFonts w:ascii="宋体" w:hAnsi="宋体"/>
          <w:spacing w:val="6"/>
          <w:szCs w:val="21"/>
        </w:rPr>
      </w:pPr>
    </w:p>
    <w:p>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本单位郑重声明，根据《财政部民政部中国残疾人联合会关于促进残疾人就业政府采购政策的通知》（财库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pPr>
        <w:adjustRightInd w:val="0"/>
        <w:snapToGrid w:val="0"/>
        <w:spacing w:line="360" w:lineRule="auto"/>
        <w:ind w:firstLine="444" w:firstLineChars="200"/>
        <w:rPr>
          <w:rFonts w:ascii="宋体" w:hAnsi="宋体"/>
          <w:spacing w:val="6"/>
          <w:szCs w:val="21"/>
        </w:rPr>
      </w:pPr>
    </w:p>
    <w:p>
      <w:pPr>
        <w:adjustRightInd w:val="0"/>
        <w:snapToGrid w:val="0"/>
        <w:spacing w:line="360" w:lineRule="auto"/>
        <w:ind w:firstLine="444" w:firstLineChars="200"/>
        <w:rPr>
          <w:rFonts w:ascii="宋体" w:hAnsi="宋体"/>
          <w:spacing w:val="6"/>
          <w:szCs w:val="21"/>
        </w:rPr>
      </w:pPr>
    </w:p>
    <w:p>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pPr>
        <w:widowControl/>
        <w:adjustRightInd w:val="0"/>
        <w:snapToGrid w:val="0"/>
        <w:spacing w:line="360" w:lineRule="auto"/>
        <w:jc w:val="left"/>
        <w:rPr>
          <w:rFonts w:ascii="宋体" w:hAnsi="宋体" w:cs="宋体"/>
          <w:kern w:val="0"/>
          <w:szCs w:val="21"/>
        </w:rPr>
      </w:pPr>
    </w:p>
    <w:p>
      <w:pPr>
        <w:widowControl/>
        <w:adjustRightInd w:val="0"/>
        <w:snapToGrid w:val="0"/>
        <w:spacing w:line="360" w:lineRule="auto"/>
        <w:rPr>
          <w:rFonts w:ascii="黑体" w:hAnsi="宋体" w:eastAsia="黑体" w:cs="宋体"/>
          <w:kern w:val="0"/>
          <w:szCs w:val="21"/>
        </w:rPr>
      </w:pPr>
    </w:p>
    <w:p>
      <w:pPr>
        <w:widowControl/>
        <w:adjustRightInd w:val="0"/>
        <w:snapToGrid w:val="0"/>
        <w:spacing w:line="360" w:lineRule="auto"/>
        <w:rPr>
          <w:rFonts w:ascii="黑体" w:hAnsi="宋体" w:eastAsia="黑体" w:cs="宋体"/>
          <w:kern w:val="0"/>
          <w:szCs w:val="21"/>
        </w:rPr>
      </w:pPr>
    </w:p>
    <w:p>
      <w:pPr>
        <w:pStyle w:val="66"/>
        <w:ind w:firstLine="400"/>
      </w:pPr>
    </w:p>
    <w:p>
      <w:pPr>
        <w:widowControl/>
        <w:jc w:val="left"/>
        <w:rPr>
          <w:rFonts w:ascii="黑体" w:hAnsi="宋体" w:eastAsia="黑体" w:cs="宋体"/>
          <w:bCs/>
          <w:kern w:val="0"/>
          <w:szCs w:val="21"/>
        </w:rPr>
      </w:pPr>
      <w:bookmarkStart w:id="1314" w:name="_Toc15888554"/>
      <w:bookmarkStart w:id="1315" w:name="_Toc75289304"/>
      <w:r>
        <w:rPr>
          <w:rFonts w:ascii="黑体" w:hAnsi="宋体" w:cs="宋体"/>
          <w:b/>
          <w:szCs w:val="21"/>
        </w:rPr>
        <w:br w:type="page"/>
      </w:r>
    </w:p>
    <w:p>
      <w:pPr>
        <w:pStyle w:val="6"/>
        <w:rPr>
          <w:rFonts w:ascii="黑体" w:hAnsi="宋体"/>
          <w:b w:val="0"/>
          <w:sz w:val="21"/>
          <w:szCs w:val="21"/>
        </w:rPr>
      </w:pPr>
      <w:r>
        <w:rPr>
          <w:rFonts w:hint="eastAsia" w:ascii="黑体" w:hAnsi="宋体" w:cs="宋体"/>
          <w:b w:val="0"/>
          <w:sz w:val="21"/>
          <w:szCs w:val="21"/>
        </w:rPr>
        <w:t xml:space="preserve">附件10-3 </w:t>
      </w:r>
      <w:r>
        <w:rPr>
          <w:rFonts w:hint="eastAsia" w:ascii="黑体" w:hAnsi="宋体"/>
          <w:b w:val="0"/>
          <w:sz w:val="21"/>
          <w:szCs w:val="21"/>
        </w:rPr>
        <w:t>监狱企业证明资料</w:t>
      </w:r>
      <w:bookmarkEnd w:id="1314"/>
      <w:bookmarkEnd w:id="1315"/>
    </w:p>
    <w:p>
      <w:pPr>
        <w:pStyle w:val="5"/>
        <w:jc w:val="center"/>
        <w:rPr>
          <w:rFonts w:ascii="黑体" w:hAnsi="宋体"/>
          <w:b w:val="0"/>
          <w:sz w:val="28"/>
          <w:szCs w:val="28"/>
        </w:rPr>
      </w:pPr>
      <w:bookmarkStart w:id="1316" w:name="_Toc13805"/>
      <w:bookmarkStart w:id="1317" w:name="_Toc95601440"/>
      <w:bookmarkStart w:id="1318" w:name="_Toc30362"/>
      <w:bookmarkStart w:id="1319" w:name="_Toc75289624"/>
      <w:bookmarkStart w:id="1320" w:name="_Toc19822"/>
      <w:bookmarkStart w:id="1321" w:name="_Toc108342014"/>
      <w:bookmarkStart w:id="1322" w:name="_Toc78450032"/>
      <w:bookmarkStart w:id="1323" w:name="_Toc78314339"/>
      <w:bookmarkStart w:id="1324" w:name="_Toc8340"/>
      <w:bookmarkStart w:id="1325" w:name="_Toc100670747"/>
      <w:bookmarkStart w:id="1326" w:name="_Toc94367955"/>
      <w:bookmarkStart w:id="1327" w:name="_Toc6536"/>
      <w:bookmarkStart w:id="1328" w:name="_Toc112594328"/>
      <w:bookmarkStart w:id="1329" w:name="_Toc77676543"/>
      <w:bookmarkStart w:id="1330" w:name="_Toc77199478"/>
      <w:bookmarkStart w:id="1331" w:name="_Toc100670499"/>
      <w:bookmarkStart w:id="1332" w:name="_Toc85973005"/>
      <w:r>
        <w:rPr>
          <w:rFonts w:hint="eastAsia" w:ascii="黑体" w:hAnsi="宋体"/>
          <w:b w:val="0"/>
          <w:sz w:val="28"/>
          <w:szCs w:val="28"/>
        </w:rPr>
        <w:t>监狱企业证明资料</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adjustRightInd w:val="0"/>
        <w:snapToGrid w:val="0"/>
        <w:spacing w:line="360" w:lineRule="auto"/>
        <w:jc w:val="center"/>
        <w:rPr>
          <w:rFonts w:ascii="宋体" w:hAnsi="宋体"/>
          <w:b/>
          <w:spacing w:val="6"/>
          <w:szCs w:val="21"/>
        </w:rPr>
      </w:pPr>
    </w:p>
    <w:p>
      <w:pPr>
        <w:adjustRightInd w:val="0"/>
        <w:snapToGrid w:val="0"/>
        <w:spacing w:line="360" w:lineRule="auto"/>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bCs/>
          <w:szCs w:val="21"/>
        </w:rPr>
        <w:t>注</w:t>
      </w:r>
      <w:r>
        <w:rPr>
          <w:rFonts w:hint="eastAsia" w:ascii="宋体" w:hAnsi="宋体" w:cs="宋体"/>
          <w:bCs/>
          <w:spacing w:val="6"/>
          <w:kern w:val="0"/>
          <w:szCs w:val="21"/>
        </w:rPr>
        <w:t>：</w:t>
      </w:r>
      <w:r>
        <w:rPr>
          <w:rFonts w:hint="eastAsia" w:ascii="宋体" w:hAnsi="宋体"/>
          <w:szCs w:val="21"/>
        </w:rPr>
        <w:t>按</w:t>
      </w:r>
      <w:r>
        <w:rPr>
          <w:rFonts w:hint="eastAsia" w:ascii="宋体" w:hAnsi="宋体"/>
          <w:spacing w:val="6"/>
          <w:szCs w:val="21"/>
        </w:rPr>
        <w:t>《</w:t>
      </w:r>
      <w:r>
        <w:rPr>
          <w:rFonts w:hint="eastAsia" w:ascii="宋体" w:hAnsi="宋体"/>
          <w:szCs w:val="21"/>
        </w:rPr>
        <w:t>财政部司法部关于政府采购支持监狱企业发展有关问题的通知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w:t>
      </w:r>
    </w:p>
    <w:p>
      <w:pPr>
        <w:adjustRightInd w:val="0"/>
        <w:snapToGrid w:val="0"/>
        <w:spacing w:line="360" w:lineRule="auto"/>
        <w:rPr>
          <w:rFonts w:ascii="黑体" w:hAnsi="华文中宋" w:eastAsia="黑体" w:cs="宋体"/>
          <w:bCs/>
          <w:spacing w:val="6"/>
          <w:kern w:val="0"/>
          <w:szCs w:val="21"/>
        </w:rPr>
      </w:pPr>
      <w:r>
        <w:rPr>
          <w:rFonts w:ascii="黑体" w:hAnsi="华文中宋" w:eastAsia="黑体" w:cs="宋体"/>
          <w:bCs/>
          <w:spacing w:val="6"/>
          <w:kern w:val="0"/>
          <w:szCs w:val="21"/>
        </w:rPr>
        <w:br w:type="page"/>
      </w:r>
    </w:p>
    <w:p>
      <w:pPr>
        <w:pStyle w:val="6"/>
        <w:spacing w:before="0" w:line="240" w:lineRule="auto"/>
        <w:rPr>
          <w:rFonts w:ascii="黑体" w:hAnsi="宋体"/>
          <w:b w:val="0"/>
          <w:sz w:val="21"/>
          <w:szCs w:val="21"/>
        </w:rPr>
      </w:pPr>
      <w:bookmarkStart w:id="1333" w:name="_Toc15888555"/>
      <w:bookmarkStart w:id="1334" w:name="_Toc75289305"/>
      <w:r>
        <w:rPr>
          <w:rFonts w:hint="eastAsia" w:ascii="黑体" w:hAnsi="华文中宋" w:cs="宋体"/>
          <w:b w:val="0"/>
          <w:bCs w:val="0"/>
          <w:spacing w:val="6"/>
          <w:sz w:val="21"/>
          <w:szCs w:val="21"/>
        </w:rPr>
        <w:t>附件10-4</w:t>
      </w:r>
      <w:r>
        <w:rPr>
          <w:rFonts w:hint="eastAsia" w:ascii="黑体" w:hAnsi="宋体"/>
          <w:b w:val="0"/>
          <w:bCs w:val="0"/>
          <w:sz w:val="21"/>
          <w:szCs w:val="21"/>
        </w:rPr>
        <w:t>强制采购或者优先采购产品的证明材料</w:t>
      </w:r>
      <w:bookmarkEnd w:id="1333"/>
      <w:bookmarkEnd w:id="1334"/>
    </w:p>
    <w:p>
      <w:pPr>
        <w:pStyle w:val="5"/>
        <w:jc w:val="center"/>
        <w:rPr>
          <w:rFonts w:ascii="黑体" w:hAnsi="黑体" w:eastAsia="黑体"/>
          <w:b w:val="0"/>
          <w:sz w:val="28"/>
          <w:szCs w:val="28"/>
        </w:rPr>
      </w:pPr>
      <w:bookmarkStart w:id="1335" w:name="_Toc108342015"/>
      <w:bookmarkStart w:id="1336" w:name="_Toc77199479"/>
      <w:bookmarkStart w:id="1337" w:name="_Toc78450033"/>
      <w:bookmarkStart w:id="1338" w:name="_Toc77676544"/>
      <w:bookmarkStart w:id="1339" w:name="_Toc94367956"/>
      <w:bookmarkStart w:id="1340" w:name="_Toc95601441"/>
      <w:bookmarkStart w:id="1341" w:name="_Toc28241"/>
      <w:bookmarkStart w:id="1342" w:name="_Toc75289625"/>
      <w:bookmarkStart w:id="1343" w:name="_Toc100670748"/>
      <w:bookmarkStart w:id="1344" w:name="_Toc112594329"/>
      <w:bookmarkStart w:id="1345" w:name="_Toc9081"/>
      <w:bookmarkStart w:id="1346" w:name="_Toc85973006"/>
      <w:bookmarkStart w:id="1347" w:name="_Toc393"/>
      <w:bookmarkStart w:id="1348" w:name="_Toc1929"/>
      <w:bookmarkStart w:id="1349" w:name="_Toc100670500"/>
      <w:bookmarkStart w:id="1350" w:name="_Toc78314340"/>
      <w:bookmarkStart w:id="1351" w:name="_Toc30008"/>
      <w:r>
        <w:rPr>
          <w:rFonts w:hint="eastAsia" w:ascii="黑体" w:hAnsi="黑体" w:eastAsia="黑体"/>
          <w:b w:val="0"/>
          <w:sz w:val="28"/>
          <w:szCs w:val="28"/>
        </w:rPr>
        <w:t>强制采购或者优先采购产品</w:t>
      </w:r>
      <w:r>
        <w:rPr>
          <w:rFonts w:hint="eastAsia" w:ascii="黑体" w:hAnsi="黑体" w:eastAsia="黑体"/>
          <w:b w:val="0"/>
          <w:bCs w:val="0"/>
          <w:sz w:val="28"/>
          <w:szCs w:val="28"/>
        </w:rPr>
        <w:t>的</w:t>
      </w:r>
      <w:r>
        <w:rPr>
          <w:rFonts w:hint="eastAsia" w:ascii="黑体" w:hAnsi="黑体" w:eastAsia="黑体"/>
          <w:b w:val="0"/>
          <w:sz w:val="28"/>
          <w:szCs w:val="28"/>
        </w:rPr>
        <w:t>证明材料</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pPr>
        <w:adjustRightInd w:val="0"/>
        <w:snapToGrid w:val="0"/>
        <w:spacing w:line="360" w:lineRule="auto"/>
        <w:ind w:firstLine="420" w:firstLineChars="200"/>
        <w:jc w:val="left"/>
        <w:rPr>
          <w:rFonts w:ascii="宋体" w:hAnsi="宋体"/>
          <w:szCs w:val="21"/>
        </w:rPr>
      </w:pPr>
    </w:p>
    <w:p>
      <w:pPr>
        <w:adjustRightInd w:val="0"/>
        <w:snapToGrid w:val="0"/>
        <w:spacing w:line="360" w:lineRule="auto"/>
        <w:ind w:firstLine="420" w:firstLineChars="200"/>
        <w:jc w:val="left"/>
        <w:rPr>
          <w:rFonts w:ascii="宋体" w:hAnsi="宋体"/>
          <w:szCs w:val="21"/>
        </w:rPr>
      </w:pPr>
      <w:r>
        <w:rPr>
          <w:rFonts w:hint="eastAsia" w:ascii="宋体" w:hAnsi="宋体"/>
          <w:szCs w:val="21"/>
        </w:rPr>
        <w:t>注：投标人提供的产品</w:t>
      </w:r>
      <w:r>
        <w:rPr>
          <w:rFonts w:hint="eastAsia" w:ascii="宋体" w:hAnsi="宋体"/>
          <w:bCs/>
          <w:szCs w:val="21"/>
        </w:rPr>
        <w:t>属于强制采购或者优先采购的</w:t>
      </w:r>
      <w:r>
        <w:rPr>
          <w:rFonts w:hint="eastAsia" w:ascii="宋体" w:hAnsi="宋体"/>
          <w:szCs w:val="21"/>
        </w:rPr>
        <w:t>，应按第二章第33.6款规定提供证明材料和本章本节附页1“优先采购产品清单”，并加盖投标人单位章。</w:t>
      </w:r>
    </w:p>
    <w:p>
      <w:pPr>
        <w:adjustRightInd w:val="0"/>
        <w:snapToGrid w:val="0"/>
        <w:spacing w:line="360" w:lineRule="auto"/>
        <w:ind w:firstLine="420" w:firstLineChars="200"/>
        <w:jc w:val="left"/>
        <w:rPr>
          <w:rFonts w:ascii="宋体" w:hAnsi="宋体"/>
          <w:szCs w:val="21"/>
        </w:rPr>
      </w:pPr>
    </w:p>
    <w:p>
      <w:pPr>
        <w:widowControl/>
        <w:jc w:val="left"/>
        <w:rPr>
          <w:rFonts w:ascii="黑体" w:hAnsi="宋体" w:eastAsia="黑体"/>
          <w:bCs/>
          <w:kern w:val="0"/>
          <w:sz w:val="28"/>
          <w:szCs w:val="28"/>
        </w:rPr>
      </w:pPr>
      <w:r>
        <w:rPr>
          <w:rFonts w:ascii="黑体" w:hAnsi="宋体"/>
          <w:b/>
        </w:rPr>
        <w:br w:type="page"/>
      </w:r>
    </w:p>
    <w:p>
      <w:pPr>
        <w:pStyle w:val="6"/>
        <w:spacing w:before="0"/>
        <w:jc w:val="left"/>
        <w:rPr>
          <w:rFonts w:ascii="黑体" w:hAnsi="宋体"/>
          <w:b w:val="0"/>
          <w:sz w:val="21"/>
          <w:szCs w:val="21"/>
        </w:rPr>
      </w:pPr>
      <w:bookmarkStart w:id="1352" w:name="_Toc32718"/>
      <w:r>
        <w:rPr>
          <w:rFonts w:hint="eastAsia" w:ascii="黑体" w:hAnsi="华文中宋" w:cs="宋体"/>
          <w:b w:val="0"/>
          <w:bCs w:val="0"/>
          <w:spacing w:val="6"/>
          <w:sz w:val="21"/>
          <w:szCs w:val="21"/>
        </w:rPr>
        <w:t xml:space="preserve">附页 1 </w:t>
      </w:r>
      <w:r>
        <w:rPr>
          <w:rFonts w:hint="eastAsia" w:ascii="黑体" w:hAnsi="宋体"/>
          <w:b w:val="0"/>
          <w:sz w:val="21"/>
          <w:szCs w:val="21"/>
        </w:rPr>
        <w:t>优先采购产品清单</w:t>
      </w:r>
      <w:bookmarkEnd w:id="1352"/>
    </w:p>
    <w:p>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pPr>
        <w:adjustRightInd w:val="0"/>
        <w:snapToGrid w:val="0"/>
        <w:spacing w:line="360" w:lineRule="auto"/>
        <w:rPr>
          <w:rFonts w:ascii="宋体" w:hAnsi="宋体"/>
          <w:szCs w:val="21"/>
        </w:rPr>
      </w:pPr>
      <w:r>
        <w:rPr>
          <w:rFonts w:hint="eastAsia" w:ascii="宋体" w:hAnsi="宋体"/>
          <w:szCs w:val="21"/>
        </w:rPr>
        <w:t>政府采购计划编号：                         项目名称：</w:t>
      </w:r>
    </w:p>
    <w:p>
      <w:pPr>
        <w:adjustRightInd w:val="0"/>
        <w:snapToGrid w:val="0"/>
        <w:spacing w:line="360" w:lineRule="auto"/>
        <w:rPr>
          <w:rFonts w:ascii="宋体" w:hAnsi="宋体"/>
          <w:szCs w:val="21"/>
        </w:rPr>
      </w:pPr>
      <w:r>
        <w:rPr>
          <w:rFonts w:hint="eastAsia" w:ascii="宋体" w:hAnsi="宋体"/>
          <w:szCs w:val="21"/>
        </w:rPr>
        <w:t>包       号：                              包名称：</w:t>
      </w:r>
    </w:p>
    <w:tbl>
      <w:tblPr>
        <w:tblStyle w:val="48"/>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70" w:hRule="atLeast"/>
        </w:trPr>
        <w:tc>
          <w:tcPr>
            <w:tcW w:w="8740" w:type="dxa"/>
            <w:gridSpan w:val="6"/>
            <w:vAlign w:val="center"/>
          </w:tcPr>
          <w:p>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7" w:hRule="atLeast"/>
        </w:trPr>
        <w:tc>
          <w:tcPr>
            <w:tcW w:w="667"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29"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27" w:type="dxa"/>
            <w:tcBorders>
              <w:right w:val="single" w:color="auto" w:sz="4" w:space="0"/>
            </w:tcBorders>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0" w:type="dxa"/>
            <w:tcBorders>
              <w:left w:val="single" w:color="auto" w:sz="4" w:space="0"/>
            </w:tcBorders>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72"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35"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2" w:hRule="atLeast"/>
        </w:trPr>
        <w:tc>
          <w:tcPr>
            <w:tcW w:w="667"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29"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27" w:type="dxa"/>
            <w:tcBorders>
              <w:right w:val="single" w:color="auto" w:sz="4" w:space="0"/>
            </w:tcBorders>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0" w:type="dxa"/>
            <w:tcBorders>
              <w:left w:val="single" w:color="auto" w:sz="4" w:space="0"/>
            </w:tcBorders>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72"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35"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8740" w:type="dxa"/>
            <w:gridSpan w:val="6"/>
            <w:vAlign w:val="center"/>
          </w:tcPr>
          <w:p>
            <w:pPr>
              <w:adjustRightInd w:val="0"/>
              <w:snapToGrid w:val="0"/>
              <w:spacing w:line="360" w:lineRule="auto"/>
              <w:jc w:val="left"/>
              <w:rPr>
                <w:rFonts w:ascii="宋体" w:hAnsi="宋体"/>
                <w:b/>
                <w:szCs w:val="21"/>
              </w:rPr>
            </w:pPr>
            <w:r>
              <w:rPr>
                <w:rFonts w:hint="eastAsia" w:ascii="宋体" w:hAnsi="宋体"/>
                <w:b/>
                <w:szCs w:val="21"/>
              </w:rPr>
              <w:t>节能产品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667" w:type="dxa"/>
            <w:vAlign w:val="center"/>
          </w:tcPr>
          <w:p>
            <w:pPr>
              <w:adjustRightInd w:val="0"/>
              <w:snapToGrid w:val="0"/>
              <w:spacing w:line="360" w:lineRule="auto"/>
              <w:jc w:val="center"/>
              <w:rPr>
                <w:rFonts w:ascii="宋体" w:hAnsi="宋体"/>
                <w:b/>
                <w:szCs w:val="21"/>
              </w:rPr>
            </w:pPr>
          </w:p>
        </w:tc>
        <w:tc>
          <w:tcPr>
            <w:tcW w:w="1729" w:type="dxa"/>
            <w:vAlign w:val="center"/>
          </w:tcPr>
          <w:p>
            <w:pPr>
              <w:adjustRightInd w:val="0"/>
              <w:snapToGrid w:val="0"/>
              <w:spacing w:line="360" w:lineRule="auto"/>
              <w:jc w:val="center"/>
              <w:rPr>
                <w:rFonts w:ascii="宋体" w:hAnsi="宋体"/>
                <w:b/>
                <w:szCs w:val="21"/>
              </w:rPr>
            </w:pPr>
          </w:p>
        </w:tc>
        <w:tc>
          <w:tcPr>
            <w:tcW w:w="1127" w:type="dxa"/>
            <w:tcBorders>
              <w:right w:val="single" w:color="auto" w:sz="4" w:space="0"/>
            </w:tcBorders>
            <w:vAlign w:val="center"/>
          </w:tcPr>
          <w:p>
            <w:pPr>
              <w:adjustRightInd w:val="0"/>
              <w:snapToGrid w:val="0"/>
              <w:spacing w:line="360" w:lineRule="auto"/>
              <w:jc w:val="left"/>
              <w:rPr>
                <w:rFonts w:ascii="宋体" w:hAnsi="宋体"/>
                <w:b/>
                <w:szCs w:val="21"/>
              </w:rPr>
            </w:pPr>
          </w:p>
        </w:tc>
        <w:tc>
          <w:tcPr>
            <w:tcW w:w="1410" w:type="dxa"/>
            <w:tcBorders>
              <w:left w:val="single" w:color="auto" w:sz="4" w:space="0"/>
            </w:tcBorders>
            <w:vAlign w:val="center"/>
          </w:tcPr>
          <w:p>
            <w:pPr>
              <w:adjustRightInd w:val="0"/>
              <w:snapToGrid w:val="0"/>
              <w:spacing w:line="360" w:lineRule="auto"/>
              <w:jc w:val="left"/>
              <w:rPr>
                <w:rFonts w:ascii="宋体" w:hAnsi="宋体"/>
                <w:b/>
                <w:szCs w:val="21"/>
              </w:rPr>
            </w:pPr>
          </w:p>
        </w:tc>
        <w:tc>
          <w:tcPr>
            <w:tcW w:w="1972" w:type="dxa"/>
            <w:vAlign w:val="center"/>
          </w:tcPr>
          <w:p>
            <w:pPr>
              <w:adjustRightInd w:val="0"/>
              <w:snapToGrid w:val="0"/>
              <w:spacing w:line="360" w:lineRule="auto"/>
              <w:jc w:val="center"/>
              <w:rPr>
                <w:rFonts w:ascii="宋体" w:hAnsi="宋体"/>
                <w:b/>
                <w:szCs w:val="21"/>
              </w:rPr>
            </w:pPr>
          </w:p>
        </w:tc>
        <w:tc>
          <w:tcPr>
            <w:tcW w:w="1835" w:type="dxa"/>
          </w:tcPr>
          <w:p>
            <w:pPr>
              <w:adjustRightInd w:val="0"/>
              <w:snapToGrid w:val="0"/>
              <w:spacing w:line="360" w:lineRule="auto"/>
              <w:jc w:val="center"/>
              <w:rPr>
                <w:rFonts w:ascii="宋体" w:hAnsi="宋体"/>
                <w:b/>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667" w:type="dxa"/>
            <w:vAlign w:val="center"/>
          </w:tcPr>
          <w:p>
            <w:pPr>
              <w:adjustRightInd w:val="0"/>
              <w:snapToGrid w:val="0"/>
              <w:spacing w:line="360" w:lineRule="auto"/>
              <w:jc w:val="center"/>
              <w:rPr>
                <w:rFonts w:ascii="宋体" w:hAnsi="宋体"/>
                <w:szCs w:val="21"/>
              </w:rPr>
            </w:pPr>
            <w:r>
              <w:rPr>
                <w:rFonts w:hint="eastAsia" w:ascii="宋体" w:hAnsi="宋体"/>
                <w:szCs w:val="21"/>
              </w:rPr>
              <w:t>小计</w:t>
            </w:r>
          </w:p>
        </w:tc>
        <w:tc>
          <w:tcPr>
            <w:tcW w:w="1729" w:type="dxa"/>
            <w:vAlign w:val="center"/>
          </w:tcPr>
          <w:p>
            <w:pPr>
              <w:adjustRightInd w:val="0"/>
              <w:snapToGrid w:val="0"/>
              <w:spacing w:line="360" w:lineRule="auto"/>
              <w:jc w:val="center"/>
              <w:rPr>
                <w:rFonts w:ascii="宋体" w:hAnsi="宋体"/>
                <w:b/>
                <w:szCs w:val="21"/>
              </w:rPr>
            </w:pPr>
            <w:r>
              <w:rPr>
                <w:rFonts w:hint="eastAsia" w:ascii="宋体" w:hAnsi="宋体"/>
                <w:b/>
                <w:szCs w:val="21"/>
              </w:rPr>
              <w:t>/</w:t>
            </w:r>
          </w:p>
        </w:tc>
        <w:tc>
          <w:tcPr>
            <w:tcW w:w="1127" w:type="dxa"/>
            <w:tcBorders>
              <w:right w:val="single" w:color="auto" w:sz="4" w:space="0"/>
            </w:tcBorders>
            <w:vAlign w:val="center"/>
          </w:tcPr>
          <w:p>
            <w:pPr>
              <w:adjustRightInd w:val="0"/>
              <w:snapToGrid w:val="0"/>
              <w:spacing w:line="360" w:lineRule="auto"/>
              <w:jc w:val="left"/>
              <w:rPr>
                <w:rFonts w:ascii="宋体" w:hAnsi="宋体"/>
                <w:b/>
                <w:szCs w:val="21"/>
              </w:rPr>
            </w:pPr>
          </w:p>
        </w:tc>
        <w:tc>
          <w:tcPr>
            <w:tcW w:w="1410" w:type="dxa"/>
            <w:tcBorders>
              <w:left w:val="single" w:color="auto" w:sz="4" w:space="0"/>
            </w:tcBorders>
            <w:vAlign w:val="center"/>
          </w:tcPr>
          <w:p>
            <w:pPr>
              <w:adjustRightInd w:val="0"/>
              <w:snapToGrid w:val="0"/>
              <w:spacing w:line="360" w:lineRule="auto"/>
              <w:jc w:val="left"/>
              <w:rPr>
                <w:rFonts w:ascii="宋体" w:hAnsi="宋体"/>
                <w:b/>
                <w:szCs w:val="21"/>
              </w:rPr>
            </w:pPr>
          </w:p>
        </w:tc>
        <w:tc>
          <w:tcPr>
            <w:tcW w:w="1972" w:type="dxa"/>
            <w:vAlign w:val="center"/>
          </w:tcPr>
          <w:p>
            <w:pPr>
              <w:adjustRightInd w:val="0"/>
              <w:snapToGrid w:val="0"/>
              <w:spacing w:line="360" w:lineRule="auto"/>
              <w:jc w:val="center"/>
              <w:rPr>
                <w:rFonts w:ascii="宋体" w:hAnsi="宋体"/>
                <w:b/>
                <w:szCs w:val="21"/>
              </w:rPr>
            </w:pPr>
            <w:r>
              <w:rPr>
                <w:rFonts w:hint="eastAsia" w:ascii="宋体" w:hAnsi="宋体"/>
                <w:b/>
                <w:szCs w:val="21"/>
              </w:rPr>
              <w:t>/</w:t>
            </w:r>
          </w:p>
        </w:tc>
        <w:tc>
          <w:tcPr>
            <w:tcW w:w="1835" w:type="dxa"/>
          </w:tcPr>
          <w:p>
            <w:pPr>
              <w:adjustRightInd w:val="0"/>
              <w:snapToGrid w:val="0"/>
              <w:spacing w:line="360" w:lineRule="auto"/>
              <w:jc w:val="center"/>
              <w:rPr>
                <w:rFonts w:ascii="宋体" w:hAnsi="宋体"/>
                <w:b/>
                <w:szCs w:val="21"/>
              </w:rPr>
            </w:pPr>
            <w:r>
              <w:rPr>
                <w:rFonts w:hint="eastAsia" w:ascii="宋体" w:hAnsi="宋体"/>
                <w:b/>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8740" w:type="dxa"/>
            <w:gridSpan w:val="6"/>
            <w:vAlign w:val="center"/>
          </w:tcPr>
          <w:p>
            <w:pPr>
              <w:adjustRightInd w:val="0"/>
              <w:snapToGrid w:val="0"/>
              <w:spacing w:line="360" w:lineRule="auto"/>
              <w:jc w:val="left"/>
              <w:rPr>
                <w:rFonts w:ascii="宋体" w:hAnsi="宋体"/>
                <w:b/>
                <w:szCs w:val="21"/>
              </w:rPr>
            </w:pPr>
            <w:r>
              <w:rPr>
                <w:rFonts w:hint="eastAsia" w:ascii="宋体" w:hAnsi="宋体"/>
                <w:b/>
                <w:szCs w:val="21"/>
              </w:rPr>
              <w:t>环境标志产品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667" w:type="dxa"/>
            <w:vAlign w:val="center"/>
          </w:tcPr>
          <w:p>
            <w:pPr>
              <w:adjustRightInd w:val="0"/>
              <w:snapToGrid w:val="0"/>
              <w:spacing w:line="360" w:lineRule="auto"/>
              <w:jc w:val="center"/>
              <w:rPr>
                <w:rFonts w:ascii="宋体" w:hAnsi="宋体"/>
                <w:b/>
                <w:szCs w:val="21"/>
              </w:rPr>
            </w:pPr>
          </w:p>
        </w:tc>
        <w:tc>
          <w:tcPr>
            <w:tcW w:w="1729" w:type="dxa"/>
            <w:vAlign w:val="center"/>
          </w:tcPr>
          <w:p>
            <w:pPr>
              <w:adjustRightInd w:val="0"/>
              <w:snapToGrid w:val="0"/>
              <w:spacing w:line="360" w:lineRule="auto"/>
              <w:jc w:val="center"/>
              <w:rPr>
                <w:rFonts w:ascii="宋体" w:hAnsi="宋体"/>
                <w:b/>
                <w:szCs w:val="21"/>
              </w:rPr>
            </w:pPr>
          </w:p>
        </w:tc>
        <w:tc>
          <w:tcPr>
            <w:tcW w:w="1127" w:type="dxa"/>
            <w:tcBorders>
              <w:right w:val="single" w:color="auto" w:sz="4" w:space="0"/>
            </w:tcBorders>
            <w:vAlign w:val="center"/>
          </w:tcPr>
          <w:p>
            <w:pPr>
              <w:adjustRightInd w:val="0"/>
              <w:snapToGrid w:val="0"/>
              <w:spacing w:line="360" w:lineRule="auto"/>
              <w:jc w:val="left"/>
              <w:rPr>
                <w:rFonts w:ascii="宋体" w:hAnsi="宋体"/>
                <w:b/>
                <w:szCs w:val="21"/>
              </w:rPr>
            </w:pPr>
          </w:p>
        </w:tc>
        <w:tc>
          <w:tcPr>
            <w:tcW w:w="1410" w:type="dxa"/>
            <w:tcBorders>
              <w:left w:val="single" w:color="auto" w:sz="4" w:space="0"/>
            </w:tcBorders>
            <w:vAlign w:val="center"/>
          </w:tcPr>
          <w:p>
            <w:pPr>
              <w:adjustRightInd w:val="0"/>
              <w:snapToGrid w:val="0"/>
              <w:spacing w:line="360" w:lineRule="auto"/>
              <w:jc w:val="left"/>
              <w:rPr>
                <w:rFonts w:ascii="宋体" w:hAnsi="宋体"/>
                <w:b/>
                <w:szCs w:val="21"/>
              </w:rPr>
            </w:pPr>
          </w:p>
        </w:tc>
        <w:tc>
          <w:tcPr>
            <w:tcW w:w="1972" w:type="dxa"/>
            <w:vAlign w:val="center"/>
          </w:tcPr>
          <w:p>
            <w:pPr>
              <w:adjustRightInd w:val="0"/>
              <w:snapToGrid w:val="0"/>
              <w:spacing w:line="360" w:lineRule="auto"/>
              <w:jc w:val="center"/>
              <w:rPr>
                <w:rFonts w:ascii="宋体" w:hAnsi="宋体"/>
                <w:b/>
                <w:szCs w:val="21"/>
              </w:rPr>
            </w:pPr>
          </w:p>
        </w:tc>
        <w:tc>
          <w:tcPr>
            <w:tcW w:w="1835" w:type="dxa"/>
          </w:tcPr>
          <w:p>
            <w:pPr>
              <w:adjustRightInd w:val="0"/>
              <w:snapToGrid w:val="0"/>
              <w:spacing w:line="360" w:lineRule="auto"/>
              <w:jc w:val="center"/>
              <w:rPr>
                <w:rFonts w:ascii="宋体" w:hAnsi="宋体"/>
                <w:b/>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667" w:type="dxa"/>
            <w:vAlign w:val="center"/>
          </w:tcPr>
          <w:p>
            <w:pPr>
              <w:adjustRightInd w:val="0"/>
              <w:snapToGrid w:val="0"/>
              <w:spacing w:line="360" w:lineRule="auto"/>
              <w:jc w:val="center"/>
              <w:rPr>
                <w:rFonts w:ascii="宋体" w:hAnsi="宋体"/>
                <w:szCs w:val="21"/>
              </w:rPr>
            </w:pPr>
            <w:r>
              <w:rPr>
                <w:rFonts w:hint="eastAsia" w:ascii="宋体" w:hAnsi="宋体"/>
                <w:szCs w:val="21"/>
              </w:rPr>
              <w:t>小计</w:t>
            </w:r>
          </w:p>
        </w:tc>
        <w:tc>
          <w:tcPr>
            <w:tcW w:w="1729" w:type="dxa"/>
            <w:vAlign w:val="center"/>
          </w:tcPr>
          <w:p>
            <w:pPr>
              <w:adjustRightInd w:val="0"/>
              <w:snapToGrid w:val="0"/>
              <w:spacing w:line="360" w:lineRule="auto"/>
              <w:jc w:val="center"/>
              <w:rPr>
                <w:rFonts w:ascii="宋体" w:hAnsi="宋体"/>
                <w:b/>
                <w:szCs w:val="21"/>
              </w:rPr>
            </w:pPr>
            <w:r>
              <w:rPr>
                <w:rFonts w:hint="eastAsia" w:ascii="宋体" w:hAnsi="宋体"/>
                <w:b/>
                <w:szCs w:val="21"/>
              </w:rPr>
              <w:t>/</w:t>
            </w:r>
          </w:p>
        </w:tc>
        <w:tc>
          <w:tcPr>
            <w:tcW w:w="1127" w:type="dxa"/>
            <w:tcBorders>
              <w:right w:val="single" w:color="auto" w:sz="4" w:space="0"/>
            </w:tcBorders>
            <w:vAlign w:val="center"/>
          </w:tcPr>
          <w:p>
            <w:pPr>
              <w:adjustRightInd w:val="0"/>
              <w:snapToGrid w:val="0"/>
              <w:spacing w:line="360" w:lineRule="auto"/>
              <w:jc w:val="left"/>
              <w:rPr>
                <w:rFonts w:ascii="宋体" w:hAnsi="宋体"/>
                <w:b/>
                <w:szCs w:val="21"/>
              </w:rPr>
            </w:pPr>
          </w:p>
        </w:tc>
        <w:tc>
          <w:tcPr>
            <w:tcW w:w="1410" w:type="dxa"/>
            <w:tcBorders>
              <w:left w:val="single" w:color="auto" w:sz="4" w:space="0"/>
            </w:tcBorders>
            <w:vAlign w:val="center"/>
          </w:tcPr>
          <w:p>
            <w:pPr>
              <w:adjustRightInd w:val="0"/>
              <w:snapToGrid w:val="0"/>
              <w:spacing w:line="360" w:lineRule="auto"/>
              <w:jc w:val="left"/>
              <w:rPr>
                <w:rFonts w:ascii="宋体" w:hAnsi="宋体"/>
                <w:b/>
                <w:szCs w:val="21"/>
              </w:rPr>
            </w:pPr>
          </w:p>
        </w:tc>
        <w:tc>
          <w:tcPr>
            <w:tcW w:w="1972" w:type="dxa"/>
            <w:vAlign w:val="center"/>
          </w:tcPr>
          <w:p>
            <w:pPr>
              <w:adjustRightInd w:val="0"/>
              <w:snapToGrid w:val="0"/>
              <w:spacing w:line="360" w:lineRule="auto"/>
              <w:jc w:val="center"/>
              <w:rPr>
                <w:rFonts w:ascii="宋体" w:hAnsi="宋体"/>
                <w:b/>
                <w:szCs w:val="21"/>
              </w:rPr>
            </w:pPr>
            <w:r>
              <w:rPr>
                <w:rFonts w:hint="eastAsia" w:ascii="宋体" w:hAnsi="宋体"/>
                <w:b/>
                <w:szCs w:val="21"/>
              </w:rPr>
              <w:t>/</w:t>
            </w:r>
          </w:p>
        </w:tc>
        <w:tc>
          <w:tcPr>
            <w:tcW w:w="1835" w:type="dxa"/>
          </w:tcPr>
          <w:p>
            <w:pPr>
              <w:adjustRightInd w:val="0"/>
              <w:snapToGrid w:val="0"/>
              <w:spacing w:line="360" w:lineRule="auto"/>
              <w:jc w:val="center"/>
              <w:rPr>
                <w:rFonts w:ascii="宋体" w:hAnsi="宋体"/>
                <w:b/>
                <w:szCs w:val="21"/>
              </w:rPr>
            </w:pPr>
            <w:r>
              <w:rPr>
                <w:rFonts w:hint="eastAsia" w:ascii="宋体" w:hAnsi="宋体"/>
                <w:b/>
                <w:szCs w:val="21"/>
              </w:rPr>
              <w:t>/</w:t>
            </w:r>
          </w:p>
        </w:tc>
      </w:tr>
    </w:tbl>
    <w:p>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本表用于计算政府采购优先采购产品（节能产品或环境标志产品或两型产品）的政府采购政策加分或者价格扣除。</w:t>
      </w:r>
    </w:p>
    <w:p>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3.栏目6“政策功能编码”是指货物的中国环境标志认证证书编号、中国节能标志认证证书号、湖南两型产品编号（货物同时属于节能产品、环境标志产品、两型产品的，只须填写一种）。</w:t>
      </w:r>
    </w:p>
    <w:p>
      <w:pPr>
        <w:adjustRightInd w:val="0"/>
        <w:snapToGrid w:val="0"/>
        <w:spacing w:line="360" w:lineRule="auto"/>
        <w:ind w:firstLine="630" w:firstLineChars="300"/>
        <w:rPr>
          <w:rFonts w:ascii="宋体" w:hAnsi="宋体"/>
          <w:bCs/>
          <w:szCs w:val="21"/>
        </w:rPr>
      </w:pPr>
      <w:r>
        <w:rPr>
          <w:rFonts w:hint="eastAsia" w:ascii="宋体" w:hAnsi="宋体"/>
          <w:bCs/>
          <w:szCs w:val="21"/>
        </w:rPr>
        <w:t>4.投标人在投标截止时间前修改“开标一览表”中的投标报价的，应按第二章第13.7款规定修改本表相应内容。否则，评审时涉及本表所有优惠不予以考虑。</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pPr>
        <w:adjustRightInd w:val="0"/>
        <w:snapToGrid w:val="0"/>
        <w:spacing w:line="360" w:lineRule="auto"/>
      </w:pPr>
      <w:r>
        <w:rPr>
          <w:rFonts w:hint="eastAsia" w:ascii="宋体" w:hAnsi="宋体" w:cs="微软雅黑"/>
          <w:spacing w:val="-2"/>
          <w:kern w:val="0"/>
          <w:szCs w:val="21"/>
        </w:rPr>
        <w:t>日期：        年    月   日</w:t>
      </w:r>
    </w:p>
    <w:p>
      <w:pPr>
        <w:pStyle w:val="6"/>
        <w:spacing w:before="156" w:beforeLines="50" w:line="240" w:lineRule="auto"/>
        <w:jc w:val="left"/>
      </w:pPr>
      <w:r>
        <w:rPr>
          <w:rFonts w:ascii="黑体" w:hAnsi="宋体"/>
          <w:b w:val="0"/>
        </w:rPr>
        <w:br w:type="page"/>
      </w:r>
    </w:p>
    <w:p>
      <w:pPr>
        <w:pStyle w:val="4"/>
        <w:jc w:val="center"/>
        <w:rPr>
          <w:rFonts w:ascii="黑体" w:hAnsi="宋体" w:eastAsia="黑体"/>
          <w:sz w:val="28"/>
          <w:szCs w:val="28"/>
        </w:rPr>
      </w:pPr>
      <w:bookmarkStart w:id="1353" w:name="_Toc77199481"/>
      <w:bookmarkStart w:id="1354" w:name="_Toc75289307"/>
      <w:bookmarkStart w:id="1355" w:name="_Toc75289627"/>
      <w:bookmarkStart w:id="1356" w:name="_Toc7165"/>
      <w:bookmarkStart w:id="1357" w:name="_Toc100670502"/>
      <w:bookmarkStart w:id="1358" w:name="_Toc11865"/>
      <w:bookmarkStart w:id="1359" w:name="_Toc85973008"/>
      <w:bookmarkStart w:id="1360" w:name="_Toc108342017"/>
      <w:bookmarkStart w:id="1361" w:name="_Toc94367958"/>
      <w:bookmarkStart w:id="1362" w:name="_Toc29124"/>
      <w:bookmarkStart w:id="1363" w:name="_Toc15888556"/>
      <w:bookmarkStart w:id="1364" w:name="_Toc100670750"/>
      <w:bookmarkStart w:id="1365" w:name="_Toc95601443"/>
      <w:bookmarkStart w:id="1366" w:name="_Toc78314342"/>
      <w:bookmarkStart w:id="1367" w:name="_Toc24468"/>
      <w:bookmarkStart w:id="1368" w:name="_Toc77676546"/>
      <w:bookmarkStart w:id="1369" w:name="_Toc78450035"/>
      <w:bookmarkStart w:id="1370" w:name="_Toc112594330"/>
      <w:bookmarkStart w:id="1371" w:name="_Toc23486"/>
      <w:r>
        <w:rPr>
          <w:rFonts w:hint="eastAsia" w:ascii="黑体" w:hAnsi="宋体" w:eastAsia="黑体"/>
          <w:sz w:val="28"/>
          <w:szCs w:val="28"/>
        </w:rPr>
        <w:t>十一、投标货物符合招标文件规定的证明文件</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adjustRightInd w:val="0"/>
        <w:snapToGrid w:val="0"/>
        <w:spacing w:line="360" w:lineRule="auto"/>
        <w:rPr>
          <w:rFonts w:ascii="宋体" w:hAnsi="宋体"/>
          <w:szCs w:val="21"/>
        </w:rPr>
      </w:pPr>
    </w:p>
    <w:p>
      <w:pPr>
        <w:adjustRightInd w:val="0"/>
        <w:snapToGrid w:val="0"/>
        <w:spacing w:line="360" w:lineRule="auto"/>
        <w:rPr>
          <w:rFonts w:ascii="宋体" w:hAnsi="宋体"/>
        </w:rPr>
      </w:pPr>
      <w:r>
        <w:rPr>
          <w:rFonts w:hint="eastAsia" w:ascii="宋体" w:hAnsi="宋体"/>
          <w:szCs w:val="21"/>
        </w:rPr>
        <w:t>备注：提供第五章规定的证明材料复印件。</w:t>
      </w:r>
    </w:p>
    <w:p>
      <w:pPr>
        <w:widowControl/>
        <w:jc w:val="left"/>
        <w:rPr>
          <w:rFonts w:ascii="黑体" w:eastAsia="黑体"/>
          <w:szCs w:val="21"/>
        </w:rPr>
      </w:pPr>
      <w:r>
        <w:rPr>
          <w:rFonts w:ascii="黑体" w:eastAsia="黑体"/>
          <w:b/>
          <w:bCs/>
          <w:sz w:val="28"/>
          <w:szCs w:val="28"/>
        </w:rPr>
        <w:br w:type="page"/>
      </w:r>
    </w:p>
    <w:p>
      <w:pPr>
        <w:pStyle w:val="4"/>
        <w:jc w:val="center"/>
        <w:rPr>
          <w:rFonts w:ascii="黑体" w:hAnsi="宋体" w:eastAsia="黑体"/>
          <w:sz w:val="28"/>
          <w:szCs w:val="28"/>
        </w:rPr>
      </w:pPr>
      <w:bookmarkStart w:id="1372" w:name="_Toc13960"/>
      <w:bookmarkStart w:id="1373" w:name="_Toc5012"/>
      <w:bookmarkStart w:id="1374" w:name="_Toc23918"/>
      <w:bookmarkStart w:id="1375" w:name="_Toc8642"/>
      <w:bookmarkStart w:id="1376" w:name="_Toc75289308"/>
      <w:bookmarkStart w:id="1377" w:name="_Toc77676547"/>
      <w:bookmarkStart w:id="1378" w:name="_Toc94367959"/>
      <w:bookmarkStart w:id="1379" w:name="_Toc15888557"/>
      <w:bookmarkStart w:id="1380" w:name="_Toc95601444"/>
      <w:bookmarkStart w:id="1381" w:name="_Toc100670503"/>
      <w:bookmarkStart w:id="1382" w:name="_Toc78450036"/>
      <w:bookmarkStart w:id="1383" w:name="_Toc100670751"/>
      <w:bookmarkStart w:id="1384" w:name="_Toc108342018"/>
      <w:bookmarkStart w:id="1385" w:name="_Toc78314343"/>
      <w:bookmarkStart w:id="1386" w:name="_Toc6317"/>
      <w:bookmarkStart w:id="1387" w:name="_Toc112594331"/>
      <w:bookmarkStart w:id="1388" w:name="_Toc85973009"/>
      <w:bookmarkStart w:id="1389" w:name="_Toc77199482"/>
      <w:bookmarkStart w:id="1390" w:name="_Toc75289628"/>
      <w:r>
        <w:rPr>
          <w:rFonts w:hint="eastAsia" w:ascii="黑体" w:hAnsi="宋体" w:eastAsia="黑体"/>
          <w:sz w:val="28"/>
          <w:szCs w:val="28"/>
        </w:rPr>
        <w:t>十二、投标人认为需提供的其他资料</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adjustRightInd w:val="0"/>
        <w:snapToGrid w:val="0"/>
        <w:spacing w:before="156" w:beforeLines="50" w:line="360" w:lineRule="auto"/>
        <w:rPr>
          <w:rFonts w:ascii="宋体" w:hAnsi="宋体"/>
        </w:rPr>
      </w:pPr>
    </w:p>
    <w:p>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pPr>
        <w:adjustRightInd w:val="0"/>
        <w:snapToGrid w:val="0"/>
        <w:spacing w:before="156" w:beforeLines="50" w:line="360" w:lineRule="auto"/>
        <w:ind w:firstLine="420" w:firstLineChars="200"/>
        <w:rPr>
          <w:rFonts w:ascii="宋体" w:hAnsi="宋体"/>
        </w:rPr>
      </w:pPr>
      <w:r>
        <w:rPr>
          <w:rFonts w:hint="eastAsia" w:ascii="宋体" w:hAnsi="宋体"/>
        </w:rPr>
        <w:t>1.招标文件第四章评标方法及标准要求的其他相关资料；</w:t>
      </w:r>
    </w:p>
    <w:p>
      <w:pPr>
        <w:adjustRightInd w:val="0"/>
        <w:snapToGrid w:val="0"/>
        <w:spacing w:before="156" w:beforeLines="50" w:line="360" w:lineRule="auto"/>
        <w:ind w:firstLine="420" w:firstLineChars="200"/>
        <w:rPr>
          <w:rFonts w:ascii="宋体" w:hAnsi="宋体"/>
        </w:rPr>
      </w:pPr>
      <w:r>
        <w:rPr>
          <w:rFonts w:hint="eastAsia" w:ascii="宋体" w:hAnsi="宋体"/>
        </w:rPr>
        <w:t>2.招标文件第五章采购需求要求的其他资料。</w:t>
      </w:r>
    </w:p>
    <w:p>
      <w:pPr>
        <w:adjustRightInd w:val="0"/>
        <w:snapToGrid w:val="0"/>
        <w:spacing w:before="156" w:beforeLines="50" w:line="360" w:lineRule="auto"/>
        <w:rPr>
          <w:rFonts w:ascii="宋体" w:hAnsi="宋体"/>
        </w:rPr>
      </w:pPr>
    </w:p>
    <w:p/>
    <w:p>
      <w:pPr>
        <w:widowControl/>
        <w:jc w:val="left"/>
        <w:rPr>
          <w:rFonts w:ascii="宋体" w:hAnsi="宋体"/>
          <w:szCs w:val="21"/>
        </w:rPr>
      </w:pPr>
    </w:p>
    <w:sectPr>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Malgun Gothic">
    <w:panose1 w:val="020B0503020000020004"/>
    <w:charset w:val="81"/>
    <w:family w:val="swiss"/>
    <w:pitch w:val="default"/>
    <w:sig w:usb0="9000002F" w:usb1="29D77CFB" w:usb2="00000012" w:usb3="00000000" w:csb0="00080001"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roman"/>
    <w:pitch w:val="default"/>
    <w:sig w:usb0="00000000" w:usb1="00000000" w:usb2="00000000" w:usb3="00000000" w:csb0="00000001" w:csb1="00000000"/>
  </w:font>
  <w:font w:name="长城仿宋">
    <w:altName w:val="仿宋"/>
    <w:panose1 w:val="00000000000000000000"/>
    <w:charset w:val="86"/>
    <w:family w:val="modern"/>
    <w:pitch w:val="default"/>
    <w:sig w:usb0="00000000" w:usb1="00000000" w:usb2="00000010" w:usb3="00000000" w:csb0="00040000" w:csb1="00000000"/>
  </w:font>
  <w:font w:name="全真中明體">
    <w:altName w:val="Microsoft JhengHei"/>
    <w:panose1 w:val="00000000000000000000"/>
    <w:charset w:val="88"/>
    <w:family w:val="auto"/>
    <w:pitch w:val="default"/>
    <w:sig w:usb0="00000000" w:usb1="00000000" w:usb2="00000010" w:usb3="00000000" w:csb0="001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T2lJSbIB&#10;AABOAwAADgAAAAAAAAABACAAAAAeAQAAZHJzL2Uyb0RvYy54bWxQSwUGAAAAAAYABgBZAQAAQgUA&#10;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oaYJL0wAAAAUBAAAPAAAAAAAAAAEAIAAAACIAAABkcnMvZG93bnJldi54bWxQSwECFAAUAAAA&#10;CACHTuJAiwBBoroBAABYAwAADgAAAAAAAAABACAAAAAiAQAAZHJzL2Uyb0RvYy54bWxQSwUGAAAA&#10;AAYABgBZAQAATgUAAAAA&#10;">
              <v:fill on="f" focussize="0,0"/>
              <v:stroke on="f" weight="1.25pt"/>
              <v:imagedata o:title=""/>
              <o:lock v:ext="edit" aspectratio="f"/>
              <v:textbox inset="0mm,0mm,0mm,0mm" style="mso-fit-shape-to-text:t;">
                <w:txbxContent>
                  <w:p/>
                </w:txbxContent>
              </v:textbox>
            </v:shape>
          </w:pict>
        </mc:Fallback>
      </mc:AlternateContent>
    </w:r>
  </w:p>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900"/>
      <w:rPr>
        <w:rFonts w:eastAsia="楷体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S8zN/sQEA&#10;AE4DAAAOAAAAAAAAAAEAIAAAAB4BAABkcnMvZTJvRG9jLnhtbFBLBQYAAAAABgAGAFkBAABBBQAA&#10;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0"/>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oaYJL0wAAAAUBAAAPAAAAAAAAAAEAIAAAACIAAABkcnMvZG93bnJldi54bWxQSwECFAAUAAAA&#10;CACHTuJAzPuWiboBAABYAwAADgAAAAAAAAABACAAAAAiAQAAZHJzL2Uyb0RvYy54bWxQSwUGAAAA&#10;AAYABgBZAQAATgUAAAAA&#10;">
              <v:fill on="f" focussize="0,0"/>
              <v:stroke on="f" weight="1.25pt"/>
              <v:imagedata o:title=""/>
              <o:lock v:ext="edit" aspectratio="f"/>
              <v:textbox inset="0mm,0mm,0mm,0mm" style="mso-fit-shape-to-text:t;">
                <w:txbxContent>
                  <w:p>
                    <w:pPr>
                      <w:pStyle w:val="3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96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37185" cy="175895"/>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337185" cy="175895"/>
                      </a:xfrm>
                      <a:prstGeom prst="rect">
                        <a:avLst/>
                      </a:prstGeom>
                      <a:noFill/>
                      <a:ln w="15875">
                        <a:noFill/>
                      </a:ln>
                    </wps:spPr>
                    <wps:txbx>
                      <w:txbxContent>
                        <w:p>
                          <w:pPr>
                            <w:pStyle w:val="30"/>
                          </w:pPr>
                          <w:r>
                            <w:fldChar w:fldCharType="begin"/>
                          </w:r>
                          <w:r>
                            <w:instrText xml:space="preserve"> PAGE  \* MERGEFORMAT </w:instrText>
                          </w:r>
                          <w:r>
                            <w:fldChar w:fldCharType="separate"/>
                          </w:r>
                          <w:r>
                            <w:t>80</w:t>
                          </w:r>
                          <w:r>
                            <w:fldChar w:fldCharType="end"/>
                          </w:r>
                        </w:p>
                      </w:txbxContent>
                    </wps:txbx>
                    <wps:bodyPr lIns="0" tIns="0" rIns="0" bIns="0" upright="1"/>
                  </wps:wsp>
                </a:graphicData>
              </a:graphic>
            </wp:anchor>
          </w:drawing>
        </mc:Choice>
        <mc:Fallback>
          <w:pict>
            <v:shape id="文本框 1031" o:spid="_x0000_s1026" o:spt="202" type="#_x0000_t202" style="position:absolute;left:0pt;margin-top:0pt;height:13.85pt;width:26.55pt;mso-position-horizontal:center;mso-position-horizontal-relative:margin;z-index:251661312;mso-width-relative:page;mso-height-relative:page;" filled="f" stroked="f" coordsize="21600,21600" o:gfxdata="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zMpoO1AAAAAMBAAAP&#10;AAAAAAAAAAEAIAAAACIAAABkcnMvZG93bnJldi54bWxQSwECFAAUAAAACACHTuJAkEtUFKoBAAAw&#10;AwAADgAAAAAAAAABACAAAAAjAQAAZHJzL2Uyb0RvYy54bWxQSwUGAAAAAAYABgBZAQAAPwUAAAAA&#10;">
              <v:fill on="f" focussize="0,0"/>
              <v:stroke on="f" weight="1.25pt"/>
              <v:imagedata o:title=""/>
              <o:lock v:ext="edit" aspectratio="f"/>
              <v:textbox inset="0mm,0mm,0mm,0mm">
                <w:txbxContent>
                  <w:p>
                    <w:pPr>
                      <w:pStyle w:val="3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46DC2E"/>
    <w:multiLevelType w:val="singleLevel"/>
    <w:tmpl w:val="A046DC2E"/>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204BA8C1"/>
    <w:multiLevelType w:val="singleLevel"/>
    <w:tmpl w:val="204BA8C1"/>
    <w:lvl w:ilvl="0" w:tentative="0">
      <w:start w:val="3"/>
      <w:numFmt w:val="decimal"/>
      <w:suff w:val="nothing"/>
      <w:lvlText w:val="%1、"/>
      <w:lvlJc w:val="left"/>
    </w:lvl>
  </w:abstractNum>
  <w:abstractNum w:abstractNumId="3">
    <w:nsid w:val="6296BBBA"/>
    <w:multiLevelType w:val="singleLevel"/>
    <w:tmpl w:val="6296BBBA"/>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0MDQwZGY1NTNlYjhhNGMyYWVmYWMxOTEyNjI0NTEifQ=="/>
  </w:docVars>
  <w:rsids>
    <w:rsidRoot w:val="00B84A4B"/>
    <w:rsid w:val="0000000C"/>
    <w:rsid w:val="00003F39"/>
    <w:rsid w:val="000055A7"/>
    <w:rsid w:val="000101D0"/>
    <w:rsid w:val="000168D1"/>
    <w:rsid w:val="00021227"/>
    <w:rsid w:val="00025234"/>
    <w:rsid w:val="00034116"/>
    <w:rsid w:val="000341C8"/>
    <w:rsid w:val="00035711"/>
    <w:rsid w:val="00037D8C"/>
    <w:rsid w:val="00040811"/>
    <w:rsid w:val="00050EEC"/>
    <w:rsid w:val="00051DDB"/>
    <w:rsid w:val="00052B23"/>
    <w:rsid w:val="00057222"/>
    <w:rsid w:val="00060DD9"/>
    <w:rsid w:val="00061DC6"/>
    <w:rsid w:val="00064C52"/>
    <w:rsid w:val="00066565"/>
    <w:rsid w:val="00070A36"/>
    <w:rsid w:val="000731BE"/>
    <w:rsid w:val="000736E2"/>
    <w:rsid w:val="00076DFF"/>
    <w:rsid w:val="000842B8"/>
    <w:rsid w:val="00085B1B"/>
    <w:rsid w:val="000872D2"/>
    <w:rsid w:val="00087601"/>
    <w:rsid w:val="000903D1"/>
    <w:rsid w:val="000928FD"/>
    <w:rsid w:val="00094B65"/>
    <w:rsid w:val="00095667"/>
    <w:rsid w:val="00096117"/>
    <w:rsid w:val="00096EAD"/>
    <w:rsid w:val="00097089"/>
    <w:rsid w:val="000A01EA"/>
    <w:rsid w:val="000A071C"/>
    <w:rsid w:val="000B29BD"/>
    <w:rsid w:val="000B39A1"/>
    <w:rsid w:val="000B484B"/>
    <w:rsid w:val="000C2D53"/>
    <w:rsid w:val="000C709E"/>
    <w:rsid w:val="000D38A7"/>
    <w:rsid w:val="000D4459"/>
    <w:rsid w:val="000D49E9"/>
    <w:rsid w:val="000D6C22"/>
    <w:rsid w:val="000E0FEF"/>
    <w:rsid w:val="000E328F"/>
    <w:rsid w:val="000F3140"/>
    <w:rsid w:val="000F469A"/>
    <w:rsid w:val="00107187"/>
    <w:rsid w:val="00115978"/>
    <w:rsid w:val="00122417"/>
    <w:rsid w:val="001231BA"/>
    <w:rsid w:val="00123EEF"/>
    <w:rsid w:val="00125070"/>
    <w:rsid w:val="00125EF3"/>
    <w:rsid w:val="0014090C"/>
    <w:rsid w:val="00144667"/>
    <w:rsid w:val="001544DE"/>
    <w:rsid w:val="0015519B"/>
    <w:rsid w:val="00155A3D"/>
    <w:rsid w:val="00161561"/>
    <w:rsid w:val="0016283A"/>
    <w:rsid w:val="00164C5A"/>
    <w:rsid w:val="00170ECC"/>
    <w:rsid w:val="00171AE6"/>
    <w:rsid w:val="001753B5"/>
    <w:rsid w:val="001756BC"/>
    <w:rsid w:val="00187838"/>
    <w:rsid w:val="0019624A"/>
    <w:rsid w:val="001A1F40"/>
    <w:rsid w:val="001A46F9"/>
    <w:rsid w:val="001A5707"/>
    <w:rsid w:val="001A65FE"/>
    <w:rsid w:val="001B0D45"/>
    <w:rsid w:val="001B37F9"/>
    <w:rsid w:val="001B7960"/>
    <w:rsid w:val="001C1977"/>
    <w:rsid w:val="001C4B73"/>
    <w:rsid w:val="001C6FF6"/>
    <w:rsid w:val="001D0B14"/>
    <w:rsid w:val="001D2332"/>
    <w:rsid w:val="001D2904"/>
    <w:rsid w:val="001D6064"/>
    <w:rsid w:val="001E04BA"/>
    <w:rsid w:val="001E1631"/>
    <w:rsid w:val="001E1CCD"/>
    <w:rsid w:val="001E6075"/>
    <w:rsid w:val="001E68DA"/>
    <w:rsid w:val="001E72CB"/>
    <w:rsid w:val="001F095A"/>
    <w:rsid w:val="001F296B"/>
    <w:rsid w:val="00203518"/>
    <w:rsid w:val="00206BDA"/>
    <w:rsid w:val="00212E28"/>
    <w:rsid w:val="00214444"/>
    <w:rsid w:val="0022080D"/>
    <w:rsid w:val="00221992"/>
    <w:rsid w:val="00222E97"/>
    <w:rsid w:val="00224928"/>
    <w:rsid w:val="0023433B"/>
    <w:rsid w:val="00234B80"/>
    <w:rsid w:val="00235AA7"/>
    <w:rsid w:val="00242889"/>
    <w:rsid w:val="002514A5"/>
    <w:rsid w:val="00254103"/>
    <w:rsid w:val="0025600F"/>
    <w:rsid w:val="002560BB"/>
    <w:rsid w:val="002609C3"/>
    <w:rsid w:val="00261C03"/>
    <w:rsid w:val="002621C3"/>
    <w:rsid w:val="002640C4"/>
    <w:rsid w:val="00264AF4"/>
    <w:rsid w:val="00270F8F"/>
    <w:rsid w:val="00272B0D"/>
    <w:rsid w:val="00280BF8"/>
    <w:rsid w:val="00282D23"/>
    <w:rsid w:val="0029674C"/>
    <w:rsid w:val="00297589"/>
    <w:rsid w:val="002B2372"/>
    <w:rsid w:val="002B2916"/>
    <w:rsid w:val="002B2981"/>
    <w:rsid w:val="002B3635"/>
    <w:rsid w:val="002B5F26"/>
    <w:rsid w:val="002B69AE"/>
    <w:rsid w:val="002C04DF"/>
    <w:rsid w:val="002C2E26"/>
    <w:rsid w:val="002C4120"/>
    <w:rsid w:val="002C4CB2"/>
    <w:rsid w:val="002C68F3"/>
    <w:rsid w:val="002D02D8"/>
    <w:rsid w:val="002D4999"/>
    <w:rsid w:val="002D54EF"/>
    <w:rsid w:val="002D57BA"/>
    <w:rsid w:val="002D68B1"/>
    <w:rsid w:val="002E0363"/>
    <w:rsid w:val="002E1829"/>
    <w:rsid w:val="002E33A0"/>
    <w:rsid w:val="002E5927"/>
    <w:rsid w:val="002E6A68"/>
    <w:rsid w:val="002F07F2"/>
    <w:rsid w:val="002F1320"/>
    <w:rsid w:val="002F2295"/>
    <w:rsid w:val="002F4930"/>
    <w:rsid w:val="002F51C2"/>
    <w:rsid w:val="002F5C99"/>
    <w:rsid w:val="00303064"/>
    <w:rsid w:val="00304D98"/>
    <w:rsid w:val="003105FC"/>
    <w:rsid w:val="00312EE6"/>
    <w:rsid w:val="00321AA9"/>
    <w:rsid w:val="00322CBF"/>
    <w:rsid w:val="00331647"/>
    <w:rsid w:val="00332610"/>
    <w:rsid w:val="003334ED"/>
    <w:rsid w:val="00335023"/>
    <w:rsid w:val="00335773"/>
    <w:rsid w:val="00336804"/>
    <w:rsid w:val="00337745"/>
    <w:rsid w:val="00337BD7"/>
    <w:rsid w:val="00341094"/>
    <w:rsid w:val="0035138A"/>
    <w:rsid w:val="00351820"/>
    <w:rsid w:val="003551D0"/>
    <w:rsid w:val="0035568C"/>
    <w:rsid w:val="00356C2A"/>
    <w:rsid w:val="00362C04"/>
    <w:rsid w:val="00364662"/>
    <w:rsid w:val="00370E9E"/>
    <w:rsid w:val="00371D3A"/>
    <w:rsid w:val="00375C68"/>
    <w:rsid w:val="003809BB"/>
    <w:rsid w:val="00380F84"/>
    <w:rsid w:val="00383722"/>
    <w:rsid w:val="00387DA5"/>
    <w:rsid w:val="003912BA"/>
    <w:rsid w:val="00396797"/>
    <w:rsid w:val="00396840"/>
    <w:rsid w:val="003A3CE2"/>
    <w:rsid w:val="003B0AED"/>
    <w:rsid w:val="003B2981"/>
    <w:rsid w:val="003B35FF"/>
    <w:rsid w:val="003B7BAF"/>
    <w:rsid w:val="003C40C2"/>
    <w:rsid w:val="003C6106"/>
    <w:rsid w:val="003C6E53"/>
    <w:rsid w:val="003C7C40"/>
    <w:rsid w:val="003D1620"/>
    <w:rsid w:val="003D6D07"/>
    <w:rsid w:val="003D6E10"/>
    <w:rsid w:val="003E2B97"/>
    <w:rsid w:val="003E3912"/>
    <w:rsid w:val="003E716B"/>
    <w:rsid w:val="003E7B0A"/>
    <w:rsid w:val="003E7DFD"/>
    <w:rsid w:val="003F03B6"/>
    <w:rsid w:val="004005A1"/>
    <w:rsid w:val="004037CA"/>
    <w:rsid w:val="004065A8"/>
    <w:rsid w:val="00407332"/>
    <w:rsid w:val="004073EC"/>
    <w:rsid w:val="00414B1D"/>
    <w:rsid w:val="00420A99"/>
    <w:rsid w:val="00425C72"/>
    <w:rsid w:val="00426035"/>
    <w:rsid w:val="00427E06"/>
    <w:rsid w:val="004305AD"/>
    <w:rsid w:val="00431DB8"/>
    <w:rsid w:val="00434B34"/>
    <w:rsid w:val="00437E96"/>
    <w:rsid w:val="00441FA2"/>
    <w:rsid w:val="00444E1E"/>
    <w:rsid w:val="00447D08"/>
    <w:rsid w:val="00450910"/>
    <w:rsid w:val="00454851"/>
    <w:rsid w:val="00455B07"/>
    <w:rsid w:val="00456D8B"/>
    <w:rsid w:val="0045746B"/>
    <w:rsid w:val="00463287"/>
    <w:rsid w:val="00463690"/>
    <w:rsid w:val="00464FB8"/>
    <w:rsid w:val="004700BB"/>
    <w:rsid w:val="0047263B"/>
    <w:rsid w:val="00477D63"/>
    <w:rsid w:val="00481C86"/>
    <w:rsid w:val="00485F05"/>
    <w:rsid w:val="004915A0"/>
    <w:rsid w:val="00491BDE"/>
    <w:rsid w:val="00495963"/>
    <w:rsid w:val="004A3C9F"/>
    <w:rsid w:val="004A5264"/>
    <w:rsid w:val="004A5295"/>
    <w:rsid w:val="004A7BB6"/>
    <w:rsid w:val="004B1729"/>
    <w:rsid w:val="004B1E6A"/>
    <w:rsid w:val="004B39EB"/>
    <w:rsid w:val="004B4459"/>
    <w:rsid w:val="004C1014"/>
    <w:rsid w:val="004C61EF"/>
    <w:rsid w:val="004C6DD6"/>
    <w:rsid w:val="004C6FAE"/>
    <w:rsid w:val="004C73E0"/>
    <w:rsid w:val="004C77DE"/>
    <w:rsid w:val="004D2938"/>
    <w:rsid w:val="004D3E12"/>
    <w:rsid w:val="004D5B53"/>
    <w:rsid w:val="004D6DF8"/>
    <w:rsid w:val="004E3AAC"/>
    <w:rsid w:val="004E583F"/>
    <w:rsid w:val="004E6BBE"/>
    <w:rsid w:val="004F4DD8"/>
    <w:rsid w:val="004F6527"/>
    <w:rsid w:val="00501457"/>
    <w:rsid w:val="0050153F"/>
    <w:rsid w:val="005020E2"/>
    <w:rsid w:val="00503064"/>
    <w:rsid w:val="00503114"/>
    <w:rsid w:val="00503A4E"/>
    <w:rsid w:val="00505528"/>
    <w:rsid w:val="0050570F"/>
    <w:rsid w:val="005062A7"/>
    <w:rsid w:val="00506394"/>
    <w:rsid w:val="00506D59"/>
    <w:rsid w:val="0051520B"/>
    <w:rsid w:val="00515B3C"/>
    <w:rsid w:val="00517EE3"/>
    <w:rsid w:val="005324F4"/>
    <w:rsid w:val="00533BE4"/>
    <w:rsid w:val="00534570"/>
    <w:rsid w:val="00537D1A"/>
    <w:rsid w:val="005405F9"/>
    <w:rsid w:val="0054499F"/>
    <w:rsid w:val="00551DEA"/>
    <w:rsid w:val="00552B00"/>
    <w:rsid w:val="0055381C"/>
    <w:rsid w:val="005557AC"/>
    <w:rsid w:val="00556020"/>
    <w:rsid w:val="005637F9"/>
    <w:rsid w:val="00565714"/>
    <w:rsid w:val="00570418"/>
    <w:rsid w:val="00572E23"/>
    <w:rsid w:val="00577E0E"/>
    <w:rsid w:val="00580D0A"/>
    <w:rsid w:val="0058237A"/>
    <w:rsid w:val="00584752"/>
    <w:rsid w:val="00584DB0"/>
    <w:rsid w:val="005904C1"/>
    <w:rsid w:val="00590BA0"/>
    <w:rsid w:val="0059475A"/>
    <w:rsid w:val="005A4373"/>
    <w:rsid w:val="005A5EEA"/>
    <w:rsid w:val="005A638B"/>
    <w:rsid w:val="005B48A5"/>
    <w:rsid w:val="005C1B93"/>
    <w:rsid w:val="005C615D"/>
    <w:rsid w:val="005D3597"/>
    <w:rsid w:val="005D6125"/>
    <w:rsid w:val="005D6D3F"/>
    <w:rsid w:val="005E0D35"/>
    <w:rsid w:val="005E3E7E"/>
    <w:rsid w:val="005E718D"/>
    <w:rsid w:val="005F30CF"/>
    <w:rsid w:val="005F3E3E"/>
    <w:rsid w:val="005F5641"/>
    <w:rsid w:val="00601CBA"/>
    <w:rsid w:val="00611294"/>
    <w:rsid w:val="006118F9"/>
    <w:rsid w:val="006160E6"/>
    <w:rsid w:val="006178FC"/>
    <w:rsid w:val="00622D2B"/>
    <w:rsid w:val="00633EED"/>
    <w:rsid w:val="00641274"/>
    <w:rsid w:val="00645271"/>
    <w:rsid w:val="00645C0A"/>
    <w:rsid w:val="00652E9C"/>
    <w:rsid w:val="00654413"/>
    <w:rsid w:val="006613F3"/>
    <w:rsid w:val="00661A8F"/>
    <w:rsid w:val="0066349B"/>
    <w:rsid w:val="00663760"/>
    <w:rsid w:val="00664BC9"/>
    <w:rsid w:val="00666E3A"/>
    <w:rsid w:val="00671DF7"/>
    <w:rsid w:val="00681169"/>
    <w:rsid w:val="00682392"/>
    <w:rsid w:val="0068361E"/>
    <w:rsid w:val="00684C44"/>
    <w:rsid w:val="00684F46"/>
    <w:rsid w:val="00685292"/>
    <w:rsid w:val="006875D3"/>
    <w:rsid w:val="00691EC2"/>
    <w:rsid w:val="006A0A3E"/>
    <w:rsid w:val="006A3547"/>
    <w:rsid w:val="006A748C"/>
    <w:rsid w:val="006B1DBD"/>
    <w:rsid w:val="006B2254"/>
    <w:rsid w:val="006B2691"/>
    <w:rsid w:val="006B3E32"/>
    <w:rsid w:val="006B4872"/>
    <w:rsid w:val="006B4C01"/>
    <w:rsid w:val="006C21C2"/>
    <w:rsid w:val="006C2BD9"/>
    <w:rsid w:val="006C4946"/>
    <w:rsid w:val="006D2862"/>
    <w:rsid w:val="006D2F2D"/>
    <w:rsid w:val="006D3A8F"/>
    <w:rsid w:val="006E3091"/>
    <w:rsid w:val="006E76F6"/>
    <w:rsid w:val="006F2707"/>
    <w:rsid w:val="006F2FA3"/>
    <w:rsid w:val="006F7E45"/>
    <w:rsid w:val="007004EE"/>
    <w:rsid w:val="00700A41"/>
    <w:rsid w:val="0070101C"/>
    <w:rsid w:val="00713796"/>
    <w:rsid w:val="007148B4"/>
    <w:rsid w:val="00720AF7"/>
    <w:rsid w:val="00721A59"/>
    <w:rsid w:val="007250BE"/>
    <w:rsid w:val="00731EBE"/>
    <w:rsid w:val="00736ADE"/>
    <w:rsid w:val="0074231A"/>
    <w:rsid w:val="00743683"/>
    <w:rsid w:val="00744281"/>
    <w:rsid w:val="00746075"/>
    <w:rsid w:val="00750624"/>
    <w:rsid w:val="0075641A"/>
    <w:rsid w:val="007606CB"/>
    <w:rsid w:val="00760C9B"/>
    <w:rsid w:val="00761B52"/>
    <w:rsid w:val="00762981"/>
    <w:rsid w:val="00763145"/>
    <w:rsid w:val="0076328B"/>
    <w:rsid w:val="007635C9"/>
    <w:rsid w:val="007640DA"/>
    <w:rsid w:val="00766147"/>
    <w:rsid w:val="00767B42"/>
    <w:rsid w:val="00767CFD"/>
    <w:rsid w:val="00770B94"/>
    <w:rsid w:val="007719B0"/>
    <w:rsid w:val="00774329"/>
    <w:rsid w:val="00775CA1"/>
    <w:rsid w:val="00780E5A"/>
    <w:rsid w:val="00781A22"/>
    <w:rsid w:val="007864B4"/>
    <w:rsid w:val="007879A0"/>
    <w:rsid w:val="00791E27"/>
    <w:rsid w:val="00792C79"/>
    <w:rsid w:val="00794504"/>
    <w:rsid w:val="00797426"/>
    <w:rsid w:val="007A12EC"/>
    <w:rsid w:val="007A1EF5"/>
    <w:rsid w:val="007A20BF"/>
    <w:rsid w:val="007A3F7D"/>
    <w:rsid w:val="007A557B"/>
    <w:rsid w:val="007A6A07"/>
    <w:rsid w:val="007B1A4F"/>
    <w:rsid w:val="007B26B4"/>
    <w:rsid w:val="007B66F4"/>
    <w:rsid w:val="007C2E06"/>
    <w:rsid w:val="007C321C"/>
    <w:rsid w:val="007C6A5B"/>
    <w:rsid w:val="007C6E5E"/>
    <w:rsid w:val="007C7051"/>
    <w:rsid w:val="007D092C"/>
    <w:rsid w:val="007D13D3"/>
    <w:rsid w:val="007D41BF"/>
    <w:rsid w:val="007E4CE2"/>
    <w:rsid w:val="007F365A"/>
    <w:rsid w:val="007F3FB9"/>
    <w:rsid w:val="007F5E18"/>
    <w:rsid w:val="008006B8"/>
    <w:rsid w:val="008016FC"/>
    <w:rsid w:val="008028C2"/>
    <w:rsid w:val="00806525"/>
    <w:rsid w:val="008151D5"/>
    <w:rsid w:val="00815CB9"/>
    <w:rsid w:val="00816AA9"/>
    <w:rsid w:val="008236F1"/>
    <w:rsid w:val="008252C7"/>
    <w:rsid w:val="00825520"/>
    <w:rsid w:val="00826B8A"/>
    <w:rsid w:val="00831D84"/>
    <w:rsid w:val="00831F29"/>
    <w:rsid w:val="008321D7"/>
    <w:rsid w:val="008334EF"/>
    <w:rsid w:val="0083685D"/>
    <w:rsid w:val="00836F69"/>
    <w:rsid w:val="008459AB"/>
    <w:rsid w:val="00845A9B"/>
    <w:rsid w:val="00847541"/>
    <w:rsid w:val="008529EC"/>
    <w:rsid w:val="008544A2"/>
    <w:rsid w:val="008544AB"/>
    <w:rsid w:val="00860CA6"/>
    <w:rsid w:val="00863450"/>
    <w:rsid w:val="00870BFA"/>
    <w:rsid w:val="008710BD"/>
    <w:rsid w:val="00874528"/>
    <w:rsid w:val="008755BD"/>
    <w:rsid w:val="00876059"/>
    <w:rsid w:val="00876E1F"/>
    <w:rsid w:val="0088318B"/>
    <w:rsid w:val="008848D7"/>
    <w:rsid w:val="00885874"/>
    <w:rsid w:val="00887192"/>
    <w:rsid w:val="0088794D"/>
    <w:rsid w:val="00891EF5"/>
    <w:rsid w:val="00892267"/>
    <w:rsid w:val="00896923"/>
    <w:rsid w:val="008A0115"/>
    <w:rsid w:val="008B0361"/>
    <w:rsid w:val="008B0A2B"/>
    <w:rsid w:val="008B3FCB"/>
    <w:rsid w:val="008C1F83"/>
    <w:rsid w:val="008D0746"/>
    <w:rsid w:val="008D104E"/>
    <w:rsid w:val="008D302C"/>
    <w:rsid w:val="008E321A"/>
    <w:rsid w:val="008E6280"/>
    <w:rsid w:val="008F02DF"/>
    <w:rsid w:val="008F65AB"/>
    <w:rsid w:val="00905F37"/>
    <w:rsid w:val="0090745E"/>
    <w:rsid w:val="009122F6"/>
    <w:rsid w:val="009275BE"/>
    <w:rsid w:val="00927F55"/>
    <w:rsid w:val="00932A62"/>
    <w:rsid w:val="00936737"/>
    <w:rsid w:val="00937ED9"/>
    <w:rsid w:val="00943FE6"/>
    <w:rsid w:val="00946D8A"/>
    <w:rsid w:val="009536BD"/>
    <w:rsid w:val="00957D13"/>
    <w:rsid w:val="0096236A"/>
    <w:rsid w:val="00962A70"/>
    <w:rsid w:val="009641B1"/>
    <w:rsid w:val="009654D8"/>
    <w:rsid w:val="00967A73"/>
    <w:rsid w:val="00975BDE"/>
    <w:rsid w:val="00983FFD"/>
    <w:rsid w:val="00985449"/>
    <w:rsid w:val="009869D2"/>
    <w:rsid w:val="00994AC0"/>
    <w:rsid w:val="00996EDA"/>
    <w:rsid w:val="00997CD7"/>
    <w:rsid w:val="009A15D0"/>
    <w:rsid w:val="009A343C"/>
    <w:rsid w:val="009B1144"/>
    <w:rsid w:val="009B261F"/>
    <w:rsid w:val="009B30AD"/>
    <w:rsid w:val="009B3513"/>
    <w:rsid w:val="009B524D"/>
    <w:rsid w:val="009B6FBE"/>
    <w:rsid w:val="009C458D"/>
    <w:rsid w:val="009C4B8C"/>
    <w:rsid w:val="009D0595"/>
    <w:rsid w:val="009D1105"/>
    <w:rsid w:val="009D1E71"/>
    <w:rsid w:val="009E2FCC"/>
    <w:rsid w:val="009E460F"/>
    <w:rsid w:val="009E4E20"/>
    <w:rsid w:val="009F0F99"/>
    <w:rsid w:val="009F48B8"/>
    <w:rsid w:val="009F640F"/>
    <w:rsid w:val="009F7CF3"/>
    <w:rsid w:val="00A01463"/>
    <w:rsid w:val="00A03239"/>
    <w:rsid w:val="00A03D69"/>
    <w:rsid w:val="00A06C7D"/>
    <w:rsid w:val="00A1451D"/>
    <w:rsid w:val="00A1725D"/>
    <w:rsid w:val="00A20F84"/>
    <w:rsid w:val="00A21390"/>
    <w:rsid w:val="00A23E2E"/>
    <w:rsid w:val="00A313FA"/>
    <w:rsid w:val="00A34412"/>
    <w:rsid w:val="00A35787"/>
    <w:rsid w:val="00A41A61"/>
    <w:rsid w:val="00A42294"/>
    <w:rsid w:val="00A439E2"/>
    <w:rsid w:val="00A4562A"/>
    <w:rsid w:val="00A50A76"/>
    <w:rsid w:val="00A55487"/>
    <w:rsid w:val="00A57BA6"/>
    <w:rsid w:val="00A57D97"/>
    <w:rsid w:val="00A57ED8"/>
    <w:rsid w:val="00A60505"/>
    <w:rsid w:val="00A61A9C"/>
    <w:rsid w:val="00A64A15"/>
    <w:rsid w:val="00A72602"/>
    <w:rsid w:val="00A73664"/>
    <w:rsid w:val="00A73F85"/>
    <w:rsid w:val="00A7624D"/>
    <w:rsid w:val="00A8022F"/>
    <w:rsid w:val="00A820CD"/>
    <w:rsid w:val="00A9021E"/>
    <w:rsid w:val="00A92F04"/>
    <w:rsid w:val="00A930CB"/>
    <w:rsid w:val="00A978B3"/>
    <w:rsid w:val="00AA1A7D"/>
    <w:rsid w:val="00AA5D2A"/>
    <w:rsid w:val="00AA7A21"/>
    <w:rsid w:val="00AB33D0"/>
    <w:rsid w:val="00AB3E1B"/>
    <w:rsid w:val="00AB4604"/>
    <w:rsid w:val="00AB46E8"/>
    <w:rsid w:val="00AB7729"/>
    <w:rsid w:val="00AC4DCF"/>
    <w:rsid w:val="00AC7036"/>
    <w:rsid w:val="00AD1922"/>
    <w:rsid w:val="00AE4B89"/>
    <w:rsid w:val="00AE7F99"/>
    <w:rsid w:val="00AF23C8"/>
    <w:rsid w:val="00B0403A"/>
    <w:rsid w:val="00B054B4"/>
    <w:rsid w:val="00B123AA"/>
    <w:rsid w:val="00B1317F"/>
    <w:rsid w:val="00B20685"/>
    <w:rsid w:val="00B25B71"/>
    <w:rsid w:val="00B25CA2"/>
    <w:rsid w:val="00B31EC6"/>
    <w:rsid w:val="00B32BE0"/>
    <w:rsid w:val="00B5159B"/>
    <w:rsid w:val="00B56201"/>
    <w:rsid w:val="00B61C30"/>
    <w:rsid w:val="00B627BB"/>
    <w:rsid w:val="00B637B6"/>
    <w:rsid w:val="00B67BF8"/>
    <w:rsid w:val="00B72399"/>
    <w:rsid w:val="00B72604"/>
    <w:rsid w:val="00B752D3"/>
    <w:rsid w:val="00B759FD"/>
    <w:rsid w:val="00B837C0"/>
    <w:rsid w:val="00B84A4B"/>
    <w:rsid w:val="00B86764"/>
    <w:rsid w:val="00B937F5"/>
    <w:rsid w:val="00B942BE"/>
    <w:rsid w:val="00B97A2E"/>
    <w:rsid w:val="00BA0565"/>
    <w:rsid w:val="00BB11A3"/>
    <w:rsid w:val="00BB41F5"/>
    <w:rsid w:val="00BB6A99"/>
    <w:rsid w:val="00BC09FF"/>
    <w:rsid w:val="00BC1207"/>
    <w:rsid w:val="00BC184D"/>
    <w:rsid w:val="00BC2819"/>
    <w:rsid w:val="00BD3328"/>
    <w:rsid w:val="00BD3409"/>
    <w:rsid w:val="00BD347A"/>
    <w:rsid w:val="00BD4068"/>
    <w:rsid w:val="00BE056D"/>
    <w:rsid w:val="00BE0C09"/>
    <w:rsid w:val="00BE1729"/>
    <w:rsid w:val="00BE31A7"/>
    <w:rsid w:val="00BE770C"/>
    <w:rsid w:val="00BF378C"/>
    <w:rsid w:val="00BF4267"/>
    <w:rsid w:val="00BF4BB7"/>
    <w:rsid w:val="00BF5357"/>
    <w:rsid w:val="00BF7B5C"/>
    <w:rsid w:val="00C01382"/>
    <w:rsid w:val="00C01F60"/>
    <w:rsid w:val="00C026CB"/>
    <w:rsid w:val="00C02AAA"/>
    <w:rsid w:val="00C07435"/>
    <w:rsid w:val="00C11EED"/>
    <w:rsid w:val="00C1355C"/>
    <w:rsid w:val="00C13DF7"/>
    <w:rsid w:val="00C21EBD"/>
    <w:rsid w:val="00C25DBA"/>
    <w:rsid w:val="00C31E4D"/>
    <w:rsid w:val="00C3307A"/>
    <w:rsid w:val="00C3353A"/>
    <w:rsid w:val="00C34732"/>
    <w:rsid w:val="00C40E24"/>
    <w:rsid w:val="00C43B5E"/>
    <w:rsid w:val="00C4487A"/>
    <w:rsid w:val="00C663D8"/>
    <w:rsid w:val="00C72BE9"/>
    <w:rsid w:val="00C75532"/>
    <w:rsid w:val="00C77EB4"/>
    <w:rsid w:val="00C81AE4"/>
    <w:rsid w:val="00C820C7"/>
    <w:rsid w:val="00C84725"/>
    <w:rsid w:val="00C84F54"/>
    <w:rsid w:val="00C87F57"/>
    <w:rsid w:val="00C905E6"/>
    <w:rsid w:val="00C96474"/>
    <w:rsid w:val="00CA0229"/>
    <w:rsid w:val="00CA10BF"/>
    <w:rsid w:val="00CA10C4"/>
    <w:rsid w:val="00CA42D4"/>
    <w:rsid w:val="00CA627F"/>
    <w:rsid w:val="00CB2494"/>
    <w:rsid w:val="00CB46A6"/>
    <w:rsid w:val="00CB4ECA"/>
    <w:rsid w:val="00CC134E"/>
    <w:rsid w:val="00CC4476"/>
    <w:rsid w:val="00CC6600"/>
    <w:rsid w:val="00CD2D72"/>
    <w:rsid w:val="00CD44D7"/>
    <w:rsid w:val="00CD62ED"/>
    <w:rsid w:val="00CD73F6"/>
    <w:rsid w:val="00CE07FB"/>
    <w:rsid w:val="00CE1020"/>
    <w:rsid w:val="00CE22C4"/>
    <w:rsid w:val="00CE27FE"/>
    <w:rsid w:val="00CE5BD8"/>
    <w:rsid w:val="00CE78E3"/>
    <w:rsid w:val="00CF306F"/>
    <w:rsid w:val="00CF5EC4"/>
    <w:rsid w:val="00CF7C85"/>
    <w:rsid w:val="00D1088B"/>
    <w:rsid w:val="00D126E8"/>
    <w:rsid w:val="00D129BA"/>
    <w:rsid w:val="00D16B49"/>
    <w:rsid w:val="00D201EF"/>
    <w:rsid w:val="00D20FC9"/>
    <w:rsid w:val="00D21D3D"/>
    <w:rsid w:val="00D44D67"/>
    <w:rsid w:val="00D45C44"/>
    <w:rsid w:val="00D52A6D"/>
    <w:rsid w:val="00D536B4"/>
    <w:rsid w:val="00D54F0F"/>
    <w:rsid w:val="00D67484"/>
    <w:rsid w:val="00D716B1"/>
    <w:rsid w:val="00D71AD9"/>
    <w:rsid w:val="00D71EFA"/>
    <w:rsid w:val="00D75EDE"/>
    <w:rsid w:val="00D84F16"/>
    <w:rsid w:val="00D901D5"/>
    <w:rsid w:val="00D905A3"/>
    <w:rsid w:val="00D9245B"/>
    <w:rsid w:val="00D95A57"/>
    <w:rsid w:val="00DB077C"/>
    <w:rsid w:val="00DB30DF"/>
    <w:rsid w:val="00DB65F5"/>
    <w:rsid w:val="00DC17E5"/>
    <w:rsid w:val="00DC341C"/>
    <w:rsid w:val="00DC4DA4"/>
    <w:rsid w:val="00DD0965"/>
    <w:rsid w:val="00DD316D"/>
    <w:rsid w:val="00DD5153"/>
    <w:rsid w:val="00DD6CCF"/>
    <w:rsid w:val="00DD7F49"/>
    <w:rsid w:val="00DF1D75"/>
    <w:rsid w:val="00DF2549"/>
    <w:rsid w:val="00E00D67"/>
    <w:rsid w:val="00E06657"/>
    <w:rsid w:val="00E12223"/>
    <w:rsid w:val="00E15E1D"/>
    <w:rsid w:val="00E16FC8"/>
    <w:rsid w:val="00E17AF4"/>
    <w:rsid w:val="00E26E7B"/>
    <w:rsid w:val="00E31CAC"/>
    <w:rsid w:val="00E32041"/>
    <w:rsid w:val="00E322C4"/>
    <w:rsid w:val="00E331FD"/>
    <w:rsid w:val="00E33F44"/>
    <w:rsid w:val="00E34374"/>
    <w:rsid w:val="00E40D56"/>
    <w:rsid w:val="00E44668"/>
    <w:rsid w:val="00E50075"/>
    <w:rsid w:val="00E50335"/>
    <w:rsid w:val="00E52392"/>
    <w:rsid w:val="00E5263C"/>
    <w:rsid w:val="00E570D4"/>
    <w:rsid w:val="00E60B43"/>
    <w:rsid w:val="00E679C9"/>
    <w:rsid w:val="00E710A5"/>
    <w:rsid w:val="00E74DEE"/>
    <w:rsid w:val="00E8085E"/>
    <w:rsid w:val="00E834E9"/>
    <w:rsid w:val="00E84512"/>
    <w:rsid w:val="00E91DFA"/>
    <w:rsid w:val="00E927AA"/>
    <w:rsid w:val="00E94A1E"/>
    <w:rsid w:val="00EA1C5B"/>
    <w:rsid w:val="00EB5EE4"/>
    <w:rsid w:val="00EB6794"/>
    <w:rsid w:val="00EC2641"/>
    <w:rsid w:val="00EC34D2"/>
    <w:rsid w:val="00ED285B"/>
    <w:rsid w:val="00EE214E"/>
    <w:rsid w:val="00EE6273"/>
    <w:rsid w:val="00EE762C"/>
    <w:rsid w:val="00EF2053"/>
    <w:rsid w:val="00EF4D3D"/>
    <w:rsid w:val="00F00674"/>
    <w:rsid w:val="00F0077B"/>
    <w:rsid w:val="00F01958"/>
    <w:rsid w:val="00F060DC"/>
    <w:rsid w:val="00F067A9"/>
    <w:rsid w:val="00F14E3C"/>
    <w:rsid w:val="00F24AC2"/>
    <w:rsid w:val="00F259DE"/>
    <w:rsid w:val="00F25CE3"/>
    <w:rsid w:val="00F27738"/>
    <w:rsid w:val="00F30793"/>
    <w:rsid w:val="00F32F9F"/>
    <w:rsid w:val="00F341FB"/>
    <w:rsid w:val="00F358F8"/>
    <w:rsid w:val="00F410B1"/>
    <w:rsid w:val="00F454B7"/>
    <w:rsid w:val="00F47D52"/>
    <w:rsid w:val="00F62D7C"/>
    <w:rsid w:val="00F634C1"/>
    <w:rsid w:val="00F645EE"/>
    <w:rsid w:val="00F66F22"/>
    <w:rsid w:val="00F71262"/>
    <w:rsid w:val="00F714C5"/>
    <w:rsid w:val="00F74718"/>
    <w:rsid w:val="00F766C4"/>
    <w:rsid w:val="00F775F1"/>
    <w:rsid w:val="00F8219D"/>
    <w:rsid w:val="00F82F15"/>
    <w:rsid w:val="00F845FE"/>
    <w:rsid w:val="00F87268"/>
    <w:rsid w:val="00F87E3A"/>
    <w:rsid w:val="00F93707"/>
    <w:rsid w:val="00FC38C3"/>
    <w:rsid w:val="00FC4CAB"/>
    <w:rsid w:val="00FD1B92"/>
    <w:rsid w:val="00FD3858"/>
    <w:rsid w:val="00FD7305"/>
    <w:rsid w:val="00FE3329"/>
    <w:rsid w:val="00FE5F7F"/>
    <w:rsid w:val="00FF3545"/>
    <w:rsid w:val="00FF460F"/>
    <w:rsid w:val="019F4E64"/>
    <w:rsid w:val="01A34EDB"/>
    <w:rsid w:val="02692CFA"/>
    <w:rsid w:val="028C4F96"/>
    <w:rsid w:val="02F53218"/>
    <w:rsid w:val="03226FBF"/>
    <w:rsid w:val="04777BAF"/>
    <w:rsid w:val="052D36E5"/>
    <w:rsid w:val="053668AA"/>
    <w:rsid w:val="05D20B0D"/>
    <w:rsid w:val="06AA0054"/>
    <w:rsid w:val="08194503"/>
    <w:rsid w:val="08842C00"/>
    <w:rsid w:val="089F570D"/>
    <w:rsid w:val="09027D41"/>
    <w:rsid w:val="094129DB"/>
    <w:rsid w:val="09C8316A"/>
    <w:rsid w:val="0A234C64"/>
    <w:rsid w:val="0A4A5BF8"/>
    <w:rsid w:val="0B221DFE"/>
    <w:rsid w:val="0B321860"/>
    <w:rsid w:val="0B3F3F93"/>
    <w:rsid w:val="0B8165D9"/>
    <w:rsid w:val="0BF817F2"/>
    <w:rsid w:val="0C6255C1"/>
    <w:rsid w:val="0C6E4113"/>
    <w:rsid w:val="0D586614"/>
    <w:rsid w:val="0E6104E3"/>
    <w:rsid w:val="0E7C51B0"/>
    <w:rsid w:val="0E85644A"/>
    <w:rsid w:val="0E923B98"/>
    <w:rsid w:val="0EB8244E"/>
    <w:rsid w:val="0EEC73D0"/>
    <w:rsid w:val="0F66158F"/>
    <w:rsid w:val="0F8D5DBD"/>
    <w:rsid w:val="0FA936A7"/>
    <w:rsid w:val="1172733A"/>
    <w:rsid w:val="11A97279"/>
    <w:rsid w:val="11B95929"/>
    <w:rsid w:val="124826EE"/>
    <w:rsid w:val="12D90EA7"/>
    <w:rsid w:val="1317065E"/>
    <w:rsid w:val="13255D62"/>
    <w:rsid w:val="13EF2615"/>
    <w:rsid w:val="145467D9"/>
    <w:rsid w:val="15175E1D"/>
    <w:rsid w:val="155667CE"/>
    <w:rsid w:val="1724013D"/>
    <w:rsid w:val="174A5AB7"/>
    <w:rsid w:val="180769B7"/>
    <w:rsid w:val="186935AD"/>
    <w:rsid w:val="18BF7FE9"/>
    <w:rsid w:val="18D36C20"/>
    <w:rsid w:val="18D45FD9"/>
    <w:rsid w:val="19297189"/>
    <w:rsid w:val="19B233B5"/>
    <w:rsid w:val="19BB090C"/>
    <w:rsid w:val="1A47331B"/>
    <w:rsid w:val="1A9C4998"/>
    <w:rsid w:val="1AB54D7E"/>
    <w:rsid w:val="1B947E23"/>
    <w:rsid w:val="1C076CBA"/>
    <w:rsid w:val="1C474D02"/>
    <w:rsid w:val="1CC229D0"/>
    <w:rsid w:val="1D335585"/>
    <w:rsid w:val="1D851A51"/>
    <w:rsid w:val="1DBD44C7"/>
    <w:rsid w:val="1E3220C9"/>
    <w:rsid w:val="1E3E6EDE"/>
    <w:rsid w:val="1E950D72"/>
    <w:rsid w:val="1EA51DEC"/>
    <w:rsid w:val="1EA61EF2"/>
    <w:rsid w:val="1EDF7443"/>
    <w:rsid w:val="1EEE17B4"/>
    <w:rsid w:val="1F7F5C98"/>
    <w:rsid w:val="1F9572C5"/>
    <w:rsid w:val="21791BC0"/>
    <w:rsid w:val="22476E3E"/>
    <w:rsid w:val="229B50A3"/>
    <w:rsid w:val="22B10522"/>
    <w:rsid w:val="2412694B"/>
    <w:rsid w:val="248779BF"/>
    <w:rsid w:val="2492221D"/>
    <w:rsid w:val="24A817F7"/>
    <w:rsid w:val="24B32866"/>
    <w:rsid w:val="24FB4D91"/>
    <w:rsid w:val="25991DA0"/>
    <w:rsid w:val="25C056CF"/>
    <w:rsid w:val="26DA6821"/>
    <w:rsid w:val="26EB15D4"/>
    <w:rsid w:val="26FD2BB9"/>
    <w:rsid w:val="27285700"/>
    <w:rsid w:val="272F02E0"/>
    <w:rsid w:val="27341B5F"/>
    <w:rsid w:val="27A21FBD"/>
    <w:rsid w:val="29104BDF"/>
    <w:rsid w:val="294A192A"/>
    <w:rsid w:val="29622E63"/>
    <w:rsid w:val="299C3779"/>
    <w:rsid w:val="2A595788"/>
    <w:rsid w:val="2AF7434D"/>
    <w:rsid w:val="2B4A3640"/>
    <w:rsid w:val="2C3116AB"/>
    <w:rsid w:val="2C3C2E7B"/>
    <w:rsid w:val="2C9D4EB9"/>
    <w:rsid w:val="2D4D257A"/>
    <w:rsid w:val="2D960E01"/>
    <w:rsid w:val="2DC46CDC"/>
    <w:rsid w:val="2E180D02"/>
    <w:rsid w:val="2EA83C4C"/>
    <w:rsid w:val="2EED18C2"/>
    <w:rsid w:val="2F5044AF"/>
    <w:rsid w:val="2FB57CF3"/>
    <w:rsid w:val="2FC52A0D"/>
    <w:rsid w:val="2FFF3575"/>
    <w:rsid w:val="30DB327A"/>
    <w:rsid w:val="31F82F20"/>
    <w:rsid w:val="321D7EF1"/>
    <w:rsid w:val="327577E0"/>
    <w:rsid w:val="32D9699F"/>
    <w:rsid w:val="32E31301"/>
    <w:rsid w:val="33DD12FF"/>
    <w:rsid w:val="346C5972"/>
    <w:rsid w:val="34CE353B"/>
    <w:rsid w:val="34CF116C"/>
    <w:rsid w:val="34FF1487"/>
    <w:rsid w:val="35521BC3"/>
    <w:rsid w:val="35797FB0"/>
    <w:rsid w:val="35B13DBF"/>
    <w:rsid w:val="35C96066"/>
    <w:rsid w:val="35C97A58"/>
    <w:rsid w:val="365E3310"/>
    <w:rsid w:val="36DD0DAD"/>
    <w:rsid w:val="36E173DE"/>
    <w:rsid w:val="36E34C78"/>
    <w:rsid w:val="370572E9"/>
    <w:rsid w:val="3718628E"/>
    <w:rsid w:val="372D43B1"/>
    <w:rsid w:val="378C0630"/>
    <w:rsid w:val="38073496"/>
    <w:rsid w:val="389558DB"/>
    <w:rsid w:val="398A226F"/>
    <w:rsid w:val="39F27573"/>
    <w:rsid w:val="3A637A19"/>
    <w:rsid w:val="3ABB0A73"/>
    <w:rsid w:val="3AF27EBD"/>
    <w:rsid w:val="3B0C4680"/>
    <w:rsid w:val="3B6722A2"/>
    <w:rsid w:val="3BB827AD"/>
    <w:rsid w:val="3C50507C"/>
    <w:rsid w:val="3C7C27AF"/>
    <w:rsid w:val="3D1167CC"/>
    <w:rsid w:val="3D5246F0"/>
    <w:rsid w:val="3E011042"/>
    <w:rsid w:val="3E307D17"/>
    <w:rsid w:val="3E69206D"/>
    <w:rsid w:val="3E854F1E"/>
    <w:rsid w:val="3FAC493E"/>
    <w:rsid w:val="3FBB34AE"/>
    <w:rsid w:val="405A33F7"/>
    <w:rsid w:val="40CC7C8F"/>
    <w:rsid w:val="40D668C2"/>
    <w:rsid w:val="40DD6B84"/>
    <w:rsid w:val="41145C67"/>
    <w:rsid w:val="411461B3"/>
    <w:rsid w:val="41806D3E"/>
    <w:rsid w:val="4190632B"/>
    <w:rsid w:val="41994F69"/>
    <w:rsid w:val="42AE1F45"/>
    <w:rsid w:val="433B58B4"/>
    <w:rsid w:val="43466E11"/>
    <w:rsid w:val="43A46EA7"/>
    <w:rsid w:val="43D43910"/>
    <w:rsid w:val="44791985"/>
    <w:rsid w:val="45197ED0"/>
    <w:rsid w:val="45455877"/>
    <w:rsid w:val="454D01C7"/>
    <w:rsid w:val="45660170"/>
    <w:rsid w:val="45B46973"/>
    <w:rsid w:val="45BB5319"/>
    <w:rsid w:val="46FB59B2"/>
    <w:rsid w:val="4711620B"/>
    <w:rsid w:val="477B4ED3"/>
    <w:rsid w:val="47916927"/>
    <w:rsid w:val="47EC3703"/>
    <w:rsid w:val="49073DD3"/>
    <w:rsid w:val="492D6415"/>
    <w:rsid w:val="493F5642"/>
    <w:rsid w:val="499D2DFA"/>
    <w:rsid w:val="4A095EDA"/>
    <w:rsid w:val="4AB9210C"/>
    <w:rsid w:val="4AE22169"/>
    <w:rsid w:val="4B6C4491"/>
    <w:rsid w:val="4BFF6538"/>
    <w:rsid w:val="4C1A7ABB"/>
    <w:rsid w:val="4C2A117B"/>
    <w:rsid w:val="4C2C28CD"/>
    <w:rsid w:val="4C61166C"/>
    <w:rsid w:val="4C7C472D"/>
    <w:rsid w:val="4C8506C7"/>
    <w:rsid w:val="4D643D05"/>
    <w:rsid w:val="4DB72AB2"/>
    <w:rsid w:val="4DE51E54"/>
    <w:rsid w:val="4E3C756B"/>
    <w:rsid w:val="4E3D5AFD"/>
    <w:rsid w:val="4F9B4257"/>
    <w:rsid w:val="50B326C4"/>
    <w:rsid w:val="518F1BC3"/>
    <w:rsid w:val="51B23AC5"/>
    <w:rsid w:val="51C3693C"/>
    <w:rsid w:val="52DB12DC"/>
    <w:rsid w:val="52E90DE5"/>
    <w:rsid w:val="537A2353"/>
    <w:rsid w:val="53EE0BF8"/>
    <w:rsid w:val="540C031B"/>
    <w:rsid w:val="54E31282"/>
    <w:rsid w:val="552C5397"/>
    <w:rsid w:val="55A76239"/>
    <w:rsid w:val="568A6FC3"/>
    <w:rsid w:val="56C155AE"/>
    <w:rsid w:val="571046EE"/>
    <w:rsid w:val="578D2C08"/>
    <w:rsid w:val="57904261"/>
    <w:rsid w:val="57FB1233"/>
    <w:rsid w:val="58472738"/>
    <w:rsid w:val="596661E1"/>
    <w:rsid w:val="598231BD"/>
    <w:rsid w:val="5A7B71DC"/>
    <w:rsid w:val="5AAF5412"/>
    <w:rsid w:val="5B0A5EDB"/>
    <w:rsid w:val="5C67751E"/>
    <w:rsid w:val="5CB07652"/>
    <w:rsid w:val="5D397F0B"/>
    <w:rsid w:val="5D936140"/>
    <w:rsid w:val="5E196378"/>
    <w:rsid w:val="5EF7455B"/>
    <w:rsid w:val="5F0A0526"/>
    <w:rsid w:val="5F2A6140"/>
    <w:rsid w:val="5F78749F"/>
    <w:rsid w:val="5FA40241"/>
    <w:rsid w:val="5FDE2F2B"/>
    <w:rsid w:val="60A15F5C"/>
    <w:rsid w:val="60A340DC"/>
    <w:rsid w:val="6147071A"/>
    <w:rsid w:val="61610193"/>
    <w:rsid w:val="61864F5A"/>
    <w:rsid w:val="622740D7"/>
    <w:rsid w:val="62B41814"/>
    <w:rsid w:val="62BC2C1F"/>
    <w:rsid w:val="63A02C4D"/>
    <w:rsid w:val="63D4111A"/>
    <w:rsid w:val="64832C8B"/>
    <w:rsid w:val="64E3597F"/>
    <w:rsid w:val="660C09A3"/>
    <w:rsid w:val="66E27CB9"/>
    <w:rsid w:val="67077658"/>
    <w:rsid w:val="671154CA"/>
    <w:rsid w:val="679C2619"/>
    <w:rsid w:val="67FF7F8C"/>
    <w:rsid w:val="68C229BD"/>
    <w:rsid w:val="68D5132B"/>
    <w:rsid w:val="68F23988"/>
    <w:rsid w:val="6A112F94"/>
    <w:rsid w:val="6A1556F6"/>
    <w:rsid w:val="6A930946"/>
    <w:rsid w:val="6BBD51E6"/>
    <w:rsid w:val="6CC07F24"/>
    <w:rsid w:val="6CF22709"/>
    <w:rsid w:val="6D314EDC"/>
    <w:rsid w:val="6E8A32BB"/>
    <w:rsid w:val="6EEA575B"/>
    <w:rsid w:val="6EF01101"/>
    <w:rsid w:val="6F44427E"/>
    <w:rsid w:val="6FF158FA"/>
    <w:rsid w:val="6FFC50AD"/>
    <w:rsid w:val="701059E6"/>
    <w:rsid w:val="701D6144"/>
    <w:rsid w:val="705A6236"/>
    <w:rsid w:val="707C0E23"/>
    <w:rsid w:val="72887041"/>
    <w:rsid w:val="72B00952"/>
    <w:rsid w:val="730B0F8E"/>
    <w:rsid w:val="73392CF5"/>
    <w:rsid w:val="73435273"/>
    <w:rsid w:val="7358369C"/>
    <w:rsid w:val="73826AD6"/>
    <w:rsid w:val="73AC2B8D"/>
    <w:rsid w:val="73B02970"/>
    <w:rsid w:val="758D193E"/>
    <w:rsid w:val="766266B2"/>
    <w:rsid w:val="77510E81"/>
    <w:rsid w:val="77F40F3E"/>
    <w:rsid w:val="781E5E0B"/>
    <w:rsid w:val="7869554C"/>
    <w:rsid w:val="78A779FB"/>
    <w:rsid w:val="78BE34E7"/>
    <w:rsid w:val="790B321F"/>
    <w:rsid w:val="792138F6"/>
    <w:rsid w:val="7A770B57"/>
    <w:rsid w:val="7AE2097E"/>
    <w:rsid w:val="7B4E6DDA"/>
    <w:rsid w:val="7CB9359B"/>
    <w:rsid w:val="7F014147"/>
    <w:rsid w:val="7F213F67"/>
    <w:rsid w:val="7FBC04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iPriority="99"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9"/>
    <w:pPr>
      <w:keepNext/>
      <w:jc w:val="center"/>
      <w:outlineLvl w:val="0"/>
    </w:pPr>
    <w:rPr>
      <w:b/>
      <w:bCs/>
      <w:kern w:val="0"/>
      <w:sz w:val="24"/>
      <w:szCs w:val="20"/>
    </w:rPr>
  </w:style>
  <w:style w:type="paragraph" w:styleId="4">
    <w:name w:val="heading 2"/>
    <w:basedOn w:val="1"/>
    <w:next w:val="1"/>
    <w:link w:val="69"/>
    <w:qFormat/>
    <w:uiPriority w:val="9"/>
    <w:pPr>
      <w:keepNext/>
      <w:keepLines/>
      <w:spacing w:line="360" w:lineRule="auto"/>
      <w:outlineLvl w:val="1"/>
    </w:pPr>
    <w:rPr>
      <w:rFonts w:ascii="Arial" w:hAnsi="Arial"/>
      <w:b/>
      <w:bCs/>
      <w:kern w:val="0"/>
      <w:sz w:val="24"/>
      <w:szCs w:val="32"/>
    </w:rPr>
  </w:style>
  <w:style w:type="paragraph" w:styleId="5">
    <w:name w:val="heading 3"/>
    <w:basedOn w:val="1"/>
    <w:next w:val="1"/>
    <w:link w:val="71"/>
    <w:qFormat/>
    <w:uiPriority w:val="9"/>
    <w:pPr>
      <w:keepNext/>
      <w:keepLines/>
      <w:spacing w:before="260" w:after="260" w:line="416" w:lineRule="auto"/>
      <w:outlineLvl w:val="2"/>
    </w:pPr>
    <w:rPr>
      <w:b/>
      <w:bCs/>
      <w:kern w:val="0"/>
      <w:sz w:val="32"/>
      <w:szCs w:val="32"/>
    </w:rPr>
  </w:style>
  <w:style w:type="paragraph" w:styleId="6">
    <w:name w:val="heading 4"/>
    <w:basedOn w:val="1"/>
    <w:next w:val="1"/>
    <w:link w:val="72"/>
    <w:qFormat/>
    <w:uiPriority w:val="0"/>
    <w:pPr>
      <w:keepNext/>
      <w:keepLines/>
      <w:spacing w:before="280" w:after="290" w:line="376" w:lineRule="auto"/>
      <w:outlineLvl w:val="3"/>
    </w:pPr>
    <w:rPr>
      <w:rFonts w:ascii="Arial" w:hAnsi="Arial" w:eastAsia="黑体"/>
      <w:b/>
      <w:bCs/>
      <w:kern w:val="0"/>
      <w:sz w:val="28"/>
      <w:szCs w:val="28"/>
    </w:rPr>
  </w:style>
  <w:style w:type="paragraph" w:styleId="7">
    <w:name w:val="heading 5"/>
    <w:basedOn w:val="1"/>
    <w:next w:val="1"/>
    <w:link w:val="73"/>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74"/>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75"/>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76"/>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7"/>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82"/>
    <w:qFormat/>
    <w:uiPriority w:val="99"/>
    <w:pPr>
      <w:spacing w:after="120"/>
    </w:pPr>
    <w:rPr>
      <w:kern w:val="0"/>
      <w:sz w:val="20"/>
    </w:rPr>
  </w:style>
  <w:style w:type="paragraph" w:styleId="12">
    <w:name w:val="toc 7"/>
    <w:basedOn w:val="1"/>
    <w:next w:val="1"/>
    <w:unhideWhenUsed/>
    <w:qFormat/>
    <w:uiPriority w:val="39"/>
    <w:pPr>
      <w:ind w:left="2520" w:leftChars="1200"/>
    </w:pPr>
    <w:rPr>
      <w:rFonts w:ascii="Calibri" w:hAnsi="Calibri" w:cs="黑体"/>
      <w:szCs w:val="22"/>
    </w:rPr>
  </w:style>
  <w:style w:type="paragraph" w:styleId="13">
    <w:name w:val="Normal Indent"/>
    <w:basedOn w:val="1"/>
    <w:next w:val="14"/>
    <w:qFormat/>
    <w:uiPriority w:val="99"/>
    <w:pPr>
      <w:widowControl/>
      <w:ind w:firstLine="420"/>
      <w:jc w:val="left"/>
    </w:pPr>
    <w:rPr>
      <w:kern w:val="0"/>
      <w:sz w:val="20"/>
      <w:szCs w:val="20"/>
    </w:rPr>
  </w:style>
  <w:style w:type="paragraph" w:customStyle="1" w:styleId="14">
    <w:name w:val="Default"/>
    <w:next w:val="15"/>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5">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6">
    <w:name w:val="Document Map"/>
    <w:basedOn w:val="1"/>
    <w:link w:val="78"/>
    <w:semiHidden/>
    <w:qFormat/>
    <w:uiPriority w:val="99"/>
    <w:pPr>
      <w:shd w:val="clear" w:color="auto" w:fill="000080"/>
    </w:pPr>
    <w:rPr>
      <w:kern w:val="0"/>
      <w:sz w:val="20"/>
    </w:rPr>
  </w:style>
  <w:style w:type="paragraph" w:styleId="17">
    <w:name w:val="annotation text"/>
    <w:basedOn w:val="1"/>
    <w:link w:val="79"/>
    <w:qFormat/>
    <w:uiPriority w:val="0"/>
    <w:pPr>
      <w:jc w:val="left"/>
    </w:pPr>
    <w:rPr>
      <w:kern w:val="0"/>
      <w:sz w:val="20"/>
    </w:rPr>
  </w:style>
  <w:style w:type="paragraph" w:styleId="18">
    <w:name w:val="Salutation"/>
    <w:basedOn w:val="1"/>
    <w:next w:val="1"/>
    <w:link w:val="80"/>
    <w:qFormat/>
    <w:uiPriority w:val="0"/>
    <w:rPr>
      <w:rFonts w:ascii="仿宋_GB2312" w:eastAsia="仿宋_GB2312"/>
      <w:kern w:val="0"/>
      <w:sz w:val="24"/>
    </w:rPr>
  </w:style>
  <w:style w:type="paragraph" w:styleId="19">
    <w:name w:val="Body Text 3"/>
    <w:basedOn w:val="1"/>
    <w:link w:val="81"/>
    <w:qFormat/>
    <w:uiPriority w:val="0"/>
    <w:pPr>
      <w:spacing w:after="120"/>
    </w:pPr>
    <w:rPr>
      <w:sz w:val="16"/>
      <w:szCs w:val="16"/>
    </w:rPr>
  </w:style>
  <w:style w:type="paragraph" w:styleId="20">
    <w:name w:val="Body Text Indent"/>
    <w:basedOn w:val="1"/>
    <w:next w:val="21"/>
    <w:link w:val="83"/>
    <w:qFormat/>
    <w:uiPriority w:val="99"/>
    <w:pPr>
      <w:spacing w:after="120"/>
      <w:ind w:left="420" w:leftChars="200"/>
    </w:pPr>
    <w:rPr>
      <w:kern w:val="0"/>
      <w:sz w:val="20"/>
    </w:rPr>
  </w:style>
  <w:style w:type="paragraph" w:styleId="21">
    <w:name w:val="annotation subject"/>
    <w:basedOn w:val="17"/>
    <w:next w:val="1"/>
    <w:link w:val="96"/>
    <w:qFormat/>
    <w:uiPriority w:val="0"/>
    <w:rPr>
      <w:b/>
      <w:bCs/>
    </w:r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unhideWhenUsed/>
    <w:qFormat/>
    <w:uiPriority w:val="39"/>
    <w:pPr>
      <w:ind w:left="1680" w:leftChars="800"/>
    </w:pPr>
    <w:rPr>
      <w:rFonts w:ascii="Calibri" w:hAnsi="Calibri" w:cs="黑体"/>
      <w:szCs w:val="22"/>
    </w:rPr>
  </w:style>
  <w:style w:type="paragraph" w:styleId="24">
    <w:name w:val="toc 3"/>
    <w:basedOn w:val="1"/>
    <w:next w:val="1"/>
    <w:unhideWhenUsed/>
    <w:qFormat/>
    <w:uiPriority w:val="39"/>
    <w:pPr>
      <w:adjustRightInd w:val="0"/>
      <w:snapToGrid w:val="0"/>
      <w:spacing w:line="360" w:lineRule="auto"/>
      <w:ind w:left="400" w:leftChars="400"/>
    </w:pPr>
    <w:rPr>
      <w:b/>
    </w:rPr>
  </w:style>
  <w:style w:type="paragraph" w:styleId="25">
    <w:name w:val="Plain Text"/>
    <w:basedOn w:val="1"/>
    <w:link w:val="84"/>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cs="黑体"/>
      <w:szCs w:val="22"/>
    </w:rPr>
  </w:style>
  <w:style w:type="paragraph" w:styleId="27">
    <w:name w:val="Date"/>
    <w:basedOn w:val="1"/>
    <w:next w:val="1"/>
    <w:link w:val="85"/>
    <w:qFormat/>
    <w:uiPriority w:val="0"/>
    <w:rPr>
      <w:kern w:val="0"/>
      <w:sz w:val="24"/>
      <w:szCs w:val="20"/>
    </w:rPr>
  </w:style>
  <w:style w:type="paragraph" w:styleId="28">
    <w:name w:val="Body Text Indent 2"/>
    <w:basedOn w:val="1"/>
    <w:link w:val="86"/>
    <w:qFormat/>
    <w:uiPriority w:val="0"/>
    <w:pPr>
      <w:spacing w:after="120" w:line="480" w:lineRule="auto"/>
      <w:ind w:left="420" w:leftChars="200"/>
    </w:pPr>
    <w:rPr>
      <w:kern w:val="0"/>
      <w:sz w:val="20"/>
    </w:rPr>
  </w:style>
  <w:style w:type="paragraph" w:styleId="29">
    <w:name w:val="Balloon Text"/>
    <w:basedOn w:val="1"/>
    <w:link w:val="87"/>
    <w:qFormat/>
    <w:uiPriority w:val="0"/>
    <w:rPr>
      <w:kern w:val="0"/>
      <w:sz w:val="18"/>
      <w:szCs w:val="18"/>
    </w:rPr>
  </w:style>
  <w:style w:type="paragraph" w:styleId="30">
    <w:name w:val="footer"/>
    <w:basedOn w:val="1"/>
    <w:link w:val="88"/>
    <w:qFormat/>
    <w:uiPriority w:val="99"/>
    <w:pPr>
      <w:tabs>
        <w:tab w:val="center" w:pos="4153"/>
        <w:tab w:val="right" w:pos="8306"/>
      </w:tabs>
      <w:snapToGrid w:val="0"/>
      <w:jc w:val="left"/>
    </w:pPr>
    <w:rPr>
      <w:kern w:val="0"/>
      <w:sz w:val="18"/>
      <w:szCs w:val="18"/>
    </w:rPr>
  </w:style>
  <w:style w:type="paragraph" w:styleId="31">
    <w:name w:val="envelope return"/>
    <w:basedOn w:val="1"/>
    <w:qFormat/>
    <w:uiPriority w:val="0"/>
    <w:pPr>
      <w:widowControl/>
      <w:snapToGrid w:val="0"/>
      <w:textAlignment w:val="baseline"/>
    </w:pPr>
    <w:rPr>
      <w:rFonts w:ascii="Arial" w:hAnsi="Arial"/>
    </w:rPr>
  </w:style>
  <w:style w:type="paragraph" w:styleId="32">
    <w:name w:val="header"/>
    <w:basedOn w:val="1"/>
    <w:link w:val="89"/>
    <w:qFormat/>
    <w:uiPriority w:val="99"/>
    <w:pPr>
      <w:pBdr>
        <w:bottom w:val="single" w:color="auto" w:sz="6" w:space="1"/>
      </w:pBdr>
      <w:tabs>
        <w:tab w:val="center" w:pos="4153"/>
        <w:tab w:val="right" w:pos="8306"/>
      </w:tabs>
      <w:snapToGrid w:val="0"/>
      <w:jc w:val="center"/>
    </w:pPr>
    <w:rPr>
      <w:kern w:val="0"/>
      <w:sz w:val="18"/>
      <w:szCs w:val="18"/>
    </w:rPr>
  </w:style>
  <w:style w:type="paragraph" w:styleId="33">
    <w:name w:val="toc 1"/>
    <w:basedOn w:val="1"/>
    <w:next w:val="1"/>
    <w:qFormat/>
    <w:uiPriority w:val="39"/>
    <w:pPr>
      <w:spacing w:line="360" w:lineRule="auto"/>
    </w:pPr>
    <w:rPr>
      <w:rFonts w:ascii="宋体" w:hAnsi="宋体"/>
      <w:b/>
      <w:sz w:val="24"/>
      <w:szCs w:val="21"/>
    </w:rPr>
  </w:style>
  <w:style w:type="paragraph" w:styleId="34">
    <w:name w:val="toc 4"/>
    <w:basedOn w:val="1"/>
    <w:next w:val="1"/>
    <w:unhideWhenUsed/>
    <w:qFormat/>
    <w:uiPriority w:val="39"/>
    <w:pPr>
      <w:adjustRightInd w:val="0"/>
      <w:snapToGrid w:val="0"/>
      <w:spacing w:line="360" w:lineRule="auto"/>
      <w:ind w:left="600" w:leftChars="600"/>
    </w:pPr>
    <w:rPr>
      <w:rFonts w:ascii="Calibri" w:hAnsi="Calibri" w:cs="黑体"/>
      <w:b/>
      <w:szCs w:val="22"/>
    </w:rPr>
  </w:style>
  <w:style w:type="paragraph" w:styleId="35">
    <w:name w:val="footnote text"/>
    <w:basedOn w:val="1"/>
    <w:link w:val="90"/>
    <w:semiHidden/>
    <w:qFormat/>
    <w:uiPriority w:val="99"/>
    <w:pPr>
      <w:snapToGrid w:val="0"/>
      <w:jc w:val="left"/>
    </w:pPr>
    <w:rPr>
      <w:sz w:val="18"/>
      <w:szCs w:val="18"/>
    </w:rPr>
  </w:style>
  <w:style w:type="paragraph" w:styleId="36">
    <w:name w:val="toc 6"/>
    <w:basedOn w:val="1"/>
    <w:next w:val="1"/>
    <w:qFormat/>
    <w:uiPriority w:val="39"/>
    <w:pPr>
      <w:ind w:left="2100"/>
    </w:pPr>
    <w:rPr>
      <w:szCs w:val="20"/>
    </w:rPr>
  </w:style>
  <w:style w:type="paragraph" w:styleId="37">
    <w:name w:val="Body Text Indent 3"/>
    <w:basedOn w:val="1"/>
    <w:link w:val="91"/>
    <w:qFormat/>
    <w:uiPriority w:val="0"/>
    <w:pPr>
      <w:spacing w:after="120"/>
      <w:ind w:left="420" w:leftChars="200"/>
    </w:pPr>
    <w:rPr>
      <w:kern w:val="0"/>
      <w:sz w:val="16"/>
      <w:szCs w:val="16"/>
    </w:rPr>
  </w:style>
  <w:style w:type="paragraph" w:styleId="38">
    <w:name w:val="toc 2"/>
    <w:basedOn w:val="1"/>
    <w:next w:val="1"/>
    <w:unhideWhenUsed/>
    <w:qFormat/>
    <w:uiPriority w:val="39"/>
    <w:pPr>
      <w:spacing w:line="360" w:lineRule="auto"/>
      <w:ind w:left="200" w:leftChars="200"/>
    </w:pPr>
    <w:rPr>
      <w:b/>
    </w:rPr>
  </w:style>
  <w:style w:type="paragraph" w:styleId="39">
    <w:name w:val="toc 9"/>
    <w:basedOn w:val="1"/>
    <w:next w:val="1"/>
    <w:unhideWhenUsed/>
    <w:qFormat/>
    <w:uiPriority w:val="39"/>
    <w:pPr>
      <w:ind w:left="3360" w:leftChars="1600"/>
    </w:pPr>
    <w:rPr>
      <w:rFonts w:ascii="Calibri" w:hAnsi="Calibri" w:cs="黑体"/>
      <w:szCs w:val="22"/>
    </w:rPr>
  </w:style>
  <w:style w:type="paragraph" w:styleId="40">
    <w:name w:val="Body Text 2"/>
    <w:basedOn w:val="1"/>
    <w:next w:val="2"/>
    <w:link w:val="92"/>
    <w:qFormat/>
    <w:uiPriority w:val="0"/>
    <w:pPr>
      <w:spacing w:after="120" w:line="480" w:lineRule="auto"/>
    </w:pPr>
    <w:rPr>
      <w:kern w:val="0"/>
      <w:sz w:val="20"/>
    </w:rPr>
  </w:style>
  <w:style w:type="paragraph" w:styleId="41">
    <w:name w:val="Message Header"/>
    <w:basedOn w:val="1"/>
    <w:link w:val="93"/>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42">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pPr>
      <w:spacing w:line="220" w:lineRule="exact"/>
      <w:jc w:val="center"/>
    </w:pPr>
    <w:rPr>
      <w:rFonts w:ascii="仿宋_GB2312" w:eastAsia="仿宋_GB2312"/>
      <w:szCs w:val="20"/>
    </w:rPr>
  </w:style>
  <w:style w:type="paragraph" w:styleId="45">
    <w:name w:val="Title"/>
    <w:basedOn w:val="1"/>
    <w:link w:val="95"/>
    <w:qFormat/>
    <w:uiPriority w:val="0"/>
    <w:pPr>
      <w:jc w:val="center"/>
      <w:outlineLvl w:val="0"/>
    </w:pPr>
    <w:rPr>
      <w:b/>
      <w:kern w:val="0"/>
      <w:sz w:val="32"/>
      <w:szCs w:val="20"/>
    </w:rPr>
  </w:style>
  <w:style w:type="paragraph" w:styleId="46">
    <w:name w:val="Body Text First Indent"/>
    <w:basedOn w:val="2"/>
    <w:next w:val="1"/>
    <w:qFormat/>
    <w:uiPriority w:val="0"/>
    <w:pPr>
      <w:adjustRightInd w:val="0"/>
      <w:ind w:firstLine="425"/>
      <w:textAlignment w:val="baseline"/>
    </w:pPr>
    <w:rPr>
      <w:szCs w:val="20"/>
    </w:rPr>
  </w:style>
  <w:style w:type="paragraph" w:styleId="47">
    <w:name w:val="Body Text First Indent 2"/>
    <w:basedOn w:val="20"/>
    <w:next w:val="13"/>
    <w:link w:val="97"/>
    <w:qFormat/>
    <w:uiPriority w:val="0"/>
    <w:pPr>
      <w:ind w:firstLine="420" w:firstLineChars="200"/>
    </w:p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1">
    <w:name w:val="Strong"/>
    <w:qFormat/>
    <w:uiPriority w:val="22"/>
    <w:rPr>
      <w:b/>
      <w:bCs/>
    </w:rPr>
  </w:style>
  <w:style w:type="character" w:styleId="52">
    <w:name w:val="page number"/>
    <w:qFormat/>
    <w:uiPriority w:val="0"/>
  </w:style>
  <w:style w:type="character" w:styleId="53">
    <w:name w:val="FollowedHyperlink"/>
    <w:basedOn w:val="50"/>
    <w:qFormat/>
    <w:uiPriority w:val="99"/>
    <w:rPr>
      <w:color w:val="333333"/>
      <w:u w:val="none"/>
    </w:rPr>
  </w:style>
  <w:style w:type="character" w:styleId="54">
    <w:name w:val="Emphasis"/>
    <w:qFormat/>
    <w:uiPriority w:val="0"/>
  </w:style>
  <w:style w:type="character" w:styleId="55">
    <w:name w:val="HTML Definition"/>
    <w:basedOn w:val="50"/>
    <w:semiHidden/>
    <w:unhideWhenUsed/>
    <w:qFormat/>
    <w:uiPriority w:val="0"/>
  </w:style>
  <w:style w:type="character" w:styleId="56">
    <w:name w:val="HTML Variable"/>
    <w:basedOn w:val="50"/>
    <w:semiHidden/>
    <w:unhideWhenUsed/>
    <w:qFormat/>
    <w:uiPriority w:val="0"/>
  </w:style>
  <w:style w:type="character" w:styleId="57">
    <w:name w:val="Hyperlink"/>
    <w:qFormat/>
    <w:uiPriority w:val="99"/>
    <w:rPr>
      <w:color w:val="136EC2"/>
      <w:u w:val="single"/>
    </w:rPr>
  </w:style>
  <w:style w:type="character" w:styleId="58">
    <w:name w:val="HTML Code"/>
    <w:basedOn w:val="50"/>
    <w:semiHidden/>
    <w:unhideWhenUsed/>
    <w:qFormat/>
    <w:uiPriority w:val="0"/>
    <w:rPr>
      <w:rFonts w:ascii="Consolas" w:hAnsi="Consolas" w:eastAsia="Consolas" w:cs="Consolas"/>
      <w:color w:val="C7254E"/>
      <w:sz w:val="21"/>
      <w:szCs w:val="21"/>
      <w:shd w:val="clear" w:color="auto" w:fill="F9F2F4"/>
    </w:rPr>
  </w:style>
  <w:style w:type="character" w:styleId="59">
    <w:name w:val="annotation reference"/>
    <w:qFormat/>
    <w:uiPriority w:val="0"/>
    <w:rPr>
      <w:sz w:val="21"/>
      <w:szCs w:val="21"/>
    </w:rPr>
  </w:style>
  <w:style w:type="character" w:styleId="60">
    <w:name w:val="HTML Cite"/>
    <w:basedOn w:val="50"/>
    <w:semiHidden/>
    <w:unhideWhenUsed/>
    <w:qFormat/>
    <w:uiPriority w:val="0"/>
  </w:style>
  <w:style w:type="character" w:styleId="61">
    <w:name w:val="HTML Keyboard"/>
    <w:basedOn w:val="50"/>
    <w:semiHidden/>
    <w:unhideWhenUsed/>
    <w:qFormat/>
    <w:uiPriority w:val="0"/>
    <w:rPr>
      <w:rFonts w:hint="default" w:ascii="Consolas" w:hAnsi="Consolas" w:eastAsia="Consolas" w:cs="Consolas"/>
      <w:color w:val="FFFFFF"/>
      <w:sz w:val="21"/>
      <w:szCs w:val="21"/>
      <w:shd w:val="clear" w:color="auto" w:fill="333333"/>
    </w:rPr>
  </w:style>
  <w:style w:type="character" w:styleId="62">
    <w:name w:val="HTML Sample"/>
    <w:basedOn w:val="50"/>
    <w:semiHidden/>
    <w:unhideWhenUsed/>
    <w:qFormat/>
    <w:uiPriority w:val="0"/>
    <w:rPr>
      <w:rFonts w:hint="default" w:ascii="Consolas" w:hAnsi="Consolas" w:eastAsia="Consolas" w:cs="Consolas"/>
      <w:sz w:val="21"/>
      <w:szCs w:val="21"/>
    </w:rPr>
  </w:style>
  <w:style w:type="paragraph" w:customStyle="1" w:styleId="63">
    <w:name w:val="1"/>
    <w:basedOn w:val="64"/>
    <w:next w:val="20"/>
    <w:qFormat/>
    <w:uiPriority w:val="0"/>
    <w:pPr>
      <w:spacing w:afterLines="50" w:line="360" w:lineRule="auto"/>
    </w:pPr>
    <w:rPr>
      <w:rFonts w:ascii="宋体" w:hAnsi="宋体"/>
      <w:b/>
      <w:sz w:val="30"/>
      <w:szCs w:val="21"/>
    </w:rPr>
  </w:style>
  <w:style w:type="paragraph" w:customStyle="1" w:styleId="6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格式"/>
    <w:basedOn w:val="1"/>
    <w:qFormat/>
    <w:uiPriority w:val="99"/>
    <w:pPr>
      <w:widowControl/>
      <w:adjustRightInd w:val="0"/>
      <w:snapToGrid w:val="0"/>
      <w:spacing w:line="400" w:lineRule="atLeast"/>
      <w:ind w:firstLine="482"/>
      <w:textAlignment w:val="baseline"/>
    </w:pPr>
    <w:rPr>
      <w:rFonts w:ascii="Calibri" w:hAnsi="Calibri"/>
      <w:kern w:val="0"/>
      <w:sz w:val="24"/>
    </w:rPr>
  </w:style>
  <w:style w:type="paragraph" w:customStyle="1" w:styleId="66">
    <w:name w:val="列出段落1"/>
    <w:basedOn w:val="1"/>
    <w:link w:val="109"/>
    <w:qFormat/>
    <w:uiPriority w:val="0"/>
    <w:pPr>
      <w:ind w:firstLine="420" w:firstLineChars="200"/>
    </w:pPr>
    <w:rPr>
      <w:kern w:val="0"/>
      <w:sz w:val="20"/>
    </w:rPr>
  </w:style>
  <w:style w:type="paragraph" w:customStyle="1" w:styleId="67">
    <w:name w:val="font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8">
    <w:name w:val="无间隔1"/>
    <w:basedOn w:val="1"/>
    <w:qFormat/>
    <w:uiPriority w:val="1"/>
    <w:pPr>
      <w:spacing w:line="400" w:lineRule="exact"/>
    </w:pPr>
    <w:rPr>
      <w:sz w:val="24"/>
    </w:rPr>
  </w:style>
  <w:style w:type="character" w:customStyle="1" w:styleId="69">
    <w:name w:val="标题 2 字符"/>
    <w:link w:val="4"/>
    <w:qFormat/>
    <w:uiPriority w:val="9"/>
    <w:rPr>
      <w:rFonts w:ascii="Arial" w:hAnsi="Arial" w:eastAsia="宋体" w:cs="Times New Roman"/>
      <w:b/>
      <w:bCs/>
      <w:sz w:val="24"/>
      <w:szCs w:val="32"/>
    </w:rPr>
  </w:style>
  <w:style w:type="character" w:customStyle="1" w:styleId="70">
    <w:name w:val="标题 1 字符"/>
    <w:link w:val="3"/>
    <w:qFormat/>
    <w:uiPriority w:val="9"/>
    <w:rPr>
      <w:rFonts w:ascii="Times New Roman" w:hAnsi="Times New Roman" w:eastAsia="宋体" w:cs="Times New Roman"/>
      <w:b/>
      <w:bCs/>
      <w:sz w:val="24"/>
      <w:szCs w:val="20"/>
    </w:rPr>
  </w:style>
  <w:style w:type="character" w:customStyle="1" w:styleId="71">
    <w:name w:val="标题 3 字符"/>
    <w:link w:val="5"/>
    <w:qFormat/>
    <w:uiPriority w:val="9"/>
    <w:rPr>
      <w:rFonts w:ascii="Times New Roman" w:hAnsi="Times New Roman" w:eastAsia="宋体" w:cs="Times New Roman"/>
      <w:b/>
      <w:bCs/>
      <w:sz w:val="32"/>
      <w:szCs w:val="32"/>
    </w:rPr>
  </w:style>
  <w:style w:type="character" w:customStyle="1" w:styleId="72">
    <w:name w:val="标题 4 字符"/>
    <w:link w:val="6"/>
    <w:qFormat/>
    <w:uiPriority w:val="0"/>
    <w:rPr>
      <w:rFonts w:ascii="Arial" w:hAnsi="Arial" w:eastAsia="黑体" w:cs="Times New Roman"/>
      <w:b/>
      <w:bCs/>
      <w:sz w:val="28"/>
      <w:szCs w:val="28"/>
    </w:rPr>
  </w:style>
  <w:style w:type="character" w:customStyle="1" w:styleId="73">
    <w:name w:val="标题 5 字符"/>
    <w:link w:val="7"/>
    <w:qFormat/>
    <w:uiPriority w:val="0"/>
    <w:rPr>
      <w:rFonts w:ascii="Times New Roman" w:hAnsi="Times New Roman" w:eastAsia="宋体" w:cs="Times New Roman"/>
      <w:b/>
      <w:bCs/>
      <w:kern w:val="0"/>
      <w:sz w:val="28"/>
      <w:szCs w:val="28"/>
    </w:rPr>
  </w:style>
  <w:style w:type="character" w:customStyle="1" w:styleId="74">
    <w:name w:val="标题 6 字符"/>
    <w:link w:val="8"/>
    <w:qFormat/>
    <w:uiPriority w:val="0"/>
    <w:rPr>
      <w:rFonts w:ascii="Arial" w:hAnsi="Arial" w:eastAsia="黑体" w:cs="Times New Roman"/>
      <w:b/>
      <w:bCs/>
      <w:kern w:val="0"/>
      <w:sz w:val="24"/>
      <w:szCs w:val="24"/>
    </w:rPr>
  </w:style>
  <w:style w:type="character" w:customStyle="1" w:styleId="75">
    <w:name w:val="标题 7 字符"/>
    <w:link w:val="9"/>
    <w:qFormat/>
    <w:uiPriority w:val="0"/>
    <w:rPr>
      <w:rFonts w:ascii="Times New Roman" w:hAnsi="Times New Roman" w:eastAsia="宋体" w:cs="Times New Roman"/>
      <w:b/>
      <w:bCs/>
      <w:kern w:val="0"/>
      <w:sz w:val="24"/>
      <w:szCs w:val="24"/>
    </w:rPr>
  </w:style>
  <w:style w:type="character" w:customStyle="1" w:styleId="76">
    <w:name w:val="标题 8 字符"/>
    <w:link w:val="10"/>
    <w:qFormat/>
    <w:uiPriority w:val="0"/>
    <w:rPr>
      <w:rFonts w:ascii="Arial" w:hAnsi="Arial" w:eastAsia="黑体" w:cs="Times New Roman"/>
      <w:kern w:val="0"/>
      <w:sz w:val="24"/>
      <w:szCs w:val="24"/>
    </w:rPr>
  </w:style>
  <w:style w:type="character" w:customStyle="1" w:styleId="77">
    <w:name w:val="标题 9 字符"/>
    <w:link w:val="11"/>
    <w:qFormat/>
    <w:uiPriority w:val="0"/>
    <w:rPr>
      <w:rFonts w:ascii="Arial" w:hAnsi="Arial" w:eastAsia="黑体" w:cs="Times New Roman"/>
      <w:kern w:val="0"/>
      <w:szCs w:val="21"/>
    </w:rPr>
  </w:style>
  <w:style w:type="character" w:customStyle="1" w:styleId="78">
    <w:name w:val="文档结构图 字符"/>
    <w:link w:val="16"/>
    <w:semiHidden/>
    <w:qFormat/>
    <w:uiPriority w:val="99"/>
    <w:rPr>
      <w:rFonts w:ascii="Times New Roman" w:hAnsi="Times New Roman" w:eastAsia="宋体" w:cs="Times New Roman"/>
      <w:szCs w:val="24"/>
      <w:shd w:val="clear" w:color="auto" w:fill="000080"/>
    </w:rPr>
  </w:style>
  <w:style w:type="character" w:customStyle="1" w:styleId="79">
    <w:name w:val="批注文字 字符"/>
    <w:link w:val="17"/>
    <w:semiHidden/>
    <w:qFormat/>
    <w:uiPriority w:val="0"/>
    <w:rPr>
      <w:rFonts w:ascii="Times New Roman" w:hAnsi="Times New Roman" w:eastAsia="宋体" w:cs="Times New Roman"/>
      <w:szCs w:val="24"/>
    </w:rPr>
  </w:style>
  <w:style w:type="character" w:customStyle="1" w:styleId="80">
    <w:name w:val="称呼 字符"/>
    <w:link w:val="18"/>
    <w:qFormat/>
    <w:uiPriority w:val="0"/>
    <w:rPr>
      <w:rFonts w:ascii="仿宋_GB2312" w:hAnsi="Times New Roman" w:eastAsia="仿宋_GB2312" w:cs="Times New Roman"/>
      <w:sz w:val="24"/>
      <w:szCs w:val="24"/>
    </w:rPr>
  </w:style>
  <w:style w:type="character" w:customStyle="1" w:styleId="81">
    <w:name w:val="正文文本 3 字符"/>
    <w:basedOn w:val="50"/>
    <w:link w:val="19"/>
    <w:qFormat/>
    <w:uiPriority w:val="0"/>
    <w:rPr>
      <w:kern w:val="2"/>
      <w:sz w:val="16"/>
      <w:szCs w:val="16"/>
    </w:rPr>
  </w:style>
  <w:style w:type="character" w:customStyle="1" w:styleId="82">
    <w:name w:val="正文文本 字符"/>
    <w:link w:val="2"/>
    <w:qFormat/>
    <w:uiPriority w:val="99"/>
    <w:rPr>
      <w:rFonts w:ascii="Times New Roman" w:hAnsi="Times New Roman" w:eastAsia="宋体" w:cs="Times New Roman"/>
      <w:szCs w:val="24"/>
    </w:rPr>
  </w:style>
  <w:style w:type="character" w:customStyle="1" w:styleId="83">
    <w:name w:val="正文文本缩进 字符"/>
    <w:link w:val="20"/>
    <w:qFormat/>
    <w:uiPriority w:val="99"/>
    <w:rPr>
      <w:rFonts w:ascii="Times New Roman" w:hAnsi="Times New Roman" w:eastAsia="宋体" w:cs="Times New Roman"/>
      <w:szCs w:val="24"/>
    </w:rPr>
  </w:style>
  <w:style w:type="character" w:customStyle="1" w:styleId="84">
    <w:name w:val="纯文本 字符"/>
    <w:link w:val="25"/>
    <w:qFormat/>
    <w:uiPriority w:val="0"/>
    <w:rPr>
      <w:rFonts w:ascii="宋体" w:hAnsi="Courier New" w:eastAsia="宋体" w:cs="Courier New"/>
      <w:szCs w:val="21"/>
    </w:rPr>
  </w:style>
  <w:style w:type="character" w:customStyle="1" w:styleId="85">
    <w:name w:val="日期 字符"/>
    <w:link w:val="27"/>
    <w:qFormat/>
    <w:uiPriority w:val="0"/>
    <w:rPr>
      <w:rFonts w:ascii="Times New Roman" w:hAnsi="Times New Roman" w:eastAsia="宋体" w:cs="Times New Roman"/>
      <w:sz w:val="24"/>
      <w:szCs w:val="20"/>
    </w:rPr>
  </w:style>
  <w:style w:type="character" w:customStyle="1" w:styleId="86">
    <w:name w:val="正文文本缩进 2 字符"/>
    <w:link w:val="28"/>
    <w:qFormat/>
    <w:uiPriority w:val="0"/>
    <w:rPr>
      <w:rFonts w:ascii="Times New Roman" w:hAnsi="Times New Roman" w:eastAsia="宋体" w:cs="Times New Roman"/>
      <w:szCs w:val="24"/>
    </w:rPr>
  </w:style>
  <w:style w:type="character" w:customStyle="1" w:styleId="87">
    <w:name w:val="批注框文本 字符"/>
    <w:link w:val="29"/>
    <w:qFormat/>
    <w:uiPriority w:val="0"/>
    <w:rPr>
      <w:rFonts w:ascii="Times New Roman" w:hAnsi="Times New Roman" w:eastAsia="宋体" w:cs="Times New Roman"/>
      <w:sz w:val="18"/>
      <w:szCs w:val="18"/>
    </w:rPr>
  </w:style>
  <w:style w:type="character" w:customStyle="1" w:styleId="88">
    <w:name w:val="页脚 字符1"/>
    <w:link w:val="30"/>
    <w:qFormat/>
    <w:uiPriority w:val="99"/>
    <w:rPr>
      <w:rFonts w:ascii="Times New Roman" w:hAnsi="Times New Roman" w:eastAsia="宋体" w:cs="Times New Roman"/>
      <w:sz w:val="18"/>
      <w:szCs w:val="18"/>
    </w:rPr>
  </w:style>
  <w:style w:type="character" w:customStyle="1" w:styleId="89">
    <w:name w:val="页眉 字符"/>
    <w:link w:val="32"/>
    <w:qFormat/>
    <w:uiPriority w:val="99"/>
    <w:rPr>
      <w:rFonts w:ascii="Times New Roman" w:hAnsi="Times New Roman" w:eastAsia="宋体" w:cs="Times New Roman"/>
      <w:sz w:val="18"/>
      <w:szCs w:val="18"/>
    </w:rPr>
  </w:style>
  <w:style w:type="character" w:customStyle="1" w:styleId="90">
    <w:name w:val="脚注文本 字符"/>
    <w:link w:val="35"/>
    <w:semiHidden/>
    <w:qFormat/>
    <w:uiPriority w:val="99"/>
    <w:rPr>
      <w:kern w:val="2"/>
      <w:sz w:val="18"/>
      <w:szCs w:val="18"/>
    </w:rPr>
  </w:style>
  <w:style w:type="character" w:customStyle="1" w:styleId="91">
    <w:name w:val="正文文本缩进 3 字符"/>
    <w:link w:val="37"/>
    <w:qFormat/>
    <w:uiPriority w:val="0"/>
    <w:rPr>
      <w:rFonts w:ascii="Times New Roman" w:hAnsi="Times New Roman" w:eastAsia="宋体" w:cs="Times New Roman"/>
      <w:sz w:val="16"/>
      <w:szCs w:val="16"/>
    </w:rPr>
  </w:style>
  <w:style w:type="character" w:customStyle="1" w:styleId="92">
    <w:name w:val="正文文本 2 字符"/>
    <w:link w:val="40"/>
    <w:qFormat/>
    <w:uiPriority w:val="0"/>
    <w:rPr>
      <w:rFonts w:ascii="Times New Roman" w:hAnsi="Times New Roman" w:eastAsia="宋体" w:cs="Times New Roman"/>
      <w:szCs w:val="24"/>
    </w:rPr>
  </w:style>
  <w:style w:type="character" w:customStyle="1" w:styleId="93">
    <w:name w:val="信息标题 字符"/>
    <w:link w:val="41"/>
    <w:qFormat/>
    <w:uiPriority w:val="99"/>
    <w:rPr>
      <w:rFonts w:ascii="Arial" w:hAnsi="Arial"/>
      <w:kern w:val="2"/>
      <w:sz w:val="24"/>
      <w:szCs w:val="24"/>
      <w:shd w:val="pct20" w:color="auto" w:fill="auto"/>
    </w:rPr>
  </w:style>
  <w:style w:type="character" w:customStyle="1" w:styleId="94">
    <w:name w:val="HTML 预设格式 字符"/>
    <w:link w:val="42"/>
    <w:qFormat/>
    <w:uiPriority w:val="0"/>
    <w:rPr>
      <w:rFonts w:ascii="Arial" w:hAnsi="Arial" w:eastAsia="宋体" w:cs="Arial"/>
      <w:kern w:val="0"/>
      <w:sz w:val="24"/>
      <w:szCs w:val="24"/>
    </w:rPr>
  </w:style>
  <w:style w:type="character" w:customStyle="1" w:styleId="95">
    <w:name w:val="标题 字符"/>
    <w:link w:val="45"/>
    <w:qFormat/>
    <w:uiPriority w:val="0"/>
    <w:rPr>
      <w:b/>
      <w:sz w:val="32"/>
    </w:rPr>
  </w:style>
  <w:style w:type="character" w:customStyle="1" w:styleId="96">
    <w:name w:val="批注主题 字符"/>
    <w:link w:val="21"/>
    <w:qFormat/>
    <w:uiPriority w:val="0"/>
    <w:rPr>
      <w:rFonts w:ascii="Times New Roman" w:hAnsi="Times New Roman" w:eastAsia="宋体" w:cs="Times New Roman"/>
      <w:b/>
      <w:bCs/>
      <w:szCs w:val="24"/>
    </w:rPr>
  </w:style>
  <w:style w:type="character" w:customStyle="1" w:styleId="97">
    <w:name w:val="正文文本首行缩进 2 字符"/>
    <w:basedOn w:val="83"/>
    <w:link w:val="47"/>
    <w:qFormat/>
    <w:uiPriority w:val="0"/>
    <w:rPr>
      <w:rFonts w:ascii="Times New Roman" w:hAnsi="Times New Roman" w:eastAsia="宋体" w:cs="Times New Roman"/>
      <w:szCs w:val="24"/>
    </w:rPr>
  </w:style>
  <w:style w:type="character" w:customStyle="1" w:styleId="98">
    <w:name w:val="font01"/>
    <w:basedOn w:val="50"/>
    <w:qFormat/>
    <w:uiPriority w:val="0"/>
    <w:rPr>
      <w:rFonts w:hint="eastAsia" w:ascii="宋体" w:hAnsi="宋体" w:eastAsia="宋体" w:cs="宋体"/>
      <w:color w:val="auto"/>
      <w:sz w:val="24"/>
      <w:szCs w:val="24"/>
      <w:u w:val="none"/>
    </w:rPr>
  </w:style>
  <w:style w:type="character" w:customStyle="1" w:styleId="99">
    <w:name w:val="fontstyle31"/>
    <w:qFormat/>
    <w:uiPriority w:val="0"/>
    <w:rPr>
      <w:rFonts w:hint="default" w:ascii="Arial" w:hAnsi="Arial" w:cs="Arial"/>
      <w:color w:val="993300"/>
      <w:sz w:val="24"/>
      <w:szCs w:val="24"/>
    </w:rPr>
  </w:style>
  <w:style w:type="character" w:customStyle="1" w:styleId="100">
    <w:name w:val="font131"/>
    <w:qFormat/>
    <w:uiPriority w:val="0"/>
    <w:rPr>
      <w:rFonts w:hint="eastAsia" w:ascii="宋体" w:hAnsi="宋体" w:eastAsia="宋体" w:cs="宋体"/>
      <w:b/>
      <w:color w:val="000000"/>
      <w:sz w:val="24"/>
      <w:szCs w:val="24"/>
      <w:u w:val="none"/>
    </w:rPr>
  </w:style>
  <w:style w:type="character" w:customStyle="1" w:styleId="101">
    <w:name w:val="font81"/>
    <w:qFormat/>
    <w:uiPriority w:val="0"/>
    <w:rPr>
      <w:rFonts w:hint="eastAsia" w:ascii="微软雅黑" w:hAnsi="微软雅黑" w:eastAsia="微软雅黑" w:cs="微软雅黑"/>
      <w:color w:val="000000"/>
      <w:sz w:val="22"/>
      <w:szCs w:val="22"/>
      <w:u w:val="none"/>
    </w:rPr>
  </w:style>
  <w:style w:type="character" w:customStyle="1" w:styleId="102">
    <w:name w:val="font91"/>
    <w:qFormat/>
    <w:uiPriority w:val="0"/>
    <w:rPr>
      <w:rFonts w:hint="default" w:ascii="微软雅黑 Light" w:hAnsi="微软雅黑 Light" w:eastAsia="微软雅黑 Light" w:cs="微软雅黑 Light"/>
      <w:b/>
      <w:color w:val="000000"/>
      <w:sz w:val="22"/>
      <w:szCs w:val="22"/>
      <w:u w:val="none"/>
    </w:rPr>
  </w:style>
  <w:style w:type="character" w:customStyle="1" w:styleId="103">
    <w:name w:val="样式1 Char Char"/>
    <w:link w:val="104"/>
    <w:qFormat/>
    <w:uiPriority w:val="0"/>
    <w:rPr>
      <w:rFonts w:ascii="宋体" w:hAnsi="宋体" w:eastAsia="宋体" w:cs="Times New Roman"/>
      <w:kern w:val="0"/>
      <w:szCs w:val="21"/>
    </w:rPr>
  </w:style>
  <w:style w:type="paragraph" w:customStyle="1" w:styleId="104">
    <w:name w:val="样式1"/>
    <w:basedOn w:val="1"/>
    <w:link w:val="103"/>
    <w:qFormat/>
    <w:uiPriority w:val="0"/>
    <w:pPr>
      <w:tabs>
        <w:tab w:val="left" w:pos="360"/>
      </w:tabs>
      <w:adjustRightInd w:val="0"/>
      <w:ind w:left="360" w:hanging="360"/>
      <w:textAlignment w:val="baseline"/>
    </w:pPr>
    <w:rPr>
      <w:rFonts w:ascii="宋体" w:hAnsi="宋体"/>
      <w:kern w:val="0"/>
      <w:sz w:val="20"/>
      <w:szCs w:val="21"/>
    </w:rPr>
  </w:style>
  <w:style w:type="character" w:customStyle="1" w:styleId="105">
    <w:name w:val="font51"/>
    <w:qFormat/>
    <w:uiPriority w:val="0"/>
    <w:rPr>
      <w:rFonts w:hint="default" w:ascii="微软雅黑 Light" w:hAnsi="微软雅黑 Light" w:eastAsia="微软雅黑 Light" w:cs="微软雅黑 Light"/>
      <w:b/>
      <w:color w:val="000000"/>
      <w:sz w:val="22"/>
      <w:szCs w:val="22"/>
      <w:u w:val="none"/>
    </w:rPr>
  </w:style>
  <w:style w:type="character" w:customStyle="1" w:styleId="106">
    <w:name w:val="font121"/>
    <w:qFormat/>
    <w:uiPriority w:val="0"/>
    <w:rPr>
      <w:rFonts w:hint="eastAsia" w:ascii="等线" w:hAnsi="等线" w:eastAsia="等线" w:cs="等线"/>
      <w:b/>
      <w:color w:val="000000"/>
      <w:sz w:val="24"/>
      <w:szCs w:val="24"/>
      <w:u w:val="none"/>
    </w:rPr>
  </w:style>
  <w:style w:type="character" w:customStyle="1" w:styleId="107">
    <w:name w:val="fontstyle21"/>
    <w:qFormat/>
    <w:uiPriority w:val="0"/>
    <w:rPr>
      <w:rFonts w:hint="eastAsia" w:ascii="宋体" w:hAnsi="宋体" w:eastAsia="宋体"/>
      <w:color w:val="993300"/>
      <w:sz w:val="24"/>
      <w:szCs w:val="24"/>
    </w:rPr>
  </w:style>
  <w:style w:type="character" w:customStyle="1" w:styleId="108">
    <w:name w:val="font21"/>
    <w:basedOn w:val="50"/>
    <w:qFormat/>
    <w:uiPriority w:val="0"/>
    <w:rPr>
      <w:rFonts w:hint="eastAsia" w:ascii="宋体" w:hAnsi="宋体" w:eastAsia="宋体" w:cs="宋体"/>
      <w:color w:val="000000"/>
      <w:sz w:val="22"/>
      <w:szCs w:val="22"/>
      <w:u w:val="none"/>
    </w:rPr>
  </w:style>
  <w:style w:type="character" w:customStyle="1" w:styleId="109">
    <w:name w:val="列出段落 Char"/>
    <w:link w:val="66"/>
    <w:qFormat/>
    <w:uiPriority w:val="0"/>
    <w:rPr>
      <w:rFonts w:ascii="Times New Roman" w:hAnsi="Times New Roman" w:eastAsia="宋体" w:cs="Times New Roman"/>
      <w:szCs w:val="24"/>
    </w:rPr>
  </w:style>
  <w:style w:type="character" w:customStyle="1" w:styleId="110">
    <w:name w:val="font61"/>
    <w:qFormat/>
    <w:uiPriority w:val="0"/>
    <w:rPr>
      <w:rFonts w:hint="default" w:ascii="Times New Roman" w:hAnsi="Times New Roman" w:cs="Times New Roman"/>
      <w:color w:val="auto"/>
      <w:sz w:val="24"/>
      <w:szCs w:val="24"/>
      <w:u w:val="none"/>
    </w:rPr>
  </w:style>
  <w:style w:type="character" w:customStyle="1" w:styleId="111">
    <w:name w:val="DMT-正文样式1 字符"/>
    <w:link w:val="112"/>
    <w:qFormat/>
    <w:uiPriority w:val="0"/>
    <w:rPr>
      <w:sz w:val="28"/>
    </w:rPr>
  </w:style>
  <w:style w:type="paragraph" w:customStyle="1" w:styleId="112">
    <w:name w:val="DMT-正文样式1"/>
    <w:basedOn w:val="1"/>
    <w:link w:val="111"/>
    <w:qFormat/>
    <w:uiPriority w:val="0"/>
    <w:pPr>
      <w:spacing w:beforeLines="50" w:afterLines="50" w:line="360" w:lineRule="auto"/>
      <w:ind w:firstLine="200" w:firstLineChars="200"/>
    </w:pPr>
    <w:rPr>
      <w:kern w:val="0"/>
      <w:sz w:val="28"/>
      <w:szCs w:val="20"/>
    </w:rPr>
  </w:style>
  <w:style w:type="character" w:customStyle="1" w:styleId="113">
    <w:name w:val="font41"/>
    <w:basedOn w:val="50"/>
    <w:qFormat/>
    <w:uiPriority w:val="0"/>
    <w:rPr>
      <w:rFonts w:hint="eastAsia" w:ascii="宋体" w:hAnsi="宋体" w:eastAsia="宋体" w:cs="宋体"/>
      <w:color w:val="000000"/>
      <w:sz w:val="24"/>
      <w:szCs w:val="24"/>
      <w:u w:val="none"/>
    </w:rPr>
  </w:style>
  <w:style w:type="character" w:customStyle="1" w:styleId="114">
    <w:name w:val="NormalCharacter"/>
    <w:qFormat/>
    <w:uiPriority w:val="0"/>
  </w:style>
  <w:style w:type="character" w:customStyle="1" w:styleId="115">
    <w:name w:val="fontstyle01"/>
    <w:qFormat/>
    <w:uiPriority w:val="0"/>
    <w:rPr>
      <w:rFonts w:hint="eastAsia" w:ascii="宋体" w:hAnsi="宋体" w:eastAsia="宋体"/>
      <w:color w:val="000000"/>
      <w:sz w:val="24"/>
      <w:szCs w:val="24"/>
    </w:rPr>
  </w:style>
  <w:style w:type="character" w:customStyle="1" w:styleId="116">
    <w:name w:val="p0 Char"/>
    <w:link w:val="117"/>
    <w:qFormat/>
    <w:uiPriority w:val="0"/>
    <w:rPr>
      <w:rFonts w:eastAsia="宋体"/>
      <w:szCs w:val="21"/>
    </w:rPr>
  </w:style>
  <w:style w:type="paragraph" w:customStyle="1" w:styleId="117">
    <w:name w:val="p0"/>
    <w:basedOn w:val="1"/>
    <w:link w:val="116"/>
    <w:qFormat/>
    <w:uiPriority w:val="0"/>
    <w:pPr>
      <w:widowControl/>
    </w:pPr>
    <w:rPr>
      <w:kern w:val="0"/>
      <w:sz w:val="20"/>
      <w:szCs w:val="21"/>
    </w:rPr>
  </w:style>
  <w:style w:type="character" w:customStyle="1" w:styleId="118">
    <w:name w:val="font71"/>
    <w:qFormat/>
    <w:uiPriority w:val="0"/>
    <w:rPr>
      <w:rFonts w:hint="eastAsia" w:ascii="宋体" w:hAnsi="宋体" w:eastAsia="宋体" w:cs="宋体"/>
      <w:color w:val="auto"/>
      <w:sz w:val="24"/>
      <w:szCs w:val="24"/>
      <w:u w:val="none"/>
    </w:rPr>
  </w:style>
  <w:style w:type="character" w:customStyle="1" w:styleId="119">
    <w:name w:val="页脚 字符"/>
    <w:qFormat/>
    <w:uiPriority w:val="99"/>
  </w:style>
  <w:style w:type="character" w:customStyle="1" w:styleId="120">
    <w:name w:val="标题 Char1"/>
    <w:qFormat/>
    <w:uiPriority w:val="10"/>
    <w:rPr>
      <w:rFonts w:ascii="Cambria" w:hAnsi="Cambria" w:eastAsia="宋体" w:cs="黑体"/>
      <w:b/>
      <w:bCs/>
      <w:sz w:val="32"/>
      <w:szCs w:val="32"/>
    </w:rPr>
  </w:style>
  <w:style w:type="character" w:customStyle="1" w:styleId="121">
    <w:name w:val="font161"/>
    <w:qFormat/>
    <w:uiPriority w:val="0"/>
    <w:rPr>
      <w:rFonts w:hint="eastAsia" w:ascii="等线" w:hAnsi="等线" w:eastAsia="等线" w:cs="等线"/>
      <w:color w:val="000000"/>
      <w:sz w:val="24"/>
      <w:szCs w:val="24"/>
      <w:u w:val="none"/>
    </w:rPr>
  </w:style>
  <w:style w:type="character" w:customStyle="1" w:styleId="122">
    <w:name w:val="fontstyle11"/>
    <w:qFormat/>
    <w:uiPriority w:val="0"/>
    <w:rPr>
      <w:rFonts w:hint="default" w:ascii="TimesNewRomanPSMT" w:hAnsi="TimesNewRomanPSMT"/>
      <w:color w:val="000000"/>
      <w:sz w:val="24"/>
      <w:szCs w:val="24"/>
    </w:rPr>
  </w:style>
  <w:style w:type="character" w:customStyle="1" w:styleId="123">
    <w:name w:val="font151"/>
    <w:qFormat/>
    <w:uiPriority w:val="0"/>
    <w:rPr>
      <w:rFonts w:hint="default" w:ascii="Times New Roman" w:hAnsi="Times New Roman" w:cs="Times New Roman"/>
      <w:color w:val="000000"/>
      <w:sz w:val="14"/>
      <w:szCs w:val="14"/>
      <w:u w:val="none"/>
    </w:rPr>
  </w:style>
  <w:style w:type="character" w:customStyle="1" w:styleId="124">
    <w:name w:val="批注文字 Char"/>
    <w:qFormat/>
    <w:uiPriority w:val="0"/>
    <w:rPr>
      <w:rFonts w:ascii="Times New Roman" w:hAnsi="Times New Roman" w:eastAsia="宋体" w:cs="Times New Roman"/>
      <w:szCs w:val="24"/>
    </w:rPr>
  </w:style>
  <w:style w:type="paragraph" w:customStyle="1" w:styleId="12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26">
    <w:name w:val="xl87"/>
    <w:basedOn w:val="1"/>
    <w:qFormat/>
    <w:uiPriority w:val="0"/>
    <w:pPr>
      <w:widowControl/>
      <w:pBdr>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2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9">
    <w:name w:val="Normal_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0">
    <w:name w:val="xl91"/>
    <w:basedOn w:val="1"/>
    <w:qFormat/>
    <w:uiPriority w:val="0"/>
    <w:pPr>
      <w:widowControl/>
      <w:pBdr>
        <w:top w:val="single" w:color="000000" w:sz="4" w:space="0"/>
        <w:bottom w:val="single" w:color="000000" w:sz="4" w:space="0"/>
        <w:right w:val="single" w:color="000000" w:sz="4" w:space="0"/>
      </w:pBdr>
      <w:spacing w:before="100" w:beforeAutospacing="1" w:after="100" w:afterAutospacing="1"/>
    </w:pPr>
    <w:rPr>
      <w:rFonts w:ascii="宋体" w:hAnsi="宋体" w:cs="宋体"/>
      <w:color w:val="000000"/>
      <w:kern w:val="0"/>
      <w:sz w:val="20"/>
      <w:szCs w:val="20"/>
    </w:rPr>
  </w:style>
  <w:style w:type="paragraph" w:customStyle="1" w:styleId="131">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13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3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34">
    <w:name w:val="xl90"/>
    <w:basedOn w:val="1"/>
    <w:qFormat/>
    <w:uiPriority w:val="0"/>
    <w:pPr>
      <w:widowControl/>
      <w:pBdr>
        <w:bottom w:val="single" w:color="000000" w:sz="4" w:space="0"/>
        <w:right w:val="single" w:color="000000"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3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36">
    <w:name w:val="xl86"/>
    <w:basedOn w:val="1"/>
    <w:qFormat/>
    <w:uiPriority w:val="0"/>
    <w:pPr>
      <w:widowControl/>
      <w:pBdr>
        <w:bottom w:val="single" w:color="000000" w:sz="4" w:space="0"/>
        <w:right w:val="single" w:color="000000" w:sz="4" w:space="0"/>
      </w:pBdr>
      <w:spacing w:before="100" w:beforeAutospacing="1" w:after="100" w:afterAutospacing="1"/>
    </w:pPr>
    <w:rPr>
      <w:rFonts w:ascii="宋体" w:hAnsi="宋体" w:cs="宋体"/>
      <w:color w:val="000000"/>
      <w:kern w:val="0"/>
      <w:sz w:val="20"/>
      <w:szCs w:val="20"/>
    </w:rPr>
  </w:style>
  <w:style w:type="paragraph" w:customStyle="1" w:styleId="137">
    <w:name w:val="Char Char1 Char Char Char Char Char1 Char Char Char Char"/>
    <w:basedOn w:val="16"/>
    <w:qFormat/>
    <w:uiPriority w:val="0"/>
    <w:rPr>
      <w:rFonts w:ascii="Tahoma" w:hAnsi="Tahoma"/>
    </w:rPr>
  </w:style>
  <w:style w:type="paragraph" w:customStyle="1" w:styleId="138">
    <w:name w:val="_Style 113"/>
    <w:basedOn w:val="1"/>
    <w:next w:val="139"/>
    <w:qFormat/>
    <w:uiPriority w:val="34"/>
    <w:pPr>
      <w:spacing w:line="360" w:lineRule="auto"/>
      <w:ind w:firstLine="200" w:firstLineChars="200"/>
    </w:pPr>
  </w:style>
  <w:style w:type="paragraph" w:styleId="139">
    <w:name w:val="List Paragraph"/>
    <w:basedOn w:val="1"/>
    <w:qFormat/>
    <w:uiPriority w:val="34"/>
    <w:pPr>
      <w:ind w:firstLine="420" w:firstLineChars="200"/>
    </w:pPr>
    <w:rPr>
      <w:rFonts w:ascii="Arial" w:hAnsi="Arial" w:eastAsia="微软雅黑"/>
      <w:szCs w:val="22"/>
    </w:rPr>
  </w:style>
  <w:style w:type="paragraph" w:customStyle="1" w:styleId="14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41">
    <w:name w:val="Normal_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43">
    <w:name w:val="xl9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44">
    <w:name w:val="xl85"/>
    <w:basedOn w:val="1"/>
    <w:qFormat/>
    <w:uiPriority w:val="0"/>
    <w:pPr>
      <w:widowControl/>
      <w:pBdr>
        <w:bottom w:val="single" w:color="000000" w:sz="4" w:space="0"/>
        <w:right w:val="single" w:color="000000" w:sz="4" w:space="0"/>
      </w:pBdr>
      <w:spacing w:before="100" w:beforeAutospacing="1" w:after="100" w:afterAutospacing="1"/>
    </w:pPr>
    <w:rPr>
      <w:rFonts w:ascii="宋体" w:hAnsi="宋体" w:cs="宋体"/>
      <w:color w:val="000000"/>
      <w:kern w:val="0"/>
      <w:sz w:val="18"/>
      <w:szCs w:val="18"/>
    </w:rPr>
  </w:style>
  <w:style w:type="paragraph" w:customStyle="1" w:styleId="14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4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7">
    <w:name w:val="Char"/>
    <w:basedOn w:val="1"/>
    <w:qFormat/>
    <w:uiPriority w:val="0"/>
    <w:pPr>
      <w:tabs>
        <w:tab w:val="left" w:pos="360"/>
      </w:tabs>
      <w:ind w:left="360" w:hanging="360" w:hangingChars="200"/>
    </w:pPr>
    <w:rPr>
      <w:sz w:val="24"/>
    </w:rPr>
  </w:style>
  <w:style w:type="paragraph" w:customStyle="1" w:styleId="148">
    <w:name w:val="xl67"/>
    <w:basedOn w:val="1"/>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49">
    <w:name w:val="Normal_8"/>
    <w:qFormat/>
    <w:uiPriority w:val="0"/>
    <w:rPr>
      <w:rFonts w:ascii="Times New Roman" w:hAnsi="Times New Roman" w:eastAsia="Times New Roman" w:cs="Times New Roman"/>
      <w:sz w:val="24"/>
      <w:szCs w:val="24"/>
      <w:lang w:val="en-US" w:eastAsia="zh-CN" w:bidi="ar-SA"/>
    </w:rPr>
  </w:style>
  <w:style w:type="paragraph" w:customStyle="1" w:styleId="15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1">
    <w:name w:val="font8"/>
    <w:basedOn w:val="1"/>
    <w:qFormat/>
    <w:uiPriority w:val="0"/>
    <w:pPr>
      <w:widowControl/>
      <w:spacing w:before="100" w:beforeAutospacing="1" w:after="100" w:afterAutospacing="1"/>
      <w:jc w:val="left"/>
    </w:pPr>
    <w:rPr>
      <w:color w:val="000000"/>
      <w:kern w:val="0"/>
      <w:sz w:val="20"/>
      <w:szCs w:val="20"/>
    </w:rPr>
  </w:style>
  <w:style w:type="paragraph" w:customStyle="1" w:styleId="15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3">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54">
    <w:name w:val="xl89"/>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55">
    <w:name w:val="font7"/>
    <w:basedOn w:val="1"/>
    <w:qFormat/>
    <w:uiPriority w:val="0"/>
    <w:pPr>
      <w:widowControl/>
      <w:spacing w:before="100" w:beforeAutospacing="1" w:after="100" w:afterAutospacing="1"/>
      <w:jc w:val="left"/>
    </w:pPr>
    <w:rPr>
      <w:kern w:val="0"/>
      <w:sz w:val="20"/>
      <w:szCs w:val="20"/>
    </w:rPr>
  </w:style>
  <w:style w:type="paragraph" w:customStyle="1" w:styleId="156">
    <w:name w:val="xl8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5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5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60">
    <w:name w:val="样式 标题 1正文一级标题H1L1 Heading 1h11st levelh111st level1headi..."/>
    <w:basedOn w:val="3"/>
    <w:qFormat/>
    <w:uiPriority w:val="0"/>
    <w:pPr>
      <w:keepLines/>
      <w:spacing w:before="340" w:after="330" w:line="360" w:lineRule="auto"/>
      <w:jc w:val="both"/>
    </w:pPr>
    <w:rPr>
      <w:rFonts w:eastAsia="黑体" w:cs="宋体"/>
      <w:kern w:val="44"/>
      <w:sz w:val="44"/>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2">
    <w:name w:val="Normal_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63">
    <w:name w:val="p16"/>
    <w:basedOn w:val="1"/>
    <w:qFormat/>
    <w:uiPriority w:val="0"/>
    <w:pPr>
      <w:widowControl/>
      <w:jc w:val="left"/>
    </w:pPr>
    <w:rPr>
      <w:kern w:val="0"/>
      <w:szCs w:val="21"/>
    </w:rPr>
  </w:style>
  <w:style w:type="paragraph" w:styleId="164">
    <w:name w:val="No Spacing"/>
    <w:qFormat/>
    <w:uiPriority w:val="1"/>
    <w:pPr>
      <w:widowControl w:val="0"/>
      <w:jc w:val="both"/>
    </w:pPr>
    <w:rPr>
      <w:rFonts w:ascii="Times New Roman" w:hAnsi="Times New Roman" w:eastAsia="宋体" w:cs="Times New Roman"/>
      <w:kern w:val="2"/>
      <w:sz w:val="24"/>
      <w:szCs w:val="24"/>
      <w:lang w:val="en-US" w:eastAsia="zh-CN" w:bidi="ar-SA"/>
    </w:rPr>
  </w:style>
  <w:style w:type="paragraph" w:customStyle="1" w:styleId="165">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font11"/>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167">
    <w:name w:val="Char1 Char Char Char 字元 Char Char 字元 Char 字元 Char1 Char Char Char"/>
    <w:basedOn w:val="1"/>
    <w:qFormat/>
    <w:uiPriority w:val="0"/>
    <w:rPr>
      <w:szCs w:val="20"/>
    </w:rPr>
  </w:style>
  <w:style w:type="paragraph" w:customStyle="1" w:styleId="168">
    <w:name w:val="TOC 标题1"/>
    <w:basedOn w:val="3"/>
    <w:next w:val="1"/>
    <w:unhideWhenUsed/>
    <w:qFormat/>
    <w:uiPriority w:val="39"/>
    <w:pPr>
      <w:keepLines/>
      <w:widowControl/>
      <w:spacing w:before="480" w:line="276" w:lineRule="auto"/>
      <w:jc w:val="left"/>
      <w:outlineLvl w:val="9"/>
    </w:pPr>
    <w:rPr>
      <w:rFonts w:ascii="Cambria" w:hAnsi="Cambria" w:cs="黑体"/>
      <w:color w:val="365F90"/>
      <w:sz w:val="28"/>
      <w:szCs w:val="28"/>
    </w:rPr>
  </w:style>
  <w:style w:type="paragraph" w:customStyle="1" w:styleId="16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0">
    <w:name w:val="Char Char Char"/>
    <w:basedOn w:val="1"/>
    <w:qFormat/>
    <w:uiPriority w:val="0"/>
    <w:rPr>
      <w:rFonts w:ascii="宋体" w:hAnsi="宋体"/>
      <w:b/>
      <w:sz w:val="28"/>
      <w:szCs w:val="28"/>
    </w:rPr>
  </w:style>
  <w:style w:type="paragraph" w:customStyle="1" w:styleId="17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2">
    <w:name w:val="font6"/>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73">
    <w:name w:val="Plain Text1"/>
    <w:qFormat/>
    <w:uiPriority w:val="99"/>
    <w:rPr>
      <w:rFonts w:ascii="宋体" w:hAnsi="Courier New" w:eastAsia="宋体" w:cs="Times New Roman"/>
      <w:sz w:val="21"/>
      <w:lang w:val="en-US" w:eastAsia="zh-CN" w:bidi="ar-SA"/>
    </w:rPr>
  </w:style>
  <w:style w:type="paragraph" w:customStyle="1" w:styleId="174">
    <w:name w:val="Normal_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7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表格内容"/>
    <w:basedOn w:val="2"/>
    <w:qFormat/>
    <w:uiPriority w:val="0"/>
    <w:pPr>
      <w:suppressLineNumbers/>
      <w:suppressAutoHyphens/>
      <w:jc w:val="left"/>
    </w:pPr>
    <w:rPr>
      <w:rFonts w:cs="Tahoma"/>
      <w:sz w:val="24"/>
    </w:rPr>
  </w:style>
  <w:style w:type="paragraph" w:customStyle="1" w:styleId="177">
    <w:name w:val="xl8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78">
    <w:name w:val="xl68"/>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79">
    <w:name w:val="xl8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80">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8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3">
    <w:name w:val="xl9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8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85">
    <w:name w:val="xl66"/>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86">
    <w:name w:val="font10"/>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customStyle="1" w:styleId="187">
    <w:name w:val="标题 1 +"/>
    <w:basedOn w:val="3"/>
    <w:next w:val="1"/>
    <w:qFormat/>
    <w:uiPriority w:val="0"/>
    <w:pPr>
      <w:keepLines/>
      <w:spacing w:line="600" w:lineRule="auto"/>
    </w:pPr>
    <w:rPr>
      <w:rFonts w:eastAsia="黑体"/>
      <w:sz w:val="32"/>
      <w:szCs w:val="32"/>
    </w:rPr>
  </w:style>
  <w:style w:type="paragraph" w:customStyle="1" w:styleId="188">
    <w:name w:val="xl92"/>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189">
    <w:name w:val="xl69"/>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9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191">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2">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4">
    <w:name w:val="Normal_36"/>
    <w:qFormat/>
    <w:uiPriority w:val="0"/>
    <w:rPr>
      <w:rFonts w:ascii="Times New Roman" w:hAnsi="Times New Roman" w:eastAsia="Times New Roman" w:cs="Times New Roman"/>
      <w:sz w:val="24"/>
      <w:szCs w:val="24"/>
      <w:lang w:val="en-US" w:eastAsia="zh-CN" w:bidi="ar-SA"/>
    </w:rPr>
  </w:style>
  <w:style w:type="paragraph" w:customStyle="1" w:styleId="195">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6">
    <w:name w:val="正文_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7">
    <w:name w:val="正文_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8">
    <w:name w:val="正文_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9">
    <w:name w:val="正文_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0">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01">
    <w:name w:val="font101"/>
    <w:qFormat/>
    <w:uiPriority w:val="0"/>
    <w:rPr>
      <w:rFonts w:hint="default" w:ascii="Times New Roman" w:hAnsi="Times New Roman" w:cs="Times New Roman"/>
      <w:color w:val="000000"/>
      <w:sz w:val="18"/>
      <w:szCs w:val="18"/>
      <w:u w:val="none"/>
    </w:rPr>
  </w:style>
  <w:style w:type="character" w:customStyle="1" w:styleId="202">
    <w:name w:val="font112"/>
    <w:qFormat/>
    <w:uiPriority w:val="0"/>
    <w:rPr>
      <w:rFonts w:hint="eastAsia" w:ascii="宋体" w:hAnsi="宋体" w:eastAsia="宋体" w:cs="宋体"/>
      <w:color w:val="000000"/>
      <w:sz w:val="20"/>
      <w:szCs w:val="20"/>
      <w:u w:val="none"/>
    </w:rPr>
  </w:style>
  <w:style w:type="character" w:customStyle="1" w:styleId="203">
    <w:name w:val="l-btn-icon-right"/>
    <w:qFormat/>
    <w:uiPriority w:val="0"/>
  </w:style>
  <w:style w:type="character" w:customStyle="1" w:styleId="204">
    <w:name w:val="l-btn-left"/>
    <w:qFormat/>
    <w:uiPriority w:val="0"/>
  </w:style>
  <w:style w:type="character" w:customStyle="1" w:styleId="205">
    <w:name w:val="l-btn-left1"/>
    <w:qFormat/>
    <w:uiPriority w:val="0"/>
  </w:style>
  <w:style w:type="character" w:customStyle="1" w:styleId="206">
    <w:name w:val="l-btn-left2"/>
    <w:qFormat/>
    <w:uiPriority w:val="0"/>
  </w:style>
  <w:style w:type="character" w:customStyle="1" w:styleId="207">
    <w:name w:val="l-btn-left3"/>
    <w:qFormat/>
    <w:uiPriority w:val="0"/>
  </w:style>
  <w:style w:type="character" w:customStyle="1" w:styleId="208">
    <w:name w:val="l-btn-text"/>
    <w:qFormat/>
    <w:uiPriority w:val="0"/>
    <w:rPr>
      <w:sz w:val="18"/>
      <w:szCs w:val="18"/>
      <w:vertAlign w:val="baseline"/>
    </w:rPr>
  </w:style>
  <w:style w:type="character" w:customStyle="1" w:styleId="209">
    <w:name w:val="l-btn-icon-left"/>
    <w:qFormat/>
    <w:uiPriority w:val="0"/>
  </w:style>
  <w:style w:type="character" w:customStyle="1" w:styleId="210">
    <w:name w:val="l-btn-empty"/>
    <w:qFormat/>
    <w:uiPriority w:val="0"/>
  </w:style>
  <w:style w:type="character" w:customStyle="1" w:styleId="211">
    <w:name w:val="l-btn-left4"/>
    <w:qFormat/>
    <w:uiPriority w:val="0"/>
  </w:style>
  <w:style w:type="character" w:customStyle="1" w:styleId="212">
    <w:name w:val="l-btn-left5"/>
    <w:qFormat/>
    <w:uiPriority w:val="0"/>
  </w:style>
  <w:style w:type="character" w:customStyle="1" w:styleId="213">
    <w:name w:val="UserStyle_2"/>
    <w:qFormat/>
    <w:uiPriority w:val="0"/>
    <w:rPr>
      <w:rFonts w:ascii="宋体" w:hAnsi="宋体" w:eastAsia="宋体"/>
      <w:color w:val="000000"/>
      <w:sz w:val="22"/>
      <w:szCs w:val="22"/>
    </w:rPr>
  </w:style>
  <w:style w:type="character" w:customStyle="1" w:styleId="214">
    <w:name w:val="UserStyle_3"/>
    <w:qFormat/>
    <w:uiPriority w:val="0"/>
    <w:rPr>
      <w:rFonts w:ascii="宋体" w:hAnsi="宋体" w:eastAsia="宋体"/>
      <w:color w:val="FF0000"/>
      <w:sz w:val="22"/>
      <w:szCs w:val="22"/>
    </w:rPr>
  </w:style>
  <w:style w:type="paragraph" w:customStyle="1" w:styleId="215">
    <w:name w:val="CZG正文"/>
    <w:basedOn w:val="1"/>
    <w:qFormat/>
    <w:uiPriority w:val="0"/>
    <w:pPr>
      <w:spacing w:line="440" w:lineRule="exact"/>
    </w:pPr>
    <w:rPr>
      <w:rFonts w:ascii="幼圆" w:eastAsia="幼圆"/>
      <w:sz w:val="24"/>
    </w:rPr>
  </w:style>
  <w:style w:type="paragraph" w:customStyle="1" w:styleId="216">
    <w:name w:val="Table Paragraph"/>
    <w:basedOn w:val="1"/>
    <w:qFormat/>
    <w:uiPriority w:val="1"/>
    <w:rPr>
      <w:rFonts w:ascii="宋体" w:hAnsi="宋体" w:cs="宋体"/>
      <w:lang w:val="zh-CN" w:bidi="zh-CN"/>
    </w:rPr>
  </w:style>
  <w:style w:type="character" w:customStyle="1" w:styleId="217">
    <w:name w:val="font31"/>
    <w:basedOn w:val="50"/>
    <w:qFormat/>
    <w:uiPriority w:val="0"/>
    <w:rPr>
      <w:rFonts w:ascii="Malgun Gothic" w:hAnsi="Malgun Gothic" w:eastAsia="Malgun Gothic" w:cs="Malgun Gothic"/>
      <w:color w:val="000000"/>
      <w:sz w:val="22"/>
      <w:szCs w:val="22"/>
      <w:u w:val="none"/>
    </w:rPr>
  </w:style>
  <w:style w:type="character" w:customStyle="1" w:styleId="218">
    <w:name w:val="layui-this2"/>
    <w:qFormat/>
    <w:uiPriority w:val="0"/>
    <w:rPr>
      <w:bdr w:val="single" w:color="EEEEEE" w:sz="4" w:space="0"/>
      <w:shd w:val="clear" w:color="auto" w:fill="FFFFFF"/>
    </w:rPr>
  </w:style>
  <w:style w:type="character" w:customStyle="1" w:styleId="219">
    <w:name w:val="layui-laypage-curr"/>
    <w:qFormat/>
    <w:uiPriority w:val="0"/>
  </w:style>
  <w:style w:type="character" w:customStyle="1" w:styleId="220">
    <w:name w:val="first-child"/>
    <w:qFormat/>
    <w:uiPriority w:val="0"/>
  </w:style>
  <w:style w:type="paragraph" w:customStyle="1" w:styleId="221">
    <w:name w:val="正文[858D7CFB-ED40-4347-BF05-701D383B685F][858D7CFB-ED40-4347-BF05-701D383B685F]"/>
    <w:basedOn w:val="14"/>
    <w:next w:val="14"/>
    <w:qFormat/>
    <w:uiPriority w:val="0"/>
    <w:pPr>
      <w:adjustRightInd/>
    </w:pPr>
    <w:rPr>
      <w:rFonts w:hint="eastAsia" w:hAnsi="黑体"/>
      <w:color w:val="000000"/>
      <w:sz w:val="24"/>
    </w:rPr>
  </w:style>
  <w:style w:type="paragraph" w:customStyle="1" w:styleId="222">
    <w:name w:val="PlainText"/>
    <w:basedOn w:val="1"/>
    <w:link w:val="223"/>
    <w:qFormat/>
    <w:uiPriority w:val="0"/>
    <w:pPr>
      <w:textAlignment w:val="baseline"/>
    </w:pPr>
    <w:rPr>
      <w:rFonts w:ascii="宋体" w:hAnsi="Courier New"/>
    </w:rPr>
  </w:style>
  <w:style w:type="character" w:customStyle="1" w:styleId="223">
    <w:name w:val="UserStyle_81"/>
    <w:link w:val="222"/>
    <w:qFormat/>
    <w:locked/>
    <w:uiPriority w:val="0"/>
    <w:rPr>
      <w:rFonts w:ascii="宋体" w:hAnsi="Courier New" w:cs="Times New Roman"/>
      <w:kern w:val="2"/>
      <w:sz w:val="21"/>
      <w:szCs w:val="24"/>
    </w:rPr>
  </w:style>
  <w:style w:type="paragraph" w:customStyle="1" w:styleId="224">
    <w:name w:val="Heading1"/>
    <w:basedOn w:val="1"/>
    <w:next w:val="1"/>
    <w:link w:val="225"/>
    <w:qFormat/>
    <w:uiPriority w:val="0"/>
    <w:pPr>
      <w:keepNext/>
      <w:widowControl/>
      <w:jc w:val="center"/>
      <w:textAlignment w:val="baseline"/>
    </w:pPr>
    <w:rPr>
      <w:rFonts w:ascii="Calibri" w:hAnsi="Calibri"/>
      <w:b/>
      <w:bCs/>
      <w:sz w:val="24"/>
      <w:szCs w:val="20"/>
    </w:rPr>
  </w:style>
  <w:style w:type="character" w:customStyle="1" w:styleId="225">
    <w:name w:val="UserStyle_88"/>
    <w:link w:val="224"/>
    <w:qFormat/>
    <w:locked/>
    <w:uiPriority w:val="0"/>
    <w:rPr>
      <w:rFonts w:ascii="Calibri" w:hAnsi="Calibri"/>
      <w:b/>
      <w:bCs/>
      <w:kern w:val="2"/>
      <w:sz w:val="24"/>
    </w:rPr>
  </w:style>
  <w:style w:type="paragraph" w:customStyle="1" w:styleId="226">
    <w:name w:val="Heading2"/>
    <w:basedOn w:val="1"/>
    <w:next w:val="1"/>
    <w:link w:val="227"/>
    <w:qFormat/>
    <w:uiPriority w:val="0"/>
    <w:pPr>
      <w:keepNext/>
      <w:keepLines/>
      <w:widowControl/>
      <w:spacing w:line="360" w:lineRule="auto"/>
      <w:textAlignment w:val="baseline"/>
    </w:pPr>
    <w:rPr>
      <w:rFonts w:ascii="Arial" w:hAnsi="Arial"/>
      <w:b/>
      <w:bCs/>
      <w:sz w:val="24"/>
      <w:szCs w:val="32"/>
    </w:rPr>
  </w:style>
  <w:style w:type="character" w:customStyle="1" w:styleId="227">
    <w:name w:val="UserStyle_41"/>
    <w:link w:val="226"/>
    <w:qFormat/>
    <w:locked/>
    <w:uiPriority w:val="0"/>
    <w:rPr>
      <w:rFonts w:ascii="Arial" w:hAnsi="Arial"/>
      <w:b/>
      <w:bCs/>
      <w:kern w:val="2"/>
      <w:sz w:val="24"/>
      <w:szCs w:val="32"/>
    </w:rPr>
  </w:style>
  <w:style w:type="paragraph" w:customStyle="1" w:styleId="228">
    <w:name w:val="Heading3"/>
    <w:basedOn w:val="1"/>
    <w:next w:val="1"/>
    <w:link w:val="229"/>
    <w:qFormat/>
    <w:uiPriority w:val="0"/>
    <w:pPr>
      <w:keepNext/>
      <w:keepLines/>
      <w:widowControl/>
      <w:spacing w:before="260" w:after="260" w:line="415" w:lineRule="auto"/>
      <w:textAlignment w:val="baseline"/>
    </w:pPr>
    <w:rPr>
      <w:rFonts w:ascii="Calibri" w:hAnsi="Calibri"/>
      <w:b/>
      <w:bCs/>
      <w:sz w:val="32"/>
      <w:szCs w:val="32"/>
    </w:rPr>
  </w:style>
  <w:style w:type="character" w:customStyle="1" w:styleId="229">
    <w:name w:val="UserStyle_38"/>
    <w:link w:val="228"/>
    <w:qFormat/>
    <w:locked/>
    <w:uiPriority w:val="0"/>
    <w:rPr>
      <w:rFonts w:ascii="Calibri" w:hAnsi="Calibri"/>
      <w:b/>
      <w:bCs/>
      <w:kern w:val="2"/>
      <w:sz w:val="32"/>
      <w:szCs w:val="32"/>
    </w:rPr>
  </w:style>
  <w:style w:type="paragraph" w:customStyle="1" w:styleId="230">
    <w:name w:val="Heading4"/>
    <w:basedOn w:val="1"/>
    <w:next w:val="1"/>
    <w:link w:val="231"/>
    <w:qFormat/>
    <w:uiPriority w:val="0"/>
    <w:pPr>
      <w:keepNext/>
      <w:keepLines/>
      <w:widowControl/>
      <w:spacing w:before="280" w:after="290" w:line="374" w:lineRule="auto"/>
      <w:textAlignment w:val="baseline"/>
    </w:pPr>
    <w:rPr>
      <w:rFonts w:ascii="Arial" w:hAnsi="Arial" w:eastAsia="黑体"/>
      <w:b/>
      <w:bCs/>
      <w:sz w:val="28"/>
      <w:szCs w:val="28"/>
    </w:rPr>
  </w:style>
  <w:style w:type="character" w:customStyle="1" w:styleId="231">
    <w:name w:val="UserStyle_28"/>
    <w:link w:val="230"/>
    <w:qFormat/>
    <w:locked/>
    <w:uiPriority w:val="0"/>
    <w:rPr>
      <w:rFonts w:ascii="Arial" w:hAnsi="Arial" w:eastAsia="黑体"/>
      <w:b/>
      <w:bCs/>
      <w:kern w:val="2"/>
      <w:sz w:val="28"/>
      <w:szCs w:val="28"/>
    </w:rPr>
  </w:style>
  <w:style w:type="paragraph" w:customStyle="1" w:styleId="232">
    <w:name w:val="Heading5"/>
    <w:basedOn w:val="1"/>
    <w:next w:val="1"/>
    <w:link w:val="233"/>
    <w:qFormat/>
    <w:uiPriority w:val="0"/>
    <w:pPr>
      <w:keepNext/>
      <w:keepLines/>
      <w:widowControl/>
      <w:spacing w:before="280" w:after="290" w:line="376" w:lineRule="atLeast"/>
      <w:jc w:val="left"/>
      <w:textAlignment w:val="baseline"/>
    </w:pPr>
    <w:rPr>
      <w:rFonts w:ascii="Calibri" w:hAnsi="Calibri"/>
      <w:b/>
      <w:bCs/>
      <w:kern w:val="0"/>
      <w:sz w:val="28"/>
      <w:szCs w:val="28"/>
    </w:rPr>
  </w:style>
  <w:style w:type="character" w:customStyle="1" w:styleId="233">
    <w:name w:val="UserStyle_78"/>
    <w:link w:val="232"/>
    <w:qFormat/>
    <w:locked/>
    <w:uiPriority w:val="0"/>
    <w:rPr>
      <w:rFonts w:ascii="Calibri" w:hAnsi="Calibri"/>
      <w:b/>
      <w:bCs/>
      <w:sz w:val="28"/>
      <w:szCs w:val="28"/>
    </w:rPr>
  </w:style>
  <w:style w:type="paragraph" w:customStyle="1" w:styleId="234">
    <w:name w:val="Heading6"/>
    <w:basedOn w:val="1"/>
    <w:next w:val="1"/>
    <w:link w:val="235"/>
    <w:qFormat/>
    <w:uiPriority w:val="0"/>
    <w:pPr>
      <w:keepNext/>
      <w:keepLines/>
      <w:widowControl/>
      <w:spacing w:before="240" w:after="64" w:line="320" w:lineRule="atLeast"/>
      <w:jc w:val="left"/>
      <w:textAlignment w:val="baseline"/>
    </w:pPr>
    <w:rPr>
      <w:rFonts w:ascii="Arial" w:hAnsi="Arial" w:eastAsia="黑体"/>
      <w:b/>
      <w:bCs/>
      <w:kern w:val="0"/>
      <w:sz w:val="24"/>
    </w:rPr>
  </w:style>
  <w:style w:type="character" w:customStyle="1" w:styleId="235">
    <w:name w:val="UserStyle_76"/>
    <w:link w:val="234"/>
    <w:qFormat/>
    <w:locked/>
    <w:uiPriority w:val="0"/>
    <w:rPr>
      <w:rFonts w:ascii="Arial" w:hAnsi="Arial" w:eastAsia="黑体"/>
      <w:b/>
      <w:bCs/>
      <w:sz w:val="24"/>
      <w:szCs w:val="24"/>
    </w:rPr>
  </w:style>
  <w:style w:type="paragraph" w:customStyle="1" w:styleId="236">
    <w:name w:val="Heading7"/>
    <w:basedOn w:val="1"/>
    <w:next w:val="1"/>
    <w:link w:val="237"/>
    <w:qFormat/>
    <w:uiPriority w:val="0"/>
    <w:pPr>
      <w:keepNext/>
      <w:keepLines/>
      <w:widowControl/>
      <w:spacing w:before="240" w:after="64" w:line="320" w:lineRule="atLeast"/>
      <w:jc w:val="left"/>
      <w:textAlignment w:val="baseline"/>
    </w:pPr>
    <w:rPr>
      <w:rFonts w:ascii="Calibri" w:hAnsi="Calibri"/>
      <w:b/>
      <w:bCs/>
      <w:kern w:val="0"/>
      <w:sz w:val="24"/>
    </w:rPr>
  </w:style>
  <w:style w:type="character" w:customStyle="1" w:styleId="237">
    <w:name w:val="UserStyle_84"/>
    <w:link w:val="236"/>
    <w:qFormat/>
    <w:locked/>
    <w:uiPriority w:val="0"/>
    <w:rPr>
      <w:rFonts w:ascii="Calibri" w:hAnsi="Calibri"/>
      <w:b/>
      <w:bCs/>
      <w:sz w:val="24"/>
      <w:szCs w:val="24"/>
    </w:rPr>
  </w:style>
  <w:style w:type="paragraph" w:customStyle="1" w:styleId="238">
    <w:name w:val="Heading8"/>
    <w:basedOn w:val="1"/>
    <w:next w:val="1"/>
    <w:link w:val="239"/>
    <w:qFormat/>
    <w:uiPriority w:val="0"/>
    <w:pPr>
      <w:keepNext/>
      <w:keepLines/>
      <w:widowControl/>
      <w:spacing w:before="240" w:after="64" w:line="320" w:lineRule="atLeast"/>
      <w:jc w:val="left"/>
      <w:textAlignment w:val="baseline"/>
    </w:pPr>
    <w:rPr>
      <w:rFonts w:ascii="Arial" w:hAnsi="Arial" w:eastAsia="黑体"/>
      <w:kern w:val="0"/>
      <w:sz w:val="24"/>
    </w:rPr>
  </w:style>
  <w:style w:type="character" w:customStyle="1" w:styleId="239">
    <w:name w:val="UserStyle_65"/>
    <w:link w:val="238"/>
    <w:qFormat/>
    <w:locked/>
    <w:uiPriority w:val="0"/>
    <w:rPr>
      <w:rFonts w:ascii="Arial" w:hAnsi="Arial" w:eastAsia="黑体"/>
      <w:sz w:val="24"/>
      <w:szCs w:val="24"/>
    </w:rPr>
  </w:style>
  <w:style w:type="paragraph" w:customStyle="1" w:styleId="240">
    <w:name w:val="Heading9"/>
    <w:basedOn w:val="1"/>
    <w:next w:val="1"/>
    <w:link w:val="241"/>
    <w:qFormat/>
    <w:uiPriority w:val="0"/>
    <w:pPr>
      <w:keepNext/>
      <w:keepLines/>
      <w:widowControl/>
      <w:spacing w:before="240" w:after="64" w:line="320" w:lineRule="atLeast"/>
      <w:jc w:val="left"/>
      <w:textAlignment w:val="baseline"/>
    </w:pPr>
    <w:rPr>
      <w:rFonts w:ascii="Arial" w:hAnsi="Arial" w:eastAsia="黑体"/>
      <w:kern w:val="0"/>
      <w:szCs w:val="21"/>
    </w:rPr>
  </w:style>
  <w:style w:type="character" w:customStyle="1" w:styleId="241">
    <w:name w:val="UserStyle_14"/>
    <w:link w:val="240"/>
    <w:qFormat/>
    <w:locked/>
    <w:uiPriority w:val="0"/>
    <w:rPr>
      <w:rFonts w:ascii="Arial" w:hAnsi="Arial" w:eastAsia="黑体"/>
      <w:sz w:val="21"/>
      <w:szCs w:val="21"/>
    </w:rPr>
  </w:style>
  <w:style w:type="character" w:customStyle="1" w:styleId="242">
    <w:name w:val="HtmlCode"/>
    <w:qFormat/>
    <w:uiPriority w:val="0"/>
    <w:rPr>
      <w:rFonts w:ascii="Courier New" w:hAnsi="Courier New" w:eastAsia="Courier New"/>
      <w:sz w:val="24"/>
      <w:szCs w:val="24"/>
    </w:rPr>
  </w:style>
  <w:style w:type="character" w:customStyle="1" w:styleId="243">
    <w:name w:val="AnnotationReference"/>
    <w:qFormat/>
    <w:uiPriority w:val="0"/>
    <w:rPr>
      <w:sz w:val="21"/>
      <w:szCs w:val="21"/>
    </w:rPr>
  </w:style>
  <w:style w:type="character" w:customStyle="1" w:styleId="244">
    <w:name w:val="HtmlVar"/>
    <w:qFormat/>
    <w:uiPriority w:val="0"/>
    <w:rPr>
      <w:rFonts w:ascii="Times New Roman" w:hAnsi="Times New Roman" w:eastAsia="宋体"/>
    </w:rPr>
  </w:style>
  <w:style w:type="character" w:customStyle="1" w:styleId="245">
    <w:name w:val="HtmlKbd"/>
    <w:qFormat/>
    <w:uiPriority w:val="0"/>
    <w:rPr>
      <w:rFonts w:ascii="Courier New" w:hAnsi="Courier New" w:eastAsia="Courier New"/>
      <w:sz w:val="24"/>
      <w:szCs w:val="24"/>
    </w:rPr>
  </w:style>
  <w:style w:type="character" w:customStyle="1" w:styleId="246">
    <w:name w:val="PageNumber"/>
    <w:basedOn w:val="114"/>
    <w:qFormat/>
    <w:uiPriority w:val="0"/>
  </w:style>
  <w:style w:type="character" w:customStyle="1" w:styleId="247">
    <w:name w:val="HtmlCite"/>
    <w:qFormat/>
    <w:uiPriority w:val="0"/>
    <w:rPr>
      <w:rFonts w:ascii="Times New Roman" w:hAnsi="Times New Roman" w:eastAsia="宋体"/>
    </w:rPr>
  </w:style>
  <w:style w:type="character" w:customStyle="1" w:styleId="248">
    <w:name w:val="htmlSamp"/>
    <w:qFormat/>
    <w:uiPriority w:val="0"/>
    <w:rPr>
      <w:rFonts w:ascii="Courier New" w:hAnsi="Courier New" w:eastAsia="Courier New"/>
    </w:rPr>
  </w:style>
  <w:style w:type="character" w:customStyle="1" w:styleId="249">
    <w:name w:val="HtmlDfn"/>
    <w:qFormat/>
    <w:uiPriority w:val="0"/>
    <w:rPr>
      <w:rFonts w:ascii="Times New Roman" w:hAnsi="Times New Roman" w:eastAsia="宋体"/>
    </w:rPr>
  </w:style>
  <w:style w:type="character" w:customStyle="1" w:styleId="250">
    <w:name w:val="UserStyle_0"/>
    <w:link w:val="251"/>
    <w:qFormat/>
    <w:uiPriority w:val="0"/>
    <w:rPr>
      <w:kern w:val="2"/>
      <w:sz w:val="21"/>
      <w:szCs w:val="24"/>
    </w:rPr>
  </w:style>
  <w:style w:type="paragraph" w:customStyle="1" w:styleId="251">
    <w:name w:val="BodyText"/>
    <w:basedOn w:val="1"/>
    <w:link w:val="250"/>
    <w:qFormat/>
    <w:uiPriority w:val="0"/>
    <w:pPr>
      <w:widowControl/>
      <w:spacing w:after="120"/>
      <w:textAlignment w:val="baseline"/>
    </w:pPr>
  </w:style>
  <w:style w:type="character" w:customStyle="1" w:styleId="252">
    <w:name w:val="UserStyle_1"/>
    <w:qFormat/>
    <w:uiPriority w:val="0"/>
    <w:rPr>
      <w:rFonts w:ascii="宋体" w:hAnsi="宋体" w:eastAsia="宋体"/>
      <w:b/>
      <w:spacing w:val="-30"/>
      <w:sz w:val="28"/>
    </w:rPr>
  </w:style>
  <w:style w:type="character" w:customStyle="1" w:styleId="253">
    <w:name w:val="UserStyle_4"/>
    <w:basedOn w:val="114"/>
    <w:qFormat/>
    <w:uiPriority w:val="0"/>
  </w:style>
  <w:style w:type="character" w:customStyle="1" w:styleId="254">
    <w:name w:val="UserStyle_5"/>
    <w:qFormat/>
    <w:uiPriority w:val="0"/>
    <w:rPr>
      <w:rFonts w:ascii="Arial" w:hAnsi="Arial" w:eastAsia="黑体"/>
      <w:sz w:val="24"/>
      <w:szCs w:val="24"/>
      <w:lang w:val="en-US" w:eastAsia="zh-CN" w:bidi="ar-SA"/>
    </w:rPr>
  </w:style>
  <w:style w:type="character" w:customStyle="1" w:styleId="255">
    <w:name w:val="UserStyle_6"/>
    <w:qFormat/>
    <w:uiPriority w:val="0"/>
    <w:rPr>
      <w:rFonts w:ascii="Times New Roman" w:hAnsi="Times New Roman" w:eastAsia="宋体"/>
    </w:rPr>
  </w:style>
  <w:style w:type="character" w:customStyle="1" w:styleId="256">
    <w:name w:val="UserStyle_7"/>
    <w:qFormat/>
    <w:uiPriority w:val="0"/>
    <w:rPr>
      <w:rFonts w:ascii="Times New Roman" w:hAnsi="Times New Roman" w:eastAsia="宋体"/>
    </w:rPr>
  </w:style>
  <w:style w:type="character" w:customStyle="1" w:styleId="257">
    <w:name w:val="UserStyle_8"/>
    <w:qFormat/>
    <w:uiPriority w:val="0"/>
    <w:rPr>
      <w:rFonts w:ascii="宋体" w:hAnsi="宋体" w:eastAsia="宋体"/>
      <w:sz w:val="24"/>
    </w:rPr>
  </w:style>
  <w:style w:type="character" w:customStyle="1" w:styleId="258">
    <w:name w:val="UserStyle_9"/>
    <w:qFormat/>
    <w:uiPriority w:val="0"/>
    <w:rPr>
      <w:kern w:val="2"/>
      <w:sz w:val="21"/>
      <w:szCs w:val="24"/>
      <w:lang w:bidi="ar-SA"/>
    </w:rPr>
  </w:style>
  <w:style w:type="character" w:customStyle="1" w:styleId="259">
    <w:name w:val="UserStyle_10"/>
    <w:qFormat/>
    <w:uiPriority w:val="0"/>
    <w:rPr>
      <w:rFonts w:ascii="宋体" w:hAnsi="Courier New" w:eastAsia="宋体"/>
      <w:kern w:val="2"/>
      <w:sz w:val="21"/>
      <w:szCs w:val="21"/>
      <w:lang w:val="en-US" w:eastAsia="zh-CN" w:bidi="ar-SA"/>
    </w:rPr>
  </w:style>
  <w:style w:type="character" w:customStyle="1" w:styleId="260">
    <w:name w:val="UserStyle_11"/>
    <w:qFormat/>
    <w:uiPriority w:val="0"/>
    <w:rPr>
      <w:rFonts w:ascii="Arial" w:hAnsi="Arial" w:eastAsia="宋体" w:cs="Times New Roman"/>
      <w:b/>
      <w:bCs/>
      <w:szCs w:val="28"/>
    </w:rPr>
  </w:style>
  <w:style w:type="character" w:customStyle="1" w:styleId="261">
    <w:name w:val="UserStyle_12"/>
    <w:qFormat/>
    <w:uiPriority w:val="0"/>
    <w:rPr>
      <w:rFonts w:ascii="宋体" w:hAnsi="宋体" w:eastAsia="宋体"/>
      <w:spacing w:val="30"/>
      <w:sz w:val="24"/>
    </w:rPr>
  </w:style>
  <w:style w:type="character" w:customStyle="1" w:styleId="262">
    <w:name w:val="UserStyle_13"/>
    <w:qFormat/>
    <w:uiPriority w:val="0"/>
    <w:rPr>
      <w:rFonts w:ascii="Times New Roman" w:hAnsi="Times New Roman" w:eastAsia="Times New Roman"/>
      <w:sz w:val="16"/>
    </w:rPr>
  </w:style>
  <w:style w:type="character" w:customStyle="1" w:styleId="263">
    <w:name w:val="UserStyle_15"/>
    <w:qFormat/>
    <w:uiPriority w:val="0"/>
    <w:rPr>
      <w:rFonts w:ascii="宋体" w:hAnsi="宋体" w:eastAsia="宋体"/>
      <w:spacing w:val="-20"/>
      <w:sz w:val="24"/>
    </w:rPr>
  </w:style>
  <w:style w:type="character" w:customStyle="1" w:styleId="264">
    <w:name w:val="UserStyle_17"/>
    <w:qFormat/>
    <w:uiPriority w:val="0"/>
    <w:rPr>
      <w:rFonts w:ascii="Times New Roman" w:hAnsi="Times New Roman" w:eastAsia="宋体"/>
    </w:rPr>
  </w:style>
  <w:style w:type="character" w:customStyle="1" w:styleId="265">
    <w:name w:val="UserStyle_18"/>
    <w:link w:val="266"/>
    <w:qFormat/>
    <w:locked/>
    <w:uiPriority w:val="0"/>
    <w:rPr>
      <w:rFonts w:ascii="宋体" w:hAnsi="宋体"/>
      <w:b/>
      <w:bCs/>
      <w:kern w:val="2"/>
      <w:sz w:val="21"/>
      <w:szCs w:val="24"/>
    </w:rPr>
  </w:style>
  <w:style w:type="paragraph" w:customStyle="1" w:styleId="266">
    <w:name w:val="AnnotationSubject"/>
    <w:basedOn w:val="267"/>
    <w:next w:val="267"/>
    <w:link w:val="265"/>
    <w:qFormat/>
    <w:uiPriority w:val="0"/>
    <w:rPr>
      <w:b/>
      <w:bCs/>
    </w:rPr>
  </w:style>
  <w:style w:type="paragraph" w:customStyle="1" w:styleId="267">
    <w:name w:val="AnnotationText"/>
    <w:basedOn w:val="1"/>
    <w:link w:val="268"/>
    <w:semiHidden/>
    <w:qFormat/>
    <w:uiPriority w:val="0"/>
    <w:pPr>
      <w:widowControl/>
      <w:jc w:val="left"/>
      <w:textAlignment w:val="baseline"/>
    </w:pPr>
    <w:rPr>
      <w:rFonts w:ascii="宋体" w:hAnsi="宋体"/>
    </w:rPr>
  </w:style>
  <w:style w:type="character" w:customStyle="1" w:styleId="268">
    <w:name w:val="UserStyle_53"/>
    <w:link w:val="267"/>
    <w:semiHidden/>
    <w:qFormat/>
    <w:locked/>
    <w:uiPriority w:val="0"/>
    <w:rPr>
      <w:rFonts w:ascii="宋体" w:hAnsi="宋体"/>
      <w:kern w:val="2"/>
      <w:sz w:val="21"/>
      <w:szCs w:val="24"/>
    </w:rPr>
  </w:style>
  <w:style w:type="character" w:customStyle="1" w:styleId="269">
    <w:name w:val="UserStyle_19"/>
    <w:link w:val="270"/>
    <w:qFormat/>
    <w:locked/>
    <w:uiPriority w:val="0"/>
    <w:rPr>
      <w:rFonts w:ascii="Calibri" w:hAnsi="Calibri"/>
      <w:kern w:val="2"/>
      <w:sz w:val="18"/>
      <w:szCs w:val="18"/>
    </w:rPr>
  </w:style>
  <w:style w:type="paragraph" w:customStyle="1" w:styleId="270">
    <w:name w:val="Acetate"/>
    <w:basedOn w:val="1"/>
    <w:link w:val="269"/>
    <w:qFormat/>
    <w:uiPriority w:val="0"/>
    <w:pPr>
      <w:widowControl/>
      <w:textAlignment w:val="baseline"/>
    </w:pPr>
    <w:rPr>
      <w:rFonts w:ascii="Calibri" w:hAnsi="Calibri"/>
      <w:sz w:val="18"/>
      <w:szCs w:val="18"/>
    </w:rPr>
  </w:style>
  <w:style w:type="character" w:customStyle="1" w:styleId="271">
    <w:name w:val="UserStyle_20"/>
    <w:qFormat/>
    <w:uiPriority w:val="0"/>
    <w:rPr>
      <w:rFonts w:ascii="Times New Roman" w:hAnsi="Times New Roman" w:eastAsia="宋体"/>
      <w:color w:val="FFFFFF"/>
    </w:rPr>
  </w:style>
  <w:style w:type="character" w:customStyle="1" w:styleId="272">
    <w:name w:val="UserStyle_21"/>
    <w:qFormat/>
    <w:uiPriority w:val="0"/>
    <w:rPr>
      <w:kern w:val="2"/>
      <w:sz w:val="21"/>
      <w:szCs w:val="24"/>
    </w:rPr>
  </w:style>
  <w:style w:type="character" w:customStyle="1" w:styleId="273">
    <w:name w:val="UserStyle_22"/>
    <w:qFormat/>
    <w:uiPriority w:val="0"/>
    <w:rPr>
      <w:rFonts w:eastAsia="宋体"/>
      <w:kern w:val="2"/>
      <w:sz w:val="21"/>
      <w:szCs w:val="24"/>
      <w:lang w:val="en-US" w:eastAsia="zh-CN" w:bidi="ar-SA"/>
    </w:rPr>
  </w:style>
  <w:style w:type="character" w:customStyle="1" w:styleId="274">
    <w:name w:val="UserStyle_23"/>
    <w:qFormat/>
    <w:uiPriority w:val="0"/>
    <w:rPr>
      <w:rFonts w:cs="Times New Roman"/>
      <w:b/>
      <w:bCs/>
      <w:kern w:val="2"/>
      <w:sz w:val="28"/>
      <w:szCs w:val="28"/>
    </w:rPr>
  </w:style>
  <w:style w:type="character" w:customStyle="1" w:styleId="275">
    <w:name w:val="UserStyle_24"/>
    <w:qFormat/>
    <w:uiPriority w:val="0"/>
    <w:rPr>
      <w:rFonts w:ascii="Cambria" w:hAnsi="Cambria" w:eastAsia="宋体" w:cs="Times New Roman"/>
      <w:b/>
      <w:bCs/>
      <w:sz w:val="32"/>
      <w:szCs w:val="32"/>
    </w:rPr>
  </w:style>
  <w:style w:type="character" w:customStyle="1" w:styleId="276">
    <w:name w:val="UserStyle_25"/>
    <w:qFormat/>
    <w:uiPriority w:val="0"/>
    <w:rPr>
      <w:rFonts w:cs="Times New Roman"/>
      <w:b/>
      <w:bCs/>
      <w:sz w:val="24"/>
      <w:szCs w:val="24"/>
    </w:rPr>
  </w:style>
  <w:style w:type="character" w:customStyle="1" w:styleId="277">
    <w:name w:val="UserStyle_26"/>
    <w:qFormat/>
    <w:uiPriority w:val="0"/>
    <w:rPr>
      <w:rFonts w:ascii="宋体" w:hAnsi="宋体" w:eastAsia="宋体"/>
      <w:kern w:val="2"/>
      <w:sz w:val="21"/>
      <w:szCs w:val="21"/>
      <w:lang w:val="en-US" w:eastAsia="zh-CN" w:bidi="ar-SA"/>
    </w:rPr>
  </w:style>
  <w:style w:type="character" w:customStyle="1" w:styleId="278">
    <w:name w:val="UserStyle_27"/>
    <w:qFormat/>
    <w:uiPriority w:val="0"/>
    <w:rPr>
      <w:rFonts w:ascii="Arial" w:hAnsi="Arial" w:eastAsia="黑体"/>
      <w:sz w:val="24"/>
      <w:szCs w:val="24"/>
    </w:rPr>
  </w:style>
  <w:style w:type="character" w:customStyle="1" w:styleId="279">
    <w:name w:val="UserStyle_29"/>
    <w:qFormat/>
    <w:uiPriority w:val="0"/>
    <w:rPr>
      <w:rFonts w:ascii="宋体" w:hAnsi="宋体" w:eastAsia="宋体"/>
      <w:spacing w:val="-10"/>
      <w:sz w:val="30"/>
    </w:rPr>
  </w:style>
  <w:style w:type="character" w:customStyle="1" w:styleId="280">
    <w:name w:val="UserStyle_30"/>
    <w:qFormat/>
    <w:uiPriority w:val="0"/>
    <w:rPr>
      <w:rFonts w:ascii="宋体" w:hAnsi="宋体" w:eastAsia="宋体"/>
      <w:b/>
      <w:spacing w:val="-20"/>
      <w:sz w:val="40"/>
    </w:rPr>
  </w:style>
  <w:style w:type="character" w:customStyle="1" w:styleId="281">
    <w:name w:val="UserStyle_31"/>
    <w:qFormat/>
    <w:uiPriority w:val="0"/>
    <w:rPr>
      <w:kern w:val="2"/>
      <w:sz w:val="18"/>
      <w:szCs w:val="18"/>
    </w:rPr>
  </w:style>
  <w:style w:type="character" w:customStyle="1" w:styleId="282">
    <w:name w:val="UserStyle_32"/>
    <w:qFormat/>
    <w:uiPriority w:val="0"/>
    <w:rPr>
      <w:rFonts w:ascii="Times New Roman" w:hAnsi="Times New Roman" w:eastAsia="宋体"/>
    </w:rPr>
  </w:style>
  <w:style w:type="character" w:customStyle="1" w:styleId="283">
    <w:name w:val="UserStyle_33"/>
    <w:qFormat/>
    <w:uiPriority w:val="0"/>
    <w:rPr>
      <w:rFonts w:ascii="Times New Roman" w:hAnsi="Times New Roman" w:eastAsia="宋体"/>
    </w:rPr>
  </w:style>
  <w:style w:type="character" w:customStyle="1" w:styleId="284">
    <w:name w:val="UserStyle_34"/>
    <w:qFormat/>
    <w:uiPriority w:val="0"/>
    <w:rPr>
      <w:kern w:val="2"/>
      <w:sz w:val="21"/>
      <w:szCs w:val="24"/>
    </w:rPr>
  </w:style>
  <w:style w:type="character" w:customStyle="1" w:styleId="285">
    <w:name w:val="UserStyle_35"/>
    <w:link w:val="286"/>
    <w:qFormat/>
    <w:locked/>
    <w:uiPriority w:val="0"/>
    <w:rPr>
      <w:rFonts w:ascii="宋体" w:hAnsi="宋体"/>
      <w:kern w:val="2"/>
      <w:sz w:val="18"/>
      <w:szCs w:val="18"/>
    </w:rPr>
  </w:style>
  <w:style w:type="paragraph" w:customStyle="1" w:styleId="286">
    <w:name w:val="页眉1"/>
    <w:basedOn w:val="1"/>
    <w:link w:val="285"/>
    <w:qFormat/>
    <w:uiPriority w:val="0"/>
    <w:pPr>
      <w:widowControl/>
      <w:pBdr>
        <w:bottom w:val="single" w:color="000000" w:sz="6" w:space="1"/>
      </w:pBdr>
      <w:tabs>
        <w:tab w:val="center" w:pos="4153"/>
        <w:tab w:val="right" w:pos="8306"/>
      </w:tabs>
      <w:snapToGrid w:val="0"/>
      <w:jc w:val="center"/>
      <w:textAlignment w:val="baseline"/>
    </w:pPr>
    <w:rPr>
      <w:rFonts w:ascii="宋体" w:hAnsi="宋体"/>
      <w:sz w:val="18"/>
      <w:szCs w:val="18"/>
    </w:rPr>
  </w:style>
  <w:style w:type="character" w:customStyle="1" w:styleId="287">
    <w:name w:val="UserStyle_36"/>
    <w:qFormat/>
    <w:uiPriority w:val="0"/>
    <w:rPr>
      <w:rFonts w:ascii="宋体" w:hAnsi="宋体" w:eastAsia="宋体"/>
      <w:spacing w:val="20"/>
      <w:sz w:val="24"/>
    </w:rPr>
  </w:style>
  <w:style w:type="character" w:customStyle="1" w:styleId="288">
    <w:name w:val="UserStyle_37"/>
    <w:qFormat/>
    <w:uiPriority w:val="0"/>
    <w:rPr>
      <w:rFonts w:ascii="Times New Roman" w:hAnsi="Times New Roman" w:eastAsia="宋体"/>
    </w:rPr>
  </w:style>
  <w:style w:type="character" w:customStyle="1" w:styleId="289">
    <w:name w:val="UserStyle_39"/>
    <w:qFormat/>
    <w:uiPriority w:val="0"/>
    <w:rPr>
      <w:rFonts w:ascii="Cambria" w:hAnsi="Cambria" w:eastAsia="宋体" w:cs="Times New Roman"/>
      <w:b/>
      <w:bCs/>
      <w:kern w:val="2"/>
      <w:sz w:val="32"/>
      <w:szCs w:val="32"/>
    </w:rPr>
  </w:style>
  <w:style w:type="character" w:customStyle="1" w:styleId="290">
    <w:name w:val="UserStyle_40"/>
    <w:qFormat/>
    <w:uiPriority w:val="0"/>
    <w:rPr>
      <w:rFonts w:cs="Times New Roman"/>
      <w:b/>
      <w:bCs/>
      <w:sz w:val="24"/>
      <w:szCs w:val="24"/>
    </w:rPr>
  </w:style>
  <w:style w:type="character" w:customStyle="1" w:styleId="291">
    <w:name w:val="UserStyle_42"/>
    <w:qFormat/>
    <w:uiPriority w:val="0"/>
    <w:rPr>
      <w:rFonts w:ascii="Times New Roman" w:hAnsi="Times New Roman" w:eastAsia="Times New Roman"/>
      <w:sz w:val="18"/>
    </w:rPr>
  </w:style>
  <w:style w:type="character" w:customStyle="1" w:styleId="292">
    <w:name w:val="UserStyle_43"/>
    <w:qFormat/>
    <w:uiPriority w:val="0"/>
    <w:rPr>
      <w:rFonts w:ascii="Arial" w:hAnsi="Arial" w:eastAsia="宋体"/>
      <w:b/>
      <w:color w:val="999999"/>
      <w:sz w:val="21"/>
      <w:szCs w:val="21"/>
    </w:rPr>
  </w:style>
  <w:style w:type="character" w:customStyle="1" w:styleId="293">
    <w:name w:val="UserStyle_44"/>
    <w:qFormat/>
    <w:uiPriority w:val="0"/>
    <w:rPr>
      <w:rFonts w:ascii="Arial" w:hAnsi="Arial" w:eastAsia="黑体" w:cs="Arial"/>
      <w:b/>
      <w:bCs/>
      <w:sz w:val="28"/>
      <w:szCs w:val="28"/>
      <w:lang w:val="en-US" w:eastAsia="zh-CN" w:bidi="ar-SA"/>
    </w:rPr>
  </w:style>
  <w:style w:type="character" w:customStyle="1" w:styleId="294">
    <w:name w:val="UserStyle_45"/>
    <w:qFormat/>
    <w:uiPriority w:val="0"/>
    <w:rPr>
      <w:rFonts w:ascii="Times New Roman" w:hAnsi="Times New Roman" w:eastAsia="宋体"/>
      <w:color w:val="FF6666"/>
      <w:sz w:val="18"/>
      <w:szCs w:val="18"/>
    </w:rPr>
  </w:style>
  <w:style w:type="character" w:customStyle="1" w:styleId="295">
    <w:name w:val="UserStyle_46"/>
    <w:qFormat/>
    <w:uiPriority w:val="0"/>
    <w:rPr>
      <w:rFonts w:ascii="Arial" w:hAnsi="Arial" w:eastAsia="宋体" w:cs="Arial"/>
      <w:b/>
      <w:bCs/>
      <w:kern w:val="2"/>
      <w:sz w:val="21"/>
      <w:szCs w:val="28"/>
      <w:lang w:val="en-US" w:eastAsia="zh-CN" w:bidi="ar-SA"/>
    </w:rPr>
  </w:style>
  <w:style w:type="character" w:customStyle="1" w:styleId="296">
    <w:name w:val="UserStyle_47"/>
    <w:qFormat/>
    <w:uiPriority w:val="0"/>
    <w:rPr>
      <w:rFonts w:ascii="Cambria" w:hAnsi="Cambria" w:cs="Times New Roman"/>
      <w:b/>
      <w:bCs/>
      <w:kern w:val="32"/>
      <w:sz w:val="32"/>
      <w:szCs w:val="32"/>
    </w:rPr>
  </w:style>
  <w:style w:type="character" w:customStyle="1" w:styleId="297">
    <w:name w:val="UserStyle_48"/>
    <w:qFormat/>
    <w:uiPriority w:val="0"/>
    <w:rPr>
      <w:rFonts w:ascii="Times New Roman" w:hAnsi="Times New Roman" w:eastAsia="Times New Roman"/>
      <w:sz w:val="28"/>
    </w:rPr>
  </w:style>
  <w:style w:type="character" w:customStyle="1" w:styleId="298">
    <w:name w:val="UserStyle_49"/>
    <w:qFormat/>
    <w:uiPriority w:val="0"/>
    <w:rPr>
      <w:rFonts w:ascii="宋体" w:hAnsi="宋体" w:eastAsia="宋体"/>
      <w:b/>
      <w:sz w:val="26"/>
    </w:rPr>
  </w:style>
  <w:style w:type="character" w:customStyle="1" w:styleId="299">
    <w:name w:val="UserStyle_50"/>
    <w:qFormat/>
    <w:uiPriority w:val="0"/>
    <w:rPr>
      <w:rFonts w:ascii="宋体" w:hAnsi="宋体" w:eastAsia="宋体"/>
      <w:spacing w:val="20"/>
      <w:sz w:val="24"/>
    </w:rPr>
  </w:style>
  <w:style w:type="character" w:customStyle="1" w:styleId="300">
    <w:name w:val="UserStyle_51"/>
    <w:link w:val="301"/>
    <w:qFormat/>
    <w:locked/>
    <w:uiPriority w:val="0"/>
    <w:rPr>
      <w:rFonts w:ascii="宋体" w:hAnsi="宋体"/>
      <w:kern w:val="2"/>
      <w:sz w:val="21"/>
      <w:szCs w:val="24"/>
    </w:rPr>
  </w:style>
  <w:style w:type="paragraph" w:customStyle="1" w:styleId="301">
    <w:name w:val="BodyTextIndent"/>
    <w:basedOn w:val="1"/>
    <w:next w:val="1"/>
    <w:link w:val="300"/>
    <w:qFormat/>
    <w:uiPriority w:val="0"/>
    <w:pPr>
      <w:widowControl/>
      <w:spacing w:after="120"/>
      <w:ind w:left="420" w:leftChars="200"/>
      <w:textAlignment w:val="baseline"/>
    </w:pPr>
    <w:rPr>
      <w:rFonts w:ascii="宋体" w:hAnsi="宋体"/>
    </w:rPr>
  </w:style>
  <w:style w:type="character" w:customStyle="1" w:styleId="302">
    <w:name w:val="UserStyle_52"/>
    <w:qFormat/>
    <w:uiPriority w:val="0"/>
    <w:rPr>
      <w:kern w:val="2"/>
      <w:sz w:val="18"/>
      <w:szCs w:val="18"/>
    </w:rPr>
  </w:style>
  <w:style w:type="character" w:customStyle="1" w:styleId="303">
    <w:name w:val="UserStyle_54"/>
    <w:qFormat/>
    <w:uiPriority w:val="0"/>
    <w:rPr>
      <w:rFonts w:ascii="宋体" w:hAnsi="宋体" w:eastAsia="宋体"/>
      <w:kern w:val="2"/>
      <w:sz w:val="24"/>
      <w:lang w:val="en-US" w:eastAsia="zh-CN" w:bidi="ar-SA"/>
    </w:rPr>
  </w:style>
  <w:style w:type="character" w:customStyle="1" w:styleId="304">
    <w:name w:val="UserStyle_55"/>
    <w:link w:val="305"/>
    <w:qFormat/>
    <w:locked/>
    <w:uiPriority w:val="0"/>
    <w:rPr>
      <w:rFonts w:ascii="宋体" w:hAnsi="宋体"/>
      <w:kern w:val="2"/>
      <w:sz w:val="16"/>
      <w:szCs w:val="16"/>
    </w:rPr>
  </w:style>
  <w:style w:type="paragraph" w:customStyle="1" w:styleId="305">
    <w:name w:val="BodyTextIndent3"/>
    <w:basedOn w:val="1"/>
    <w:link w:val="304"/>
    <w:qFormat/>
    <w:uiPriority w:val="0"/>
    <w:pPr>
      <w:widowControl/>
      <w:spacing w:after="120"/>
      <w:ind w:left="420" w:leftChars="200"/>
      <w:textAlignment w:val="baseline"/>
    </w:pPr>
    <w:rPr>
      <w:rFonts w:ascii="宋体" w:hAnsi="宋体"/>
      <w:sz w:val="16"/>
      <w:szCs w:val="16"/>
    </w:rPr>
  </w:style>
  <w:style w:type="character" w:customStyle="1" w:styleId="306">
    <w:name w:val="UserStyle_56"/>
    <w:link w:val="307"/>
    <w:qFormat/>
    <w:locked/>
    <w:uiPriority w:val="0"/>
    <w:rPr>
      <w:rFonts w:ascii="宋体" w:hAnsi="宋体"/>
      <w:sz w:val="21"/>
      <w:szCs w:val="21"/>
    </w:rPr>
  </w:style>
  <w:style w:type="paragraph" w:customStyle="1" w:styleId="307">
    <w:name w:val="UserStyle_57"/>
    <w:basedOn w:val="1"/>
    <w:link w:val="306"/>
    <w:qFormat/>
    <w:uiPriority w:val="0"/>
    <w:pPr>
      <w:widowControl/>
      <w:textAlignment w:val="baseline"/>
    </w:pPr>
    <w:rPr>
      <w:rFonts w:ascii="宋体" w:hAnsi="宋体"/>
      <w:kern w:val="0"/>
      <w:szCs w:val="21"/>
    </w:rPr>
  </w:style>
  <w:style w:type="character" w:customStyle="1" w:styleId="308">
    <w:name w:val="UserStyle_58"/>
    <w:qFormat/>
    <w:uiPriority w:val="0"/>
    <w:rPr>
      <w:rFonts w:ascii="Times New Roman" w:hAnsi="Times New Roman" w:eastAsia="Times New Roman"/>
      <w:sz w:val="20"/>
    </w:rPr>
  </w:style>
  <w:style w:type="character" w:customStyle="1" w:styleId="309">
    <w:name w:val="UserStyle_60"/>
    <w:qFormat/>
    <w:uiPriority w:val="0"/>
    <w:rPr>
      <w:rFonts w:ascii="宋体" w:hAnsi="宋体" w:eastAsia="宋体"/>
      <w:spacing w:val="30"/>
      <w:sz w:val="24"/>
    </w:rPr>
  </w:style>
  <w:style w:type="character" w:customStyle="1" w:styleId="310">
    <w:name w:val="UserStyle_61"/>
    <w:qFormat/>
    <w:uiPriority w:val="0"/>
    <w:rPr>
      <w:rFonts w:ascii="Arial" w:hAnsi="Arial" w:eastAsia="黑体" w:cs="Arial"/>
      <w:b/>
      <w:bCs/>
      <w:sz w:val="24"/>
      <w:szCs w:val="24"/>
    </w:rPr>
  </w:style>
  <w:style w:type="character" w:customStyle="1" w:styleId="311">
    <w:name w:val="UserStyle_62"/>
    <w:qFormat/>
    <w:uiPriority w:val="0"/>
    <w:rPr>
      <w:rFonts w:ascii="Times New Roman" w:hAnsi="Times New Roman" w:eastAsia="Times New Roman"/>
      <w:sz w:val="16"/>
    </w:rPr>
  </w:style>
  <w:style w:type="character" w:customStyle="1" w:styleId="312">
    <w:name w:val="UserStyle_63"/>
    <w:qFormat/>
    <w:uiPriority w:val="0"/>
    <w:rPr>
      <w:rFonts w:ascii="宋体" w:hAnsi="宋体" w:eastAsia="宋体"/>
    </w:rPr>
  </w:style>
  <w:style w:type="character" w:customStyle="1" w:styleId="313">
    <w:name w:val="UserStyle_64"/>
    <w:qFormat/>
    <w:uiPriority w:val="0"/>
    <w:rPr>
      <w:rFonts w:ascii="Arial" w:hAnsi="Arial" w:eastAsia="黑体"/>
      <w:sz w:val="21"/>
      <w:szCs w:val="21"/>
    </w:rPr>
  </w:style>
  <w:style w:type="character" w:customStyle="1" w:styleId="314">
    <w:name w:val="UserStyle_66"/>
    <w:qFormat/>
    <w:uiPriority w:val="0"/>
    <w:rPr>
      <w:rFonts w:ascii="Times New Roman" w:hAnsi="Times New Roman" w:eastAsia="宋体"/>
    </w:rPr>
  </w:style>
  <w:style w:type="character" w:customStyle="1" w:styleId="315">
    <w:name w:val="UserStyle_67"/>
    <w:qFormat/>
    <w:uiPriority w:val="0"/>
    <w:rPr>
      <w:rFonts w:ascii="Times New Roman" w:hAnsi="Times New Roman" w:eastAsia="宋体"/>
      <w:b/>
      <w:vanish/>
      <w:color w:val="1F8DEF"/>
      <w:sz w:val="24"/>
      <w:szCs w:val="24"/>
    </w:rPr>
  </w:style>
  <w:style w:type="character" w:customStyle="1" w:styleId="316">
    <w:name w:val="UserStyle_68"/>
    <w:qFormat/>
    <w:uiPriority w:val="0"/>
    <w:rPr>
      <w:rFonts w:ascii="Times New Roman" w:hAnsi="Times New Roman" w:eastAsia="宋体"/>
    </w:rPr>
  </w:style>
  <w:style w:type="character" w:customStyle="1" w:styleId="317">
    <w:name w:val="UserStyle_69"/>
    <w:link w:val="318"/>
    <w:qFormat/>
    <w:locked/>
    <w:uiPriority w:val="0"/>
    <w:rPr>
      <w:rFonts w:ascii="宋体" w:hAnsi="宋体"/>
      <w:kern w:val="2"/>
      <w:sz w:val="18"/>
      <w:szCs w:val="18"/>
    </w:rPr>
  </w:style>
  <w:style w:type="paragraph" w:customStyle="1" w:styleId="318">
    <w:name w:val="页脚1"/>
    <w:basedOn w:val="1"/>
    <w:link w:val="317"/>
    <w:qFormat/>
    <w:uiPriority w:val="0"/>
    <w:pPr>
      <w:widowControl/>
      <w:tabs>
        <w:tab w:val="center" w:pos="4153"/>
        <w:tab w:val="right" w:pos="8306"/>
      </w:tabs>
      <w:snapToGrid w:val="0"/>
      <w:jc w:val="left"/>
      <w:textAlignment w:val="baseline"/>
    </w:pPr>
    <w:rPr>
      <w:rFonts w:ascii="宋体" w:hAnsi="宋体"/>
      <w:sz w:val="18"/>
      <w:szCs w:val="18"/>
    </w:rPr>
  </w:style>
  <w:style w:type="character" w:customStyle="1" w:styleId="319">
    <w:name w:val="UserStyle_70"/>
    <w:qFormat/>
    <w:uiPriority w:val="0"/>
    <w:rPr>
      <w:rFonts w:ascii="Times New Roman" w:hAnsi="Times New Roman" w:eastAsia="Times New Roman"/>
      <w:w w:val="60"/>
      <w:sz w:val="26"/>
    </w:rPr>
  </w:style>
  <w:style w:type="character" w:customStyle="1" w:styleId="320">
    <w:name w:val="UserStyle_71"/>
    <w:qFormat/>
    <w:uiPriority w:val="0"/>
    <w:rPr>
      <w:rFonts w:ascii="宋体" w:hAnsi="宋体" w:eastAsia="宋体"/>
      <w:spacing w:val="20"/>
      <w:sz w:val="22"/>
    </w:rPr>
  </w:style>
  <w:style w:type="character" w:customStyle="1" w:styleId="321">
    <w:name w:val="UserStyle_72"/>
    <w:qFormat/>
    <w:uiPriority w:val="0"/>
    <w:rPr>
      <w:rFonts w:ascii="宋体" w:hAnsi="宋体" w:eastAsia="宋体"/>
      <w:b/>
      <w:sz w:val="32"/>
    </w:rPr>
  </w:style>
  <w:style w:type="character" w:customStyle="1" w:styleId="322">
    <w:name w:val="UserStyle_73"/>
    <w:qFormat/>
    <w:uiPriority w:val="0"/>
    <w:rPr>
      <w:rFonts w:cs="Times New Roman"/>
      <w:b/>
      <w:bCs/>
      <w:kern w:val="2"/>
      <w:sz w:val="21"/>
      <w:szCs w:val="24"/>
    </w:rPr>
  </w:style>
  <w:style w:type="character" w:customStyle="1" w:styleId="323">
    <w:name w:val="UserStyle_74"/>
    <w:qFormat/>
    <w:uiPriority w:val="0"/>
    <w:rPr>
      <w:rFonts w:ascii="Times New Roman" w:hAnsi="Times New Roman" w:eastAsia="宋体"/>
      <w:color w:val="000000"/>
      <w:sz w:val="18"/>
      <w:szCs w:val="18"/>
    </w:rPr>
  </w:style>
  <w:style w:type="character" w:customStyle="1" w:styleId="324">
    <w:name w:val="UserStyle_75"/>
    <w:qFormat/>
    <w:uiPriority w:val="0"/>
    <w:rPr>
      <w:rFonts w:ascii="黑体" w:hAnsi="黑体" w:eastAsia="黑体"/>
      <w:spacing w:val="10"/>
      <w:sz w:val="30"/>
    </w:rPr>
  </w:style>
  <w:style w:type="character" w:customStyle="1" w:styleId="325">
    <w:name w:val="UserStyle_77"/>
    <w:qFormat/>
    <w:uiPriority w:val="0"/>
    <w:rPr>
      <w:rFonts w:ascii="Times New Roman" w:hAnsi="Times New Roman" w:eastAsia="宋体"/>
    </w:rPr>
  </w:style>
  <w:style w:type="character" w:customStyle="1" w:styleId="326">
    <w:name w:val="UserStyle_79"/>
    <w:qFormat/>
    <w:uiPriority w:val="0"/>
    <w:rPr>
      <w:rFonts w:ascii="Times New Roman" w:hAnsi="Times New Roman" w:eastAsia="宋体"/>
    </w:rPr>
  </w:style>
  <w:style w:type="character" w:customStyle="1" w:styleId="327">
    <w:name w:val="UserStyle_80"/>
    <w:qFormat/>
    <w:uiPriority w:val="0"/>
    <w:rPr>
      <w:rFonts w:ascii="宋体" w:hAnsi="Times New Roman" w:eastAsia="宋体"/>
      <w:b/>
      <w:sz w:val="24"/>
      <w:lang w:val="en-US" w:eastAsia="zh-CN" w:bidi="ar-SA"/>
    </w:rPr>
  </w:style>
  <w:style w:type="character" w:customStyle="1" w:styleId="328">
    <w:name w:val="UserStyle_82"/>
    <w:qFormat/>
    <w:uiPriority w:val="0"/>
    <w:rPr>
      <w:rFonts w:ascii="Arail" w:hAnsi="Arail" w:eastAsia="Arail"/>
      <w:color w:val="999999"/>
      <w:sz w:val="21"/>
      <w:szCs w:val="21"/>
    </w:rPr>
  </w:style>
  <w:style w:type="character" w:customStyle="1" w:styleId="329">
    <w:name w:val="UserStyle_83"/>
    <w:qFormat/>
    <w:uiPriority w:val="0"/>
    <w:rPr>
      <w:kern w:val="2"/>
      <w:sz w:val="18"/>
      <w:szCs w:val="18"/>
    </w:rPr>
  </w:style>
  <w:style w:type="character" w:customStyle="1" w:styleId="330">
    <w:name w:val="UserStyle_86"/>
    <w:qFormat/>
    <w:uiPriority w:val="0"/>
    <w:rPr>
      <w:rFonts w:ascii="宋体" w:hAnsi="MS Sans Serif" w:eastAsia="宋体"/>
      <w:color w:val="000000"/>
      <w:sz w:val="24"/>
    </w:rPr>
  </w:style>
  <w:style w:type="character" w:customStyle="1" w:styleId="331">
    <w:name w:val="UserStyle_87"/>
    <w:qFormat/>
    <w:uiPriority w:val="0"/>
    <w:rPr>
      <w:rFonts w:ascii="Times New Roman" w:hAnsi="Times New Roman" w:eastAsia="宋体"/>
    </w:rPr>
  </w:style>
  <w:style w:type="character" w:customStyle="1" w:styleId="332">
    <w:name w:val="UserStyle_89"/>
    <w:qFormat/>
    <w:uiPriority w:val="0"/>
    <w:rPr>
      <w:rFonts w:ascii="宋体" w:hAnsi="Times New Roman" w:eastAsia="宋体"/>
      <w:b/>
      <w:sz w:val="28"/>
      <w:lang w:val="en-US" w:eastAsia="zh-CN" w:bidi="ar-SA"/>
    </w:rPr>
  </w:style>
  <w:style w:type="character" w:customStyle="1" w:styleId="333">
    <w:name w:val="UserStyle_90"/>
    <w:qFormat/>
    <w:uiPriority w:val="0"/>
    <w:rPr>
      <w:rFonts w:ascii="宋体" w:hAnsi="宋体" w:eastAsia="宋体"/>
      <w:kern w:val="2"/>
      <w:sz w:val="18"/>
      <w:szCs w:val="18"/>
      <w:lang w:val="en-US" w:eastAsia="zh-CN" w:bidi="ar-SA"/>
    </w:rPr>
  </w:style>
  <w:style w:type="character" w:customStyle="1" w:styleId="334">
    <w:name w:val="UserStyle_91"/>
    <w:qFormat/>
    <w:uiPriority w:val="0"/>
    <w:rPr>
      <w:rFonts w:ascii="Cambria" w:hAnsi="Cambria"/>
      <w:b/>
      <w:kern w:val="2"/>
      <w:sz w:val="32"/>
      <w:szCs w:val="24"/>
    </w:rPr>
  </w:style>
  <w:style w:type="character" w:customStyle="1" w:styleId="335">
    <w:name w:val="UserStyle_92"/>
    <w:qFormat/>
    <w:uiPriority w:val="0"/>
    <w:rPr>
      <w:rFonts w:ascii="Times New Roman" w:hAnsi="Times New Roman" w:eastAsia="宋体"/>
      <w:color w:val="AAAAAA"/>
      <w:sz w:val="18"/>
      <w:szCs w:val="18"/>
    </w:rPr>
  </w:style>
  <w:style w:type="character" w:customStyle="1" w:styleId="336">
    <w:name w:val="UserStyle_93"/>
    <w:qFormat/>
    <w:uiPriority w:val="0"/>
    <w:rPr>
      <w:rFonts w:ascii="宋体" w:hAnsi="宋体" w:eastAsia="宋体"/>
      <w:spacing w:val="30"/>
      <w:sz w:val="18"/>
    </w:rPr>
  </w:style>
  <w:style w:type="paragraph" w:customStyle="1" w:styleId="337">
    <w:name w:val="UserStyle_94"/>
    <w:basedOn w:val="1"/>
    <w:qFormat/>
    <w:uiPriority w:val="0"/>
    <w:pPr>
      <w:widowControl/>
      <w:textAlignment w:val="baseline"/>
    </w:pPr>
    <w:rPr>
      <w:rFonts w:ascii="Calibri" w:hAnsi="Calibri"/>
      <w:kern w:val="0"/>
      <w:sz w:val="20"/>
      <w:szCs w:val="20"/>
    </w:rPr>
  </w:style>
  <w:style w:type="paragraph" w:customStyle="1" w:styleId="338">
    <w:name w:val="UserStyle_95"/>
    <w:basedOn w:val="226"/>
    <w:qFormat/>
    <w:uiPriority w:val="0"/>
    <w:pPr>
      <w:spacing w:before="100" w:line="400" w:lineRule="exact"/>
    </w:pPr>
    <w:rPr>
      <w:rFonts w:ascii="Times New Roman" w:hAnsi="Times New Roman" w:eastAsia="黑体"/>
      <w:b w:val="0"/>
      <w:bCs w:val="0"/>
      <w:sz w:val="28"/>
      <w:szCs w:val="20"/>
    </w:rPr>
  </w:style>
  <w:style w:type="paragraph" w:customStyle="1" w:styleId="339">
    <w:name w:val="BodyText1I"/>
    <w:basedOn w:val="251"/>
    <w:qFormat/>
    <w:uiPriority w:val="0"/>
    <w:pPr>
      <w:ind w:firstLine="420"/>
    </w:pPr>
    <w:rPr>
      <w:szCs w:val="20"/>
    </w:rPr>
  </w:style>
  <w:style w:type="paragraph" w:customStyle="1" w:styleId="340">
    <w:name w:val="HtmlNormal"/>
    <w:basedOn w:val="1"/>
    <w:qFormat/>
    <w:uiPriority w:val="0"/>
    <w:pPr>
      <w:widowControl/>
      <w:spacing w:before="100" w:beforeAutospacing="1" w:after="100" w:afterAutospacing="1"/>
      <w:jc w:val="left"/>
      <w:textAlignment w:val="baseline"/>
    </w:pPr>
    <w:rPr>
      <w:rFonts w:ascii="宋体" w:hAnsi="宋体"/>
      <w:kern w:val="0"/>
      <w:sz w:val="24"/>
    </w:rPr>
  </w:style>
  <w:style w:type="paragraph" w:customStyle="1" w:styleId="341">
    <w:name w:val="Index1"/>
    <w:basedOn w:val="1"/>
    <w:next w:val="1"/>
    <w:qFormat/>
    <w:uiPriority w:val="0"/>
    <w:pPr>
      <w:widowControl/>
      <w:spacing w:line="220" w:lineRule="exact"/>
      <w:jc w:val="center"/>
      <w:textAlignment w:val="baseline"/>
    </w:pPr>
    <w:rPr>
      <w:rFonts w:ascii="仿宋_GB2312" w:hAnsi="Calibri" w:eastAsia="仿宋_GB2312"/>
      <w:szCs w:val="20"/>
    </w:rPr>
  </w:style>
  <w:style w:type="paragraph" w:customStyle="1" w:styleId="342">
    <w:name w:val="TOC4"/>
    <w:basedOn w:val="1"/>
    <w:next w:val="1"/>
    <w:qFormat/>
    <w:uiPriority w:val="0"/>
    <w:pPr>
      <w:widowControl/>
      <w:ind w:left="1260" w:leftChars="600"/>
      <w:textAlignment w:val="baseline"/>
    </w:pPr>
    <w:rPr>
      <w:rFonts w:ascii="Calibri" w:hAnsi="Calibri"/>
    </w:rPr>
  </w:style>
  <w:style w:type="paragraph" w:customStyle="1" w:styleId="343">
    <w:name w:val="BodyText1I2"/>
    <w:basedOn w:val="301"/>
    <w:qFormat/>
    <w:uiPriority w:val="0"/>
    <w:pPr>
      <w:ind w:firstLine="482" w:firstLineChars="200"/>
    </w:pPr>
    <w:rPr>
      <w:rFonts w:ascii="Calibri" w:hAnsi="Calibri"/>
      <w:b/>
      <w:sz w:val="24"/>
    </w:rPr>
  </w:style>
  <w:style w:type="paragraph" w:customStyle="1" w:styleId="344">
    <w:name w:val="TOC6"/>
    <w:basedOn w:val="1"/>
    <w:next w:val="1"/>
    <w:qFormat/>
    <w:uiPriority w:val="0"/>
    <w:pPr>
      <w:widowControl/>
      <w:ind w:left="2100" w:leftChars="1000"/>
      <w:textAlignment w:val="baseline"/>
    </w:pPr>
    <w:rPr>
      <w:rFonts w:ascii="Calibri" w:hAnsi="Calibri"/>
      <w:szCs w:val="22"/>
    </w:rPr>
  </w:style>
  <w:style w:type="paragraph" w:customStyle="1" w:styleId="345">
    <w:name w:val="TOC7"/>
    <w:basedOn w:val="1"/>
    <w:next w:val="1"/>
    <w:qFormat/>
    <w:uiPriority w:val="0"/>
    <w:pPr>
      <w:widowControl/>
      <w:ind w:left="2520" w:leftChars="1200"/>
      <w:textAlignment w:val="baseline"/>
    </w:pPr>
    <w:rPr>
      <w:rFonts w:ascii="Calibri" w:hAnsi="Calibri"/>
      <w:szCs w:val="22"/>
    </w:rPr>
  </w:style>
  <w:style w:type="paragraph" w:customStyle="1" w:styleId="346">
    <w:name w:val="TOC5"/>
    <w:basedOn w:val="1"/>
    <w:next w:val="1"/>
    <w:qFormat/>
    <w:uiPriority w:val="0"/>
    <w:pPr>
      <w:widowControl/>
      <w:ind w:left="1680" w:leftChars="800"/>
      <w:textAlignment w:val="baseline"/>
    </w:pPr>
    <w:rPr>
      <w:rFonts w:ascii="Calibri" w:hAnsi="Calibri"/>
      <w:szCs w:val="22"/>
    </w:rPr>
  </w:style>
  <w:style w:type="paragraph" w:customStyle="1" w:styleId="347">
    <w:name w:val="UserStyle_96"/>
    <w:basedOn w:val="1"/>
    <w:qFormat/>
    <w:uiPriority w:val="0"/>
    <w:pPr>
      <w:widowControl/>
      <w:spacing w:line="564" w:lineRule="exact"/>
      <w:ind w:hanging="115"/>
      <w:textAlignment w:val="baseline"/>
    </w:pPr>
    <w:rPr>
      <w:rFonts w:ascii="Calibri" w:hAnsi="Calibri"/>
    </w:rPr>
  </w:style>
  <w:style w:type="paragraph" w:customStyle="1" w:styleId="348">
    <w:name w:val="UserStyle_97"/>
    <w:basedOn w:val="1"/>
    <w:qFormat/>
    <w:uiPriority w:val="0"/>
    <w:pPr>
      <w:widowControl/>
      <w:spacing w:after="160" w:line="240" w:lineRule="exact"/>
      <w:jc w:val="left"/>
      <w:textAlignment w:val="baseline"/>
    </w:pPr>
    <w:rPr>
      <w:rFonts w:ascii="Verdana" w:hAnsi="Verdana"/>
      <w:kern w:val="0"/>
      <w:sz w:val="20"/>
      <w:szCs w:val="20"/>
      <w:lang w:eastAsia="en-US"/>
    </w:rPr>
  </w:style>
  <w:style w:type="paragraph" w:customStyle="1" w:styleId="349">
    <w:name w:val="UserStyle_98"/>
    <w:basedOn w:val="1"/>
    <w:qFormat/>
    <w:uiPriority w:val="0"/>
    <w:pPr>
      <w:widowControl/>
      <w:textAlignment w:val="baseline"/>
    </w:pPr>
    <w:rPr>
      <w:rFonts w:ascii="Calibri" w:hAnsi="Calibri"/>
    </w:rPr>
  </w:style>
  <w:style w:type="paragraph" w:customStyle="1" w:styleId="350">
    <w:name w:val="BodyText2"/>
    <w:basedOn w:val="1"/>
    <w:qFormat/>
    <w:uiPriority w:val="0"/>
    <w:pPr>
      <w:widowControl/>
      <w:spacing w:after="120" w:line="480" w:lineRule="auto"/>
      <w:textAlignment w:val="baseline"/>
    </w:pPr>
    <w:rPr>
      <w:rFonts w:ascii="Calibri" w:hAnsi="Calibri"/>
    </w:rPr>
  </w:style>
  <w:style w:type="paragraph" w:customStyle="1" w:styleId="351">
    <w:name w:val="BodyText3"/>
    <w:basedOn w:val="1"/>
    <w:qFormat/>
    <w:uiPriority w:val="0"/>
    <w:pPr>
      <w:widowControl/>
      <w:spacing w:line="410" w:lineRule="atLeast"/>
      <w:jc w:val="left"/>
      <w:textAlignment w:val="baseline"/>
    </w:pPr>
    <w:rPr>
      <w:rFonts w:ascii="宋体" w:hAnsi="Calibri"/>
      <w:color w:val="000000"/>
      <w:kern w:val="0"/>
      <w:sz w:val="24"/>
      <w:szCs w:val="20"/>
    </w:rPr>
  </w:style>
  <w:style w:type="paragraph" w:customStyle="1" w:styleId="352">
    <w:name w:val="TOC9"/>
    <w:basedOn w:val="1"/>
    <w:next w:val="1"/>
    <w:qFormat/>
    <w:uiPriority w:val="0"/>
    <w:pPr>
      <w:widowControl/>
      <w:ind w:left="3360" w:leftChars="1600"/>
      <w:textAlignment w:val="baseline"/>
    </w:pPr>
    <w:rPr>
      <w:rFonts w:ascii="Calibri" w:hAnsi="Calibri"/>
      <w:szCs w:val="22"/>
    </w:rPr>
  </w:style>
  <w:style w:type="paragraph" w:customStyle="1" w:styleId="353">
    <w:name w:val="UserStyle_99"/>
    <w:basedOn w:val="1"/>
    <w:qFormat/>
    <w:uiPriority w:val="0"/>
    <w:pPr>
      <w:widowControl/>
      <w:textAlignment w:val="baseline"/>
    </w:pPr>
    <w:rPr>
      <w:rFonts w:ascii="Calibri" w:hAnsi="Calibri"/>
    </w:rPr>
  </w:style>
  <w:style w:type="paragraph" w:customStyle="1" w:styleId="354">
    <w:name w:val="NavPane"/>
    <w:basedOn w:val="1"/>
    <w:semiHidden/>
    <w:qFormat/>
    <w:uiPriority w:val="0"/>
    <w:pPr>
      <w:widowControl/>
      <w:shd w:val="clear" w:color="auto" w:fill="000080"/>
      <w:textAlignment w:val="baseline"/>
    </w:pPr>
    <w:rPr>
      <w:rFonts w:ascii="Calibri" w:hAnsi="Calibri"/>
    </w:rPr>
  </w:style>
  <w:style w:type="paragraph" w:customStyle="1" w:styleId="355">
    <w:name w:val="TOC1"/>
    <w:basedOn w:val="1"/>
    <w:next w:val="1"/>
    <w:qFormat/>
    <w:uiPriority w:val="0"/>
    <w:pPr>
      <w:widowControl/>
      <w:tabs>
        <w:tab w:val="right" w:leader="dot" w:pos="8948"/>
      </w:tabs>
      <w:textAlignment w:val="baseline"/>
    </w:pPr>
    <w:rPr>
      <w:rFonts w:ascii="宋体" w:hAnsi="宋体"/>
    </w:rPr>
  </w:style>
  <w:style w:type="paragraph" w:customStyle="1" w:styleId="356">
    <w:name w:val="BodyTextIndent2"/>
    <w:basedOn w:val="1"/>
    <w:qFormat/>
    <w:uiPriority w:val="0"/>
    <w:pPr>
      <w:widowControl/>
      <w:spacing w:after="120" w:line="480" w:lineRule="auto"/>
      <w:ind w:left="420" w:leftChars="200"/>
      <w:textAlignment w:val="baseline"/>
    </w:pPr>
    <w:rPr>
      <w:rFonts w:ascii="Calibri" w:hAnsi="Calibri"/>
    </w:rPr>
  </w:style>
  <w:style w:type="paragraph" w:customStyle="1" w:styleId="357">
    <w:name w:val="UserStyle_100"/>
    <w:basedOn w:val="1"/>
    <w:qFormat/>
    <w:uiPriority w:val="0"/>
    <w:pPr>
      <w:widowControl/>
      <w:spacing w:line="566" w:lineRule="exact"/>
      <w:ind w:firstLine="552"/>
      <w:textAlignment w:val="baseline"/>
    </w:pPr>
    <w:rPr>
      <w:rFonts w:ascii="Calibri" w:hAnsi="Calibri"/>
    </w:rPr>
  </w:style>
  <w:style w:type="paragraph" w:customStyle="1" w:styleId="358">
    <w:name w:val="UserStyle_101"/>
    <w:basedOn w:val="1"/>
    <w:qFormat/>
    <w:uiPriority w:val="0"/>
    <w:pPr>
      <w:widowControl/>
      <w:ind w:firstLine="420"/>
      <w:textAlignment w:val="baseline"/>
    </w:pPr>
  </w:style>
  <w:style w:type="paragraph" w:customStyle="1" w:styleId="359">
    <w:name w:val="TOC8"/>
    <w:basedOn w:val="1"/>
    <w:next w:val="1"/>
    <w:qFormat/>
    <w:uiPriority w:val="0"/>
    <w:pPr>
      <w:widowControl/>
      <w:ind w:left="2940" w:leftChars="1400"/>
      <w:textAlignment w:val="baseline"/>
    </w:pPr>
    <w:rPr>
      <w:rFonts w:ascii="Calibri" w:hAnsi="Calibri"/>
      <w:szCs w:val="22"/>
    </w:rPr>
  </w:style>
  <w:style w:type="paragraph" w:customStyle="1" w:styleId="360">
    <w:name w:val="UserStyle_102"/>
    <w:basedOn w:val="1"/>
    <w:qFormat/>
    <w:uiPriority w:val="0"/>
    <w:pPr>
      <w:widowControl/>
      <w:textAlignment w:val="baseline"/>
    </w:pPr>
    <w:rPr>
      <w:rFonts w:ascii="Calibri" w:hAnsi="Calibri"/>
    </w:rPr>
  </w:style>
  <w:style w:type="paragraph" w:customStyle="1" w:styleId="361">
    <w:name w:val="HtmlPre"/>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kern w:val="0"/>
      <w:sz w:val="24"/>
    </w:rPr>
  </w:style>
  <w:style w:type="paragraph" w:customStyle="1" w:styleId="362">
    <w:name w:val="TOC3"/>
    <w:basedOn w:val="1"/>
    <w:next w:val="1"/>
    <w:qFormat/>
    <w:uiPriority w:val="0"/>
    <w:pPr>
      <w:widowControl/>
      <w:ind w:left="840" w:leftChars="400"/>
      <w:textAlignment w:val="baseline"/>
    </w:pPr>
    <w:rPr>
      <w:rFonts w:ascii="Calibri" w:hAnsi="Calibri"/>
    </w:rPr>
  </w:style>
  <w:style w:type="paragraph" w:customStyle="1" w:styleId="363">
    <w:name w:val="BlockQuote"/>
    <w:basedOn w:val="1"/>
    <w:qFormat/>
    <w:uiPriority w:val="0"/>
    <w:pPr>
      <w:widowControl/>
      <w:ind w:left="1171" w:right="91" w:hanging="1080"/>
      <w:textAlignment w:val="baseline"/>
    </w:pPr>
    <w:rPr>
      <w:rFonts w:ascii="Calibri" w:hAnsi="Calibri" w:eastAsia="楷体_GB2312"/>
      <w:szCs w:val="20"/>
    </w:rPr>
  </w:style>
  <w:style w:type="paragraph" w:customStyle="1" w:styleId="364">
    <w:name w:val="NormalIndent"/>
    <w:basedOn w:val="1"/>
    <w:qFormat/>
    <w:uiPriority w:val="0"/>
    <w:pPr>
      <w:widowControl/>
      <w:ind w:firstLine="420"/>
      <w:jc w:val="left"/>
      <w:textAlignment w:val="baseline"/>
    </w:pPr>
    <w:rPr>
      <w:rFonts w:ascii="Calibri" w:hAnsi="Calibri"/>
      <w:kern w:val="0"/>
      <w:sz w:val="20"/>
      <w:szCs w:val="20"/>
    </w:rPr>
  </w:style>
  <w:style w:type="paragraph" w:customStyle="1" w:styleId="365">
    <w:name w:val="UserStyle_103"/>
    <w:basedOn w:val="1"/>
    <w:qFormat/>
    <w:uiPriority w:val="0"/>
    <w:pPr>
      <w:widowControl/>
      <w:spacing w:line="566" w:lineRule="exact"/>
      <w:ind w:firstLine="682"/>
      <w:textAlignment w:val="baseline"/>
    </w:pPr>
    <w:rPr>
      <w:rFonts w:ascii="Calibri" w:hAnsi="Calibri"/>
    </w:rPr>
  </w:style>
  <w:style w:type="paragraph" w:customStyle="1" w:styleId="366">
    <w:name w:val="TOC2"/>
    <w:basedOn w:val="1"/>
    <w:next w:val="1"/>
    <w:qFormat/>
    <w:uiPriority w:val="0"/>
    <w:pPr>
      <w:widowControl/>
      <w:ind w:left="420" w:leftChars="200"/>
      <w:textAlignment w:val="baseline"/>
    </w:pPr>
    <w:rPr>
      <w:rFonts w:ascii="Calibri" w:hAnsi="Calibri"/>
    </w:rPr>
  </w:style>
  <w:style w:type="paragraph" w:customStyle="1" w:styleId="367">
    <w:name w:val="UserStyle_104"/>
    <w:basedOn w:val="1"/>
    <w:qFormat/>
    <w:uiPriority w:val="0"/>
    <w:pPr>
      <w:widowControl/>
      <w:textAlignment w:val="baseline"/>
    </w:pPr>
    <w:rPr>
      <w:rFonts w:ascii="Calibri" w:hAnsi="Calibri"/>
    </w:rPr>
  </w:style>
  <w:style w:type="paragraph" w:customStyle="1" w:styleId="368">
    <w:name w:val="UserStyle_105"/>
    <w:basedOn w:val="1"/>
    <w:qFormat/>
    <w:uiPriority w:val="0"/>
    <w:pPr>
      <w:widowControl/>
      <w:spacing w:line="375" w:lineRule="exact"/>
      <w:textAlignment w:val="baseline"/>
    </w:pPr>
    <w:rPr>
      <w:rFonts w:ascii="Calibri" w:hAnsi="Calibri"/>
    </w:rPr>
  </w:style>
  <w:style w:type="paragraph" w:customStyle="1" w:styleId="369">
    <w:name w:val="UserStyle_106"/>
    <w:basedOn w:val="1"/>
    <w:qFormat/>
    <w:uiPriority w:val="0"/>
    <w:pPr>
      <w:widowControl/>
      <w:jc w:val="right"/>
      <w:textAlignment w:val="baseline"/>
    </w:pPr>
    <w:rPr>
      <w:rFonts w:ascii="Calibri" w:hAnsi="Calibri"/>
    </w:rPr>
  </w:style>
  <w:style w:type="paragraph" w:customStyle="1" w:styleId="370">
    <w:name w:val="UserStyle_107"/>
    <w:basedOn w:val="1"/>
    <w:qFormat/>
    <w:uiPriority w:val="0"/>
    <w:pPr>
      <w:widowControl/>
      <w:spacing w:before="100" w:after="100"/>
      <w:ind w:left="360" w:right="360"/>
      <w:jc w:val="left"/>
      <w:textAlignment w:val="baseline"/>
    </w:pPr>
    <w:rPr>
      <w:rFonts w:ascii="Calibri" w:hAnsi="Calibri"/>
      <w:kern w:val="0"/>
      <w:sz w:val="24"/>
      <w:szCs w:val="20"/>
    </w:rPr>
  </w:style>
  <w:style w:type="paragraph" w:customStyle="1" w:styleId="371">
    <w:name w:val="UserStyle_108"/>
    <w:basedOn w:val="1"/>
    <w:qFormat/>
    <w:uiPriority w:val="0"/>
    <w:pPr>
      <w:widowControl/>
      <w:textAlignment w:val="baseline"/>
    </w:pPr>
    <w:rPr>
      <w:rFonts w:ascii="Calibri" w:hAnsi="Calibri"/>
    </w:rPr>
  </w:style>
  <w:style w:type="paragraph" w:customStyle="1" w:styleId="372">
    <w:name w:val="UserStyle_109"/>
    <w:basedOn w:val="1"/>
    <w:qFormat/>
    <w:uiPriority w:val="0"/>
    <w:pPr>
      <w:widowControl/>
      <w:spacing w:line="240" w:lineRule="atLeast"/>
      <w:jc w:val="center"/>
      <w:textAlignment w:val="baseline"/>
    </w:pPr>
    <w:rPr>
      <w:rFonts w:ascii="仿宋_GB2312" w:hAnsi="宋体" w:eastAsia="仿宋_GB2312"/>
      <w:kern w:val="0"/>
      <w:szCs w:val="21"/>
    </w:rPr>
  </w:style>
  <w:style w:type="paragraph" w:customStyle="1" w:styleId="373">
    <w:name w:val="UserStyle_110"/>
    <w:basedOn w:val="1"/>
    <w:qFormat/>
    <w:uiPriority w:val="0"/>
    <w:pPr>
      <w:widowControl/>
      <w:spacing w:line="566" w:lineRule="exact"/>
      <w:jc w:val="center"/>
      <w:textAlignment w:val="baseline"/>
    </w:pPr>
    <w:rPr>
      <w:rFonts w:ascii="Calibri" w:hAnsi="Calibri"/>
    </w:rPr>
  </w:style>
  <w:style w:type="paragraph" w:customStyle="1" w:styleId="374">
    <w:name w:val="UserStyle_111"/>
    <w:basedOn w:val="1"/>
    <w:qFormat/>
    <w:uiPriority w:val="0"/>
    <w:pPr>
      <w:widowControl/>
      <w:textAlignment w:val="baseline"/>
    </w:pPr>
    <w:rPr>
      <w:rFonts w:ascii="Calibri" w:hAnsi="Calibri"/>
    </w:rPr>
  </w:style>
  <w:style w:type="paragraph" w:customStyle="1" w:styleId="375">
    <w:name w:val="UserStyle_112"/>
    <w:basedOn w:val="1"/>
    <w:qFormat/>
    <w:uiPriority w:val="0"/>
    <w:pPr>
      <w:widowControl/>
      <w:tabs>
        <w:tab w:val="left" w:pos="907"/>
      </w:tabs>
      <w:spacing w:line="360" w:lineRule="auto"/>
      <w:textAlignment w:val="baseline"/>
    </w:pPr>
    <w:rPr>
      <w:rFonts w:ascii="宋体" w:hAnsi="宋体"/>
      <w:sz w:val="24"/>
    </w:rPr>
  </w:style>
  <w:style w:type="paragraph" w:customStyle="1" w:styleId="376">
    <w:name w:val="UserStyle_113"/>
    <w:basedOn w:val="1"/>
    <w:qFormat/>
    <w:uiPriority w:val="0"/>
    <w:pPr>
      <w:widowControl/>
      <w:textAlignment w:val="baseline"/>
    </w:pPr>
    <w:rPr>
      <w:rFonts w:ascii="宋体" w:hAnsi="宋体"/>
      <w:b/>
      <w:sz w:val="28"/>
      <w:szCs w:val="28"/>
    </w:rPr>
  </w:style>
  <w:style w:type="paragraph" w:customStyle="1" w:styleId="377">
    <w:name w:val="UserStyle_114"/>
    <w:basedOn w:val="1"/>
    <w:qFormat/>
    <w:uiPriority w:val="0"/>
    <w:pPr>
      <w:widowControl/>
      <w:spacing w:after="160" w:line="240" w:lineRule="exact"/>
      <w:jc w:val="left"/>
      <w:textAlignment w:val="baseline"/>
    </w:pPr>
    <w:rPr>
      <w:rFonts w:ascii="Calibri" w:hAnsi="Calibri"/>
    </w:rPr>
  </w:style>
  <w:style w:type="paragraph" w:customStyle="1" w:styleId="378">
    <w:name w:val="UserStyle_115"/>
    <w:basedOn w:val="379"/>
    <w:qFormat/>
    <w:uiPriority w:val="0"/>
    <w:pPr>
      <w:tabs>
        <w:tab w:val="left" w:pos="360"/>
        <w:tab w:val="left" w:pos="720"/>
        <w:tab w:val="left" w:pos="6405"/>
      </w:tabs>
      <w:spacing w:after="200"/>
    </w:pPr>
    <w:rPr>
      <w:sz w:val="21"/>
    </w:rPr>
  </w:style>
  <w:style w:type="paragraph" w:customStyle="1" w:styleId="379">
    <w:name w:val="UserStyle_116"/>
    <w:next w:val="1"/>
    <w:qFormat/>
    <w:uiPriority w:val="0"/>
    <w:pPr>
      <w:shd w:val="clear" w:color="auto" w:fill="FFFFFF"/>
      <w:tabs>
        <w:tab w:val="left" w:pos="360"/>
        <w:tab w:val="left" w:pos="720"/>
      </w:tabs>
      <w:spacing w:before="640" w:after="560"/>
      <w:ind w:left="720" w:hanging="720"/>
      <w:jc w:val="center"/>
      <w:textAlignment w:val="baseline"/>
    </w:pPr>
    <w:rPr>
      <w:rFonts w:ascii="黑体" w:hAnsi="Calibri" w:eastAsia="黑体" w:cs="Times New Roman"/>
      <w:sz w:val="32"/>
      <w:lang w:val="en-US" w:eastAsia="zh-CN" w:bidi="ar-SA"/>
    </w:rPr>
  </w:style>
  <w:style w:type="paragraph" w:customStyle="1" w:styleId="380">
    <w:name w:val="UserStyle_117"/>
    <w:basedOn w:val="1"/>
    <w:qFormat/>
    <w:uiPriority w:val="0"/>
    <w:pPr>
      <w:widowControl/>
      <w:spacing w:line="557" w:lineRule="exact"/>
      <w:ind w:firstLine="1666"/>
      <w:textAlignment w:val="baseline"/>
    </w:pPr>
    <w:rPr>
      <w:rFonts w:ascii="Calibri" w:hAnsi="Calibri"/>
    </w:rPr>
  </w:style>
  <w:style w:type="paragraph" w:customStyle="1" w:styleId="381">
    <w:name w:val="UserStyle_118"/>
    <w:basedOn w:val="1"/>
    <w:qFormat/>
    <w:uiPriority w:val="0"/>
    <w:pPr>
      <w:widowControl/>
      <w:textAlignment w:val="baseline"/>
    </w:pPr>
    <w:rPr>
      <w:rFonts w:ascii="Calibri" w:hAnsi="Calibri"/>
    </w:rPr>
  </w:style>
  <w:style w:type="paragraph" w:customStyle="1" w:styleId="382">
    <w:name w:val="UserStyle_119"/>
    <w:basedOn w:val="1"/>
    <w:qFormat/>
    <w:uiPriority w:val="0"/>
    <w:pPr>
      <w:widowControl/>
      <w:textAlignment w:val="baseline"/>
    </w:pPr>
    <w:rPr>
      <w:rFonts w:ascii="Calibri" w:hAnsi="Calibri"/>
    </w:rPr>
  </w:style>
  <w:style w:type="paragraph" w:customStyle="1" w:styleId="383">
    <w:name w:val="UserStyle_120"/>
    <w:basedOn w:val="1"/>
    <w:qFormat/>
    <w:uiPriority w:val="0"/>
    <w:pPr>
      <w:widowControl/>
      <w:spacing w:line="413" w:lineRule="exact"/>
      <w:textAlignment w:val="baseline"/>
    </w:pPr>
    <w:rPr>
      <w:rFonts w:ascii="Calibri" w:hAnsi="Calibri"/>
    </w:rPr>
  </w:style>
  <w:style w:type="paragraph" w:customStyle="1" w:styleId="384">
    <w:name w:val="UserStyle_121"/>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385">
    <w:name w:val="UserStyle_122"/>
    <w:basedOn w:val="1"/>
    <w:qFormat/>
    <w:uiPriority w:val="0"/>
    <w:pPr>
      <w:widowControl/>
      <w:spacing w:before="100" w:beforeAutospacing="1" w:after="100" w:afterAutospacing="1"/>
      <w:jc w:val="left"/>
      <w:textAlignment w:val="baseline"/>
    </w:pPr>
    <w:rPr>
      <w:rFonts w:ascii="宋体" w:hAnsi="宋体"/>
      <w:kern w:val="0"/>
      <w:sz w:val="24"/>
    </w:rPr>
  </w:style>
  <w:style w:type="paragraph" w:customStyle="1" w:styleId="386">
    <w:name w:val="UserStyle_123"/>
    <w:basedOn w:val="1"/>
    <w:qFormat/>
    <w:uiPriority w:val="0"/>
    <w:pPr>
      <w:widowControl/>
      <w:spacing w:line="542" w:lineRule="exact"/>
      <w:ind w:firstLine="547"/>
      <w:textAlignment w:val="baseline"/>
    </w:pPr>
    <w:rPr>
      <w:rFonts w:ascii="Calibri" w:hAnsi="Calibri"/>
    </w:rPr>
  </w:style>
  <w:style w:type="paragraph" w:customStyle="1" w:styleId="387">
    <w:name w:val="UserStyle_124"/>
    <w:basedOn w:val="1"/>
    <w:qFormat/>
    <w:uiPriority w:val="0"/>
    <w:pPr>
      <w:widowControl/>
      <w:textAlignment w:val="baseline"/>
    </w:pPr>
    <w:rPr>
      <w:rFonts w:ascii="Calibri" w:hAnsi="Calibri"/>
    </w:rPr>
  </w:style>
  <w:style w:type="paragraph" w:customStyle="1" w:styleId="388">
    <w:name w:val="UserStyle_125"/>
    <w:basedOn w:val="384"/>
    <w:qFormat/>
    <w:uiPriority w:val="0"/>
  </w:style>
  <w:style w:type="paragraph" w:customStyle="1" w:styleId="389">
    <w:name w:val="UserStyle_126"/>
    <w:basedOn w:val="251"/>
    <w:qFormat/>
    <w:uiPriority w:val="0"/>
    <w:pPr>
      <w:suppressLineNumbers/>
      <w:suppressAutoHyphens/>
      <w:jc w:val="left"/>
    </w:pPr>
    <w:rPr>
      <w:kern w:val="0"/>
      <w:sz w:val="24"/>
    </w:rPr>
  </w:style>
  <w:style w:type="paragraph" w:customStyle="1" w:styleId="390">
    <w:name w:val="UserStyle_127"/>
    <w:basedOn w:val="1"/>
    <w:qFormat/>
    <w:uiPriority w:val="0"/>
    <w:pPr>
      <w:widowControl/>
      <w:textAlignment w:val="baseline"/>
    </w:pPr>
    <w:rPr>
      <w:rFonts w:ascii="Calibri" w:hAnsi="Calibri"/>
    </w:rPr>
  </w:style>
  <w:style w:type="paragraph" w:customStyle="1" w:styleId="391">
    <w:name w:val="UserStyle_128"/>
    <w:basedOn w:val="1"/>
    <w:qFormat/>
    <w:uiPriority w:val="0"/>
    <w:pPr>
      <w:widowControl/>
      <w:tabs>
        <w:tab w:val="left" w:pos="360"/>
      </w:tabs>
      <w:snapToGrid w:val="0"/>
      <w:spacing w:line="360" w:lineRule="auto"/>
      <w:textAlignment w:val="baseline"/>
    </w:pPr>
    <w:rPr>
      <w:rFonts w:ascii="Calibri" w:hAnsi="Calibri" w:eastAsia="仿宋_GB2312"/>
      <w:sz w:val="24"/>
    </w:rPr>
  </w:style>
  <w:style w:type="paragraph" w:customStyle="1" w:styleId="392">
    <w:name w:val="UserStyle_129"/>
    <w:qFormat/>
    <w:uiPriority w:val="0"/>
    <w:pPr>
      <w:textAlignment w:val="baseline"/>
    </w:pPr>
    <w:rPr>
      <w:rFonts w:ascii="黑体" w:hAnsi="Calibri" w:eastAsia="黑体" w:cs="Times New Roman"/>
      <w:lang w:val="en-US" w:eastAsia="zh-CN" w:bidi="ar-SA"/>
    </w:rPr>
  </w:style>
  <w:style w:type="paragraph" w:customStyle="1" w:styleId="393">
    <w:name w:val="UserStyle_130"/>
    <w:basedOn w:val="1"/>
    <w:qFormat/>
    <w:uiPriority w:val="0"/>
    <w:pPr>
      <w:widowControl/>
      <w:textAlignment w:val="baseline"/>
    </w:pPr>
    <w:rPr>
      <w:rFonts w:ascii="Calibri" w:hAnsi="Calibri"/>
      <w:szCs w:val="20"/>
    </w:rPr>
  </w:style>
  <w:style w:type="paragraph" w:customStyle="1" w:styleId="394">
    <w:name w:val="UserStyle_131"/>
    <w:basedOn w:val="1"/>
    <w:qFormat/>
    <w:uiPriority w:val="0"/>
    <w:pPr>
      <w:widowControl/>
      <w:textAlignment w:val="baseline"/>
    </w:pPr>
    <w:rPr>
      <w:rFonts w:ascii="Calibri" w:hAnsi="Calibri"/>
    </w:rPr>
  </w:style>
  <w:style w:type="paragraph" w:customStyle="1" w:styleId="395">
    <w:name w:val="UserStyle_132"/>
    <w:basedOn w:val="1"/>
    <w:qFormat/>
    <w:uiPriority w:val="0"/>
    <w:pPr>
      <w:widowControl/>
      <w:textAlignment w:val="baseline"/>
    </w:pPr>
    <w:rPr>
      <w:rFonts w:ascii="Calibri" w:hAnsi="Calibri"/>
    </w:rPr>
  </w:style>
  <w:style w:type="paragraph" w:customStyle="1" w:styleId="396">
    <w:name w:val="UserStyle_133"/>
    <w:basedOn w:val="1"/>
    <w:qFormat/>
    <w:uiPriority w:val="0"/>
    <w:pPr>
      <w:widowControl/>
      <w:spacing w:line="672" w:lineRule="exact"/>
      <w:textAlignment w:val="baseline"/>
    </w:pPr>
    <w:rPr>
      <w:rFonts w:ascii="Calibri" w:hAnsi="Calibri"/>
    </w:rPr>
  </w:style>
  <w:style w:type="paragraph" w:customStyle="1" w:styleId="397">
    <w:name w:val="UserStyle_134"/>
    <w:basedOn w:val="1"/>
    <w:qFormat/>
    <w:uiPriority w:val="0"/>
    <w:pPr>
      <w:widowControl/>
      <w:spacing w:line="552" w:lineRule="exact"/>
      <w:ind w:firstLine="547"/>
      <w:textAlignment w:val="baseline"/>
    </w:pPr>
    <w:rPr>
      <w:rFonts w:ascii="Calibri" w:hAnsi="Calibri"/>
    </w:rPr>
  </w:style>
  <w:style w:type="paragraph" w:customStyle="1" w:styleId="398">
    <w:name w:val="UserStyle_135"/>
    <w:basedOn w:val="1"/>
    <w:qFormat/>
    <w:uiPriority w:val="0"/>
    <w:pPr>
      <w:widowControl/>
      <w:spacing w:line="538" w:lineRule="exact"/>
      <w:ind w:firstLine="101"/>
      <w:textAlignment w:val="baseline"/>
    </w:pPr>
    <w:rPr>
      <w:rFonts w:ascii="Calibri" w:hAnsi="Calibri"/>
    </w:rPr>
  </w:style>
  <w:style w:type="paragraph" w:customStyle="1" w:styleId="399">
    <w:name w:val="UserStyle_136"/>
    <w:basedOn w:val="1"/>
    <w:qFormat/>
    <w:uiPriority w:val="0"/>
    <w:pPr>
      <w:widowControl/>
      <w:spacing w:line="547" w:lineRule="exact"/>
      <w:textAlignment w:val="baseline"/>
    </w:pPr>
    <w:rPr>
      <w:rFonts w:ascii="Calibri" w:hAnsi="Calibri"/>
    </w:rPr>
  </w:style>
  <w:style w:type="paragraph" w:customStyle="1" w:styleId="400">
    <w:name w:val="UserStyle_137"/>
    <w:basedOn w:val="224"/>
    <w:next w:val="1"/>
    <w:qFormat/>
    <w:uiPriority w:val="0"/>
    <w:pPr>
      <w:keepLines/>
      <w:spacing w:line="600" w:lineRule="auto"/>
    </w:pPr>
    <w:rPr>
      <w:rFonts w:eastAsia="黑体"/>
      <w:kern w:val="0"/>
      <w:sz w:val="32"/>
      <w:szCs w:val="32"/>
    </w:rPr>
  </w:style>
  <w:style w:type="paragraph" w:customStyle="1" w:styleId="401">
    <w:name w:val="UserStyle_138"/>
    <w:basedOn w:val="1"/>
    <w:qFormat/>
    <w:uiPriority w:val="0"/>
    <w:pPr>
      <w:widowControl/>
      <w:textAlignment w:val="baseline"/>
    </w:pPr>
    <w:rPr>
      <w:rFonts w:ascii="宋体" w:hAnsi="宋体"/>
      <w:lang w:val="zh-CN" w:bidi="zh-CN"/>
    </w:rPr>
  </w:style>
  <w:style w:type="paragraph" w:customStyle="1" w:styleId="402">
    <w:name w:val="UserStyle_139"/>
    <w:basedOn w:val="1"/>
    <w:qFormat/>
    <w:uiPriority w:val="0"/>
    <w:pPr>
      <w:widowControl/>
      <w:textAlignment w:val="baseline"/>
    </w:pPr>
    <w:rPr>
      <w:rFonts w:ascii="Calibri" w:hAnsi="Calibri"/>
    </w:rPr>
  </w:style>
  <w:style w:type="paragraph" w:customStyle="1" w:styleId="403">
    <w:name w:val="UserStyle_140"/>
    <w:basedOn w:val="1"/>
    <w:qFormat/>
    <w:uiPriority w:val="0"/>
    <w:pPr>
      <w:widowControl/>
      <w:jc w:val="left"/>
      <w:textAlignment w:val="baseline"/>
    </w:pPr>
    <w:rPr>
      <w:rFonts w:ascii="Calibri" w:hAnsi="Calibri"/>
      <w:kern w:val="0"/>
      <w:szCs w:val="21"/>
    </w:rPr>
  </w:style>
  <w:style w:type="paragraph" w:customStyle="1" w:styleId="404">
    <w:name w:val="UserStyle_141"/>
    <w:basedOn w:val="1"/>
    <w:qFormat/>
    <w:uiPriority w:val="0"/>
    <w:pPr>
      <w:widowControl/>
      <w:spacing w:after="160" w:line="240" w:lineRule="exact"/>
      <w:jc w:val="left"/>
      <w:textAlignment w:val="baseline"/>
    </w:pPr>
    <w:rPr>
      <w:rFonts w:ascii="Verdana" w:hAnsi="Verdana"/>
      <w:kern w:val="0"/>
      <w:sz w:val="20"/>
      <w:szCs w:val="20"/>
      <w:lang w:eastAsia="en-US"/>
    </w:rPr>
  </w:style>
  <w:style w:type="paragraph" w:customStyle="1" w:styleId="405">
    <w:name w:val="UserStyle_142"/>
    <w:basedOn w:val="1"/>
    <w:qFormat/>
    <w:uiPriority w:val="0"/>
    <w:pPr>
      <w:widowControl/>
      <w:textAlignment w:val="baseline"/>
    </w:pPr>
    <w:rPr>
      <w:rFonts w:ascii="Calibri" w:hAnsi="Calibri"/>
    </w:rPr>
  </w:style>
  <w:style w:type="paragraph" w:customStyle="1" w:styleId="406">
    <w:name w:val="UserStyle_143"/>
    <w:basedOn w:val="354"/>
    <w:qFormat/>
    <w:uiPriority w:val="0"/>
    <w:rPr>
      <w:rFonts w:ascii="Tahoma" w:hAnsi="Tahoma"/>
    </w:rPr>
  </w:style>
  <w:style w:type="paragraph" w:customStyle="1" w:styleId="407">
    <w:name w:val="UserStyle_144"/>
    <w:basedOn w:val="1"/>
    <w:qFormat/>
    <w:uiPriority w:val="0"/>
    <w:pPr>
      <w:widowControl/>
      <w:textAlignment w:val="baseline"/>
    </w:pPr>
    <w:rPr>
      <w:rFonts w:ascii="Calibri" w:hAnsi="Calibri"/>
    </w:rPr>
  </w:style>
  <w:style w:type="paragraph" w:customStyle="1" w:styleId="408">
    <w:name w:val="UserStyle_145"/>
    <w:basedOn w:val="1"/>
    <w:qFormat/>
    <w:uiPriority w:val="0"/>
    <w:pPr>
      <w:widowControl/>
      <w:textAlignment w:val="baseline"/>
    </w:pPr>
    <w:rPr>
      <w:rFonts w:ascii="Calibri" w:hAnsi="Calibri"/>
    </w:rPr>
  </w:style>
  <w:style w:type="paragraph" w:customStyle="1" w:styleId="409">
    <w:name w:val="UserStyle_146"/>
    <w:basedOn w:val="1"/>
    <w:qFormat/>
    <w:uiPriority w:val="0"/>
    <w:pPr>
      <w:widowControl/>
      <w:pBdr>
        <w:left w:val="single" w:color="000000" w:sz="4" w:space="0"/>
        <w:bottom w:val="single" w:color="000000" w:sz="4" w:space="0"/>
        <w:right w:val="double" w:color="000000" w:sz="6" w:space="0"/>
      </w:pBdr>
      <w:spacing w:before="100" w:beforeAutospacing="1" w:after="100" w:afterAutospacing="1"/>
      <w:jc w:val="center"/>
      <w:textAlignment w:val="baseline"/>
    </w:pPr>
    <w:rPr>
      <w:rFonts w:ascii="Arial Unicode MS" w:hAnsi="Arial Unicode MS" w:eastAsia="Arial Unicode MS"/>
      <w:kern w:val="0"/>
      <w:sz w:val="24"/>
    </w:rPr>
  </w:style>
  <w:style w:type="paragraph" w:customStyle="1" w:styleId="410">
    <w:name w:val="UserStyle_147"/>
    <w:basedOn w:val="1"/>
    <w:qFormat/>
    <w:uiPriority w:val="0"/>
    <w:pPr>
      <w:widowControl/>
      <w:textAlignment w:val="baseline"/>
    </w:pPr>
    <w:rPr>
      <w:rFonts w:ascii="Calibri" w:hAnsi="Calibri"/>
    </w:rPr>
  </w:style>
  <w:style w:type="paragraph" w:customStyle="1" w:styleId="411">
    <w:name w:val="UserStyle_148"/>
    <w:basedOn w:val="1"/>
    <w:qFormat/>
    <w:uiPriority w:val="0"/>
    <w:pPr>
      <w:widowControl/>
      <w:textAlignment w:val="baseline"/>
    </w:pPr>
    <w:rPr>
      <w:rFonts w:ascii="Calibri" w:hAnsi="Calibri"/>
    </w:rPr>
  </w:style>
  <w:style w:type="paragraph" w:customStyle="1" w:styleId="412">
    <w:name w:val="UserStyle_149"/>
    <w:basedOn w:val="1"/>
    <w:qFormat/>
    <w:uiPriority w:val="0"/>
    <w:pPr>
      <w:widowControl/>
      <w:spacing w:line="564" w:lineRule="exact"/>
      <w:ind w:firstLine="682"/>
      <w:textAlignment w:val="baseline"/>
    </w:pPr>
    <w:rPr>
      <w:rFonts w:ascii="Calibri" w:hAnsi="Calibri"/>
    </w:rPr>
  </w:style>
  <w:style w:type="paragraph" w:customStyle="1" w:styleId="413">
    <w:name w:val="UserStyle_150"/>
    <w:basedOn w:val="1"/>
    <w:qFormat/>
    <w:uiPriority w:val="0"/>
    <w:pPr>
      <w:widowControl/>
      <w:spacing w:line="549" w:lineRule="exact"/>
      <w:ind w:firstLine="686"/>
      <w:textAlignment w:val="baseline"/>
    </w:pPr>
    <w:rPr>
      <w:rFonts w:ascii="Calibri" w:hAnsi="Calibri"/>
    </w:rPr>
  </w:style>
  <w:style w:type="paragraph" w:customStyle="1" w:styleId="414">
    <w:name w:val="UserStyle_151"/>
    <w:basedOn w:val="1"/>
    <w:qFormat/>
    <w:uiPriority w:val="0"/>
    <w:pPr>
      <w:widowControl/>
      <w:spacing w:after="160" w:line="240" w:lineRule="exact"/>
      <w:jc w:val="left"/>
      <w:textAlignment w:val="baseline"/>
    </w:pPr>
    <w:rPr>
      <w:rFonts w:ascii="Verdana" w:hAnsi="Verdana" w:eastAsia="仿宋_GB2312"/>
      <w:kern w:val="0"/>
      <w:sz w:val="24"/>
      <w:szCs w:val="20"/>
      <w:lang w:eastAsia="en-US"/>
    </w:rPr>
  </w:style>
  <w:style w:type="paragraph" w:customStyle="1" w:styleId="415">
    <w:name w:val="UserStyle_152"/>
    <w:basedOn w:val="1"/>
    <w:qFormat/>
    <w:uiPriority w:val="0"/>
    <w:pPr>
      <w:widowControl/>
      <w:spacing w:line="566" w:lineRule="exact"/>
      <w:textAlignment w:val="baseline"/>
    </w:pPr>
    <w:rPr>
      <w:rFonts w:ascii="Calibri" w:hAnsi="Calibri"/>
    </w:rPr>
  </w:style>
  <w:style w:type="paragraph" w:customStyle="1" w:styleId="416">
    <w:name w:val="UserStyle_153"/>
    <w:basedOn w:val="1"/>
    <w:qFormat/>
    <w:uiPriority w:val="0"/>
    <w:pPr>
      <w:widowControl/>
      <w:spacing w:after="160" w:line="240" w:lineRule="exact"/>
      <w:jc w:val="left"/>
      <w:textAlignment w:val="baseline"/>
    </w:pPr>
    <w:rPr>
      <w:rFonts w:ascii="Verdana" w:hAnsi="Verdana"/>
      <w:kern w:val="0"/>
      <w:sz w:val="20"/>
      <w:szCs w:val="20"/>
      <w:lang w:eastAsia="en-US"/>
    </w:rPr>
  </w:style>
  <w:style w:type="paragraph" w:customStyle="1" w:styleId="417">
    <w:name w:val="UserStyle_154"/>
    <w:basedOn w:val="1"/>
    <w:qFormat/>
    <w:uiPriority w:val="0"/>
    <w:pPr>
      <w:widowControl/>
      <w:suppressAutoHyphens/>
      <w:spacing w:line="312" w:lineRule="atLeast"/>
      <w:ind w:firstLine="567"/>
      <w:jc w:val="left"/>
      <w:textAlignment w:val="baseline"/>
    </w:pPr>
    <w:rPr>
      <w:rFonts w:ascii="长城仿宋" w:hAnsi="长城仿宋" w:eastAsia="长城仿宋"/>
      <w:b/>
      <w:w w:val="80"/>
      <w:sz w:val="28"/>
      <w:szCs w:val="20"/>
    </w:rPr>
  </w:style>
  <w:style w:type="paragraph" w:customStyle="1" w:styleId="418">
    <w:name w:val="UserStyle_155"/>
    <w:basedOn w:val="1"/>
    <w:qFormat/>
    <w:uiPriority w:val="0"/>
    <w:pPr>
      <w:widowControl/>
      <w:ind w:firstLine="420" w:firstLineChars="200"/>
      <w:textAlignment w:val="baseline"/>
    </w:pPr>
    <w:rPr>
      <w:rFonts w:ascii="Calibri" w:hAnsi="Calibri"/>
      <w:szCs w:val="21"/>
    </w:rPr>
  </w:style>
  <w:style w:type="paragraph" w:customStyle="1" w:styleId="419">
    <w:name w:val="UserStyle_156"/>
    <w:basedOn w:val="1"/>
    <w:qFormat/>
    <w:uiPriority w:val="0"/>
    <w:pPr>
      <w:widowControl/>
      <w:spacing w:line="557" w:lineRule="exact"/>
      <w:ind w:firstLine="672"/>
      <w:textAlignment w:val="baseline"/>
    </w:pPr>
    <w:rPr>
      <w:rFonts w:ascii="Calibri" w:hAnsi="Calibri"/>
    </w:rPr>
  </w:style>
  <w:style w:type="paragraph" w:customStyle="1" w:styleId="420">
    <w:name w:val="UserStyle_157"/>
    <w:basedOn w:val="222"/>
    <w:qFormat/>
    <w:uiPriority w:val="0"/>
    <w:pPr>
      <w:widowControl/>
      <w:spacing w:line="240" w:lineRule="atLeast"/>
    </w:pPr>
    <w:rPr>
      <w:sz w:val="28"/>
      <w:szCs w:val="21"/>
    </w:rPr>
  </w:style>
  <w:style w:type="paragraph" w:customStyle="1" w:styleId="421">
    <w:name w:val="266"/>
    <w:basedOn w:val="224"/>
    <w:next w:val="1"/>
    <w:qFormat/>
    <w:uiPriority w:val="0"/>
    <w:pPr>
      <w:keepLines/>
      <w:spacing w:before="480" w:line="276" w:lineRule="auto"/>
      <w:jc w:val="left"/>
    </w:pPr>
    <w:rPr>
      <w:rFonts w:ascii="Cambria" w:hAnsi="Cambria"/>
      <w:color w:val="365F91"/>
      <w:kern w:val="0"/>
      <w:sz w:val="28"/>
      <w:szCs w:val="28"/>
    </w:rPr>
  </w:style>
  <w:style w:type="paragraph" w:customStyle="1" w:styleId="422">
    <w:name w:val="UserStyle_158"/>
    <w:basedOn w:val="1"/>
    <w:qFormat/>
    <w:uiPriority w:val="0"/>
    <w:pPr>
      <w:widowControl/>
      <w:ind w:firstLine="480"/>
      <w:textAlignment w:val="baseline"/>
    </w:pPr>
    <w:rPr>
      <w:rFonts w:ascii="Calibri" w:hAnsi="Calibri"/>
      <w:szCs w:val="20"/>
    </w:rPr>
  </w:style>
  <w:style w:type="paragraph" w:customStyle="1" w:styleId="423">
    <w:name w:val="UserStyle_159"/>
    <w:basedOn w:val="1"/>
    <w:qFormat/>
    <w:uiPriority w:val="0"/>
    <w:pPr>
      <w:widowControl/>
      <w:textAlignment w:val="baseline"/>
    </w:pPr>
    <w:rPr>
      <w:rFonts w:ascii="Calibri" w:hAnsi="Calibri"/>
    </w:rPr>
  </w:style>
  <w:style w:type="paragraph" w:customStyle="1" w:styleId="424">
    <w:name w:val="UserStyle_160"/>
    <w:basedOn w:val="1"/>
    <w:qFormat/>
    <w:uiPriority w:val="0"/>
    <w:pPr>
      <w:widowControl/>
      <w:textAlignment w:val="baseline"/>
    </w:pPr>
    <w:rPr>
      <w:rFonts w:ascii="Calibri" w:hAnsi="Calibri"/>
    </w:rPr>
  </w:style>
  <w:style w:type="paragraph" w:customStyle="1" w:styleId="425">
    <w:name w:val="UserStyle_161"/>
    <w:basedOn w:val="224"/>
    <w:qFormat/>
    <w:uiPriority w:val="0"/>
    <w:pPr>
      <w:spacing w:line="400" w:lineRule="exact"/>
      <w:jc w:val="both"/>
    </w:pPr>
    <w:rPr>
      <w:rFonts w:ascii="宋体" w:hAnsi="宋体"/>
      <w:kern w:val="32"/>
      <w:szCs w:val="32"/>
    </w:rPr>
  </w:style>
  <w:style w:type="paragraph" w:customStyle="1" w:styleId="426">
    <w:name w:val="UserStyle_162"/>
    <w:basedOn w:val="1"/>
    <w:qFormat/>
    <w:uiPriority w:val="0"/>
    <w:pPr>
      <w:widowControl/>
      <w:snapToGrid w:val="0"/>
      <w:spacing w:line="360" w:lineRule="auto"/>
      <w:ind w:firstLine="200" w:firstLineChars="200"/>
      <w:textAlignment w:val="baseline"/>
    </w:pPr>
    <w:rPr>
      <w:rFonts w:ascii="Calibri" w:hAnsi="Calibri" w:eastAsia="仿宋_GB2312"/>
      <w:sz w:val="24"/>
    </w:rPr>
  </w:style>
  <w:style w:type="paragraph" w:customStyle="1" w:styleId="427">
    <w:name w:val="UserStyle_163"/>
    <w:basedOn w:val="1"/>
    <w:qFormat/>
    <w:uiPriority w:val="0"/>
    <w:pPr>
      <w:widowControl/>
      <w:spacing w:line="542" w:lineRule="exact"/>
      <w:ind w:firstLine="125"/>
      <w:textAlignment w:val="baseline"/>
    </w:pPr>
    <w:rPr>
      <w:rFonts w:ascii="Calibri" w:hAnsi="Calibri"/>
    </w:rPr>
  </w:style>
  <w:style w:type="paragraph" w:customStyle="1" w:styleId="428">
    <w:name w:val="UserStyle_164"/>
    <w:basedOn w:val="1"/>
    <w:qFormat/>
    <w:uiPriority w:val="0"/>
    <w:pPr>
      <w:widowControl/>
      <w:spacing w:before="100" w:beforeAutospacing="1" w:after="100" w:afterAutospacing="1"/>
      <w:jc w:val="left"/>
      <w:textAlignment w:val="baseline"/>
    </w:pPr>
    <w:rPr>
      <w:rFonts w:ascii="宋体" w:hAnsi="宋体"/>
      <w:kern w:val="0"/>
      <w:sz w:val="24"/>
    </w:rPr>
  </w:style>
  <w:style w:type="paragraph" w:customStyle="1" w:styleId="429">
    <w:name w:val="UserStyle_165"/>
    <w:basedOn w:val="45"/>
    <w:qFormat/>
    <w:uiPriority w:val="0"/>
    <w:pPr>
      <w:widowControl/>
      <w:spacing w:before="240" w:after="240"/>
      <w:jc w:val="left"/>
      <w:textAlignment w:val="baseline"/>
      <w:outlineLvl w:val="9"/>
    </w:pPr>
    <w:rPr>
      <w:rFonts w:ascii="Cambria" w:hAnsi="Cambria"/>
      <w:kern w:val="2"/>
      <w:sz w:val="30"/>
      <w:szCs w:val="24"/>
    </w:rPr>
  </w:style>
  <w:style w:type="paragraph" w:customStyle="1" w:styleId="430">
    <w:name w:val="UserStyle_166"/>
    <w:basedOn w:val="1"/>
    <w:qFormat/>
    <w:uiPriority w:val="0"/>
    <w:pPr>
      <w:widowControl/>
      <w:spacing w:line="547" w:lineRule="exact"/>
      <w:ind w:firstLine="547"/>
      <w:textAlignment w:val="baseline"/>
    </w:pPr>
    <w:rPr>
      <w:rFonts w:ascii="Calibri" w:hAnsi="Calibri"/>
    </w:rPr>
  </w:style>
  <w:style w:type="paragraph" w:customStyle="1" w:styleId="431">
    <w:name w:val="UserStyle_167"/>
    <w:basedOn w:val="1"/>
    <w:qFormat/>
    <w:uiPriority w:val="0"/>
    <w:pPr>
      <w:widowControl/>
      <w:spacing w:line="538" w:lineRule="exact"/>
      <w:textAlignment w:val="baseline"/>
    </w:pPr>
    <w:rPr>
      <w:rFonts w:ascii="Calibri" w:hAnsi="Calibri"/>
    </w:rPr>
  </w:style>
  <w:style w:type="paragraph" w:customStyle="1" w:styleId="432">
    <w:name w:val="UserStyle_168"/>
    <w:basedOn w:val="226"/>
    <w:qFormat/>
    <w:uiPriority w:val="0"/>
    <w:pPr>
      <w:tabs>
        <w:tab w:val="left" w:pos="2175"/>
      </w:tabs>
      <w:spacing w:before="260" w:after="260" w:line="240" w:lineRule="auto"/>
      <w:ind w:left="2175" w:hanging="1275"/>
      <w:jc w:val="left"/>
    </w:pPr>
    <w:rPr>
      <w:rFonts w:ascii="宋体" w:hAnsi="宋体"/>
      <w:kern w:val="0"/>
      <w:sz w:val="21"/>
      <w:szCs w:val="20"/>
    </w:rPr>
  </w:style>
  <w:style w:type="paragraph" w:customStyle="1" w:styleId="433">
    <w:name w:val="UserStyle_169"/>
    <w:basedOn w:val="1"/>
    <w:qFormat/>
    <w:uiPriority w:val="0"/>
    <w:pPr>
      <w:widowControl/>
      <w:textAlignment w:val="baseline"/>
    </w:pPr>
    <w:rPr>
      <w:rFonts w:ascii="Calibri" w:hAnsi="Calibri"/>
    </w:rPr>
  </w:style>
  <w:style w:type="paragraph" w:customStyle="1" w:styleId="434">
    <w:name w:val="UserStyle_170"/>
    <w:basedOn w:val="1"/>
    <w:qFormat/>
    <w:uiPriority w:val="0"/>
    <w:pPr>
      <w:widowControl/>
      <w:textAlignment w:val="baseline"/>
    </w:pPr>
    <w:rPr>
      <w:rFonts w:ascii="Calibri" w:hAnsi="Calibri"/>
    </w:rPr>
  </w:style>
  <w:style w:type="paragraph" w:customStyle="1" w:styleId="435">
    <w:name w:val="UserStyle_171"/>
    <w:basedOn w:val="1"/>
    <w:qFormat/>
    <w:uiPriority w:val="0"/>
    <w:pPr>
      <w:widowControl/>
      <w:spacing w:after="160" w:line="240" w:lineRule="exact"/>
      <w:jc w:val="left"/>
      <w:textAlignment w:val="baseline"/>
    </w:pPr>
    <w:rPr>
      <w:rFonts w:ascii="Calibri" w:hAnsi="Calibri"/>
      <w:kern w:val="0"/>
      <w:sz w:val="24"/>
      <w:szCs w:val="20"/>
    </w:rPr>
  </w:style>
  <w:style w:type="paragraph" w:customStyle="1" w:styleId="436">
    <w:name w:val="UserStyle_172"/>
    <w:basedOn w:val="1"/>
    <w:qFormat/>
    <w:uiPriority w:val="0"/>
    <w:pPr>
      <w:widowControl/>
      <w:textAlignment w:val="baseline"/>
    </w:pPr>
    <w:rPr>
      <w:rFonts w:ascii="Calibri" w:hAnsi="Calibri"/>
      <w:szCs w:val="20"/>
    </w:rPr>
  </w:style>
  <w:style w:type="paragraph" w:customStyle="1" w:styleId="437">
    <w:name w:val="UserStyle_173"/>
    <w:basedOn w:val="1"/>
    <w:qFormat/>
    <w:uiPriority w:val="0"/>
    <w:pPr>
      <w:widowControl/>
      <w:spacing w:line="559" w:lineRule="exact"/>
      <w:ind w:firstLine="590"/>
      <w:textAlignment w:val="baseline"/>
    </w:pPr>
    <w:rPr>
      <w:rFonts w:ascii="Calibri" w:hAnsi="Calibri"/>
    </w:rPr>
  </w:style>
  <w:style w:type="paragraph" w:customStyle="1" w:styleId="438">
    <w:name w:val="UserStyle_174"/>
    <w:basedOn w:val="1"/>
    <w:qFormat/>
    <w:uiPriority w:val="0"/>
    <w:pPr>
      <w:widowControl/>
      <w:spacing w:line="538" w:lineRule="exact"/>
      <w:ind w:firstLine="533"/>
      <w:textAlignment w:val="baseline"/>
    </w:pPr>
    <w:rPr>
      <w:rFonts w:ascii="Calibri" w:hAnsi="Calibri"/>
    </w:rPr>
  </w:style>
  <w:style w:type="paragraph" w:customStyle="1" w:styleId="439">
    <w:name w:val="UserStyle_175"/>
    <w:basedOn w:val="1"/>
    <w:qFormat/>
    <w:uiPriority w:val="0"/>
    <w:pPr>
      <w:widowControl/>
      <w:pBdr>
        <w:left w:val="single" w:color="000000" w:sz="4" w:space="0"/>
        <w:right w:val="single" w:color="000000" w:sz="4" w:space="0"/>
      </w:pBdr>
      <w:spacing w:before="100" w:beforeAutospacing="1" w:after="100" w:afterAutospacing="1"/>
      <w:jc w:val="center"/>
      <w:textAlignment w:val="baseline"/>
    </w:pPr>
    <w:rPr>
      <w:rFonts w:ascii="宋体" w:hAnsi="宋体"/>
      <w:kern w:val="0"/>
      <w:sz w:val="24"/>
    </w:rPr>
  </w:style>
  <w:style w:type="paragraph" w:customStyle="1" w:styleId="440">
    <w:name w:val="178"/>
    <w:qFormat/>
    <w:uiPriority w:val="0"/>
    <w:pPr>
      <w:textAlignment w:val="baseline"/>
    </w:pPr>
    <w:rPr>
      <w:rFonts w:ascii="Calibri" w:hAnsi="Calibri" w:eastAsia="宋体" w:cs="Times New Roman"/>
      <w:kern w:val="2"/>
      <w:sz w:val="21"/>
      <w:szCs w:val="24"/>
      <w:lang w:val="en-US" w:eastAsia="zh-CN" w:bidi="ar-SA"/>
    </w:rPr>
  </w:style>
  <w:style w:type="paragraph" w:customStyle="1" w:styleId="441">
    <w:name w:val="UserStyle_176"/>
    <w:basedOn w:val="1"/>
    <w:qFormat/>
    <w:uiPriority w:val="0"/>
    <w:pPr>
      <w:widowControl/>
      <w:tabs>
        <w:tab w:val="left" w:pos="360"/>
      </w:tabs>
      <w:ind w:left="360" w:hanging="360"/>
      <w:textAlignment w:val="baseline"/>
    </w:pPr>
    <w:rPr>
      <w:rFonts w:ascii="宋体" w:hAnsi="宋体"/>
      <w:kern w:val="0"/>
      <w:szCs w:val="21"/>
    </w:rPr>
  </w:style>
  <w:style w:type="paragraph" w:customStyle="1" w:styleId="442">
    <w:name w:val="UserStyle_177"/>
    <w:basedOn w:val="1"/>
    <w:qFormat/>
    <w:uiPriority w:val="0"/>
    <w:pPr>
      <w:widowControl/>
      <w:textAlignment w:val="baseline"/>
    </w:pPr>
    <w:rPr>
      <w:rFonts w:ascii="Calibri" w:hAnsi="Calibri"/>
    </w:rPr>
  </w:style>
  <w:style w:type="paragraph" w:customStyle="1" w:styleId="443">
    <w:name w:val="UserStyle_178"/>
    <w:basedOn w:val="1"/>
    <w:qFormat/>
    <w:uiPriority w:val="0"/>
    <w:pPr>
      <w:keepNext/>
      <w:keepLines/>
      <w:widowControl/>
      <w:tabs>
        <w:tab w:val="left" w:pos="840"/>
      </w:tabs>
      <w:spacing w:before="240"/>
      <w:ind w:left="840" w:hanging="420"/>
      <w:jc w:val="left"/>
      <w:textAlignment w:val="baseline"/>
    </w:pPr>
    <w:rPr>
      <w:rFonts w:ascii="宋体" w:hAnsi="宋体"/>
      <w:b/>
      <w:bCs/>
      <w:color w:val="000000"/>
      <w:kern w:val="0"/>
      <w:szCs w:val="20"/>
    </w:rPr>
  </w:style>
  <w:style w:type="paragraph" w:customStyle="1" w:styleId="444">
    <w:name w:val="UserStyle_179"/>
    <w:basedOn w:val="1"/>
    <w:qFormat/>
    <w:uiPriority w:val="0"/>
    <w:pPr>
      <w:widowControl/>
      <w:spacing w:line="437" w:lineRule="exact"/>
      <w:textAlignment w:val="baseline"/>
    </w:pPr>
    <w:rPr>
      <w:rFonts w:ascii="Calibri" w:hAnsi="Calibri"/>
    </w:rPr>
  </w:style>
  <w:style w:type="paragraph" w:customStyle="1" w:styleId="445">
    <w:name w:val="UserStyle_180"/>
    <w:basedOn w:val="1"/>
    <w:qFormat/>
    <w:uiPriority w:val="0"/>
    <w:pPr>
      <w:widowControl/>
      <w:spacing w:line="547" w:lineRule="exact"/>
      <w:textAlignment w:val="baseline"/>
    </w:pPr>
    <w:rPr>
      <w:rFonts w:ascii="Calibri" w:hAnsi="Calibri"/>
    </w:rPr>
  </w:style>
  <w:style w:type="paragraph" w:customStyle="1" w:styleId="446">
    <w:name w:val="UserStyle_181"/>
    <w:basedOn w:val="1"/>
    <w:qFormat/>
    <w:uiPriority w:val="0"/>
    <w:pPr>
      <w:widowControl/>
      <w:spacing w:line="360" w:lineRule="auto"/>
      <w:textAlignment w:val="baseline"/>
    </w:pPr>
    <w:rPr>
      <w:rFonts w:ascii="宋体" w:hAnsi="宋体"/>
      <w:b/>
      <w:sz w:val="30"/>
      <w:szCs w:val="21"/>
    </w:rPr>
  </w:style>
  <w:style w:type="paragraph" w:customStyle="1" w:styleId="447">
    <w:name w:val="UserStyle_182"/>
    <w:basedOn w:val="1"/>
    <w:qFormat/>
    <w:uiPriority w:val="0"/>
    <w:pPr>
      <w:widowControl/>
      <w:textAlignment w:val="baseline"/>
    </w:pPr>
    <w:rPr>
      <w:rFonts w:ascii="Calibri" w:hAnsi="Calibri"/>
    </w:rPr>
  </w:style>
  <w:style w:type="paragraph" w:customStyle="1" w:styleId="448">
    <w:name w:val="179"/>
    <w:basedOn w:val="1"/>
    <w:qFormat/>
    <w:uiPriority w:val="0"/>
    <w:pPr>
      <w:widowControl/>
      <w:ind w:firstLine="420" w:firstLineChars="200"/>
      <w:textAlignment w:val="baseline"/>
    </w:pPr>
    <w:rPr>
      <w:rFonts w:ascii="Calibri" w:hAnsi="Calibri"/>
      <w:szCs w:val="22"/>
    </w:rPr>
  </w:style>
  <w:style w:type="paragraph" w:customStyle="1" w:styleId="449">
    <w:name w:val="UserStyle_183"/>
    <w:basedOn w:val="1"/>
    <w:qFormat/>
    <w:uiPriority w:val="0"/>
    <w:pPr>
      <w:widowControl/>
      <w:spacing w:line="542" w:lineRule="exact"/>
      <w:jc w:val="right"/>
      <w:textAlignment w:val="baseline"/>
    </w:pPr>
    <w:rPr>
      <w:rFonts w:ascii="Calibri" w:hAnsi="Calibri"/>
    </w:rPr>
  </w:style>
  <w:style w:type="paragraph" w:customStyle="1" w:styleId="450">
    <w:name w:val="UserStyle_184"/>
    <w:qFormat/>
    <w:uiPriority w:val="0"/>
    <w:pPr>
      <w:ind w:left="840" w:leftChars="350"/>
      <w:jc w:val="both"/>
      <w:textAlignment w:val="baseline"/>
    </w:pPr>
    <w:rPr>
      <w:rFonts w:ascii="宋体" w:hAnsi="Calibri" w:eastAsia="宋体" w:cs="Times New Roman"/>
      <w:b/>
      <w:sz w:val="24"/>
      <w:lang w:val="en-US" w:eastAsia="zh-CN" w:bidi="ar-SA"/>
    </w:rPr>
  </w:style>
  <w:style w:type="paragraph" w:customStyle="1" w:styleId="451">
    <w:name w:val="UserStyle_185"/>
    <w:basedOn w:val="1"/>
    <w:qFormat/>
    <w:uiPriority w:val="0"/>
    <w:pPr>
      <w:widowControl/>
      <w:textAlignment w:val="baseline"/>
    </w:pPr>
    <w:rPr>
      <w:rFonts w:ascii="Calibri" w:hAnsi="Calibri"/>
    </w:rPr>
  </w:style>
  <w:style w:type="paragraph" w:customStyle="1" w:styleId="452">
    <w:name w:val="UserStyle_186"/>
    <w:basedOn w:val="1"/>
    <w:qFormat/>
    <w:uiPriority w:val="0"/>
    <w:pPr>
      <w:widowControl/>
      <w:spacing w:line="682" w:lineRule="exact"/>
      <w:ind w:firstLine="557"/>
      <w:textAlignment w:val="baseline"/>
    </w:pPr>
    <w:rPr>
      <w:rFonts w:ascii="Calibri" w:hAnsi="Calibri"/>
    </w:rPr>
  </w:style>
  <w:style w:type="paragraph" w:customStyle="1" w:styleId="453">
    <w:name w:val="UserStyle_187"/>
    <w:basedOn w:val="1"/>
    <w:qFormat/>
    <w:uiPriority w:val="0"/>
    <w:pPr>
      <w:widowControl/>
      <w:textAlignment w:val="baseline"/>
    </w:pPr>
    <w:rPr>
      <w:rFonts w:ascii="Calibri" w:hAnsi="Calibri"/>
    </w:rPr>
  </w:style>
  <w:style w:type="paragraph" w:customStyle="1" w:styleId="454">
    <w:name w:val="UserStyle_188"/>
    <w:basedOn w:val="1"/>
    <w:qFormat/>
    <w:uiPriority w:val="0"/>
    <w:pPr>
      <w:widowControl/>
      <w:textAlignment w:val="baseline"/>
    </w:pPr>
    <w:rPr>
      <w:rFonts w:ascii="Calibri" w:hAnsi="Calibri"/>
    </w:rPr>
  </w:style>
  <w:style w:type="paragraph" w:customStyle="1" w:styleId="455">
    <w:name w:val="UserStyle_189"/>
    <w:basedOn w:val="1"/>
    <w:qFormat/>
    <w:uiPriority w:val="0"/>
    <w:pPr>
      <w:widowControl/>
      <w:snapToGrid w:val="0"/>
      <w:spacing w:line="300" w:lineRule="auto"/>
      <w:textAlignment w:val="baseline"/>
    </w:pPr>
    <w:rPr>
      <w:rFonts w:ascii="Calibri" w:hAnsi="Calibri"/>
      <w:sz w:val="24"/>
      <w:szCs w:val="20"/>
    </w:rPr>
  </w:style>
  <w:style w:type="paragraph" w:customStyle="1" w:styleId="456">
    <w:name w:val="UserStyle_190"/>
    <w:basedOn w:val="1"/>
    <w:qFormat/>
    <w:uiPriority w:val="0"/>
    <w:pPr>
      <w:widowControl/>
      <w:spacing w:line="533" w:lineRule="exact"/>
      <w:ind w:firstLine="581"/>
      <w:textAlignment w:val="baseline"/>
    </w:pPr>
    <w:rPr>
      <w:rFonts w:ascii="Calibri" w:hAnsi="Calibri"/>
    </w:rPr>
  </w:style>
  <w:style w:type="paragraph" w:customStyle="1" w:styleId="457">
    <w:name w:val="H1"/>
    <w:qFormat/>
    <w:uiPriority w:val="0"/>
    <w:pPr>
      <w:widowControl w:val="0"/>
      <w:adjustRightInd w:val="0"/>
      <w:spacing w:after="240"/>
      <w:textAlignment w:val="baseline"/>
    </w:pPr>
    <w:rPr>
      <w:rFonts w:ascii="Times New Roman" w:hAnsi="Times New Roman" w:eastAsia="全真中明體" w:cs="Times New Roman"/>
      <w:b/>
      <w:caps/>
      <w:spacing w:val="30"/>
      <w:sz w:val="24"/>
      <w:lang w:val="en-US" w:eastAsia="zh-TW" w:bidi="ar-SA"/>
    </w:rPr>
  </w:style>
  <w:style w:type="character" w:customStyle="1" w:styleId="458">
    <w:name w:val="日期 Char2"/>
    <w:qFormat/>
    <w:locked/>
    <w:uiPriority w:val="0"/>
    <w:rPr>
      <w:rFonts w:ascii="宋体" w:hAnsi="宋体" w:eastAsia="宋体"/>
      <w:kern w:val="2"/>
      <w:sz w:val="24"/>
      <w:lang w:val="en-US" w:eastAsia="zh-CN" w:bidi="ar-SA"/>
    </w:rPr>
  </w:style>
  <w:style w:type="character" w:customStyle="1" w:styleId="459">
    <w:name w:val="15"/>
    <w:basedOn w:val="50"/>
    <w:qFormat/>
    <w:uiPriority w:val="0"/>
    <w:rPr>
      <w:rFonts w:hint="default" w:ascii="Times New Roman" w:hAnsi="Times New Roman" w:cs="Times New Roman"/>
      <w:b/>
    </w:rPr>
  </w:style>
  <w:style w:type="paragraph" w:customStyle="1" w:styleId="460">
    <w:name w:val="Normal_0_2"/>
    <w:qFormat/>
    <w:uiPriority w:val="0"/>
    <w:rPr>
      <w:rFonts w:ascii="Times New Roman" w:hAnsi="Times New Roman" w:eastAsia="Times New Roman" w:cs="Times New Roman"/>
      <w:sz w:val="24"/>
      <w:szCs w:val="24"/>
      <w:lang w:val="en-US" w:eastAsia="zh-CN" w:bidi="ar-SA"/>
    </w:rPr>
  </w:style>
  <w:style w:type="paragraph" w:customStyle="1" w:styleId="461">
    <w:name w:val="正文文本 21"/>
    <w:basedOn w:val="1"/>
    <w:qFormat/>
    <w:uiPriority w:val="0"/>
    <w:pPr>
      <w:widowControl/>
      <w:spacing w:line="480" w:lineRule="auto"/>
      <w:textAlignment w:val="baseline"/>
    </w:pPr>
    <w:rPr>
      <w:rFonts w:ascii="Calibri" w:hAnsi="Calibri"/>
    </w:rPr>
  </w:style>
  <w:style w:type="paragraph" w:customStyle="1" w:styleId="462">
    <w:name w:val="Other|1"/>
    <w:basedOn w:val="1"/>
    <w:qFormat/>
    <w:uiPriority w:val="0"/>
    <w:pPr>
      <w:spacing w:line="252" w:lineRule="exact"/>
      <w:textAlignment w:val="baseline"/>
    </w:pPr>
    <w:rPr>
      <w:rFonts w:ascii="宋体" w:hAnsi="宋体" w:cs="宋体"/>
      <w:sz w:val="20"/>
      <w:szCs w:val="20"/>
      <w:lang w:val="zh-TW" w:eastAsia="zh-TW" w:bidi="zh-TW"/>
    </w:rPr>
  </w:style>
  <w:style w:type="paragraph" w:customStyle="1" w:styleId="463">
    <w:name w:val="表 靠左"/>
    <w:basedOn w:val="1"/>
    <w:qFormat/>
    <w:uiPriority w:val="0"/>
    <w:pPr>
      <w:jc w:val="left"/>
    </w:pPr>
    <w:rPr>
      <w:sz w:val="24"/>
      <w:szCs w:val="21"/>
    </w:rPr>
  </w:style>
  <w:style w:type="paragraph" w:customStyle="1" w:styleId="464">
    <w:name w:val="AVIC1.1"/>
    <w:basedOn w:val="1"/>
    <w:qFormat/>
    <w:uiPriority w:val="0"/>
    <w:pPr>
      <w:jc w:val="left"/>
      <w:outlineLvl w:val="3"/>
    </w:pPr>
    <w:rPr>
      <w:rFonts w:ascii="宋体" w:hAnsi="宋体"/>
      <w:b/>
      <w:bCs/>
    </w:rPr>
  </w:style>
  <w:style w:type="character" w:customStyle="1" w:styleId="465">
    <w:name w:val="btn-print1"/>
    <w:basedOn w:val="50"/>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466">
    <w:name w:val="首行缩进"/>
    <w:basedOn w:val="1"/>
    <w:qFormat/>
    <w:uiPriority w:val="0"/>
    <w:pPr>
      <w:spacing w:line="360" w:lineRule="auto"/>
      <w:ind w:firstLine="480" w:firstLineChars="200"/>
    </w:pPr>
    <w:rPr>
      <w:rFonts w:ascii="Calibri" w:hAnsi="Calibri"/>
      <w:sz w:val="24"/>
      <w:lang w:val="zh-CN"/>
    </w:rPr>
  </w:style>
  <w:style w:type="paragraph" w:customStyle="1" w:styleId="46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8">
    <w:name w:val="正文文本_1"/>
    <w:basedOn w:val="467"/>
    <w:qFormat/>
    <w:uiPriority w:val="0"/>
    <w:pPr>
      <w:spacing w:after="120"/>
    </w:pPr>
  </w:style>
  <w:style w:type="paragraph" w:customStyle="1" w:styleId="469">
    <w:name w:val="U_正文2"/>
    <w:basedOn w:val="1"/>
    <w:qFormat/>
    <w:uiPriority w:val="0"/>
    <w:pPr>
      <w:spacing w:beforeLines="10" w:afterLines="10" w:line="300" w:lineRule="auto"/>
    </w:pPr>
    <w:rPr>
      <w:rFonts w:ascii="Times New Roman" w:hAnsi="Times New Roman" w:eastAsia="宋体" w:cs="Times New Roman"/>
      <w:sz w:val="24"/>
      <w:szCs w:val="20"/>
    </w:rPr>
  </w:style>
  <w:style w:type="paragraph" w:customStyle="1" w:styleId="470">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control" Target="activeX/activeX25.xml"/><Relationship Id="rId40" Type="http://schemas.openxmlformats.org/officeDocument/2006/relationships/control" Target="activeX/activeX24.xml"/><Relationship Id="rId4" Type="http://schemas.openxmlformats.org/officeDocument/2006/relationships/footer" Target="footer1.xml"/><Relationship Id="rId39" Type="http://schemas.openxmlformats.org/officeDocument/2006/relationships/control" Target="activeX/activeX23.xml"/><Relationship Id="rId38" Type="http://schemas.openxmlformats.org/officeDocument/2006/relationships/control" Target="activeX/activeX22.xml"/><Relationship Id="rId37" Type="http://schemas.openxmlformats.org/officeDocument/2006/relationships/control" Target="activeX/activeX21.xml"/><Relationship Id="rId36" Type="http://schemas.openxmlformats.org/officeDocument/2006/relationships/control" Target="activeX/activeX20.xml"/><Relationship Id="rId35" Type="http://schemas.openxmlformats.org/officeDocument/2006/relationships/control" Target="activeX/activeX19.xml"/><Relationship Id="rId34" Type="http://schemas.openxmlformats.org/officeDocument/2006/relationships/control" Target="activeX/activeX18.xml"/><Relationship Id="rId33" Type="http://schemas.openxmlformats.org/officeDocument/2006/relationships/control" Target="activeX/activeX17.xml"/><Relationship Id="rId32" Type="http://schemas.openxmlformats.org/officeDocument/2006/relationships/control" Target="activeX/activeX16.xml"/><Relationship Id="rId31" Type="http://schemas.openxmlformats.org/officeDocument/2006/relationships/control" Target="activeX/activeX15.xml"/><Relationship Id="rId30" Type="http://schemas.openxmlformats.org/officeDocument/2006/relationships/control" Target="activeX/activeX14.xml"/><Relationship Id="rId3" Type="http://schemas.openxmlformats.org/officeDocument/2006/relationships/header" Target="header1.xml"/><Relationship Id="rId29" Type="http://schemas.openxmlformats.org/officeDocument/2006/relationships/control" Target="activeX/activeX13.xml"/><Relationship Id="rId28" Type="http://schemas.openxmlformats.org/officeDocument/2006/relationships/control" Target="activeX/activeX12.xml"/><Relationship Id="rId27" Type="http://schemas.openxmlformats.org/officeDocument/2006/relationships/image" Target="media/image3.wmf"/><Relationship Id="rId26" Type="http://schemas.openxmlformats.org/officeDocument/2006/relationships/control" Target="activeX/activeX11.xml"/><Relationship Id="rId25" Type="http://schemas.openxmlformats.org/officeDocument/2006/relationships/control" Target="activeX/activeX10.xml"/><Relationship Id="rId24" Type="http://schemas.openxmlformats.org/officeDocument/2006/relationships/control" Target="activeX/activeX9.xml"/><Relationship Id="rId23" Type="http://schemas.openxmlformats.org/officeDocument/2006/relationships/control" Target="activeX/activeX8.xml"/><Relationship Id="rId22" Type="http://schemas.openxmlformats.org/officeDocument/2006/relationships/control" Target="activeX/activeX7.xml"/><Relationship Id="rId21" Type="http://schemas.openxmlformats.org/officeDocument/2006/relationships/control" Target="activeX/activeX6.xml"/><Relationship Id="rId20" Type="http://schemas.openxmlformats.org/officeDocument/2006/relationships/control" Target="activeX/activeX5.xml"/><Relationship Id="rId2" Type="http://schemas.openxmlformats.org/officeDocument/2006/relationships/settings" Target="settings.xml"/><Relationship Id="rId19" Type="http://schemas.openxmlformats.org/officeDocument/2006/relationships/control" Target="activeX/activeX4.xml"/><Relationship Id="rId18" Type="http://schemas.openxmlformats.org/officeDocument/2006/relationships/image" Target="media/image2.wmf"/><Relationship Id="rId17" Type="http://schemas.openxmlformats.org/officeDocument/2006/relationships/control" Target="activeX/activeX3.xml"/><Relationship Id="rId16" Type="http://schemas.openxmlformats.org/officeDocument/2006/relationships/control" Target="activeX/activeX2.xml"/><Relationship Id="rId15" Type="http://schemas.openxmlformats.org/officeDocument/2006/relationships/image" Target="media/image1.wmf"/><Relationship Id="rId14" Type="http://schemas.openxmlformats.org/officeDocument/2006/relationships/control" Target="activeX/activeX1.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8.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1.xml.rels><?xml version="1.0" encoding="UTF-8" standalone="yes"?>
<Relationships xmlns="http://schemas.openxmlformats.org/package/2006/relationships"><Relationship Id="rId1" Type="http://schemas.microsoft.com/office/2006/relationships/activeXControlBinary" Target="activeX22.bin"/></Relationships>
</file>

<file path=word/activeX/_rels/activeX12.xml.rels><?xml version="1.0" encoding="UTF-8" standalone="yes"?>
<Relationships xmlns="http://schemas.openxmlformats.org/package/2006/relationships"><Relationship Id="rId1" Type="http://schemas.microsoft.com/office/2006/relationships/activeXControlBinary" Target="activeX25.bin"/></Relationships>
</file>

<file path=word/activeX/_rels/activeX13.xml.rels><?xml version="1.0" encoding="UTF-8" standalone="yes"?>
<Relationships xmlns="http://schemas.openxmlformats.org/package/2006/relationships"><Relationship Id="rId1" Type="http://schemas.microsoft.com/office/2006/relationships/activeXControlBinary" Target="activeX24.bin"/></Relationships>
</file>

<file path=word/activeX/_rels/activeX14.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6.xml.rels><?xml version="1.0" encoding="UTF-8" standalone="yes"?>
<Relationships xmlns="http://schemas.openxmlformats.org/package/2006/relationships"><Relationship Id="rId1" Type="http://schemas.microsoft.com/office/2006/relationships/activeXControlBinary" Target="activeX23.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bin"/></Relationships>
</file>

<file path=word/activeX/_rels/activeX24.xml.rels><?xml version="1.0" encoding="UTF-8" standalone="yes"?>
<Relationships xmlns="http://schemas.openxmlformats.org/package/2006/relationships"><Relationship Id="rId1" Type="http://schemas.microsoft.com/office/2006/relationships/activeXControlBinary" Target="activeX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3.bin"/></Relationships>
</file>

<file path=word/activeX/_rels/activeX3.xml.rels><?xml version="1.0" encoding="UTF-8" standalone="yes"?>
<Relationships xmlns="http://schemas.openxmlformats.org/package/2006/relationships"><Relationship Id="rId1" Type="http://schemas.microsoft.com/office/2006/relationships/activeXControlBinary" Target="activeX5.bin"/></Relationships>
</file>

<file path=word/activeX/_rels/activeX4.xml.rels><?xml version="1.0" encoding="UTF-8" standalone="yes"?>
<Relationships xmlns="http://schemas.openxmlformats.org/package/2006/relationships"><Relationship Id="rId1" Type="http://schemas.microsoft.com/office/2006/relationships/activeXControlBinary" Target="activeX9.bin"/></Relationships>
</file>

<file path=word/activeX/_rels/activeX5.xml.rels><?xml version="1.0" encoding="UTF-8" standalone="yes"?>
<Relationships xmlns="http://schemas.openxmlformats.org/package/2006/relationships"><Relationship Id="rId1" Type="http://schemas.microsoft.com/office/2006/relationships/activeXControlBinary" Target="activeX12.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10.bin"/></Relationships>
</file>

<file path=word/activeX/_rels/activeX9.xml.rels><?xml version="1.0" encoding="UTF-8" standalone="yes"?>
<Relationships xmlns="http://schemas.openxmlformats.org/package/2006/relationships"><Relationship Id="rId1" Type="http://schemas.microsoft.com/office/2006/relationships/activeXControlBinary" Target="activeX11.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18.xml><?xml version="1.0" encoding="utf-8"?>
<ax:ocx xmlns:ax="http://schemas.microsoft.com/office/2006/activeX" xmlns:r="http://schemas.openxmlformats.org/officeDocument/2006/relationships" ax:classid="{8BD21D40-EC42-11CE-9E0D-00AA006002F3}" r:id="rId1" ax:persistence="persistStorage"/>
</file>

<file path=word/activeX/activeX19.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20.xml><?xml version="1.0" encoding="utf-8"?>
<ax:ocx xmlns:ax="http://schemas.microsoft.com/office/2006/activeX" xmlns:r="http://schemas.openxmlformats.org/officeDocument/2006/relationships" ax:classid="{8BD21D40-EC42-11CE-9E0D-00AA006002F3}" r:id="rId1" ax:persistence="persistStorage"/>
</file>

<file path=word/activeX/activeX21.xml><?xml version="1.0" encoding="utf-8"?>
<ax:ocx xmlns:ax="http://schemas.microsoft.com/office/2006/activeX" xmlns:r="http://schemas.openxmlformats.org/officeDocument/2006/relationships" ax:classid="{8BD21D40-EC42-11CE-9E0D-00AA006002F3}" r:id="rId1" ax:persistence="persistStorage"/>
</file>

<file path=word/activeX/activeX22.xml><?xml version="1.0" encoding="utf-8"?>
<ax:ocx xmlns:ax="http://schemas.microsoft.com/office/2006/activeX" xmlns:r="http://schemas.openxmlformats.org/officeDocument/2006/relationships" ax:classid="{8BD21D40-EC42-11CE-9E0D-00AA006002F3}" r:id="rId1" ax:persistence="persistStorage"/>
</file>

<file path=word/activeX/activeX23.xml><?xml version="1.0" encoding="utf-8"?>
<ax:ocx xmlns:ax="http://schemas.microsoft.com/office/2006/activeX" xmlns:r="http://schemas.openxmlformats.org/officeDocument/2006/relationships" ax:classid="{8BD21D40-EC42-11CE-9E0D-00AA006002F3}" r:id="rId1" ax:persistence="persistStorage"/>
</file>

<file path=word/activeX/activeX24.xml><?xml version="1.0" encoding="utf-8"?>
<ax:ocx xmlns:ax="http://schemas.microsoft.com/office/2006/activeX" xmlns:r="http://schemas.openxmlformats.org/officeDocument/2006/relationships" ax:classid="{8BD21D40-EC42-11CE-9E0D-00AA006002F3}" r:id="rId1" ax:persistence="persistStorage"/>
</file>

<file path=word/activeX/activeX25.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29B0D-7832-4E1B-BC82-4CC6FB0600F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83</Pages>
  <Words>17799</Words>
  <Characters>18952</Characters>
  <Lines>394</Lines>
  <Paragraphs>110</Paragraphs>
  <TotalTime>8</TotalTime>
  <ScaleCrop>false</ScaleCrop>
  <LinksUpToDate>false</LinksUpToDate>
  <CharactersWithSpaces>19285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2022-08-27T14:33:00Z</dcterms:created>
  <dc:creator>admin</dc:creator>
  <cp:lastModifiedBy>lenovo</cp:lastModifiedBy>
  <cp:lastPrinted>2026-03-18T07:28:00Z</cp:lastPrinted>
  <dcterms:modified xsi:type="dcterms:W3CDTF">2026-07-22T08:02:24Z</dcterms:modified>
  <dc:title>政府采购</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1C23213798F6414AA9024185A9DFA4D2_13</vt:lpwstr>
  </property>
  <property fmtid="{D5CDD505-2E9C-101B-9397-08002B2CF9AE}" pid="4" name="KSOTemplateDocerSaveRecord">
    <vt:lpwstr>eyJoZGlkIjoiMzEwNTM5NzYwMDRjMzkwZTVkZjY2ODkwMGIxNGU0OTUiLCJ1c2VySWQiOiIyNzkxNzc3NTcifQ==</vt:lpwstr>
  </property>
</Properties>
</file>