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3774E8">
      <w:pPr>
        <w:pStyle w:val="23"/>
        <w:adjustRightInd w:val="0"/>
        <w:snapToGrid w:val="0"/>
        <w:spacing w:line="360" w:lineRule="auto"/>
        <w:jc w:val="center"/>
        <w:rPr>
          <w:rFonts w:hint="eastAsia" w:ascii="宋体" w:hAnsi="宋体" w:eastAsia="宋体" w:cs="Times New Roman"/>
          <w:b/>
          <w:bCs/>
          <w:color w:val="auto"/>
          <w:sz w:val="28"/>
          <w:szCs w:val="28"/>
          <w:highlight w:val="none"/>
          <w:lang w:eastAsia="zh-CN"/>
        </w:rPr>
      </w:pPr>
      <w:r>
        <w:rPr>
          <w:rFonts w:hint="eastAsia" w:ascii="宋体" w:hAnsi="宋体" w:eastAsia="宋体" w:cs="Times New Roman"/>
          <w:b/>
          <w:bCs/>
          <w:color w:val="auto"/>
          <w:sz w:val="28"/>
          <w:szCs w:val="28"/>
          <w:highlight w:val="none"/>
          <w:lang w:eastAsia="zh-CN"/>
        </w:rPr>
        <w:drawing>
          <wp:inline distT="0" distB="0" distL="114300" distR="114300">
            <wp:extent cx="5593080" cy="7910195"/>
            <wp:effectExtent l="0" t="0" r="7620" b="14605"/>
            <wp:docPr id="3" name="图片 3" descr="封面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封面_01"/>
                    <pic:cNvPicPr>
                      <a:picLocks noChangeAspect="1"/>
                    </pic:cNvPicPr>
                  </pic:nvPicPr>
                  <pic:blipFill>
                    <a:blip r:embed="rId11"/>
                    <a:stretch>
                      <a:fillRect/>
                    </a:stretch>
                  </pic:blipFill>
                  <pic:spPr>
                    <a:xfrm>
                      <a:off x="0" y="0"/>
                      <a:ext cx="5593080" cy="7910195"/>
                    </a:xfrm>
                    <a:prstGeom prst="rect">
                      <a:avLst/>
                    </a:prstGeom>
                  </pic:spPr>
                </pic:pic>
              </a:graphicData>
            </a:graphic>
          </wp:inline>
        </w:drawing>
      </w:r>
    </w:p>
    <w:p w14:paraId="712ACD53">
      <w:pPr>
        <w:pStyle w:val="23"/>
        <w:adjustRightInd w:val="0"/>
        <w:snapToGrid w:val="0"/>
        <w:spacing w:line="360" w:lineRule="auto"/>
        <w:jc w:val="center"/>
        <w:rPr>
          <w:rFonts w:hint="eastAsia" w:ascii="宋体" w:hAnsi="宋体" w:eastAsia="宋体" w:cs="Times New Roman"/>
          <w:b/>
          <w:bCs/>
          <w:color w:val="auto"/>
          <w:sz w:val="28"/>
          <w:szCs w:val="28"/>
          <w:highlight w:val="none"/>
          <w:lang w:eastAsia="zh-CN"/>
        </w:rPr>
      </w:pPr>
    </w:p>
    <w:p w14:paraId="41E92B58">
      <w:pPr>
        <w:pStyle w:val="23"/>
        <w:adjustRightInd w:val="0"/>
        <w:snapToGrid w:val="0"/>
        <w:spacing w:line="360" w:lineRule="auto"/>
        <w:jc w:val="center"/>
        <w:rPr>
          <w:rFonts w:hint="eastAsia" w:ascii="宋体" w:hAnsi="宋体" w:eastAsia="宋体" w:cs="Times New Roman"/>
          <w:b/>
          <w:bCs/>
          <w:color w:val="auto"/>
          <w:sz w:val="28"/>
          <w:szCs w:val="28"/>
          <w:highlight w:val="none"/>
          <w:lang w:eastAsia="zh-CN"/>
        </w:rPr>
      </w:pPr>
    </w:p>
    <w:p w14:paraId="713C6E45">
      <w:pPr>
        <w:pStyle w:val="23"/>
        <w:adjustRightInd w:val="0"/>
        <w:snapToGrid w:val="0"/>
        <w:spacing w:line="360" w:lineRule="auto"/>
        <w:jc w:val="center"/>
        <w:rPr>
          <w:rFonts w:hint="eastAsia" w:ascii="宋体" w:hAnsi="宋体" w:eastAsia="宋体" w:cs="宋体"/>
          <w:b/>
          <w:bCs/>
          <w:color w:val="auto"/>
          <w:spacing w:val="160"/>
          <w:sz w:val="36"/>
          <w:szCs w:val="36"/>
          <w:highlight w:val="none"/>
        </w:rPr>
      </w:pPr>
      <w:r>
        <w:rPr>
          <w:rFonts w:hint="eastAsia" w:ascii="宋体" w:hAnsi="宋体" w:eastAsia="宋体" w:cs="宋体"/>
          <w:b/>
          <w:bCs/>
          <w:color w:val="auto"/>
          <w:spacing w:val="160"/>
          <w:sz w:val="36"/>
          <w:szCs w:val="36"/>
          <w:highlight w:val="none"/>
        </w:rPr>
        <w:t>目录</w:t>
      </w:r>
    </w:p>
    <w:p w14:paraId="259153B4">
      <w:pPr>
        <w:pStyle w:val="23"/>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第一章  磋商邀请</w:t>
      </w:r>
    </w:p>
    <w:p w14:paraId="2D60CB6B">
      <w:pPr>
        <w:pStyle w:val="23"/>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第二章  磋商须知</w:t>
      </w:r>
    </w:p>
    <w:p w14:paraId="0CECB9B0">
      <w:pPr>
        <w:tabs>
          <w:tab w:val="left" w:pos="144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磋商须知前附表</w:t>
      </w:r>
    </w:p>
    <w:p w14:paraId="6656F38E">
      <w:pPr>
        <w:tabs>
          <w:tab w:val="left" w:pos="144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磋商须知正文</w:t>
      </w:r>
    </w:p>
    <w:p w14:paraId="798E4ADC">
      <w:pPr>
        <w:tabs>
          <w:tab w:val="left" w:pos="1440"/>
        </w:tabs>
        <w:adjustRightInd w:val="0"/>
        <w:snapToGrid w:val="0"/>
        <w:spacing w:line="360" w:lineRule="auto"/>
        <w:ind w:firstLine="630" w:firstLineChars="3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一、说明</w:t>
      </w:r>
    </w:p>
    <w:p w14:paraId="12D309E4">
      <w:pPr>
        <w:tabs>
          <w:tab w:val="left" w:pos="1440"/>
        </w:tabs>
        <w:adjustRightInd w:val="0"/>
        <w:snapToGrid w:val="0"/>
        <w:spacing w:line="360" w:lineRule="auto"/>
        <w:ind w:firstLine="630" w:firstLineChars="3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w:t>
      </w:r>
      <w:r>
        <w:rPr>
          <w:rFonts w:hint="eastAsia" w:ascii="宋体" w:hAnsi="宋体" w:eastAsia="宋体" w:cs="宋体"/>
          <w:bCs/>
          <w:color w:val="auto"/>
          <w:szCs w:val="21"/>
          <w:highlight w:val="none"/>
        </w:rPr>
        <w:t>磋商</w:t>
      </w:r>
      <w:r>
        <w:rPr>
          <w:rFonts w:hint="eastAsia" w:ascii="宋体" w:hAnsi="宋体" w:eastAsia="宋体" w:cs="宋体"/>
          <w:color w:val="auto"/>
          <w:szCs w:val="21"/>
          <w:highlight w:val="none"/>
        </w:rPr>
        <w:t>文件</w:t>
      </w:r>
    </w:p>
    <w:p w14:paraId="10D44479">
      <w:pPr>
        <w:adjustRightInd w:val="0"/>
        <w:snapToGrid w:val="0"/>
        <w:spacing w:line="360" w:lineRule="auto"/>
        <w:ind w:firstLine="630" w:firstLineChars="3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三、响应文件</w:t>
      </w:r>
    </w:p>
    <w:p w14:paraId="317E5228">
      <w:pPr>
        <w:adjustRightInd w:val="0"/>
        <w:snapToGrid w:val="0"/>
        <w:spacing w:line="360" w:lineRule="auto"/>
        <w:ind w:firstLine="630" w:firstLineChars="3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四、响应文件的递交</w:t>
      </w:r>
    </w:p>
    <w:p w14:paraId="289FEF7A">
      <w:pPr>
        <w:adjustRightInd w:val="0"/>
        <w:snapToGrid w:val="0"/>
        <w:spacing w:line="360" w:lineRule="auto"/>
        <w:ind w:firstLine="630" w:firstLineChars="3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五、</w:t>
      </w:r>
      <w:r>
        <w:rPr>
          <w:rFonts w:hint="eastAsia" w:ascii="宋体" w:hAnsi="宋体" w:eastAsia="宋体" w:cs="宋体"/>
          <w:color w:val="auto"/>
          <w:szCs w:val="21"/>
          <w:highlight w:val="none"/>
        </w:rPr>
        <w:t>响应文件</w:t>
      </w:r>
      <w:r>
        <w:rPr>
          <w:rFonts w:hint="eastAsia" w:ascii="宋体" w:hAnsi="宋体" w:eastAsia="宋体" w:cs="宋体"/>
          <w:bCs/>
          <w:color w:val="auto"/>
          <w:szCs w:val="21"/>
          <w:highlight w:val="none"/>
        </w:rPr>
        <w:t>的</w:t>
      </w:r>
      <w:r>
        <w:rPr>
          <w:rFonts w:hint="eastAsia" w:ascii="宋体" w:hAnsi="宋体" w:eastAsia="宋体" w:cs="宋体"/>
          <w:color w:val="auto"/>
          <w:szCs w:val="21"/>
          <w:highlight w:val="none"/>
        </w:rPr>
        <w:t>磋商与评审</w:t>
      </w:r>
    </w:p>
    <w:p w14:paraId="1F07624A">
      <w:pPr>
        <w:adjustRightInd w:val="0"/>
        <w:snapToGrid w:val="0"/>
        <w:spacing w:line="360" w:lineRule="auto"/>
        <w:ind w:firstLine="630" w:firstLineChars="3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六、成交结果信息公布与授予合同</w:t>
      </w:r>
    </w:p>
    <w:p w14:paraId="7DBA1449">
      <w:pPr>
        <w:adjustRightInd w:val="0"/>
        <w:snapToGrid w:val="0"/>
        <w:spacing w:line="360" w:lineRule="auto"/>
        <w:ind w:firstLine="630" w:firstLineChars="3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七、其他规定</w:t>
      </w:r>
    </w:p>
    <w:p w14:paraId="11AA9220">
      <w:pPr>
        <w:adjustRightInd w:val="0"/>
        <w:snapToGrid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第三章  政府采购合同格式</w:t>
      </w:r>
    </w:p>
    <w:p w14:paraId="7180E22E">
      <w:pPr>
        <w:adjustRightInd w:val="0"/>
        <w:snapToGrid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第四章  采购需求</w:t>
      </w:r>
    </w:p>
    <w:p w14:paraId="66FDC084">
      <w:pPr>
        <w:pStyle w:val="23"/>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第五章  </w:t>
      </w:r>
      <w:r>
        <w:rPr>
          <w:rFonts w:hint="eastAsia" w:ascii="宋体" w:hAnsi="宋体" w:eastAsia="宋体" w:cs="宋体"/>
          <w:b/>
          <w:color w:val="auto"/>
          <w:sz w:val="24"/>
          <w:highlight w:val="none"/>
        </w:rPr>
        <w:t>响应文件组成</w:t>
      </w:r>
    </w:p>
    <w:p w14:paraId="13EEDE05">
      <w:pPr>
        <w:spacing w:line="360" w:lineRule="exact"/>
        <w:rPr>
          <w:rFonts w:hint="eastAsia" w:ascii="宋体" w:hAnsi="宋体" w:eastAsia="宋体" w:cs="宋体"/>
          <w:b/>
          <w:color w:val="auto"/>
          <w:sz w:val="24"/>
          <w:highlight w:val="none"/>
        </w:rPr>
      </w:pPr>
    </w:p>
    <w:p w14:paraId="27FC5050">
      <w:pPr>
        <w:jc w:val="center"/>
        <w:rPr>
          <w:rFonts w:hint="eastAsia" w:ascii="宋体" w:hAnsi="宋体" w:eastAsia="宋体" w:cs="宋体"/>
          <w:color w:val="auto"/>
          <w:sz w:val="32"/>
          <w:szCs w:val="32"/>
          <w:highlight w:val="none"/>
        </w:rPr>
      </w:pPr>
    </w:p>
    <w:p w14:paraId="409967AA">
      <w:pPr>
        <w:numPr>
          <w:ilvl w:val="0"/>
          <w:numId w:val="1"/>
        </w:numPr>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r>
        <w:rPr>
          <w:rFonts w:hint="eastAsia" w:ascii="宋体" w:hAnsi="宋体" w:eastAsia="宋体" w:cs="宋体"/>
          <w:b/>
          <w:color w:val="auto"/>
          <w:sz w:val="32"/>
          <w:szCs w:val="32"/>
          <w:highlight w:val="none"/>
        </w:rPr>
        <w:t xml:space="preserve"> 磋商邀请</w:t>
      </w:r>
    </w:p>
    <w:p w14:paraId="168C62C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color w:val="auto"/>
          <w:sz w:val="21"/>
          <w:szCs w:val="21"/>
          <w:highlight w:val="none"/>
        </w:rPr>
      </w:pPr>
      <w:r>
        <w:rPr>
          <w:rFonts w:hint="eastAsia" w:ascii="宋体" w:hAnsi="宋体" w:cs="宋体"/>
          <w:color w:val="auto"/>
          <w:kern w:val="0"/>
          <w:sz w:val="21"/>
          <w:szCs w:val="21"/>
          <w:highlight w:val="none"/>
          <w:lang w:val="en-US" w:eastAsia="zh-CN" w:bidi="ar"/>
        </w:rPr>
        <w:t>岳阳县卫生健康局的岳阳县第五人民医院整体搬迁建设项目（一期）代建服务项目</w:t>
      </w:r>
      <w:r>
        <w:rPr>
          <w:rFonts w:hint="eastAsia" w:ascii="宋体" w:hAnsi="宋体" w:eastAsia="宋体" w:cs="宋体"/>
          <w:color w:val="auto"/>
          <w:kern w:val="0"/>
          <w:sz w:val="21"/>
          <w:szCs w:val="21"/>
          <w:highlight w:val="none"/>
          <w:lang w:val="en-US" w:eastAsia="zh-CN" w:bidi="ar"/>
        </w:rPr>
        <w:t xml:space="preserve">进行采购，现邀请合格投标人参加投标。 </w:t>
      </w:r>
    </w:p>
    <w:tbl>
      <w:tblPr>
        <w:tblStyle w:val="44"/>
        <w:tblpPr w:leftFromText="180" w:rightFromText="180" w:vertAnchor="text" w:horzAnchor="page" w:tblpXSpec="center" w:tblpY="472"/>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28ACD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2" w:type="dxa"/>
          </w:tcPr>
          <w:p w14:paraId="1DE01AD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right="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项目概况</w:t>
            </w:r>
          </w:p>
          <w:p w14:paraId="441FDEF2">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宋体" w:hAnsi="宋体" w:eastAsia="宋体" w:cs="宋体"/>
                <w:color w:val="auto"/>
                <w:sz w:val="24"/>
                <w:highlight w:val="none"/>
                <w:vertAlign w:val="baseline"/>
              </w:rPr>
            </w:pPr>
            <w:r>
              <w:rPr>
                <w:rFonts w:hint="eastAsia" w:ascii="宋体" w:hAnsi="宋体" w:eastAsia="宋体" w:cs="宋体"/>
                <w:color w:val="auto"/>
                <w:sz w:val="24"/>
                <w:highlight w:val="none"/>
                <w:vertAlign w:val="baseline"/>
                <w:lang w:val="en-US" w:eastAsia="zh-CN"/>
              </w:rPr>
              <w:t xml:space="preserve">    </w:t>
            </w:r>
            <w:r>
              <w:rPr>
                <w:rFonts w:hint="eastAsia" w:ascii="宋体" w:hAnsi="宋体" w:eastAsia="宋体" w:cs="宋体"/>
                <w:color w:val="auto"/>
                <w:kern w:val="0"/>
                <w:sz w:val="21"/>
                <w:szCs w:val="21"/>
                <w:highlight w:val="none"/>
                <w:lang w:val="en-US" w:eastAsia="zh-CN" w:bidi="ar"/>
              </w:rPr>
              <w:t>岳阳县第五人民医院整体搬迁建设项目（一期）代建服务项目采购项目的潜在供应商应在（岳阳建宇工程建设咨询有限公司岳阳县兴荣路69号,持投标人公司营业执照（复印件加盖公章）、法定代表人身份证明或授权委托书附法定代表人身份证明、法定代表人或委托人身份证</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获取采购文件，并于2026年10月19日 15点00分（北京时间）前提交响应文件。</w:t>
            </w:r>
          </w:p>
        </w:tc>
      </w:tr>
    </w:tbl>
    <w:p w14:paraId="1DE288CB">
      <w:pPr>
        <w:pStyle w:val="4"/>
        <w:keepNext w:val="0"/>
        <w:keepLines w:val="0"/>
        <w:pageBreakBefore w:val="0"/>
        <w:widowControl/>
        <w:suppressLineNumbers w:val="0"/>
        <w:kinsoku/>
        <w:wordWrap/>
        <w:overflowPunct/>
        <w:topLinePunct w:val="0"/>
        <w:autoSpaceDE/>
        <w:autoSpaceDN/>
        <w:bidi w:val="0"/>
        <w:adjustRightInd/>
        <w:snapToGrid/>
        <w:spacing w:before="0" w:after="0" w:line="440" w:lineRule="exact"/>
        <w:textAlignment w:val="auto"/>
        <w:rPr>
          <w:rFonts w:hint="eastAsia" w:ascii="宋体" w:hAnsi="宋体" w:eastAsia="宋体" w:cs="宋体"/>
          <w:color w:val="auto"/>
          <w:sz w:val="21"/>
          <w:szCs w:val="21"/>
          <w:highlight w:val="none"/>
        </w:rPr>
      </w:pPr>
    </w:p>
    <w:p w14:paraId="15693FC2">
      <w:pPr>
        <w:pStyle w:val="4"/>
        <w:keepNext w:val="0"/>
        <w:keepLines w:val="0"/>
        <w:pageBreakBefore w:val="0"/>
        <w:widowControl/>
        <w:suppressLineNumbers w:val="0"/>
        <w:kinsoku/>
        <w:wordWrap/>
        <w:overflowPunct/>
        <w:topLinePunct w:val="0"/>
        <w:autoSpaceDE/>
        <w:autoSpaceDN/>
        <w:bidi w:val="0"/>
        <w:adjustRightInd/>
        <w:snapToGrid/>
        <w:spacing w:before="0" w:after="0"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一、采购项目基本信息</w:t>
      </w:r>
    </w:p>
    <w:p w14:paraId="1D9EA86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color w:val="auto"/>
          <w:sz w:val="24"/>
          <w:u w:val="single"/>
          <w:lang w:val="en-US" w:eastAsia="zh-CN"/>
        </w:rPr>
      </w:pPr>
      <w:r>
        <w:rPr>
          <w:rFonts w:hint="eastAsia" w:ascii="宋体" w:hAnsi="宋体" w:eastAsia="宋体" w:cs="宋体"/>
          <w:color w:val="auto"/>
          <w:kern w:val="0"/>
          <w:sz w:val="21"/>
          <w:szCs w:val="21"/>
          <w:highlight w:val="none"/>
          <w:lang w:val="en-US" w:eastAsia="zh-CN" w:bidi="ar"/>
        </w:rPr>
        <w:t>1、采购项目编号： CGXM2026430621000085</w:t>
      </w:r>
    </w:p>
    <w:p w14:paraId="39600C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2、采购项目名称：</w:t>
      </w:r>
      <w:r>
        <w:rPr>
          <w:rFonts w:hint="eastAsia" w:ascii="宋体" w:hAnsi="宋体" w:cs="宋体"/>
          <w:color w:val="auto"/>
          <w:kern w:val="0"/>
          <w:sz w:val="21"/>
          <w:szCs w:val="21"/>
          <w:highlight w:val="none"/>
          <w:lang w:val="en-US" w:eastAsia="zh-CN" w:bidi="ar"/>
        </w:rPr>
        <w:t xml:space="preserve">岳阳县第五人民医院整体搬迁建设项目（一期）代建服务项目 </w:t>
      </w:r>
    </w:p>
    <w:p w14:paraId="4866959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w:t>
      </w:r>
      <w:r>
        <w:rPr>
          <w:rFonts w:hint="eastAsia" w:ascii="宋体" w:hAnsi="宋体" w:cs="宋体"/>
          <w:color w:val="auto"/>
          <w:kern w:val="0"/>
          <w:sz w:val="21"/>
          <w:szCs w:val="21"/>
          <w:highlight w:val="none"/>
          <w:lang w:val="en-US" w:eastAsia="zh-CN" w:bidi="ar"/>
        </w:rPr>
        <w:t>采购计划编号</w:t>
      </w:r>
      <w:r>
        <w:rPr>
          <w:rFonts w:hint="eastAsia" w:ascii="宋体" w:hAnsi="宋体" w:eastAsia="宋体" w:cs="宋体"/>
          <w:color w:val="auto"/>
          <w:kern w:val="0"/>
          <w:sz w:val="21"/>
          <w:szCs w:val="21"/>
          <w:highlight w:val="none"/>
          <w:lang w:val="en-US" w:eastAsia="zh-CN" w:bidi="ar"/>
        </w:rPr>
        <w:t xml:space="preserve">：(2026)430621000064-1 </w:t>
      </w:r>
    </w:p>
    <w:p w14:paraId="0C6B746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4、合同履行期限：</w:t>
      </w:r>
      <w:r>
        <w:rPr>
          <w:color w:val="auto"/>
          <w:spacing w:val="-2"/>
          <w:highlight w:val="none"/>
        </w:rPr>
        <w:t>代建周期为合同生效起到实体移交手续完成止。其中合同生效之日起至工</w:t>
      </w:r>
      <w:r>
        <w:rPr>
          <w:color w:val="auto"/>
          <w:spacing w:val="-3"/>
          <w:highlight w:val="none"/>
        </w:rPr>
        <w:t>程竣工验收合格之日止为</w:t>
      </w:r>
      <w:r>
        <w:rPr>
          <w:color w:val="auto"/>
          <w:spacing w:val="-46"/>
          <w:highlight w:val="none"/>
        </w:rPr>
        <w:t xml:space="preserve"> </w:t>
      </w:r>
      <w:r>
        <w:rPr>
          <w:rFonts w:ascii="Times New Roman" w:hAnsi="Times New Roman" w:eastAsia="Times New Roman" w:cs="Times New Roman"/>
          <w:color w:val="auto"/>
          <w:spacing w:val="-3"/>
          <w:highlight w:val="none"/>
        </w:rPr>
        <w:t>365</w:t>
      </w:r>
      <w:r>
        <w:rPr>
          <w:color w:val="auto"/>
          <w:spacing w:val="-3"/>
          <w:highlight w:val="none"/>
        </w:rPr>
        <w:t>日；竣工验收合格后</w:t>
      </w:r>
      <w:r>
        <w:rPr>
          <w:color w:val="auto"/>
          <w:spacing w:val="-46"/>
          <w:highlight w:val="none"/>
        </w:rPr>
        <w:t xml:space="preserve"> </w:t>
      </w:r>
      <w:r>
        <w:rPr>
          <w:rFonts w:ascii="Times New Roman" w:hAnsi="Times New Roman" w:eastAsia="Times New Roman" w:cs="Times New Roman"/>
          <w:color w:val="auto"/>
          <w:spacing w:val="-3"/>
          <w:highlight w:val="none"/>
        </w:rPr>
        <w:t>9</w:t>
      </w:r>
      <w:r>
        <w:rPr>
          <w:rFonts w:ascii="Times New Roman" w:hAnsi="Times New Roman" w:eastAsia="Times New Roman" w:cs="Times New Roman"/>
          <w:color w:val="auto"/>
          <w:spacing w:val="-4"/>
          <w:highlight w:val="none"/>
        </w:rPr>
        <w:t>0</w:t>
      </w:r>
      <w:r>
        <w:rPr>
          <w:color w:val="auto"/>
          <w:spacing w:val="-3"/>
          <w:highlight w:val="none"/>
        </w:rPr>
        <w:t>日内</w:t>
      </w:r>
      <w:r>
        <w:rPr>
          <w:color w:val="auto"/>
          <w:spacing w:val="-4"/>
          <w:highlight w:val="none"/>
        </w:rPr>
        <w:t>向财政部门申</w:t>
      </w:r>
      <w:r>
        <w:rPr>
          <w:color w:val="auto"/>
          <w:spacing w:val="-1"/>
          <w:highlight w:val="none"/>
        </w:rPr>
        <w:t>请办理工程结算审批事宜，并按合同约定向使用单位办理实体移</w:t>
      </w:r>
      <w:r>
        <w:rPr>
          <w:color w:val="auto"/>
          <w:spacing w:val="-2"/>
          <w:highlight w:val="none"/>
        </w:rPr>
        <w:t>交手续。</w:t>
      </w:r>
    </w:p>
    <w:p w14:paraId="6EF7E79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5、本项目</w:t>
      </w:r>
      <w:r>
        <w:rPr>
          <w:rFonts w:hint="eastAsia" w:ascii="宋体" w:hAnsi="宋体" w:eastAsia="宋体" w:cs="宋体"/>
          <w:color w:val="auto"/>
          <w:kern w:val="0"/>
          <w:sz w:val="21"/>
          <w:szCs w:val="21"/>
          <w:highlight w:val="none"/>
          <w:u w:val="single"/>
          <w:lang w:val="en-US" w:eastAsia="zh-CN" w:bidi="ar"/>
        </w:rPr>
        <w:t> 否 </w:t>
      </w:r>
      <w:r>
        <w:rPr>
          <w:rFonts w:hint="eastAsia" w:ascii="宋体" w:hAnsi="宋体" w:eastAsia="宋体" w:cs="宋体"/>
          <w:color w:val="auto"/>
          <w:kern w:val="0"/>
          <w:sz w:val="21"/>
          <w:szCs w:val="21"/>
          <w:highlight w:val="none"/>
          <w:lang w:val="en-US" w:eastAsia="zh-CN" w:bidi="ar"/>
        </w:rPr>
        <w:t>接受联合体投标。</w:t>
      </w:r>
    </w:p>
    <w:p w14:paraId="1681A340">
      <w:pPr>
        <w:pStyle w:val="4"/>
        <w:keepNext w:val="0"/>
        <w:keepLines w:val="0"/>
        <w:pageBreakBefore w:val="0"/>
        <w:widowControl/>
        <w:suppressLineNumbers w:val="0"/>
        <w:kinsoku/>
        <w:wordWrap/>
        <w:overflowPunct/>
        <w:topLinePunct w:val="0"/>
        <w:autoSpaceDE/>
        <w:autoSpaceDN/>
        <w:bidi w:val="0"/>
        <w:adjustRightInd/>
        <w:snapToGrid/>
        <w:spacing w:before="0"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二、采购人的采购需求</w:t>
      </w:r>
    </w:p>
    <w:tbl>
      <w:tblPr>
        <w:tblStyle w:val="43"/>
        <w:tblW w:w="5447" w:type="pct"/>
        <w:tblCellSpacing w:w="0" w:type="dxa"/>
        <w:tblInd w:w="-333" w:type="dxa"/>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91"/>
        <w:gridCol w:w="1531"/>
        <w:gridCol w:w="1531"/>
        <w:gridCol w:w="1995"/>
        <w:gridCol w:w="2880"/>
        <w:gridCol w:w="840"/>
      </w:tblGrid>
      <w:tr w14:paraId="32DDB642">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CellMar>
            <w:top w:w="0" w:type="dxa"/>
            <w:left w:w="0" w:type="dxa"/>
            <w:bottom w:w="0" w:type="dxa"/>
            <w:right w:w="0" w:type="dxa"/>
          </w:tblCellMar>
        </w:tblPrEx>
        <w:trPr>
          <w:trHeight w:val="985" w:hRule="atLeast"/>
          <w:tblCellSpacing w:w="0" w:type="dxa"/>
        </w:trPr>
        <w:tc>
          <w:tcPr>
            <w:tcW w:w="460"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0289BD17">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包名称</w:t>
            </w:r>
          </w:p>
        </w:tc>
        <w:tc>
          <w:tcPr>
            <w:tcW w:w="1531"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1E65D705">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leftChars="0" w:firstLine="0" w:firstLineChars="0"/>
              <w:jc w:val="center"/>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标的预算（元）</w:t>
            </w:r>
          </w:p>
        </w:tc>
        <w:tc>
          <w:tcPr>
            <w:tcW w:w="791"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47E135B8">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最高限价（元）</w:t>
            </w:r>
          </w:p>
        </w:tc>
        <w:tc>
          <w:tcPr>
            <w:tcW w:w="1031"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739DC55C">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标的名称</w:t>
            </w:r>
          </w:p>
        </w:tc>
        <w:tc>
          <w:tcPr>
            <w:tcW w:w="1489"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33070E0D">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简要技术需求或服务要求</w:t>
            </w:r>
          </w:p>
        </w:tc>
        <w:tc>
          <w:tcPr>
            <w:tcW w:w="434"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19F3D778">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数量</w:t>
            </w:r>
          </w:p>
        </w:tc>
      </w:tr>
      <w:tr w14:paraId="4C59925E">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shd w:val="clear" w:color="auto" w:fill="auto"/>
          <w:tblCellMar>
            <w:top w:w="0" w:type="dxa"/>
            <w:left w:w="0" w:type="dxa"/>
            <w:bottom w:w="0" w:type="dxa"/>
            <w:right w:w="0" w:type="dxa"/>
          </w:tblCellMar>
        </w:tblPrEx>
        <w:trPr>
          <w:trHeight w:val="2575" w:hRule="atLeast"/>
          <w:tblCellSpacing w:w="0" w:type="dxa"/>
        </w:trPr>
        <w:tc>
          <w:tcPr>
            <w:tcW w:w="460" w:type="pct"/>
            <w:tcBorders>
              <w:top w:val="single" w:color="D5D5D5" w:sz="6" w:space="0"/>
              <w:left w:val="single" w:color="D5D5D5" w:sz="6" w:space="0"/>
              <w:bottom w:val="single" w:color="D5D5D5" w:sz="6" w:space="0"/>
              <w:right w:val="single" w:color="D5D5D5" w:sz="6" w:space="0"/>
            </w:tcBorders>
            <w:shd w:val="clear" w:color="auto" w:fill="auto"/>
            <w:vAlign w:val="center"/>
          </w:tcPr>
          <w:p w14:paraId="22DCDE05">
            <w:pPr>
              <w:keepNext w:val="0"/>
              <w:keepLines w:val="0"/>
              <w:pageBreakBefore w:val="0"/>
              <w:widowControl/>
              <w:suppressLineNumbers w:val="0"/>
              <w:kinsoku/>
              <w:wordWrap/>
              <w:overflowPunct/>
              <w:topLinePunct w:val="0"/>
              <w:autoSpaceDE/>
              <w:autoSpaceDN/>
              <w:bidi w:val="0"/>
              <w:adjustRightInd/>
              <w:snapToGrid/>
              <w:spacing w:beforeAutospacing="0" w:line="280" w:lineRule="exact"/>
              <w:ind w:left="0" w:firstLine="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包1</w:t>
            </w:r>
          </w:p>
        </w:tc>
        <w:tc>
          <w:tcPr>
            <w:tcW w:w="1531" w:type="dxa"/>
            <w:tcBorders>
              <w:top w:val="single" w:color="D5D5D5" w:sz="6" w:space="0"/>
              <w:left w:val="single" w:color="D5D5D5" w:sz="6" w:space="0"/>
              <w:bottom w:val="single" w:color="D5D5D5" w:sz="6" w:space="0"/>
              <w:right w:val="single" w:color="D5D5D5" w:sz="6" w:space="0"/>
            </w:tcBorders>
            <w:shd w:val="clear" w:color="auto" w:fill="auto"/>
            <w:vAlign w:val="center"/>
          </w:tcPr>
          <w:p w14:paraId="662BC4B4">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leftChars="0" w:firstLine="0" w:firstLineChars="0"/>
              <w:jc w:val="center"/>
              <w:textAlignment w:val="auto"/>
              <w:rPr>
                <w:rFonts w:hint="eastAsia" w:ascii="宋体" w:hAnsi="宋体" w:cs="宋体"/>
                <w:color w:val="auto"/>
                <w:kern w:val="0"/>
                <w:sz w:val="21"/>
                <w:szCs w:val="21"/>
                <w:highlight w:val="none"/>
                <w:u w:val="none"/>
                <w:lang w:val="en-US" w:eastAsia="zh-CN" w:bidi="ar"/>
              </w:rPr>
            </w:pPr>
            <w:r>
              <w:rPr>
                <w:rFonts w:hint="eastAsia" w:ascii="宋体" w:hAnsi="宋体" w:cs="宋体"/>
                <w:color w:val="auto"/>
                <w:kern w:val="0"/>
                <w:sz w:val="21"/>
                <w:szCs w:val="21"/>
                <w:highlight w:val="none"/>
                <w:u w:val="none"/>
                <w:lang w:val="en-US" w:eastAsia="zh-CN" w:bidi="ar"/>
              </w:rPr>
              <w:t>847300.00</w:t>
            </w:r>
            <w:r>
              <w:rPr>
                <w:rFonts w:hint="eastAsia" w:ascii="宋体" w:hAnsi="宋体" w:eastAsia="宋体" w:cs="宋体"/>
                <w:color w:val="auto"/>
                <w:kern w:val="0"/>
                <w:sz w:val="21"/>
                <w:szCs w:val="21"/>
                <w:highlight w:val="none"/>
                <w:lang w:val="en-US" w:eastAsia="zh-CN" w:bidi="ar"/>
              </w:rPr>
              <w:t xml:space="preserve"> </w:t>
            </w:r>
          </w:p>
        </w:tc>
        <w:tc>
          <w:tcPr>
            <w:tcW w:w="791" w:type="pct"/>
            <w:tcBorders>
              <w:top w:val="single" w:color="D5D5D5" w:sz="6" w:space="0"/>
              <w:left w:val="single" w:color="D5D5D5" w:sz="6" w:space="0"/>
              <w:bottom w:val="single" w:color="D5D5D5" w:sz="6" w:space="0"/>
              <w:right w:val="single" w:color="D5D5D5" w:sz="6" w:space="0"/>
            </w:tcBorders>
            <w:shd w:val="clear" w:color="auto" w:fill="auto"/>
            <w:vAlign w:val="center"/>
          </w:tcPr>
          <w:p w14:paraId="39830BC8">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color w:val="auto"/>
                <w:sz w:val="21"/>
                <w:szCs w:val="21"/>
                <w:highlight w:val="none"/>
                <w:lang w:val="en-US"/>
              </w:rPr>
            </w:pPr>
            <w:r>
              <w:rPr>
                <w:rFonts w:hint="eastAsia" w:ascii="宋体" w:hAnsi="宋体" w:cs="宋体"/>
                <w:color w:val="auto"/>
                <w:kern w:val="0"/>
                <w:sz w:val="21"/>
                <w:szCs w:val="21"/>
                <w:highlight w:val="none"/>
                <w:u w:val="none"/>
                <w:lang w:val="en-US" w:eastAsia="zh-CN" w:bidi="ar"/>
              </w:rPr>
              <w:t>847300.00</w:t>
            </w:r>
          </w:p>
        </w:tc>
        <w:tc>
          <w:tcPr>
            <w:tcW w:w="1031" w:type="pct"/>
            <w:tcBorders>
              <w:top w:val="single" w:color="D5D5D5" w:sz="6" w:space="0"/>
              <w:left w:val="single" w:color="D5D5D5" w:sz="6" w:space="0"/>
              <w:bottom w:val="single" w:color="D5D5D5" w:sz="6" w:space="0"/>
              <w:right w:val="single" w:color="D5D5D5" w:sz="6" w:space="0"/>
            </w:tcBorders>
            <w:shd w:val="clear" w:color="auto" w:fill="auto"/>
            <w:vAlign w:val="center"/>
          </w:tcPr>
          <w:p w14:paraId="4CF3E185">
            <w:pPr>
              <w:keepNext w:val="0"/>
              <w:keepLines w:val="0"/>
              <w:pageBreakBefore w:val="0"/>
              <w:widowControl/>
              <w:suppressLineNumbers w:val="0"/>
              <w:kinsoku/>
              <w:wordWrap/>
              <w:overflowPunct/>
              <w:topLinePunct w:val="0"/>
              <w:autoSpaceDE/>
              <w:autoSpaceDN/>
              <w:bidi w:val="0"/>
              <w:adjustRightInd/>
              <w:snapToGrid/>
              <w:spacing w:beforeAutospacing="0" w:line="280" w:lineRule="exact"/>
              <w:ind w:left="0" w:firstLine="0"/>
              <w:jc w:val="left"/>
              <w:textAlignment w:val="auto"/>
              <w:rPr>
                <w:rFonts w:hint="eastAsia"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岳阳县第五人民医院整体搬迁建设项目（一期）代建服务项目</w:t>
            </w:r>
          </w:p>
        </w:tc>
        <w:tc>
          <w:tcPr>
            <w:tcW w:w="1489" w:type="pct"/>
            <w:tcBorders>
              <w:top w:val="single" w:color="D5D5D5" w:sz="6" w:space="0"/>
              <w:left w:val="single" w:color="D5D5D5" w:sz="6" w:space="0"/>
              <w:bottom w:val="single" w:color="D5D5D5" w:sz="6" w:space="0"/>
              <w:right w:val="single" w:color="D5D5D5" w:sz="6" w:space="0"/>
            </w:tcBorders>
            <w:shd w:val="clear" w:color="auto" w:fill="auto"/>
            <w:vAlign w:val="center"/>
          </w:tcPr>
          <w:p w14:paraId="27ACCD7B">
            <w:pPr>
              <w:keepNext w:val="0"/>
              <w:keepLines w:val="0"/>
              <w:pageBreakBefore w:val="0"/>
              <w:widowControl/>
              <w:suppressLineNumbers w:val="0"/>
              <w:kinsoku/>
              <w:wordWrap/>
              <w:overflowPunct/>
              <w:topLinePunct w:val="0"/>
              <w:autoSpaceDE/>
              <w:autoSpaceDN/>
              <w:bidi w:val="0"/>
              <w:adjustRightInd/>
              <w:snapToGrid/>
              <w:spacing w:beforeAutospacing="0" w:line="280" w:lineRule="exact"/>
              <w:ind w:left="0" w:firstLine="0"/>
              <w:jc w:val="left"/>
              <w:textAlignment w:val="auto"/>
              <w:rPr>
                <w:rFonts w:hint="eastAsia" w:ascii="宋体" w:hAnsi="宋体" w:eastAsia="宋体" w:cs="宋体"/>
                <w:color w:val="auto"/>
                <w:sz w:val="20"/>
                <w:szCs w:val="20"/>
                <w:highlight w:val="none"/>
                <w:lang w:val="en-US"/>
              </w:rPr>
            </w:pPr>
            <w:r>
              <w:rPr>
                <w:rFonts w:hint="eastAsia" w:ascii="宋体" w:hAnsi="宋体" w:eastAsia="宋体" w:cs="宋体"/>
                <w:color w:val="auto"/>
                <w:sz w:val="20"/>
                <w:szCs w:val="20"/>
                <w:highlight w:val="none"/>
                <w:lang w:val="en-US"/>
              </w:rPr>
              <w:t>岳阳县第五人民医院整体搬迁建设项目</w:t>
            </w:r>
            <w:r>
              <w:rPr>
                <w:rFonts w:hint="eastAsia" w:ascii="宋体" w:hAnsi="宋体" w:cs="宋体"/>
                <w:color w:val="auto"/>
                <w:sz w:val="20"/>
                <w:szCs w:val="20"/>
                <w:highlight w:val="none"/>
                <w:lang w:val="en-US" w:eastAsia="zh-CN"/>
              </w:rPr>
              <w:t>（</w:t>
            </w:r>
            <w:r>
              <w:rPr>
                <w:rFonts w:hint="eastAsia" w:ascii="宋体" w:hAnsi="宋体" w:eastAsia="宋体" w:cs="宋体"/>
                <w:color w:val="auto"/>
                <w:sz w:val="20"/>
                <w:szCs w:val="20"/>
                <w:highlight w:val="none"/>
                <w:lang w:val="en-US"/>
              </w:rPr>
              <w:t>一期</w:t>
            </w:r>
            <w:r>
              <w:rPr>
                <w:rFonts w:hint="eastAsia" w:ascii="宋体" w:hAnsi="宋体" w:cs="宋体"/>
                <w:color w:val="auto"/>
                <w:sz w:val="20"/>
                <w:szCs w:val="20"/>
                <w:highlight w:val="none"/>
                <w:lang w:val="en-US" w:eastAsia="zh-CN"/>
              </w:rPr>
              <w:t>）</w:t>
            </w:r>
            <w:r>
              <w:rPr>
                <w:rFonts w:hint="eastAsia" w:ascii="宋体" w:hAnsi="宋体" w:eastAsia="宋体" w:cs="宋体"/>
                <w:color w:val="auto"/>
                <w:sz w:val="20"/>
                <w:szCs w:val="20"/>
                <w:highlight w:val="none"/>
                <w:lang w:val="en-US"/>
              </w:rPr>
              <w:t>主要内容包括1#医技住院综合楼、2#食堂及管理用房、3#管理附属用房、室外附属工程等。</w:t>
            </w:r>
            <w:r>
              <w:rPr>
                <w:rFonts w:hint="eastAsia" w:ascii="宋体" w:hAnsi="宋体" w:cs="宋体"/>
                <w:color w:val="auto"/>
                <w:sz w:val="20"/>
                <w:szCs w:val="20"/>
                <w:highlight w:val="none"/>
                <w:lang w:val="en-US" w:eastAsia="zh-CN"/>
              </w:rPr>
              <w:t>该项目阶段性代建服务主要包括项目前期、实施、验收及后期结算、审计等阶段管理服务。</w:t>
            </w:r>
          </w:p>
        </w:tc>
        <w:tc>
          <w:tcPr>
            <w:tcW w:w="434" w:type="pct"/>
            <w:tcBorders>
              <w:top w:val="single" w:color="D5D5D5" w:sz="6" w:space="0"/>
              <w:left w:val="single" w:color="D5D5D5" w:sz="6" w:space="0"/>
              <w:bottom w:val="single" w:color="D5D5D5" w:sz="6" w:space="0"/>
              <w:right w:val="single" w:color="D5D5D5" w:sz="6" w:space="0"/>
            </w:tcBorders>
            <w:shd w:val="clear" w:color="auto" w:fill="auto"/>
            <w:vAlign w:val="center"/>
          </w:tcPr>
          <w:p w14:paraId="7CD4E3EB">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r>
    </w:tbl>
    <w:p w14:paraId="624FE24D">
      <w:pPr>
        <w:pStyle w:val="4"/>
        <w:keepNext w:val="0"/>
        <w:keepLines w:val="0"/>
        <w:pageBreakBefore w:val="0"/>
        <w:widowControl/>
        <w:suppressLineNumbers w:val="0"/>
        <w:kinsoku/>
        <w:wordWrap/>
        <w:overflowPunct/>
        <w:topLinePunct w:val="0"/>
        <w:autoSpaceDE/>
        <w:autoSpaceDN/>
        <w:bidi w:val="0"/>
        <w:adjustRightInd/>
        <w:snapToGrid/>
        <w:spacing w:before="0" w:after="0"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三、投标人的资格要求：</w:t>
      </w:r>
    </w:p>
    <w:p w14:paraId="3A97E4D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1、投标人的基本资格条件：</w:t>
      </w:r>
    </w:p>
    <w:p w14:paraId="2364C7A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（1）供应商必须是在中华人民共和国境内注册登记的法人、其他组织或者自然人，且应当符合《政府采购法》第二十二条第一款的规定。</w:t>
      </w:r>
    </w:p>
    <w:p w14:paraId="494FBB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（2）单位负责人为同一人或者存在直接控股、管理关系的不同投标人，不得参加同一合同项下的政府采购活动。</w:t>
      </w:r>
    </w:p>
    <w:p w14:paraId="4A2B9E5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 为本采购项目提供整体设计、规范编制或者项目管理、监理、检测等服务的，不得再参加此项目的其他采购活动。</w:t>
      </w:r>
    </w:p>
    <w:p w14:paraId="617724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（4）列入失信被执行人、重大税收违法失信主体名单、政府采购严重违法失信行为记录名单的，拒绝其参与政府采购活动。 </w:t>
      </w:r>
    </w:p>
    <w:p w14:paraId="189B6D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2、落实政府采购政策需满足的资格要求： </w:t>
      </w:r>
    </w:p>
    <w:p w14:paraId="7CD12C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84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包名称：岳阳县第五人民医院整体搬迁建设项目（一期）代建服务项目</w:t>
      </w:r>
    </w:p>
    <w:p w14:paraId="74B7F8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84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sym w:font="Wingdings" w:char="00A8"/>
      </w:r>
      <w:r>
        <w:rPr>
          <w:rFonts w:hint="eastAsia" w:ascii="宋体" w:hAnsi="宋体" w:eastAsia="宋体" w:cs="宋体"/>
          <w:color w:val="auto"/>
          <w:kern w:val="0"/>
          <w:sz w:val="21"/>
          <w:szCs w:val="21"/>
          <w:highlight w:val="none"/>
          <w:lang w:val="en-US" w:eastAsia="zh-CN" w:bidi="ar"/>
        </w:rPr>
        <w:t>专门面向中小企业（含监狱及福利性单位）</w:t>
      </w:r>
    </w:p>
    <w:p w14:paraId="4A4A01A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3、供应商特定资格条件： </w:t>
      </w:r>
    </w:p>
    <w:p w14:paraId="3CA50FA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w:t>
      </w:r>
      <w:r>
        <w:rPr>
          <w:rFonts w:hint="eastAsia" w:ascii="宋体" w:hAnsi="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）供应商具有有效的营业执照、组织机构代码证、税务登记证（如供应商已办理三证合一，只提供营业执照）</w:t>
      </w:r>
      <w:r>
        <w:rPr>
          <w:rFonts w:hint="eastAsia" w:ascii="宋体" w:hAnsi="宋体" w:cs="宋体"/>
          <w:color w:val="auto"/>
          <w:kern w:val="0"/>
          <w:sz w:val="21"/>
          <w:szCs w:val="21"/>
          <w:highlight w:val="none"/>
          <w:lang w:val="en-US" w:eastAsia="zh-CN" w:bidi="ar"/>
        </w:rPr>
        <w:t>；</w:t>
      </w:r>
    </w:p>
    <w:p w14:paraId="47C8F26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eastAsia="宋体"/>
          <w:color w:val="auto"/>
          <w:spacing w:val="-40"/>
          <w:highlight w:val="none"/>
          <w:lang w:val="en-US" w:eastAsia="zh-CN"/>
        </w:rPr>
      </w:pPr>
      <w:r>
        <w:rPr>
          <w:rFonts w:hint="eastAsia" w:ascii="宋体" w:hAnsi="宋体" w:eastAsia="宋体" w:cs="宋体"/>
          <w:color w:val="auto"/>
          <w:kern w:val="0"/>
          <w:sz w:val="21"/>
          <w:szCs w:val="21"/>
          <w:highlight w:val="none"/>
          <w:lang w:val="en-US" w:eastAsia="zh-CN" w:bidi="ar"/>
        </w:rPr>
        <w:t>（</w:t>
      </w: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w:t>
      </w:r>
      <w:r>
        <w:rPr>
          <w:color w:val="auto"/>
          <w:spacing w:val="9"/>
          <w:highlight w:val="none"/>
        </w:rPr>
        <w:t>具有下列一项或者多项资质（资信</w:t>
      </w:r>
      <w:r>
        <w:rPr>
          <w:color w:val="auto"/>
          <w:spacing w:val="-77"/>
          <w:highlight w:val="none"/>
        </w:rPr>
        <w:t>）：</w:t>
      </w:r>
      <w:r>
        <w:rPr>
          <w:color w:val="auto"/>
          <w:spacing w:val="-90"/>
          <w:highlight w:val="none"/>
        </w:rPr>
        <w:t xml:space="preserve"> </w:t>
      </w:r>
      <w:r>
        <w:rPr>
          <w:color w:val="auto"/>
          <w:spacing w:val="9"/>
          <w:highlight w:val="none"/>
        </w:rPr>
        <w:t>工程咨询</w:t>
      </w:r>
      <w:r>
        <w:rPr>
          <w:rFonts w:hint="eastAsia"/>
          <w:color w:val="auto"/>
          <w:spacing w:val="9"/>
          <w:highlight w:val="none"/>
          <w:lang w:val="en-US" w:eastAsia="zh-CN"/>
        </w:rPr>
        <w:t>建</w:t>
      </w:r>
      <w:r>
        <w:rPr>
          <w:color w:val="auto"/>
          <w:spacing w:val="9"/>
          <w:highlight w:val="none"/>
        </w:rPr>
        <w:t>筑工程</w:t>
      </w:r>
      <w:r>
        <w:rPr>
          <w:color w:val="auto"/>
          <w:spacing w:val="8"/>
          <w:highlight w:val="none"/>
        </w:rPr>
        <w:t>专业甲级或综合甲级、工程监理房屋建筑工程（资质类别）甲</w:t>
      </w:r>
      <w:r>
        <w:rPr>
          <w:color w:val="auto"/>
          <w:spacing w:val="14"/>
          <w:highlight w:val="none"/>
        </w:rPr>
        <w:t>级或综合资质、工程设计建筑工程专业甲级或综合甲级、建筑</w:t>
      </w:r>
      <w:r>
        <w:rPr>
          <w:color w:val="auto"/>
          <w:spacing w:val="3"/>
          <w:highlight w:val="none"/>
        </w:rPr>
        <w:t>工程（资质类别）施工总承包一级及以上、房地产开发一级</w:t>
      </w:r>
      <w:r>
        <w:rPr>
          <w:rFonts w:hint="eastAsia"/>
          <w:color w:val="auto"/>
          <w:spacing w:val="-40"/>
          <w:highlight w:val="none"/>
          <w:lang w:val="en-US" w:eastAsia="zh-CN"/>
        </w:rPr>
        <w:t>；</w:t>
      </w:r>
    </w:p>
    <w:p w14:paraId="28CFFAE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Times New Roman" w:hAnsi="Times New Roman" w:eastAsia="宋体" w:cs="Times New Roman"/>
          <w:color w:val="auto"/>
          <w:spacing w:val="3"/>
          <w:highlight w:val="none"/>
          <w:lang w:val="en-US" w:eastAsia="zh-CN"/>
        </w:rPr>
      </w:pPr>
      <w:r>
        <w:rPr>
          <w:rFonts w:hint="eastAsia" w:ascii="宋体" w:hAnsi="宋体" w:eastAsia="宋体" w:cs="宋体"/>
          <w:color w:val="auto"/>
          <w:kern w:val="0"/>
          <w:sz w:val="21"/>
          <w:szCs w:val="21"/>
          <w:highlight w:val="none"/>
          <w:lang w:val="en-US" w:eastAsia="zh-CN" w:bidi="ar"/>
        </w:rPr>
        <w:t>（</w:t>
      </w: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）拟任代建项目经理</w:t>
      </w:r>
      <w:r>
        <w:rPr>
          <w:rFonts w:ascii="Times New Roman" w:hAnsi="Times New Roman" w:eastAsia="宋体" w:cs="Times New Roman"/>
          <w:color w:val="auto"/>
          <w:spacing w:val="6"/>
          <w:highlight w:val="none"/>
        </w:rPr>
        <w:t>具备中级及以上</w:t>
      </w:r>
      <w:r>
        <w:rPr>
          <w:rFonts w:ascii="Times New Roman" w:hAnsi="Times New Roman" w:eastAsia="宋体" w:cs="Times New Roman"/>
          <w:color w:val="auto"/>
          <w:spacing w:val="7"/>
          <w:highlight w:val="none"/>
        </w:rPr>
        <w:t>专业技术职称，并具有下列一项或者多项资质：注册咨询</w:t>
      </w:r>
      <w:r>
        <w:rPr>
          <w:rFonts w:ascii="Times New Roman" w:hAnsi="Times New Roman" w:eastAsia="宋体" w:cs="Times New Roman"/>
          <w:color w:val="auto"/>
          <w:spacing w:val="3"/>
          <w:highlight w:val="none"/>
        </w:rPr>
        <w:t>工程师（投资）、一级注册建造师建筑工程专业、一级注册建筑师、一级注册结构工程师</w:t>
      </w:r>
      <w:r>
        <w:rPr>
          <w:rFonts w:ascii="Times New Roman" w:hAnsi="Times New Roman" w:eastAsia="宋体" w:cs="Times New Roman"/>
          <w:color w:val="auto"/>
          <w:spacing w:val="1"/>
          <w:highlight w:val="none"/>
        </w:rPr>
        <w:t>、</w:t>
      </w:r>
      <w:r>
        <w:rPr>
          <w:rFonts w:ascii="Times New Roman" w:hAnsi="Times New Roman" w:eastAsia="宋体" w:cs="Times New Roman"/>
          <w:color w:val="auto"/>
          <w:spacing w:val="15"/>
          <w:highlight w:val="none"/>
        </w:rPr>
        <w:t>国家注册监理工程师房屋建筑工程专业</w:t>
      </w:r>
      <w:r>
        <w:rPr>
          <w:rFonts w:hint="eastAsia" w:ascii="Times New Roman" w:hAnsi="Times New Roman" w:eastAsia="宋体" w:cs="Times New Roman"/>
          <w:color w:val="auto"/>
          <w:spacing w:val="15"/>
          <w:highlight w:val="none"/>
          <w:lang w:eastAsia="zh-CN"/>
        </w:rPr>
        <w:t>。</w:t>
      </w:r>
      <w:r>
        <w:rPr>
          <w:rFonts w:hint="eastAsia" w:ascii="Times New Roman" w:hAnsi="Times New Roman" w:eastAsia="宋体" w:cs="Times New Roman"/>
          <w:color w:val="auto"/>
          <w:spacing w:val="15"/>
          <w:highlight w:val="none"/>
          <w:lang w:val="en-US" w:eastAsia="zh-CN"/>
        </w:rPr>
        <w:t>提</w:t>
      </w:r>
      <w:r>
        <w:rPr>
          <w:rFonts w:hint="eastAsia" w:ascii="Times New Roman" w:hAnsi="Times New Roman" w:eastAsia="宋体" w:cs="Times New Roman"/>
          <w:color w:val="auto"/>
          <w:spacing w:val="3"/>
          <w:highlight w:val="none"/>
          <w:lang w:val="en-US" w:eastAsia="zh-CN"/>
        </w:rPr>
        <w:t>供项目经理无在建承诺书和近三个月任意一个月社保证明；</w:t>
      </w:r>
    </w:p>
    <w:p w14:paraId="4BF5DE4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Times New Roman" w:hAnsi="Times New Roman" w:eastAsia="宋体" w:cs="Times New Roman"/>
          <w:color w:val="auto"/>
          <w:spacing w:val="3"/>
          <w:highlight w:val="none"/>
          <w:lang w:val="en-US" w:eastAsia="zh-CN"/>
        </w:rPr>
      </w:pPr>
      <w:r>
        <w:rPr>
          <w:rFonts w:hint="eastAsia" w:ascii="Times New Roman" w:hAnsi="Times New Roman" w:eastAsia="宋体" w:cs="Times New Roman"/>
          <w:color w:val="auto"/>
          <w:highlight w:val="none"/>
          <w:lang w:val="en-US" w:eastAsia="zh-CN"/>
        </w:rPr>
        <w:t>（4）拟任现场管理1人，</w:t>
      </w:r>
      <w:r>
        <w:rPr>
          <w:rFonts w:ascii="Times New Roman" w:hAnsi="Times New Roman" w:eastAsia="宋体" w:cs="Times New Roman"/>
          <w:color w:val="auto"/>
          <w:spacing w:val="6"/>
          <w:highlight w:val="none"/>
        </w:rPr>
        <w:t>具备中级及以上</w:t>
      </w:r>
      <w:r>
        <w:rPr>
          <w:rFonts w:ascii="Times New Roman" w:hAnsi="Times New Roman" w:eastAsia="宋体" w:cs="Times New Roman"/>
          <w:color w:val="auto"/>
          <w:spacing w:val="7"/>
          <w:highlight w:val="none"/>
        </w:rPr>
        <w:t>专业技术职称，并</w:t>
      </w:r>
      <w:r>
        <w:rPr>
          <w:rFonts w:hint="eastAsia" w:ascii="Times New Roman" w:hAnsi="Times New Roman" w:eastAsia="宋体" w:cs="Times New Roman"/>
          <w:color w:val="auto"/>
          <w:spacing w:val="7"/>
          <w:highlight w:val="none"/>
          <w:lang w:val="en-US" w:eastAsia="zh-CN"/>
        </w:rPr>
        <w:t>具备以下资质之一</w:t>
      </w:r>
      <w:r>
        <w:rPr>
          <w:rFonts w:ascii="Times New Roman" w:hAnsi="Times New Roman" w:eastAsia="宋体" w:cs="Times New Roman"/>
          <w:color w:val="auto"/>
          <w:spacing w:val="7"/>
          <w:highlight w:val="none"/>
        </w:rPr>
        <w:t>：</w:t>
      </w:r>
      <w:r>
        <w:rPr>
          <w:rFonts w:hint="eastAsia" w:ascii="Times New Roman" w:hAnsi="Times New Roman" w:eastAsia="宋体" w:cs="宋体"/>
          <w:color w:val="auto"/>
          <w:highlight w:val="none"/>
          <w:lang w:eastAsia="zh-CN"/>
        </w:rPr>
        <w:t>注册建造师二级及以上、注册造价工程师二级及以上、注册结构工程师二级及以上、注册公用设备工程师、注册电气工程师、注册咨询工程师（投资）、注册监理工程师、中级注册安全工程师（建筑施工安全），</w:t>
      </w:r>
      <w:r>
        <w:rPr>
          <w:rFonts w:hint="eastAsia" w:ascii="Times New Roman" w:hAnsi="Times New Roman" w:eastAsia="宋体" w:cs="Times New Roman"/>
          <w:color w:val="auto"/>
          <w:spacing w:val="15"/>
          <w:highlight w:val="none"/>
          <w:lang w:val="en-US" w:eastAsia="zh-CN"/>
        </w:rPr>
        <w:t>提</w:t>
      </w:r>
      <w:r>
        <w:rPr>
          <w:rFonts w:hint="eastAsia" w:ascii="Times New Roman" w:hAnsi="Times New Roman" w:eastAsia="宋体" w:cs="Times New Roman"/>
          <w:color w:val="auto"/>
          <w:spacing w:val="3"/>
          <w:highlight w:val="none"/>
          <w:lang w:val="en-US" w:eastAsia="zh-CN"/>
        </w:rPr>
        <w:t>供无在建承诺书和近三个月任意一个月社保证明；</w:t>
      </w:r>
    </w:p>
    <w:p w14:paraId="325A5D97">
      <w:pPr>
        <w:widowControl w:val="0"/>
        <w:bidi w:val="0"/>
        <w:spacing w:line="360" w:lineRule="auto"/>
        <w:ind w:firstLine="420" w:firstLineChars="200"/>
        <w:jc w:val="both"/>
        <w:rPr>
          <w:rFonts w:hint="eastAsia" w:ascii="Times New Roman" w:hAnsi="Times New Roman"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（5）拟任设计管理1人，</w:t>
      </w:r>
      <w:r>
        <w:rPr>
          <w:rFonts w:ascii="宋体" w:hAnsi="Courier New" w:eastAsia="宋体" w:cs="Courier New"/>
          <w:color w:val="auto"/>
          <w:spacing w:val="6"/>
          <w:kern w:val="2"/>
          <w:sz w:val="21"/>
          <w:szCs w:val="21"/>
          <w:highlight w:val="none"/>
          <w:lang w:val="en-US" w:eastAsia="zh-CN" w:bidi="ar-SA"/>
        </w:rPr>
        <w:t>具备中级及以上</w:t>
      </w:r>
      <w:r>
        <w:rPr>
          <w:rFonts w:ascii="宋体" w:hAnsi="Courier New" w:eastAsia="宋体" w:cs="Courier New"/>
          <w:color w:val="auto"/>
          <w:spacing w:val="7"/>
          <w:kern w:val="2"/>
          <w:sz w:val="21"/>
          <w:szCs w:val="21"/>
          <w:highlight w:val="none"/>
          <w:lang w:val="en-US" w:eastAsia="zh-CN" w:bidi="ar-SA"/>
        </w:rPr>
        <w:t>专业技术职称，并</w:t>
      </w:r>
      <w:r>
        <w:rPr>
          <w:rFonts w:hint="eastAsia" w:ascii="宋体" w:hAnsi="Courier New" w:eastAsia="宋体" w:cs="Courier New"/>
          <w:color w:val="auto"/>
          <w:spacing w:val="7"/>
          <w:kern w:val="2"/>
          <w:sz w:val="21"/>
          <w:szCs w:val="21"/>
          <w:highlight w:val="none"/>
          <w:lang w:val="en-US" w:eastAsia="zh-CN" w:bidi="ar-SA"/>
        </w:rPr>
        <w:t>具备以下资质之一</w:t>
      </w:r>
      <w:r>
        <w:rPr>
          <w:rFonts w:ascii="宋体" w:hAnsi="Courier New" w:eastAsia="宋体" w:cs="Courier New"/>
          <w:color w:val="auto"/>
          <w:spacing w:val="7"/>
          <w:kern w:val="2"/>
          <w:sz w:val="21"/>
          <w:szCs w:val="21"/>
          <w:highlight w:val="none"/>
          <w:lang w:val="en-US" w:eastAsia="zh-CN" w:bidi="ar-SA"/>
        </w:rPr>
        <w:t>：</w:t>
      </w:r>
      <w:r>
        <w:rPr>
          <w:rFonts w:hint="eastAsia" w:ascii="Times New Roman" w:hAnsi="Times New Roman" w:eastAsia="宋体" w:cs="宋体"/>
          <w:color w:val="auto"/>
          <w:kern w:val="2"/>
          <w:sz w:val="21"/>
          <w:szCs w:val="21"/>
          <w:highlight w:val="none"/>
          <w:lang w:val="en-US" w:eastAsia="zh-CN" w:bidi="ar-SA"/>
        </w:rPr>
        <w:t>注册建筑师二级及以上、注册结构工程师二级及以上、注册公用设备工程师（仅限机电安装工程代建单位招标选用）。提供</w:t>
      </w:r>
      <w:r>
        <w:rPr>
          <w:rFonts w:hint="eastAsia" w:ascii="宋体" w:hAnsi="Courier New" w:eastAsia="宋体" w:cs="Courier New"/>
          <w:color w:val="auto"/>
          <w:spacing w:val="3"/>
          <w:kern w:val="2"/>
          <w:sz w:val="21"/>
          <w:szCs w:val="21"/>
          <w:highlight w:val="none"/>
          <w:lang w:val="en-US" w:eastAsia="zh-CN" w:bidi="ar-SA"/>
        </w:rPr>
        <w:t>近三个月任意一个月社保证明；</w:t>
      </w:r>
    </w:p>
    <w:p w14:paraId="17D49B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cs="宋体"/>
          <w:color w:val="auto"/>
          <w:kern w:val="0"/>
          <w:sz w:val="21"/>
          <w:szCs w:val="21"/>
          <w:highlight w:val="none"/>
          <w:lang w:val="en-US" w:eastAsia="zh-CN" w:bidi="ar"/>
        </w:rPr>
      </w:pPr>
      <w:r>
        <w:rPr>
          <w:rFonts w:hint="eastAsia" w:ascii="Times New Roman" w:hAnsi="Times New Roman" w:eastAsia="宋体" w:cs="宋体"/>
          <w:color w:val="auto"/>
          <w:kern w:val="2"/>
          <w:sz w:val="21"/>
          <w:szCs w:val="21"/>
          <w:highlight w:val="none"/>
          <w:lang w:val="en-US" w:eastAsia="zh-CN" w:bidi="ar-SA"/>
        </w:rPr>
        <w:t>（6）</w:t>
      </w:r>
      <w:r>
        <w:rPr>
          <w:rFonts w:hint="eastAsia" w:ascii="宋体" w:hAnsi="宋体" w:eastAsia="宋体" w:cs="宋体"/>
          <w:color w:val="auto"/>
          <w:kern w:val="0"/>
          <w:sz w:val="21"/>
          <w:szCs w:val="21"/>
          <w:highlight w:val="none"/>
          <w:lang w:val="en-US" w:eastAsia="zh-CN" w:bidi="ar"/>
        </w:rPr>
        <w:t>拟任造价管理1人，</w:t>
      </w:r>
      <w:r>
        <w:rPr>
          <w:rFonts w:ascii="宋体" w:hAnsi="Courier New" w:eastAsia="宋体" w:cs="Courier New"/>
          <w:color w:val="auto"/>
          <w:spacing w:val="6"/>
          <w:kern w:val="2"/>
          <w:sz w:val="21"/>
          <w:szCs w:val="21"/>
          <w:highlight w:val="none"/>
          <w:lang w:val="en-US" w:eastAsia="zh-CN" w:bidi="ar-SA"/>
        </w:rPr>
        <w:t>具备中级及以上</w:t>
      </w:r>
      <w:r>
        <w:rPr>
          <w:rFonts w:ascii="宋体" w:hAnsi="Courier New" w:eastAsia="宋体" w:cs="Courier New"/>
          <w:color w:val="auto"/>
          <w:spacing w:val="7"/>
          <w:kern w:val="2"/>
          <w:sz w:val="21"/>
          <w:szCs w:val="21"/>
          <w:highlight w:val="none"/>
          <w:lang w:val="en-US" w:eastAsia="zh-CN" w:bidi="ar-SA"/>
        </w:rPr>
        <w:t>专业技术职称，并</w:t>
      </w:r>
      <w:r>
        <w:rPr>
          <w:rFonts w:hint="eastAsia" w:ascii="Times New Roman" w:hAnsi="Times New Roman" w:eastAsia="宋体" w:cs="宋体"/>
          <w:color w:val="auto"/>
          <w:kern w:val="2"/>
          <w:sz w:val="21"/>
          <w:szCs w:val="21"/>
          <w:highlight w:val="none"/>
          <w:lang w:val="en-US" w:eastAsia="zh-CN" w:bidi="ar-SA"/>
        </w:rPr>
        <w:t>具备注册造价工程师二级及以上资质。提供</w:t>
      </w:r>
      <w:r>
        <w:rPr>
          <w:rFonts w:hint="eastAsia" w:ascii="宋体" w:hAnsi="Courier New" w:eastAsia="宋体" w:cs="Courier New"/>
          <w:color w:val="auto"/>
          <w:spacing w:val="3"/>
          <w:kern w:val="2"/>
          <w:sz w:val="21"/>
          <w:szCs w:val="21"/>
          <w:highlight w:val="none"/>
          <w:lang w:val="en-US" w:eastAsia="zh-CN" w:bidi="ar-SA"/>
        </w:rPr>
        <w:t>近三个月任意一个月社保证明；</w:t>
      </w:r>
    </w:p>
    <w:p w14:paraId="6131910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（7）</w:t>
      </w:r>
      <w:r>
        <w:rPr>
          <w:rFonts w:hint="eastAsia" w:ascii="宋体" w:hAnsi="宋体" w:eastAsia="宋体" w:cs="宋体"/>
          <w:color w:val="auto"/>
          <w:kern w:val="0"/>
          <w:sz w:val="21"/>
          <w:szCs w:val="21"/>
          <w:highlight w:val="none"/>
          <w:lang w:val="en-US" w:eastAsia="zh-CN" w:bidi="ar"/>
        </w:rPr>
        <w:t>湖南省政府采购供应商资格承诺函原件。格式见湖南省财政厅关于《政府采购促进中小企业发展有关措施》的通知湘财购【2022】17号文。</w:t>
      </w:r>
    </w:p>
    <w:p w14:paraId="34E69C6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（8）供应商自行登录“信用中国”网站（www.creditchina.gov.cn）、“中国政府采购网”（www.ccgp.gov.cn）或“国家企业信用信息公示系统”等渠道，提供供应商查询无被禁止投标的记录的网上打印件并加盖单位公章。</w:t>
      </w:r>
    </w:p>
    <w:p w14:paraId="195F13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四、获取</w:t>
      </w:r>
      <w:r>
        <w:rPr>
          <w:rFonts w:hint="eastAsia" w:ascii="宋体" w:hAnsi="宋体" w:cs="宋体"/>
          <w:b/>
          <w:bCs/>
          <w:color w:val="auto"/>
          <w:kern w:val="0"/>
          <w:sz w:val="21"/>
          <w:szCs w:val="21"/>
          <w:highlight w:val="none"/>
          <w:lang w:val="en-US" w:eastAsia="zh-CN" w:bidi="ar"/>
        </w:rPr>
        <w:t>磋商</w:t>
      </w:r>
      <w:r>
        <w:rPr>
          <w:rFonts w:hint="eastAsia" w:ascii="宋体" w:hAnsi="宋体" w:eastAsia="宋体" w:cs="宋体"/>
          <w:b/>
          <w:bCs/>
          <w:color w:val="auto"/>
          <w:kern w:val="0"/>
          <w:sz w:val="21"/>
          <w:szCs w:val="21"/>
          <w:highlight w:val="none"/>
          <w:lang w:val="en-US" w:eastAsia="zh-CN" w:bidi="ar"/>
        </w:rPr>
        <w:t>文件的时间、期限、地点及方式</w:t>
      </w:r>
    </w:p>
    <w:p w14:paraId="4EE452D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1、时间：2026年</w:t>
      </w:r>
      <w:r>
        <w:rPr>
          <w:rFonts w:hint="eastAsia" w:ascii="宋体" w:hAnsi="宋体" w:cs="宋体"/>
          <w:color w:val="auto"/>
          <w:kern w:val="0"/>
          <w:sz w:val="21"/>
          <w:szCs w:val="21"/>
          <w:highlight w:val="none"/>
          <w:lang w:val="en-US" w:eastAsia="zh-CN" w:bidi="ar"/>
        </w:rPr>
        <w:t>10</w:t>
      </w:r>
      <w:r>
        <w:rPr>
          <w:rFonts w:hint="eastAsia" w:ascii="宋体" w:hAnsi="宋体" w:eastAsia="宋体" w:cs="宋体"/>
          <w:color w:val="auto"/>
          <w:kern w:val="0"/>
          <w:sz w:val="21"/>
          <w:szCs w:val="21"/>
          <w:highlight w:val="none"/>
          <w:lang w:val="en-US" w:eastAsia="zh-CN" w:bidi="ar"/>
        </w:rPr>
        <w:t>月</w:t>
      </w:r>
      <w:r>
        <w:rPr>
          <w:rFonts w:hint="eastAsia" w:ascii="宋体" w:hAnsi="宋体" w:cs="宋体"/>
          <w:color w:val="auto"/>
          <w:kern w:val="0"/>
          <w:sz w:val="21"/>
          <w:szCs w:val="21"/>
          <w:highlight w:val="none"/>
          <w:lang w:val="en-US" w:eastAsia="zh-CN" w:bidi="ar"/>
        </w:rPr>
        <w:t>8</w:t>
      </w:r>
      <w:r>
        <w:rPr>
          <w:rFonts w:hint="eastAsia" w:ascii="宋体" w:hAnsi="宋体" w:eastAsia="宋体" w:cs="宋体"/>
          <w:color w:val="auto"/>
          <w:kern w:val="0"/>
          <w:sz w:val="21"/>
          <w:szCs w:val="21"/>
          <w:highlight w:val="none"/>
          <w:lang w:val="en-US" w:eastAsia="zh-CN" w:bidi="ar"/>
        </w:rPr>
        <w:t>日至2026年</w:t>
      </w:r>
      <w:r>
        <w:rPr>
          <w:rFonts w:hint="eastAsia" w:ascii="宋体" w:hAnsi="宋体" w:cs="宋体"/>
          <w:color w:val="auto"/>
          <w:kern w:val="0"/>
          <w:sz w:val="21"/>
          <w:szCs w:val="21"/>
          <w:highlight w:val="none"/>
          <w:lang w:val="en-US" w:eastAsia="zh-CN" w:bidi="ar"/>
        </w:rPr>
        <w:t>10</w:t>
      </w:r>
      <w:r>
        <w:rPr>
          <w:rFonts w:hint="eastAsia" w:ascii="宋体" w:hAnsi="宋体" w:eastAsia="宋体" w:cs="宋体"/>
          <w:color w:val="auto"/>
          <w:kern w:val="0"/>
          <w:sz w:val="21"/>
          <w:szCs w:val="21"/>
          <w:highlight w:val="none"/>
          <w:lang w:val="en-US" w:eastAsia="zh-CN" w:bidi="ar"/>
        </w:rPr>
        <w:t>月</w:t>
      </w:r>
      <w:r>
        <w:rPr>
          <w:rFonts w:hint="eastAsia" w:ascii="宋体" w:hAnsi="宋体" w:cs="宋体"/>
          <w:color w:val="auto"/>
          <w:kern w:val="0"/>
          <w:sz w:val="21"/>
          <w:szCs w:val="21"/>
          <w:highlight w:val="none"/>
          <w:lang w:val="en-US" w:eastAsia="zh-CN" w:bidi="ar"/>
        </w:rPr>
        <w:t xml:space="preserve"> 14</w:t>
      </w:r>
      <w:r>
        <w:rPr>
          <w:rFonts w:hint="eastAsia" w:ascii="宋体" w:hAnsi="宋体" w:eastAsia="宋体" w:cs="宋体"/>
          <w:color w:val="auto"/>
          <w:kern w:val="0"/>
          <w:sz w:val="21"/>
          <w:szCs w:val="21"/>
          <w:highlight w:val="none"/>
          <w:lang w:val="en-US" w:eastAsia="zh-CN" w:bidi="ar"/>
        </w:rPr>
        <w:t>日，每天上午</w:t>
      </w:r>
      <w:r>
        <w:rPr>
          <w:rFonts w:hint="eastAsia" w:ascii="宋体" w:hAnsi="宋体" w:cs="宋体"/>
          <w:color w:val="auto"/>
          <w:kern w:val="0"/>
          <w:sz w:val="21"/>
          <w:szCs w:val="21"/>
          <w:highlight w:val="none"/>
          <w:lang w:val="en-US" w:eastAsia="zh-CN" w:bidi="ar"/>
        </w:rPr>
        <w:t>8</w:t>
      </w:r>
      <w:r>
        <w:rPr>
          <w:rFonts w:hint="eastAsia" w:ascii="宋体" w:hAnsi="宋体" w:eastAsia="宋体" w:cs="宋体"/>
          <w:color w:val="auto"/>
          <w:kern w:val="0"/>
          <w:sz w:val="21"/>
          <w:szCs w:val="21"/>
          <w:highlight w:val="none"/>
          <w:lang w:val="en-US" w:eastAsia="zh-CN" w:bidi="ar"/>
        </w:rPr>
        <w:t>:</w:t>
      </w: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0至1</w:t>
      </w:r>
      <w:r>
        <w:rPr>
          <w:rFonts w:hint="eastAsia" w:ascii="宋体" w:hAnsi="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w:t>
      </w: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0，下午14:</w:t>
      </w: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0至17:00（北京时间，法定节假日除外）</w:t>
      </w:r>
    </w:p>
    <w:p w14:paraId="5EE9D63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2、地点：</w:t>
      </w:r>
      <w:r>
        <w:rPr>
          <w:rFonts w:hint="eastAsia" w:ascii="宋体" w:hAnsi="宋体" w:eastAsia="宋体" w:cs="宋体"/>
          <w:color w:val="auto"/>
          <w:kern w:val="0"/>
          <w:sz w:val="21"/>
          <w:szCs w:val="21"/>
          <w:highlight w:val="none"/>
          <w:lang w:val="en-US" w:eastAsia="zh-CN" w:bidi="ar"/>
        </w:rPr>
        <w:t>岳阳建宇工程建设咨询有限公司(岳阳县兴荣路69号)持投标人公司营业执照（复印件加盖公章）、法定代表人身份证明或授权委托书(附法定代表人身份证明)、法定代表人或委托人身份证领取招标文件。</w:t>
      </w:r>
    </w:p>
    <w:p w14:paraId="0A6D60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3、方式：线下获取</w:t>
      </w:r>
    </w:p>
    <w:p w14:paraId="154BA8E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4、售价：0元</w:t>
      </w:r>
    </w:p>
    <w:p w14:paraId="4C2B8AC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五、响应文件提交截止时间、地点</w:t>
      </w:r>
    </w:p>
    <w:p w14:paraId="0D48A0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kern w:val="0"/>
          <w:sz w:val="21"/>
          <w:szCs w:val="21"/>
          <w:highlight w:val="none"/>
          <w:lang w:val="en-US" w:eastAsia="zh-CN" w:bidi="ar"/>
        </w:rPr>
        <w:t>1、截止时间：2026年</w:t>
      </w:r>
      <w:r>
        <w:rPr>
          <w:rFonts w:hint="eastAsia" w:ascii="宋体" w:hAnsi="宋体" w:cs="宋体"/>
          <w:color w:val="auto"/>
          <w:kern w:val="0"/>
          <w:sz w:val="21"/>
          <w:szCs w:val="21"/>
          <w:highlight w:val="none"/>
          <w:lang w:val="en-US" w:eastAsia="zh-CN" w:bidi="ar"/>
        </w:rPr>
        <w:t xml:space="preserve">10 </w:t>
      </w:r>
      <w:r>
        <w:rPr>
          <w:rFonts w:hint="eastAsia" w:ascii="宋体" w:hAnsi="宋体" w:eastAsia="宋体" w:cs="宋体"/>
          <w:color w:val="auto"/>
          <w:kern w:val="0"/>
          <w:sz w:val="21"/>
          <w:szCs w:val="21"/>
          <w:highlight w:val="none"/>
          <w:lang w:val="en-US" w:eastAsia="zh-CN" w:bidi="ar"/>
        </w:rPr>
        <w:t>月</w:t>
      </w:r>
      <w:r>
        <w:rPr>
          <w:rFonts w:hint="eastAsia" w:ascii="宋体" w:hAnsi="宋体" w:cs="宋体"/>
          <w:color w:val="auto"/>
          <w:kern w:val="0"/>
          <w:sz w:val="21"/>
          <w:szCs w:val="21"/>
          <w:highlight w:val="none"/>
          <w:lang w:val="en-US" w:eastAsia="zh-CN" w:bidi="ar"/>
        </w:rPr>
        <w:t>19</w:t>
      </w:r>
      <w:r>
        <w:rPr>
          <w:rFonts w:hint="eastAsia" w:ascii="宋体" w:hAnsi="宋体" w:eastAsia="宋体" w:cs="宋体"/>
          <w:color w:val="auto"/>
          <w:kern w:val="0"/>
          <w:sz w:val="21"/>
          <w:szCs w:val="21"/>
          <w:highlight w:val="none"/>
          <w:lang w:val="en-US" w:eastAsia="zh-CN" w:bidi="ar"/>
        </w:rPr>
        <w:t>日 15点00分（北京时间）</w:t>
      </w:r>
    </w:p>
    <w:p w14:paraId="3D7E60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2、地点：岳阳建宇工程建设咨询有限公司(岳阳县兴荣路69号) </w:t>
      </w:r>
    </w:p>
    <w:p w14:paraId="329AA61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六、响应文件开启</w:t>
      </w:r>
    </w:p>
    <w:p w14:paraId="4ADCBA3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highlight w:val="none"/>
        </w:rPr>
      </w:pPr>
      <w:r>
        <w:rPr>
          <w:rFonts w:hint="eastAsia" w:ascii="宋体" w:hAnsi="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、开</w:t>
      </w:r>
      <w:r>
        <w:rPr>
          <w:rFonts w:hint="eastAsia" w:ascii="宋体" w:hAnsi="宋体" w:cs="宋体"/>
          <w:color w:val="auto"/>
          <w:kern w:val="0"/>
          <w:sz w:val="21"/>
          <w:szCs w:val="21"/>
          <w:highlight w:val="none"/>
          <w:lang w:val="en-US" w:eastAsia="zh-CN" w:bidi="ar"/>
        </w:rPr>
        <w:t>启</w:t>
      </w:r>
      <w:r>
        <w:rPr>
          <w:rFonts w:hint="eastAsia" w:ascii="宋体" w:hAnsi="宋体" w:eastAsia="宋体" w:cs="宋体"/>
          <w:color w:val="auto"/>
          <w:kern w:val="0"/>
          <w:sz w:val="21"/>
          <w:szCs w:val="21"/>
          <w:highlight w:val="none"/>
          <w:lang w:val="en-US" w:eastAsia="zh-CN" w:bidi="ar"/>
        </w:rPr>
        <w:t>时间：2026年</w:t>
      </w:r>
      <w:r>
        <w:rPr>
          <w:rFonts w:hint="eastAsia" w:ascii="宋体" w:hAnsi="宋体" w:cs="宋体"/>
          <w:color w:val="auto"/>
          <w:kern w:val="0"/>
          <w:sz w:val="21"/>
          <w:szCs w:val="21"/>
          <w:highlight w:val="none"/>
          <w:lang w:val="en-US" w:eastAsia="zh-CN" w:bidi="ar"/>
        </w:rPr>
        <w:t xml:space="preserve">10 </w:t>
      </w:r>
      <w:r>
        <w:rPr>
          <w:rFonts w:hint="eastAsia" w:ascii="宋体" w:hAnsi="宋体" w:eastAsia="宋体" w:cs="宋体"/>
          <w:color w:val="auto"/>
          <w:kern w:val="0"/>
          <w:sz w:val="21"/>
          <w:szCs w:val="21"/>
          <w:highlight w:val="none"/>
          <w:lang w:val="en-US" w:eastAsia="zh-CN" w:bidi="ar"/>
        </w:rPr>
        <w:t>月</w:t>
      </w:r>
      <w:r>
        <w:rPr>
          <w:rFonts w:hint="eastAsia" w:ascii="宋体" w:hAnsi="宋体" w:cs="宋体"/>
          <w:color w:val="auto"/>
          <w:kern w:val="0"/>
          <w:sz w:val="21"/>
          <w:szCs w:val="21"/>
          <w:highlight w:val="none"/>
          <w:lang w:val="en-US" w:eastAsia="zh-CN" w:bidi="ar"/>
        </w:rPr>
        <w:t>19</w:t>
      </w:r>
      <w:r>
        <w:rPr>
          <w:rFonts w:hint="eastAsia" w:ascii="宋体" w:hAnsi="宋体" w:eastAsia="宋体" w:cs="宋体"/>
          <w:color w:val="auto"/>
          <w:kern w:val="0"/>
          <w:sz w:val="21"/>
          <w:szCs w:val="21"/>
          <w:highlight w:val="none"/>
          <w:lang w:val="en-US" w:eastAsia="zh-CN" w:bidi="ar"/>
        </w:rPr>
        <w:t>日 15点00分（北京时间）</w:t>
      </w:r>
    </w:p>
    <w:p w14:paraId="6EAFB5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highlight w:val="none"/>
        </w:rPr>
      </w:pP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 xml:space="preserve">、地点：岳阳建宇工程建设咨询有限公司(岳阳县兴荣路69号) </w:t>
      </w:r>
    </w:p>
    <w:p w14:paraId="3B48C22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七、公告期限</w:t>
      </w:r>
    </w:p>
    <w:p w14:paraId="0CB07A7E">
      <w:pPr>
        <w:pStyle w:val="38"/>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1、本公告在中国湖南政府采购网（</w:t>
      </w:r>
      <w:r>
        <w:rPr>
          <w:rFonts w:hint="eastAsia" w:ascii="宋体" w:hAnsi="宋体" w:eastAsia="宋体" w:cs="宋体"/>
          <w:color w:val="auto"/>
          <w:kern w:val="0"/>
          <w:sz w:val="21"/>
          <w:szCs w:val="21"/>
          <w:highlight w:val="none"/>
          <w:lang w:val="en-US" w:eastAsia="zh-CN" w:bidi="ar"/>
        </w:rPr>
        <w:fldChar w:fldCharType="begin"/>
      </w:r>
      <w:r>
        <w:rPr>
          <w:rFonts w:hint="eastAsia" w:ascii="宋体" w:hAnsi="宋体" w:eastAsia="宋体" w:cs="宋体"/>
          <w:color w:val="auto"/>
          <w:kern w:val="0"/>
          <w:sz w:val="21"/>
          <w:szCs w:val="21"/>
          <w:highlight w:val="none"/>
          <w:lang w:val="en-US" w:eastAsia="zh-CN" w:bidi="ar"/>
        </w:rPr>
        <w:instrText xml:space="preserve"> HYPERLINK "http://www.ccgp-hunan.gov.cn/" \t "http://www.ccgp-hunan.gov.cn/luban/front/_blank" </w:instrText>
      </w:r>
      <w:r>
        <w:rPr>
          <w:rFonts w:hint="eastAsia" w:ascii="宋体" w:hAnsi="宋体" w:eastAsia="宋体" w:cs="宋体"/>
          <w:color w:val="auto"/>
          <w:kern w:val="0"/>
          <w:sz w:val="21"/>
          <w:szCs w:val="21"/>
          <w:highlight w:val="none"/>
          <w:lang w:val="en-US" w:eastAsia="zh-CN" w:bidi="ar"/>
        </w:rPr>
        <w:fldChar w:fldCharType="separate"/>
      </w:r>
      <w:r>
        <w:rPr>
          <w:rFonts w:hint="eastAsia" w:ascii="宋体" w:hAnsi="宋体" w:eastAsia="宋体" w:cs="宋体"/>
          <w:color w:val="auto"/>
          <w:kern w:val="0"/>
          <w:sz w:val="21"/>
          <w:szCs w:val="21"/>
          <w:highlight w:val="none"/>
          <w:lang w:val="en-US" w:eastAsia="zh-CN" w:bidi="ar"/>
        </w:rPr>
        <w:t>www.ccgp-hunan.gov.cn</w:t>
      </w:r>
      <w:r>
        <w:rPr>
          <w:rFonts w:hint="eastAsia" w:ascii="宋体" w:hAnsi="宋体" w:eastAsia="宋体" w:cs="宋体"/>
          <w:color w:val="auto"/>
          <w:kern w:val="0"/>
          <w:sz w:val="21"/>
          <w:szCs w:val="21"/>
          <w:highlight w:val="none"/>
          <w:lang w:val="en-US" w:eastAsia="zh-CN" w:bidi="ar"/>
        </w:rPr>
        <w:fldChar w:fldCharType="end"/>
      </w:r>
      <w:r>
        <w:rPr>
          <w:rFonts w:hint="eastAsia" w:ascii="宋体" w:hAnsi="宋体" w:eastAsia="宋体" w:cs="宋体"/>
          <w:color w:val="auto"/>
          <w:kern w:val="0"/>
          <w:sz w:val="21"/>
          <w:szCs w:val="21"/>
          <w:highlight w:val="none"/>
          <w:lang w:val="en-US" w:eastAsia="zh-CN" w:bidi="ar"/>
        </w:rPr>
        <w:t>）发布。公告期限从本公告发布之日起5个工作日。</w:t>
      </w:r>
    </w:p>
    <w:p w14:paraId="3DBD2F1D">
      <w:pPr>
        <w:pStyle w:val="38"/>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2、在其他媒体发布的邀请公告，公告内容以本招标公告指定媒体发布的公告为准。</w:t>
      </w:r>
    </w:p>
    <w:p w14:paraId="1665443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八、询问及质疑</w:t>
      </w:r>
    </w:p>
    <w:p w14:paraId="10AE2101">
      <w:pPr>
        <w:pStyle w:val="38"/>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1、供应商对政府采购活动事项如有疑问的，可以向采购人、采购代理机构提出询问。采购人、采购代理机构将在3个工作日内作出答复。</w:t>
      </w:r>
    </w:p>
    <w:p w14:paraId="153D935C">
      <w:pPr>
        <w:pStyle w:val="38"/>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2、供应商对电子交易平台办理CA证书、操作等如有疑问，请咨询电子交易平台服务机构。</w:t>
      </w:r>
    </w:p>
    <w:p w14:paraId="7F942EAF">
      <w:pPr>
        <w:pStyle w:val="38"/>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潜在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09022A5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九、</w:t>
      </w:r>
      <w:r>
        <w:rPr>
          <w:rFonts w:hint="eastAsia" w:ascii="宋体" w:hAnsi="宋体" w:cs="宋体"/>
          <w:color w:val="auto"/>
          <w:sz w:val="21"/>
          <w:szCs w:val="21"/>
          <w:highlight w:val="none"/>
          <w:lang w:val="en-US" w:eastAsia="zh-CN"/>
        </w:rPr>
        <w:t>磋商</w:t>
      </w:r>
      <w:r>
        <w:rPr>
          <w:rFonts w:hint="eastAsia" w:ascii="宋体" w:hAnsi="宋体" w:eastAsia="宋体" w:cs="宋体"/>
          <w:color w:val="auto"/>
          <w:sz w:val="21"/>
          <w:szCs w:val="21"/>
          <w:highlight w:val="none"/>
        </w:rPr>
        <w:t>说明</w:t>
      </w:r>
    </w:p>
    <w:p w14:paraId="018D90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1、本公告选项：</w:t>
      </w:r>
      <w:r>
        <w:rPr>
          <w:rFonts w:hint="eastAsia" w:ascii="宋体" w:hAnsi="宋体" w:eastAsia="宋体" w:cs="宋体"/>
          <w:color w:val="auto"/>
          <w:kern w:val="0"/>
          <w:sz w:val="21"/>
          <w:szCs w:val="21"/>
          <w:highlight w:val="none"/>
          <w:lang w:val="en-US" w:eastAsia="zh-CN" w:bidi="ar"/>
        </w:rPr>
        <w:sym w:font="Wingdings" w:char="00FE"/>
      </w:r>
      <w:r>
        <w:rPr>
          <w:rFonts w:hint="eastAsia" w:ascii="宋体" w:hAnsi="宋体" w:eastAsia="宋体" w:cs="宋体"/>
          <w:color w:val="auto"/>
          <w:kern w:val="0"/>
          <w:sz w:val="21"/>
          <w:szCs w:val="21"/>
          <w:highlight w:val="none"/>
          <w:lang w:val="en-US" w:eastAsia="zh-CN" w:bidi="ar"/>
        </w:rPr>
        <w:t>表示选择，</w:t>
      </w:r>
      <w:r>
        <w:rPr>
          <w:rFonts w:hint="eastAsia" w:ascii="宋体" w:hAnsi="宋体" w:eastAsia="宋体" w:cs="宋体"/>
          <w:color w:val="auto"/>
          <w:kern w:val="0"/>
          <w:sz w:val="21"/>
          <w:szCs w:val="21"/>
          <w:highlight w:val="none"/>
          <w:lang w:val="en-US" w:eastAsia="zh-CN" w:bidi="ar"/>
        </w:rPr>
        <w:sym w:font="Wingdings" w:char="00A8"/>
      </w:r>
      <w:r>
        <w:rPr>
          <w:rFonts w:hint="eastAsia" w:ascii="宋体" w:hAnsi="宋体" w:eastAsia="宋体" w:cs="宋体"/>
          <w:color w:val="auto"/>
          <w:kern w:val="0"/>
          <w:sz w:val="21"/>
          <w:szCs w:val="21"/>
          <w:highlight w:val="none"/>
          <w:lang w:val="en-US" w:eastAsia="zh-CN" w:bidi="ar"/>
        </w:rPr>
        <w:t xml:space="preserve">表示未选择。 </w:t>
      </w:r>
    </w:p>
    <w:p w14:paraId="1489CB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kern w:val="0"/>
          <w:sz w:val="21"/>
          <w:szCs w:val="21"/>
          <w:highlight w:val="none"/>
          <w:lang w:val="en-US" w:eastAsia="zh-CN" w:bidi="ar"/>
        </w:rPr>
        <w:t>2、供应商参与政府采购活动，无需向采购人、代理机构、交易平台缴纳任何费用。</w:t>
      </w:r>
    </w:p>
    <w:p w14:paraId="6105E16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十、其他补充事宜</w:t>
      </w:r>
    </w:p>
    <w:p w14:paraId="0381C285">
      <w:pPr>
        <w:ind w:firstLine="840" w:firstLineChars="400"/>
        <w:rPr>
          <w:rFonts w:hint="eastAsia" w:eastAsia="宋体"/>
          <w:color w:val="auto"/>
          <w:highlight w:val="none"/>
          <w:lang w:val="en-US" w:eastAsia="zh-CN"/>
        </w:rPr>
      </w:pPr>
      <w:r>
        <w:rPr>
          <w:rFonts w:hint="eastAsia" w:ascii="宋体" w:hAnsi="宋体" w:cs="宋体"/>
          <w:color w:val="auto"/>
          <w:sz w:val="21"/>
          <w:szCs w:val="21"/>
          <w:highlight w:val="none"/>
          <w:lang w:val="en-US" w:eastAsia="zh-CN"/>
        </w:rPr>
        <w:t>无</w:t>
      </w:r>
    </w:p>
    <w:p w14:paraId="79F128E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十一、对本次采购提出询问，请按以下方式联系</w:t>
      </w:r>
    </w:p>
    <w:p w14:paraId="2B5D9AA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1、采购人信息</w:t>
      </w:r>
    </w:p>
    <w:p w14:paraId="77EFFA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名 称：</w:t>
      </w:r>
      <w:r>
        <w:rPr>
          <w:rFonts w:hint="eastAsia" w:ascii="宋体" w:hAnsi="宋体" w:cs="宋体"/>
          <w:color w:val="auto"/>
          <w:kern w:val="0"/>
          <w:sz w:val="21"/>
          <w:szCs w:val="21"/>
          <w:highlight w:val="none"/>
          <w:lang w:val="en-US" w:eastAsia="zh-CN" w:bidi="ar"/>
        </w:rPr>
        <w:t>岳阳县卫生健康局</w:t>
      </w:r>
      <w:r>
        <w:rPr>
          <w:rFonts w:hint="eastAsia" w:ascii="宋体" w:hAnsi="宋体" w:eastAsia="宋体" w:cs="宋体"/>
          <w:color w:val="auto"/>
          <w:kern w:val="0"/>
          <w:sz w:val="21"/>
          <w:szCs w:val="21"/>
          <w:highlight w:val="none"/>
          <w:lang w:val="en-US" w:eastAsia="zh-CN" w:bidi="ar"/>
        </w:rPr>
        <w:t xml:space="preserve"> </w:t>
      </w:r>
    </w:p>
    <w:p w14:paraId="6BDC7B1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地 址：岳阳县</w:t>
      </w:r>
    </w:p>
    <w:p w14:paraId="7D761F7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kern w:val="0"/>
          <w:sz w:val="21"/>
          <w:szCs w:val="21"/>
          <w:highlight w:val="none"/>
          <w:lang w:val="en-US" w:eastAsia="zh-CN" w:bidi="ar"/>
        </w:rPr>
        <w:t>联系人：</w:t>
      </w:r>
      <w:r>
        <w:rPr>
          <w:color w:val="auto"/>
          <w:spacing w:val="7"/>
          <w:highlight w:val="none"/>
        </w:rPr>
        <w:t>廖凯</w:t>
      </w:r>
    </w:p>
    <w:p w14:paraId="54B50EC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联系电话：</w:t>
      </w:r>
      <w:r>
        <w:rPr>
          <w:rFonts w:ascii="Times New Roman" w:hAnsi="Times New Roman" w:eastAsia="Times New Roman" w:cs="Times New Roman"/>
          <w:color w:val="auto"/>
          <w:spacing w:val="5"/>
          <w:highlight w:val="none"/>
        </w:rPr>
        <w:t>18152632345</w:t>
      </w:r>
      <w:r>
        <w:rPr>
          <w:rFonts w:hint="eastAsia" w:ascii="宋体" w:hAnsi="宋体" w:eastAsia="宋体" w:cs="宋体"/>
          <w:color w:val="auto"/>
          <w:kern w:val="0"/>
          <w:sz w:val="21"/>
          <w:szCs w:val="21"/>
          <w:highlight w:val="none"/>
          <w:lang w:val="en-US" w:eastAsia="zh-CN" w:bidi="ar"/>
        </w:rPr>
        <w:t xml:space="preserve"> </w:t>
      </w:r>
    </w:p>
    <w:p w14:paraId="6BB2217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2、采购代理机构信息</w:t>
      </w:r>
    </w:p>
    <w:p w14:paraId="319EF70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名 称：岳阳建宇工程建设咨询有限公司 </w:t>
      </w:r>
    </w:p>
    <w:p w14:paraId="782636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地 址：岳阳县荣家湾镇兴荣路69号 </w:t>
      </w:r>
    </w:p>
    <w:p w14:paraId="5B8223E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联系人：</w:t>
      </w:r>
      <w:r>
        <w:rPr>
          <w:rFonts w:hint="eastAsia" w:ascii="宋体" w:hAnsi="宋体" w:cs="宋体"/>
          <w:color w:val="auto"/>
          <w:kern w:val="0"/>
          <w:sz w:val="21"/>
          <w:szCs w:val="21"/>
          <w:highlight w:val="none"/>
          <w:lang w:val="en-US" w:eastAsia="zh-CN" w:bidi="ar"/>
        </w:rPr>
        <w:t>何</w:t>
      </w:r>
      <w:r>
        <w:rPr>
          <w:rFonts w:hint="eastAsia" w:ascii="宋体" w:hAnsi="宋体" w:eastAsia="宋体" w:cs="宋体"/>
          <w:color w:val="auto"/>
          <w:kern w:val="0"/>
          <w:sz w:val="21"/>
          <w:szCs w:val="21"/>
          <w:highlight w:val="none"/>
          <w:lang w:val="en-US" w:eastAsia="zh-CN" w:bidi="ar"/>
        </w:rPr>
        <w:t>女士</w:t>
      </w:r>
    </w:p>
    <w:p w14:paraId="631BCC2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1"/>
          <w:szCs w:val="21"/>
          <w:highlight w:val="none"/>
          <w:lang w:val="en-US" w:eastAsia="zh-CN" w:bidi="ar"/>
        </w:rPr>
        <w:t>联系电话：0730-7632118</w:t>
      </w:r>
      <w:r>
        <w:rPr>
          <w:rFonts w:hint="eastAsia" w:ascii="宋体" w:hAnsi="宋体" w:eastAsia="宋体" w:cs="宋体"/>
          <w:color w:val="auto"/>
          <w:sz w:val="24"/>
          <w:szCs w:val="24"/>
          <w:highlight w:val="none"/>
        </w:rPr>
        <w:t xml:space="preserve">  </w:t>
      </w:r>
    </w:p>
    <w:p w14:paraId="20EFB39D">
      <w:pPr>
        <w:pStyle w:val="2"/>
        <w:rPr>
          <w:rFonts w:hint="eastAsia" w:ascii="宋体" w:hAnsi="宋体" w:eastAsia="宋体" w:cs="宋体"/>
          <w:color w:val="auto"/>
          <w:sz w:val="24"/>
          <w:szCs w:val="24"/>
          <w:highlight w:val="none"/>
        </w:rPr>
      </w:pPr>
    </w:p>
    <w:p w14:paraId="02B504DB">
      <w:pPr>
        <w:pStyle w:val="41"/>
        <w:ind w:left="0" w:leftChars="0" w:firstLine="0" w:firstLineChars="0"/>
        <w:rPr>
          <w:rFonts w:hint="eastAsia" w:ascii="宋体" w:hAnsi="宋体" w:eastAsia="宋体" w:cs="宋体"/>
          <w:color w:val="auto"/>
          <w:highlight w:val="none"/>
        </w:rPr>
      </w:pPr>
    </w:p>
    <w:p w14:paraId="66C11273">
      <w:pPr>
        <w:pStyle w:val="41"/>
        <w:ind w:left="0" w:leftChars="0" w:firstLine="0" w:firstLineChars="0"/>
        <w:rPr>
          <w:rFonts w:hint="eastAsia" w:ascii="宋体" w:hAnsi="宋体" w:eastAsia="宋体" w:cs="宋体"/>
          <w:color w:val="auto"/>
          <w:highlight w:val="none"/>
        </w:rPr>
      </w:pPr>
    </w:p>
    <w:p w14:paraId="60CC5CB6">
      <w:pPr>
        <w:adjustRightInd w:val="0"/>
        <w:snapToGrid w:val="0"/>
        <w:spacing w:line="360" w:lineRule="auto"/>
        <w:jc w:val="center"/>
        <w:outlineLvl w:val="0"/>
        <w:rPr>
          <w:rFonts w:hint="eastAsia" w:ascii="宋体" w:hAnsi="宋体" w:eastAsia="宋体" w:cs="宋体"/>
          <w:b/>
          <w:color w:val="auto"/>
          <w:sz w:val="32"/>
          <w:szCs w:val="32"/>
          <w:highlight w:val="none"/>
        </w:rPr>
      </w:pPr>
    </w:p>
    <w:p w14:paraId="00EBA8AE">
      <w:pPr>
        <w:adjustRightInd w:val="0"/>
        <w:snapToGrid w:val="0"/>
        <w:spacing w:line="360" w:lineRule="auto"/>
        <w:jc w:val="center"/>
        <w:outlineLvl w:val="0"/>
        <w:rPr>
          <w:rFonts w:hint="eastAsia" w:ascii="宋体" w:hAnsi="宋体" w:eastAsia="宋体" w:cs="宋体"/>
          <w:b/>
          <w:color w:val="auto"/>
          <w:sz w:val="32"/>
          <w:szCs w:val="32"/>
          <w:highlight w:val="none"/>
        </w:rPr>
      </w:pPr>
    </w:p>
    <w:p w14:paraId="41DD10DC">
      <w:pPr>
        <w:adjustRightInd w:val="0"/>
        <w:snapToGrid w:val="0"/>
        <w:spacing w:line="360" w:lineRule="auto"/>
        <w:jc w:val="center"/>
        <w:outlineLvl w:val="0"/>
        <w:rPr>
          <w:rFonts w:hint="eastAsia" w:ascii="宋体" w:hAnsi="宋体" w:eastAsia="宋体" w:cs="宋体"/>
          <w:b/>
          <w:color w:val="auto"/>
          <w:sz w:val="32"/>
          <w:szCs w:val="32"/>
          <w:highlight w:val="none"/>
        </w:rPr>
      </w:pPr>
    </w:p>
    <w:p w14:paraId="384DA8AD">
      <w:pPr>
        <w:adjustRightInd w:val="0"/>
        <w:snapToGrid w:val="0"/>
        <w:spacing w:line="360" w:lineRule="auto"/>
        <w:jc w:val="center"/>
        <w:outlineLvl w:val="0"/>
        <w:rPr>
          <w:rFonts w:hint="eastAsia" w:ascii="宋体" w:hAnsi="宋体" w:eastAsia="宋体" w:cs="宋体"/>
          <w:b/>
          <w:color w:val="auto"/>
          <w:sz w:val="32"/>
          <w:szCs w:val="32"/>
          <w:highlight w:val="none"/>
        </w:rPr>
      </w:pPr>
    </w:p>
    <w:p w14:paraId="0DD0A403">
      <w:pPr>
        <w:adjustRightInd w:val="0"/>
        <w:snapToGrid w:val="0"/>
        <w:spacing w:line="360" w:lineRule="auto"/>
        <w:jc w:val="center"/>
        <w:outlineLvl w:val="0"/>
        <w:rPr>
          <w:rFonts w:hint="eastAsia" w:ascii="宋体" w:hAnsi="宋体" w:eastAsia="宋体" w:cs="宋体"/>
          <w:b/>
          <w:color w:val="auto"/>
          <w:sz w:val="32"/>
          <w:szCs w:val="32"/>
          <w:highlight w:val="none"/>
        </w:rPr>
      </w:pPr>
    </w:p>
    <w:p w14:paraId="73560601">
      <w:pPr>
        <w:adjustRightInd w:val="0"/>
        <w:snapToGrid w:val="0"/>
        <w:spacing w:line="360" w:lineRule="auto"/>
        <w:jc w:val="center"/>
        <w:outlineLvl w:val="0"/>
        <w:rPr>
          <w:rFonts w:hint="eastAsia" w:ascii="宋体" w:hAnsi="宋体" w:eastAsia="宋体" w:cs="宋体"/>
          <w:b/>
          <w:color w:val="auto"/>
          <w:sz w:val="32"/>
          <w:szCs w:val="32"/>
          <w:highlight w:val="none"/>
        </w:rPr>
      </w:pPr>
    </w:p>
    <w:p w14:paraId="797C8B83">
      <w:pPr>
        <w:adjustRightInd w:val="0"/>
        <w:snapToGrid w:val="0"/>
        <w:spacing w:line="360" w:lineRule="auto"/>
        <w:jc w:val="center"/>
        <w:outlineLvl w:val="0"/>
        <w:rPr>
          <w:rFonts w:hint="eastAsia" w:ascii="宋体" w:hAnsi="宋体" w:eastAsia="宋体" w:cs="宋体"/>
          <w:b/>
          <w:color w:val="auto"/>
          <w:sz w:val="32"/>
          <w:szCs w:val="32"/>
          <w:highlight w:val="none"/>
        </w:rPr>
      </w:pPr>
    </w:p>
    <w:p w14:paraId="38F6B8B4">
      <w:pPr>
        <w:adjustRightInd w:val="0"/>
        <w:snapToGrid w:val="0"/>
        <w:spacing w:line="360" w:lineRule="auto"/>
        <w:jc w:val="center"/>
        <w:outlineLvl w:val="0"/>
        <w:rPr>
          <w:rFonts w:hint="eastAsia" w:ascii="宋体" w:hAnsi="宋体" w:eastAsia="宋体" w:cs="宋体"/>
          <w:b/>
          <w:color w:val="auto"/>
          <w:sz w:val="32"/>
          <w:szCs w:val="32"/>
          <w:highlight w:val="none"/>
        </w:rPr>
      </w:pPr>
    </w:p>
    <w:p w14:paraId="7E543C10">
      <w:pPr>
        <w:adjustRightInd w:val="0"/>
        <w:snapToGrid w:val="0"/>
        <w:spacing w:line="360" w:lineRule="auto"/>
        <w:jc w:val="center"/>
        <w:outlineLvl w:val="0"/>
        <w:rPr>
          <w:rFonts w:hint="eastAsia" w:ascii="宋体" w:hAnsi="宋体" w:eastAsia="宋体" w:cs="宋体"/>
          <w:b/>
          <w:color w:val="auto"/>
          <w:sz w:val="32"/>
          <w:szCs w:val="32"/>
          <w:highlight w:val="none"/>
        </w:rPr>
      </w:pPr>
    </w:p>
    <w:p w14:paraId="0F59AF21">
      <w:pPr>
        <w:adjustRightInd w:val="0"/>
        <w:snapToGrid w:val="0"/>
        <w:spacing w:line="360" w:lineRule="auto"/>
        <w:jc w:val="center"/>
        <w:outlineLvl w:val="0"/>
        <w:rPr>
          <w:rFonts w:hint="eastAsia" w:ascii="宋体" w:hAnsi="宋体" w:eastAsia="宋体" w:cs="宋体"/>
          <w:b/>
          <w:color w:val="auto"/>
          <w:sz w:val="32"/>
          <w:szCs w:val="32"/>
          <w:highlight w:val="none"/>
        </w:rPr>
      </w:pPr>
    </w:p>
    <w:p w14:paraId="4303B449">
      <w:pPr>
        <w:adjustRightInd w:val="0"/>
        <w:snapToGrid w:val="0"/>
        <w:spacing w:line="360" w:lineRule="auto"/>
        <w:jc w:val="center"/>
        <w:outlineLvl w:val="0"/>
        <w:rPr>
          <w:rFonts w:hint="eastAsia" w:ascii="宋体" w:hAnsi="宋体" w:eastAsia="宋体" w:cs="宋体"/>
          <w:b/>
          <w:color w:val="auto"/>
          <w:sz w:val="32"/>
          <w:szCs w:val="32"/>
          <w:highlight w:val="none"/>
        </w:rPr>
      </w:pPr>
    </w:p>
    <w:p w14:paraId="7885C37E">
      <w:pPr>
        <w:adjustRightInd w:val="0"/>
        <w:snapToGrid w:val="0"/>
        <w:spacing w:line="360" w:lineRule="auto"/>
        <w:jc w:val="center"/>
        <w:outlineLvl w:val="0"/>
        <w:rPr>
          <w:rFonts w:hint="eastAsia" w:ascii="宋体" w:hAnsi="宋体" w:eastAsia="宋体" w:cs="宋体"/>
          <w:b/>
          <w:color w:val="auto"/>
          <w:sz w:val="32"/>
          <w:szCs w:val="32"/>
          <w:highlight w:val="none"/>
        </w:rPr>
      </w:pPr>
    </w:p>
    <w:p w14:paraId="78306891">
      <w:pPr>
        <w:adjustRightInd w:val="0"/>
        <w:snapToGrid w:val="0"/>
        <w:spacing w:line="360" w:lineRule="auto"/>
        <w:jc w:val="center"/>
        <w:outlineLvl w:val="0"/>
        <w:rPr>
          <w:rFonts w:hint="eastAsia" w:ascii="宋体" w:hAnsi="宋体" w:eastAsia="宋体" w:cs="宋体"/>
          <w:b/>
          <w:color w:val="auto"/>
          <w:sz w:val="32"/>
          <w:szCs w:val="32"/>
          <w:highlight w:val="none"/>
        </w:rPr>
      </w:pPr>
    </w:p>
    <w:p w14:paraId="5CB940A2">
      <w:pPr>
        <w:adjustRightInd w:val="0"/>
        <w:snapToGrid w:val="0"/>
        <w:spacing w:line="360" w:lineRule="auto"/>
        <w:jc w:val="center"/>
        <w:outlineLvl w:val="0"/>
        <w:rPr>
          <w:rFonts w:hint="eastAsia" w:ascii="宋体" w:hAnsi="宋体" w:eastAsia="宋体" w:cs="宋体"/>
          <w:b/>
          <w:color w:val="auto"/>
          <w:sz w:val="32"/>
          <w:szCs w:val="32"/>
          <w:highlight w:val="none"/>
        </w:rPr>
      </w:pPr>
    </w:p>
    <w:p w14:paraId="4F14AEDB">
      <w:pPr>
        <w:adjustRightInd w:val="0"/>
        <w:snapToGrid w:val="0"/>
        <w:spacing w:line="360" w:lineRule="auto"/>
        <w:jc w:val="center"/>
        <w:outlineLvl w:val="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第二章 磋商须知</w:t>
      </w:r>
    </w:p>
    <w:p w14:paraId="3AA8E3EB">
      <w:pPr>
        <w:pStyle w:val="23"/>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磋商须知前附表</w:t>
      </w:r>
    </w:p>
    <w:tbl>
      <w:tblPr>
        <w:tblStyle w:val="43"/>
        <w:tblW w:w="957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56"/>
        <w:gridCol w:w="2180"/>
        <w:gridCol w:w="6140"/>
      </w:tblGrid>
      <w:tr w14:paraId="32C6F5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3"/>
            <w:noWrap w:val="0"/>
            <w:vAlign w:val="center"/>
          </w:tcPr>
          <w:p w14:paraId="55057584">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一、说明</w:t>
            </w:r>
          </w:p>
        </w:tc>
      </w:tr>
      <w:tr w14:paraId="018619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797D4714">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0CEC8792">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第1.1款</w:t>
            </w:r>
          </w:p>
        </w:tc>
        <w:tc>
          <w:tcPr>
            <w:tcW w:w="2180" w:type="dxa"/>
            <w:noWrap w:val="0"/>
            <w:vAlign w:val="center"/>
          </w:tcPr>
          <w:p w14:paraId="17B9E183">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采购项目</w:t>
            </w:r>
          </w:p>
        </w:tc>
        <w:tc>
          <w:tcPr>
            <w:tcW w:w="6140" w:type="dxa"/>
            <w:noWrap w:val="0"/>
            <w:vAlign w:val="center"/>
          </w:tcPr>
          <w:p w14:paraId="7EB4B4FF">
            <w:pPr>
              <w:adjustRightInd w:val="0"/>
              <w:snapToGrid w:val="0"/>
              <w:spacing w:line="32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u w:val="none"/>
                <w:lang w:val="en-US" w:eastAsia="zh-CN"/>
              </w:rPr>
              <w:t>岳阳县第五人民医院整体搬迁建设项目（一期）代建服务项目</w:t>
            </w:r>
          </w:p>
        </w:tc>
      </w:tr>
      <w:tr w14:paraId="6AFE4C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642829D2">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0884C2D1">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第2.1款</w:t>
            </w:r>
          </w:p>
        </w:tc>
        <w:tc>
          <w:tcPr>
            <w:tcW w:w="2180" w:type="dxa"/>
            <w:noWrap w:val="0"/>
            <w:vAlign w:val="center"/>
          </w:tcPr>
          <w:p w14:paraId="00F79BF7">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w:t>
            </w:r>
          </w:p>
        </w:tc>
        <w:tc>
          <w:tcPr>
            <w:tcW w:w="6140" w:type="dxa"/>
            <w:noWrap w:val="0"/>
            <w:vAlign w:val="center"/>
          </w:tcPr>
          <w:p w14:paraId="72B457AC">
            <w:pPr>
              <w:adjustRightInd w:val="0"/>
              <w:snapToGrid w:val="0"/>
              <w:spacing w:line="320" w:lineRule="exact"/>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u w:val="none"/>
                <w:lang w:val="en-US" w:eastAsia="zh-CN"/>
              </w:rPr>
              <w:t>采购人：</w:t>
            </w:r>
            <w:r>
              <w:rPr>
                <w:rFonts w:hint="eastAsia" w:ascii="宋体" w:hAnsi="宋体" w:cs="宋体"/>
                <w:color w:val="auto"/>
                <w:szCs w:val="21"/>
                <w:highlight w:val="none"/>
                <w:u w:val="none"/>
                <w:lang w:val="en-US" w:eastAsia="zh-CN"/>
              </w:rPr>
              <w:t>岳阳县卫生健康局</w:t>
            </w:r>
            <w:r>
              <w:rPr>
                <w:rFonts w:hint="eastAsia" w:ascii="宋体" w:hAnsi="宋体" w:eastAsia="宋体" w:cs="宋体"/>
                <w:color w:val="auto"/>
                <w:szCs w:val="21"/>
                <w:highlight w:val="none"/>
                <w:u w:val="none"/>
                <w:lang w:val="en-US" w:eastAsia="zh-CN"/>
              </w:rPr>
              <w:t xml:space="preserve">           </w:t>
            </w:r>
          </w:p>
          <w:p w14:paraId="32A58E6E">
            <w:pPr>
              <w:adjustRightInd w:val="0"/>
              <w:snapToGrid w:val="0"/>
              <w:spacing w:line="320" w:lineRule="exact"/>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u w:val="none"/>
                <w:lang w:val="en-US" w:eastAsia="zh-CN"/>
              </w:rPr>
              <w:t>地址： 岳阳县</w:t>
            </w:r>
          </w:p>
          <w:p w14:paraId="3211D789">
            <w:pPr>
              <w:adjustRightInd w:val="0"/>
              <w:snapToGrid w:val="0"/>
              <w:spacing w:line="320" w:lineRule="exact"/>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u w:val="none"/>
                <w:lang w:val="en-US" w:eastAsia="zh-CN"/>
              </w:rPr>
              <w:t>联系人：</w:t>
            </w:r>
            <w:r>
              <w:rPr>
                <w:color w:val="auto"/>
                <w:spacing w:val="7"/>
                <w:highlight w:val="none"/>
              </w:rPr>
              <w:t>廖凯</w:t>
            </w:r>
            <w:r>
              <w:rPr>
                <w:rFonts w:hint="eastAsia" w:ascii="宋体" w:hAnsi="宋体" w:eastAsia="宋体" w:cs="宋体"/>
                <w:color w:val="auto"/>
                <w:szCs w:val="21"/>
                <w:highlight w:val="none"/>
                <w:u w:val="none"/>
                <w:lang w:val="en-US" w:eastAsia="zh-CN"/>
              </w:rPr>
              <w:t xml:space="preserve"> </w:t>
            </w:r>
          </w:p>
          <w:p w14:paraId="34419D4D">
            <w:pPr>
              <w:adjustRightInd w:val="0"/>
              <w:snapToGrid w:val="0"/>
              <w:spacing w:line="320" w:lineRule="exact"/>
              <w:rPr>
                <w:rFonts w:hint="eastAsia" w:ascii="宋体" w:hAnsi="宋体" w:eastAsia="宋体" w:cs="宋体"/>
                <w:color w:val="auto"/>
                <w:szCs w:val="21"/>
                <w:highlight w:val="none"/>
                <w:u w:val="none"/>
                <w:lang w:eastAsia="zh-CN"/>
              </w:rPr>
            </w:pPr>
            <w:r>
              <w:rPr>
                <w:rFonts w:hint="eastAsia" w:ascii="宋体" w:hAnsi="宋体" w:eastAsia="宋体" w:cs="宋体"/>
                <w:color w:val="auto"/>
                <w:szCs w:val="21"/>
                <w:highlight w:val="none"/>
                <w:u w:val="none"/>
                <w:lang w:val="en-US" w:eastAsia="zh-CN"/>
              </w:rPr>
              <w:t>联系电话：</w:t>
            </w:r>
            <w:r>
              <w:rPr>
                <w:rFonts w:ascii="Times New Roman" w:hAnsi="Times New Roman" w:eastAsia="Times New Roman" w:cs="Times New Roman"/>
                <w:color w:val="auto"/>
                <w:spacing w:val="5"/>
                <w:highlight w:val="none"/>
              </w:rPr>
              <w:t>18152632345</w:t>
            </w:r>
          </w:p>
        </w:tc>
      </w:tr>
      <w:tr w14:paraId="67A045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136060FD">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24603D58">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第2.2款</w:t>
            </w:r>
          </w:p>
        </w:tc>
        <w:tc>
          <w:tcPr>
            <w:tcW w:w="2180" w:type="dxa"/>
            <w:noWrap w:val="0"/>
            <w:vAlign w:val="center"/>
          </w:tcPr>
          <w:p w14:paraId="6A463290">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采购代理机构</w:t>
            </w:r>
          </w:p>
        </w:tc>
        <w:tc>
          <w:tcPr>
            <w:tcW w:w="6140" w:type="dxa"/>
            <w:noWrap w:val="0"/>
            <w:vAlign w:val="center"/>
          </w:tcPr>
          <w:p w14:paraId="75C83CA2">
            <w:pPr>
              <w:adjustRightInd w:val="0"/>
              <w:snapToGrid w:val="0"/>
              <w:spacing w:line="320" w:lineRule="exact"/>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u w:val="none"/>
                <w:lang w:val="en-US" w:eastAsia="zh-CN"/>
              </w:rPr>
              <w:t xml:space="preserve">代理机构：岳阳建宇工程建设咨询有限公司           </w:t>
            </w:r>
          </w:p>
          <w:p w14:paraId="2A2F3265">
            <w:pPr>
              <w:adjustRightInd w:val="0"/>
              <w:snapToGrid w:val="0"/>
              <w:spacing w:line="320" w:lineRule="exact"/>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u w:val="none"/>
                <w:lang w:val="en-US" w:eastAsia="zh-CN"/>
              </w:rPr>
              <w:t xml:space="preserve">地址：岳阳县荣家湾镇兴荣路69号                      </w:t>
            </w:r>
          </w:p>
          <w:p w14:paraId="4219EE5D">
            <w:pPr>
              <w:adjustRightInd w:val="0"/>
              <w:snapToGrid w:val="0"/>
              <w:spacing w:line="320" w:lineRule="exact"/>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u w:val="none"/>
                <w:lang w:val="en-US" w:eastAsia="zh-CN"/>
              </w:rPr>
              <w:t>联系人：</w:t>
            </w:r>
            <w:r>
              <w:rPr>
                <w:rFonts w:hint="eastAsia" w:ascii="宋体" w:hAnsi="宋体" w:cs="宋体"/>
                <w:color w:val="auto"/>
                <w:szCs w:val="21"/>
                <w:highlight w:val="none"/>
                <w:u w:val="none"/>
                <w:lang w:val="en-US" w:eastAsia="zh-CN"/>
              </w:rPr>
              <w:t>何</w:t>
            </w:r>
            <w:r>
              <w:rPr>
                <w:rFonts w:hint="eastAsia" w:ascii="宋体" w:hAnsi="宋体" w:eastAsia="宋体" w:cs="宋体"/>
                <w:color w:val="auto"/>
                <w:szCs w:val="21"/>
                <w:highlight w:val="none"/>
                <w:u w:val="none"/>
                <w:lang w:val="en-US" w:eastAsia="zh-CN"/>
              </w:rPr>
              <w:t xml:space="preserve">女士                     </w:t>
            </w:r>
          </w:p>
          <w:p w14:paraId="438D2F15">
            <w:pPr>
              <w:adjustRightInd w:val="0"/>
              <w:snapToGrid w:val="0"/>
              <w:spacing w:line="320" w:lineRule="exact"/>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u w:val="none"/>
                <w:lang w:val="en-US" w:eastAsia="zh-CN"/>
              </w:rPr>
              <w:t xml:space="preserve">联系电话：0730-7632118 </w:t>
            </w:r>
          </w:p>
        </w:tc>
      </w:tr>
      <w:tr w14:paraId="221523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vMerge w:val="restart"/>
            <w:noWrap w:val="0"/>
            <w:vAlign w:val="center"/>
          </w:tcPr>
          <w:p w14:paraId="6FE84D9E">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0F2F244D">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第2.3款</w:t>
            </w:r>
          </w:p>
        </w:tc>
        <w:tc>
          <w:tcPr>
            <w:tcW w:w="2180" w:type="dxa"/>
            <w:noWrap w:val="0"/>
            <w:vAlign w:val="center"/>
          </w:tcPr>
          <w:p w14:paraId="0301FBE0">
            <w:pPr>
              <w:adjustRightInd w:val="0"/>
              <w:snapToGrid w:val="0"/>
              <w:spacing w:line="320" w:lineRule="exact"/>
              <w:jc w:val="center"/>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供应商的</w:t>
            </w:r>
            <w:r>
              <w:rPr>
                <w:rFonts w:hint="eastAsia" w:ascii="宋体" w:hAnsi="宋体" w:eastAsia="宋体" w:cs="宋体"/>
                <w:color w:val="auto"/>
                <w:szCs w:val="21"/>
                <w:highlight w:val="none"/>
              </w:rPr>
              <w:t>邀请方式</w:t>
            </w:r>
          </w:p>
        </w:tc>
        <w:tc>
          <w:tcPr>
            <w:tcW w:w="6140" w:type="dxa"/>
            <w:noWrap w:val="0"/>
            <w:vAlign w:val="center"/>
          </w:tcPr>
          <w:p w14:paraId="7F033D77">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发布公告</w:t>
            </w:r>
          </w:p>
          <w:p w14:paraId="65DB4CCD">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从省级以上财政部门建立的供应商库中随机抽取</w:t>
            </w:r>
          </w:p>
          <w:p w14:paraId="241107E0">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采购人和评审专家分别书面推荐的方式</w:t>
            </w:r>
          </w:p>
        </w:tc>
      </w:tr>
      <w:tr w14:paraId="5B3B21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vMerge w:val="continue"/>
            <w:noWrap w:val="0"/>
            <w:vAlign w:val="center"/>
          </w:tcPr>
          <w:p w14:paraId="7FBCBEC1">
            <w:pPr>
              <w:adjustRightInd w:val="0"/>
              <w:snapToGrid w:val="0"/>
              <w:spacing w:line="320" w:lineRule="exact"/>
              <w:jc w:val="center"/>
              <w:rPr>
                <w:rFonts w:hint="eastAsia" w:ascii="宋体" w:hAnsi="宋体" w:eastAsia="宋体" w:cs="宋体"/>
                <w:color w:val="auto"/>
                <w:szCs w:val="21"/>
                <w:highlight w:val="none"/>
              </w:rPr>
            </w:pPr>
          </w:p>
        </w:tc>
        <w:tc>
          <w:tcPr>
            <w:tcW w:w="2180" w:type="dxa"/>
            <w:noWrap w:val="0"/>
            <w:vAlign w:val="center"/>
          </w:tcPr>
          <w:p w14:paraId="7F41D543">
            <w:pPr>
              <w:adjustRightInd w:val="0"/>
              <w:snapToGrid w:val="0"/>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购买磋商文件时应提供的资料</w:t>
            </w:r>
          </w:p>
        </w:tc>
        <w:tc>
          <w:tcPr>
            <w:tcW w:w="6140" w:type="dxa"/>
            <w:noWrap w:val="0"/>
            <w:vAlign w:val="center"/>
          </w:tcPr>
          <w:p w14:paraId="6914B7F9">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kern w:val="0"/>
                <w:sz w:val="21"/>
                <w:szCs w:val="21"/>
                <w:highlight w:val="none"/>
                <w:lang w:val="en-US" w:eastAsia="zh-CN" w:bidi="ar"/>
              </w:rPr>
              <w:t>投标人公司营业执照（复印件加盖公章）、法定代表人身份证明或授权委托书(附法定代表人身份证明)、法定代表人或委托人身份证</w:t>
            </w:r>
          </w:p>
        </w:tc>
      </w:tr>
      <w:tr w14:paraId="15031D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 w:hRule="atLeast"/>
          <w:jc w:val="center"/>
        </w:trPr>
        <w:tc>
          <w:tcPr>
            <w:tcW w:w="1256" w:type="dxa"/>
            <w:noWrap w:val="0"/>
            <w:vAlign w:val="center"/>
          </w:tcPr>
          <w:p w14:paraId="40C4B3AD">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466472D6">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第3.1款</w:t>
            </w:r>
          </w:p>
        </w:tc>
        <w:tc>
          <w:tcPr>
            <w:tcW w:w="2180" w:type="dxa"/>
            <w:noWrap w:val="0"/>
            <w:vAlign w:val="center"/>
          </w:tcPr>
          <w:p w14:paraId="1CE8E1F5">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供应商</w:t>
            </w:r>
            <w:r>
              <w:rPr>
                <w:rFonts w:hint="eastAsia" w:ascii="宋体" w:hAnsi="宋体" w:eastAsia="宋体" w:cs="宋体"/>
                <w:color w:val="auto"/>
                <w:szCs w:val="21"/>
                <w:highlight w:val="none"/>
              </w:rPr>
              <w:t>资格条件</w:t>
            </w:r>
          </w:p>
        </w:tc>
        <w:tc>
          <w:tcPr>
            <w:tcW w:w="6140" w:type="dxa"/>
            <w:noWrap w:val="0"/>
            <w:vAlign w:val="center"/>
          </w:tcPr>
          <w:p w14:paraId="3F9B8F80">
            <w:pPr>
              <w:adjustRightInd w:val="0"/>
              <w:snapToGrid w:val="0"/>
              <w:spacing w:line="320" w:lineRule="exact"/>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1、投标人的基本资格条件：应当符合《政府采购法》第二十二条规定的供应商条件，即：</w:t>
            </w:r>
          </w:p>
          <w:p w14:paraId="39BD3089">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（1）具有独立承担民事责任的能力；</w:t>
            </w:r>
          </w:p>
          <w:p w14:paraId="085229F8">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（2）具有良好的商业信誉和健全的财务会计制度；</w:t>
            </w:r>
          </w:p>
          <w:p w14:paraId="6D767319">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（3）具有履行合同所必需的设备和专业技术能力；</w:t>
            </w:r>
          </w:p>
          <w:p w14:paraId="33765CBE">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（4）有依法缴纳税收和社会保障资金的良好记录；</w:t>
            </w:r>
          </w:p>
          <w:p w14:paraId="25F073B8">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（5）参加政府采购活动前三年内，在经营活动中没有重大违法记录；</w:t>
            </w:r>
          </w:p>
          <w:p w14:paraId="0C665E24">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（6）法律、行政法规规定的其他条件。</w:t>
            </w:r>
          </w:p>
          <w:p w14:paraId="3DFAD6E3">
            <w:pPr>
              <w:adjustRightInd w:val="0"/>
              <w:snapToGrid w:val="0"/>
              <w:spacing w:line="320" w:lineRule="exact"/>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2、落实政府采购政策需满足的资格要求： </w:t>
            </w:r>
          </w:p>
          <w:p w14:paraId="51A5FB91">
            <w:pPr>
              <w:adjustRightInd w:val="0"/>
              <w:snapToGrid w:val="0"/>
              <w:spacing w:line="320" w:lineRule="exact"/>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sym w:font="Wingdings" w:char="00A8"/>
            </w:r>
            <w:r>
              <w:rPr>
                <w:rFonts w:hint="eastAsia" w:ascii="宋体" w:hAnsi="宋体" w:eastAsia="宋体" w:cs="宋体"/>
                <w:color w:val="auto"/>
                <w:szCs w:val="21"/>
                <w:highlight w:val="none"/>
                <w:lang w:val="en-US" w:eastAsia="zh-CN"/>
              </w:rPr>
              <w:t>专门面向：</w:t>
            </w:r>
            <w:r>
              <w:rPr>
                <w:rFonts w:hint="eastAsia" w:ascii="宋体" w:hAnsi="宋体" w:eastAsia="宋体" w:cs="宋体"/>
                <w:color w:val="auto"/>
                <w:szCs w:val="21"/>
                <w:highlight w:val="none"/>
                <w:lang w:val="en-US" w:eastAsia="zh-CN"/>
              </w:rPr>
              <w:sym w:font="Wingdings" w:char="00A8"/>
            </w:r>
            <w:r>
              <w:rPr>
                <w:rFonts w:hint="eastAsia" w:ascii="宋体" w:hAnsi="宋体" w:eastAsia="宋体" w:cs="宋体"/>
                <w:color w:val="auto"/>
                <w:szCs w:val="21"/>
                <w:highlight w:val="none"/>
                <w:lang w:val="en-US" w:eastAsia="zh-CN"/>
              </w:rPr>
              <w:t xml:space="preserve">中小企业 </w:t>
            </w:r>
            <w:r>
              <w:rPr>
                <w:rFonts w:hint="eastAsia" w:ascii="宋体" w:hAnsi="宋体" w:eastAsia="宋体" w:cs="宋体"/>
                <w:color w:val="auto"/>
                <w:szCs w:val="21"/>
                <w:highlight w:val="none"/>
                <w:lang w:val="en-US" w:eastAsia="zh-CN"/>
              </w:rPr>
              <w:sym w:font="Wingdings 2" w:char="00A3"/>
            </w:r>
            <w:r>
              <w:rPr>
                <w:rFonts w:hint="eastAsia" w:ascii="宋体" w:hAnsi="宋体" w:eastAsia="宋体" w:cs="宋体"/>
                <w:color w:val="auto"/>
                <w:szCs w:val="21"/>
                <w:highlight w:val="none"/>
                <w:lang w:val="en-US" w:eastAsia="zh-CN"/>
              </w:rPr>
              <w:t xml:space="preserve">小微企业 </w:t>
            </w:r>
            <w:r>
              <w:rPr>
                <w:rFonts w:hint="eastAsia" w:ascii="宋体" w:hAnsi="宋体" w:eastAsia="宋体" w:cs="宋体"/>
                <w:color w:val="auto"/>
                <w:szCs w:val="21"/>
                <w:highlight w:val="none"/>
                <w:lang w:val="en-US" w:eastAsia="zh-CN"/>
              </w:rPr>
              <w:sym w:font="Wingdings" w:char="00A8"/>
            </w:r>
            <w:r>
              <w:rPr>
                <w:rFonts w:hint="eastAsia" w:ascii="宋体" w:hAnsi="宋体" w:eastAsia="宋体" w:cs="宋体"/>
                <w:color w:val="auto"/>
                <w:szCs w:val="21"/>
                <w:highlight w:val="none"/>
                <w:lang w:val="en-US" w:eastAsia="zh-CN"/>
              </w:rPr>
              <w:t xml:space="preserve">监狱企业 </w:t>
            </w:r>
            <w:r>
              <w:rPr>
                <w:rFonts w:hint="eastAsia" w:ascii="宋体" w:hAnsi="宋体" w:eastAsia="宋体" w:cs="宋体"/>
                <w:color w:val="auto"/>
                <w:szCs w:val="21"/>
                <w:highlight w:val="none"/>
                <w:lang w:val="en-US" w:eastAsia="zh-CN"/>
              </w:rPr>
              <w:sym w:font="Wingdings" w:char="00A8"/>
            </w:r>
            <w:r>
              <w:rPr>
                <w:rFonts w:hint="eastAsia" w:ascii="宋体" w:hAnsi="宋体" w:eastAsia="宋体" w:cs="宋体"/>
                <w:color w:val="auto"/>
                <w:szCs w:val="21"/>
                <w:highlight w:val="none"/>
                <w:lang w:val="en-US" w:eastAsia="zh-CN"/>
              </w:rPr>
              <w:t xml:space="preserve">福利性单位 </w:t>
            </w:r>
          </w:p>
          <w:p w14:paraId="3821A6FC">
            <w:pPr>
              <w:adjustRightInd w:val="0"/>
              <w:snapToGrid w:val="0"/>
              <w:spacing w:line="320" w:lineRule="exact"/>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sym w:font="Wingdings" w:char="00A8"/>
            </w:r>
            <w:r>
              <w:rPr>
                <w:rFonts w:hint="eastAsia" w:ascii="宋体" w:hAnsi="宋体" w:eastAsia="宋体" w:cs="宋体"/>
                <w:color w:val="auto"/>
                <w:szCs w:val="21"/>
                <w:highlight w:val="none"/>
                <w:lang w:val="en-US" w:eastAsia="zh-CN"/>
              </w:rPr>
              <w:t>强制分包：大型企业应将采购份额的</w:t>
            </w:r>
            <w:r>
              <w:rPr>
                <w:rFonts w:hint="eastAsia" w:ascii="宋体" w:hAnsi="宋体" w:eastAsia="宋体" w:cs="宋体"/>
                <w:color w:val="auto"/>
                <w:szCs w:val="21"/>
                <w:highlight w:val="none"/>
                <w:u w:val="single"/>
                <w:lang w:val="en-US" w:eastAsia="zh-CN"/>
              </w:rPr>
              <w:t>     </w:t>
            </w:r>
            <w:r>
              <w:rPr>
                <w:rFonts w:hint="eastAsia" w:ascii="宋体" w:hAnsi="宋体" w:eastAsia="宋体" w:cs="宋体"/>
                <w:color w:val="auto"/>
                <w:szCs w:val="21"/>
                <w:highlight w:val="none"/>
                <w:lang w:val="en-US" w:eastAsia="zh-CN"/>
              </w:rPr>
              <w:t xml:space="preserve">%分包给中小企业。 </w:t>
            </w:r>
          </w:p>
          <w:p w14:paraId="6F4E3971">
            <w:pPr>
              <w:adjustRightInd w:val="0"/>
              <w:snapToGrid w:val="0"/>
              <w:spacing w:line="320" w:lineRule="exact"/>
              <w:ind w:firstLine="210" w:firstLineChars="1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3、供应商特定资格条件： </w:t>
            </w:r>
          </w:p>
          <w:p w14:paraId="4AC32C11">
            <w:pPr>
              <w:adjustRightInd w:val="0"/>
              <w:snapToGrid w:val="0"/>
              <w:spacing w:line="320" w:lineRule="exac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w:t>
            </w:r>
            <w:r>
              <w:rPr>
                <w:rFonts w:hint="eastAsia" w:ascii="宋体" w:hAnsi="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）供应商具有有效的营业执照、组织机构代码证、税务登记证（如供应商已办理三证合一，只提供营业执照）</w:t>
            </w:r>
          </w:p>
          <w:p w14:paraId="12260A98">
            <w:pPr>
              <w:adjustRightInd w:val="0"/>
              <w:snapToGrid w:val="0"/>
              <w:spacing w:line="320" w:lineRule="exact"/>
              <w:rPr>
                <w:rFonts w:hint="eastAsia" w:ascii="宋体" w:hAnsi="宋体" w:eastAsia="宋体" w:cs="宋体"/>
                <w:color w:val="auto"/>
                <w:szCs w:val="21"/>
                <w:highlight w:val="none"/>
                <w:lang w:val="en-US" w:eastAsia="zh-CN"/>
              </w:rPr>
            </w:pPr>
            <w:bookmarkStart w:id="380" w:name="_GoBack"/>
            <w:bookmarkEnd w:id="380"/>
            <w:r>
              <w:rPr>
                <w:rFonts w:hint="eastAsia" w:ascii="宋体" w:hAnsi="宋体" w:eastAsia="宋体" w:cs="宋体"/>
                <w:color w:val="auto"/>
                <w:szCs w:val="21"/>
                <w:highlight w:val="none"/>
                <w:lang w:val="en-US" w:eastAsia="zh-CN"/>
              </w:rPr>
              <w:t>（2）具有下列一项或者多项资质（资信）： 工程咨询建筑工程专业甲级或综合甲级、工程监理房屋建筑工程（资质类别）甲级或综合资质、工程设计建筑工程专业甲级或综合甲级、建筑工程（资质类别）施工总承包一级及以上、房地产开发一级；</w:t>
            </w:r>
          </w:p>
          <w:p w14:paraId="3407BAC2">
            <w:pPr>
              <w:adjustRightInd w:val="0"/>
              <w:snapToGrid w:val="0"/>
              <w:spacing w:line="32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拟任代建项目经理具备中级及以上专业技术职称，并具有下列一项或者多项资质：注册咨询工程师（投资）、一级注册建造师建筑工程专业、一级注册建筑师、一级注册结构工程师、国家注册监理工程师房屋建筑工程专业。提供项目经理无在建承诺书和近三个月任意一个月社保证明；</w:t>
            </w:r>
          </w:p>
          <w:p w14:paraId="06FB693B">
            <w:pPr>
              <w:adjustRightInd w:val="0"/>
              <w:snapToGrid w:val="0"/>
              <w:spacing w:line="32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拟任现场管理1人，具备中级及以上专业技术职称，并具备以下资质之一：注册建造师二级及以上、注册造价工程师二级及以上、注册结构工程师二级及以上、注册公用设备工程师、注册电气工程师、注册咨询工程师（投资）、注册监理工程师、中级注册安全工程师（建筑施工安全），提供无在建承诺书和近三个月任意一个月社保证明；</w:t>
            </w:r>
          </w:p>
          <w:p w14:paraId="26426217">
            <w:pPr>
              <w:adjustRightInd w:val="0"/>
              <w:snapToGrid w:val="0"/>
              <w:spacing w:line="32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拟任设计管理1人，具备中级及以上专业技术职称，并具备以下资质之一：注册建筑师二级及以上、注册结构工程师二级及以上、注册公用设备工程师（仅限机电安装工程代建单位招标选用）。提供近三个月任意一个月社保证明；</w:t>
            </w:r>
          </w:p>
          <w:p w14:paraId="466F5CBD">
            <w:pPr>
              <w:adjustRightInd w:val="0"/>
              <w:snapToGrid w:val="0"/>
              <w:spacing w:line="32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（6）拟任造价管理1人，具备中级及以上专业技术职称，并具备注册造价工程师二级及以上资质。提供近三个月任意一个月社保证明；</w:t>
            </w:r>
          </w:p>
          <w:p w14:paraId="53298784">
            <w:pPr>
              <w:adjustRightInd w:val="0"/>
              <w:snapToGrid w:val="0"/>
              <w:spacing w:line="32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lang w:val="en-US" w:eastAsia="zh-CN"/>
              </w:rPr>
              <w:t>）湖南省政府采购供应商资格承诺函原件。格式见湖南省财政厅关于《政府采购促进中小企业发展有关措施》的通知湘财购【2022】17号文。</w:t>
            </w:r>
          </w:p>
          <w:p w14:paraId="1F5AC3B0">
            <w:pPr>
              <w:adjustRightInd w:val="0"/>
              <w:snapToGrid w:val="0"/>
              <w:spacing w:line="32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lang w:val="en-US" w:eastAsia="zh-CN"/>
              </w:rPr>
              <w:t>）供应商自行登录“信用中国”网站（www.creditchina.gov.cn）、“中国政府采购网”（www.ccgp.gov.cn）或“国家企业信用信息公示系统”等渠道，提供供应商查询无被禁止投标的记录的网上打印件并加盖单位公章。</w:t>
            </w:r>
          </w:p>
          <w:p w14:paraId="20697A19">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4、单位负责人为同一人或者存在直接控股、管理关系的不同投标人，不得参加同一合同项下的政府采购活动。 </w:t>
            </w:r>
          </w:p>
          <w:p w14:paraId="106AC7A9">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5、为本采购项目提供整体设计、规范编制或者项目管理、监理、检测等服务的，不得再参加此项目的其他采购活动。 </w:t>
            </w:r>
          </w:p>
          <w:p w14:paraId="38C84AF7">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6、列入失信被执行人、重大税收违法失信主体名单、政府采购严重违法失信行为记录名单的，拒绝其参与政府采购活动。 </w:t>
            </w:r>
          </w:p>
          <w:p w14:paraId="451C60B5">
            <w:pPr>
              <w:adjustRightInd w:val="0"/>
              <w:snapToGrid w:val="0"/>
              <w:spacing w:line="320" w:lineRule="exact"/>
              <w:rPr>
                <w:rFonts w:hint="eastAsia" w:ascii="宋体" w:hAnsi="宋体" w:eastAsia="宋体" w:cs="宋体"/>
                <w:color w:val="auto"/>
                <w:highlight w:val="none"/>
                <w:lang w:val="en-US" w:eastAsia="zh-CN"/>
              </w:rPr>
            </w:pPr>
            <w:r>
              <w:rPr>
                <w:rFonts w:hint="eastAsia" w:ascii="宋体" w:hAnsi="宋体" w:eastAsia="宋体" w:cs="宋体"/>
                <w:color w:val="auto"/>
                <w:szCs w:val="21"/>
                <w:highlight w:val="none"/>
                <w:lang w:val="en-US" w:eastAsia="zh-CN"/>
              </w:rPr>
              <w:t>7、联合体投标。本次招标</w:t>
            </w:r>
            <w:r>
              <w:rPr>
                <w:rFonts w:hint="eastAsia" w:ascii="宋体" w:hAnsi="宋体" w:eastAsia="宋体" w:cs="宋体"/>
                <w:color w:val="auto"/>
                <w:szCs w:val="21"/>
                <w:highlight w:val="none"/>
                <w:u w:val="single"/>
                <w:lang w:val="en-US" w:eastAsia="zh-CN"/>
              </w:rPr>
              <w:t>不接受</w:t>
            </w:r>
            <w:r>
              <w:rPr>
                <w:rFonts w:hint="eastAsia" w:ascii="宋体" w:hAnsi="宋体" w:eastAsia="宋体" w:cs="宋体"/>
                <w:color w:val="auto"/>
                <w:szCs w:val="21"/>
                <w:highlight w:val="none"/>
                <w:lang w:val="en-US" w:eastAsia="zh-CN"/>
              </w:rPr>
              <w:t xml:space="preserve">联合体投标。 </w:t>
            </w:r>
          </w:p>
        </w:tc>
      </w:tr>
      <w:tr w14:paraId="54C68B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45" w:hRule="atLeast"/>
          <w:jc w:val="center"/>
        </w:trPr>
        <w:tc>
          <w:tcPr>
            <w:tcW w:w="1256" w:type="dxa"/>
            <w:noWrap w:val="0"/>
            <w:vAlign w:val="center"/>
          </w:tcPr>
          <w:p w14:paraId="34A02D75">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22D68236">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第6.1款</w:t>
            </w:r>
          </w:p>
        </w:tc>
        <w:tc>
          <w:tcPr>
            <w:tcW w:w="2180" w:type="dxa"/>
            <w:noWrap w:val="0"/>
            <w:vAlign w:val="center"/>
          </w:tcPr>
          <w:p w14:paraId="2DC74011">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联合体形式</w:t>
            </w:r>
          </w:p>
        </w:tc>
        <w:tc>
          <w:tcPr>
            <w:tcW w:w="6140" w:type="dxa"/>
            <w:noWrap w:val="0"/>
            <w:vAlign w:val="center"/>
          </w:tcPr>
          <w:p w14:paraId="38E4451D">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不接受</w:t>
            </w:r>
          </w:p>
          <w:p w14:paraId="5918EAB3">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接受</w:t>
            </w:r>
          </w:p>
        </w:tc>
      </w:tr>
      <w:tr w14:paraId="3F329D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256" w:type="dxa"/>
            <w:noWrap w:val="0"/>
            <w:vAlign w:val="center"/>
          </w:tcPr>
          <w:p w14:paraId="0E55A06B">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13D544B8">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第6.2款</w:t>
            </w:r>
          </w:p>
        </w:tc>
        <w:tc>
          <w:tcPr>
            <w:tcW w:w="2180" w:type="dxa"/>
            <w:noWrap w:val="0"/>
            <w:vAlign w:val="center"/>
          </w:tcPr>
          <w:p w14:paraId="06E84A6E">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对联合体各方的要求</w:t>
            </w:r>
          </w:p>
        </w:tc>
        <w:tc>
          <w:tcPr>
            <w:tcW w:w="6140" w:type="dxa"/>
            <w:noWrap w:val="0"/>
            <w:vAlign w:val="center"/>
          </w:tcPr>
          <w:p w14:paraId="47B08845">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无</w:t>
            </w:r>
          </w:p>
        </w:tc>
      </w:tr>
      <w:tr w14:paraId="46D758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30" w:hRule="atLeast"/>
          <w:jc w:val="center"/>
        </w:trPr>
        <w:tc>
          <w:tcPr>
            <w:tcW w:w="1256" w:type="dxa"/>
            <w:noWrap w:val="0"/>
            <w:vAlign w:val="center"/>
          </w:tcPr>
          <w:p w14:paraId="16ABF43A">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7B9A21EB">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第7.1款</w:t>
            </w:r>
          </w:p>
        </w:tc>
        <w:tc>
          <w:tcPr>
            <w:tcW w:w="2180" w:type="dxa"/>
            <w:noWrap w:val="0"/>
            <w:vAlign w:val="center"/>
          </w:tcPr>
          <w:p w14:paraId="25FD3EDC">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现场勘察</w:t>
            </w:r>
          </w:p>
        </w:tc>
        <w:tc>
          <w:tcPr>
            <w:tcW w:w="6140" w:type="dxa"/>
            <w:noWrap w:val="0"/>
            <w:vAlign w:val="center"/>
          </w:tcPr>
          <w:p w14:paraId="22EA70E8">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采购人不组织（如有必要，另行通知）</w:t>
            </w:r>
          </w:p>
          <w:p w14:paraId="03DC1E7B">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采购人组织</w:t>
            </w:r>
          </w:p>
        </w:tc>
      </w:tr>
      <w:tr w14:paraId="3D37E1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15" w:hRule="atLeast"/>
          <w:jc w:val="center"/>
        </w:trPr>
        <w:tc>
          <w:tcPr>
            <w:tcW w:w="1256" w:type="dxa"/>
            <w:noWrap w:val="0"/>
            <w:vAlign w:val="center"/>
          </w:tcPr>
          <w:p w14:paraId="4A380B65">
            <w:pPr>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2C09C92D">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第8.1款</w:t>
            </w:r>
          </w:p>
        </w:tc>
        <w:tc>
          <w:tcPr>
            <w:tcW w:w="2180" w:type="dxa"/>
            <w:noWrap w:val="0"/>
            <w:vAlign w:val="center"/>
          </w:tcPr>
          <w:p w14:paraId="70285913">
            <w:pPr>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采购进口产品</w:t>
            </w:r>
          </w:p>
        </w:tc>
        <w:tc>
          <w:tcPr>
            <w:tcW w:w="6140" w:type="dxa"/>
            <w:noWrap w:val="0"/>
            <w:vAlign w:val="center"/>
          </w:tcPr>
          <w:p w14:paraId="591247DE">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本项目拒绝采购进口产品</w:t>
            </w:r>
          </w:p>
          <w:p w14:paraId="35C1B366">
            <w:pPr>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本项目已经财政部门审核同意购买进口产品</w:t>
            </w:r>
          </w:p>
        </w:tc>
      </w:tr>
      <w:tr w14:paraId="316EFE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noWrap w:val="0"/>
            <w:vAlign w:val="center"/>
          </w:tcPr>
          <w:p w14:paraId="437A3A8D">
            <w:pPr>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7E29D4F3">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第9.1款</w:t>
            </w:r>
          </w:p>
        </w:tc>
        <w:tc>
          <w:tcPr>
            <w:tcW w:w="2180" w:type="dxa"/>
            <w:noWrap w:val="0"/>
            <w:vAlign w:val="center"/>
          </w:tcPr>
          <w:p w14:paraId="4A51CA30">
            <w:pPr>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政府采购强制采购：</w:t>
            </w:r>
          </w:p>
          <w:p w14:paraId="35F84E67">
            <w:pPr>
              <w:adjustRightInd w:val="0"/>
              <w:snapToGrid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1、强制采购的节能产品；</w:t>
            </w:r>
          </w:p>
          <w:p w14:paraId="6313239B">
            <w:pPr>
              <w:adjustRightInd w:val="0"/>
              <w:snapToGrid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2、其他。</w:t>
            </w:r>
          </w:p>
        </w:tc>
        <w:tc>
          <w:tcPr>
            <w:tcW w:w="6140" w:type="dxa"/>
            <w:noWrap w:val="0"/>
            <w:vAlign w:val="center"/>
          </w:tcPr>
          <w:p w14:paraId="2819F969">
            <w:pPr>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否</w:t>
            </w:r>
          </w:p>
          <w:p w14:paraId="4524346A">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是，采购《节能产品政府采购清单》内标记★符号的节能产品。</w:t>
            </w:r>
          </w:p>
        </w:tc>
      </w:tr>
      <w:tr w14:paraId="799D7B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noWrap w:val="0"/>
            <w:vAlign w:val="center"/>
          </w:tcPr>
          <w:p w14:paraId="03D684DD">
            <w:pPr>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71B76DD6">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第9.2款</w:t>
            </w:r>
          </w:p>
        </w:tc>
        <w:tc>
          <w:tcPr>
            <w:tcW w:w="2180" w:type="dxa"/>
            <w:noWrap w:val="0"/>
            <w:vAlign w:val="center"/>
          </w:tcPr>
          <w:p w14:paraId="05FD6F05">
            <w:pPr>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政府采购优先采购：</w:t>
            </w:r>
          </w:p>
          <w:p w14:paraId="2D479A85">
            <w:pPr>
              <w:adjustRightInd w:val="0"/>
              <w:snapToGrid w:val="0"/>
              <w:spacing w:line="3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1、非强制采购的节能产品；</w:t>
            </w:r>
          </w:p>
          <w:p w14:paraId="643D980D">
            <w:pPr>
              <w:adjustRightInd w:val="0"/>
              <w:snapToGrid w:val="0"/>
              <w:spacing w:line="3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2、环境标志产品；</w:t>
            </w:r>
          </w:p>
          <w:p w14:paraId="2EFE0907">
            <w:pPr>
              <w:adjustRightInd w:val="0"/>
              <w:snapToGrid w:val="0"/>
              <w:spacing w:line="3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bCs/>
                <w:color w:val="auto"/>
                <w:kern w:val="0"/>
                <w:szCs w:val="21"/>
                <w:highlight w:val="none"/>
              </w:rPr>
              <w:t>支持</w:t>
            </w:r>
            <w:r>
              <w:rPr>
                <w:rFonts w:hint="eastAsia" w:ascii="宋体" w:hAnsi="宋体" w:eastAsia="宋体" w:cs="宋体"/>
                <w:color w:val="auto"/>
                <w:szCs w:val="21"/>
                <w:highlight w:val="none"/>
              </w:rPr>
              <w:t>中小企业发展；</w:t>
            </w:r>
          </w:p>
          <w:p w14:paraId="63647C77">
            <w:pPr>
              <w:adjustRightInd w:val="0"/>
              <w:snapToGrid w:val="0"/>
              <w:spacing w:line="3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4、其他。</w:t>
            </w:r>
          </w:p>
        </w:tc>
        <w:tc>
          <w:tcPr>
            <w:tcW w:w="6140" w:type="dxa"/>
            <w:noWrap w:val="0"/>
            <w:vAlign w:val="center"/>
          </w:tcPr>
          <w:p w14:paraId="0F3227EE">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1、采购产品为《节能产品政府采购清单》内非标记★符号的，分别给予技术和价格项标准总分值4%-8%的加分。本项目具体加分比例分别为 ：技术</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%、价格</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5DB6D944">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2、采购产品为《环境标志产品政府采购清单》内的，分别给予技术和价格项标准总分值4%-8%的加分。本项目具体加分比例分别为 ：技术</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w:t>
            </w:r>
            <w:r>
              <w:rPr>
                <w:rFonts w:hint="eastAsia" w:ascii="宋体" w:hAnsi="宋体" w:eastAsia="宋体" w:cs="宋体"/>
                <w:color w:val="auto"/>
                <w:szCs w:val="21"/>
                <w:highlight w:val="none"/>
              </w:rPr>
              <w:t>%、价格</w:t>
            </w:r>
            <w:r>
              <w:rPr>
                <w:rFonts w:hint="eastAsia" w:ascii="宋体" w:hAnsi="宋体" w:eastAsia="宋体" w:cs="宋体"/>
                <w:color w:val="auto"/>
                <w:szCs w:val="21"/>
                <w:highlight w:val="none"/>
                <w:u w:val="single"/>
                <w:lang w:val="en-US" w:eastAsia="zh-CN"/>
              </w:rPr>
              <w:t>/</w:t>
            </w:r>
            <w:r>
              <w:rPr>
                <w:rFonts w:hint="eastAsia" w:ascii="宋体" w:hAnsi="宋体" w:eastAsia="宋体" w:cs="宋体"/>
                <w:color w:val="auto"/>
                <w:szCs w:val="21"/>
                <w:highlight w:val="none"/>
              </w:rPr>
              <w:t>%。</w:t>
            </w:r>
          </w:p>
          <w:p w14:paraId="79E58A35">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3、非专门面向中小企业采购（监狱企业、残疾人福利企业视同小微企业）：</w:t>
            </w:r>
          </w:p>
          <w:p w14:paraId="75B61B73">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（1）给予小型和微型企业产品的价格给予</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0%</w:t>
            </w:r>
            <w:r>
              <w:rPr>
                <w:rFonts w:hint="eastAsia" w:ascii="宋体" w:hAnsi="宋体" w:eastAsia="宋体" w:cs="宋体"/>
                <w:color w:val="auto"/>
                <w:szCs w:val="21"/>
                <w:highlight w:val="none"/>
                <w:lang w:eastAsia="zh-CN"/>
              </w:rPr>
              <w:t>（工程项目为</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的扣除，用扣除后的价格参与评审，本项目具体扣除比例为</w:t>
            </w:r>
            <w:r>
              <w:rPr>
                <w:rFonts w:hint="eastAsia" w:ascii="宋体" w:hAnsi="宋体" w:cs="宋体"/>
                <w:color w:val="auto"/>
                <w:szCs w:val="21"/>
                <w:highlight w:val="none"/>
                <w:u w:val="single"/>
                <w:lang w:val="en-US" w:eastAsia="zh-CN"/>
              </w:rPr>
              <w:t>10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41FDC4F6">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（2）给予联合体2%-3%的价格扣除。本项目具体扣除比例为 / ％。</w:t>
            </w:r>
          </w:p>
          <w:p w14:paraId="12142CA1">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（3）给予中型企业产品的价格给予3%-5%的扣除，用扣除后的价格参与评审，本项目具体扣除比例为 </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 xml:space="preserve"> ％。</w:t>
            </w:r>
          </w:p>
          <w:p w14:paraId="6A7C65D9">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（4）支持监狱企业：</w:t>
            </w:r>
          </w:p>
          <w:p w14:paraId="4902F858">
            <w:pPr>
              <w:adjustRightInd w:val="0"/>
              <w:snapToGrid w:val="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①监狱企业视同小型、微型企业</w:t>
            </w:r>
            <w:r>
              <w:rPr>
                <w:rFonts w:hint="eastAsia" w:ascii="宋体" w:hAnsi="宋体" w:eastAsia="宋体" w:cs="宋体"/>
                <w:color w:val="auto"/>
                <w:szCs w:val="21"/>
                <w:highlight w:val="none"/>
                <w:lang w:eastAsia="zh-CN"/>
              </w:rPr>
              <w:t>。</w:t>
            </w:r>
          </w:p>
          <w:p w14:paraId="67EFB524">
            <w:pPr>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②监狱企业参加政府采购活动时，应当提供由省级以上监狱管理局、戒毒管理局（含新疆生产建设兵团）出具的属于监狱企业的证明文件。</w:t>
            </w:r>
          </w:p>
        </w:tc>
      </w:tr>
      <w:tr w14:paraId="527005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1256" w:type="dxa"/>
            <w:tcBorders>
              <w:top w:val="single" w:color="auto" w:sz="4" w:space="0"/>
            </w:tcBorders>
            <w:noWrap w:val="0"/>
            <w:vAlign w:val="center"/>
          </w:tcPr>
          <w:p w14:paraId="51F6CD66">
            <w:pPr>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6ECF5EE9">
            <w:pPr>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第9.2、9.4款</w:t>
            </w:r>
          </w:p>
        </w:tc>
        <w:tc>
          <w:tcPr>
            <w:tcW w:w="2180" w:type="dxa"/>
            <w:tcBorders>
              <w:top w:val="single" w:color="auto" w:sz="4" w:space="0"/>
            </w:tcBorders>
            <w:noWrap w:val="0"/>
            <w:vAlign w:val="center"/>
          </w:tcPr>
          <w:p w14:paraId="765CF401">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多处获得政府采购政策优惠的计算方法</w:t>
            </w:r>
          </w:p>
        </w:tc>
        <w:tc>
          <w:tcPr>
            <w:tcW w:w="6140" w:type="dxa"/>
            <w:tcBorders>
              <w:top w:val="single" w:color="auto" w:sz="4" w:space="0"/>
            </w:tcBorders>
            <w:noWrap w:val="0"/>
            <w:vAlign w:val="center"/>
          </w:tcPr>
          <w:p w14:paraId="2E66AB72">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1、符合政府采购优先采购政策的，产品只能享受节能产品、环境标志产品优惠中的一项(由供应商在响应文件中选择并填报政策功能编码，评审时进行价格扣除) 。</w:t>
            </w:r>
          </w:p>
          <w:p w14:paraId="2C0BF8CE">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2、供应商享受支持中小企业发展政策优惠的，可以与同时享受节能产品、环境标志产品优惠中的一项累加。</w:t>
            </w:r>
          </w:p>
          <w:p w14:paraId="20E869FE">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3、同一项目中只有部分产品满足优先采购政策的，评审时只对该部分产品的报价实行价格扣除，或按该部分产品报价所占比重，对价格、技术分值按总得分值的优惠比例进行加分。</w:t>
            </w:r>
          </w:p>
        </w:tc>
      </w:tr>
      <w:tr w14:paraId="2217C7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1256" w:type="dxa"/>
            <w:tcBorders>
              <w:top w:val="single" w:color="auto" w:sz="4" w:space="0"/>
            </w:tcBorders>
            <w:noWrap w:val="0"/>
            <w:vAlign w:val="center"/>
          </w:tcPr>
          <w:p w14:paraId="484599DA">
            <w:pPr>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378912BD">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第9.6款</w:t>
            </w:r>
          </w:p>
        </w:tc>
        <w:tc>
          <w:tcPr>
            <w:tcW w:w="2180" w:type="dxa"/>
            <w:tcBorders>
              <w:top w:val="single" w:color="auto" w:sz="4" w:space="0"/>
            </w:tcBorders>
            <w:noWrap w:val="0"/>
            <w:vAlign w:val="center"/>
          </w:tcPr>
          <w:p w14:paraId="70000D99">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bCs/>
                <w:color w:val="auto"/>
                <w:kern w:val="0"/>
                <w:szCs w:val="21"/>
                <w:highlight w:val="none"/>
              </w:rPr>
              <w:t>中小企业融资、信用担保</w:t>
            </w:r>
          </w:p>
        </w:tc>
        <w:tc>
          <w:tcPr>
            <w:tcW w:w="6140" w:type="dxa"/>
            <w:tcBorders>
              <w:top w:val="single" w:color="auto" w:sz="4" w:space="0"/>
            </w:tcBorders>
            <w:noWrap w:val="0"/>
            <w:vAlign w:val="center"/>
          </w:tcPr>
          <w:p w14:paraId="090B6AF4">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有融资、信用担保需求的，可登陆中国湖南政府采购网查询。</w:t>
            </w:r>
          </w:p>
        </w:tc>
      </w:tr>
      <w:tr w14:paraId="2AFCA4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76" w:type="dxa"/>
            <w:gridSpan w:val="3"/>
            <w:noWrap w:val="0"/>
            <w:vAlign w:val="center"/>
          </w:tcPr>
          <w:p w14:paraId="5872AC87">
            <w:pPr>
              <w:adjustRightInd w:val="0"/>
              <w:snapToGrid w:val="0"/>
              <w:spacing w:line="320" w:lineRule="exact"/>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二、磋商文件</w:t>
            </w:r>
          </w:p>
        </w:tc>
      </w:tr>
      <w:tr w14:paraId="12235D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0" w:hRule="atLeast"/>
          <w:jc w:val="center"/>
        </w:trPr>
        <w:tc>
          <w:tcPr>
            <w:tcW w:w="1256" w:type="dxa"/>
            <w:noWrap w:val="0"/>
            <w:vAlign w:val="center"/>
          </w:tcPr>
          <w:p w14:paraId="554F3DF0">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2AB7E54D">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第10.2款</w:t>
            </w:r>
          </w:p>
        </w:tc>
        <w:tc>
          <w:tcPr>
            <w:tcW w:w="2180" w:type="dxa"/>
            <w:noWrap w:val="0"/>
            <w:vAlign w:val="center"/>
          </w:tcPr>
          <w:p w14:paraId="2795F2F9">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磋商文件的可能实质性变动内容</w:t>
            </w:r>
          </w:p>
        </w:tc>
        <w:tc>
          <w:tcPr>
            <w:tcW w:w="6140" w:type="dxa"/>
            <w:noWrap w:val="0"/>
            <w:vAlign w:val="center"/>
          </w:tcPr>
          <w:p w14:paraId="7863A62D">
            <w:pPr>
              <w:adjustRightInd w:val="0"/>
              <w:snapToGrid w:val="0"/>
              <w:spacing w:line="320" w:lineRule="exact"/>
              <w:jc w:val="left"/>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磋商文件的实质性变动内容为磋商文的组成部分，实质性变动内容</w:t>
            </w:r>
            <w:r>
              <w:rPr>
                <w:rFonts w:hint="eastAsia" w:ascii="宋体" w:hAnsi="宋体" w:eastAsia="宋体" w:cs="宋体"/>
                <w:color w:val="auto"/>
                <w:szCs w:val="21"/>
                <w:highlight w:val="none"/>
                <w:lang w:val="zh-CN"/>
              </w:rPr>
              <w:t>与</w:t>
            </w:r>
            <w:r>
              <w:rPr>
                <w:rFonts w:hint="eastAsia" w:ascii="宋体" w:hAnsi="宋体" w:eastAsia="宋体" w:cs="宋体"/>
                <w:bCs/>
                <w:color w:val="auto"/>
                <w:szCs w:val="21"/>
                <w:highlight w:val="none"/>
              </w:rPr>
              <w:t>磋商文</w:t>
            </w:r>
            <w:r>
              <w:rPr>
                <w:rFonts w:hint="eastAsia" w:ascii="宋体" w:hAnsi="宋体" w:eastAsia="宋体" w:cs="宋体"/>
                <w:color w:val="auto"/>
                <w:szCs w:val="21"/>
                <w:highlight w:val="none"/>
                <w:lang w:val="zh-CN"/>
              </w:rPr>
              <w:t>不一致时，以</w:t>
            </w:r>
            <w:r>
              <w:rPr>
                <w:rFonts w:hint="eastAsia" w:ascii="宋体" w:hAnsi="宋体" w:eastAsia="宋体" w:cs="宋体"/>
                <w:bCs/>
                <w:color w:val="auto"/>
                <w:szCs w:val="21"/>
                <w:highlight w:val="none"/>
              </w:rPr>
              <w:t>实质性变动内容</w:t>
            </w:r>
            <w:r>
              <w:rPr>
                <w:rFonts w:hint="eastAsia" w:ascii="宋体" w:hAnsi="宋体" w:eastAsia="宋体" w:cs="宋体"/>
                <w:color w:val="auto"/>
                <w:szCs w:val="21"/>
                <w:highlight w:val="none"/>
                <w:lang w:val="zh-CN"/>
              </w:rPr>
              <w:t>为准。</w:t>
            </w:r>
          </w:p>
        </w:tc>
      </w:tr>
      <w:tr w14:paraId="653521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56" w:type="dxa"/>
            <w:noWrap w:val="0"/>
            <w:vAlign w:val="center"/>
          </w:tcPr>
          <w:p w14:paraId="42BA280E">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49A0274B">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第12.1款</w:t>
            </w:r>
          </w:p>
        </w:tc>
        <w:tc>
          <w:tcPr>
            <w:tcW w:w="2180" w:type="dxa"/>
            <w:noWrap w:val="0"/>
            <w:vAlign w:val="center"/>
          </w:tcPr>
          <w:p w14:paraId="64F3BA0A">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提交首次响应文件的截止时间</w:t>
            </w:r>
          </w:p>
        </w:tc>
        <w:tc>
          <w:tcPr>
            <w:tcW w:w="6140" w:type="dxa"/>
            <w:noWrap w:val="0"/>
            <w:vAlign w:val="center"/>
          </w:tcPr>
          <w:p w14:paraId="6E89EEAB">
            <w:pPr>
              <w:keepNext w:val="0"/>
              <w:keepLines w:val="0"/>
              <w:pageBreakBefore w:val="0"/>
              <w:widowControl w:val="0"/>
              <w:kinsoku/>
              <w:wordWrap/>
              <w:overflowPunct/>
              <w:topLinePunct w:val="0"/>
              <w:autoSpaceDE/>
              <w:autoSpaceDN/>
              <w:bidi w:val="0"/>
              <w:adjustRightInd w:val="0"/>
              <w:snapToGrid w:val="0"/>
              <w:spacing w:line="380" w:lineRule="exact"/>
              <w:textAlignment w:val="auto"/>
              <w:outlineLvl w:val="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2026年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19</w:t>
            </w:r>
            <w:r>
              <w:rPr>
                <w:rFonts w:hint="eastAsia" w:ascii="宋体" w:hAnsi="宋体" w:eastAsia="宋体" w:cs="宋体"/>
                <w:color w:val="auto"/>
                <w:szCs w:val="21"/>
                <w:highlight w:val="none"/>
                <w:lang w:val="en-US" w:eastAsia="zh-CN"/>
              </w:rPr>
              <w:t>日</w:t>
            </w:r>
            <w:r>
              <w:rPr>
                <w:rFonts w:hint="eastAsia" w:ascii="宋体" w:hAnsi="宋体" w:cs="宋体"/>
                <w:color w:val="auto"/>
                <w:szCs w:val="21"/>
                <w:highlight w:val="none"/>
                <w:lang w:val="en-US" w:eastAsia="zh-CN"/>
              </w:rPr>
              <w:t>15</w:t>
            </w: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0</w:t>
            </w:r>
            <w:r>
              <w:rPr>
                <w:rFonts w:hint="eastAsia" w:ascii="宋体" w:hAnsi="宋体" w:eastAsia="宋体" w:cs="宋体"/>
                <w:color w:val="auto"/>
                <w:szCs w:val="21"/>
                <w:highlight w:val="none"/>
                <w:lang w:val="en-US" w:eastAsia="zh-CN"/>
              </w:rPr>
              <w:t xml:space="preserve">0 </w:t>
            </w:r>
          </w:p>
        </w:tc>
      </w:tr>
      <w:tr w14:paraId="01E5DD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76" w:type="dxa"/>
            <w:gridSpan w:val="3"/>
            <w:noWrap w:val="0"/>
            <w:vAlign w:val="center"/>
          </w:tcPr>
          <w:p w14:paraId="54A94D74">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三、响应文件的编写</w:t>
            </w:r>
          </w:p>
        </w:tc>
      </w:tr>
      <w:tr w14:paraId="1DB680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2" w:hRule="atLeast"/>
          <w:jc w:val="center"/>
        </w:trPr>
        <w:tc>
          <w:tcPr>
            <w:tcW w:w="1256" w:type="dxa"/>
            <w:vMerge w:val="restart"/>
            <w:noWrap w:val="0"/>
            <w:vAlign w:val="center"/>
          </w:tcPr>
          <w:p w14:paraId="403A4649">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22F710FC">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第16.4款</w:t>
            </w:r>
          </w:p>
        </w:tc>
        <w:tc>
          <w:tcPr>
            <w:tcW w:w="2180" w:type="dxa"/>
            <w:noWrap w:val="0"/>
            <w:vAlign w:val="center"/>
          </w:tcPr>
          <w:p w14:paraId="3EC19536">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采购项目预算</w:t>
            </w:r>
          </w:p>
        </w:tc>
        <w:tc>
          <w:tcPr>
            <w:tcW w:w="6140" w:type="dxa"/>
            <w:noWrap w:val="0"/>
            <w:vAlign w:val="center"/>
          </w:tcPr>
          <w:p w14:paraId="7B56D519">
            <w:pPr>
              <w:adjustRightInd w:val="0"/>
              <w:snapToGrid w:val="0"/>
              <w:spacing w:line="320" w:lineRule="exact"/>
              <w:jc w:val="left"/>
              <w:rPr>
                <w:rFonts w:hint="eastAsia" w:ascii="宋体" w:hAnsi="宋体" w:eastAsia="宋体" w:cs="宋体"/>
                <w:bCs/>
                <w:color w:val="auto"/>
                <w:szCs w:val="21"/>
                <w:highlight w:val="none"/>
                <w:lang w:eastAsia="zh-CN"/>
              </w:rPr>
            </w:pPr>
            <w:r>
              <w:rPr>
                <w:rFonts w:hint="eastAsia" w:ascii="宋体" w:hAnsi="宋体" w:cs="宋体"/>
                <w:color w:val="auto"/>
                <w:kern w:val="0"/>
                <w:sz w:val="21"/>
                <w:szCs w:val="21"/>
                <w:highlight w:val="none"/>
                <w:u w:val="none"/>
                <w:lang w:val="en-US" w:eastAsia="zh-CN" w:bidi="ar"/>
              </w:rPr>
              <w:t>847300.00</w:t>
            </w:r>
            <w:r>
              <w:rPr>
                <w:rFonts w:hint="eastAsia" w:ascii="宋体" w:hAnsi="宋体" w:eastAsia="宋体" w:cs="宋体"/>
                <w:bCs/>
                <w:color w:val="auto"/>
                <w:szCs w:val="21"/>
                <w:highlight w:val="none"/>
                <w:u w:val="none"/>
                <w:lang w:eastAsia="zh-CN"/>
              </w:rPr>
              <w:t>元</w:t>
            </w:r>
          </w:p>
        </w:tc>
      </w:tr>
      <w:tr w14:paraId="21FF7B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0" w:hRule="atLeast"/>
          <w:jc w:val="center"/>
        </w:trPr>
        <w:tc>
          <w:tcPr>
            <w:tcW w:w="1256" w:type="dxa"/>
            <w:vMerge w:val="continue"/>
            <w:noWrap w:val="0"/>
            <w:vAlign w:val="center"/>
          </w:tcPr>
          <w:p w14:paraId="5BEC38B5">
            <w:pPr>
              <w:adjustRightInd w:val="0"/>
              <w:snapToGrid w:val="0"/>
              <w:spacing w:line="320" w:lineRule="exact"/>
              <w:jc w:val="center"/>
              <w:rPr>
                <w:rFonts w:hint="eastAsia" w:ascii="宋体" w:hAnsi="宋体" w:eastAsia="宋体" w:cs="宋体"/>
                <w:color w:val="auto"/>
                <w:szCs w:val="21"/>
                <w:highlight w:val="none"/>
              </w:rPr>
            </w:pPr>
          </w:p>
        </w:tc>
        <w:tc>
          <w:tcPr>
            <w:tcW w:w="2180" w:type="dxa"/>
            <w:noWrap w:val="0"/>
            <w:vAlign w:val="center"/>
          </w:tcPr>
          <w:p w14:paraId="69CE64B7">
            <w:pPr>
              <w:adjustRightInd w:val="0"/>
              <w:snapToGrid w:val="0"/>
              <w:spacing w:line="320" w:lineRule="exact"/>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最高限价</w:t>
            </w:r>
          </w:p>
        </w:tc>
        <w:tc>
          <w:tcPr>
            <w:tcW w:w="6140" w:type="dxa"/>
            <w:noWrap w:val="0"/>
            <w:vAlign w:val="center"/>
          </w:tcPr>
          <w:p w14:paraId="189B3024">
            <w:pPr>
              <w:keepNext w:val="0"/>
              <w:keepLines w:val="0"/>
              <w:widowControl/>
              <w:suppressLineNumbers w:val="0"/>
              <w:jc w:val="left"/>
              <w:rPr>
                <w:rFonts w:hint="eastAsia"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847300.00</w:t>
            </w:r>
            <w:r>
              <w:rPr>
                <w:rFonts w:hint="eastAsia" w:ascii="宋体" w:hAnsi="宋体" w:eastAsia="宋体" w:cs="宋体"/>
                <w:bCs/>
                <w:color w:val="auto"/>
                <w:szCs w:val="21"/>
                <w:highlight w:val="none"/>
                <w:u w:val="none"/>
                <w:lang w:eastAsia="zh-CN"/>
              </w:rPr>
              <w:t>元</w:t>
            </w:r>
            <w:r>
              <w:rPr>
                <w:rFonts w:hint="eastAsia" w:ascii="宋体" w:hAnsi="宋体" w:cs="宋体"/>
                <w:bCs/>
                <w:color w:val="auto"/>
                <w:szCs w:val="21"/>
                <w:highlight w:val="none"/>
                <w:u w:val="none"/>
                <w:lang w:eastAsia="zh-CN"/>
              </w:rPr>
              <w:t>，</w:t>
            </w:r>
            <w:r>
              <w:rPr>
                <w:rFonts w:hint="eastAsia" w:ascii="宋体" w:hAnsi="宋体" w:eastAsia="宋体" w:cs="宋体"/>
                <w:color w:val="auto"/>
                <w:kern w:val="0"/>
                <w:sz w:val="20"/>
                <w:szCs w:val="20"/>
                <w:highlight w:val="none"/>
                <w:lang w:val="en-US" w:eastAsia="zh-CN" w:bidi="ar"/>
              </w:rPr>
              <w:t>供应商报价不得超过最高限价，否则为无效投标。</w:t>
            </w:r>
          </w:p>
        </w:tc>
      </w:tr>
      <w:tr w14:paraId="2C1CDA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noWrap w:val="0"/>
            <w:vAlign w:val="center"/>
          </w:tcPr>
          <w:p w14:paraId="326F1CAF">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12FFB837">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第19.1款</w:t>
            </w:r>
          </w:p>
        </w:tc>
        <w:tc>
          <w:tcPr>
            <w:tcW w:w="2180" w:type="dxa"/>
            <w:noWrap w:val="0"/>
            <w:vAlign w:val="center"/>
          </w:tcPr>
          <w:p w14:paraId="08F1683B">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磋商保证金</w:t>
            </w:r>
          </w:p>
        </w:tc>
        <w:tc>
          <w:tcPr>
            <w:tcW w:w="6140" w:type="dxa"/>
            <w:noWrap w:val="0"/>
            <w:vAlign w:val="center"/>
          </w:tcPr>
          <w:p w14:paraId="3DBB1B9F">
            <w:pPr>
              <w:spacing w:line="240" w:lineRule="auto"/>
              <w:rPr>
                <w:rFonts w:hint="eastAsia" w:ascii="宋体" w:hAnsi="宋体" w:eastAsia="宋体" w:cs="宋体"/>
                <w:color w:val="auto"/>
                <w:highlight w:val="none"/>
              </w:rPr>
            </w:pPr>
            <w:r>
              <w:rPr>
                <w:rFonts w:hint="eastAsia" w:ascii="宋体" w:hAnsi="宋体" w:eastAsia="宋体" w:cs="宋体"/>
                <w:color w:val="auto"/>
                <w:szCs w:val="21"/>
                <w:highlight w:val="none"/>
                <w:lang w:val="en-US" w:eastAsia="zh-CN"/>
              </w:rPr>
              <w:sym w:font="Wingdings" w:char="00FE"/>
            </w:r>
            <w:r>
              <w:rPr>
                <w:rFonts w:hint="eastAsia" w:ascii="宋体" w:hAnsi="宋体" w:eastAsia="宋体" w:cs="宋体"/>
                <w:color w:val="auto"/>
                <w:highlight w:val="none"/>
              </w:rPr>
              <w:t xml:space="preserve"> 不要求提供</w:t>
            </w:r>
          </w:p>
          <w:p w14:paraId="4CB1EE19">
            <w:pPr>
              <w:spacing w:line="276"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sym w:font="Wingdings" w:char="00A8"/>
            </w:r>
            <w:r>
              <w:rPr>
                <w:rFonts w:hint="eastAsia" w:ascii="宋体" w:hAnsi="宋体" w:eastAsia="宋体" w:cs="宋体"/>
                <w:color w:val="auto"/>
                <w:highlight w:val="none"/>
              </w:rPr>
              <w:t xml:space="preserve"> 要求提供</w:t>
            </w:r>
          </w:p>
        </w:tc>
      </w:tr>
      <w:tr w14:paraId="1DA6DE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356ABC21">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2436EE8A">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第20.1款</w:t>
            </w:r>
          </w:p>
        </w:tc>
        <w:tc>
          <w:tcPr>
            <w:tcW w:w="2180" w:type="dxa"/>
            <w:noWrap w:val="0"/>
            <w:vAlign w:val="center"/>
          </w:tcPr>
          <w:p w14:paraId="256620E6">
            <w:pPr>
              <w:adjustRightInd w:val="0"/>
              <w:snapToGrid w:val="0"/>
              <w:spacing w:line="32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响应文件有效期</w:t>
            </w:r>
          </w:p>
        </w:tc>
        <w:tc>
          <w:tcPr>
            <w:tcW w:w="6140" w:type="dxa"/>
            <w:noWrap w:val="0"/>
            <w:vAlign w:val="center"/>
          </w:tcPr>
          <w:p w14:paraId="32C1A554">
            <w:pPr>
              <w:adjustRightInd w:val="0"/>
              <w:snapToGrid w:val="0"/>
              <w:spacing w:line="320" w:lineRule="exact"/>
              <w:rPr>
                <w:rFonts w:hint="eastAsia" w:ascii="宋体" w:hAnsi="宋体" w:eastAsia="宋体" w:cs="宋体"/>
                <w:bCs/>
                <w:color w:val="auto"/>
                <w:szCs w:val="21"/>
                <w:highlight w:val="none"/>
              </w:rPr>
            </w:pPr>
            <w:r>
              <w:rPr>
                <w:rFonts w:hint="eastAsia" w:ascii="宋体" w:hAnsi="宋体" w:eastAsia="宋体" w:cs="宋体"/>
                <w:color w:val="auto"/>
                <w:szCs w:val="21"/>
                <w:highlight w:val="none"/>
                <w:u w:val="single"/>
              </w:rPr>
              <w:t>90</w:t>
            </w:r>
            <w:r>
              <w:rPr>
                <w:rFonts w:hint="eastAsia" w:ascii="宋体" w:hAnsi="宋体" w:eastAsia="宋体" w:cs="宋体"/>
                <w:color w:val="auto"/>
                <w:szCs w:val="21"/>
                <w:highlight w:val="none"/>
              </w:rPr>
              <w:t>日（日历日）</w:t>
            </w:r>
          </w:p>
        </w:tc>
      </w:tr>
      <w:tr w14:paraId="4FF08A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858" w:hRule="atLeast"/>
          <w:jc w:val="center"/>
        </w:trPr>
        <w:tc>
          <w:tcPr>
            <w:tcW w:w="1256" w:type="dxa"/>
            <w:noWrap w:val="0"/>
            <w:vAlign w:val="center"/>
          </w:tcPr>
          <w:p w14:paraId="4122ACA7">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4E9546EC">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第21.1款</w:t>
            </w:r>
          </w:p>
        </w:tc>
        <w:tc>
          <w:tcPr>
            <w:tcW w:w="2180" w:type="dxa"/>
            <w:noWrap w:val="0"/>
            <w:vAlign w:val="center"/>
          </w:tcPr>
          <w:p w14:paraId="736AD7D8">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响应</w:t>
            </w:r>
            <w:r>
              <w:rPr>
                <w:rFonts w:hint="eastAsia" w:ascii="宋体" w:hAnsi="宋体" w:eastAsia="宋体" w:cs="宋体"/>
                <w:color w:val="auto"/>
                <w:szCs w:val="21"/>
                <w:highlight w:val="none"/>
              </w:rPr>
              <w:t>文件副本份数</w:t>
            </w:r>
          </w:p>
        </w:tc>
        <w:tc>
          <w:tcPr>
            <w:tcW w:w="6140" w:type="dxa"/>
            <w:noWrap w:val="0"/>
            <w:vAlign w:val="center"/>
          </w:tcPr>
          <w:p w14:paraId="29F3305E">
            <w:pPr>
              <w:adjustRightInd w:val="0"/>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纸质文件：</w:t>
            </w:r>
            <w:r>
              <w:rPr>
                <w:rFonts w:hint="eastAsia" w:ascii="宋体" w:hAnsi="宋体" w:eastAsia="宋体" w:cs="宋体"/>
                <w:color w:val="auto"/>
                <w:sz w:val="21"/>
                <w:szCs w:val="21"/>
                <w:highlight w:val="none"/>
                <w:lang w:eastAsia="zh-CN"/>
              </w:rPr>
              <w:t>一正二副</w:t>
            </w:r>
            <w:r>
              <w:rPr>
                <w:rFonts w:hint="eastAsia" w:ascii="宋体" w:hAnsi="宋体" w:eastAsia="宋体" w:cs="宋体"/>
                <w:color w:val="auto"/>
                <w:sz w:val="21"/>
                <w:szCs w:val="21"/>
                <w:highlight w:val="none"/>
              </w:rPr>
              <w:t>；响应文件封面上明确写明“正本”或“副本”，正本和副本内容如不一致，以正本为准。</w:t>
            </w:r>
          </w:p>
          <w:p w14:paraId="05CB7B11">
            <w:pPr>
              <w:adjustRightInd w:val="0"/>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纸质文件装订要求：采用胶装方式装订，装订应牢固、不易拆散和换页，不得采用活页装订。</w:t>
            </w:r>
          </w:p>
          <w:p w14:paraId="400F86BC">
            <w:pPr>
              <w:adjustRightInd w:val="0"/>
              <w:snapToGrid w:val="0"/>
              <w:spacing w:line="24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电子文件：投标人应准备所投项目的电子</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（U盘）一份，内容与纸质版</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正本完全一致，格式为已签字盖章的响应文件正本的扫描件(PDF格式)。</w:t>
            </w:r>
            <w:r>
              <w:rPr>
                <w:rFonts w:hint="eastAsia" w:ascii="宋体" w:hAnsi="宋体" w:eastAsia="宋体" w:cs="宋体"/>
                <w:color w:val="auto"/>
                <w:sz w:val="21"/>
                <w:szCs w:val="21"/>
                <w:highlight w:val="none"/>
                <w:lang w:val="en-US" w:eastAsia="zh-CN"/>
              </w:rPr>
              <w:t>本</w:t>
            </w:r>
            <w:r>
              <w:rPr>
                <w:rFonts w:hint="eastAsia" w:ascii="宋体" w:hAnsi="宋体" w:eastAsia="宋体" w:cs="宋体"/>
                <w:color w:val="auto"/>
                <w:sz w:val="21"/>
                <w:szCs w:val="21"/>
                <w:highlight w:val="none"/>
              </w:rPr>
              <w:t>文件要求加盖的公章仅指供应商在公安机关依法备案公章</w:t>
            </w:r>
            <w:r>
              <w:rPr>
                <w:rFonts w:hint="eastAsia" w:ascii="宋体" w:hAnsi="宋体" w:eastAsia="宋体" w:cs="宋体"/>
                <w:color w:val="auto"/>
                <w:sz w:val="21"/>
                <w:szCs w:val="21"/>
                <w:highlight w:val="none"/>
                <w:lang w:eastAsia="zh-CN"/>
              </w:rPr>
              <w:t>，带防伪码。</w:t>
            </w:r>
          </w:p>
          <w:p w14:paraId="3BDBE54A">
            <w:pPr>
              <w:adjustRightInd w:val="0"/>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电子文件密封要求：电子</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（U盘）与纸质版响应文件一并装入响应文件袋中。</w:t>
            </w:r>
          </w:p>
        </w:tc>
      </w:tr>
      <w:tr w14:paraId="1C4726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3"/>
            <w:noWrap w:val="0"/>
            <w:vAlign w:val="center"/>
          </w:tcPr>
          <w:p w14:paraId="7EDEE669">
            <w:pPr>
              <w:adjustRightInd w:val="0"/>
              <w:snapToGrid w:val="0"/>
              <w:spacing w:line="320" w:lineRule="exact"/>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t>四、响应文件的递交</w:t>
            </w:r>
          </w:p>
        </w:tc>
      </w:tr>
      <w:tr w14:paraId="6BAC2B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2565354C">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38D8B560">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第22.2款</w:t>
            </w:r>
          </w:p>
        </w:tc>
        <w:tc>
          <w:tcPr>
            <w:tcW w:w="2180" w:type="dxa"/>
            <w:noWrap w:val="0"/>
            <w:vAlign w:val="center"/>
          </w:tcPr>
          <w:p w14:paraId="5AFC3E8B">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封套上应载明的信息</w:t>
            </w:r>
          </w:p>
        </w:tc>
        <w:tc>
          <w:tcPr>
            <w:tcW w:w="6140" w:type="dxa"/>
            <w:noWrap w:val="0"/>
            <w:vAlign w:val="center"/>
          </w:tcPr>
          <w:p w14:paraId="5149A1D6">
            <w:pPr>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（项目名称）响应文件  </w:t>
            </w:r>
          </w:p>
          <w:p w14:paraId="37A953B6">
            <w:pPr>
              <w:spacing w:line="32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采购编号：</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采购代理机构编号：</w:t>
            </w:r>
            <w:r>
              <w:rPr>
                <w:rFonts w:hint="eastAsia" w:ascii="宋体" w:hAnsi="宋体" w:eastAsia="宋体" w:cs="宋体"/>
                <w:color w:val="auto"/>
                <w:szCs w:val="21"/>
                <w:highlight w:val="none"/>
                <w:u w:val="single"/>
                <w:lang w:val="en-US" w:eastAsia="zh-CN"/>
              </w:rPr>
              <w:t xml:space="preserve">           </w:t>
            </w:r>
          </w:p>
          <w:p w14:paraId="267DF007">
            <w:pPr>
              <w:spacing w:line="32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供应商名称：</w:t>
            </w:r>
            <w:r>
              <w:rPr>
                <w:rFonts w:hint="eastAsia" w:ascii="宋体" w:hAnsi="宋体" w:eastAsia="宋体" w:cs="宋体"/>
                <w:color w:val="auto"/>
                <w:szCs w:val="21"/>
                <w:highlight w:val="none"/>
                <w:u w:val="single"/>
                <w:lang w:val="en-US" w:eastAsia="zh-CN"/>
              </w:rPr>
              <w:t xml:space="preserve">             </w:t>
            </w:r>
          </w:p>
          <w:p w14:paraId="726F703E">
            <w:pPr>
              <w:spacing w:line="3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日</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时</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分（磋商响应文件递交截止时间）之前不得启封</w:t>
            </w:r>
          </w:p>
        </w:tc>
      </w:tr>
      <w:tr w14:paraId="318BC4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2F6700BA">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5F0A0B54">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第24.1款</w:t>
            </w:r>
          </w:p>
        </w:tc>
        <w:tc>
          <w:tcPr>
            <w:tcW w:w="2180" w:type="dxa"/>
            <w:noWrap w:val="0"/>
            <w:vAlign w:val="center"/>
          </w:tcPr>
          <w:p w14:paraId="1B41E88F">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响应文件的递交地点</w:t>
            </w:r>
          </w:p>
        </w:tc>
        <w:tc>
          <w:tcPr>
            <w:tcW w:w="6140" w:type="dxa"/>
            <w:noWrap w:val="0"/>
            <w:vAlign w:val="center"/>
          </w:tcPr>
          <w:p w14:paraId="70A73531">
            <w:pPr>
              <w:spacing w:line="320" w:lineRule="exac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岳阳建宇工程建设咨询有限公司(岳阳县兴荣路69号)</w:t>
            </w:r>
          </w:p>
        </w:tc>
      </w:tr>
      <w:tr w14:paraId="04D6A4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9576" w:type="dxa"/>
            <w:gridSpan w:val="3"/>
            <w:noWrap w:val="0"/>
            <w:vAlign w:val="center"/>
          </w:tcPr>
          <w:p w14:paraId="75843562">
            <w:pPr>
              <w:adjustRightInd w:val="0"/>
              <w:snapToGrid w:val="0"/>
              <w:spacing w:line="320" w:lineRule="exac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五、响应文件的磋商与评审</w:t>
            </w:r>
          </w:p>
        </w:tc>
      </w:tr>
      <w:tr w14:paraId="68F3F2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72977DB7">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0D997154">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第31.2款</w:t>
            </w:r>
          </w:p>
        </w:tc>
        <w:tc>
          <w:tcPr>
            <w:tcW w:w="2180" w:type="dxa"/>
            <w:noWrap w:val="0"/>
            <w:vAlign w:val="center"/>
          </w:tcPr>
          <w:p w14:paraId="3EA0BDED">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评审因素和标准</w:t>
            </w:r>
          </w:p>
        </w:tc>
        <w:tc>
          <w:tcPr>
            <w:tcW w:w="6140" w:type="dxa"/>
            <w:noWrap w:val="0"/>
            <w:vAlign w:val="center"/>
          </w:tcPr>
          <w:p w14:paraId="42BCC375">
            <w:pPr>
              <w:adjustRightInd w:val="0"/>
              <w:snapToGrid w:val="0"/>
              <w:spacing w:line="320" w:lineRule="exact"/>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rPr>
              <w:t>见附页</w:t>
            </w:r>
            <w:r>
              <w:rPr>
                <w:rFonts w:hint="eastAsia" w:ascii="宋体" w:hAnsi="宋体" w:eastAsia="宋体" w:cs="宋体"/>
                <w:bCs/>
                <w:color w:val="auto"/>
                <w:szCs w:val="21"/>
                <w:highlight w:val="none"/>
                <w:lang w:val="en-US" w:eastAsia="zh-CN"/>
              </w:rPr>
              <w:t>2</w:t>
            </w:r>
          </w:p>
        </w:tc>
      </w:tr>
      <w:tr w14:paraId="19500E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3A4F5D52">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第二章第31.3款</w:t>
            </w:r>
          </w:p>
        </w:tc>
        <w:tc>
          <w:tcPr>
            <w:tcW w:w="2180" w:type="dxa"/>
            <w:noWrap w:val="0"/>
            <w:vAlign w:val="center"/>
          </w:tcPr>
          <w:p w14:paraId="68CFF508">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最后报价</w:t>
            </w:r>
            <w:r>
              <w:rPr>
                <w:rFonts w:hint="eastAsia" w:ascii="宋体" w:hAnsi="宋体" w:eastAsia="宋体" w:cs="宋体"/>
                <w:color w:val="auto"/>
                <w:szCs w:val="21"/>
                <w:highlight w:val="none"/>
              </w:rPr>
              <w:t>调整</w:t>
            </w:r>
          </w:p>
        </w:tc>
        <w:tc>
          <w:tcPr>
            <w:tcW w:w="6140" w:type="dxa"/>
            <w:noWrap w:val="0"/>
            <w:vAlign w:val="center"/>
          </w:tcPr>
          <w:p w14:paraId="50CE956B">
            <w:pPr>
              <w:adjustRightInd w:val="0"/>
              <w:snapToGrid w:val="0"/>
              <w:rPr>
                <w:rFonts w:hint="eastAsia" w:ascii="宋体" w:hAnsi="宋体" w:eastAsia="宋体" w:cs="宋体"/>
                <w:color w:val="auto"/>
                <w:szCs w:val="21"/>
                <w:highlight w:val="none"/>
              </w:rPr>
            </w:pPr>
            <w:r>
              <w:rPr>
                <w:rFonts w:hint="eastAsia" w:ascii="宋体" w:hAnsi="宋体" w:eastAsia="宋体" w:cs="宋体"/>
                <w:bCs/>
                <w:color w:val="auto"/>
                <w:kern w:val="0"/>
                <w:szCs w:val="21"/>
                <w:highlight w:val="none"/>
              </w:rPr>
              <w:t>政府采购支持中小企业发展</w:t>
            </w:r>
            <w:r>
              <w:rPr>
                <w:rFonts w:hint="eastAsia" w:ascii="宋体" w:hAnsi="宋体" w:eastAsia="宋体" w:cs="宋体"/>
                <w:color w:val="auto"/>
                <w:szCs w:val="21"/>
                <w:highlight w:val="none"/>
              </w:rPr>
              <w:t>（货物类供应商和产品制造商应同时满足中小微企业的条件）</w:t>
            </w:r>
            <w:r>
              <w:rPr>
                <w:rFonts w:hint="eastAsia" w:ascii="宋体" w:hAnsi="宋体" w:eastAsia="宋体" w:cs="宋体"/>
                <w:bCs/>
                <w:color w:val="auto"/>
                <w:kern w:val="0"/>
                <w:szCs w:val="21"/>
                <w:highlight w:val="none"/>
              </w:rPr>
              <w:t>：</w:t>
            </w:r>
            <w:r>
              <w:rPr>
                <w:rFonts w:hint="eastAsia" w:ascii="宋体" w:hAnsi="宋体" w:eastAsia="宋体" w:cs="宋体"/>
                <w:color w:val="auto"/>
                <w:szCs w:val="21"/>
                <w:highlight w:val="none"/>
              </w:rPr>
              <w:t>小型或微型企业，</w:t>
            </w:r>
            <w:r>
              <w:rPr>
                <w:rFonts w:hint="eastAsia" w:ascii="宋体" w:hAnsi="宋体" w:eastAsia="宋体" w:cs="宋体"/>
                <w:color w:val="auto"/>
                <w:kern w:val="0"/>
                <w:szCs w:val="21"/>
                <w:highlight w:val="none"/>
              </w:rPr>
              <w:t>最后报价</w:t>
            </w:r>
            <w:r>
              <w:rPr>
                <w:rFonts w:hint="eastAsia" w:ascii="宋体" w:hAnsi="宋体" w:eastAsia="宋体" w:cs="宋体"/>
                <w:color w:val="auto"/>
                <w:szCs w:val="21"/>
                <w:highlight w:val="none"/>
              </w:rPr>
              <w:t xml:space="preserve">扣除比例为 </w:t>
            </w:r>
            <w:r>
              <w:rPr>
                <w:rFonts w:hint="eastAsia" w:ascii="宋体" w:hAnsi="宋体" w:cs="宋体"/>
                <w:color w:val="auto"/>
                <w:szCs w:val="21"/>
                <w:highlight w:val="none"/>
                <w:u w:val="single"/>
                <w:lang w:val="en-US" w:eastAsia="zh-CN"/>
              </w:rPr>
              <w:t xml:space="preserve"> 10 </w:t>
            </w:r>
            <w:r>
              <w:rPr>
                <w:rFonts w:hint="eastAsia" w:ascii="宋体" w:hAnsi="宋体" w:eastAsia="宋体" w:cs="宋体"/>
                <w:color w:val="auto"/>
                <w:szCs w:val="21"/>
                <w:highlight w:val="none"/>
              </w:rPr>
              <w:t>％；中型企业，</w:t>
            </w:r>
            <w:r>
              <w:rPr>
                <w:rFonts w:hint="eastAsia" w:ascii="宋体" w:hAnsi="宋体" w:eastAsia="宋体" w:cs="宋体"/>
                <w:color w:val="auto"/>
                <w:kern w:val="0"/>
                <w:szCs w:val="21"/>
                <w:highlight w:val="none"/>
              </w:rPr>
              <w:t>最后报价</w:t>
            </w:r>
            <w:r>
              <w:rPr>
                <w:rFonts w:hint="eastAsia" w:ascii="宋体" w:hAnsi="宋体" w:eastAsia="宋体" w:cs="宋体"/>
                <w:color w:val="auto"/>
                <w:szCs w:val="21"/>
                <w:highlight w:val="none"/>
              </w:rPr>
              <w:t xml:space="preserve">扣除比例为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％；联合体参与磋商的，最后报价扣除比例为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%。评审时，用扣除后的最后报价计算价格分。</w:t>
            </w:r>
          </w:p>
        </w:tc>
      </w:tr>
      <w:tr w14:paraId="731015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49EC766B">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1DDAC267">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第29.5款</w:t>
            </w:r>
          </w:p>
        </w:tc>
        <w:tc>
          <w:tcPr>
            <w:tcW w:w="2180" w:type="dxa"/>
            <w:noWrap w:val="0"/>
            <w:vAlign w:val="center"/>
          </w:tcPr>
          <w:p w14:paraId="416B3ACA">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技术、价格</w:t>
            </w:r>
            <w:r>
              <w:rPr>
                <w:rFonts w:hint="eastAsia" w:ascii="宋体" w:hAnsi="宋体" w:eastAsia="宋体" w:cs="宋体"/>
                <w:color w:val="auto"/>
                <w:kern w:val="0"/>
                <w:szCs w:val="21"/>
                <w:highlight w:val="none"/>
              </w:rPr>
              <w:t>得分或总得分</w:t>
            </w:r>
            <w:r>
              <w:rPr>
                <w:rFonts w:hint="eastAsia" w:ascii="宋体" w:hAnsi="宋体" w:eastAsia="宋体" w:cs="宋体"/>
                <w:color w:val="auto"/>
                <w:szCs w:val="21"/>
                <w:highlight w:val="none"/>
              </w:rPr>
              <w:t>调整</w:t>
            </w:r>
          </w:p>
        </w:tc>
        <w:tc>
          <w:tcPr>
            <w:tcW w:w="6140" w:type="dxa"/>
            <w:noWrap w:val="0"/>
            <w:vAlign w:val="center"/>
          </w:tcPr>
          <w:p w14:paraId="2118B18C">
            <w:pPr>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符合第二章第9.2款规定的，按以下进行分值调整：</w:t>
            </w:r>
          </w:p>
          <w:p w14:paraId="0EE86675">
            <w:pPr>
              <w:numPr>
                <w:ilvl w:val="0"/>
                <w:numId w:val="2"/>
              </w:numPr>
              <w:adjustRightInd w:val="0"/>
              <w:snapToGrid w:val="0"/>
              <w:spacing w:line="240" w:lineRule="auto"/>
              <w:ind w:left="0" w:firstLine="0"/>
              <w:rPr>
                <w:rFonts w:hint="eastAsia" w:ascii="宋体" w:hAnsi="宋体" w:eastAsia="宋体" w:cs="宋体"/>
                <w:color w:val="auto"/>
                <w:highlight w:val="none"/>
              </w:rPr>
            </w:pPr>
            <w:r>
              <w:rPr>
                <w:rFonts w:hint="eastAsia" w:ascii="宋体" w:hAnsi="宋体" w:eastAsia="宋体" w:cs="宋体"/>
                <w:color w:val="auto"/>
                <w:highlight w:val="none"/>
              </w:rPr>
              <w:t>节能产品：</w:t>
            </w:r>
          </w:p>
          <w:p w14:paraId="244B259D">
            <w:pPr>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技术加分＝技术分值×加分比例（比例见本表“第二章第9.2款”，下同）×（节能产品报价÷总报价）；</w:t>
            </w:r>
          </w:p>
          <w:p w14:paraId="2462F5AB">
            <w:pPr>
              <w:adjustRightInd w:val="0"/>
              <w:snapToGrid w:val="0"/>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价格加分＝价格分值×加分比例×（节能产品报价÷总报价）。</w:t>
            </w:r>
          </w:p>
          <w:p w14:paraId="33EE396A">
            <w:pPr>
              <w:adjustRightInd w:val="0"/>
              <w:snapToGrid w:val="0"/>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2、环境标志产品：</w:t>
            </w:r>
          </w:p>
          <w:p w14:paraId="03B962CA">
            <w:pPr>
              <w:adjustRightInd w:val="0"/>
              <w:snapToGrid w:val="0"/>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技术加分＝技术分值×加分比例×（环境标志产品报价÷总报价）；</w:t>
            </w:r>
          </w:p>
          <w:p w14:paraId="1C8DA497">
            <w:pPr>
              <w:adjustRightInd w:val="0"/>
              <w:snapToGrid w:val="0"/>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价格加分＝价格分值×加分比例×（环境标志产品报价÷总报价）。</w:t>
            </w:r>
          </w:p>
        </w:tc>
      </w:tr>
      <w:tr w14:paraId="5F5D08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shd w:val="clear" w:color="auto" w:fill="auto"/>
            <w:noWrap w:val="0"/>
            <w:vAlign w:val="center"/>
          </w:tcPr>
          <w:p w14:paraId="1A84CF8E">
            <w:pPr>
              <w:adjustRightInd w:val="0"/>
              <w:snapToGrid w:val="0"/>
              <w:spacing w:line="320" w:lineRule="exact"/>
              <w:jc w:val="center"/>
              <w:rPr>
                <w:rFonts w:hint="eastAsia" w:ascii="宋体" w:hAnsi="宋体"/>
                <w:color w:val="auto"/>
                <w:szCs w:val="21"/>
                <w:highlight w:val="none"/>
              </w:rPr>
            </w:pPr>
            <w:r>
              <w:rPr>
                <w:rFonts w:hint="eastAsia" w:ascii="宋体" w:hAnsi="宋体"/>
                <w:color w:val="auto"/>
                <w:szCs w:val="21"/>
                <w:highlight w:val="none"/>
              </w:rPr>
              <w:t>第二章</w:t>
            </w:r>
          </w:p>
          <w:p w14:paraId="4A381AEA">
            <w:pPr>
              <w:adjustRightInd w:val="0"/>
              <w:snapToGrid w:val="0"/>
              <w:spacing w:line="320" w:lineRule="exact"/>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rPr>
              <w:t>第</w:t>
            </w:r>
            <w:r>
              <w:rPr>
                <w:rFonts w:hint="eastAsia" w:ascii="宋体" w:hAnsi="宋体"/>
                <w:color w:val="auto"/>
                <w:szCs w:val="21"/>
                <w:highlight w:val="none"/>
                <w:lang w:val="en-US" w:eastAsia="zh-CN"/>
              </w:rPr>
              <w:t>28</w:t>
            </w: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款</w:t>
            </w:r>
          </w:p>
        </w:tc>
        <w:tc>
          <w:tcPr>
            <w:tcW w:w="2180" w:type="dxa"/>
            <w:shd w:val="clear" w:color="auto" w:fill="auto"/>
            <w:noWrap w:val="0"/>
            <w:vAlign w:val="center"/>
          </w:tcPr>
          <w:p w14:paraId="02849671">
            <w:pPr>
              <w:adjustRightInd w:val="0"/>
              <w:snapToGrid w:val="0"/>
              <w:spacing w:line="320" w:lineRule="exact"/>
              <w:jc w:val="center"/>
              <w:rPr>
                <w:rFonts w:hint="eastAsia" w:ascii="宋体" w:hAnsi="Times New Roman" w:eastAsia="宋体" w:cs="Times New Roman"/>
                <w:color w:val="auto"/>
                <w:kern w:val="2"/>
                <w:sz w:val="21"/>
                <w:szCs w:val="21"/>
                <w:highlight w:val="none"/>
                <w:lang w:val="en-US" w:eastAsia="zh-CN" w:bidi="ar-SA"/>
              </w:rPr>
            </w:pPr>
            <w:r>
              <w:rPr>
                <w:rFonts w:hint="eastAsia" w:ascii="宋体"/>
                <w:color w:val="auto"/>
                <w:szCs w:val="21"/>
                <w:highlight w:val="none"/>
              </w:rPr>
              <w:t>审查条件</w:t>
            </w:r>
          </w:p>
        </w:tc>
        <w:tc>
          <w:tcPr>
            <w:tcW w:w="6140" w:type="dxa"/>
            <w:shd w:val="clear" w:color="auto" w:fill="auto"/>
            <w:noWrap w:val="0"/>
            <w:vAlign w:val="center"/>
          </w:tcPr>
          <w:p w14:paraId="75F80F92">
            <w:pPr>
              <w:adjustRightInd w:val="0"/>
              <w:snapToGrid w:val="0"/>
              <w:spacing w:line="240" w:lineRule="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政府采购评审中出现下列情形之一的，评审委员会应当启动异常低价投标(响应)审查程序</w:t>
            </w:r>
            <w:r>
              <w:rPr>
                <w:rFonts w:hint="eastAsia" w:cs="Times New Roman"/>
                <w:color w:val="auto"/>
                <w:highlight w:val="none"/>
                <w:lang w:eastAsia="zh-CN"/>
              </w:rPr>
              <w:t>：</w:t>
            </w:r>
          </w:p>
          <w:p w14:paraId="4B4B090A">
            <w:pPr>
              <w:numPr>
                <w:ilvl w:val="0"/>
                <w:numId w:val="3"/>
              </w:numPr>
              <w:adjustRightInd w:val="0"/>
              <w:snapToGrid w:val="0"/>
              <w:spacing w:line="240" w:lineRule="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投标(响应)报价低于全部通过符合性审查供应商投示(响应)报价平均值65%的，即投标(响应)报价&lt;全部通过符合性审查供应商投标(响应)报价平均值</w:t>
            </w:r>
            <w:r>
              <w:rPr>
                <w:rFonts w:hint="eastAsia" w:cs="Times New Roman"/>
                <w:color w:val="auto"/>
                <w:highlight w:val="none"/>
                <w:lang w:val="en-US" w:eastAsia="zh-CN"/>
              </w:rPr>
              <w:t>*6</w:t>
            </w:r>
            <w:r>
              <w:rPr>
                <w:rFonts w:hint="eastAsia" w:ascii="Times New Roman" w:hAnsi="Times New Roman" w:eastAsia="宋体" w:cs="Times New Roman"/>
                <w:color w:val="auto"/>
                <w:highlight w:val="none"/>
              </w:rPr>
              <w:t>5%</w:t>
            </w:r>
            <w:r>
              <w:rPr>
                <w:rFonts w:hint="eastAsia" w:cs="Times New Roman"/>
                <w:color w:val="auto"/>
                <w:highlight w:val="none"/>
                <w:lang w:eastAsia="zh-CN"/>
              </w:rPr>
              <w:t>；</w:t>
            </w:r>
          </w:p>
          <w:p w14:paraId="3699211F">
            <w:pPr>
              <w:numPr>
                <w:ilvl w:val="0"/>
                <w:numId w:val="0"/>
              </w:numPr>
              <w:adjustRightInd w:val="0"/>
              <w:snapToGrid w:val="0"/>
              <w:spacing w:line="240" w:lineRule="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2.投标(响应)报价低于通过符合性审查的次低报价供应商投标(响应)报价</w:t>
            </w:r>
            <w:r>
              <w:rPr>
                <w:rFonts w:hint="eastAsia" w:cs="Times New Roman"/>
                <w:color w:val="auto"/>
                <w:highlight w:val="none"/>
                <w:lang w:val="en-US" w:eastAsia="zh-CN"/>
              </w:rPr>
              <w:t>65%的</w:t>
            </w:r>
            <w:r>
              <w:rPr>
                <w:rFonts w:hint="eastAsia" w:ascii="Times New Roman" w:hAnsi="Times New Roman" w:eastAsia="宋体" w:cs="Times New Roman"/>
                <w:color w:val="auto"/>
                <w:highlight w:val="none"/>
              </w:rPr>
              <w:t>，即投标(响应)报价&lt;通过符合性审查的次低报价供应商投标(响应)报价</w:t>
            </w:r>
            <w:r>
              <w:rPr>
                <w:rFonts w:hint="eastAsia" w:cs="Times New Roman"/>
                <w:color w:val="auto"/>
                <w:highlight w:val="none"/>
                <w:lang w:val="en-US" w:eastAsia="zh-CN"/>
              </w:rPr>
              <w:t>*6</w:t>
            </w:r>
            <w:r>
              <w:rPr>
                <w:rFonts w:hint="eastAsia" w:ascii="Times New Roman" w:hAnsi="Times New Roman" w:eastAsia="宋体" w:cs="Times New Roman"/>
                <w:color w:val="auto"/>
                <w:highlight w:val="none"/>
              </w:rPr>
              <w:t>5%</w:t>
            </w:r>
            <w:r>
              <w:rPr>
                <w:rFonts w:hint="eastAsia" w:cs="Times New Roman"/>
                <w:color w:val="auto"/>
                <w:highlight w:val="none"/>
                <w:lang w:eastAsia="zh-CN"/>
              </w:rPr>
              <w:t>；</w:t>
            </w:r>
          </w:p>
          <w:p w14:paraId="0ADC37C5">
            <w:pPr>
              <w:numPr>
                <w:ilvl w:val="0"/>
                <w:numId w:val="0"/>
              </w:numPr>
              <w:adjustRightInd w:val="0"/>
              <w:snapToGrid w:val="0"/>
              <w:spacing w:line="240" w:lineRule="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3.投标(响应)报价低于采购项目最高限价65%的即投标(响应)报价&lt;采购项目最高限价</w:t>
            </w:r>
            <w:r>
              <w:rPr>
                <w:rFonts w:hint="eastAsia" w:cs="Times New Roman"/>
                <w:color w:val="auto"/>
                <w:highlight w:val="none"/>
                <w:lang w:val="en-US" w:eastAsia="zh-CN"/>
              </w:rPr>
              <w:t>*</w:t>
            </w:r>
            <w:r>
              <w:rPr>
                <w:rFonts w:hint="eastAsia" w:ascii="Times New Roman" w:hAnsi="Times New Roman" w:eastAsia="宋体" w:cs="Times New Roman"/>
                <w:color w:val="auto"/>
                <w:highlight w:val="none"/>
              </w:rPr>
              <w:t>65%</w:t>
            </w:r>
            <w:r>
              <w:rPr>
                <w:rFonts w:hint="eastAsia" w:cs="Times New Roman"/>
                <w:color w:val="auto"/>
                <w:highlight w:val="none"/>
                <w:lang w:eastAsia="zh-CN"/>
              </w:rPr>
              <w:t>；</w:t>
            </w:r>
          </w:p>
          <w:p w14:paraId="63813DB3">
            <w:pPr>
              <w:numPr>
                <w:ilvl w:val="0"/>
                <w:numId w:val="0"/>
              </w:numPr>
              <w:adjustRightInd w:val="0"/>
              <w:snapToGrid w:val="0"/>
              <w:spacing w:line="240" w:lineRule="auto"/>
              <w:ind w:left="0" w:leftChars="0" w:firstLine="0" w:firstLineChars="0"/>
              <w:rPr>
                <w:rFonts w:hint="eastAsia" w:ascii="Times New Roman" w:hAnsi="Times New Roman" w:eastAsia="宋体" w:cs="Times New Roman"/>
                <w:color w:val="auto"/>
                <w:highlight w:val="none"/>
              </w:rPr>
            </w:pPr>
            <w:r>
              <w:rPr>
                <w:rFonts w:hint="eastAsia" w:cs="Times New Roman"/>
                <w:color w:val="auto"/>
                <w:highlight w:val="none"/>
                <w:lang w:val="en-US" w:eastAsia="zh-CN"/>
              </w:rPr>
              <w:t>4.</w:t>
            </w:r>
            <w:r>
              <w:rPr>
                <w:rFonts w:hint="eastAsia" w:ascii="Times New Roman" w:hAnsi="Times New Roman" w:eastAsia="宋体" w:cs="Times New Roman"/>
                <w:color w:val="auto"/>
                <w:highlight w:val="none"/>
              </w:rPr>
              <w:t>评宙委员会基于专业判断，认为供应商报价过低，有可能影响产品质量或者不能诚信履约的其他情形</w:t>
            </w:r>
          </w:p>
          <w:p w14:paraId="2201DF46">
            <w:pPr>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相关法律法规对供应商报价有规定的，从其规定。</w:t>
            </w:r>
          </w:p>
          <w:p w14:paraId="7D92813F">
            <w:pPr>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2A9F2704">
            <w:pPr>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59A30B52">
            <w:pPr>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78970850">
            <w:pPr>
              <w:numPr>
                <w:ilvl w:val="0"/>
                <w:numId w:val="0"/>
              </w:numPr>
              <w:adjustRightInd w:val="0"/>
              <w:snapToGrid w:val="0"/>
              <w:spacing w:line="240" w:lineRule="auto"/>
              <w:ind w:left="0" w:leftChars="0"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异常低价投标（响应）审查的启动原因、审查意见和审查结果应当在评审报告中记录，并随供应商提供的相关书面说明及证明材料，以及评审委员会有关互联网浏览、查询历史一并归档。</w:t>
            </w:r>
          </w:p>
        </w:tc>
      </w:tr>
      <w:tr w14:paraId="765748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9576" w:type="dxa"/>
            <w:gridSpan w:val="3"/>
            <w:noWrap w:val="0"/>
            <w:vAlign w:val="center"/>
          </w:tcPr>
          <w:p w14:paraId="0FBB30B7">
            <w:pPr>
              <w:adjustRightInd w:val="0"/>
              <w:snapToGrid w:val="0"/>
              <w:spacing w:line="320" w:lineRule="exact"/>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六、成交结果信息公布与授予合同</w:t>
            </w:r>
          </w:p>
        </w:tc>
      </w:tr>
      <w:tr w14:paraId="6A3A16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0957CA2E">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7E881B51">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第37.1款</w:t>
            </w:r>
          </w:p>
        </w:tc>
        <w:tc>
          <w:tcPr>
            <w:tcW w:w="2180" w:type="dxa"/>
            <w:noWrap w:val="0"/>
            <w:vAlign w:val="center"/>
          </w:tcPr>
          <w:p w14:paraId="50BDEF34">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财政部门</w:t>
            </w:r>
          </w:p>
          <w:p w14:paraId="2E0B9E85">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指定的媒体</w:t>
            </w:r>
          </w:p>
        </w:tc>
        <w:tc>
          <w:tcPr>
            <w:tcW w:w="6140" w:type="dxa"/>
            <w:noWrap w:val="0"/>
            <w:vAlign w:val="center"/>
          </w:tcPr>
          <w:p w14:paraId="0B7FEAF6">
            <w:pPr>
              <w:adjustRightInd w:val="0"/>
              <w:snapToGrid w:val="0"/>
              <w:spacing w:line="276"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湖南省政府采购网http://www.ccgp-hunan.gov.cn/</w:t>
            </w:r>
            <w:r>
              <w:rPr>
                <w:rFonts w:hint="eastAsia" w:ascii="宋体" w:hAnsi="宋体" w:eastAsia="宋体" w:cs="宋体"/>
                <w:color w:val="auto"/>
                <w:szCs w:val="21"/>
                <w:highlight w:val="none"/>
                <w:lang w:val="en-US" w:eastAsia="zh-CN"/>
              </w:rPr>
              <w:t xml:space="preserve">    </w:t>
            </w:r>
          </w:p>
        </w:tc>
      </w:tr>
      <w:tr w14:paraId="7F26D7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66" w:hRule="atLeast"/>
          <w:jc w:val="center"/>
        </w:trPr>
        <w:tc>
          <w:tcPr>
            <w:tcW w:w="1256" w:type="dxa"/>
            <w:noWrap w:val="0"/>
            <w:vAlign w:val="center"/>
          </w:tcPr>
          <w:p w14:paraId="1DA83973">
            <w:pPr>
              <w:adjustRightInd w:val="0"/>
              <w:snapToGrid w:val="0"/>
              <w:spacing w:line="320" w:lineRule="exact"/>
              <w:jc w:val="center"/>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第二章</w:t>
            </w:r>
          </w:p>
          <w:p w14:paraId="458CF76B">
            <w:pPr>
              <w:adjustRightInd w:val="0"/>
              <w:snapToGrid w:val="0"/>
              <w:spacing w:line="320" w:lineRule="exact"/>
              <w:jc w:val="center"/>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第39.3款</w:t>
            </w:r>
          </w:p>
        </w:tc>
        <w:tc>
          <w:tcPr>
            <w:tcW w:w="2180" w:type="dxa"/>
            <w:noWrap w:val="0"/>
            <w:vAlign w:val="center"/>
          </w:tcPr>
          <w:p w14:paraId="70880996">
            <w:pPr>
              <w:adjustRightInd w:val="0"/>
              <w:snapToGrid w:val="0"/>
              <w:spacing w:line="320" w:lineRule="exact"/>
              <w:jc w:val="center"/>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履约担保</w:t>
            </w:r>
          </w:p>
        </w:tc>
        <w:tc>
          <w:tcPr>
            <w:tcW w:w="6140" w:type="dxa"/>
            <w:noWrap w:val="0"/>
            <w:vAlign w:val="center"/>
          </w:tcPr>
          <w:p w14:paraId="575DC83C">
            <w:pPr>
              <w:adjustRightInd w:val="0"/>
              <w:snapToGrid w:val="0"/>
              <w:spacing w:line="320" w:lineRule="exact"/>
              <w:rPr>
                <w:rFonts w:hint="eastAsia" w:ascii="宋体" w:hAnsi="宋体" w:eastAsia="宋体" w:cs="宋体"/>
                <w:color w:val="auto"/>
                <w:highlight w:val="none"/>
              </w:rPr>
            </w:pPr>
            <w:r>
              <w:rPr>
                <w:rFonts w:hint="eastAsia" w:ascii="宋体" w:hAnsi="宋体" w:eastAsia="宋体" w:cs="宋体"/>
                <w:color w:val="auto"/>
                <w:szCs w:val="21"/>
                <w:highlight w:val="none"/>
                <w:lang w:val="en-US" w:eastAsia="zh-CN"/>
              </w:rPr>
              <w:sym w:font="Wingdings" w:char="00A8"/>
            </w:r>
            <w:r>
              <w:rPr>
                <w:rFonts w:hint="eastAsia" w:ascii="宋体" w:hAnsi="宋体" w:eastAsia="宋体" w:cs="宋体"/>
                <w:color w:val="auto"/>
                <w:highlight w:val="none"/>
              </w:rPr>
              <w:t>不要求提供</w:t>
            </w:r>
          </w:p>
          <w:p w14:paraId="1E8E5545">
            <w:pPr>
              <w:adjustRightInd w:val="0"/>
              <w:snapToGrid w:val="0"/>
              <w:spacing w:line="400" w:lineRule="exact"/>
              <w:rPr>
                <w:rFonts w:hint="eastAsia" w:ascii="宋体" w:hAnsi="宋体" w:eastAsia="宋体" w:cs="宋体"/>
                <w:color w:val="auto"/>
                <w:highlight w:val="none"/>
              </w:rPr>
            </w:pPr>
            <w:r>
              <w:rPr>
                <w:rFonts w:hint="eastAsia" w:ascii="宋体" w:hAnsi="宋体" w:eastAsia="宋体" w:cs="宋体"/>
                <w:color w:val="auto"/>
                <w:szCs w:val="21"/>
                <w:highlight w:val="none"/>
                <w:lang w:val="en-US" w:eastAsia="zh-CN"/>
              </w:rPr>
              <w:sym w:font="Wingdings" w:char="00FE"/>
            </w:r>
            <w:r>
              <w:rPr>
                <w:rFonts w:hint="eastAsia" w:ascii="宋体" w:hAnsi="宋体" w:eastAsia="宋体" w:cs="宋体"/>
                <w:color w:val="auto"/>
                <w:highlight w:val="none"/>
              </w:rPr>
              <w:t>要求提供，履约担保的金额为：1、履约担保的金额为代建范围内项目估算总投资</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w:t>
            </w:r>
          </w:p>
          <w:p w14:paraId="14DD3EDE">
            <w:pPr>
              <w:pStyle w:val="42"/>
              <w:rPr>
                <w:rFonts w:hint="eastAsia" w:ascii="宋体" w:hAnsi="宋体" w:eastAsia="宋体" w:cs="宋体"/>
                <w:color w:val="auto"/>
                <w:highlight w:val="none"/>
                <w:lang w:val="en-US" w:eastAsia="zh-CN"/>
              </w:rPr>
            </w:pPr>
            <w:r>
              <w:rPr>
                <w:rFonts w:hint="eastAsia" w:ascii="宋体" w:hAnsi="宋体" w:eastAsia="宋体" w:cs="宋体"/>
                <w:color w:val="auto"/>
                <w:szCs w:val="21"/>
                <w:highlight w:val="none"/>
                <w:lang w:val="en-US" w:eastAsia="zh-CN"/>
              </w:rPr>
              <w:t>履约担保金额缴纳形式；</w:t>
            </w:r>
            <w:r>
              <w:rPr>
                <w:color w:val="auto"/>
                <w:spacing w:val="-1"/>
                <w:highlight w:val="none"/>
              </w:rPr>
              <w:t>银行</w:t>
            </w:r>
            <w:r>
              <w:rPr>
                <w:rFonts w:hint="eastAsia"/>
                <w:color w:val="auto"/>
                <w:spacing w:val="-1"/>
                <w:highlight w:val="none"/>
              </w:rPr>
              <w:t>转账</w:t>
            </w:r>
            <w:r>
              <w:rPr>
                <w:color w:val="auto"/>
                <w:spacing w:val="-1"/>
                <w:highlight w:val="none"/>
              </w:rPr>
              <w:t>或第三方担保机构出具的担保函</w:t>
            </w:r>
          </w:p>
        </w:tc>
      </w:tr>
      <w:tr w14:paraId="7FBEC0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3"/>
            <w:noWrap w:val="0"/>
            <w:vAlign w:val="center"/>
          </w:tcPr>
          <w:p w14:paraId="657FD34C">
            <w:pPr>
              <w:adjustRightInd w:val="0"/>
              <w:snapToGrid w:val="0"/>
              <w:spacing w:line="32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七、其他规定</w:t>
            </w:r>
          </w:p>
        </w:tc>
      </w:tr>
      <w:tr w14:paraId="525915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noWrap w:val="0"/>
            <w:vAlign w:val="center"/>
          </w:tcPr>
          <w:p w14:paraId="0EB80CAE">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437DEB54">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第41.1款</w:t>
            </w:r>
          </w:p>
        </w:tc>
        <w:tc>
          <w:tcPr>
            <w:tcW w:w="2180" w:type="dxa"/>
            <w:noWrap w:val="0"/>
            <w:vAlign w:val="center"/>
          </w:tcPr>
          <w:p w14:paraId="0866D65C">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w:t>
            </w:r>
          </w:p>
          <w:p w14:paraId="04E6D6EB">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服务费</w:t>
            </w:r>
          </w:p>
        </w:tc>
        <w:tc>
          <w:tcPr>
            <w:tcW w:w="6140" w:type="dxa"/>
            <w:noWrap w:val="0"/>
            <w:vAlign w:val="center"/>
          </w:tcPr>
          <w:p w14:paraId="6183A9CF">
            <w:pPr>
              <w:adjustRightInd w:val="0"/>
              <w:snapToGrid w:val="0"/>
              <w:spacing w:line="32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1、本项目招标代理服务费：按《湖南省招标采购行业规范收取代理服务费倡议书》收费标准文件收取。</w:t>
            </w:r>
          </w:p>
          <w:p w14:paraId="2D379626">
            <w:pPr>
              <w:adjustRightInd w:val="0"/>
              <w:snapToGrid w:val="0"/>
              <w:spacing w:line="32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2、招标代理服务费的支付方式及支付时间：发出中标（成交）通知书前以转账方式支付。</w:t>
            </w:r>
          </w:p>
          <w:p w14:paraId="288BD173">
            <w:pPr>
              <w:adjustRightInd w:val="0"/>
              <w:snapToGrid w:val="0"/>
              <w:spacing w:line="32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3、代理服务费收费方式：采购人支付代理服务费。</w:t>
            </w:r>
          </w:p>
          <w:p w14:paraId="6D6BF1D6">
            <w:pPr>
              <w:adjustRightInd w:val="0"/>
              <w:snapToGrid w:val="0"/>
              <w:spacing w:line="32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4、本项目代理服务费总额的最高限价：</w:t>
            </w:r>
            <w:r>
              <w:rPr>
                <w:rFonts w:hint="eastAsia" w:ascii="宋体" w:hAnsi="宋体" w:cs="宋体"/>
                <w:color w:val="auto"/>
                <w:szCs w:val="21"/>
                <w:highlight w:val="none"/>
                <w:lang w:val="en-US" w:eastAsia="zh-CN"/>
              </w:rPr>
              <w:t xml:space="preserve"> 12700 </w:t>
            </w:r>
            <w:r>
              <w:rPr>
                <w:rFonts w:hint="eastAsia" w:ascii="宋体" w:hAnsi="宋体" w:eastAsia="宋体" w:cs="宋体"/>
                <w:color w:val="auto"/>
                <w:szCs w:val="21"/>
                <w:highlight w:val="none"/>
                <w:lang w:val="en-US" w:eastAsia="zh-CN"/>
              </w:rPr>
              <w:t>元</w:t>
            </w:r>
          </w:p>
        </w:tc>
      </w:tr>
      <w:tr w14:paraId="2BDFB2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64" w:hRule="atLeast"/>
          <w:jc w:val="center"/>
        </w:trPr>
        <w:tc>
          <w:tcPr>
            <w:tcW w:w="1256" w:type="dxa"/>
            <w:noWrap w:val="0"/>
            <w:vAlign w:val="center"/>
          </w:tcPr>
          <w:p w14:paraId="3D714C2F">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w:t>
            </w:r>
          </w:p>
          <w:p w14:paraId="71E2BBCD">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第42.1款</w:t>
            </w:r>
          </w:p>
        </w:tc>
        <w:tc>
          <w:tcPr>
            <w:tcW w:w="2180" w:type="dxa"/>
            <w:noWrap w:val="0"/>
            <w:vAlign w:val="center"/>
          </w:tcPr>
          <w:p w14:paraId="5EC965D9">
            <w:pPr>
              <w:adjustRightInd w:val="0"/>
              <w:snapToGrid w:val="0"/>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其他规定</w:t>
            </w:r>
          </w:p>
        </w:tc>
        <w:tc>
          <w:tcPr>
            <w:tcW w:w="6140" w:type="dxa"/>
            <w:noWrap w:val="0"/>
            <w:vAlign w:val="center"/>
          </w:tcPr>
          <w:p w14:paraId="122CF158">
            <w:pPr>
              <w:adjustRightInd w:val="0"/>
              <w:snapToGrid w:val="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对列入失信被执行人、重大税收违法案件当事人名单、政府采购严重违法失信行为记录名单的供应商及其他不符合《中华人民共和国政府采购法》第二十二条规定条件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依法自行选定评审专家的，采购人或者采购代理机构应当查询有关信用记录，不得选定具有行贿、受贿、欺诈等不良信用记录人员。</w:t>
            </w:r>
          </w:p>
          <w:p w14:paraId="08ED2029">
            <w:pPr>
              <w:adjustRightInd w:val="0"/>
              <w:snapToGrid w:val="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①、信用信息查询的查询渠道：“信用中国”网站（www.creditchina.gov.cn）</w:t>
            </w:r>
            <w:r>
              <w:rPr>
                <w:rFonts w:hint="eastAsia" w:ascii="宋体" w:hAnsi="宋体" w:eastAsia="宋体" w:cs="宋体"/>
                <w:color w:val="auto"/>
                <w:szCs w:val="21"/>
                <w:highlight w:val="none"/>
                <w:lang w:eastAsia="zh-CN"/>
              </w:rPr>
              <w:t>或</w:t>
            </w:r>
            <w:r>
              <w:rPr>
                <w:rFonts w:hint="eastAsia" w:ascii="宋体" w:hAnsi="宋体" w:eastAsia="宋体" w:cs="宋体"/>
                <w:color w:val="auto"/>
                <w:szCs w:val="21"/>
                <w:highlight w:val="none"/>
              </w:rPr>
              <w:t>中国政府采购网（www.ccgp.gov.cn）。</w:t>
            </w:r>
          </w:p>
          <w:p w14:paraId="6A73047F">
            <w:pPr>
              <w:adjustRightInd w:val="0"/>
              <w:snapToGrid w:val="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②、信用信息查询的截止时点：至本项目投标截止时间止。</w:t>
            </w:r>
          </w:p>
          <w:p w14:paraId="16540E37">
            <w:pPr>
              <w:adjustRightInd w:val="0"/>
              <w:snapToGrid w:val="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③、信用信息查询记录的具体方式：采购人或采购代理机构在开标后在规定的查询渠道进行查询。</w:t>
            </w:r>
          </w:p>
          <w:p w14:paraId="46449A84">
            <w:pPr>
              <w:adjustRightInd w:val="0"/>
              <w:snapToGrid w:val="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④、信用信息查询记录证据留存的具体方式：查询记录的网上打印件。</w:t>
            </w:r>
          </w:p>
          <w:p w14:paraId="4C862CD7">
            <w:pPr>
              <w:adjustRightInd w:val="0"/>
              <w:snapToGrid w:val="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⑤、信用信息的使用规则：查询后交由评标委员会评定。</w:t>
            </w:r>
          </w:p>
          <w:p w14:paraId="3F4CF4F3">
            <w:pPr>
              <w:adjustRightInd w:val="0"/>
              <w:snapToGrid w:val="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2、投标截止时间前，采购人、采购代理机构和有关人员不得向他人透露已获取招标文件的潜在投标人的名称、数量以及可能影响公平竞争的有关招标投标的其他情况。</w:t>
            </w:r>
          </w:p>
          <w:p w14:paraId="79B60CE9">
            <w:pPr>
              <w:adjustRightInd w:val="0"/>
              <w:snapToGrid w:val="0"/>
              <w:spacing w:line="240" w:lineRule="auto"/>
              <w:rPr>
                <w:rFonts w:hint="default" w:ascii="宋体" w:hAnsi="宋体" w:eastAsia="宋体" w:cs="宋体"/>
                <w:color w:val="auto"/>
                <w:szCs w:val="21"/>
                <w:highlight w:val="none"/>
                <w:lang w:val="en-US" w:eastAsia="zh-CN"/>
              </w:rPr>
            </w:pPr>
          </w:p>
        </w:tc>
      </w:tr>
    </w:tbl>
    <w:p w14:paraId="020721B4">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br w:type="page"/>
      </w:r>
    </w:p>
    <w:p w14:paraId="71433C4E">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附页1</w:t>
      </w:r>
    </w:p>
    <w:p w14:paraId="74D6819C">
      <w:pPr>
        <w:adjustRightInd w:val="0"/>
        <w:snapToGrid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rPr>
        <w:t>湖南省政府采购支持中小企业融资合作银行及联系人名单</w:t>
      </w:r>
    </w:p>
    <w:tbl>
      <w:tblPr>
        <w:tblStyle w:val="43"/>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50"/>
        <w:gridCol w:w="1317"/>
        <w:gridCol w:w="2917"/>
        <w:gridCol w:w="2397"/>
      </w:tblGrid>
      <w:tr w14:paraId="5ADC97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shd w:val="clear" w:color="auto" w:fill="D7D7D7"/>
            <w:noWrap w:val="0"/>
            <w:vAlign w:val="center"/>
          </w:tcPr>
          <w:p w14:paraId="143BB662">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kern w:val="0"/>
                <w:szCs w:val="21"/>
                <w:highlight w:val="none"/>
              </w:rPr>
              <w:t>银行名称</w:t>
            </w:r>
          </w:p>
        </w:tc>
        <w:tc>
          <w:tcPr>
            <w:tcW w:w="1317" w:type="dxa"/>
            <w:shd w:val="clear" w:color="auto" w:fill="D7D7D7"/>
            <w:noWrap w:val="0"/>
            <w:vAlign w:val="center"/>
          </w:tcPr>
          <w:p w14:paraId="2F1BE963">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kern w:val="0"/>
                <w:szCs w:val="21"/>
                <w:highlight w:val="none"/>
              </w:rPr>
              <w:t>联系人</w:t>
            </w:r>
          </w:p>
        </w:tc>
        <w:tc>
          <w:tcPr>
            <w:tcW w:w="2917" w:type="dxa"/>
            <w:shd w:val="clear" w:color="auto" w:fill="D7D7D7"/>
            <w:noWrap w:val="0"/>
            <w:vAlign w:val="center"/>
          </w:tcPr>
          <w:p w14:paraId="275B4845">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kern w:val="0"/>
                <w:szCs w:val="21"/>
                <w:highlight w:val="none"/>
              </w:rPr>
              <w:t>职 务</w:t>
            </w:r>
          </w:p>
        </w:tc>
        <w:tc>
          <w:tcPr>
            <w:tcW w:w="2397" w:type="dxa"/>
            <w:shd w:val="clear" w:color="auto" w:fill="D7D7D7"/>
            <w:noWrap w:val="0"/>
            <w:vAlign w:val="center"/>
          </w:tcPr>
          <w:p w14:paraId="254952DD">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kern w:val="0"/>
                <w:szCs w:val="21"/>
                <w:highlight w:val="none"/>
              </w:rPr>
              <w:t>联系电话</w:t>
            </w:r>
          </w:p>
        </w:tc>
      </w:tr>
      <w:tr w14:paraId="7C1B70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99B8AD9">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交通银行湖南省分行</w:t>
            </w:r>
          </w:p>
        </w:tc>
        <w:tc>
          <w:tcPr>
            <w:tcW w:w="1317" w:type="dxa"/>
            <w:noWrap w:val="0"/>
            <w:vAlign w:val="center"/>
          </w:tcPr>
          <w:p w14:paraId="440A4994">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刘 波</w:t>
            </w:r>
          </w:p>
        </w:tc>
        <w:tc>
          <w:tcPr>
            <w:tcW w:w="2917" w:type="dxa"/>
            <w:noWrap w:val="0"/>
            <w:vAlign w:val="center"/>
          </w:tcPr>
          <w:p w14:paraId="0FE52EA1">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名城支行客户经理</w:t>
            </w:r>
          </w:p>
        </w:tc>
        <w:tc>
          <w:tcPr>
            <w:tcW w:w="2397" w:type="dxa"/>
            <w:noWrap w:val="0"/>
            <w:vAlign w:val="center"/>
          </w:tcPr>
          <w:p w14:paraId="05FE2FE1">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13874998873</w:t>
            </w:r>
          </w:p>
        </w:tc>
      </w:tr>
      <w:tr w14:paraId="255C9F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765E3F12">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交通银行湖南省分行</w:t>
            </w:r>
          </w:p>
        </w:tc>
        <w:tc>
          <w:tcPr>
            <w:tcW w:w="1317" w:type="dxa"/>
            <w:noWrap w:val="0"/>
            <w:vAlign w:val="center"/>
          </w:tcPr>
          <w:p w14:paraId="02189828">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肖勇光</w:t>
            </w:r>
          </w:p>
        </w:tc>
        <w:tc>
          <w:tcPr>
            <w:tcW w:w="2917" w:type="dxa"/>
            <w:noWrap w:val="0"/>
            <w:vAlign w:val="center"/>
          </w:tcPr>
          <w:p w14:paraId="225D63F3">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分行高级经理</w:t>
            </w:r>
          </w:p>
        </w:tc>
        <w:tc>
          <w:tcPr>
            <w:tcW w:w="2397" w:type="dxa"/>
            <w:noWrap w:val="0"/>
            <w:vAlign w:val="center"/>
          </w:tcPr>
          <w:p w14:paraId="1910E514">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13755192647</w:t>
            </w:r>
          </w:p>
        </w:tc>
      </w:tr>
      <w:tr w14:paraId="58DF98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92C04C8">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中国民生银行长沙分行</w:t>
            </w:r>
          </w:p>
        </w:tc>
        <w:tc>
          <w:tcPr>
            <w:tcW w:w="1317" w:type="dxa"/>
            <w:noWrap w:val="0"/>
            <w:vAlign w:val="center"/>
          </w:tcPr>
          <w:p w14:paraId="6D5FED88">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黄飞燕</w:t>
            </w:r>
          </w:p>
        </w:tc>
        <w:tc>
          <w:tcPr>
            <w:tcW w:w="2917" w:type="dxa"/>
            <w:noWrap w:val="0"/>
            <w:vAlign w:val="center"/>
          </w:tcPr>
          <w:p w14:paraId="2F846DCF">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营业部总经理</w:t>
            </w:r>
          </w:p>
        </w:tc>
        <w:tc>
          <w:tcPr>
            <w:tcW w:w="2397" w:type="dxa"/>
            <w:noWrap w:val="0"/>
            <w:vAlign w:val="center"/>
          </w:tcPr>
          <w:p w14:paraId="4572CD35">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13308463468</w:t>
            </w:r>
          </w:p>
        </w:tc>
      </w:tr>
      <w:tr w14:paraId="6B3C04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028BA04D">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中国民生银行长沙分行</w:t>
            </w:r>
          </w:p>
        </w:tc>
        <w:tc>
          <w:tcPr>
            <w:tcW w:w="1317" w:type="dxa"/>
            <w:noWrap w:val="0"/>
            <w:vAlign w:val="center"/>
          </w:tcPr>
          <w:p w14:paraId="327FD1BC">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蒋寒奇</w:t>
            </w:r>
          </w:p>
        </w:tc>
        <w:tc>
          <w:tcPr>
            <w:tcW w:w="2917" w:type="dxa"/>
            <w:noWrap w:val="0"/>
            <w:vAlign w:val="center"/>
          </w:tcPr>
          <w:p w14:paraId="764C7BB3">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营业部中小企业客户经理</w:t>
            </w:r>
          </w:p>
        </w:tc>
        <w:tc>
          <w:tcPr>
            <w:tcW w:w="2397" w:type="dxa"/>
            <w:noWrap w:val="0"/>
            <w:vAlign w:val="center"/>
          </w:tcPr>
          <w:p w14:paraId="1E60E2E3">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13548982975</w:t>
            </w:r>
          </w:p>
        </w:tc>
      </w:tr>
      <w:tr w14:paraId="543B9B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3B82C85E">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兴业银行长沙分行</w:t>
            </w:r>
          </w:p>
        </w:tc>
        <w:tc>
          <w:tcPr>
            <w:tcW w:w="1317" w:type="dxa"/>
            <w:noWrap w:val="0"/>
            <w:vAlign w:val="center"/>
          </w:tcPr>
          <w:p w14:paraId="294C24C3">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刘栅延</w:t>
            </w:r>
          </w:p>
        </w:tc>
        <w:tc>
          <w:tcPr>
            <w:tcW w:w="2917" w:type="dxa"/>
            <w:noWrap w:val="0"/>
            <w:vAlign w:val="center"/>
          </w:tcPr>
          <w:p w14:paraId="3C8EEC4F">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支行行长</w:t>
            </w:r>
          </w:p>
        </w:tc>
        <w:tc>
          <w:tcPr>
            <w:tcW w:w="2397" w:type="dxa"/>
            <w:noWrap w:val="0"/>
            <w:vAlign w:val="center"/>
          </w:tcPr>
          <w:p w14:paraId="2F4FCC6E">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13337316405</w:t>
            </w:r>
          </w:p>
        </w:tc>
      </w:tr>
      <w:tr w14:paraId="278370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43036B8">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兴业银行长沙分行</w:t>
            </w:r>
          </w:p>
        </w:tc>
        <w:tc>
          <w:tcPr>
            <w:tcW w:w="1317" w:type="dxa"/>
            <w:noWrap w:val="0"/>
            <w:vAlign w:val="center"/>
          </w:tcPr>
          <w:p w14:paraId="171A6A1E">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蒋修远</w:t>
            </w:r>
          </w:p>
        </w:tc>
        <w:tc>
          <w:tcPr>
            <w:tcW w:w="2917" w:type="dxa"/>
            <w:noWrap w:val="0"/>
            <w:vAlign w:val="center"/>
          </w:tcPr>
          <w:p w14:paraId="0D17173E">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支行客户经理</w:t>
            </w:r>
          </w:p>
        </w:tc>
        <w:tc>
          <w:tcPr>
            <w:tcW w:w="2397" w:type="dxa"/>
            <w:noWrap w:val="0"/>
            <w:vAlign w:val="center"/>
          </w:tcPr>
          <w:p w14:paraId="220E5D29">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18607310422</w:t>
            </w:r>
          </w:p>
        </w:tc>
      </w:tr>
      <w:tr w14:paraId="4E4F60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5787A3E">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中国光大银行长沙分行</w:t>
            </w:r>
          </w:p>
        </w:tc>
        <w:tc>
          <w:tcPr>
            <w:tcW w:w="1317" w:type="dxa"/>
            <w:noWrap w:val="0"/>
            <w:vAlign w:val="center"/>
          </w:tcPr>
          <w:p w14:paraId="2020B690">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邓永胜</w:t>
            </w:r>
          </w:p>
        </w:tc>
        <w:tc>
          <w:tcPr>
            <w:tcW w:w="2917" w:type="dxa"/>
            <w:noWrap w:val="0"/>
            <w:vAlign w:val="center"/>
          </w:tcPr>
          <w:p w14:paraId="1DDBE968">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岳麓支行副行长</w:t>
            </w:r>
          </w:p>
        </w:tc>
        <w:tc>
          <w:tcPr>
            <w:tcW w:w="2397" w:type="dxa"/>
            <w:noWrap w:val="0"/>
            <w:vAlign w:val="center"/>
          </w:tcPr>
          <w:p w14:paraId="71ABC320">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13617319650</w:t>
            </w:r>
          </w:p>
        </w:tc>
      </w:tr>
      <w:tr w14:paraId="5F3F04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5CDC9198">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中信银行长沙分行</w:t>
            </w:r>
          </w:p>
        </w:tc>
        <w:tc>
          <w:tcPr>
            <w:tcW w:w="1317" w:type="dxa"/>
            <w:noWrap w:val="0"/>
            <w:vAlign w:val="center"/>
          </w:tcPr>
          <w:p w14:paraId="5CC1D434">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蔡学军</w:t>
            </w:r>
          </w:p>
        </w:tc>
        <w:tc>
          <w:tcPr>
            <w:tcW w:w="2917" w:type="dxa"/>
            <w:noWrap w:val="0"/>
            <w:vAlign w:val="center"/>
          </w:tcPr>
          <w:p w14:paraId="6CF7FFD5">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公司银行部负责人</w:t>
            </w:r>
          </w:p>
        </w:tc>
        <w:tc>
          <w:tcPr>
            <w:tcW w:w="2397" w:type="dxa"/>
            <w:noWrap w:val="0"/>
            <w:vAlign w:val="center"/>
          </w:tcPr>
          <w:p w14:paraId="12624481">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13055167195</w:t>
            </w:r>
          </w:p>
        </w:tc>
      </w:tr>
      <w:tr w14:paraId="519235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32259A31">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中信银行长沙分行</w:t>
            </w:r>
          </w:p>
        </w:tc>
        <w:tc>
          <w:tcPr>
            <w:tcW w:w="1317" w:type="dxa"/>
            <w:noWrap w:val="0"/>
            <w:vAlign w:val="center"/>
          </w:tcPr>
          <w:p w14:paraId="597D2F23">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宋学农</w:t>
            </w:r>
          </w:p>
        </w:tc>
        <w:tc>
          <w:tcPr>
            <w:tcW w:w="2917" w:type="dxa"/>
            <w:noWrap w:val="0"/>
            <w:vAlign w:val="center"/>
          </w:tcPr>
          <w:p w14:paraId="63E9D662">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银行部综合管理部副总经理</w:t>
            </w:r>
          </w:p>
        </w:tc>
        <w:tc>
          <w:tcPr>
            <w:tcW w:w="2397" w:type="dxa"/>
            <w:noWrap w:val="0"/>
            <w:vAlign w:val="center"/>
          </w:tcPr>
          <w:p w14:paraId="1EEFAA2A">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0731-845822141</w:t>
            </w:r>
          </w:p>
        </w:tc>
      </w:tr>
    </w:tbl>
    <w:p w14:paraId="21C697BA">
      <w:pPr>
        <w:adjustRightInd w:val="0"/>
        <w:snapToGrid w:val="0"/>
        <w:spacing w:line="360" w:lineRule="auto"/>
        <w:rPr>
          <w:rFonts w:hint="eastAsia" w:ascii="宋体" w:hAnsi="宋体" w:eastAsia="宋体" w:cs="宋体"/>
          <w:b/>
          <w:bCs/>
          <w:color w:val="auto"/>
          <w:szCs w:val="21"/>
          <w:highlight w:val="none"/>
        </w:rPr>
      </w:pPr>
    </w:p>
    <w:p w14:paraId="3F15ABC4">
      <w:pPr>
        <w:adjustRightInd w:val="0"/>
        <w:snapToGrid w:val="0"/>
        <w:spacing w:line="360" w:lineRule="auto"/>
        <w:rPr>
          <w:rFonts w:hint="eastAsia" w:ascii="宋体" w:hAnsi="宋体" w:eastAsia="宋体" w:cs="宋体"/>
          <w:b/>
          <w:bCs/>
          <w:color w:val="auto"/>
          <w:szCs w:val="21"/>
          <w:highlight w:val="none"/>
        </w:rPr>
      </w:pPr>
    </w:p>
    <w:p w14:paraId="2A876EFC">
      <w:pPr>
        <w:adjustRightInd w:val="0"/>
        <w:snapToGrid w:val="0"/>
        <w:spacing w:line="360" w:lineRule="auto"/>
        <w:rPr>
          <w:rFonts w:hint="eastAsia" w:ascii="宋体" w:hAnsi="宋体" w:eastAsia="宋体" w:cs="宋体"/>
          <w:b/>
          <w:bCs/>
          <w:color w:val="auto"/>
          <w:szCs w:val="21"/>
          <w:highlight w:val="none"/>
        </w:rPr>
      </w:pPr>
    </w:p>
    <w:p w14:paraId="0CDCEA7A">
      <w:pPr>
        <w:adjustRightInd w:val="0"/>
        <w:snapToGrid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rPr>
        <w:t>湖南省政府采购信用担保试点工作的</w:t>
      </w:r>
      <w:r>
        <w:rPr>
          <w:rFonts w:hint="eastAsia" w:ascii="宋体" w:hAnsi="宋体" w:eastAsia="宋体" w:cs="宋体"/>
          <w:b/>
          <w:color w:val="auto"/>
          <w:sz w:val="28"/>
          <w:szCs w:val="28"/>
          <w:highlight w:val="none"/>
        </w:rPr>
        <w:t>信用担保机构名单</w:t>
      </w:r>
    </w:p>
    <w:tbl>
      <w:tblPr>
        <w:tblStyle w:val="43"/>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68BF11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noWrap w:val="0"/>
            <w:vAlign w:val="center"/>
          </w:tcPr>
          <w:p w14:paraId="667BDFF1">
            <w:pPr>
              <w:adjustRightInd w:val="0"/>
              <w:snapToGrid w:val="0"/>
              <w:spacing w:line="240" w:lineRule="exact"/>
              <w:jc w:val="center"/>
              <w:rPr>
                <w:rFonts w:hint="eastAsia" w:ascii="宋体" w:hAnsi="宋体" w:eastAsia="宋体" w:cs="宋体"/>
                <w:b/>
                <w:bCs/>
                <w:color w:val="auto"/>
                <w:kern w:val="0"/>
                <w:szCs w:val="21"/>
                <w:highlight w:val="none"/>
              </w:rPr>
            </w:pPr>
            <w:r>
              <w:rPr>
                <w:rFonts w:hint="eastAsia" w:ascii="宋体" w:hAnsi="宋体" w:eastAsia="宋体" w:cs="宋体"/>
                <w:b/>
                <w:color w:val="auto"/>
                <w:szCs w:val="21"/>
                <w:highlight w:val="none"/>
              </w:rPr>
              <w:t>信用担保机构</w:t>
            </w:r>
          </w:p>
        </w:tc>
        <w:tc>
          <w:tcPr>
            <w:tcW w:w="1080" w:type="dxa"/>
            <w:noWrap w:val="0"/>
            <w:vAlign w:val="center"/>
          </w:tcPr>
          <w:p w14:paraId="6C1A75E7">
            <w:pPr>
              <w:adjustRightInd w:val="0"/>
              <w:snapToGrid w:val="0"/>
              <w:spacing w:line="240" w:lineRule="exact"/>
              <w:jc w:val="center"/>
              <w:rPr>
                <w:rFonts w:hint="eastAsia" w:ascii="宋体" w:hAnsi="宋体" w:eastAsia="宋体" w:cs="宋体"/>
                <w:b/>
                <w:bCs/>
                <w:color w:val="auto"/>
                <w:kern w:val="0"/>
                <w:szCs w:val="21"/>
                <w:highlight w:val="none"/>
              </w:rPr>
            </w:pPr>
            <w:r>
              <w:rPr>
                <w:rFonts w:hint="eastAsia" w:ascii="宋体" w:hAnsi="宋体" w:eastAsia="宋体" w:cs="宋体"/>
                <w:b/>
                <w:color w:val="auto"/>
                <w:szCs w:val="21"/>
                <w:highlight w:val="none"/>
              </w:rPr>
              <w:t>联系人</w:t>
            </w:r>
          </w:p>
        </w:tc>
        <w:tc>
          <w:tcPr>
            <w:tcW w:w="3780" w:type="dxa"/>
            <w:noWrap w:val="0"/>
            <w:vAlign w:val="center"/>
          </w:tcPr>
          <w:p w14:paraId="5ECE4FA7">
            <w:pPr>
              <w:adjustRightInd w:val="0"/>
              <w:snapToGrid w:val="0"/>
              <w:spacing w:line="240" w:lineRule="exact"/>
              <w:jc w:val="center"/>
              <w:rPr>
                <w:rFonts w:hint="eastAsia" w:ascii="宋体" w:hAnsi="宋体" w:eastAsia="宋体" w:cs="宋体"/>
                <w:b/>
                <w:bCs/>
                <w:color w:val="auto"/>
                <w:kern w:val="0"/>
                <w:szCs w:val="21"/>
                <w:highlight w:val="none"/>
              </w:rPr>
            </w:pPr>
            <w:r>
              <w:rPr>
                <w:rFonts w:hint="eastAsia" w:ascii="宋体" w:hAnsi="宋体" w:eastAsia="宋体" w:cs="宋体"/>
                <w:b/>
                <w:color w:val="auto"/>
                <w:szCs w:val="21"/>
                <w:highlight w:val="none"/>
              </w:rPr>
              <w:t>联系电话</w:t>
            </w:r>
          </w:p>
        </w:tc>
      </w:tr>
      <w:tr w14:paraId="56D0CC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noWrap w:val="0"/>
            <w:vAlign w:val="center"/>
          </w:tcPr>
          <w:p w14:paraId="49F36E4A">
            <w:pPr>
              <w:adjustRightInd w:val="0"/>
              <w:snapToGrid w:val="0"/>
              <w:spacing w:line="360" w:lineRule="auto"/>
              <w:jc w:val="left"/>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中国投资担保公司</w:t>
            </w:r>
          </w:p>
        </w:tc>
        <w:tc>
          <w:tcPr>
            <w:tcW w:w="1080" w:type="dxa"/>
            <w:noWrap w:val="0"/>
            <w:vAlign w:val="center"/>
          </w:tcPr>
          <w:p w14:paraId="1F52E5D6">
            <w:pPr>
              <w:adjustRightInd w:val="0"/>
              <w:snapToGrid w:val="0"/>
              <w:spacing w:line="360" w:lineRule="auto"/>
              <w:jc w:val="center"/>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何  嘉</w:t>
            </w:r>
          </w:p>
        </w:tc>
        <w:tc>
          <w:tcPr>
            <w:tcW w:w="3780" w:type="dxa"/>
            <w:noWrap w:val="0"/>
            <w:vAlign w:val="center"/>
          </w:tcPr>
          <w:p w14:paraId="5F462DBA">
            <w:pPr>
              <w:adjustRightInd w:val="0"/>
              <w:snapToGrid w:val="0"/>
              <w:spacing w:line="360" w:lineRule="auto"/>
              <w:jc w:val="left"/>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010-88822659/13718642233</w:t>
            </w:r>
          </w:p>
        </w:tc>
      </w:tr>
      <w:tr w14:paraId="377E80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noWrap w:val="0"/>
            <w:vAlign w:val="center"/>
          </w:tcPr>
          <w:p w14:paraId="3D5D9463">
            <w:pPr>
              <w:adjustRightInd w:val="0"/>
              <w:snapToGrid w:val="0"/>
              <w:spacing w:line="360" w:lineRule="auto"/>
              <w:jc w:val="left"/>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湖南省中小企业信用担保有限责任公司</w:t>
            </w:r>
          </w:p>
        </w:tc>
        <w:tc>
          <w:tcPr>
            <w:tcW w:w="1080" w:type="dxa"/>
            <w:noWrap w:val="0"/>
            <w:vAlign w:val="center"/>
          </w:tcPr>
          <w:p w14:paraId="68F3753D">
            <w:pPr>
              <w:adjustRightInd w:val="0"/>
              <w:snapToGrid w:val="0"/>
              <w:spacing w:line="360" w:lineRule="auto"/>
              <w:jc w:val="center"/>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蔡建雄</w:t>
            </w:r>
          </w:p>
        </w:tc>
        <w:tc>
          <w:tcPr>
            <w:tcW w:w="3780" w:type="dxa"/>
            <w:noWrap w:val="0"/>
            <w:vAlign w:val="center"/>
          </w:tcPr>
          <w:p w14:paraId="52040023">
            <w:pPr>
              <w:adjustRightInd w:val="0"/>
              <w:snapToGrid w:val="0"/>
              <w:spacing w:line="360" w:lineRule="auto"/>
              <w:jc w:val="left"/>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0731-84172390-201/15573193555</w:t>
            </w:r>
          </w:p>
        </w:tc>
      </w:tr>
      <w:tr w14:paraId="3CAD37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noWrap w:val="0"/>
            <w:vAlign w:val="center"/>
          </w:tcPr>
          <w:p w14:paraId="7950F73C">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湖南农业信用担保有限公司</w:t>
            </w:r>
          </w:p>
        </w:tc>
        <w:tc>
          <w:tcPr>
            <w:tcW w:w="1080" w:type="dxa"/>
            <w:noWrap w:val="0"/>
            <w:vAlign w:val="center"/>
          </w:tcPr>
          <w:p w14:paraId="64B44FAD">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彭  球</w:t>
            </w:r>
          </w:p>
          <w:p w14:paraId="3461F2DB">
            <w:pPr>
              <w:adjustRightInd w:val="0"/>
              <w:snapToGrid w:val="0"/>
              <w:spacing w:line="360" w:lineRule="auto"/>
              <w:jc w:val="center"/>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邓霞英</w:t>
            </w:r>
          </w:p>
        </w:tc>
        <w:tc>
          <w:tcPr>
            <w:tcW w:w="3780" w:type="dxa"/>
            <w:noWrap w:val="0"/>
            <w:vAlign w:val="center"/>
          </w:tcPr>
          <w:p w14:paraId="6DAE079C">
            <w:pPr>
              <w:adjustRightInd w:val="0"/>
              <w:snapToGrid w:val="0"/>
              <w:spacing w:line="360" w:lineRule="auto"/>
              <w:jc w:val="left"/>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0731-89761702/13875980906 0731-89761706/13574125851</w:t>
            </w:r>
          </w:p>
        </w:tc>
      </w:tr>
    </w:tbl>
    <w:p w14:paraId="107B84C6">
      <w:pPr>
        <w:adjustRightInd w:val="0"/>
        <w:snapToGrid w:val="0"/>
        <w:spacing w:line="360" w:lineRule="auto"/>
        <w:rPr>
          <w:rFonts w:hint="eastAsia" w:ascii="宋体" w:hAnsi="宋体" w:eastAsia="宋体" w:cs="宋体"/>
          <w:b/>
          <w:color w:val="auto"/>
          <w:szCs w:val="21"/>
          <w:highlight w:val="none"/>
        </w:rPr>
        <w:sectPr>
          <w:headerReference r:id="rId3" w:type="default"/>
          <w:footerReference r:id="rId4" w:type="default"/>
          <w:pgSz w:w="11906" w:h="16838"/>
          <w:pgMar w:top="1388" w:right="1531" w:bottom="1440" w:left="1531" w:header="871" w:footer="737" w:gutter="0"/>
          <w:pgNumType w:fmt="decimal" w:start="1"/>
          <w:cols w:space="720" w:num="1"/>
          <w:docGrid w:type="lines" w:linePitch="312" w:charSpace="0"/>
        </w:sectPr>
      </w:pPr>
    </w:p>
    <w:p w14:paraId="17C85848">
      <w:pPr>
        <w:adjustRightInd w:val="0"/>
        <w:snapToGrid w:val="0"/>
        <w:spacing w:line="360" w:lineRule="auto"/>
        <w:jc w:val="center"/>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政府采购履约担保函</w:t>
      </w:r>
    </w:p>
    <w:p w14:paraId="4B6D3F6A">
      <w:pPr>
        <w:adjustRightInd w:val="0"/>
        <w:snapToGrid w:val="0"/>
        <w:spacing w:line="360" w:lineRule="auto"/>
        <w:ind w:firstLine="6510" w:firstLineChars="3100"/>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编号：</w:t>
      </w:r>
      <w:r>
        <w:rPr>
          <w:rFonts w:hint="eastAsia" w:ascii="宋体" w:hAnsi="宋体" w:eastAsia="宋体" w:cs="宋体"/>
          <w:color w:val="auto"/>
          <w:kern w:val="0"/>
          <w:szCs w:val="21"/>
          <w:highlight w:val="none"/>
          <w:u w:val="single"/>
        </w:rPr>
        <w:t xml:space="preserve">              </w:t>
      </w:r>
    </w:p>
    <w:p w14:paraId="5CD2C16C">
      <w:pPr>
        <w:adjustRightInd w:val="0"/>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（采购人）： </w:t>
      </w:r>
    </w:p>
    <w:p w14:paraId="5F0E8A6D">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鉴于你方与</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（以下简称供应商）于</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日签定编号为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的《</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政府采购合同》（以下简称主合同），且依据该合同的约定，供应商应在</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日前向你方交纳履约保证金，且可以履约担保函的形式交纳履约保证金。应供应商的申请，我方以保证的方式向你方提供如下履约保证金担保：</w:t>
      </w:r>
    </w:p>
    <w:p w14:paraId="68CD5493">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一、保证责任的情形及保证金额</w:t>
      </w:r>
    </w:p>
    <w:p w14:paraId="1EA5A9EB">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（一）在供应商出现下列情形之一时，我方承担保证责任：</w:t>
      </w:r>
    </w:p>
    <w:p w14:paraId="22CCF2D9">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1．将中标项目转让给他人，或者在</w:t>
      </w:r>
      <w:r>
        <w:rPr>
          <w:rFonts w:hint="eastAsia" w:ascii="宋体" w:hAnsi="宋体" w:eastAsia="宋体" w:cs="宋体"/>
          <w:color w:val="auto"/>
          <w:kern w:val="0"/>
          <w:szCs w:val="21"/>
          <w:highlight w:val="none"/>
          <w:lang w:eastAsia="zh-CN"/>
        </w:rPr>
        <w:t>响应文件</w:t>
      </w:r>
      <w:r>
        <w:rPr>
          <w:rFonts w:hint="eastAsia" w:ascii="宋体" w:hAnsi="宋体" w:eastAsia="宋体" w:cs="宋体"/>
          <w:color w:val="auto"/>
          <w:kern w:val="0"/>
          <w:szCs w:val="21"/>
          <w:highlight w:val="none"/>
        </w:rPr>
        <w:t>中未说明，且未经采购人同意，将中标项目分包给他人的；</w:t>
      </w:r>
    </w:p>
    <w:p w14:paraId="181CC32E">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2．主合同约定的应当缴纳履约保证金的情形: </w:t>
      </w:r>
    </w:p>
    <w:p w14:paraId="2960005A">
      <w:pPr>
        <w:adjustRightInd w:val="0"/>
        <w:snapToGrid w:val="0"/>
        <w:spacing w:line="360" w:lineRule="auto"/>
        <w:ind w:firstLine="420" w:firstLineChars="200"/>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 xml:space="preserve">（1）未按主合同约定的质量、数量和期限供应货物/提供服务/完成工程的； </w:t>
      </w:r>
    </w:p>
    <w:p w14:paraId="68F44385">
      <w:pPr>
        <w:adjustRightInd w:val="0"/>
        <w:snapToGrid w:val="0"/>
        <w:spacing w:line="360" w:lineRule="auto"/>
        <w:ind w:firstLine="420" w:firstLineChars="200"/>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40012387">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（二）我方的保证范围是主合同约定的合同价款总额的</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%数额为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元（大写</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），币种为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。（即主合同履约保证金金额）</w:t>
      </w:r>
    </w:p>
    <w:p w14:paraId="45119090">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 xml:space="preserve">二、保证的方式及保证期间 </w:t>
      </w:r>
    </w:p>
    <w:p w14:paraId="4849762F">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我方保证的方式为：连带责任保证。 </w:t>
      </w:r>
    </w:p>
    <w:p w14:paraId="34C002D6">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我方保证的期间为：自本合同生效之日起至供应商按照主合同约定的供货/完工期限届满后</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日内。</w:t>
      </w:r>
    </w:p>
    <w:p w14:paraId="7B969EF5">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如果供应商未按主合同约定向贵方供应货物/提供服务/完成工程的，由我方在保证金额内向你方支付上述款项。 </w:t>
      </w:r>
    </w:p>
    <w:p w14:paraId="346754A0">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三、承担保证责任的程序</w:t>
      </w:r>
    </w:p>
    <w:p w14:paraId="198FB4DA">
      <w:pPr>
        <w:adjustRightInd w:val="0"/>
        <w:snapToGrid w:val="0"/>
        <w:spacing w:line="360" w:lineRule="auto"/>
        <w:ind w:firstLine="420" w:firstLineChars="200"/>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 xml:space="preserve">1．你方要求我方承担保证责任的，应在本保函保证期间内向我方发出书面索赔通知。索赔通知应写明要求索赔的金额，支付款项应到达的账号。并附有证明供应商违约事实的证明材料。 </w:t>
      </w:r>
    </w:p>
    <w:p w14:paraId="74A4AF4D">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如果你方与供应商因货物质量问题产生争议，你方还需同时提供</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部门出具的质量检测报告，或经诉讼（仲裁）程序裁决后的裁决书、调解书，本保证人即按照检测结果或裁决书、调解书决定是否承担保证责任。</w:t>
      </w:r>
    </w:p>
    <w:p w14:paraId="22BCA70B">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2．我方收到你方的书面索赔通知及相应证明材料，在</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工作日内进行核定后按照本保函的承诺承担保证责任。</w:t>
      </w:r>
    </w:p>
    <w:p w14:paraId="50B23B82">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四、保证责任的终止</w:t>
      </w:r>
    </w:p>
    <w:p w14:paraId="770E687D">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412C8BB7">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2．我方按照本保函向你方履行了保证责任后，自我方向你方支付款项（支付款项从我方账户划出）之日起，保证责任即终止。</w:t>
      </w:r>
    </w:p>
    <w:p w14:paraId="6F38C091">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3．按照法律法规的规定或出现应终止我方保证责任的其它情形的，我方在本保函项下的保证责任亦终止。</w:t>
      </w:r>
    </w:p>
    <w:p w14:paraId="496420ED">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08BE7626">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五、免责条款</w:t>
      </w:r>
    </w:p>
    <w:p w14:paraId="1F4F6A31">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1．因你方违反主合同约定致使供应商不能履行义务的，我方不承担保证责任。</w:t>
      </w:r>
    </w:p>
    <w:p w14:paraId="79CF1E7C">
      <w:pPr>
        <w:adjustRightInd w:val="0"/>
        <w:snapToGrid w:val="0"/>
        <w:spacing w:line="360" w:lineRule="auto"/>
        <w:ind w:firstLine="420" w:firstLineChars="200"/>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2．依照法律法规的规定或你方与供应商的另行约定，全部或者部分免除供应商应缴纳的保证金义务的，我方亦免除相应的保证责任。</w:t>
      </w:r>
    </w:p>
    <w:p w14:paraId="667EBE10">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3．因不可抗力造成供应商不能履行供货义务的，我方不承担保证责任。</w:t>
      </w:r>
    </w:p>
    <w:p w14:paraId="62A4B750">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六、争议的解决</w:t>
      </w:r>
    </w:p>
    <w:p w14:paraId="3ABE9888">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因本保函发生的纠纷，由你我双方协商解决，协商不成的，通过诉讼程序解决，诉讼管辖地法院为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法院。</w:t>
      </w:r>
    </w:p>
    <w:p w14:paraId="67BA13AD">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 xml:space="preserve">七、保函的生效 </w:t>
      </w:r>
    </w:p>
    <w:p w14:paraId="43033EF7">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本保函自我方加盖公章之日起生效。 </w:t>
      </w:r>
    </w:p>
    <w:p w14:paraId="0FB0F178">
      <w:pPr>
        <w:tabs>
          <w:tab w:val="left" w:pos="2850"/>
        </w:tabs>
        <w:adjustRightInd w:val="0"/>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szCs w:val="21"/>
          <w:highlight w:val="none"/>
        </w:rPr>
        <w:tab/>
      </w:r>
      <w:r>
        <w:rPr>
          <w:rFonts w:hint="eastAsia" w:ascii="宋体" w:hAnsi="宋体" w:eastAsia="宋体" w:cs="宋体"/>
          <w:color w:val="auto"/>
          <w:kern w:val="0"/>
          <w:szCs w:val="21"/>
          <w:highlight w:val="none"/>
        </w:rPr>
        <w:t xml:space="preserve">          保证人：（公章） </w:t>
      </w:r>
    </w:p>
    <w:p w14:paraId="14BBD5F5">
      <w:pPr>
        <w:adjustRightInd w:val="0"/>
        <w:snapToGrid w:val="0"/>
        <w:spacing w:line="360" w:lineRule="auto"/>
        <w:rPr>
          <w:rFonts w:hint="eastAsia" w:ascii="宋体" w:hAnsi="宋体" w:eastAsia="宋体" w:cs="宋体"/>
          <w:color w:val="auto"/>
          <w:kern w:val="0"/>
          <w:szCs w:val="21"/>
          <w:highlight w:val="none"/>
          <w:u w:val="none"/>
          <w:lang w:val="en-US" w:eastAsia="zh-CN"/>
        </w:rPr>
        <w:sectPr>
          <w:pgSz w:w="11906" w:h="16838"/>
          <w:pgMar w:top="1134" w:right="1134" w:bottom="1134" w:left="1134" w:header="851" w:footer="992" w:gutter="0"/>
          <w:pgNumType w:fmt="decimal"/>
          <w:cols w:space="720" w:num="1"/>
          <w:docGrid w:linePitch="312" w:charSpace="0"/>
        </w:sectPr>
      </w:pP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none"/>
          <w:lang w:val="en-US" w:eastAsia="zh-CN"/>
        </w:rPr>
        <w:t>月</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none"/>
          <w:lang w:val="en-US" w:eastAsia="zh-CN"/>
        </w:rPr>
        <w:t xml:space="preserve"> 日</w:t>
      </w:r>
    </w:p>
    <w:p w14:paraId="29EA831B">
      <w:pPr>
        <w:pStyle w:val="4"/>
        <w:pageBreakBefore w:val="0"/>
        <w:widowControl w:val="0"/>
        <w:kinsoku/>
        <w:wordWrap/>
        <w:overflowPunct/>
        <w:topLinePunct w:val="0"/>
        <w:autoSpaceDE/>
        <w:autoSpaceDN/>
        <w:bidi w:val="0"/>
        <w:adjustRightInd/>
        <w:snapToGrid/>
        <w:spacing w:before="0" w:after="0" w:line="336"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附页1：评审方法</w:t>
      </w:r>
    </w:p>
    <w:p w14:paraId="0D813D7C">
      <w:pPr>
        <w:pageBreakBefore w:val="0"/>
        <w:widowControl w:val="0"/>
        <w:kinsoku/>
        <w:wordWrap/>
        <w:overflowPunct/>
        <w:topLinePunct w:val="0"/>
        <w:autoSpaceDE/>
        <w:autoSpaceDN/>
        <w:bidi w:val="0"/>
        <w:adjustRightInd/>
        <w:snapToGrid/>
        <w:spacing w:line="336" w:lineRule="auto"/>
        <w:jc w:val="center"/>
        <w:textAlignment w:val="auto"/>
        <w:rPr>
          <w:rFonts w:hint="eastAsia" w:ascii="宋体" w:hAnsi="宋体" w:eastAsia="宋体" w:cs="宋体"/>
          <w:b/>
          <w:color w:val="auto"/>
          <w:sz w:val="36"/>
          <w:szCs w:val="36"/>
          <w:highlight w:val="none"/>
        </w:rPr>
      </w:pPr>
      <w:bookmarkStart w:id="0" w:name="_Toc17929"/>
      <w:bookmarkStart w:id="1" w:name="_Toc485821379"/>
      <w:r>
        <w:rPr>
          <w:rFonts w:hint="eastAsia" w:ascii="宋体" w:hAnsi="宋体" w:eastAsia="宋体" w:cs="宋体"/>
          <w:b/>
          <w:bCs/>
          <w:color w:val="auto"/>
          <w:sz w:val="36"/>
          <w:szCs w:val="36"/>
          <w:highlight w:val="none"/>
        </w:rPr>
        <w:t>评审方法</w:t>
      </w:r>
    </w:p>
    <w:p w14:paraId="65783AB6">
      <w:pPr>
        <w:pageBreakBefore w:val="0"/>
        <w:widowControl w:val="0"/>
        <w:numPr>
          <w:ilvl w:val="0"/>
          <w:numId w:val="4"/>
        </w:numPr>
        <w:kinsoku/>
        <w:wordWrap/>
        <w:overflowPunct/>
        <w:topLinePunct w:val="0"/>
        <w:autoSpaceDE/>
        <w:autoSpaceDN/>
        <w:bidi w:val="0"/>
        <w:adjustRightInd/>
        <w:snapToGrid/>
        <w:spacing w:line="336" w:lineRule="auto"/>
        <w:ind w:right="-109" w:rightChars="-52"/>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通则</w:t>
      </w:r>
      <w:bookmarkEnd w:id="0"/>
      <w:bookmarkEnd w:id="1"/>
    </w:p>
    <w:p w14:paraId="023702EF">
      <w:pPr>
        <w:pageBreakBefore w:val="0"/>
        <w:widowControl w:val="0"/>
        <w:numPr>
          <w:ilvl w:val="1"/>
          <w:numId w:val="5"/>
        </w:numPr>
        <w:kinsoku/>
        <w:wordWrap/>
        <w:overflowPunct/>
        <w:topLinePunct w:val="0"/>
        <w:autoSpaceDE/>
        <w:autoSpaceDN/>
        <w:bidi w:val="0"/>
        <w:adjustRightInd/>
        <w:snapToGrid/>
        <w:spacing w:line="336"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评审采用</w:t>
      </w:r>
      <w:bookmarkStart w:id="2" w:name="_Toc324196831"/>
      <w:r>
        <w:rPr>
          <w:rFonts w:hint="eastAsia" w:ascii="宋体" w:hAnsi="宋体" w:eastAsia="宋体" w:cs="宋体"/>
          <w:color w:val="auto"/>
          <w:szCs w:val="21"/>
          <w:highlight w:val="none"/>
        </w:rPr>
        <w:t>“综合评分法</w:t>
      </w:r>
      <w:bookmarkEnd w:id="2"/>
      <w:r>
        <w:rPr>
          <w:rFonts w:hint="eastAsia" w:ascii="宋体" w:hAnsi="宋体" w:eastAsia="宋体" w:cs="宋体"/>
          <w:color w:val="auto"/>
          <w:szCs w:val="21"/>
          <w:highlight w:val="none"/>
        </w:rPr>
        <w:t>”。</w:t>
      </w:r>
    </w:p>
    <w:p w14:paraId="1F77FD6B">
      <w:pPr>
        <w:pageBreakBefore w:val="0"/>
        <w:widowControl w:val="0"/>
        <w:numPr>
          <w:ilvl w:val="1"/>
          <w:numId w:val="5"/>
        </w:numPr>
        <w:kinsoku/>
        <w:wordWrap/>
        <w:overflowPunct/>
        <w:topLinePunct w:val="0"/>
        <w:autoSpaceDE/>
        <w:autoSpaceDN/>
        <w:bidi w:val="0"/>
        <w:adjustRightInd/>
        <w:snapToGrid/>
        <w:spacing w:line="336"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评审因素：价格、</w:t>
      </w:r>
      <w:r>
        <w:rPr>
          <w:rFonts w:hint="eastAsia" w:ascii="宋体" w:hAnsi="宋体" w:eastAsia="宋体" w:cs="宋体"/>
          <w:color w:val="auto"/>
          <w:szCs w:val="21"/>
          <w:highlight w:val="none"/>
          <w:lang w:val="en-US" w:eastAsia="zh-CN"/>
        </w:rPr>
        <w:t>商务、</w:t>
      </w:r>
      <w:r>
        <w:rPr>
          <w:rFonts w:hint="eastAsia" w:ascii="宋体" w:hAnsi="宋体" w:eastAsia="宋体" w:cs="宋体"/>
          <w:color w:val="auto"/>
          <w:szCs w:val="21"/>
          <w:highlight w:val="none"/>
        </w:rPr>
        <w:t>技术对磋商文件的响应程度，以及相应的比重或者权值等，但不包括《第二章 磋商须知第3.1</w:t>
      </w:r>
      <w:r>
        <w:rPr>
          <w:rFonts w:hint="eastAsia" w:ascii="宋体" w:hAnsi="宋体" w:eastAsia="宋体" w:cs="宋体"/>
          <w:color w:val="auto"/>
          <w:szCs w:val="21"/>
          <w:highlight w:val="none"/>
          <w:lang w:val="en-US" w:eastAsia="zh-CN"/>
        </w:rPr>
        <w:t>款</w:t>
      </w:r>
      <w:r>
        <w:rPr>
          <w:rFonts w:hint="eastAsia" w:ascii="宋体" w:hAnsi="宋体" w:eastAsia="宋体" w:cs="宋体"/>
          <w:color w:val="auto"/>
          <w:szCs w:val="21"/>
          <w:highlight w:val="none"/>
        </w:rPr>
        <w:t>》规定的供应商资格条件。</w:t>
      </w:r>
    </w:p>
    <w:p w14:paraId="01D2B30C">
      <w:pPr>
        <w:pageBreakBefore w:val="0"/>
        <w:widowControl w:val="0"/>
        <w:numPr>
          <w:ilvl w:val="0"/>
          <w:numId w:val="4"/>
        </w:numPr>
        <w:kinsoku/>
        <w:wordWrap/>
        <w:overflowPunct/>
        <w:topLinePunct w:val="0"/>
        <w:autoSpaceDE/>
        <w:autoSpaceDN/>
        <w:bidi w:val="0"/>
        <w:adjustRightInd/>
        <w:snapToGrid/>
        <w:spacing w:line="336" w:lineRule="auto"/>
        <w:ind w:right="-109" w:rightChars="-52"/>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评审程序</w:t>
      </w:r>
    </w:p>
    <w:p w14:paraId="6E08CA23">
      <w:pPr>
        <w:pageBreakBefore w:val="0"/>
        <w:widowControl w:val="0"/>
        <w:kinsoku/>
        <w:wordWrap/>
        <w:overflowPunct/>
        <w:topLinePunct w:val="0"/>
        <w:autoSpaceDE/>
        <w:autoSpaceDN/>
        <w:bidi w:val="0"/>
        <w:adjustRightInd/>
        <w:snapToGrid/>
        <w:spacing w:line="336" w:lineRule="auto"/>
        <w:ind w:right="-109" w:rightChars="-52" w:firstLine="630" w:firstLineChars="300"/>
        <w:textAlignment w:val="auto"/>
        <w:rPr>
          <w:rFonts w:hint="eastAsia" w:ascii="宋体" w:hAnsi="宋体" w:eastAsia="宋体" w:cs="宋体"/>
          <w:color w:val="auto"/>
          <w:highlight w:val="none"/>
        </w:rPr>
      </w:pPr>
      <w:r>
        <w:rPr>
          <w:rFonts w:hint="eastAsia" w:ascii="宋体" w:hAnsi="宋体" w:eastAsia="宋体" w:cs="宋体"/>
          <w:color w:val="auto"/>
          <w:kern w:val="0"/>
          <w:highlight w:val="none"/>
        </w:rPr>
        <w:t>资格</w:t>
      </w:r>
      <w:r>
        <w:rPr>
          <w:rFonts w:hint="eastAsia" w:ascii="宋体" w:hAnsi="宋体" w:eastAsia="宋体" w:cs="宋体"/>
          <w:color w:val="auto"/>
          <w:kern w:val="0"/>
          <w:highlight w:val="none"/>
          <w:lang w:val="en-US" w:eastAsia="zh-CN"/>
        </w:rPr>
        <w:t>性</w:t>
      </w:r>
      <w:r>
        <w:rPr>
          <w:rFonts w:hint="eastAsia" w:ascii="宋体" w:hAnsi="宋体" w:eastAsia="宋体" w:cs="宋体"/>
          <w:color w:val="auto"/>
          <w:kern w:val="0"/>
          <w:highlight w:val="none"/>
        </w:rPr>
        <w:t>审查、</w:t>
      </w:r>
      <w:r>
        <w:rPr>
          <w:rFonts w:hint="eastAsia" w:ascii="宋体" w:hAnsi="宋体" w:eastAsia="宋体" w:cs="宋体"/>
          <w:color w:val="auto"/>
          <w:kern w:val="0"/>
          <w:highlight w:val="none"/>
          <w:lang w:val="en-US" w:eastAsia="zh-CN"/>
        </w:rPr>
        <w:t>符合性</w:t>
      </w:r>
      <w:r>
        <w:rPr>
          <w:rFonts w:hint="eastAsia" w:ascii="宋体" w:hAnsi="宋体" w:eastAsia="宋体" w:cs="宋体"/>
          <w:color w:val="auto"/>
          <w:kern w:val="0"/>
          <w:highlight w:val="none"/>
        </w:rPr>
        <w:t>审查、磋商（</w:t>
      </w:r>
      <w:r>
        <w:rPr>
          <w:rFonts w:hint="eastAsia" w:ascii="宋体" w:hAnsi="宋体" w:eastAsia="宋体" w:cs="宋体"/>
          <w:color w:val="auto"/>
          <w:szCs w:val="21"/>
          <w:highlight w:val="none"/>
        </w:rPr>
        <w:t>包括澄清</w:t>
      </w:r>
      <w:r>
        <w:rPr>
          <w:rFonts w:hint="eastAsia" w:ascii="宋体" w:hAnsi="宋体" w:eastAsia="宋体" w:cs="宋体"/>
          <w:color w:val="auto"/>
          <w:kern w:val="0"/>
          <w:highlight w:val="none"/>
        </w:rPr>
        <w:t>、符合性评审查）、</w:t>
      </w:r>
      <w:r>
        <w:rPr>
          <w:rFonts w:hint="eastAsia" w:ascii="宋体" w:hAnsi="宋体" w:eastAsia="宋体" w:cs="宋体"/>
          <w:color w:val="auto"/>
          <w:highlight w:val="none"/>
        </w:rPr>
        <w:t>提出成交供应商。</w:t>
      </w:r>
    </w:p>
    <w:p w14:paraId="69ADFBE3">
      <w:pPr>
        <w:pageBreakBefore w:val="0"/>
        <w:widowControl w:val="0"/>
        <w:numPr>
          <w:ilvl w:val="1"/>
          <w:numId w:val="6"/>
        </w:numPr>
        <w:kinsoku/>
        <w:wordWrap/>
        <w:overflowPunct/>
        <w:topLinePunct w:val="0"/>
        <w:autoSpaceDE/>
        <w:autoSpaceDN/>
        <w:bidi w:val="0"/>
        <w:adjustRightInd/>
        <w:snapToGrid/>
        <w:spacing w:line="336" w:lineRule="auto"/>
        <w:ind w:left="632" w:hanging="632" w:hangingChars="3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供应商资格审查：</w:t>
      </w:r>
    </w:p>
    <w:p w14:paraId="2C0FF9B7">
      <w:pPr>
        <w:keepNext w:val="0"/>
        <w:keepLines w:val="0"/>
        <w:pageBreakBefore w:val="0"/>
        <w:widowControl/>
        <w:numPr>
          <w:ilvl w:val="1"/>
          <w:numId w:val="7"/>
        </w:numPr>
        <w:kinsoku/>
        <w:wordWrap/>
        <w:overflowPunct/>
        <w:topLinePunct w:val="0"/>
        <w:autoSpaceDE/>
        <w:autoSpaceDN/>
        <w:bidi w:val="0"/>
        <w:adjustRightInd/>
        <w:snapToGrid/>
        <w:spacing w:line="400" w:lineRule="exact"/>
        <w:ind w:left="3570" w:leftChars="0" w:firstLineChars="0"/>
        <w:jc w:val="left"/>
        <w:textAlignment w:val="auto"/>
        <w:outlineLvl w:val="4"/>
        <w:rPr>
          <w:rFonts w:hint="eastAsia" w:ascii="宋体" w:hAnsi="宋体" w:eastAsia="宋体" w:cs="宋体"/>
          <w:b/>
          <w:color w:val="auto"/>
          <w:szCs w:val="21"/>
          <w:highlight w:val="none"/>
        </w:rPr>
      </w:pPr>
      <w:bookmarkStart w:id="3" w:name="_Toc8161080"/>
      <w:bookmarkStart w:id="4" w:name="_Toc2485"/>
      <w:r>
        <w:rPr>
          <w:rFonts w:hint="eastAsia" w:ascii="宋体" w:hAnsi="宋体" w:eastAsia="宋体" w:cs="宋体"/>
          <w:b/>
          <w:color w:val="auto"/>
          <w:szCs w:val="21"/>
          <w:highlight w:val="none"/>
        </w:rPr>
        <w:t>资格性审查表</w:t>
      </w:r>
      <w:bookmarkEnd w:id="3"/>
      <w:bookmarkEnd w:id="4"/>
    </w:p>
    <w:tbl>
      <w:tblPr>
        <w:tblStyle w:val="43"/>
        <w:tblW w:w="1041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
        <w:gridCol w:w="5947"/>
        <w:gridCol w:w="2359"/>
        <w:gridCol w:w="641"/>
        <w:gridCol w:w="546"/>
        <w:gridCol w:w="529"/>
        <w:gridCol w:w="6"/>
      </w:tblGrid>
      <w:tr w14:paraId="28B8F4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blHeader/>
          <w:jc w:val="center"/>
        </w:trPr>
        <w:tc>
          <w:tcPr>
            <w:tcW w:w="389" w:type="dxa"/>
            <w:vMerge w:val="restart"/>
            <w:tcBorders>
              <w:top w:val="single" w:color="auto" w:sz="4" w:space="0"/>
              <w:left w:val="single" w:color="auto" w:sz="4" w:space="0"/>
            </w:tcBorders>
            <w:noWrap w:val="0"/>
            <w:vAlign w:val="center"/>
          </w:tcPr>
          <w:p w14:paraId="4E34029D">
            <w:pPr>
              <w:widowControl/>
              <w:spacing w:before="24" w:beforeLines="10" w:after="24" w:afterLines="10" w:line="300" w:lineRule="exact"/>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eastAsia="zh-CN"/>
              </w:rPr>
              <w:t>序号</w:t>
            </w:r>
          </w:p>
        </w:tc>
        <w:tc>
          <w:tcPr>
            <w:tcW w:w="5947" w:type="dxa"/>
            <w:vMerge w:val="restart"/>
            <w:tcBorders>
              <w:top w:val="single" w:color="auto" w:sz="4" w:space="0"/>
            </w:tcBorders>
            <w:noWrap w:val="0"/>
            <w:vAlign w:val="center"/>
          </w:tcPr>
          <w:p w14:paraId="54AF0CFD">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color w:val="auto"/>
                <w:highlight w:val="none"/>
              </w:rPr>
              <w:t>检查项目</w:t>
            </w:r>
          </w:p>
        </w:tc>
        <w:tc>
          <w:tcPr>
            <w:tcW w:w="2359" w:type="dxa"/>
            <w:vMerge w:val="restart"/>
            <w:tcBorders>
              <w:top w:val="single" w:color="auto" w:sz="4" w:space="0"/>
              <w:right w:val="single" w:color="auto" w:sz="4" w:space="0"/>
            </w:tcBorders>
            <w:noWrap w:val="0"/>
            <w:vAlign w:val="center"/>
          </w:tcPr>
          <w:p w14:paraId="5FD10673">
            <w:pPr>
              <w:widowControl/>
              <w:spacing w:before="24" w:beforeLines="10" w:after="24" w:afterLines="10" w:line="300" w:lineRule="exact"/>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eastAsia="zh-CN"/>
              </w:rPr>
              <w:t>检查标准</w:t>
            </w:r>
          </w:p>
        </w:tc>
        <w:tc>
          <w:tcPr>
            <w:tcW w:w="1722" w:type="dxa"/>
            <w:gridSpan w:val="4"/>
            <w:tcBorders>
              <w:top w:val="single" w:color="auto" w:sz="4" w:space="0"/>
              <w:right w:val="single" w:color="auto" w:sz="4" w:space="0"/>
            </w:tcBorders>
            <w:noWrap w:val="0"/>
            <w:vAlign w:val="center"/>
          </w:tcPr>
          <w:p w14:paraId="1AA3D7CC">
            <w:pPr>
              <w:widowControl/>
              <w:spacing w:before="24" w:beforeLines="10" w:after="24" w:afterLines="10" w:line="300" w:lineRule="exact"/>
              <w:jc w:val="center"/>
              <w:rPr>
                <w:rFonts w:hint="eastAsia" w:ascii="宋体" w:hAnsi="宋体" w:eastAsia="宋体" w:cs="宋体"/>
                <w:color w:val="auto"/>
                <w:highlight w:val="none"/>
                <w:lang w:eastAsia="zh-CN"/>
              </w:rPr>
            </w:pPr>
            <w:r>
              <w:rPr>
                <w:rFonts w:hint="eastAsia" w:ascii="宋体" w:hAnsi="宋体" w:eastAsia="宋体" w:cs="宋体"/>
                <w:b/>
                <w:color w:val="auto"/>
                <w:highlight w:val="none"/>
                <w:lang w:eastAsia="zh-CN"/>
              </w:rPr>
              <w:t>投标人</w:t>
            </w:r>
          </w:p>
        </w:tc>
      </w:tr>
      <w:tr w14:paraId="383D22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blHeader/>
          <w:jc w:val="center"/>
        </w:trPr>
        <w:tc>
          <w:tcPr>
            <w:tcW w:w="389" w:type="dxa"/>
            <w:vMerge w:val="continue"/>
            <w:tcBorders>
              <w:left w:val="single" w:color="auto" w:sz="4" w:space="0"/>
            </w:tcBorders>
            <w:noWrap w:val="0"/>
            <w:vAlign w:val="center"/>
          </w:tcPr>
          <w:p w14:paraId="6AB99088">
            <w:pPr>
              <w:widowControl/>
              <w:spacing w:before="24" w:beforeLines="10" w:after="24" w:afterLines="10" w:line="300" w:lineRule="exact"/>
              <w:rPr>
                <w:rFonts w:hint="eastAsia" w:ascii="宋体" w:hAnsi="宋体" w:eastAsia="宋体" w:cs="宋体"/>
                <w:b/>
                <w:color w:val="auto"/>
                <w:highlight w:val="none"/>
              </w:rPr>
            </w:pPr>
          </w:p>
        </w:tc>
        <w:tc>
          <w:tcPr>
            <w:tcW w:w="5947" w:type="dxa"/>
            <w:vMerge w:val="continue"/>
            <w:noWrap w:val="0"/>
            <w:vAlign w:val="center"/>
          </w:tcPr>
          <w:p w14:paraId="5B280918">
            <w:pPr>
              <w:widowControl/>
              <w:spacing w:before="24" w:beforeLines="10" w:after="24" w:afterLines="10" w:line="300" w:lineRule="exact"/>
              <w:rPr>
                <w:rFonts w:hint="eastAsia" w:ascii="宋体" w:hAnsi="宋体" w:eastAsia="宋体" w:cs="宋体"/>
                <w:b/>
                <w:color w:val="auto"/>
                <w:highlight w:val="none"/>
              </w:rPr>
            </w:pPr>
          </w:p>
        </w:tc>
        <w:tc>
          <w:tcPr>
            <w:tcW w:w="2359" w:type="dxa"/>
            <w:vMerge w:val="continue"/>
            <w:tcBorders>
              <w:right w:val="single" w:color="auto" w:sz="4" w:space="0"/>
            </w:tcBorders>
            <w:noWrap w:val="0"/>
            <w:vAlign w:val="center"/>
          </w:tcPr>
          <w:p w14:paraId="625B19D5">
            <w:pPr>
              <w:widowControl/>
              <w:spacing w:before="24" w:beforeLines="10" w:after="24" w:afterLines="10" w:line="300" w:lineRule="exact"/>
              <w:rPr>
                <w:rFonts w:hint="eastAsia" w:ascii="宋体" w:hAnsi="宋体" w:eastAsia="宋体" w:cs="宋体"/>
                <w:b/>
                <w:color w:val="auto"/>
                <w:highlight w:val="none"/>
              </w:rPr>
            </w:pPr>
          </w:p>
        </w:tc>
        <w:tc>
          <w:tcPr>
            <w:tcW w:w="641" w:type="dxa"/>
            <w:noWrap w:val="0"/>
            <w:vAlign w:val="center"/>
          </w:tcPr>
          <w:p w14:paraId="111077C0">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1</w:t>
            </w:r>
          </w:p>
        </w:tc>
        <w:tc>
          <w:tcPr>
            <w:tcW w:w="546" w:type="dxa"/>
            <w:noWrap w:val="0"/>
            <w:vAlign w:val="center"/>
          </w:tcPr>
          <w:p w14:paraId="31D601DF">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2</w:t>
            </w:r>
          </w:p>
        </w:tc>
        <w:tc>
          <w:tcPr>
            <w:tcW w:w="535" w:type="dxa"/>
            <w:gridSpan w:val="2"/>
            <w:tcBorders>
              <w:right w:val="single" w:color="auto" w:sz="4" w:space="0"/>
            </w:tcBorders>
            <w:noWrap w:val="0"/>
            <w:vAlign w:val="center"/>
          </w:tcPr>
          <w:p w14:paraId="6D4895E1">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3</w:t>
            </w:r>
          </w:p>
        </w:tc>
      </w:tr>
      <w:tr w14:paraId="5A33A0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389" w:type="dxa"/>
            <w:tcBorders>
              <w:left w:val="single" w:color="auto" w:sz="4" w:space="0"/>
            </w:tcBorders>
            <w:noWrap w:val="0"/>
            <w:vAlign w:val="center"/>
          </w:tcPr>
          <w:p w14:paraId="3F4EF4B5">
            <w:pPr>
              <w:widowControl/>
              <w:spacing w:before="24" w:beforeLines="10" w:after="24" w:afterLines="10" w:line="300" w:lineRule="exac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w:t>
            </w:r>
          </w:p>
        </w:tc>
        <w:tc>
          <w:tcPr>
            <w:tcW w:w="5947" w:type="dxa"/>
            <w:noWrap w:val="0"/>
            <w:vAlign w:val="center"/>
          </w:tcPr>
          <w:p w14:paraId="0DF76A9D">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eastAsia="宋体" w:cs="宋体"/>
                <w:color w:val="auto"/>
                <w:sz w:val="20"/>
                <w:szCs w:val="22"/>
                <w:highlight w:val="none"/>
              </w:rPr>
              <w:t>（法人参加磋商）法定代表人身份证或（委托人参加磋商）法人授权委托书及被委托人身份证</w:t>
            </w:r>
            <w:r>
              <w:rPr>
                <w:rFonts w:hint="eastAsia" w:ascii="宋体" w:hAnsi="宋体" w:eastAsia="宋体" w:cs="宋体"/>
                <w:color w:val="auto"/>
                <w:sz w:val="20"/>
                <w:szCs w:val="22"/>
                <w:highlight w:val="none"/>
                <w:lang w:eastAsia="zh-CN"/>
              </w:rPr>
              <w:t>。</w:t>
            </w:r>
          </w:p>
        </w:tc>
        <w:tc>
          <w:tcPr>
            <w:tcW w:w="2359" w:type="dxa"/>
            <w:noWrap w:val="0"/>
            <w:vAlign w:val="center"/>
          </w:tcPr>
          <w:p w14:paraId="29615BF1">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w:t>
            </w:r>
            <w:r>
              <w:rPr>
                <w:rFonts w:hint="eastAsia" w:ascii="宋体" w:hAnsi="宋体" w:eastAsia="宋体" w:cs="宋体"/>
                <w:color w:val="auto"/>
                <w:sz w:val="20"/>
                <w:szCs w:val="22"/>
                <w:highlight w:val="none"/>
                <w:lang w:val="en-US" w:eastAsia="zh-CN"/>
              </w:rPr>
              <w:t>复印件</w:t>
            </w:r>
            <w:r>
              <w:rPr>
                <w:rFonts w:hint="eastAsia" w:ascii="宋体" w:hAnsi="宋体" w:eastAsia="宋体" w:cs="宋体"/>
                <w:color w:val="auto"/>
                <w:sz w:val="20"/>
                <w:szCs w:val="22"/>
                <w:highlight w:val="none"/>
                <w:lang w:eastAsia="zh-CN"/>
              </w:rPr>
              <w:t>（可装订在响应文件正本中）</w:t>
            </w:r>
          </w:p>
        </w:tc>
        <w:tc>
          <w:tcPr>
            <w:tcW w:w="641" w:type="dxa"/>
            <w:noWrap w:val="0"/>
            <w:vAlign w:val="center"/>
          </w:tcPr>
          <w:p w14:paraId="6E50B6A1">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37468040">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4877D22F">
            <w:pPr>
              <w:widowControl/>
              <w:spacing w:before="24" w:beforeLines="10" w:after="24" w:afterLines="10" w:line="300" w:lineRule="exact"/>
              <w:jc w:val="center"/>
              <w:rPr>
                <w:rFonts w:hint="eastAsia" w:ascii="宋体" w:hAnsi="宋体" w:eastAsia="宋体" w:cs="宋体"/>
                <w:color w:val="auto"/>
                <w:highlight w:val="none"/>
              </w:rPr>
            </w:pPr>
          </w:p>
        </w:tc>
      </w:tr>
      <w:tr w14:paraId="662227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389" w:type="dxa"/>
            <w:tcBorders>
              <w:left w:val="single" w:color="auto" w:sz="4" w:space="0"/>
            </w:tcBorders>
            <w:noWrap w:val="0"/>
            <w:vAlign w:val="center"/>
          </w:tcPr>
          <w:p w14:paraId="4E8FB1EB">
            <w:pPr>
              <w:widowControl/>
              <w:spacing w:before="24" w:beforeLines="10" w:after="24" w:afterLines="10" w:line="300" w:lineRule="exac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w:t>
            </w:r>
          </w:p>
        </w:tc>
        <w:tc>
          <w:tcPr>
            <w:tcW w:w="5947" w:type="dxa"/>
            <w:noWrap w:val="0"/>
            <w:vAlign w:val="center"/>
          </w:tcPr>
          <w:p w14:paraId="1D6FD808">
            <w:pPr>
              <w:widowControl/>
              <w:spacing w:before="24" w:beforeLines="10" w:after="24" w:afterLines="10" w:line="300" w:lineRule="exact"/>
              <w:jc w:val="both"/>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2"/>
                <w:highlight w:val="none"/>
                <w:lang w:val="en-US" w:eastAsia="zh-CN"/>
              </w:rPr>
              <w:t>营业执照副本、税务登记证副本、组织机构代码证（“三证合一或五证合一”只提供营业执照副本）。</w:t>
            </w:r>
          </w:p>
        </w:tc>
        <w:tc>
          <w:tcPr>
            <w:tcW w:w="2359" w:type="dxa"/>
            <w:noWrap w:val="0"/>
            <w:vAlign w:val="center"/>
          </w:tcPr>
          <w:p w14:paraId="12EE2A28">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查验响应文件中证书复印件加盖公章，要求：真实有效</w:t>
            </w:r>
          </w:p>
        </w:tc>
        <w:tc>
          <w:tcPr>
            <w:tcW w:w="641" w:type="dxa"/>
            <w:noWrap w:val="0"/>
            <w:vAlign w:val="center"/>
          </w:tcPr>
          <w:p w14:paraId="406154B3">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5B993CC8">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27F015E3">
            <w:pPr>
              <w:widowControl/>
              <w:spacing w:before="24" w:beforeLines="10" w:after="24" w:afterLines="10" w:line="300" w:lineRule="exact"/>
              <w:jc w:val="center"/>
              <w:rPr>
                <w:rFonts w:hint="eastAsia" w:ascii="宋体" w:hAnsi="宋体" w:eastAsia="宋体" w:cs="宋体"/>
                <w:color w:val="auto"/>
                <w:highlight w:val="none"/>
              </w:rPr>
            </w:pPr>
          </w:p>
        </w:tc>
      </w:tr>
      <w:tr w14:paraId="173F9B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83" w:hRule="atLeast"/>
          <w:jc w:val="center"/>
        </w:trPr>
        <w:tc>
          <w:tcPr>
            <w:tcW w:w="389" w:type="dxa"/>
            <w:tcBorders>
              <w:left w:val="single" w:color="auto" w:sz="4" w:space="0"/>
            </w:tcBorders>
            <w:noWrap w:val="0"/>
            <w:vAlign w:val="center"/>
          </w:tcPr>
          <w:p w14:paraId="56687922">
            <w:pPr>
              <w:widowControl/>
              <w:spacing w:before="24" w:beforeLines="10" w:after="24" w:afterLines="10" w:line="300" w:lineRule="exac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w:t>
            </w:r>
          </w:p>
        </w:tc>
        <w:tc>
          <w:tcPr>
            <w:tcW w:w="5947" w:type="dxa"/>
            <w:noWrap w:val="0"/>
            <w:vAlign w:val="center"/>
          </w:tcPr>
          <w:p w14:paraId="480196FD">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eastAsia="宋体" w:cs="宋体"/>
                <w:color w:val="auto"/>
                <w:sz w:val="20"/>
                <w:szCs w:val="22"/>
                <w:highlight w:val="none"/>
              </w:rPr>
              <w:t>工程咨询建筑工程专业甲级或综合甲级、工程监理房屋建筑工程（资质类别）甲级或综合资质、工程设计建筑工程专业甲级或综合甲级、建筑工程（资质类别）施工总承包一级及以上、房地产开发一级</w:t>
            </w:r>
          </w:p>
        </w:tc>
        <w:tc>
          <w:tcPr>
            <w:tcW w:w="2359" w:type="dxa"/>
            <w:noWrap w:val="0"/>
            <w:vAlign w:val="center"/>
          </w:tcPr>
          <w:p w14:paraId="482FE503">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eastAsia="宋体" w:cs="宋体"/>
                <w:color w:val="auto"/>
                <w:sz w:val="20"/>
                <w:szCs w:val="22"/>
                <w:highlight w:val="none"/>
                <w:lang w:eastAsia="zh-CN"/>
              </w:rPr>
              <w:t>查验复印件加盖公章。要求：真实有效</w:t>
            </w:r>
          </w:p>
        </w:tc>
        <w:tc>
          <w:tcPr>
            <w:tcW w:w="641" w:type="dxa"/>
            <w:noWrap w:val="0"/>
            <w:vAlign w:val="center"/>
          </w:tcPr>
          <w:p w14:paraId="07962445">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072D4917">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0E08D8CC">
            <w:pPr>
              <w:widowControl/>
              <w:spacing w:before="24" w:beforeLines="10" w:after="24" w:afterLines="10" w:line="300" w:lineRule="exact"/>
              <w:jc w:val="center"/>
              <w:rPr>
                <w:rFonts w:hint="eastAsia" w:ascii="宋体" w:hAnsi="宋体" w:eastAsia="宋体" w:cs="宋体"/>
                <w:color w:val="auto"/>
                <w:highlight w:val="none"/>
              </w:rPr>
            </w:pPr>
          </w:p>
        </w:tc>
      </w:tr>
      <w:tr w14:paraId="3ED1427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jc w:val="center"/>
        </w:trPr>
        <w:tc>
          <w:tcPr>
            <w:tcW w:w="389" w:type="dxa"/>
            <w:tcBorders>
              <w:left w:val="single" w:color="auto" w:sz="4" w:space="0"/>
            </w:tcBorders>
            <w:noWrap w:val="0"/>
            <w:vAlign w:val="center"/>
          </w:tcPr>
          <w:p w14:paraId="35893563">
            <w:pPr>
              <w:widowControl/>
              <w:spacing w:before="24" w:beforeLines="10" w:after="24" w:afterLines="10" w:line="300" w:lineRule="exact"/>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4</w:t>
            </w:r>
          </w:p>
        </w:tc>
        <w:tc>
          <w:tcPr>
            <w:tcW w:w="5947" w:type="dxa"/>
            <w:noWrap w:val="0"/>
            <w:vAlign w:val="center"/>
          </w:tcPr>
          <w:p w14:paraId="4AB5754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color w:val="auto"/>
                <w:spacing w:val="9"/>
                <w:highlight w:val="none"/>
              </w:rPr>
            </w:pPr>
            <w:r>
              <w:rPr>
                <w:rFonts w:hint="eastAsia" w:ascii="宋体" w:hAnsi="宋体" w:eastAsia="宋体" w:cs="宋体"/>
                <w:color w:val="auto"/>
                <w:sz w:val="20"/>
                <w:szCs w:val="22"/>
                <w:highlight w:val="none"/>
              </w:rPr>
              <w:t>拟任代建项目经理具备中级及以上专业技术职称，并具有下列一项或者多项资质：注册咨询工程师（投资）、一级注册建造师建筑工程专业、一级注册建筑师、一级注册结构工程师、国家注册监理工程师房屋建筑工程专业。提供项目经理无在建承诺书和近三个月任意一个月社保证明</w:t>
            </w:r>
          </w:p>
        </w:tc>
        <w:tc>
          <w:tcPr>
            <w:tcW w:w="2359" w:type="dxa"/>
            <w:noWrap w:val="0"/>
            <w:vAlign w:val="center"/>
          </w:tcPr>
          <w:p w14:paraId="4F2A9178">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查验复印件加盖公章。要求：真实有效</w:t>
            </w:r>
          </w:p>
        </w:tc>
        <w:tc>
          <w:tcPr>
            <w:tcW w:w="641" w:type="dxa"/>
            <w:noWrap w:val="0"/>
            <w:vAlign w:val="center"/>
          </w:tcPr>
          <w:p w14:paraId="0C55BD74">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562E5E2C">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573EA84A">
            <w:pPr>
              <w:widowControl/>
              <w:spacing w:before="24" w:beforeLines="10" w:after="24" w:afterLines="10" w:line="300" w:lineRule="exact"/>
              <w:jc w:val="center"/>
              <w:rPr>
                <w:rFonts w:hint="eastAsia" w:ascii="宋体" w:hAnsi="宋体" w:eastAsia="宋体" w:cs="宋体"/>
                <w:color w:val="auto"/>
                <w:highlight w:val="none"/>
              </w:rPr>
            </w:pPr>
          </w:p>
        </w:tc>
      </w:tr>
      <w:tr w14:paraId="62048AF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105" w:hRule="atLeast"/>
          <w:jc w:val="center"/>
        </w:trPr>
        <w:tc>
          <w:tcPr>
            <w:tcW w:w="389" w:type="dxa"/>
            <w:tcBorders>
              <w:left w:val="single" w:color="auto" w:sz="4" w:space="0"/>
            </w:tcBorders>
            <w:noWrap w:val="0"/>
            <w:vAlign w:val="center"/>
          </w:tcPr>
          <w:p w14:paraId="7BD53D6B">
            <w:pPr>
              <w:widowControl/>
              <w:spacing w:before="24" w:beforeLines="10" w:after="24" w:afterLines="10" w:line="300" w:lineRule="exact"/>
              <w:jc w:val="center"/>
              <w:rPr>
                <w:rFonts w:hint="default" w:ascii="宋体" w:hAnsi="宋体" w:cs="宋体"/>
                <w:color w:val="auto"/>
                <w:highlight w:val="none"/>
                <w:lang w:val="en-US" w:eastAsia="zh-CN"/>
              </w:rPr>
            </w:pPr>
            <w:r>
              <w:rPr>
                <w:rFonts w:hint="eastAsia" w:ascii="宋体" w:hAnsi="宋体" w:cs="宋体"/>
                <w:color w:val="auto"/>
                <w:highlight w:val="none"/>
                <w:lang w:val="en-US" w:eastAsia="zh-CN"/>
              </w:rPr>
              <w:t>5</w:t>
            </w:r>
          </w:p>
        </w:tc>
        <w:tc>
          <w:tcPr>
            <w:tcW w:w="5947" w:type="dxa"/>
            <w:noWrap w:val="0"/>
            <w:vAlign w:val="center"/>
          </w:tcPr>
          <w:p w14:paraId="0D7B96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rFonts w:hint="eastAsia"/>
                <w:color w:val="auto"/>
                <w:spacing w:val="9"/>
                <w:sz w:val="20"/>
                <w:szCs w:val="22"/>
                <w:highlight w:val="none"/>
              </w:rPr>
            </w:pPr>
            <w:r>
              <w:rPr>
                <w:rFonts w:hint="eastAsia" w:ascii="宋体" w:hAnsi="宋体" w:eastAsia="宋体" w:cs="宋体"/>
                <w:color w:val="auto"/>
                <w:sz w:val="20"/>
                <w:szCs w:val="22"/>
                <w:highlight w:val="none"/>
              </w:rPr>
              <w:t>拟任现场管理1人，具备中级及以上专业技术职称，并具备以下资质之一：注册建造师二级及以上、注册造价工程师二级及以上、注册结构工程师二级及以上、注册公用设备工程师、注册电气工程师、注册咨询工程师（投资）、注册监理工程师、中级注册安全工程师（建筑施工安全），提供无在建承诺书和近三个月任意一个月社保证明</w:t>
            </w:r>
          </w:p>
        </w:tc>
        <w:tc>
          <w:tcPr>
            <w:tcW w:w="2359" w:type="dxa"/>
            <w:noWrap w:val="0"/>
            <w:vAlign w:val="center"/>
          </w:tcPr>
          <w:p w14:paraId="3F4E348B">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查验复印件加盖公章。要求：真实有效</w:t>
            </w:r>
          </w:p>
        </w:tc>
        <w:tc>
          <w:tcPr>
            <w:tcW w:w="641" w:type="dxa"/>
            <w:noWrap w:val="0"/>
            <w:vAlign w:val="center"/>
          </w:tcPr>
          <w:p w14:paraId="372054BB">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11280886">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48F7B6A0">
            <w:pPr>
              <w:widowControl/>
              <w:spacing w:before="24" w:beforeLines="10" w:after="24" w:afterLines="10" w:line="300" w:lineRule="exact"/>
              <w:jc w:val="center"/>
              <w:rPr>
                <w:rFonts w:hint="eastAsia" w:ascii="宋体" w:hAnsi="宋体" w:eastAsia="宋体" w:cs="宋体"/>
                <w:color w:val="auto"/>
                <w:highlight w:val="none"/>
              </w:rPr>
            </w:pPr>
          </w:p>
        </w:tc>
      </w:tr>
      <w:tr w14:paraId="442208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jc w:val="center"/>
        </w:trPr>
        <w:tc>
          <w:tcPr>
            <w:tcW w:w="389" w:type="dxa"/>
            <w:tcBorders>
              <w:left w:val="single" w:color="auto" w:sz="4" w:space="0"/>
            </w:tcBorders>
            <w:noWrap w:val="0"/>
            <w:vAlign w:val="center"/>
          </w:tcPr>
          <w:p w14:paraId="340619C9">
            <w:pPr>
              <w:widowControl/>
              <w:spacing w:before="24" w:beforeLines="10" w:after="24" w:afterLines="10" w:line="300" w:lineRule="exact"/>
              <w:jc w:val="center"/>
              <w:rPr>
                <w:rFonts w:hint="default" w:ascii="宋体" w:hAnsi="宋体" w:cs="宋体"/>
                <w:color w:val="auto"/>
                <w:highlight w:val="none"/>
                <w:lang w:val="en-US" w:eastAsia="zh-CN"/>
              </w:rPr>
            </w:pPr>
            <w:r>
              <w:rPr>
                <w:rFonts w:hint="eastAsia" w:ascii="宋体" w:hAnsi="宋体" w:cs="宋体"/>
                <w:color w:val="auto"/>
                <w:highlight w:val="none"/>
                <w:lang w:val="en-US" w:eastAsia="zh-CN"/>
              </w:rPr>
              <w:t>6</w:t>
            </w:r>
          </w:p>
        </w:tc>
        <w:tc>
          <w:tcPr>
            <w:tcW w:w="5947" w:type="dxa"/>
            <w:noWrap w:val="0"/>
            <w:vAlign w:val="center"/>
          </w:tcPr>
          <w:p w14:paraId="1D6BE2E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rFonts w:hint="eastAsia"/>
                <w:color w:val="auto"/>
                <w:spacing w:val="9"/>
                <w:sz w:val="20"/>
                <w:szCs w:val="22"/>
                <w:highlight w:val="none"/>
              </w:rPr>
            </w:pPr>
            <w:r>
              <w:rPr>
                <w:rFonts w:hint="eastAsia" w:ascii="宋体" w:hAnsi="宋体" w:eastAsia="宋体" w:cs="宋体"/>
                <w:color w:val="auto"/>
                <w:sz w:val="20"/>
                <w:szCs w:val="22"/>
                <w:highlight w:val="none"/>
              </w:rPr>
              <w:t>拟任设计管理1人，具备中级及以上专业技术职称，并具备以下资质之一：注册建筑师二级及以上、注册结构工程师二级及以上、注册公用设备工程师（仅限机电安装工程代建单位招标选用）。提供近三个月任意一个月社保证明</w:t>
            </w:r>
          </w:p>
        </w:tc>
        <w:tc>
          <w:tcPr>
            <w:tcW w:w="2359" w:type="dxa"/>
            <w:noWrap w:val="0"/>
            <w:vAlign w:val="center"/>
          </w:tcPr>
          <w:p w14:paraId="3A8AF590">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查验复印件加盖公章。要求：真实有效</w:t>
            </w:r>
          </w:p>
        </w:tc>
        <w:tc>
          <w:tcPr>
            <w:tcW w:w="641" w:type="dxa"/>
            <w:noWrap w:val="0"/>
            <w:vAlign w:val="center"/>
          </w:tcPr>
          <w:p w14:paraId="20283E84">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31207016">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2EAD2E67">
            <w:pPr>
              <w:widowControl/>
              <w:spacing w:before="24" w:beforeLines="10" w:after="24" w:afterLines="10" w:line="300" w:lineRule="exact"/>
              <w:jc w:val="center"/>
              <w:rPr>
                <w:rFonts w:hint="eastAsia" w:ascii="宋体" w:hAnsi="宋体" w:eastAsia="宋体" w:cs="宋体"/>
                <w:color w:val="auto"/>
                <w:highlight w:val="none"/>
              </w:rPr>
            </w:pPr>
          </w:p>
        </w:tc>
      </w:tr>
      <w:tr w14:paraId="14B87F3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9" w:type="dxa"/>
            <w:tcBorders>
              <w:left w:val="single" w:color="auto" w:sz="4" w:space="0"/>
            </w:tcBorders>
            <w:noWrap w:val="0"/>
            <w:vAlign w:val="center"/>
          </w:tcPr>
          <w:p w14:paraId="4E39D504">
            <w:pPr>
              <w:widowControl/>
              <w:spacing w:before="24" w:beforeLines="10" w:after="24" w:afterLines="10" w:line="300" w:lineRule="exact"/>
              <w:jc w:val="center"/>
              <w:rPr>
                <w:rFonts w:hint="default" w:ascii="宋体" w:hAnsi="宋体" w:cs="宋体"/>
                <w:color w:val="auto"/>
                <w:highlight w:val="none"/>
                <w:lang w:val="en-US" w:eastAsia="zh-CN"/>
              </w:rPr>
            </w:pPr>
            <w:r>
              <w:rPr>
                <w:rFonts w:hint="eastAsia" w:ascii="宋体" w:hAnsi="宋体" w:cs="宋体"/>
                <w:color w:val="auto"/>
                <w:highlight w:val="none"/>
                <w:lang w:val="en-US" w:eastAsia="zh-CN"/>
              </w:rPr>
              <w:t>7</w:t>
            </w:r>
          </w:p>
        </w:tc>
        <w:tc>
          <w:tcPr>
            <w:tcW w:w="5947" w:type="dxa"/>
            <w:noWrap w:val="0"/>
            <w:vAlign w:val="center"/>
          </w:tcPr>
          <w:p w14:paraId="7096A2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right="0"/>
              <w:jc w:val="left"/>
              <w:textAlignment w:val="auto"/>
              <w:rPr>
                <w:rFonts w:hint="eastAsia"/>
                <w:color w:val="auto"/>
                <w:spacing w:val="9"/>
                <w:sz w:val="20"/>
                <w:szCs w:val="22"/>
                <w:highlight w:val="none"/>
              </w:rPr>
            </w:pPr>
            <w:r>
              <w:rPr>
                <w:rFonts w:hint="eastAsia" w:ascii="宋体" w:hAnsi="宋体" w:eastAsia="宋体" w:cs="宋体"/>
                <w:color w:val="auto"/>
                <w:sz w:val="20"/>
                <w:szCs w:val="22"/>
                <w:highlight w:val="none"/>
              </w:rPr>
              <w:t>拟任造价管理1人，具备中级及以上专业技术职称，并具备注册造价工程师二级及以上资质。提供近三个月任意一个月社保证明</w:t>
            </w:r>
          </w:p>
        </w:tc>
        <w:tc>
          <w:tcPr>
            <w:tcW w:w="2359" w:type="dxa"/>
            <w:noWrap w:val="0"/>
            <w:vAlign w:val="center"/>
          </w:tcPr>
          <w:p w14:paraId="726229DB">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查验复印件加盖公章。要求：真实有效</w:t>
            </w:r>
          </w:p>
        </w:tc>
        <w:tc>
          <w:tcPr>
            <w:tcW w:w="641" w:type="dxa"/>
            <w:noWrap w:val="0"/>
            <w:vAlign w:val="center"/>
          </w:tcPr>
          <w:p w14:paraId="02384F01">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52457A44">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1646639C">
            <w:pPr>
              <w:widowControl/>
              <w:spacing w:before="24" w:beforeLines="10" w:after="24" w:afterLines="10" w:line="300" w:lineRule="exact"/>
              <w:jc w:val="center"/>
              <w:rPr>
                <w:rFonts w:hint="eastAsia" w:ascii="宋体" w:hAnsi="宋体" w:eastAsia="宋体" w:cs="宋体"/>
                <w:color w:val="auto"/>
                <w:highlight w:val="none"/>
              </w:rPr>
            </w:pPr>
          </w:p>
        </w:tc>
      </w:tr>
      <w:tr w14:paraId="51DB32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389" w:type="dxa"/>
            <w:tcBorders>
              <w:left w:val="single" w:color="auto" w:sz="4" w:space="0"/>
            </w:tcBorders>
            <w:noWrap w:val="0"/>
            <w:vAlign w:val="center"/>
          </w:tcPr>
          <w:p w14:paraId="535FCA03">
            <w:pPr>
              <w:widowControl/>
              <w:spacing w:before="24" w:beforeLines="10" w:after="24" w:afterLines="10" w:line="300" w:lineRule="exact"/>
              <w:jc w:val="center"/>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8</w:t>
            </w:r>
          </w:p>
        </w:tc>
        <w:tc>
          <w:tcPr>
            <w:tcW w:w="5947" w:type="dxa"/>
            <w:noWrap w:val="0"/>
            <w:vAlign w:val="center"/>
          </w:tcPr>
          <w:p w14:paraId="1E8319DD">
            <w:pPr>
              <w:widowControl/>
              <w:spacing w:before="24" w:beforeLines="10" w:after="24" w:afterLines="10" w:line="300" w:lineRule="exact"/>
              <w:jc w:val="both"/>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2"/>
                <w:highlight w:val="none"/>
                <w:lang w:val="en-US" w:eastAsia="zh-CN"/>
              </w:rPr>
              <w:t>湖南省政府采购供应商资格承诺函原件。（湘财购【2022】17号）</w:t>
            </w:r>
          </w:p>
        </w:tc>
        <w:tc>
          <w:tcPr>
            <w:tcW w:w="2359" w:type="dxa"/>
            <w:noWrap w:val="0"/>
            <w:vAlign w:val="center"/>
          </w:tcPr>
          <w:p w14:paraId="2DCD44DA">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查验复印件加盖公章。要求：真实有效</w:t>
            </w:r>
          </w:p>
        </w:tc>
        <w:tc>
          <w:tcPr>
            <w:tcW w:w="641" w:type="dxa"/>
            <w:noWrap w:val="0"/>
            <w:vAlign w:val="center"/>
          </w:tcPr>
          <w:p w14:paraId="616C20D3">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53E5A76B">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06392970">
            <w:pPr>
              <w:widowControl/>
              <w:spacing w:before="24" w:beforeLines="10" w:after="24" w:afterLines="10" w:line="300" w:lineRule="exact"/>
              <w:jc w:val="center"/>
              <w:rPr>
                <w:rFonts w:hint="eastAsia" w:ascii="宋体" w:hAnsi="宋体" w:eastAsia="宋体" w:cs="宋体"/>
                <w:color w:val="auto"/>
                <w:highlight w:val="none"/>
              </w:rPr>
            </w:pPr>
          </w:p>
        </w:tc>
      </w:tr>
      <w:tr w14:paraId="4085A2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32" w:hRule="atLeast"/>
          <w:jc w:val="center"/>
        </w:trPr>
        <w:tc>
          <w:tcPr>
            <w:tcW w:w="389" w:type="dxa"/>
            <w:tcBorders>
              <w:left w:val="single" w:color="auto" w:sz="4" w:space="0"/>
            </w:tcBorders>
            <w:noWrap w:val="0"/>
            <w:vAlign w:val="center"/>
          </w:tcPr>
          <w:p w14:paraId="3136BAC3">
            <w:pPr>
              <w:widowControl/>
              <w:spacing w:before="24" w:beforeLines="10" w:after="24" w:afterLines="10" w:line="300" w:lineRule="exact"/>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9</w:t>
            </w:r>
          </w:p>
        </w:tc>
        <w:tc>
          <w:tcPr>
            <w:tcW w:w="5947" w:type="dxa"/>
            <w:shd w:val="clear" w:color="auto" w:fill="auto"/>
            <w:noWrap w:val="0"/>
            <w:vAlign w:val="center"/>
          </w:tcPr>
          <w:p w14:paraId="75574F10">
            <w:pPr>
              <w:widowControl/>
              <w:spacing w:before="24" w:beforeLines="10" w:after="24" w:afterLines="10" w:line="300" w:lineRule="exact"/>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2"/>
                <w:highlight w:val="none"/>
                <w:lang w:val="en-US" w:eastAsia="zh-CN"/>
              </w:rPr>
              <w:t>供应商自行登录“信用中国”网站（www.creditchina.gov.cn）、“中国政府采购网”（www.ccgp.gov.cn）或“国家企业信用信息公示系统”等渠道，提供供应商查询无被禁止投标的记录的网上打印件并加盖单位公章。</w:t>
            </w:r>
          </w:p>
        </w:tc>
        <w:tc>
          <w:tcPr>
            <w:tcW w:w="2359" w:type="dxa"/>
            <w:shd w:val="clear" w:color="auto" w:fill="auto"/>
            <w:noWrap w:val="0"/>
            <w:vAlign w:val="center"/>
          </w:tcPr>
          <w:p w14:paraId="735533DB">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查验复印件加盖公章。要求：真实有效</w:t>
            </w:r>
          </w:p>
        </w:tc>
        <w:tc>
          <w:tcPr>
            <w:tcW w:w="641" w:type="dxa"/>
            <w:noWrap w:val="0"/>
            <w:vAlign w:val="center"/>
          </w:tcPr>
          <w:p w14:paraId="54A84A30">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2F231A53">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71E3B5DA">
            <w:pPr>
              <w:widowControl/>
              <w:spacing w:before="24" w:beforeLines="10" w:after="24" w:afterLines="10" w:line="300" w:lineRule="exact"/>
              <w:jc w:val="center"/>
              <w:rPr>
                <w:rFonts w:hint="eastAsia" w:ascii="宋体" w:hAnsi="宋体" w:eastAsia="宋体" w:cs="宋体"/>
                <w:color w:val="auto"/>
                <w:highlight w:val="none"/>
              </w:rPr>
            </w:pPr>
          </w:p>
        </w:tc>
      </w:tr>
      <w:tr w14:paraId="3EC4482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93" w:hRule="atLeast"/>
          <w:jc w:val="center"/>
        </w:trPr>
        <w:tc>
          <w:tcPr>
            <w:tcW w:w="389" w:type="dxa"/>
            <w:tcBorders>
              <w:left w:val="single" w:color="auto" w:sz="4" w:space="0"/>
              <w:bottom w:val="single" w:color="auto" w:sz="4" w:space="0"/>
            </w:tcBorders>
            <w:noWrap w:val="0"/>
            <w:vAlign w:val="center"/>
          </w:tcPr>
          <w:p w14:paraId="594A5769">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结论</w:t>
            </w:r>
          </w:p>
        </w:tc>
        <w:tc>
          <w:tcPr>
            <w:tcW w:w="8306" w:type="dxa"/>
            <w:gridSpan w:val="2"/>
            <w:tcBorders>
              <w:bottom w:val="single" w:color="auto" w:sz="4" w:space="0"/>
            </w:tcBorders>
            <w:noWrap w:val="0"/>
            <w:vAlign w:val="center"/>
          </w:tcPr>
          <w:p w14:paraId="43B37901">
            <w:pPr>
              <w:widowControl/>
              <w:spacing w:before="24" w:beforeLines="10" w:after="24" w:afterLines="10" w:line="300" w:lineRule="exact"/>
              <w:jc w:val="center"/>
              <w:rPr>
                <w:rFonts w:hint="eastAsia" w:ascii="宋体" w:hAnsi="宋体" w:eastAsia="宋体" w:cs="宋体"/>
                <w:color w:val="auto"/>
                <w:highlight w:val="none"/>
              </w:rPr>
            </w:pPr>
          </w:p>
        </w:tc>
        <w:tc>
          <w:tcPr>
            <w:tcW w:w="641" w:type="dxa"/>
            <w:tcBorders>
              <w:bottom w:val="single" w:color="auto" w:sz="4" w:space="0"/>
            </w:tcBorders>
            <w:noWrap w:val="0"/>
            <w:vAlign w:val="center"/>
          </w:tcPr>
          <w:p w14:paraId="15CAEDCB">
            <w:pPr>
              <w:widowControl/>
              <w:spacing w:before="24" w:beforeLines="10" w:after="24" w:afterLines="10" w:line="300" w:lineRule="exact"/>
              <w:jc w:val="center"/>
              <w:rPr>
                <w:rFonts w:hint="eastAsia" w:ascii="宋体" w:hAnsi="宋体" w:eastAsia="宋体" w:cs="宋体"/>
                <w:color w:val="auto"/>
                <w:highlight w:val="none"/>
              </w:rPr>
            </w:pPr>
          </w:p>
        </w:tc>
        <w:tc>
          <w:tcPr>
            <w:tcW w:w="546" w:type="dxa"/>
            <w:tcBorders>
              <w:bottom w:val="single" w:color="auto" w:sz="4" w:space="0"/>
            </w:tcBorders>
            <w:noWrap w:val="0"/>
            <w:vAlign w:val="center"/>
          </w:tcPr>
          <w:p w14:paraId="10B75DF6">
            <w:pPr>
              <w:widowControl/>
              <w:spacing w:before="24" w:beforeLines="10" w:after="24" w:afterLines="10" w:line="300" w:lineRule="exact"/>
              <w:jc w:val="center"/>
              <w:rPr>
                <w:rFonts w:hint="eastAsia" w:ascii="宋体" w:hAnsi="宋体" w:eastAsia="宋体" w:cs="宋体"/>
                <w:color w:val="auto"/>
                <w:highlight w:val="none"/>
              </w:rPr>
            </w:pPr>
          </w:p>
        </w:tc>
        <w:tc>
          <w:tcPr>
            <w:tcW w:w="529" w:type="dxa"/>
            <w:tcBorders>
              <w:bottom w:val="single" w:color="auto" w:sz="4" w:space="0"/>
              <w:right w:val="single" w:color="auto" w:sz="4" w:space="0"/>
            </w:tcBorders>
            <w:noWrap w:val="0"/>
            <w:vAlign w:val="center"/>
          </w:tcPr>
          <w:p w14:paraId="34DE2965">
            <w:pPr>
              <w:widowControl/>
              <w:spacing w:before="24" w:beforeLines="10" w:after="24" w:afterLines="10" w:line="300" w:lineRule="exact"/>
              <w:jc w:val="center"/>
              <w:rPr>
                <w:rFonts w:hint="eastAsia" w:ascii="宋体" w:hAnsi="宋体" w:eastAsia="宋体" w:cs="宋体"/>
                <w:color w:val="auto"/>
                <w:highlight w:val="none"/>
              </w:rPr>
            </w:pPr>
          </w:p>
        </w:tc>
      </w:tr>
    </w:tbl>
    <w:p w14:paraId="6DBFC238">
      <w:pPr>
        <w:pStyle w:val="18"/>
        <w:spacing w:before="50" w:line="360" w:lineRule="atLeast"/>
        <w:ind w:left="0" w:left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注：1、上述内容合格用“√”表示，不合格用“×”表示；</w:t>
      </w:r>
    </w:p>
    <w:p w14:paraId="274481B0">
      <w:pPr>
        <w:numPr>
          <w:ilvl w:val="0"/>
          <w:numId w:val="0"/>
        </w:numPr>
        <w:adjustRightInd w:val="0"/>
        <w:snapToGrid w:val="0"/>
        <w:spacing w:before="120" w:beforeLines="50" w:line="360" w:lineRule="auto"/>
        <w:ind w:right="-109" w:rightChars="-52" w:firstLine="420" w:firstLineChars="200"/>
        <w:rPr>
          <w:rFonts w:hint="eastAsia" w:ascii="宋体" w:hAnsi="宋体" w:eastAsia="宋体" w:cs="宋体"/>
          <w:color w:val="auto"/>
          <w:highlight w:val="none"/>
        </w:rPr>
      </w:pPr>
      <w:r>
        <w:rPr>
          <w:rFonts w:hint="eastAsia" w:ascii="宋体" w:hAnsi="宋体" w:eastAsia="宋体" w:cs="宋体"/>
          <w:color w:val="auto"/>
          <w:kern w:val="2"/>
          <w:sz w:val="21"/>
          <w:szCs w:val="24"/>
          <w:highlight w:val="none"/>
          <w:lang w:val="en-US" w:eastAsia="zh-CN" w:bidi="ar-SA"/>
        </w:rPr>
        <w:t>2、</w:t>
      </w:r>
      <w:r>
        <w:rPr>
          <w:rFonts w:hint="eastAsia" w:ascii="宋体" w:hAnsi="宋体" w:eastAsia="宋体" w:cs="宋体"/>
          <w:color w:val="auto"/>
          <w:szCs w:val="21"/>
          <w:highlight w:val="none"/>
        </w:rPr>
        <w:t>以上内容有一项不合格的，则初步评审的综合评定结果为不合格。</w:t>
      </w:r>
    </w:p>
    <w:p w14:paraId="41B0DE84">
      <w:pPr>
        <w:numPr>
          <w:ilvl w:val="1"/>
          <w:numId w:val="6"/>
        </w:numPr>
        <w:adjustRightInd w:val="0"/>
        <w:snapToGrid w:val="0"/>
        <w:spacing w:before="120" w:beforeLines="50" w:after="120" w:afterLines="50" w:line="360" w:lineRule="exact"/>
        <w:ind w:left="632" w:hanging="632" w:hangingChars="3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符合性审查表：</w:t>
      </w:r>
    </w:p>
    <w:p w14:paraId="723E803E">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outlineLvl w:val="4"/>
        <w:rPr>
          <w:rFonts w:hint="eastAsia" w:ascii="宋体" w:hAnsi="宋体" w:eastAsia="宋体" w:cs="宋体"/>
          <w:b/>
          <w:color w:val="auto"/>
          <w:szCs w:val="21"/>
          <w:highlight w:val="none"/>
        </w:rPr>
      </w:pPr>
      <w:bookmarkStart w:id="5" w:name="_Toc8161081"/>
      <w:bookmarkStart w:id="6" w:name="_Toc9245"/>
      <w:r>
        <w:rPr>
          <w:rFonts w:hint="eastAsia" w:ascii="宋体" w:hAnsi="宋体" w:eastAsia="宋体" w:cs="宋体"/>
          <w:b/>
          <w:color w:val="auto"/>
          <w:szCs w:val="21"/>
          <w:highlight w:val="none"/>
          <w:lang w:val="en-US" w:eastAsia="zh-CN"/>
        </w:rPr>
        <w:t xml:space="preserve">表2  </w:t>
      </w:r>
      <w:r>
        <w:rPr>
          <w:rFonts w:hint="eastAsia" w:ascii="宋体" w:hAnsi="宋体" w:eastAsia="宋体" w:cs="宋体"/>
          <w:b/>
          <w:color w:val="auto"/>
          <w:szCs w:val="21"/>
          <w:highlight w:val="none"/>
          <w:lang w:eastAsia="zh-CN"/>
        </w:rPr>
        <w:t>符合</w:t>
      </w:r>
      <w:r>
        <w:rPr>
          <w:rFonts w:hint="eastAsia" w:ascii="宋体" w:hAnsi="宋体" w:eastAsia="宋体" w:cs="宋体"/>
          <w:b/>
          <w:color w:val="auto"/>
          <w:szCs w:val="21"/>
          <w:highlight w:val="none"/>
        </w:rPr>
        <w:t>审查表</w:t>
      </w:r>
      <w:bookmarkEnd w:id="5"/>
      <w:bookmarkEnd w:id="6"/>
    </w:p>
    <w:tbl>
      <w:tblPr>
        <w:tblStyle w:val="43"/>
        <w:tblW w:w="961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2"/>
        <w:gridCol w:w="4322"/>
        <w:gridCol w:w="2701"/>
        <w:gridCol w:w="707"/>
        <w:gridCol w:w="706"/>
        <w:gridCol w:w="709"/>
      </w:tblGrid>
      <w:tr w14:paraId="577D9B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blHeader/>
          <w:jc w:val="center"/>
        </w:trPr>
        <w:tc>
          <w:tcPr>
            <w:tcW w:w="472" w:type="dxa"/>
            <w:vMerge w:val="restart"/>
            <w:tcBorders>
              <w:top w:val="single" w:color="auto" w:sz="4" w:space="0"/>
              <w:left w:val="single" w:color="auto" w:sz="4" w:space="0"/>
            </w:tcBorders>
            <w:noWrap w:val="0"/>
            <w:vAlign w:val="center"/>
          </w:tcPr>
          <w:p w14:paraId="11064E0D">
            <w:pPr>
              <w:widowControl/>
              <w:spacing w:before="24" w:beforeLines="10" w:after="24" w:afterLines="10" w:line="300" w:lineRule="exact"/>
              <w:rPr>
                <w:rFonts w:hint="eastAsia" w:ascii="宋体" w:hAnsi="宋体" w:eastAsia="宋体" w:cs="宋体"/>
                <w:color w:val="auto"/>
                <w:highlight w:val="none"/>
              </w:rPr>
            </w:pPr>
            <w:r>
              <w:rPr>
                <w:rFonts w:hint="eastAsia" w:ascii="宋体" w:hAnsi="宋体" w:eastAsia="宋体" w:cs="宋体"/>
                <w:b/>
                <w:color w:val="auto"/>
                <w:highlight w:val="none"/>
              </w:rPr>
              <w:t>序号</w:t>
            </w:r>
          </w:p>
        </w:tc>
        <w:tc>
          <w:tcPr>
            <w:tcW w:w="4322" w:type="dxa"/>
            <w:vMerge w:val="restart"/>
            <w:tcBorders>
              <w:top w:val="single" w:color="auto" w:sz="4" w:space="0"/>
            </w:tcBorders>
            <w:noWrap w:val="0"/>
            <w:vAlign w:val="center"/>
          </w:tcPr>
          <w:p w14:paraId="4C219384">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bCs/>
                <w:color w:val="auto"/>
                <w:highlight w:val="none"/>
              </w:rPr>
              <w:t>符合性审查内容</w:t>
            </w:r>
          </w:p>
        </w:tc>
        <w:tc>
          <w:tcPr>
            <w:tcW w:w="2701" w:type="dxa"/>
            <w:vMerge w:val="restart"/>
            <w:tcBorders>
              <w:top w:val="single" w:color="auto" w:sz="4" w:space="0"/>
            </w:tcBorders>
            <w:noWrap w:val="0"/>
            <w:vAlign w:val="center"/>
          </w:tcPr>
          <w:p w14:paraId="2B1E242A">
            <w:pPr>
              <w:widowControl/>
              <w:spacing w:before="24" w:beforeLines="10" w:after="24" w:afterLines="10" w:line="300" w:lineRule="exact"/>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val="en-US" w:eastAsia="zh-CN"/>
              </w:rPr>
              <w:t>合格</w:t>
            </w:r>
            <w:r>
              <w:rPr>
                <w:rFonts w:hint="eastAsia" w:ascii="宋体" w:hAnsi="宋体" w:eastAsia="宋体" w:cs="宋体"/>
                <w:b/>
                <w:color w:val="auto"/>
                <w:highlight w:val="none"/>
                <w:lang w:eastAsia="zh-CN"/>
              </w:rPr>
              <w:t>标准</w:t>
            </w:r>
          </w:p>
        </w:tc>
        <w:tc>
          <w:tcPr>
            <w:tcW w:w="2122" w:type="dxa"/>
            <w:gridSpan w:val="3"/>
            <w:tcBorders>
              <w:top w:val="single" w:color="auto" w:sz="4" w:space="0"/>
              <w:right w:val="single" w:color="auto" w:sz="4" w:space="0"/>
            </w:tcBorders>
            <w:noWrap w:val="0"/>
            <w:vAlign w:val="center"/>
          </w:tcPr>
          <w:p w14:paraId="04BA5C37">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color w:val="auto"/>
                <w:highlight w:val="none"/>
              </w:rPr>
              <w:t>供应商</w:t>
            </w:r>
          </w:p>
        </w:tc>
      </w:tr>
      <w:tr w14:paraId="516CBB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blHeader/>
          <w:jc w:val="center"/>
        </w:trPr>
        <w:tc>
          <w:tcPr>
            <w:tcW w:w="472" w:type="dxa"/>
            <w:vMerge w:val="continue"/>
            <w:tcBorders>
              <w:left w:val="single" w:color="auto" w:sz="4" w:space="0"/>
            </w:tcBorders>
            <w:noWrap w:val="0"/>
            <w:vAlign w:val="center"/>
          </w:tcPr>
          <w:p w14:paraId="3FC76330">
            <w:pPr>
              <w:widowControl/>
              <w:spacing w:before="24" w:beforeLines="10" w:after="24" w:afterLines="10" w:line="300" w:lineRule="exact"/>
              <w:rPr>
                <w:rFonts w:hint="eastAsia" w:ascii="宋体" w:hAnsi="宋体" w:eastAsia="宋体" w:cs="宋体"/>
                <w:b/>
                <w:color w:val="auto"/>
                <w:highlight w:val="none"/>
              </w:rPr>
            </w:pPr>
          </w:p>
        </w:tc>
        <w:tc>
          <w:tcPr>
            <w:tcW w:w="4322" w:type="dxa"/>
            <w:vMerge w:val="continue"/>
            <w:noWrap w:val="0"/>
            <w:vAlign w:val="center"/>
          </w:tcPr>
          <w:p w14:paraId="46873BF6">
            <w:pPr>
              <w:widowControl/>
              <w:spacing w:before="24" w:beforeLines="10" w:after="24" w:afterLines="10" w:line="300" w:lineRule="exact"/>
              <w:rPr>
                <w:rFonts w:hint="eastAsia" w:ascii="宋体" w:hAnsi="宋体" w:eastAsia="宋体" w:cs="宋体"/>
                <w:b/>
                <w:color w:val="auto"/>
                <w:highlight w:val="none"/>
              </w:rPr>
            </w:pPr>
          </w:p>
        </w:tc>
        <w:tc>
          <w:tcPr>
            <w:tcW w:w="2701" w:type="dxa"/>
            <w:vMerge w:val="continue"/>
            <w:noWrap w:val="0"/>
            <w:vAlign w:val="center"/>
          </w:tcPr>
          <w:p w14:paraId="7A771042">
            <w:pPr>
              <w:widowControl/>
              <w:spacing w:before="24" w:beforeLines="10" w:after="24" w:afterLines="10" w:line="300" w:lineRule="exact"/>
              <w:rPr>
                <w:rFonts w:hint="eastAsia" w:ascii="宋体" w:hAnsi="宋体" w:eastAsia="宋体" w:cs="宋体"/>
                <w:b/>
                <w:color w:val="auto"/>
                <w:highlight w:val="none"/>
              </w:rPr>
            </w:pPr>
          </w:p>
        </w:tc>
        <w:tc>
          <w:tcPr>
            <w:tcW w:w="707" w:type="dxa"/>
            <w:noWrap w:val="0"/>
            <w:vAlign w:val="center"/>
          </w:tcPr>
          <w:p w14:paraId="46DF77E6">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1</w:t>
            </w:r>
          </w:p>
        </w:tc>
        <w:tc>
          <w:tcPr>
            <w:tcW w:w="706" w:type="dxa"/>
            <w:noWrap w:val="0"/>
            <w:vAlign w:val="center"/>
          </w:tcPr>
          <w:p w14:paraId="3C098B41">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2</w:t>
            </w:r>
          </w:p>
        </w:tc>
        <w:tc>
          <w:tcPr>
            <w:tcW w:w="709" w:type="dxa"/>
            <w:tcBorders>
              <w:right w:val="single" w:color="auto" w:sz="4" w:space="0"/>
            </w:tcBorders>
            <w:noWrap w:val="0"/>
            <w:vAlign w:val="center"/>
          </w:tcPr>
          <w:p w14:paraId="325A9773">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3</w:t>
            </w:r>
          </w:p>
        </w:tc>
      </w:tr>
      <w:tr w14:paraId="5511D7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472" w:type="dxa"/>
            <w:tcBorders>
              <w:left w:val="single" w:color="auto" w:sz="4" w:space="0"/>
            </w:tcBorders>
            <w:noWrap w:val="0"/>
            <w:vAlign w:val="center"/>
          </w:tcPr>
          <w:p w14:paraId="01029E59">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highlight w:val="none"/>
                <w:lang w:val="en-US" w:eastAsia="zh-CN" w:bidi="ar-SA"/>
              </w:rPr>
              <w:t>1</w:t>
            </w:r>
          </w:p>
        </w:tc>
        <w:tc>
          <w:tcPr>
            <w:tcW w:w="4322" w:type="dxa"/>
            <w:noWrap w:val="0"/>
            <w:vAlign w:val="center"/>
          </w:tcPr>
          <w:p w14:paraId="491098B2">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按照</w:t>
            </w:r>
            <w:r>
              <w:rPr>
                <w:rFonts w:hint="eastAsia" w:ascii="宋体" w:hAnsi="宋体" w:eastAsia="宋体" w:cs="宋体"/>
                <w:color w:val="auto"/>
                <w:highlight w:val="none"/>
                <w:lang w:val="en-US" w:eastAsia="zh-CN"/>
              </w:rPr>
              <w:t>磋商</w:t>
            </w:r>
            <w:r>
              <w:rPr>
                <w:rFonts w:hint="eastAsia" w:ascii="宋体" w:hAnsi="宋体" w:eastAsia="宋体" w:cs="宋体"/>
                <w:color w:val="auto"/>
                <w:highlight w:val="none"/>
              </w:rPr>
              <w:t>文件规定要求签署、盖章的</w:t>
            </w:r>
          </w:p>
        </w:tc>
        <w:tc>
          <w:tcPr>
            <w:tcW w:w="2701" w:type="dxa"/>
            <w:noWrap w:val="0"/>
            <w:vAlign w:val="center"/>
          </w:tcPr>
          <w:p w14:paraId="7690B166">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eastAsia="宋体" w:cs="宋体"/>
                <w:color w:val="auto"/>
                <w:highlight w:val="none"/>
              </w:rPr>
              <w:t>符合</w:t>
            </w:r>
            <w:r>
              <w:rPr>
                <w:rFonts w:hint="eastAsia" w:ascii="宋体" w:hAnsi="宋体" w:eastAsia="宋体" w:cs="宋体"/>
                <w:color w:val="auto"/>
                <w:highlight w:val="none"/>
                <w:lang w:val="en-US" w:eastAsia="zh-CN"/>
              </w:rPr>
              <w:t>磋商</w:t>
            </w:r>
            <w:r>
              <w:rPr>
                <w:rFonts w:hint="eastAsia" w:ascii="宋体" w:hAnsi="宋体" w:eastAsia="宋体" w:cs="宋体"/>
                <w:color w:val="auto"/>
                <w:highlight w:val="none"/>
              </w:rPr>
              <w:t>文件要求</w:t>
            </w:r>
          </w:p>
        </w:tc>
        <w:tc>
          <w:tcPr>
            <w:tcW w:w="707" w:type="dxa"/>
            <w:noWrap w:val="0"/>
            <w:vAlign w:val="center"/>
          </w:tcPr>
          <w:p w14:paraId="5918D8C1">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1256B6E9">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6190938A">
            <w:pPr>
              <w:widowControl/>
              <w:spacing w:before="24" w:beforeLines="10" w:after="24" w:afterLines="10" w:line="300" w:lineRule="exact"/>
              <w:jc w:val="center"/>
              <w:rPr>
                <w:rFonts w:hint="eastAsia" w:ascii="宋体" w:hAnsi="宋体" w:eastAsia="宋体" w:cs="宋体"/>
                <w:color w:val="auto"/>
                <w:highlight w:val="none"/>
              </w:rPr>
            </w:pPr>
          </w:p>
        </w:tc>
      </w:tr>
      <w:tr w14:paraId="5DB421E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536" w:hRule="atLeast"/>
          <w:jc w:val="center"/>
        </w:trPr>
        <w:tc>
          <w:tcPr>
            <w:tcW w:w="472" w:type="dxa"/>
            <w:tcBorders>
              <w:left w:val="single" w:color="auto" w:sz="4" w:space="0"/>
            </w:tcBorders>
            <w:noWrap w:val="0"/>
            <w:vAlign w:val="center"/>
          </w:tcPr>
          <w:p w14:paraId="1C97E6E6">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highlight w:val="none"/>
                <w:lang w:val="en-US" w:eastAsia="zh-CN" w:bidi="ar-SA"/>
              </w:rPr>
              <w:t>2</w:t>
            </w:r>
          </w:p>
        </w:tc>
        <w:tc>
          <w:tcPr>
            <w:tcW w:w="4322" w:type="dxa"/>
            <w:noWrap w:val="0"/>
            <w:vAlign w:val="center"/>
          </w:tcPr>
          <w:p w14:paraId="330C6EEB">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投标</w:t>
            </w:r>
            <w:r>
              <w:rPr>
                <w:rFonts w:hint="eastAsia" w:ascii="宋体" w:hAnsi="宋体" w:eastAsia="宋体" w:cs="宋体"/>
                <w:color w:val="auto"/>
                <w:highlight w:val="none"/>
              </w:rPr>
              <w:t>有效期</w:t>
            </w:r>
          </w:p>
        </w:tc>
        <w:tc>
          <w:tcPr>
            <w:tcW w:w="2701" w:type="dxa"/>
            <w:noWrap w:val="0"/>
            <w:vAlign w:val="center"/>
          </w:tcPr>
          <w:p w14:paraId="7C1A85C7">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eastAsia="宋体" w:cs="宋体"/>
                <w:color w:val="auto"/>
                <w:highlight w:val="none"/>
              </w:rPr>
              <w:t>符合</w:t>
            </w:r>
            <w:r>
              <w:rPr>
                <w:rFonts w:hint="eastAsia" w:ascii="宋体" w:hAnsi="宋体" w:eastAsia="宋体" w:cs="宋体"/>
                <w:color w:val="auto"/>
                <w:highlight w:val="none"/>
                <w:lang w:val="en-US" w:eastAsia="zh-CN"/>
              </w:rPr>
              <w:t>磋商</w:t>
            </w:r>
            <w:r>
              <w:rPr>
                <w:rFonts w:hint="eastAsia" w:ascii="宋体" w:hAnsi="宋体" w:eastAsia="宋体" w:cs="宋体"/>
                <w:color w:val="auto"/>
                <w:highlight w:val="none"/>
              </w:rPr>
              <w:t>文件要求</w:t>
            </w:r>
          </w:p>
        </w:tc>
        <w:tc>
          <w:tcPr>
            <w:tcW w:w="707" w:type="dxa"/>
            <w:noWrap w:val="0"/>
            <w:vAlign w:val="center"/>
          </w:tcPr>
          <w:p w14:paraId="6F2E47DA">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49A25615">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2F2AA397">
            <w:pPr>
              <w:widowControl/>
              <w:spacing w:before="24" w:beforeLines="10" w:after="24" w:afterLines="10" w:line="300" w:lineRule="exact"/>
              <w:jc w:val="center"/>
              <w:rPr>
                <w:rFonts w:hint="eastAsia" w:ascii="宋体" w:hAnsi="宋体" w:eastAsia="宋体" w:cs="宋体"/>
                <w:color w:val="auto"/>
                <w:highlight w:val="none"/>
              </w:rPr>
            </w:pPr>
          </w:p>
        </w:tc>
      </w:tr>
      <w:tr w14:paraId="00ECA4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472" w:type="dxa"/>
            <w:tcBorders>
              <w:left w:val="single" w:color="auto" w:sz="4" w:space="0"/>
            </w:tcBorders>
            <w:noWrap w:val="0"/>
            <w:vAlign w:val="center"/>
          </w:tcPr>
          <w:p w14:paraId="290BF344">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highlight w:val="none"/>
                <w:lang w:val="en-US" w:eastAsia="zh-CN" w:bidi="ar-SA"/>
              </w:rPr>
              <w:t>3</w:t>
            </w:r>
          </w:p>
        </w:tc>
        <w:tc>
          <w:tcPr>
            <w:tcW w:w="4322" w:type="dxa"/>
            <w:noWrap w:val="0"/>
            <w:vAlign w:val="center"/>
          </w:tcPr>
          <w:p w14:paraId="6EDC0A70">
            <w:pPr>
              <w:widowControl/>
              <w:spacing w:before="24" w:beforeLines="10" w:after="24" w:afterLines="10" w:line="300" w:lineRule="exact"/>
              <w:jc w:val="center"/>
              <w:rPr>
                <w:rFonts w:hint="eastAsia" w:ascii="宋体" w:hAnsi="宋体" w:eastAsia="宋体" w:cs="宋体"/>
                <w:color w:val="auto"/>
                <w:highlight w:val="none"/>
                <w:lang w:eastAsia="zh-CN"/>
              </w:rPr>
            </w:pPr>
            <w:r>
              <w:rPr>
                <w:rFonts w:hint="eastAsia" w:ascii="宋体" w:hAnsi="宋体" w:eastAsia="宋体" w:cs="宋体"/>
                <w:color w:val="auto"/>
                <w:szCs w:val="21"/>
                <w:highlight w:val="none"/>
                <w:lang w:eastAsia="zh-CN"/>
              </w:rPr>
              <w:t>投标报价</w:t>
            </w:r>
          </w:p>
        </w:tc>
        <w:tc>
          <w:tcPr>
            <w:tcW w:w="2701" w:type="dxa"/>
            <w:noWrap w:val="0"/>
            <w:vAlign w:val="center"/>
          </w:tcPr>
          <w:p w14:paraId="2B93250B">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eastAsia="宋体" w:cs="宋体"/>
                <w:color w:val="auto"/>
                <w:highlight w:val="none"/>
                <w:lang w:val="en-US" w:eastAsia="zh-CN"/>
              </w:rPr>
              <w:t>未</w:t>
            </w:r>
            <w:r>
              <w:rPr>
                <w:rFonts w:hint="eastAsia" w:ascii="宋体" w:hAnsi="宋体" w:eastAsia="宋体" w:cs="宋体"/>
                <w:color w:val="auto"/>
                <w:highlight w:val="none"/>
              </w:rPr>
              <w:t>超过最高限价</w:t>
            </w:r>
          </w:p>
        </w:tc>
        <w:tc>
          <w:tcPr>
            <w:tcW w:w="707" w:type="dxa"/>
            <w:noWrap w:val="0"/>
            <w:vAlign w:val="center"/>
          </w:tcPr>
          <w:p w14:paraId="219FA2E5">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676D36F4">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2F950829">
            <w:pPr>
              <w:widowControl/>
              <w:spacing w:before="24" w:beforeLines="10" w:after="24" w:afterLines="10" w:line="300" w:lineRule="exact"/>
              <w:jc w:val="center"/>
              <w:rPr>
                <w:rFonts w:hint="eastAsia" w:ascii="宋体" w:hAnsi="宋体" w:eastAsia="宋体" w:cs="宋体"/>
                <w:color w:val="auto"/>
                <w:highlight w:val="none"/>
              </w:rPr>
            </w:pPr>
          </w:p>
        </w:tc>
      </w:tr>
      <w:tr w14:paraId="71019B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472" w:type="dxa"/>
            <w:tcBorders>
              <w:left w:val="single" w:color="auto" w:sz="4" w:space="0"/>
            </w:tcBorders>
            <w:noWrap w:val="0"/>
            <w:vAlign w:val="center"/>
          </w:tcPr>
          <w:p w14:paraId="0993C60E">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highlight w:val="none"/>
                <w:lang w:val="en-US" w:eastAsia="zh-CN" w:bidi="ar-SA"/>
              </w:rPr>
              <w:t>4</w:t>
            </w:r>
          </w:p>
        </w:tc>
        <w:tc>
          <w:tcPr>
            <w:tcW w:w="4322" w:type="dxa"/>
            <w:noWrap w:val="0"/>
            <w:vAlign w:val="center"/>
          </w:tcPr>
          <w:p w14:paraId="47CB1BF5">
            <w:pPr>
              <w:widowControl/>
              <w:spacing w:before="24" w:beforeLines="10" w:after="24" w:afterLines="10" w:line="30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服务期限</w:t>
            </w:r>
          </w:p>
        </w:tc>
        <w:tc>
          <w:tcPr>
            <w:tcW w:w="2701" w:type="dxa"/>
            <w:noWrap w:val="0"/>
            <w:vAlign w:val="center"/>
          </w:tcPr>
          <w:p w14:paraId="1DE03F8F">
            <w:pPr>
              <w:widowControl/>
              <w:spacing w:before="24" w:beforeLines="10" w:after="24" w:afterLines="10" w:line="300" w:lineRule="exac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符合</w:t>
            </w:r>
            <w:r>
              <w:rPr>
                <w:rFonts w:hint="eastAsia" w:ascii="宋体" w:hAnsi="宋体" w:eastAsia="宋体" w:cs="宋体"/>
                <w:color w:val="auto"/>
                <w:highlight w:val="none"/>
                <w:lang w:val="en-US" w:eastAsia="zh-CN"/>
              </w:rPr>
              <w:t>磋商</w:t>
            </w:r>
            <w:r>
              <w:rPr>
                <w:rFonts w:hint="eastAsia" w:ascii="宋体" w:hAnsi="宋体" w:eastAsia="宋体" w:cs="宋体"/>
                <w:color w:val="auto"/>
                <w:highlight w:val="none"/>
              </w:rPr>
              <w:t>文件要求</w:t>
            </w:r>
          </w:p>
        </w:tc>
        <w:tc>
          <w:tcPr>
            <w:tcW w:w="707" w:type="dxa"/>
            <w:noWrap w:val="0"/>
            <w:vAlign w:val="center"/>
          </w:tcPr>
          <w:p w14:paraId="4E9E8F0D">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574FF1A6">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4757DEB3">
            <w:pPr>
              <w:widowControl/>
              <w:spacing w:before="24" w:beforeLines="10" w:after="24" w:afterLines="10" w:line="300" w:lineRule="exact"/>
              <w:jc w:val="center"/>
              <w:rPr>
                <w:rFonts w:hint="eastAsia" w:ascii="宋体" w:hAnsi="宋体" w:eastAsia="宋体" w:cs="宋体"/>
                <w:color w:val="auto"/>
                <w:highlight w:val="none"/>
              </w:rPr>
            </w:pPr>
          </w:p>
        </w:tc>
      </w:tr>
      <w:tr w14:paraId="36DB5D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472" w:type="dxa"/>
            <w:tcBorders>
              <w:left w:val="single" w:color="auto" w:sz="4" w:space="0"/>
            </w:tcBorders>
            <w:noWrap w:val="0"/>
            <w:vAlign w:val="center"/>
          </w:tcPr>
          <w:p w14:paraId="67F46053">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5</w:t>
            </w:r>
          </w:p>
        </w:tc>
        <w:tc>
          <w:tcPr>
            <w:tcW w:w="4322" w:type="dxa"/>
            <w:noWrap w:val="0"/>
            <w:vAlign w:val="center"/>
          </w:tcPr>
          <w:p w14:paraId="52A0AA85">
            <w:pPr>
              <w:widowControl/>
              <w:spacing w:before="24" w:beforeLines="10" w:after="24" w:afterLines="10" w:line="300" w:lineRule="exac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是否响应磋商须知前附表第二章第42.1款</w:t>
            </w:r>
          </w:p>
          <w:p w14:paraId="0C4AB39C">
            <w:pPr>
              <w:widowControl/>
              <w:spacing w:before="24" w:beforeLines="10" w:after="24" w:afterLines="10" w:line="300" w:lineRule="exac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其他规定</w:t>
            </w:r>
          </w:p>
        </w:tc>
        <w:tc>
          <w:tcPr>
            <w:tcW w:w="2701" w:type="dxa"/>
            <w:noWrap w:val="0"/>
            <w:vAlign w:val="center"/>
          </w:tcPr>
          <w:p w14:paraId="19C3B1A4">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符合</w:t>
            </w:r>
            <w:r>
              <w:rPr>
                <w:rFonts w:hint="eastAsia" w:ascii="宋体" w:hAnsi="宋体" w:eastAsia="宋体" w:cs="宋体"/>
                <w:color w:val="auto"/>
                <w:highlight w:val="none"/>
                <w:lang w:val="en-US" w:eastAsia="zh-CN"/>
              </w:rPr>
              <w:t>磋商</w:t>
            </w:r>
            <w:r>
              <w:rPr>
                <w:rFonts w:hint="eastAsia" w:ascii="宋体" w:hAnsi="宋体" w:eastAsia="宋体" w:cs="宋体"/>
                <w:color w:val="auto"/>
                <w:highlight w:val="none"/>
              </w:rPr>
              <w:t>文件要求</w:t>
            </w:r>
          </w:p>
        </w:tc>
        <w:tc>
          <w:tcPr>
            <w:tcW w:w="707" w:type="dxa"/>
            <w:noWrap w:val="0"/>
            <w:vAlign w:val="center"/>
          </w:tcPr>
          <w:p w14:paraId="260F795D">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653E420A">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7284139A">
            <w:pPr>
              <w:widowControl/>
              <w:spacing w:before="24" w:beforeLines="10" w:after="24" w:afterLines="10" w:line="300" w:lineRule="exact"/>
              <w:jc w:val="center"/>
              <w:rPr>
                <w:rFonts w:hint="eastAsia" w:ascii="宋体" w:hAnsi="宋体" w:eastAsia="宋体" w:cs="宋体"/>
                <w:color w:val="auto"/>
                <w:highlight w:val="none"/>
              </w:rPr>
            </w:pPr>
          </w:p>
        </w:tc>
      </w:tr>
      <w:tr w14:paraId="0F1B49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472" w:type="dxa"/>
            <w:tcBorders>
              <w:left w:val="single" w:color="auto" w:sz="4" w:space="0"/>
            </w:tcBorders>
            <w:noWrap w:val="0"/>
            <w:vAlign w:val="center"/>
          </w:tcPr>
          <w:p w14:paraId="76C11513">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highlight w:val="none"/>
                <w:lang w:val="en-US" w:eastAsia="zh-CN" w:bidi="ar-SA"/>
              </w:rPr>
              <w:t>6</w:t>
            </w:r>
          </w:p>
        </w:tc>
        <w:tc>
          <w:tcPr>
            <w:tcW w:w="4322" w:type="dxa"/>
            <w:noWrap w:val="0"/>
            <w:vAlign w:val="center"/>
          </w:tcPr>
          <w:p w14:paraId="1FA95922">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eastAsia="宋体" w:cs="宋体"/>
                <w:color w:val="auto"/>
                <w:highlight w:val="none"/>
                <w:lang w:eastAsia="zh-CN"/>
              </w:rPr>
              <w:t>响应文件</w:t>
            </w:r>
            <w:r>
              <w:rPr>
                <w:rFonts w:hint="eastAsia" w:ascii="宋体" w:hAnsi="宋体" w:eastAsia="宋体" w:cs="宋体"/>
                <w:color w:val="auto"/>
                <w:highlight w:val="none"/>
              </w:rPr>
              <w:t>中</w:t>
            </w:r>
            <w:r>
              <w:rPr>
                <w:rFonts w:hint="eastAsia" w:ascii="宋体" w:hAnsi="宋体" w:eastAsia="宋体" w:cs="宋体"/>
                <w:color w:val="auto"/>
                <w:highlight w:val="none"/>
                <w:lang w:val="en-US" w:eastAsia="zh-CN"/>
              </w:rPr>
              <w:t>是否</w:t>
            </w:r>
            <w:r>
              <w:rPr>
                <w:rFonts w:hint="eastAsia" w:ascii="宋体" w:hAnsi="宋体" w:eastAsia="宋体" w:cs="宋体"/>
                <w:color w:val="auto"/>
                <w:highlight w:val="none"/>
              </w:rPr>
              <w:t>符合法律、法规和招标文件其他实质性规定</w:t>
            </w:r>
          </w:p>
        </w:tc>
        <w:tc>
          <w:tcPr>
            <w:tcW w:w="2701" w:type="dxa"/>
            <w:noWrap w:val="0"/>
            <w:vAlign w:val="center"/>
          </w:tcPr>
          <w:p w14:paraId="3A3C8A1E">
            <w:pPr>
              <w:widowControl/>
              <w:spacing w:before="24" w:beforeLines="10" w:after="24" w:afterLines="10" w:line="3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highlight w:val="none"/>
              </w:rPr>
              <w:t>符合</w:t>
            </w:r>
            <w:r>
              <w:rPr>
                <w:rFonts w:hint="eastAsia" w:ascii="宋体" w:hAnsi="宋体" w:eastAsia="宋体" w:cs="宋体"/>
                <w:color w:val="auto"/>
                <w:highlight w:val="none"/>
                <w:lang w:val="en-US" w:eastAsia="zh-CN"/>
              </w:rPr>
              <w:t>磋商</w:t>
            </w:r>
            <w:r>
              <w:rPr>
                <w:rFonts w:hint="eastAsia" w:ascii="宋体" w:hAnsi="宋体" w:eastAsia="宋体" w:cs="宋体"/>
                <w:color w:val="auto"/>
                <w:highlight w:val="none"/>
              </w:rPr>
              <w:t>文件要求</w:t>
            </w:r>
          </w:p>
        </w:tc>
        <w:tc>
          <w:tcPr>
            <w:tcW w:w="707" w:type="dxa"/>
            <w:noWrap w:val="0"/>
            <w:vAlign w:val="center"/>
          </w:tcPr>
          <w:p w14:paraId="6C19EB98">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63004EC2">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566435B0">
            <w:pPr>
              <w:widowControl/>
              <w:spacing w:before="24" w:beforeLines="10" w:after="24" w:afterLines="10" w:line="300" w:lineRule="exact"/>
              <w:jc w:val="center"/>
              <w:rPr>
                <w:rFonts w:hint="eastAsia" w:ascii="宋体" w:hAnsi="宋体" w:eastAsia="宋体" w:cs="宋体"/>
                <w:color w:val="auto"/>
                <w:highlight w:val="none"/>
              </w:rPr>
            </w:pPr>
          </w:p>
        </w:tc>
      </w:tr>
      <w:tr w14:paraId="698604E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461" w:hRule="atLeast"/>
          <w:jc w:val="center"/>
        </w:trPr>
        <w:tc>
          <w:tcPr>
            <w:tcW w:w="7495" w:type="dxa"/>
            <w:gridSpan w:val="3"/>
            <w:tcBorders>
              <w:left w:val="single" w:color="auto" w:sz="4" w:space="0"/>
              <w:bottom w:val="single" w:color="auto" w:sz="4" w:space="0"/>
            </w:tcBorders>
            <w:noWrap w:val="0"/>
            <w:vAlign w:val="center"/>
          </w:tcPr>
          <w:p w14:paraId="461241AA">
            <w:pPr>
              <w:widowControl/>
              <w:spacing w:before="24" w:beforeLines="10" w:after="24" w:afterLines="10" w:line="300" w:lineRule="exact"/>
              <w:jc w:val="center"/>
              <w:rPr>
                <w:rFonts w:hint="eastAsia" w:ascii="宋体" w:hAnsi="宋体" w:eastAsia="宋体" w:cs="宋体"/>
                <w:color w:val="auto"/>
                <w:kern w:val="0"/>
                <w:szCs w:val="21"/>
                <w:highlight w:val="none"/>
                <w:lang w:val="en-US" w:eastAsia="zh-CN"/>
              </w:rPr>
            </w:pPr>
            <w:r>
              <w:rPr>
                <w:rFonts w:hint="eastAsia" w:ascii="宋体" w:hAnsi="宋体" w:eastAsia="宋体" w:cs="宋体"/>
                <w:color w:val="auto"/>
                <w:highlight w:val="none"/>
                <w:lang w:eastAsia="zh-CN"/>
              </w:rPr>
              <w:t>结论</w:t>
            </w:r>
          </w:p>
        </w:tc>
        <w:tc>
          <w:tcPr>
            <w:tcW w:w="707" w:type="dxa"/>
            <w:tcBorders>
              <w:bottom w:val="single" w:color="auto" w:sz="4" w:space="0"/>
            </w:tcBorders>
            <w:noWrap w:val="0"/>
            <w:vAlign w:val="center"/>
          </w:tcPr>
          <w:p w14:paraId="7A3A536D">
            <w:pPr>
              <w:widowControl/>
              <w:spacing w:before="24" w:beforeLines="10" w:after="24" w:afterLines="10" w:line="300" w:lineRule="exact"/>
              <w:jc w:val="center"/>
              <w:rPr>
                <w:rFonts w:hint="eastAsia" w:ascii="宋体" w:hAnsi="宋体" w:eastAsia="宋体" w:cs="宋体"/>
                <w:color w:val="auto"/>
                <w:highlight w:val="none"/>
              </w:rPr>
            </w:pPr>
          </w:p>
        </w:tc>
        <w:tc>
          <w:tcPr>
            <w:tcW w:w="706" w:type="dxa"/>
            <w:tcBorders>
              <w:bottom w:val="single" w:color="auto" w:sz="4" w:space="0"/>
            </w:tcBorders>
            <w:noWrap w:val="0"/>
            <w:vAlign w:val="center"/>
          </w:tcPr>
          <w:p w14:paraId="6015F808">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bottom w:val="single" w:color="auto" w:sz="4" w:space="0"/>
              <w:right w:val="single" w:color="auto" w:sz="4" w:space="0"/>
            </w:tcBorders>
            <w:noWrap w:val="0"/>
            <w:vAlign w:val="center"/>
          </w:tcPr>
          <w:p w14:paraId="0997CB60">
            <w:pPr>
              <w:widowControl/>
              <w:spacing w:before="24" w:beforeLines="10" w:after="24" w:afterLines="10" w:line="300" w:lineRule="exact"/>
              <w:jc w:val="center"/>
              <w:rPr>
                <w:rFonts w:hint="eastAsia" w:ascii="宋体" w:hAnsi="宋体" w:eastAsia="宋体" w:cs="宋体"/>
                <w:color w:val="auto"/>
                <w:highlight w:val="none"/>
              </w:rPr>
            </w:pPr>
          </w:p>
        </w:tc>
      </w:tr>
    </w:tbl>
    <w:p w14:paraId="790C7C8B">
      <w:pPr>
        <w:pStyle w:val="18"/>
        <w:spacing w:after="0" w:line="300" w:lineRule="exact"/>
        <w:ind w:left="0" w:leftChars="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备注：</w:t>
      </w:r>
      <w:r>
        <w:rPr>
          <w:rFonts w:hint="eastAsia" w:ascii="宋体" w:hAnsi="宋体" w:eastAsia="宋体" w:cs="宋体"/>
          <w:color w:val="auto"/>
          <w:szCs w:val="21"/>
          <w:highlight w:val="none"/>
          <w:lang w:val="en-US" w:eastAsia="zh-CN"/>
        </w:rPr>
        <w:t xml:space="preserve"> 1、</w:t>
      </w:r>
      <w:r>
        <w:rPr>
          <w:rFonts w:hint="eastAsia" w:ascii="宋体" w:hAnsi="宋体" w:eastAsia="宋体" w:cs="宋体"/>
          <w:color w:val="auto"/>
          <w:szCs w:val="21"/>
          <w:highlight w:val="none"/>
        </w:rPr>
        <w:t>上述内容合格用“√”表示，不合格用“×”表示；</w:t>
      </w:r>
    </w:p>
    <w:p w14:paraId="3BB16339">
      <w:pPr>
        <w:pStyle w:val="63"/>
        <w:ind w:firstLine="789" w:firstLineChars="329"/>
        <w:rPr>
          <w:rFonts w:hint="eastAsia" w:ascii="宋体" w:hAnsi="宋体" w:eastAsia="宋体" w:cs="宋体"/>
          <w:color w:val="auto"/>
          <w:highlight w:val="none"/>
        </w:rPr>
      </w:pPr>
      <w:r>
        <w:rPr>
          <w:rFonts w:hint="eastAsia" w:ascii="宋体" w:hAnsi="宋体" w:eastAsia="宋体" w:cs="宋体"/>
          <w:color w:val="auto"/>
          <w:szCs w:val="21"/>
          <w:highlight w:val="none"/>
        </w:rPr>
        <w:t>2、以上内容有一项不合格的，则初步评审的综合评定结果为不合格。</w:t>
      </w:r>
    </w:p>
    <w:p w14:paraId="4E0ABA2D">
      <w:pPr>
        <w:numPr>
          <w:ilvl w:val="1"/>
          <w:numId w:val="6"/>
        </w:numPr>
        <w:adjustRightInd w:val="0"/>
        <w:snapToGrid w:val="0"/>
        <w:spacing w:before="120" w:beforeLines="50" w:after="120" w:afterLines="50" w:line="360" w:lineRule="exact"/>
        <w:ind w:left="632" w:hanging="632" w:hangingChars="3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磋商</w:t>
      </w:r>
    </w:p>
    <w:p w14:paraId="1C4A3E68">
      <w:pPr>
        <w:adjustRightInd w:val="0"/>
        <w:snapToGrid w:val="0"/>
        <w:spacing w:before="120" w:beforeLines="50" w:after="120" w:afterLines="50" w:line="320" w:lineRule="exact"/>
        <w:ind w:right="-109" w:rightChars="-52" w:firstLine="525" w:firstLineChars="25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磋商小组可根据磋商文件的规定与供应商进行多轮磋商</w:t>
      </w:r>
      <w:r>
        <w:rPr>
          <w:rFonts w:hint="eastAsia" w:ascii="宋体" w:hAnsi="宋体" w:eastAsia="宋体" w:cs="宋体"/>
          <w:color w:val="auto"/>
          <w:szCs w:val="21"/>
          <w:highlight w:val="none"/>
          <w:lang w:eastAsia="zh-CN"/>
        </w:rPr>
        <w:t>。</w:t>
      </w:r>
    </w:p>
    <w:p w14:paraId="06FE8218">
      <w:pPr>
        <w:numPr>
          <w:ilvl w:val="1"/>
          <w:numId w:val="6"/>
        </w:numPr>
        <w:adjustRightInd w:val="0"/>
        <w:snapToGrid w:val="0"/>
        <w:spacing w:before="120" w:beforeLines="50" w:after="120" w:afterLines="50" w:line="360" w:lineRule="exact"/>
        <w:ind w:left="632" w:hanging="632" w:hangingChars="3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澄清有关问题</w:t>
      </w:r>
    </w:p>
    <w:p w14:paraId="73D25D7D">
      <w:pPr>
        <w:adjustRightInd w:val="0"/>
        <w:snapToGrid w:val="0"/>
        <w:spacing w:before="120" w:beforeLines="50" w:after="120" w:afterLines="50" w:line="440" w:lineRule="exact"/>
        <w:ind w:left="525" w:hanging="525" w:hangingChars="250"/>
        <w:rPr>
          <w:rFonts w:hint="eastAsia" w:ascii="宋体" w:hAnsi="宋体" w:eastAsia="宋体" w:cs="宋体"/>
          <w:color w:val="auto"/>
          <w:highlight w:val="none"/>
        </w:rPr>
      </w:pPr>
      <w:r>
        <w:rPr>
          <w:rFonts w:hint="eastAsia" w:ascii="宋体" w:hAnsi="宋体" w:eastAsia="宋体" w:cs="宋体"/>
          <w:color w:val="auto"/>
          <w:szCs w:val="21"/>
          <w:highlight w:val="none"/>
        </w:rPr>
        <w:t>2.5.1对响应文件中含义不明确、同类问题表述不一致或者有明显文字和计算错误的内容，磋商小组将以书面形式通知供应商作出必要的澄清、说明，但不得超出响应文件的范围或对响应文件做实质性的修改（计算错误修正除外）。磋商小组不接受供应商主动提出的澄清、说明。</w:t>
      </w:r>
    </w:p>
    <w:p w14:paraId="2E6D6DB0">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outlineLvl w:val="4"/>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 xml:space="preserve">表3  </w:t>
      </w:r>
      <w:r>
        <w:rPr>
          <w:rFonts w:hint="eastAsia" w:ascii="宋体" w:hAnsi="宋体" w:eastAsia="宋体" w:cs="宋体"/>
          <w:b/>
          <w:color w:val="auto"/>
          <w:szCs w:val="21"/>
          <w:highlight w:val="none"/>
        </w:rPr>
        <w:t>澄清、说明、补正事项纪要表</w:t>
      </w:r>
    </w:p>
    <w:tbl>
      <w:tblPr>
        <w:tblStyle w:val="43"/>
        <w:tblW w:w="1027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2275"/>
        <w:gridCol w:w="1784"/>
        <w:gridCol w:w="2816"/>
        <w:gridCol w:w="1425"/>
        <w:gridCol w:w="1111"/>
      </w:tblGrid>
      <w:tr w14:paraId="65F30B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868" w:type="dxa"/>
            <w:noWrap w:val="0"/>
            <w:vAlign w:val="center"/>
          </w:tcPr>
          <w:p w14:paraId="34FE793F">
            <w:pPr>
              <w:widowControl/>
              <w:spacing w:line="24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2275" w:type="dxa"/>
            <w:noWrap w:val="0"/>
            <w:vAlign w:val="center"/>
          </w:tcPr>
          <w:p w14:paraId="2F42A953">
            <w:pPr>
              <w:widowControl/>
              <w:spacing w:line="495"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w:t>
            </w:r>
          </w:p>
        </w:tc>
        <w:tc>
          <w:tcPr>
            <w:tcW w:w="1784" w:type="dxa"/>
            <w:noWrap w:val="0"/>
            <w:vAlign w:val="center"/>
          </w:tcPr>
          <w:p w14:paraId="5BE1CE15">
            <w:pPr>
              <w:widowControl/>
              <w:spacing w:line="24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响应文件中需要澄清的页次</w:t>
            </w:r>
          </w:p>
        </w:tc>
        <w:tc>
          <w:tcPr>
            <w:tcW w:w="2816" w:type="dxa"/>
            <w:noWrap w:val="0"/>
            <w:vAlign w:val="center"/>
          </w:tcPr>
          <w:p w14:paraId="41F4D951">
            <w:pPr>
              <w:widowControl/>
              <w:spacing w:line="24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中含义不明确同类问题表述不一致或明显文字和计算错误的澄清、说明或修正记录</w:t>
            </w:r>
          </w:p>
        </w:tc>
        <w:tc>
          <w:tcPr>
            <w:tcW w:w="1425" w:type="dxa"/>
            <w:noWrap w:val="0"/>
            <w:vAlign w:val="center"/>
          </w:tcPr>
          <w:p w14:paraId="078C5FE2">
            <w:pPr>
              <w:jc w:val="center"/>
              <w:rPr>
                <w:rFonts w:hint="eastAsia" w:ascii="宋体" w:hAnsi="宋体" w:eastAsia="宋体" w:cs="宋体"/>
                <w:color w:val="auto"/>
                <w:szCs w:val="21"/>
                <w:highlight w:val="none"/>
              </w:rPr>
            </w:pPr>
            <w:r>
              <w:rPr>
                <w:rFonts w:hint="eastAsia" w:ascii="宋体" w:hAnsi="宋体" w:eastAsia="宋体" w:cs="宋体"/>
                <w:color w:val="auto"/>
                <w:sz w:val="24"/>
                <w:highlight w:val="none"/>
              </w:rPr>
              <w:t>投标人对修正的意见</w:t>
            </w:r>
          </w:p>
        </w:tc>
        <w:tc>
          <w:tcPr>
            <w:tcW w:w="1111" w:type="dxa"/>
            <w:noWrap w:val="0"/>
            <w:vAlign w:val="center"/>
          </w:tcPr>
          <w:p w14:paraId="16A933A3">
            <w:pPr>
              <w:widowControl/>
              <w:spacing w:line="240"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授权代表</w:t>
            </w:r>
          </w:p>
          <w:p w14:paraId="6DC540D1">
            <w:pPr>
              <w:widowControl/>
              <w:spacing w:line="240"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签字确认</w:t>
            </w:r>
          </w:p>
        </w:tc>
      </w:tr>
      <w:tr w14:paraId="353EC3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68" w:type="dxa"/>
            <w:noWrap w:val="0"/>
            <w:vAlign w:val="center"/>
          </w:tcPr>
          <w:p w14:paraId="1AA66880">
            <w:pPr>
              <w:widowControl/>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275" w:type="dxa"/>
            <w:noWrap w:val="0"/>
            <w:vAlign w:val="center"/>
          </w:tcPr>
          <w:p w14:paraId="70EDB4AE">
            <w:pPr>
              <w:widowControl/>
              <w:spacing w:line="495" w:lineRule="atLeast"/>
              <w:rPr>
                <w:rFonts w:hint="eastAsia" w:ascii="宋体" w:hAnsi="宋体" w:eastAsia="宋体" w:cs="宋体"/>
                <w:color w:val="auto"/>
                <w:szCs w:val="21"/>
                <w:highlight w:val="none"/>
              </w:rPr>
            </w:pPr>
          </w:p>
        </w:tc>
        <w:tc>
          <w:tcPr>
            <w:tcW w:w="1784" w:type="dxa"/>
            <w:noWrap w:val="0"/>
            <w:vAlign w:val="center"/>
          </w:tcPr>
          <w:p w14:paraId="51ED1F8C">
            <w:pPr>
              <w:widowControl/>
              <w:spacing w:line="495" w:lineRule="atLeast"/>
              <w:rPr>
                <w:rFonts w:hint="eastAsia" w:ascii="宋体" w:hAnsi="宋体" w:eastAsia="宋体" w:cs="宋体"/>
                <w:color w:val="auto"/>
                <w:szCs w:val="21"/>
                <w:highlight w:val="none"/>
              </w:rPr>
            </w:pPr>
          </w:p>
        </w:tc>
        <w:tc>
          <w:tcPr>
            <w:tcW w:w="2816" w:type="dxa"/>
            <w:noWrap w:val="0"/>
            <w:vAlign w:val="center"/>
          </w:tcPr>
          <w:p w14:paraId="64606434">
            <w:pPr>
              <w:widowControl/>
              <w:spacing w:line="495" w:lineRule="atLeast"/>
              <w:rPr>
                <w:rFonts w:hint="eastAsia" w:ascii="宋体" w:hAnsi="宋体" w:eastAsia="宋体" w:cs="宋体"/>
                <w:color w:val="auto"/>
                <w:szCs w:val="21"/>
                <w:highlight w:val="none"/>
              </w:rPr>
            </w:pPr>
          </w:p>
        </w:tc>
        <w:tc>
          <w:tcPr>
            <w:tcW w:w="1425" w:type="dxa"/>
            <w:noWrap w:val="0"/>
            <w:vAlign w:val="center"/>
          </w:tcPr>
          <w:p w14:paraId="7963E11D">
            <w:pPr>
              <w:widowControl/>
              <w:spacing w:line="495" w:lineRule="atLeast"/>
              <w:rPr>
                <w:rFonts w:hint="eastAsia" w:ascii="宋体" w:hAnsi="宋体" w:eastAsia="宋体" w:cs="宋体"/>
                <w:color w:val="auto"/>
                <w:szCs w:val="21"/>
                <w:highlight w:val="none"/>
              </w:rPr>
            </w:pPr>
          </w:p>
        </w:tc>
        <w:tc>
          <w:tcPr>
            <w:tcW w:w="1111" w:type="dxa"/>
            <w:noWrap w:val="0"/>
            <w:vAlign w:val="center"/>
          </w:tcPr>
          <w:p w14:paraId="79060062">
            <w:pPr>
              <w:widowControl/>
              <w:spacing w:line="495" w:lineRule="atLeast"/>
              <w:rPr>
                <w:rFonts w:hint="eastAsia" w:ascii="宋体" w:hAnsi="宋体" w:eastAsia="宋体" w:cs="宋体"/>
                <w:color w:val="auto"/>
                <w:szCs w:val="21"/>
                <w:highlight w:val="none"/>
              </w:rPr>
            </w:pPr>
          </w:p>
        </w:tc>
      </w:tr>
      <w:tr w14:paraId="1E5365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68" w:type="dxa"/>
            <w:noWrap w:val="0"/>
            <w:vAlign w:val="center"/>
          </w:tcPr>
          <w:p w14:paraId="6B9744EC">
            <w:pPr>
              <w:widowControl/>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2275" w:type="dxa"/>
            <w:noWrap w:val="0"/>
            <w:vAlign w:val="center"/>
          </w:tcPr>
          <w:p w14:paraId="4AA1F751">
            <w:pPr>
              <w:widowControl/>
              <w:spacing w:line="495" w:lineRule="atLeast"/>
              <w:rPr>
                <w:rFonts w:hint="eastAsia" w:ascii="宋体" w:hAnsi="宋体" w:eastAsia="宋体" w:cs="宋体"/>
                <w:color w:val="auto"/>
                <w:szCs w:val="21"/>
                <w:highlight w:val="none"/>
              </w:rPr>
            </w:pPr>
          </w:p>
        </w:tc>
        <w:tc>
          <w:tcPr>
            <w:tcW w:w="1784" w:type="dxa"/>
            <w:noWrap w:val="0"/>
            <w:vAlign w:val="center"/>
          </w:tcPr>
          <w:p w14:paraId="73A748AF">
            <w:pPr>
              <w:widowControl/>
              <w:spacing w:line="495" w:lineRule="atLeast"/>
              <w:rPr>
                <w:rFonts w:hint="eastAsia" w:ascii="宋体" w:hAnsi="宋体" w:eastAsia="宋体" w:cs="宋体"/>
                <w:color w:val="auto"/>
                <w:szCs w:val="21"/>
                <w:highlight w:val="none"/>
              </w:rPr>
            </w:pPr>
          </w:p>
        </w:tc>
        <w:tc>
          <w:tcPr>
            <w:tcW w:w="2816" w:type="dxa"/>
            <w:noWrap w:val="0"/>
            <w:vAlign w:val="center"/>
          </w:tcPr>
          <w:p w14:paraId="70E231EF">
            <w:pPr>
              <w:widowControl/>
              <w:spacing w:line="495" w:lineRule="atLeast"/>
              <w:rPr>
                <w:rFonts w:hint="eastAsia" w:ascii="宋体" w:hAnsi="宋体" w:eastAsia="宋体" w:cs="宋体"/>
                <w:color w:val="auto"/>
                <w:szCs w:val="21"/>
                <w:highlight w:val="none"/>
              </w:rPr>
            </w:pPr>
          </w:p>
        </w:tc>
        <w:tc>
          <w:tcPr>
            <w:tcW w:w="1425" w:type="dxa"/>
            <w:noWrap w:val="0"/>
            <w:vAlign w:val="center"/>
          </w:tcPr>
          <w:p w14:paraId="4CE9E31A">
            <w:pPr>
              <w:widowControl/>
              <w:spacing w:line="495" w:lineRule="atLeast"/>
              <w:rPr>
                <w:rFonts w:hint="eastAsia" w:ascii="宋体" w:hAnsi="宋体" w:eastAsia="宋体" w:cs="宋体"/>
                <w:color w:val="auto"/>
                <w:szCs w:val="21"/>
                <w:highlight w:val="none"/>
              </w:rPr>
            </w:pPr>
          </w:p>
        </w:tc>
        <w:tc>
          <w:tcPr>
            <w:tcW w:w="1111" w:type="dxa"/>
            <w:noWrap w:val="0"/>
            <w:vAlign w:val="center"/>
          </w:tcPr>
          <w:p w14:paraId="27FB8B52">
            <w:pPr>
              <w:widowControl/>
              <w:spacing w:line="495" w:lineRule="atLeast"/>
              <w:rPr>
                <w:rFonts w:hint="eastAsia" w:ascii="宋体" w:hAnsi="宋体" w:eastAsia="宋体" w:cs="宋体"/>
                <w:color w:val="auto"/>
                <w:szCs w:val="21"/>
                <w:highlight w:val="none"/>
              </w:rPr>
            </w:pPr>
          </w:p>
        </w:tc>
      </w:tr>
      <w:tr w14:paraId="6ECE19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68" w:type="dxa"/>
            <w:noWrap w:val="0"/>
            <w:vAlign w:val="center"/>
          </w:tcPr>
          <w:p w14:paraId="3CFC06F5">
            <w:pPr>
              <w:widowControl/>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2275" w:type="dxa"/>
            <w:noWrap w:val="0"/>
            <w:vAlign w:val="center"/>
          </w:tcPr>
          <w:p w14:paraId="7B30A4D5">
            <w:pPr>
              <w:widowControl/>
              <w:spacing w:line="495" w:lineRule="atLeast"/>
              <w:rPr>
                <w:rFonts w:hint="eastAsia" w:ascii="宋体" w:hAnsi="宋体" w:eastAsia="宋体" w:cs="宋体"/>
                <w:color w:val="auto"/>
                <w:szCs w:val="21"/>
                <w:highlight w:val="none"/>
              </w:rPr>
            </w:pPr>
          </w:p>
        </w:tc>
        <w:tc>
          <w:tcPr>
            <w:tcW w:w="1784" w:type="dxa"/>
            <w:noWrap w:val="0"/>
            <w:vAlign w:val="center"/>
          </w:tcPr>
          <w:p w14:paraId="08FFBB18">
            <w:pPr>
              <w:widowControl/>
              <w:spacing w:line="495" w:lineRule="atLeast"/>
              <w:rPr>
                <w:rFonts w:hint="eastAsia" w:ascii="宋体" w:hAnsi="宋体" w:eastAsia="宋体" w:cs="宋体"/>
                <w:color w:val="auto"/>
                <w:szCs w:val="21"/>
                <w:highlight w:val="none"/>
              </w:rPr>
            </w:pPr>
          </w:p>
        </w:tc>
        <w:tc>
          <w:tcPr>
            <w:tcW w:w="2816" w:type="dxa"/>
            <w:noWrap w:val="0"/>
            <w:vAlign w:val="center"/>
          </w:tcPr>
          <w:p w14:paraId="757B72D1">
            <w:pPr>
              <w:widowControl/>
              <w:spacing w:line="495" w:lineRule="atLeast"/>
              <w:rPr>
                <w:rFonts w:hint="eastAsia" w:ascii="宋体" w:hAnsi="宋体" w:eastAsia="宋体" w:cs="宋体"/>
                <w:color w:val="auto"/>
                <w:szCs w:val="21"/>
                <w:highlight w:val="none"/>
              </w:rPr>
            </w:pPr>
          </w:p>
        </w:tc>
        <w:tc>
          <w:tcPr>
            <w:tcW w:w="1425" w:type="dxa"/>
            <w:noWrap w:val="0"/>
            <w:vAlign w:val="center"/>
          </w:tcPr>
          <w:p w14:paraId="1A4563B8">
            <w:pPr>
              <w:widowControl/>
              <w:spacing w:line="495" w:lineRule="atLeast"/>
              <w:rPr>
                <w:rFonts w:hint="eastAsia" w:ascii="宋体" w:hAnsi="宋体" w:eastAsia="宋体" w:cs="宋体"/>
                <w:color w:val="auto"/>
                <w:szCs w:val="21"/>
                <w:highlight w:val="none"/>
              </w:rPr>
            </w:pPr>
          </w:p>
        </w:tc>
        <w:tc>
          <w:tcPr>
            <w:tcW w:w="1111" w:type="dxa"/>
            <w:noWrap w:val="0"/>
            <w:vAlign w:val="center"/>
          </w:tcPr>
          <w:p w14:paraId="143C73E8">
            <w:pPr>
              <w:widowControl/>
              <w:spacing w:line="495" w:lineRule="atLeast"/>
              <w:rPr>
                <w:rFonts w:hint="eastAsia" w:ascii="宋体" w:hAnsi="宋体" w:eastAsia="宋体" w:cs="宋体"/>
                <w:color w:val="auto"/>
                <w:szCs w:val="21"/>
                <w:highlight w:val="none"/>
              </w:rPr>
            </w:pPr>
          </w:p>
        </w:tc>
      </w:tr>
    </w:tbl>
    <w:p w14:paraId="2E2AD7C3">
      <w:pPr>
        <w:adjustRightInd w:val="0"/>
        <w:snapToGrid w:val="0"/>
        <w:spacing w:before="120" w:beforeLines="50" w:after="120" w:afterLines="50" w:line="440" w:lineRule="exact"/>
        <w:ind w:left="525" w:hanging="525" w:hanging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2.5.2计算错误将按以下方法修正：如果响应文件的大写金额和小写金额不一致的，以大写金额为准；总价金额与按单价汇总金额不一致的，以单价金额计算结果为准；单价金额小数点有明显错位的，应以总价为准，并修改单价；若文字大写表示的数据与数字表示的有差别，则以文字大写表示的数据为准。若供应商拒绝接受上述修正，在评审时将其视为无效响应文件。</w:t>
      </w:r>
    </w:p>
    <w:p w14:paraId="404F3362">
      <w:pPr>
        <w:numPr>
          <w:ilvl w:val="0"/>
          <w:numId w:val="4"/>
        </w:numPr>
        <w:adjustRightInd w:val="0"/>
        <w:snapToGrid w:val="0"/>
        <w:spacing w:before="240" w:beforeLines="100" w:line="400" w:lineRule="exact"/>
        <w:ind w:right="-109" w:rightChars="-5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综合评审</w:t>
      </w:r>
    </w:p>
    <w:p w14:paraId="48126F64">
      <w:pPr>
        <w:adjustRightInd w:val="0"/>
        <w:snapToGrid w:val="0"/>
        <w:spacing w:before="120" w:beforeLines="50" w:after="120" w:afterLines="50" w:line="440" w:lineRule="exact"/>
        <w:ind w:left="420" w:left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磋商小组应按照磋商文件中规定的评审方法和标准，对资格审查、初步审查及符合性审查合格的响应文件进行商务和技术评估，综合比较进行评分。</w:t>
      </w:r>
    </w:p>
    <w:p w14:paraId="60DA4A3B">
      <w:pPr>
        <w:adjustRightInd w:val="0"/>
        <w:snapToGrid w:val="0"/>
        <w:spacing w:before="120" w:beforeLines="50" w:after="120" w:afterLines="50" w:line="440" w:lineRule="exact"/>
        <w:ind w:left="420" w:leftChars="200"/>
        <w:jc w:val="center"/>
        <w:rPr>
          <w:rFonts w:hint="eastAsia" w:ascii="宋体" w:hAnsi="宋体" w:eastAsia="宋体" w:cs="宋体"/>
          <w:b/>
          <w:color w:val="auto"/>
          <w:sz w:val="30"/>
          <w:szCs w:val="30"/>
          <w:highlight w:val="none"/>
          <w:lang w:val="en-US" w:eastAsia="zh-CN"/>
        </w:rPr>
      </w:pPr>
      <w:r>
        <w:rPr>
          <w:rFonts w:hint="eastAsia" w:ascii="宋体" w:hAnsi="宋体" w:eastAsia="宋体" w:cs="宋体"/>
          <w:b/>
          <w:color w:val="auto"/>
          <w:sz w:val="30"/>
          <w:szCs w:val="30"/>
          <w:highlight w:val="none"/>
          <w:lang w:val="en-US" w:eastAsia="zh-CN"/>
        </w:rPr>
        <w:t>权值构成表</w:t>
      </w:r>
    </w:p>
    <w:tbl>
      <w:tblPr>
        <w:tblStyle w:val="43"/>
        <w:tblpPr w:leftFromText="180" w:rightFromText="180" w:vertAnchor="text" w:horzAnchor="page" w:tblpX="1667" w:tblpY="134"/>
        <w:tblOverlap w:val="never"/>
        <w:tblW w:w="895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97"/>
        <w:gridCol w:w="3912"/>
        <w:gridCol w:w="3549"/>
      </w:tblGrid>
      <w:tr w14:paraId="19F73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8" w:hRule="atLeast"/>
        </w:trPr>
        <w:tc>
          <w:tcPr>
            <w:tcW w:w="1497" w:type="dxa"/>
            <w:tcBorders>
              <w:top w:val="single" w:color="000000" w:sz="4" w:space="0"/>
              <w:left w:val="single" w:color="000000" w:sz="4" w:space="0"/>
              <w:bottom w:val="single" w:color="000000" w:sz="4" w:space="0"/>
              <w:right w:val="single" w:color="000000" w:sz="4" w:space="0"/>
            </w:tcBorders>
            <w:noWrap w:val="0"/>
            <w:vAlign w:val="center"/>
          </w:tcPr>
          <w:p w14:paraId="5FE455E2">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序号</w:t>
            </w:r>
          </w:p>
        </w:tc>
        <w:tc>
          <w:tcPr>
            <w:tcW w:w="3912" w:type="dxa"/>
            <w:tcBorders>
              <w:top w:val="single" w:color="000000" w:sz="4" w:space="0"/>
              <w:left w:val="single" w:color="000000" w:sz="4" w:space="0"/>
              <w:bottom w:val="single" w:color="000000" w:sz="4" w:space="0"/>
              <w:right w:val="single" w:color="000000" w:sz="4" w:space="0"/>
            </w:tcBorders>
            <w:noWrap w:val="0"/>
            <w:vAlign w:val="center"/>
          </w:tcPr>
          <w:p w14:paraId="7EB9288D">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项目</w:t>
            </w:r>
          </w:p>
        </w:tc>
        <w:tc>
          <w:tcPr>
            <w:tcW w:w="3549" w:type="dxa"/>
            <w:tcBorders>
              <w:top w:val="single" w:color="000000" w:sz="4" w:space="0"/>
              <w:left w:val="single" w:color="000000" w:sz="4" w:space="0"/>
              <w:bottom w:val="single" w:color="000000" w:sz="4" w:space="0"/>
              <w:right w:val="single" w:color="000000" w:sz="4" w:space="0"/>
            </w:tcBorders>
            <w:noWrap w:val="0"/>
            <w:vAlign w:val="center"/>
          </w:tcPr>
          <w:p w14:paraId="6D6F62F4">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具体权值</w:t>
            </w:r>
          </w:p>
        </w:tc>
      </w:tr>
      <w:tr w14:paraId="0D4A8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497" w:type="dxa"/>
            <w:tcBorders>
              <w:top w:val="single" w:color="000000" w:sz="4" w:space="0"/>
              <w:left w:val="single" w:color="000000" w:sz="4" w:space="0"/>
              <w:bottom w:val="single" w:color="000000" w:sz="4" w:space="0"/>
              <w:right w:val="single" w:color="000000" w:sz="4" w:space="0"/>
            </w:tcBorders>
            <w:noWrap w:val="0"/>
            <w:vAlign w:val="center"/>
          </w:tcPr>
          <w:p w14:paraId="67B0C06F">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w:t>
            </w:r>
          </w:p>
        </w:tc>
        <w:tc>
          <w:tcPr>
            <w:tcW w:w="3912" w:type="dxa"/>
            <w:tcBorders>
              <w:top w:val="single" w:color="000000" w:sz="4" w:space="0"/>
              <w:left w:val="single" w:color="000000" w:sz="4" w:space="0"/>
              <w:bottom w:val="single" w:color="000000" w:sz="4" w:space="0"/>
              <w:right w:val="single" w:color="000000" w:sz="4" w:space="0"/>
            </w:tcBorders>
            <w:noWrap w:val="0"/>
            <w:vAlign w:val="center"/>
          </w:tcPr>
          <w:p w14:paraId="4185124B">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价格</w:t>
            </w:r>
          </w:p>
        </w:tc>
        <w:tc>
          <w:tcPr>
            <w:tcW w:w="3549" w:type="dxa"/>
            <w:tcBorders>
              <w:top w:val="single" w:color="000000" w:sz="4" w:space="0"/>
              <w:left w:val="single" w:color="000000" w:sz="4" w:space="0"/>
              <w:bottom w:val="single" w:color="000000" w:sz="4" w:space="0"/>
              <w:right w:val="single" w:color="000000" w:sz="4" w:space="0"/>
            </w:tcBorders>
            <w:noWrap w:val="0"/>
            <w:vAlign w:val="center"/>
          </w:tcPr>
          <w:p w14:paraId="4ACB17A8">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20%</w:t>
            </w:r>
          </w:p>
        </w:tc>
      </w:tr>
      <w:tr w14:paraId="10B80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497" w:type="dxa"/>
            <w:tcBorders>
              <w:top w:val="single" w:color="000000" w:sz="4" w:space="0"/>
              <w:left w:val="single" w:color="000000" w:sz="4" w:space="0"/>
              <w:bottom w:val="single" w:color="000000" w:sz="4" w:space="0"/>
              <w:right w:val="single" w:color="000000" w:sz="4" w:space="0"/>
            </w:tcBorders>
            <w:noWrap w:val="0"/>
            <w:vAlign w:val="center"/>
          </w:tcPr>
          <w:p w14:paraId="5922D5FA">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p>
        </w:tc>
        <w:tc>
          <w:tcPr>
            <w:tcW w:w="3912" w:type="dxa"/>
            <w:tcBorders>
              <w:top w:val="single" w:color="000000" w:sz="4" w:space="0"/>
              <w:left w:val="single" w:color="000000" w:sz="4" w:space="0"/>
              <w:bottom w:val="single" w:color="000000" w:sz="4" w:space="0"/>
              <w:right w:val="single" w:color="000000" w:sz="4" w:space="0"/>
            </w:tcBorders>
            <w:noWrap w:val="0"/>
            <w:vAlign w:val="center"/>
          </w:tcPr>
          <w:p w14:paraId="402F5A8D">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商务</w:t>
            </w:r>
          </w:p>
        </w:tc>
        <w:tc>
          <w:tcPr>
            <w:tcW w:w="3549" w:type="dxa"/>
            <w:tcBorders>
              <w:top w:val="single" w:color="000000" w:sz="4" w:space="0"/>
              <w:left w:val="single" w:color="000000" w:sz="4" w:space="0"/>
              <w:bottom w:val="single" w:color="000000" w:sz="4" w:space="0"/>
              <w:right w:val="single" w:color="000000" w:sz="4" w:space="0"/>
            </w:tcBorders>
            <w:noWrap w:val="0"/>
            <w:vAlign w:val="center"/>
          </w:tcPr>
          <w:p w14:paraId="0EE1A9CE">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20</w:t>
            </w:r>
            <w:r>
              <w:rPr>
                <w:rFonts w:hint="eastAsia" w:ascii="宋体" w:hAnsi="宋体" w:eastAsia="宋体" w:cs="宋体"/>
                <w:color w:val="auto"/>
                <w:sz w:val="22"/>
                <w:szCs w:val="22"/>
                <w:highlight w:val="none"/>
                <w:lang w:val="en-US" w:eastAsia="zh-CN"/>
              </w:rPr>
              <w:t>%</w:t>
            </w:r>
          </w:p>
        </w:tc>
      </w:tr>
      <w:tr w14:paraId="0673F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1497" w:type="dxa"/>
            <w:tcBorders>
              <w:top w:val="single" w:color="000000" w:sz="4" w:space="0"/>
              <w:left w:val="single" w:color="000000" w:sz="4" w:space="0"/>
              <w:bottom w:val="single" w:color="000000" w:sz="4" w:space="0"/>
              <w:right w:val="single" w:color="000000" w:sz="4" w:space="0"/>
            </w:tcBorders>
            <w:noWrap w:val="0"/>
            <w:vAlign w:val="center"/>
          </w:tcPr>
          <w:p w14:paraId="4CA124EA">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w:t>
            </w:r>
          </w:p>
        </w:tc>
        <w:tc>
          <w:tcPr>
            <w:tcW w:w="3912" w:type="dxa"/>
            <w:tcBorders>
              <w:top w:val="single" w:color="000000" w:sz="4" w:space="0"/>
              <w:left w:val="single" w:color="000000" w:sz="4" w:space="0"/>
              <w:bottom w:val="single" w:color="000000" w:sz="4" w:space="0"/>
              <w:right w:val="single" w:color="000000" w:sz="4" w:space="0"/>
            </w:tcBorders>
            <w:noWrap w:val="0"/>
            <w:vAlign w:val="center"/>
          </w:tcPr>
          <w:p w14:paraId="538B01C1">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技术</w:t>
            </w:r>
          </w:p>
        </w:tc>
        <w:tc>
          <w:tcPr>
            <w:tcW w:w="3549" w:type="dxa"/>
            <w:tcBorders>
              <w:top w:val="single" w:color="000000" w:sz="4" w:space="0"/>
              <w:left w:val="single" w:color="000000" w:sz="4" w:space="0"/>
              <w:bottom w:val="single" w:color="000000" w:sz="4" w:space="0"/>
              <w:right w:val="single" w:color="000000" w:sz="4" w:space="0"/>
            </w:tcBorders>
            <w:noWrap w:val="0"/>
            <w:vAlign w:val="center"/>
          </w:tcPr>
          <w:p w14:paraId="049B116F">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6</w:t>
            </w:r>
            <w:r>
              <w:rPr>
                <w:rFonts w:hint="eastAsia" w:ascii="宋体" w:hAnsi="宋体" w:eastAsia="宋体" w:cs="宋体"/>
                <w:color w:val="auto"/>
                <w:sz w:val="22"/>
                <w:szCs w:val="22"/>
                <w:highlight w:val="none"/>
                <w:lang w:val="en-US" w:eastAsia="zh-CN"/>
              </w:rPr>
              <w:t>0%</w:t>
            </w:r>
          </w:p>
        </w:tc>
      </w:tr>
    </w:tbl>
    <w:p w14:paraId="7BDB2E58">
      <w:pPr>
        <w:adjustRightInd w:val="0"/>
        <w:snapToGrid w:val="0"/>
        <w:spacing w:before="120" w:beforeLines="50" w:after="120" w:afterLines="50" w:line="440" w:lineRule="exact"/>
        <w:ind w:left="420" w:leftChars="200"/>
        <w:rPr>
          <w:rFonts w:hint="eastAsia" w:ascii="宋体" w:hAnsi="宋体" w:eastAsia="宋体" w:cs="宋体"/>
          <w:color w:val="auto"/>
          <w:szCs w:val="21"/>
          <w:highlight w:val="none"/>
        </w:rPr>
      </w:pPr>
    </w:p>
    <w:p w14:paraId="3AD2E88E">
      <w:pPr>
        <w:jc w:val="center"/>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rPr>
        <w:t>评审因素和标准</w:t>
      </w:r>
    </w:p>
    <w:tbl>
      <w:tblPr>
        <w:tblStyle w:val="43"/>
        <w:tblW w:w="507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2"/>
        <w:gridCol w:w="1594"/>
        <w:gridCol w:w="934"/>
        <w:gridCol w:w="6792"/>
      </w:tblGrid>
      <w:tr w14:paraId="612E7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1133" w:type="pct"/>
            <w:gridSpan w:val="2"/>
            <w:tcBorders>
              <w:top w:val="single" w:color="auto" w:sz="4" w:space="0"/>
              <w:left w:val="single" w:color="auto" w:sz="4" w:space="0"/>
              <w:bottom w:val="single" w:color="auto" w:sz="4" w:space="0"/>
              <w:right w:val="single" w:color="auto" w:sz="4" w:space="0"/>
            </w:tcBorders>
            <w:vAlign w:val="center"/>
          </w:tcPr>
          <w:p w14:paraId="40721002">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评审因素</w:t>
            </w:r>
          </w:p>
        </w:tc>
        <w:tc>
          <w:tcPr>
            <w:tcW w:w="467" w:type="pct"/>
            <w:tcBorders>
              <w:top w:val="single" w:color="auto" w:sz="4" w:space="0"/>
              <w:left w:val="single" w:color="auto" w:sz="4" w:space="0"/>
              <w:bottom w:val="single" w:color="auto" w:sz="4" w:space="0"/>
              <w:right w:val="single" w:color="auto" w:sz="4" w:space="0"/>
            </w:tcBorders>
            <w:vAlign w:val="center"/>
          </w:tcPr>
          <w:p w14:paraId="772715A0">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分值</w:t>
            </w:r>
          </w:p>
        </w:tc>
        <w:tc>
          <w:tcPr>
            <w:tcW w:w="3398" w:type="pct"/>
            <w:tcBorders>
              <w:top w:val="single" w:color="auto" w:sz="4" w:space="0"/>
              <w:left w:val="single" w:color="auto" w:sz="4" w:space="0"/>
              <w:bottom w:val="single" w:color="auto" w:sz="4" w:space="0"/>
              <w:right w:val="single" w:color="auto" w:sz="4" w:space="0"/>
            </w:tcBorders>
            <w:vAlign w:val="center"/>
          </w:tcPr>
          <w:p w14:paraId="57D05A05">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评分标准</w:t>
            </w:r>
          </w:p>
        </w:tc>
      </w:tr>
      <w:tr w14:paraId="54914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133" w:type="pct"/>
            <w:gridSpan w:val="2"/>
            <w:tcBorders>
              <w:top w:val="single" w:color="auto" w:sz="4" w:space="0"/>
              <w:left w:val="single" w:color="auto" w:sz="4" w:space="0"/>
              <w:bottom w:val="single" w:color="auto" w:sz="4" w:space="0"/>
              <w:right w:val="single" w:color="auto" w:sz="4" w:space="0"/>
            </w:tcBorders>
            <w:vAlign w:val="center"/>
          </w:tcPr>
          <w:p w14:paraId="0ADF55A8">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投标报价</w:t>
            </w:r>
          </w:p>
          <w:p w14:paraId="36788A0A">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100</w:t>
            </w:r>
            <w:r>
              <w:rPr>
                <w:rFonts w:hint="eastAsia" w:ascii="宋体" w:hAnsi="宋体" w:eastAsia="宋体" w:cs="宋体"/>
                <w:color w:val="auto"/>
                <w:sz w:val="21"/>
                <w:szCs w:val="21"/>
                <w:highlight w:val="none"/>
                <w:lang w:val="en-US" w:eastAsia="zh-CN"/>
              </w:rPr>
              <w:t>分）</w:t>
            </w:r>
          </w:p>
        </w:tc>
        <w:tc>
          <w:tcPr>
            <w:tcW w:w="467" w:type="pct"/>
            <w:tcBorders>
              <w:top w:val="single" w:color="auto" w:sz="4" w:space="0"/>
              <w:left w:val="single" w:color="auto" w:sz="4" w:space="0"/>
              <w:bottom w:val="single" w:color="auto" w:sz="4" w:space="0"/>
              <w:right w:val="single" w:color="auto" w:sz="4" w:space="0"/>
            </w:tcBorders>
            <w:vAlign w:val="center"/>
          </w:tcPr>
          <w:p w14:paraId="088E7C8B">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100</w:t>
            </w:r>
          </w:p>
        </w:tc>
        <w:tc>
          <w:tcPr>
            <w:tcW w:w="3398" w:type="pct"/>
            <w:tcBorders>
              <w:top w:val="single" w:color="auto" w:sz="4" w:space="0"/>
              <w:left w:val="single" w:color="auto" w:sz="4" w:space="0"/>
              <w:bottom w:val="single" w:color="auto" w:sz="4" w:space="0"/>
              <w:right w:val="single" w:color="auto" w:sz="4" w:space="0"/>
            </w:tcBorders>
            <w:vAlign w:val="center"/>
          </w:tcPr>
          <w:p w14:paraId="7321D19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满足磋商文件要求且最后报价最低的供应商的价格为磋商基准价，其价格得分计</w:t>
            </w:r>
            <w:r>
              <w:rPr>
                <w:rFonts w:hint="eastAsia" w:ascii="宋体" w:hAnsi="宋体" w:cs="宋体"/>
                <w:color w:val="auto"/>
                <w:sz w:val="21"/>
                <w:szCs w:val="21"/>
                <w:highlight w:val="none"/>
                <w:lang w:val="en-US" w:eastAsia="zh-CN"/>
              </w:rPr>
              <w:t>100</w:t>
            </w:r>
            <w:r>
              <w:rPr>
                <w:rFonts w:hint="eastAsia" w:ascii="宋体" w:hAnsi="宋体" w:eastAsia="宋体" w:cs="宋体"/>
                <w:color w:val="auto"/>
                <w:sz w:val="21"/>
                <w:szCs w:val="21"/>
                <w:highlight w:val="none"/>
              </w:rPr>
              <w:t>分。其他</w:t>
            </w:r>
            <w:r>
              <w:rPr>
                <w:rFonts w:hint="eastAsia" w:ascii="宋体" w:hAnsi="宋体" w:eastAsia="宋体" w:cs="宋体"/>
                <w:color w:val="auto"/>
                <w:sz w:val="21"/>
                <w:szCs w:val="21"/>
                <w:highlight w:val="none"/>
                <w:lang w:eastAsia="zh-CN"/>
              </w:rPr>
              <w:t>供应商的价格得分统一按公式计算：报价得分＝评标基准价÷投标报价×</w:t>
            </w:r>
            <w:r>
              <w:rPr>
                <w:rFonts w:hint="eastAsia" w:ascii="宋体" w:hAnsi="宋体" w:cs="宋体"/>
                <w:color w:val="auto"/>
                <w:sz w:val="21"/>
                <w:szCs w:val="21"/>
                <w:highlight w:val="none"/>
                <w:lang w:val="en-US" w:eastAsia="zh-CN"/>
              </w:rPr>
              <w:t>100%</w:t>
            </w:r>
            <w:r>
              <w:rPr>
                <w:rFonts w:hint="eastAsia" w:ascii="宋体" w:hAnsi="宋体" w:eastAsia="宋体" w:cs="宋体"/>
                <w:color w:val="auto"/>
                <w:sz w:val="21"/>
                <w:szCs w:val="21"/>
                <w:highlight w:val="none"/>
              </w:rPr>
              <w:t>。</w:t>
            </w:r>
          </w:p>
          <w:p w14:paraId="64BE53E7">
            <w:pPr>
              <w:adjustRightInd w:val="0"/>
              <w:snapToGrid w:val="0"/>
              <w:spacing w:line="240" w:lineRule="auto"/>
              <w:rPr>
                <w:rFonts w:hint="eastAsia" w:ascii="Times New Roman" w:hAnsi="Times New Roman" w:eastAsia="宋体" w:cs="Times New Roman"/>
                <w:color w:val="auto"/>
                <w:highlight w:val="none"/>
                <w:lang w:eastAsia="zh-CN"/>
              </w:rPr>
            </w:pPr>
            <w:r>
              <w:rPr>
                <w:rFonts w:hint="eastAsia" w:ascii="宋体" w:hAnsi="宋体" w:cs="宋体"/>
                <w:color w:val="auto"/>
                <w:sz w:val="21"/>
                <w:szCs w:val="21"/>
                <w:highlight w:val="none"/>
                <w:lang w:val="en-US" w:eastAsia="zh-CN"/>
              </w:rPr>
              <w:t>说明：</w:t>
            </w:r>
            <w:r>
              <w:rPr>
                <w:rFonts w:hint="eastAsia" w:ascii="Times New Roman" w:hAnsi="Times New Roman" w:eastAsia="宋体" w:cs="Times New Roman"/>
                <w:color w:val="auto"/>
                <w:highlight w:val="none"/>
              </w:rPr>
              <w:t>政府采购评审中出现下列情形之一的，评审委员会应当启动异常低价投标(响应)审查程序</w:t>
            </w:r>
            <w:r>
              <w:rPr>
                <w:rFonts w:hint="eastAsia" w:eastAsia="宋体" w:cs="Times New Roman"/>
                <w:color w:val="auto"/>
                <w:highlight w:val="none"/>
                <w:lang w:eastAsia="zh-CN"/>
              </w:rPr>
              <w:t>：</w:t>
            </w:r>
          </w:p>
          <w:p w14:paraId="31763C3D">
            <w:pPr>
              <w:numPr>
                <w:ilvl w:val="0"/>
                <w:numId w:val="3"/>
              </w:numPr>
              <w:adjustRightInd w:val="0"/>
              <w:snapToGrid w:val="0"/>
              <w:spacing w:line="240" w:lineRule="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投标(响应)报价低于全部通过符合性审查供应商投示(响应)报价平均值65%的，即投标(响应)报价&lt;全部通过符合性审查供应商投标(响应)报价平均值</w:t>
            </w:r>
            <w:r>
              <w:rPr>
                <w:rFonts w:hint="eastAsia" w:eastAsia="宋体" w:cs="Times New Roman"/>
                <w:color w:val="auto"/>
                <w:highlight w:val="none"/>
                <w:lang w:val="en-US" w:eastAsia="zh-CN"/>
              </w:rPr>
              <w:t>*6</w:t>
            </w:r>
            <w:r>
              <w:rPr>
                <w:rFonts w:hint="eastAsia" w:ascii="Times New Roman" w:hAnsi="Times New Roman" w:eastAsia="宋体" w:cs="Times New Roman"/>
                <w:color w:val="auto"/>
                <w:highlight w:val="none"/>
              </w:rPr>
              <w:t>5%</w:t>
            </w:r>
            <w:r>
              <w:rPr>
                <w:rFonts w:hint="eastAsia" w:eastAsia="宋体" w:cs="Times New Roman"/>
                <w:color w:val="auto"/>
                <w:highlight w:val="none"/>
                <w:lang w:eastAsia="zh-CN"/>
              </w:rPr>
              <w:t>；</w:t>
            </w:r>
          </w:p>
          <w:p w14:paraId="05734159">
            <w:pPr>
              <w:numPr>
                <w:ilvl w:val="0"/>
                <w:numId w:val="0"/>
              </w:numPr>
              <w:adjustRightInd w:val="0"/>
              <w:snapToGrid w:val="0"/>
              <w:spacing w:line="240" w:lineRule="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2.投标(响应)报价低于通过符合性审查的次低报价供应商投标(响应)报价</w:t>
            </w:r>
            <w:r>
              <w:rPr>
                <w:rFonts w:hint="eastAsia" w:eastAsia="宋体" w:cs="Times New Roman"/>
                <w:color w:val="auto"/>
                <w:highlight w:val="none"/>
                <w:lang w:val="en-US" w:eastAsia="zh-CN"/>
              </w:rPr>
              <w:t>65%的</w:t>
            </w:r>
            <w:r>
              <w:rPr>
                <w:rFonts w:hint="eastAsia" w:ascii="Times New Roman" w:hAnsi="Times New Roman" w:eastAsia="宋体" w:cs="Times New Roman"/>
                <w:color w:val="auto"/>
                <w:highlight w:val="none"/>
              </w:rPr>
              <w:t>，即投标(响应)报价&lt;通过符合性审查的次低报价供应商投标(响应)报价</w:t>
            </w:r>
            <w:r>
              <w:rPr>
                <w:rFonts w:hint="eastAsia" w:eastAsia="宋体" w:cs="Times New Roman"/>
                <w:color w:val="auto"/>
                <w:highlight w:val="none"/>
                <w:lang w:val="en-US" w:eastAsia="zh-CN"/>
              </w:rPr>
              <w:t>*6</w:t>
            </w:r>
            <w:r>
              <w:rPr>
                <w:rFonts w:hint="eastAsia" w:ascii="Times New Roman" w:hAnsi="Times New Roman" w:eastAsia="宋体" w:cs="Times New Roman"/>
                <w:color w:val="auto"/>
                <w:highlight w:val="none"/>
              </w:rPr>
              <w:t>5%</w:t>
            </w:r>
            <w:r>
              <w:rPr>
                <w:rFonts w:hint="eastAsia" w:eastAsia="宋体" w:cs="Times New Roman"/>
                <w:color w:val="auto"/>
                <w:highlight w:val="none"/>
                <w:lang w:eastAsia="zh-CN"/>
              </w:rPr>
              <w:t>；</w:t>
            </w:r>
          </w:p>
          <w:p w14:paraId="40CFC673">
            <w:pPr>
              <w:numPr>
                <w:ilvl w:val="0"/>
                <w:numId w:val="0"/>
              </w:numPr>
              <w:adjustRightInd w:val="0"/>
              <w:snapToGrid w:val="0"/>
              <w:spacing w:line="240" w:lineRule="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3.投标(响应)报价低于采购项目最高限价65%的即投标(响应)报价&lt;采购项目最高限价</w:t>
            </w:r>
            <w:r>
              <w:rPr>
                <w:rFonts w:hint="eastAsia" w:eastAsia="宋体" w:cs="Times New Roman"/>
                <w:color w:val="auto"/>
                <w:highlight w:val="none"/>
                <w:lang w:val="en-US" w:eastAsia="zh-CN"/>
              </w:rPr>
              <w:t>*</w:t>
            </w:r>
            <w:r>
              <w:rPr>
                <w:rFonts w:hint="eastAsia" w:ascii="Times New Roman" w:hAnsi="Times New Roman" w:eastAsia="宋体" w:cs="Times New Roman"/>
                <w:color w:val="auto"/>
                <w:highlight w:val="none"/>
              </w:rPr>
              <w:t>65%</w:t>
            </w:r>
            <w:r>
              <w:rPr>
                <w:rFonts w:hint="eastAsia" w:eastAsia="宋体" w:cs="Times New Roman"/>
                <w:color w:val="auto"/>
                <w:highlight w:val="none"/>
                <w:lang w:eastAsia="zh-CN"/>
              </w:rPr>
              <w:t>；</w:t>
            </w:r>
          </w:p>
          <w:p w14:paraId="28578A5B">
            <w:pPr>
              <w:numPr>
                <w:ilvl w:val="0"/>
                <w:numId w:val="0"/>
              </w:numPr>
              <w:adjustRightInd w:val="0"/>
              <w:snapToGrid w:val="0"/>
              <w:spacing w:line="240" w:lineRule="auto"/>
              <w:ind w:left="0" w:leftChars="0" w:firstLine="0" w:firstLineChars="0"/>
              <w:rPr>
                <w:rFonts w:hint="eastAsia" w:ascii="Times New Roman" w:hAnsi="Times New Roman" w:eastAsia="宋体" w:cs="Times New Roman"/>
                <w:color w:val="auto"/>
                <w:highlight w:val="none"/>
              </w:rPr>
            </w:pPr>
            <w:r>
              <w:rPr>
                <w:rFonts w:hint="eastAsia" w:eastAsia="宋体" w:cs="Times New Roman"/>
                <w:color w:val="auto"/>
                <w:highlight w:val="none"/>
                <w:lang w:val="en-US" w:eastAsia="zh-CN"/>
              </w:rPr>
              <w:t>4.</w:t>
            </w:r>
            <w:r>
              <w:rPr>
                <w:rFonts w:hint="eastAsia" w:ascii="Times New Roman" w:hAnsi="Times New Roman" w:eastAsia="宋体" w:cs="Times New Roman"/>
                <w:color w:val="auto"/>
                <w:highlight w:val="none"/>
              </w:rPr>
              <w:t>评宙委员会基于专业判断，认为供应商报价过低，有可能影响产品质量或者不能诚信履约的其他情形</w:t>
            </w:r>
          </w:p>
          <w:p w14:paraId="0CAE07E0">
            <w:pPr>
              <w:numPr>
                <w:ilvl w:val="0"/>
                <w:numId w:val="0"/>
              </w:numPr>
              <w:adjustRightInd w:val="0"/>
              <w:snapToGrid w:val="0"/>
              <w:spacing w:line="240" w:lineRule="auto"/>
              <w:ind w:left="0" w:leftChars="0"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相关法律法规对供应商报价有规定的，从其规定。</w:t>
            </w:r>
          </w:p>
          <w:p w14:paraId="7F1C6D75">
            <w:pPr>
              <w:numPr>
                <w:ilvl w:val="0"/>
                <w:numId w:val="0"/>
              </w:numPr>
              <w:adjustRightInd w:val="0"/>
              <w:snapToGrid w:val="0"/>
              <w:spacing w:line="240" w:lineRule="auto"/>
              <w:ind w:left="0" w:leftChars="0"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4E10DE7C">
            <w:pPr>
              <w:numPr>
                <w:ilvl w:val="0"/>
                <w:numId w:val="0"/>
              </w:numPr>
              <w:adjustRightInd w:val="0"/>
              <w:snapToGrid w:val="0"/>
              <w:spacing w:line="240" w:lineRule="auto"/>
              <w:ind w:left="0" w:leftChars="0" w:firstLine="0" w:firstLineChars="0"/>
              <w:rPr>
                <w:rFonts w:hint="eastAsia" w:ascii="宋体" w:hAnsi="宋体" w:eastAsia="宋体" w:cs="宋体"/>
                <w:color w:val="auto"/>
                <w:sz w:val="21"/>
                <w:szCs w:val="21"/>
                <w:highlight w:val="none"/>
                <w:lang w:val="en-US" w:eastAsia="zh-CN"/>
              </w:rPr>
            </w:pPr>
            <w:r>
              <w:rPr>
                <w:rFonts w:hint="eastAsia" w:ascii="Times New Roman" w:hAnsi="Times New Roman" w:eastAsia="宋体" w:cs="Times New Roman"/>
                <w:color w:val="auto"/>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tc>
      </w:tr>
      <w:tr w14:paraId="5C348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336" w:type="pct"/>
            <w:vMerge w:val="restart"/>
            <w:tcBorders>
              <w:left w:val="single" w:color="auto" w:sz="4" w:space="0"/>
              <w:right w:val="single" w:color="auto" w:sz="4" w:space="0"/>
            </w:tcBorders>
            <w:textDirection w:val="tbLrV"/>
            <w:vAlign w:val="center"/>
          </w:tcPr>
          <w:p w14:paraId="12EB44E2">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技术部</w:t>
            </w:r>
            <w:r>
              <w:rPr>
                <w:rFonts w:hint="eastAsia" w:ascii="宋体" w:hAnsi="宋体" w:cs="宋体"/>
                <w:color w:val="auto"/>
                <w:sz w:val="21"/>
                <w:szCs w:val="21"/>
                <w:highlight w:val="none"/>
                <w:lang w:val="en-US" w:eastAsia="zh-CN"/>
              </w:rPr>
              <w:t>分</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100</w:t>
            </w:r>
            <w:r>
              <w:rPr>
                <w:rFonts w:hint="eastAsia" w:ascii="宋体" w:hAnsi="宋体" w:eastAsia="宋体" w:cs="宋体"/>
                <w:color w:val="auto"/>
                <w:sz w:val="21"/>
                <w:szCs w:val="21"/>
                <w:highlight w:val="none"/>
                <w:lang w:val="en-US" w:eastAsia="zh-CN"/>
              </w:rPr>
              <w:t>分）</w:t>
            </w:r>
          </w:p>
        </w:tc>
        <w:tc>
          <w:tcPr>
            <w:tcW w:w="797" w:type="pct"/>
            <w:tcBorders>
              <w:top w:val="single" w:color="auto" w:sz="4" w:space="0"/>
              <w:left w:val="single" w:color="auto" w:sz="4" w:space="0"/>
              <w:bottom w:val="single" w:color="auto" w:sz="4" w:space="0"/>
              <w:right w:val="single" w:color="auto" w:sz="4" w:space="0"/>
            </w:tcBorders>
            <w:vAlign w:val="center"/>
          </w:tcPr>
          <w:p w14:paraId="72E7E819">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项目整体服务实施方案</w:t>
            </w:r>
          </w:p>
        </w:tc>
        <w:tc>
          <w:tcPr>
            <w:tcW w:w="467" w:type="pct"/>
            <w:tcBorders>
              <w:top w:val="single" w:color="auto" w:sz="4" w:space="0"/>
              <w:left w:val="single" w:color="auto" w:sz="4" w:space="0"/>
              <w:bottom w:val="single" w:color="auto" w:sz="4" w:space="0"/>
              <w:right w:val="single" w:color="auto" w:sz="4" w:space="0"/>
            </w:tcBorders>
            <w:vAlign w:val="center"/>
          </w:tcPr>
          <w:p w14:paraId="4C469962">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宋体" w:hAnsi="宋体" w:eastAsia="宋体" w:cs="宋体"/>
                <w:color w:val="auto"/>
                <w:sz w:val="21"/>
                <w:szCs w:val="21"/>
                <w:highlight w:val="none"/>
                <w:lang w:val="en-US"/>
              </w:rPr>
            </w:pPr>
            <w:r>
              <w:rPr>
                <w:rFonts w:hint="eastAsia" w:ascii="宋体" w:hAnsi="宋体" w:cs="宋体"/>
                <w:color w:val="auto"/>
                <w:sz w:val="21"/>
                <w:szCs w:val="21"/>
                <w:highlight w:val="none"/>
                <w:lang w:val="en-US" w:eastAsia="zh-CN"/>
              </w:rPr>
              <w:t>36</w:t>
            </w:r>
          </w:p>
        </w:tc>
        <w:tc>
          <w:tcPr>
            <w:tcW w:w="3398" w:type="pct"/>
            <w:tcBorders>
              <w:top w:val="single" w:color="auto" w:sz="4" w:space="0"/>
              <w:left w:val="single" w:color="auto" w:sz="4" w:space="0"/>
              <w:bottom w:val="single" w:color="auto" w:sz="4" w:space="0"/>
              <w:right w:val="single" w:color="auto" w:sz="4" w:space="0"/>
            </w:tcBorders>
            <w:vAlign w:val="center"/>
          </w:tcPr>
          <w:p w14:paraId="71AB06F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需根据采购需求提供针对本项目的项目实施方案，方案应包括但不限于：（1）代建管理目标、范围和内容，表述符合招标文件要求。（2）投资控制，代建项目全过程投资控制内容完整、措施合理、符合项目实际情况。（3）质量控制，质量控制各个关键环节完整，措施科学合理，符合实际。（4）进度控制，三级进度计划设置合理科学，进度计划各环节控制措施合理。每项</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分，满分</w:t>
            </w:r>
            <w:r>
              <w:rPr>
                <w:rFonts w:hint="eastAsia" w:ascii="宋体" w:hAnsi="宋体" w:cs="宋体"/>
                <w:color w:val="auto"/>
                <w:sz w:val="21"/>
                <w:szCs w:val="21"/>
                <w:highlight w:val="none"/>
                <w:lang w:val="en-US" w:eastAsia="zh-CN"/>
              </w:rPr>
              <w:t>36</w:t>
            </w:r>
            <w:r>
              <w:rPr>
                <w:rFonts w:hint="eastAsia" w:ascii="宋体" w:hAnsi="宋体" w:eastAsia="宋体" w:cs="宋体"/>
                <w:color w:val="auto"/>
                <w:sz w:val="21"/>
                <w:szCs w:val="21"/>
                <w:highlight w:val="none"/>
                <w:lang w:val="en-US" w:eastAsia="zh-CN"/>
              </w:rPr>
              <w:t>分。 上述内容: 有不完善、不清晰、不合理、或者不满足采购需求的每处扣</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分，缺漏项的扣</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分；未提供的不计分。</w:t>
            </w:r>
          </w:p>
        </w:tc>
      </w:tr>
      <w:tr w14:paraId="394FB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336" w:type="pct"/>
            <w:vMerge w:val="continue"/>
            <w:tcBorders>
              <w:left w:val="single" w:color="auto" w:sz="4" w:space="0"/>
              <w:right w:val="single" w:color="auto" w:sz="4" w:space="0"/>
            </w:tcBorders>
            <w:vAlign w:val="center"/>
          </w:tcPr>
          <w:p w14:paraId="0B2B89D7">
            <w:pPr>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auto"/>
                <w:sz w:val="21"/>
                <w:szCs w:val="21"/>
                <w:highlight w:val="none"/>
                <w:lang w:val="en-US" w:eastAsia="zh-CN"/>
              </w:rPr>
            </w:pPr>
          </w:p>
        </w:tc>
        <w:tc>
          <w:tcPr>
            <w:tcW w:w="797" w:type="pct"/>
            <w:tcBorders>
              <w:top w:val="single" w:color="auto" w:sz="4" w:space="0"/>
              <w:left w:val="single" w:color="auto" w:sz="4" w:space="0"/>
              <w:bottom w:val="single" w:color="auto" w:sz="4" w:space="0"/>
              <w:right w:val="single" w:color="auto" w:sz="4" w:space="0"/>
            </w:tcBorders>
            <w:vAlign w:val="center"/>
          </w:tcPr>
          <w:p w14:paraId="0489A4AB">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安全、环境保护</w:t>
            </w:r>
          </w:p>
          <w:p w14:paraId="3E9E5C3E">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与职业健康管理方案</w:t>
            </w:r>
          </w:p>
        </w:tc>
        <w:tc>
          <w:tcPr>
            <w:tcW w:w="467" w:type="pct"/>
            <w:tcBorders>
              <w:top w:val="single" w:color="auto" w:sz="4" w:space="0"/>
              <w:left w:val="single" w:color="auto" w:sz="4" w:space="0"/>
              <w:bottom w:val="single" w:color="auto" w:sz="4" w:space="0"/>
              <w:right w:val="single" w:color="auto" w:sz="4" w:space="0"/>
            </w:tcBorders>
            <w:vAlign w:val="center"/>
          </w:tcPr>
          <w:p w14:paraId="54E2EE4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宋体" w:hAnsi="宋体" w:eastAsia="宋体" w:cs="宋体"/>
                <w:color w:val="auto"/>
                <w:szCs w:val="21"/>
                <w:highlight w:val="none"/>
                <w:lang w:val="en-US" w:eastAsia="zh-CN"/>
              </w:rPr>
            </w:pPr>
            <w:r>
              <w:rPr>
                <w:rFonts w:hint="eastAsia" w:ascii="宋体" w:hAnsi="宋体" w:cs="宋体"/>
                <w:color w:val="auto"/>
                <w:kern w:val="2"/>
                <w:sz w:val="21"/>
                <w:szCs w:val="21"/>
                <w:highlight w:val="none"/>
                <w:lang w:val="en-US" w:eastAsia="zh-CN" w:bidi="ar-SA"/>
              </w:rPr>
              <w:t>20</w:t>
            </w:r>
          </w:p>
        </w:tc>
        <w:tc>
          <w:tcPr>
            <w:tcW w:w="3398" w:type="pct"/>
            <w:tcBorders>
              <w:top w:val="single" w:color="auto" w:sz="4" w:space="0"/>
              <w:left w:val="single" w:color="auto" w:sz="4" w:space="0"/>
              <w:bottom w:val="single" w:color="auto" w:sz="4" w:space="0"/>
              <w:right w:val="single" w:color="auto" w:sz="4" w:space="0"/>
            </w:tcBorders>
            <w:vAlign w:val="center"/>
          </w:tcPr>
          <w:p w14:paraId="11DE36E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需根据采购需求提供针对本项目的项目安全、环境保护与职业健康管理方案，方案应包括但不限于：（1）安全生产监督与管理措施合理科学（2）环境保护管理措施合理（3）职业健康监督管理措施合理（4）对环境保护管理与职业健康管理提出有针对性的措施。每项</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分，满分</w:t>
            </w: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lang w:val="en-US" w:eastAsia="zh-CN"/>
              </w:rPr>
              <w:t>分。 上述内容:有不完善、不清晰、不合理、或者不满足采购需求的每处扣</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分，缺漏项的扣</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分；未提供的不计分。</w:t>
            </w:r>
          </w:p>
        </w:tc>
      </w:tr>
      <w:tr w14:paraId="0CA2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336" w:type="pct"/>
            <w:vMerge w:val="continue"/>
            <w:tcBorders>
              <w:left w:val="single" w:color="auto" w:sz="4" w:space="0"/>
              <w:right w:val="single" w:color="auto" w:sz="4" w:space="0"/>
            </w:tcBorders>
            <w:vAlign w:val="center"/>
          </w:tcPr>
          <w:p w14:paraId="6C5E490E">
            <w:pPr>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auto"/>
                <w:sz w:val="21"/>
                <w:szCs w:val="21"/>
                <w:highlight w:val="none"/>
                <w:lang w:val="en-US" w:eastAsia="zh-CN"/>
              </w:rPr>
            </w:pPr>
          </w:p>
        </w:tc>
        <w:tc>
          <w:tcPr>
            <w:tcW w:w="797" w:type="pct"/>
            <w:tcBorders>
              <w:top w:val="single" w:color="auto" w:sz="4" w:space="0"/>
              <w:left w:val="single" w:color="auto" w:sz="4" w:space="0"/>
              <w:bottom w:val="single" w:color="auto" w:sz="4" w:space="0"/>
              <w:right w:val="single" w:color="auto" w:sz="4" w:space="0"/>
            </w:tcBorders>
            <w:vAlign w:val="center"/>
          </w:tcPr>
          <w:p w14:paraId="507448B2">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项目管理方案</w:t>
            </w:r>
          </w:p>
        </w:tc>
        <w:tc>
          <w:tcPr>
            <w:tcW w:w="467" w:type="pct"/>
            <w:tcBorders>
              <w:top w:val="single" w:color="auto" w:sz="4" w:space="0"/>
              <w:left w:val="single" w:color="auto" w:sz="4" w:space="0"/>
              <w:bottom w:val="single" w:color="auto" w:sz="4" w:space="0"/>
              <w:right w:val="single" w:color="auto" w:sz="4" w:space="0"/>
            </w:tcBorders>
            <w:vAlign w:val="center"/>
          </w:tcPr>
          <w:p w14:paraId="7CB38935">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宋体" w:hAnsi="宋体" w:eastAsia="宋体" w:cs="宋体"/>
                <w:color w:val="auto"/>
                <w:sz w:val="21"/>
                <w:szCs w:val="21"/>
                <w:highlight w:val="none"/>
                <w:lang w:val="en-US"/>
              </w:rPr>
            </w:pPr>
            <w:r>
              <w:rPr>
                <w:rFonts w:hint="eastAsia" w:ascii="宋体" w:hAnsi="宋体" w:cs="宋体"/>
                <w:color w:val="auto"/>
                <w:sz w:val="21"/>
                <w:szCs w:val="21"/>
                <w:highlight w:val="none"/>
                <w:lang w:val="en-US" w:eastAsia="zh-CN"/>
              </w:rPr>
              <w:t>30</w:t>
            </w:r>
          </w:p>
        </w:tc>
        <w:tc>
          <w:tcPr>
            <w:tcW w:w="3398" w:type="pct"/>
            <w:tcBorders>
              <w:top w:val="single" w:color="auto" w:sz="4" w:space="0"/>
              <w:left w:val="single" w:color="auto" w:sz="4" w:space="0"/>
              <w:bottom w:val="single" w:color="auto" w:sz="4" w:space="0"/>
              <w:right w:val="single" w:color="auto" w:sz="4" w:space="0"/>
            </w:tcBorders>
            <w:vAlign w:val="center"/>
          </w:tcPr>
          <w:p w14:paraId="281E8FE9">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需根据采购需求提供针对本项目的项目管理方案，方案应包括但不限于：（1）项目前期管理，前期管理各阶段申报流程齐全、措施合理。（2）招标管理，招标事项、方式及标段设置合理，各标段招标方案基本内容完整，符合现行法律法规和政策规定。（3）合同管理，代建项目勘察、设计、施工、设备及材料采购等各阶段合同管理目标设置完整，签约、履约和变更的控制措施合理、符合实际。（4）风险管理，项目前期、勘察、设计、施工、设备及材料采购各阶段风险防范计划合理，应对措施设置明确，保证措施完善合理。（5）信息管理与沟通协调，方案合理、符合实际；各环节资料、信息管理措施合理科学。每项</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分，满分</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lang w:val="en-US" w:eastAsia="zh-CN"/>
              </w:rPr>
              <w:t>分。 上述内容: 有不完善、不清晰、不合理、或者不满足采购需求的每处扣</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分，缺漏项的扣</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分；未提供的不计分。</w:t>
            </w:r>
          </w:p>
        </w:tc>
      </w:tr>
      <w:tr w14:paraId="18E7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6" w:hRule="atLeast"/>
          <w:jc w:val="center"/>
        </w:trPr>
        <w:tc>
          <w:tcPr>
            <w:tcW w:w="336" w:type="pct"/>
            <w:vMerge w:val="continue"/>
            <w:tcBorders>
              <w:left w:val="single" w:color="auto" w:sz="4" w:space="0"/>
              <w:right w:val="single" w:color="auto" w:sz="4" w:space="0"/>
            </w:tcBorders>
            <w:vAlign w:val="center"/>
          </w:tcPr>
          <w:p w14:paraId="2B379360">
            <w:pPr>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auto"/>
                <w:sz w:val="21"/>
                <w:szCs w:val="21"/>
                <w:highlight w:val="none"/>
                <w:lang w:val="en-US" w:eastAsia="zh-CN"/>
              </w:rPr>
            </w:pPr>
          </w:p>
        </w:tc>
        <w:tc>
          <w:tcPr>
            <w:tcW w:w="797" w:type="pct"/>
            <w:tcBorders>
              <w:top w:val="single" w:color="auto" w:sz="4" w:space="0"/>
              <w:left w:val="single" w:color="auto" w:sz="4" w:space="0"/>
              <w:bottom w:val="single" w:color="auto" w:sz="4" w:space="0"/>
              <w:right w:val="single" w:color="auto" w:sz="4" w:space="0"/>
            </w:tcBorders>
            <w:vAlign w:val="center"/>
          </w:tcPr>
          <w:p w14:paraId="1E3F6AA9">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项目管理团队及合理化建议</w:t>
            </w:r>
          </w:p>
        </w:tc>
        <w:tc>
          <w:tcPr>
            <w:tcW w:w="467" w:type="pct"/>
            <w:tcBorders>
              <w:top w:val="single" w:color="auto" w:sz="4" w:space="0"/>
              <w:left w:val="single" w:color="auto" w:sz="4" w:space="0"/>
              <w:bottom w:val="single" w:color="auto" w:sz="4" w:space="0"/>
              <w:right w:val="single" w:color="auto" w:sz="4" w:space="0"/>
            </w:tcBorders>
            <w:vAlign w:val="center"/>
          </w:tcPr>
          <w:p w14:paraId="7C3B8644">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宋体" w:hAnsi="宋体" w:eastAsia="宋体" w:cs="宋体"/>
                <w:color w:val="auto"/>
                <w:sz w:val="21"/>
                <w:szCs w:val="21"/>
                <w:highlight w:val="none"/>
                <w:lang w:val="en-US"/>
              </w:rPr>
            </w:pPr>
            <w:r>
              <w:rPr>
                <w:rFonts w:hint="eastAsia" w:ascii="宋体" w:hAnsi="宋体" w:cs="宋体"/>
                <w:color w:val="auto"/>
                <w:kern w:val="2"/>
                <w:sz w:val="21"/>
                <w:szCs w:val="21"/>
                <w:highlight w:val="none"/>
                <w:lang w:val="en-US" w:eastAsia="zh-CN" w:bidi="ar-SA"/>
              </w:rPr>
              <w:t>14</w:t>
            </w:r>
          </w:p>
        </w:tc>
        <w:tc>
          <w:tcPr>
            <w:tcW w:w="3398" w:type="pct"/>
            <w:tcBorders>
              <w:top w:val="single" w:color="auto" w:sz="4" w:space="0"/>
              <w:left w:val="single" w:color="auto" w:sz="4" w:space="0"/>
              <w:bottom w:val="single" w:color="auto" w:sz="4" w:space="0"/>
              <w:right w:val="single" w:color="auto" w:sz="4" w:space="0"/>
            </w:tcBorders>
            <w:vAlign w:val="center"/>
          </w:tcPr>
          <w:p w14:paraId="474BBF0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投标人需根据采购需求提供针对本项目的合理化建议，建议应包括但不限于：</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项目管理团队组织分工,为项目管理团队人员编制了责任分配矩阵表、且有保证团队廉洁自律的内容和具体合理措施；团队各成员职责任务分配合理，人员配备科学高效。（2）合理化建议，根据对代建项目建设实施特点、重点、难点的总体理解与分析，提出了有价值、可操作、符合项目实际的合理化建议和措施，能够有效节约投资或节约工期或提高质量；提出了在项目管理上能够运用新技术、新模式、新方法。每项</w:t>
            </w: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分，满分</w:t>
            </w:r>
            <w:r>
              <w:rPr>
                <w:rFonts w:hint="eastAsia" w:ascii="宋体" w:hAnsi="宋体" w:cs="宋体"/>
                <w:color w:val="auto"/>
                <w:sz w:val="21"/>
                <w:szCs w:val="21"/>
                <w:highlight w:val="none"/>
                <w:lang w:val="en-US" w:eastAsia="zh-CN"/>
              </w:rPr>
              <w:t>14</w:t>
            </w:r>
            <w:r>
              <w:rPr>
                <w:rFonts w:hint="eastAsia" w:ascii="宋体" w:hAnsi="宋体" w:eastAsia="宋体" w:cs="宋体"/>
                <w:color w:val="auto"/>
                <w:sz w:val="21"/>
                <w:szCs w:val="21"/>
                <w:highlight w:val="none"/>
                <w:lang w:val="en-US" w:eastAsia="zh-CN"/>
              </w:rPr>
              <w:t>分。 上述内容: 有不完善、不清晰、不合理、或者不满足采购需求的每处扣</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分，缺漏项的扣</w:t>
            </w: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分；未提供的不计分。</w:t>
            </w:r>
          </w:p>
        </w:tc>
      </w:tr>
      <w:tr w14:paraId="3501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336" w:type="pct"/>
            <w:vMerge w:val="restart"/>
            <w:tcBorders>
              <w:left w:val="single" w:color="auto" w:sz="4" w:space="0"/>
              <w:right w:val="single" w:color="auto" w:sz="4" w:space="0"/>
            </w:tcBorders>
            <w:textDirection w:val="tbLrV"/>
            <w:vAlign w:val="center"/>
          </w:tcPr>
          <w:p w14:paraId="0DCBFCD8">
            <w:pPr>
              <w:keepLines w:val="0"/>
              <w:pageBreakBefore w:val="0"/>
              <w:widowControl w:val="0"/>
              <w:kinsoku/>
              <w:wordWrap/>
              <w:overflowPunct/>
              <w:topLinePunct w:val="0"/>
              <w:autoSpaceDE/>
              <w:autoSpaceDN/>
              <w:bidi w:val="0"/>
              <w:adjustRightInd/>
              <w:snapToGrid/>
              <w:spacing w:line="240" w:lineRule="auto"/>
              <w:ind w:left="113" w:leftChars="0" w:right="113" w:rightChars="0"/>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商务部分（</w:t>
            </w:r>
            <w:r>
              <w:rPr>
                <w:rFonts w:hint="eastAsia" w:ascii="宋体" w:hAnsi="宋体" w:cs="宋体"/>
                <w:color w:val="auto"/>
                <w:sz w:val="21"/>
                <w:szCs w:val="21"/>
                <w:highlight w:val="none"/>
                <w:lang w:val="en-US" w:eastAsia="zh-CN"/>
              </w:rPr>
              <w:t>100</w:t>
            </w:r>
            <w:r>
              <w:rPr>
                <w:rFonts w:hint="eastAsia" w:ascii="宋体" w:hAnsi="宋体" w:eastAsia="宋体" w:cs="宋体"/>
                <w:color w:val="auto"/>
                <w:sz w:val="21"/>
                <w:szCs w:val="21"/>
                <w:highlight w:val="none"/>
                <w:lang w:val="en-US" w:eastAsia="zh-CN"/>
              </w:rPr>
              <w:t>分）</w:t>
            </w:r>
          </w:p>
        </w:tc>
        <w:tc>
          <w:tcPr>
            <w:tcW w:w="797" w:type="pct"/>
            <w:tcBorders>
              <w:top w:val="single" w:color="auto" w:sz="4" w:space="0"/>
              <w:left w:val="single" w:color="auto" w:sz="4" w:space="0"/>
              <w:bottom w:val="single" w:color="auto" w:sz="4" w:space="0"/>
              <w:right w:val="single" w:color="auto" w:sz="4" w:space="0"/>
            </w:tcBorders>
            <w:vAlign w:val="center"/>
          </w:tcPr>
          <w:p w14:paraId="60A71D25">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类似业绩</w:t>
            </w:r>
          </w:p>
        </w:tc>
        <w:tc>
          <w:tcPr>
            <w:tcW w:w="467" w:type="pct"/>
            <w:tcBorders>
              <w:top w:val="single" w:color="auto" w:sz="4" w:space="0"/>
              <w:left w:val="single" w:color="auto" w:sz="4" w:space="0"/>
              <w:right w:val="single" w:color="auto" w:sz="4" w:space="0"/>
            </w:tcBorders>
            <w:vAlign w:val="center"/>
          </w:tcPr>
          <w:p w14:paraId="4746847D">
            <w:pPr>
              <w:keepLines w:val="0"/>
              <w:pageBreakBefore w:val="0"/>
              <w:widowControl w:val="0"/>
              <w:tabs>
                <w:tab w:val="left" w:pos="360"/>
                <w:tab w:val="left" w:pos="900"/>
              </w:tabs>
              <w:kinsoku/>
              <w:wordWrap/>
              <w:overflowPunct/>
              <w:topLinePunct w:val="0"/>
              <w:autoSpaceDE/>
              <w:autoSpaceDN/>
              <w:bidi w:val="0"/>
              <w:adjustRightInd/>
              <w:snapToGrid/>
              <w:spacing w:line="240" w:lineRule="auto"/>
              <w:jc w:val="center"/>
              <w:textAlignment w:val="auto"/>
              <w:outlineLvl w:val="9"/>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50</w:t>
            </w:r>
          </w:p>
        </w:tc>
        <w:tc>
          <w:tcPr>
            <w:tcW w:w="3398" w:type="pct"/>
            <w:tcBorders>
              <w:top w:val="single" w:color="auto" w:sz="4" w:space="0"/>
              <w:left w:val="single" w:color="auto" w:sz="4" w:space="0"/>
              <w:right w:val="single" w:color="auto" w:sz="4" w:space="0"/>
            </w:tcBorders>
            <w:vAlign w:val="center"/>
          </w:tcPr>
          <w:p w14:paraId="76B874B5">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近三年内（截止投标时间前 1095天内）已完成过同类工程代建管理或</w:t>
            </w:r>
            <w:r>
              <w:rPr>
                <w:rFonts w:ascii="汉仪书宋二KW" w:hAnsi="汉仪书宋二KW" w:eastAsia="汉仪书宋二KW" w:cs="汉仪书宋二KW"/>
                <w:b w:val="0"/>
                <w:bCs w:val="0"/>
                <w:color w:val="auto"/>
                <w:sz w:val="21"/>
                <w:szCs w:val="21"/>
                <w:highlight w:val="none"/>
              </w:rPr>
              <w:t>工程咨询项目或设计项目或监理项目或工程总承包（或施工总承包）项目</w:t>
            </w:r>
            <w:r>
              <w:rPr>
                <w:rFonts w:hint="eastAsia" w:ascii="宋体" w:hAnsi="宋体" w:eastAsia="宋体" w:cs="宋体"/>
                <w:color w:val="auto"/>
                <w:sz w:val="21"/>
                <w:szCs w:val="21"/>
                <w:highlight w:val="none"/>
                <w:lang w:val="en-US" w:eastAsia="zh-CN"/>
              </w:rPr>
              <w:t>业绩。每提供一个计25分，本项最高计 50分。</w:t>
            </w:r>
          </w:p>
          <w:p w14:paraId="551924E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auto"/>
                <w:highlight w:val="none"/>
                <w:lang w:val="en-US" w:eastAsia="zh-CN"/>
              </w:rPr>
            </w:pPr>
            <w:r>
              <w:rPr>
                <w:rFonts w:hint="eastAsia" w:ascii="宋体" w:hAnsi="宋体" w:eastAsia="宋体" w:cs="宋体"/>
                <w:color w:val="auto"/>
                <w:sz w:val="21"/>
                <w:szCs w:val="21"/>
                <w:highlight w:val="none"/>
                <w:lang w:val="en-US" w:eastAsia="zh-CN"/>
              </w:rPr>
              <w:t>注：业绩时间以代建合同签订日期为准，需提供中标通知书（或成交通知书）和合同原件的彩色复印件并加盖公章。未按要求提供的不计分。</w:t>
            </w:r>
          </w:p>
        </w:tc>
      </w:tr>
      <w:tr w14:paraId="1F53E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336" w:type="pct"/>
            <w:vMerge w:val="continue"/>
            <w:tcBorders>
              <w:left w:val="single" w:color="auto" w:sz="4" w:space="0"/>
              <w:right w:val="single" w:color="auto" w:sz="4" w:space="0"/>
            </w:tcBorders>
            <w:textDirection w:val="tbLrV"/>
            <w:vAlign w:val="center"/>
          </w:tcPr>
          <w:p w14:paraId="2AE44B77">
            <w:pPr>
              <w:keepLines w:val="0"/>
              <w:pageBreakBefore w:val="0"/>
              <w:widowControl w:val="0"/>
              <w:kinsoku/>
              <w:wordWrap/>
              <w:overflowPunct/>
              <w:topLinePunct w:val="0"/>
              <w:autoSpaceDE/>
              <w:autoSpaceDN/>
              <w:bidi w:val="0"/>
              <w:adjustRightInd/>
              <w:snapToGrid/>
              <w:spacing w:line="240" w:lineRule="auto"/>
              <w:ind w:left="113" w:leftChars="0" w:right="113" w:rightChars="0"/>
              <w:jc w:val="center"/>
              <w:textAlignment w:val="auto"/>
              <w:outlineLvl w:val="9"/>
              <w:rPr>
                <w:rFonts w:hint="eastAsia" w:ascii="宋体" w:hAnsi="宋体" w:eastAsia="宋体" w:cs="宋体"/>
                <w:color w:val="auto"/>
                <w:sz w:val="21"/>
                <w:szCs w:val="21"/>
                <w:highlight w:val="none"/>
                <w:lang w:val="en-US" w:eastAsia="zh-CN"/>
              </w:rPr>
            </w:pPr>
          </w:p>
        </w:tc>
        <w:tc>
          <w:tcPr>
            <w:tcW w:w="797" w:type="pct"/>
            <w:tcBorders>
              <w:top w:val="single" w:color="auto" w:sz="4" w:space="0"/>
              <w:left w:val="single" w:color="auto" w:sz="4" w:space="0"/>
              <w:bottom w:val="single" w:color="auto" w:sz="4" w:space="0"/>
              <w:right w:val="single" w:color="auto" w:sz="4" w:space="0"/>
            </w:tcBorders>
            <w:vAlign w:val="center"/>
          </w:tcPr>
          <w:p w14:paraId="2EBA6843">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代建主管部门</w:t>
            </w:r>
          </w:p>
          <w:p w14:paraId="18A21B3B">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监管评价情况</w:t>
            </w:r>
          </w:p>
        </w:tc>
        <w:tc>
          <w:tcPr>
            <w:tcW w:w="467" w:type="pct"/>
            <w:tcBorders>
              <w:top w:val="single" w:color="auto" w:sz="4" w:space="0"/>
              <w:left w:val="single" w:color="auto" w:sz="4" w:space="0"/>
              <w:right w:val="single" w:color="auto" w:sz="4" w:space="0"/>
            </w:tcBorders>
            <w:vAlign w:val="center"/>
          </w:tcPr>
          <w:p w14:paraId="583EE1C5">
            <w:pPr>
              <w:keepLines w:val="0"/>
              <w:pageBreakBefore w:val="0"/>
              <w:widowControl w:val="0"/>
              <w:tabs>
                <w:tab w:val="left" w:pos="360"/>
                <w:tab w:val="left" w:pos="900"/>
              </w:tabs>
              <w:kinsoku/>
              <w:wordWrap/>
              <w:overflowPunct/>
              <w:topLinePunct w:val="0"/>
              <w:autoSpaceDE/>
              <w:autoSpaceDN/>
              <w:bidi w:val="0"/>
              <w:adjustRightInd/>
              <w:snapToGrid/>
              <w:spacing w:line="240" w:lineRule="auto"/>
              <w:jc w:val="center"/>
              <w:textAlignment w:val="auto"/>
              <w:outlineLvl w:val="9"/>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50</w:t>
            </w:r>
          </w:p>
        </w:tc>
        <w:tc>
          <w:tcPr>
            <w:tcW w:w="3398" w:type="pct"/>
            <w:tcBorders>
              <w:top w:val="single" w:color="auto" w:sz="4" w:space="0"/>
              <w:left w:val="single" w:color="auto" w:sz="4" w:space="0"/>
              <w:right w:val="single" w:color="auto" w:sz="4" w:space="0"/>
            </w:tcBorders>
            <w:vAlign w:val="center"/>
          </w:tcPr>
          <w:p w14:paraId="4B00D21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在代建主管部门组织的监管评价中，被评为A级记50分，B级记40分，C级记30分，C级以下不得分。</w:t>
            </w:r>
          </w:p>
          <w:p w14:paraId="638DC9CC">
            <w:pPr>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default" w:ascii="宋体" w:hAnsi="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注：提供代建主管部门（发改部门）发布的最新政府投资项目代建单位监管评价结果的相应截图并加盖单位公章</w:t>
            </w:r>
          </w:p>
        </w:tc>
      </w:tr>
      <w:tr w14:paraId="5E2D2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8"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3C70DE0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说明：</w:t>
            </w:r>
          </w:p>
          <w:p w14:paraId="050DDB3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1、评分标准涉及要求提供复印件的，响应文件中须附相关证书和证明文件的复印件并加盖单位公章，否则相应计分项不予计分。</w:t>
            </w:r>
          </w:p>
          <w:p w14:paraId="371D882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auto"/>
                <w:szCs w:val="21"/>
                <w:highlight w:val="none"/>
              </w:rPr>
            </w:pPr>
            <w:r>
              <w:rPr>
                <w:rFonts w:hint="eastAsia" w:ascii="宋体" w:hAnsi="宋体" w:eastAsia="宋体" w:cs="宋体"/>
                <w:b/>
                <w:bCs/>
                <w:color w:val="auto"/>
                <w:sz w:val="21"/>
                <w:szCs w:val="21"/>
                <w:highlight w:val="none"/>
              </w:rPr>
              <w:t>2、供应商参与政府采购应提供真实有效的证明材料，应当诚信守法、公平竞争。如有以提供虚假材料（包括但不限于虚假技术参数响应、虚假制造商产品彩页、虚假业绩、虚假证书等）、隐瞒失信信息等谋取中标的行为，将作无效投标处理，同时上报财政部门列入政府采购黑名单。</w:t>
            </w:r>
          </w:p>
        </w:tc>
      </w:tr>
    </w:tbl>
    <w:p w14:paraId="174244FB">
      <w:pPr>
        <w:adjustRightInd w:val="0"/>
        <w:snapToGrid w:val="0"/>
        <w:spacing w:line="360" w:lineRule="auto"/>
        <w:jc w:val="center"/>
        <w:rPr>
          <w:rFonts w:hint="eastAsia" w:ascii="宋体" w:hAnsi="宋体" w:eastAsia="宋体" w:cs="宋体"/>
          <w:b/>
          <w:bCs/>
          <w:color w:val="auto"/>
          <w:sz w:val="32"/>
          <w:szCs w:val="32"/>
          <w:highlight w:val="none"/>
        </w:rPr>
      </w:pPr>
    </w:p>
    <w:p w14:paraId="4C98DF31">
      <w:pPr>
        <w:adjustRightInd w:val="0"/>
        <w:snapToGrid w:val="0"/>
        <w:spacing w:line="360" w:lineRule="auto"/>
        <w:jc w:val="center"/>
        <w:rPr>
          <w:rFonts w:hint="eastAsia" w:ascii="宋体" w:hAnsi="宋体" w:eastAsia="宋体" w:cs="宋体"/>
          <w:b/>
          <w:bCs/>
          <w:color w:val="auto"/>
          <w:sz w:val="32"/>
          <w:szCs w:val="32"/>
          <w:highlight w:val="none"/>
        </w:rPr>
      </w:pPr>
    </w:p>
    <w:p w14:paraId="33961E5B">
      <w:pPr>
        <w:adjustRightInd w:val="0"/>
        <w:snapToGrid w:val="0"/>
        <w:spacing w:line="360" w:lineRule="auto"/>
        <w:jc w:val="center"/>
        <w:rPr>
          <w:rFonts w:hint="eastAsia" w:ascii="宋体" w:hAnsi="宋体" w:eastAsia="宋体" w:cs="宋体"/>
          <w:b/>
          <w:bCs/>
          <w:color w:val="auto"/>
          <w:sz w:val="32"/>
          <w:szCs w:val="32"/>
          <w:highlight w:val="none"/>
        </w:rPr>
      </w:pPr>
    </w:p>
    <w:p w14:paraId="6548BB44">
      <w:pPr>
        <w:adjustRightInd w:val="0"/>
        <w:snapToGrid w:val="0"/>
        <w:spacing w:line="360" w:lineRule="auto"/>
        <w:jc w:val="center"/>
        <w:rPr>
          <w:rFonts w:hint="eastAsia" w:ascii="宋体" w:hAnsi="宋体" w:eastAsia="宋体" w:cs="宋体"/>
          <w:b/>
          <w:bCs/>
          <w:color w:val="auto"/>
          <w:sz w:val="32"/>
          <w:szCs w:val="32"/>
          <w:highlight w:val="none"/>
        </w:rPr>
      </w:pPr>
    </w:p>
    <w:p w14:paraId="142AB2CB">
      <w:pPr>
        <w:adjustRightInd w:val="0"/>
        <w:snapToGrid w:val="0"/>
        <w:spacing w:line="360" w:lineRule="auto"/>
        <w:jc w:val="center"/>
        <w:rPr>
          <w:rFonts w:hint="eastAsia" w:ascii="宋体" w:hAnsi="宋体" w:eastAsia="宋体" w:cs="宋体"/>
          <w:b/>
          <w:bCs/>
          <w:color w:val="auto"/>
          <w:sz w:val="32"/>
          <w:szCs w:val="32"/>
          <w:highlight w:val="none"/>
        </w:rPr>
      </w:pPr>
    </w:p>
    <w:p w14:paraId="5761D36A">
      <w:pPr>
        <w:adjustRightInd w:val="0"/>
        <w:snapToGrid w:val="0"/>
        <w:spacing w:line="360" w:lineRule="auto"/>
        <w:jc w:val="center"/>
        <w:rPr>
          <w:rFonts w:hint="eastAsia" w:ascii="宋体" w:hAnsi="宋体" w:eastAsia="宋体" w:cs="宋体"/>
          <w:b/>
          <w:bCs/>
          <w:color w:val="auto"/>
          <w:sz w:val="32"/>
          <w:szCs w:val="32"/>
          <w:highlight w:val="none"/>
        </w:rPr>
      </w:pPr>
    </w:p>
    <w:p w14:paraId="14C1CC65">
      <w:pPr>
        <w:adjustRightInd w:val="0"/>
        <w:snapToGrid w:val="0"/>
        <w:spacing w:line="360" w:lineRule="auto"/>
        <w:jc w:val="center"/>
        <w:rPr>
          <w:rFonts w:hint="eastAsia" w:ascii="宋体" w:hAnsi="宋体" w:eastAsia="宋体" w:cs="宋体"/>
          <w:b/>
          <w:bCs/>
          <w:color w:val="auto"/>
          <w:sz w:val="32"/>
          <w:szCs w:val="32"/>
          <w:highlight w:val="none"/>
        </w:rPr>
      </w:pPr>
    </w:p>
    <w:p w14:paraId="2E7D76C5">
      <w:pPr>
        <w:adjustRightInd w:val="0"/>
        <w:snapToGrid w:val="0"/>
        <w:spacing w:line="360" w:lineRule="auto"/>
        <w:jc w:val="center"/>
        <w:rPr>
          <w:rFonts w:hint="eastAsia" w:ascii="宋体" w:hAnsi="宋体" w:eastAsia="宋体" w:cs="宋体"/>
          <w:b/>
          <w:bCs/>
          <w:color w:val="auto"/>
          <w:sz w:val="32"/>
          <w:szCs w:val="32"/>
          <w:highlight w:val="none"/>
        </w:rPr>
      </w:pPr>
    </w:p>
    <w:p w14:paraId="3DFDCFA3">
      <w:pPr>
        <w:adjustRightInd w:val="0"/>
        <w:snapToGrid w:val="0"/>
        <w:spacing w:line="360" w:lineRule="auto"/>
        <w:jc w:val="center"/>
        <w:rPr>
          <w:rFonts w:hint="eastAsia" w:ascii="宋体" w:hAnsi="宋体" w:eastAsia="宋体" w:cs="宋体"/>
          <w:b/>
          <w:bCs/>
          <w:color w:val="auto"/>
          <w:sz w:val="32"/>
          <w:szCs w:val="32"/>
          <w:highlight w:val="none"/>
        </w:rPr>
      </w:pPr>
    </w:p>
    <w:p w14:paraId="61EACDF0">
      <w:pPr>
        <w:adjustRightInd w:val="0"/>
        <w:snapToGrid w:val="0"/>
        <w:spacing w:line="360" w:lineRule="auto"/>
        <w:jc w:val="center"/>
        <w:rPr>
          <w:rFonts w:hint="eastAsia" w:ascii="宋体" w:hAnsi="宋体" w:eastAsia="宋体" w:cs="宋体"/>
          <w:b/>
          <w:bCs/>
          <w:color w:val="auto"/>
          <w:sz w:val="32"/>
          <w:szCs w:val="32"/>
          <w:highlight w:val="none"/>
        </w:rPr>
      </w:pPr>
    </w:p>
    <w:p w14:paraId="64ECDC67">
      <w:pPr>
        <w:adjustRightInd w:val="0"/>
        <w:snapToGrid w:val="0"/>
        <w:spacing w:line="360" w:lineRule="auto"/>
        <w:jc w:val="center"/>
        <w:rPr>
          <w:rFonts w:hint="eastAsia" w:ascii="宋体" w:hAnsi="宋体" w:eastAsia="宋体" w:cs="宋体"/>
          <w:b/>
          <w:bCs/>
          <w:color w:val="auto"/>
          <w:sz w:val="32"/>
          <w:szCs w:val="32"/>
          <w:highlight w:val="none"/>
        </w:rPr>
      </w:pPr>
    </w:p>
    <w:p w14:paraId="5A2EB292">
      <w:pPr>
        <w:adjustRightInd w:val="0"/>
        <w:snapToGrid w:val="0"/>
        <w:spacing w:line="360" w:lineRule="auto"/>
        <w:jc w:val="center"/>
        <w:rPr>
          <w:rFonts w:hint="eastAsia" w:ascii="宋体" w:hAnsi="宋体" w:eastAsia="宋体" w:cs="宋体"/>
          <w:b/>
          <w:bCs/>
          <w:color w:val="auto"/>
          <w:sz w:val="32"/>
          <w:szCs w:val="32"/>
          <w:highlight w:val="none"/>
        </w:rPr>
      </w:pPr>
    </w:p>
    <w:p w14:paraId="20C516AF">
      <w:pPr>
        <w:adjustRightInd w:val="0"/>
        <w:snapToGrid w:val="0"/>
        <w:spacing w:line="360" w:lineRule="auto"/>
        <w:jc w:val="center"/>
        <w:rPr>
          <w:rFonts w:hint="eastAsia" w:ascii="宋体" w:hAnsi="宋体" w:eastAsia="宋体" w:cs="宋体"/>
          <w:b/>
          <w:bCs/>
          <w:color w:val="auto"/>
          <w:sz w:val="32"/>
          <w:szCs w:val="32"/>
          <w:highlight w:val="none"/>
        </w:rPr>
      </w:pPr>
    </w:p>
    <w:p w14:paraId="3D8140CA">
      <w:pPr>
        <w:adjustRightInd w:val="0"/>
        <w:snapToGrid w:val="0"/>
        <w:spacing w:line="360" w:lineRule="auto"/>
        <w:jc w:val="center"/>
        <w:rPr>
          <w:rFonts w:hint="eastAsia" w:ascii="宋体" w:hAnsi="宋体" w:eastAsia="宋体" w:cs="宋体"/>
          <w:b/>
          <w:bCs/>
          <w:color w:val="auto"/>
          <w:sz w:val="32"/>
          <w:szCs w:val="32"/>
          <w:highlight w:val="none"/>
        </w:rPr>
      </w:pPr>
    </w:p>
    <w:p w14:paraId="75ED1B21">
      <w:pPr>
        <w:adjustRightInd w:val="0"/>
        <w:snapToGrid w:val="0"/>
        <w:spacing w:line="360" w:lineRule="auto"/>
        <w:jc w:val="center"/>
        <w:rPr>
          <w:rFonts w:hint="eastAsia" w:ascii="宋体" w:hAnsi="宋体" w:eastAsia="宋体" w:cs="宋体"/>
          <w:b/>
          <w:bCs/>
          <w:color w:val="auto"/>
          <w:sz w:val="32"/>
          <w:szCs w:val="32"/>
          <w:highlight w:val="none"/>
        </w:rPr>
      </w:pPr>
    </w:p>
    <w:p w14:paraId="6E702865">
      <w:pPr>
        <w:adjustRightInd w:val="0"/>
        <w:snapToGrid w:val="0"/>
        <w:spacing w:line="360" w:lineRule="auto"/>
        <w:jc w:val="center"/>
        <w:rPr>
          <w:rFonts w:hint="eastAsia" w:ascii="宋体" w:hAnsi="宋体" w:eastAsia="宋体" w:cs="宋体"/>
          <w:b/>
          <w:bCs/>
          <w:color w:val="auto"/>
          <w:sz w:val="32"/>
          <w:szCs w:val="32"/>
          <w:highlight w:val="none"/>
        </w:rPr>
      </w:pPr>
    </w:p>
    <w:p w14:paraId="7299D2DE">
      <w:pPr>
        <w:adjustRightInd w:val="0"/>
        <w:snapToGrid w:val="0"/>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磋商须知正文</w:t>
      </w:r>
    </w:p>
    <w:p w14:paraId="5FE4A66D">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一、说明</w:t>
      </w:r>
    </w:p>
    <w:p w14:paraId="2402AE0F">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1.适用范围</w:t>
      </w:r>
    </w:p>
    <w:p w14:paraId="6694CB8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 本磋商文件仅适用于磋商须知前附表(以下简称</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中所叙述的采购项目。</w:t>
      </w:r>
    </w:p>
    <w:p w14:paraId="44AF4E9C">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2.定义</w:t>
      </w:r>
    </w:p>
    <w:p w14:paraId="3C62DA6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2.1 “采购人”是指依法进行政府采购的国家机关、事业单位、团体组织。本次政府采购的采购人名称、地址、电话、联系人见</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w:t>
      </w:r>
    </w:p>
    <w:p w14:paraId="5780AC3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2.2 “采购代理机构”是指接受采购人委托，代理采购项目的集中采购机构和其他采购代理机构。本次政府采购的采购代理机构名称、地址、电话、联系人见</w:t>
      </w:r>
      <w:r>
        <w:rPr>
          <w:rFonts w:hint="eastAsia" w:ascii="宋体" w:hAnsi="宋体" w:eastAsia="宋体" w:cs="宋体"/>
          <w:b/>
          <w:color w:val="auto"/>
          <w:szCs w:val="21"/>
          <w:highlight w:val="none"/>
        </w:rPr>
        <w:t>磋商须知前附表。</w:t>
      </w:r>
    </w:p>
    <w:p w14:paraId="3DAAC46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bCs/>
          <w:color w:val="auto"/>
          <w:kern w:val="36"/>
          <w:szCs w:val="21"/>
          <w:highlight w:val="none"/>
        </w:rPr>
      </w:pPr>
      <w:r>
        <w:rPr>
          <w:rFonts w:hint="eastAsia" w:ascii="宋体" w:hAnsi="宋体" w:eastAsia="宋体" w:cs="宋体"/>
          <w:color w:val="auto"/>
          <w:szCs w:val="21"/>
          <w:highlight w:val="none"/>
        </w:rPr>
        <w:t>2.3 “供应商”是指响应磋商文件要求、参加竞争性磋商采购的法人、其他组织或者自然人。本次政府采购项目</w:t>
      </w:r>
      <w:r>
        <w:rPr>
          <w:rFonts w:hint="eastAsia" w:ascii="宋体" w:hAnsi="宋体" w:eastAsia="宋体" w:cs="宋体"/>
          <w:color w:val="auto"/>
          <w:kern w:val="0"/>
          <w:szCs w:val="21"/>
          <w:highlight w:val="none"/>
        </w:rPr>
        <w:t>邀请</w:t>
      </w:r>
      <w:r>
        <w:rPr>
          <w:rFonts w:hint="eastAsia" w:ascii="宋体" w:hAnsi="宋体" w:eastAsia="宋体" w:cs="宋体"/>
          <w:color w:val="auto"/>
          <w:szCs w:val="21"/>
          <w:highlight w:val="none"/>
        </w:rPr>
        <w:t>的</w:t>
      </w:r>
      <w:r>
        <w:rPr>
          <w:rFonts w:hint="eastAsia" w:ascii="宋体" w:hAnsi="宋体" w:eastAsia="宋体" w:cs="宋体"/>
          <w:color w:val="auto"/>
          <w:kern w:val="0"/>
          <w:szCs w:val="21"/>
          <w:highlight w:val="none"/>
        </w:rPr>
        <w:t>供应商通过</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所述方式</w:t>
      </w:r>
      <w:r>
        <w:rPr>
          <w:rFonts w:hint="eastAsia" w:ascii="宋体" w:hAnsi="宋体" w:eastAsia="宋体" w:cs="宋体"/>
          <w:color w:val="auto"/>
          <w:kern w:val="0"/>
          <w:szCs w:val="21"/>
          <w:highlight w:val="none"/>
        </w:rPr>
        <w:t>，邀请符合资格条件的供应商提交响应文件（含资格证明资料），参与竞争性磋商采购活动。</w:t>
      </w:r>
    </w:p>
    <w:p w14:paraId="17924C0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2.4 “磋商小组”是指</w:t>
      </w:r>
      <w:r>
        <w:rPr>
          <w:rFonts w:hint="eastAsia" w:ascii="宋体" w:hAnsi="宋体" w:eastAsia="宋体" w:cs="宋体"/>
          <w:color w:val="auto"/>
          <w:kern w:val="0"/>
          <w:szCs w:val="21"/>
          <w:highlight w:val="none"/>
        </w:rPr>
        <w:t>依据财政部</w:t>
      </w:r>
      <w:r>
        <w:rPr>
          <w:rFonts w:hint="eastAsia" w:ascii="宋体" w:hAnsi="宋体" w:eastAsia="宋体" w:cs="宋体"/>
          <w:bCs/>
          <w:color w:val="auto"/>
          <w:kern w:val="36"/>
          <w:szCs w:val="21"/>
          <w:highlight w:val="none"/>
        </w:rPr>
        <w:t>《政府采购竞争性磋商采购方式管理暂行办法》有关规定组建，依法依规</w:t>
      </w:r>
      <w:r>
        <w:rPr>
          <w:rFonts w:hint="eastAsia" w:ascii="宋体" w:hAnsi="宋体" w:eastAsia="宋体" w:cs="宋体"/>
          <w:color w:val="auto"/>
          <w:kern w:val="0"/>
          <w:szCs w:val="21"/>
          <w:highlight w:val="none"/>
        </w:rPr>
        <w:t>履行其职责和义务的机构。</w:t>
      </w:r>
    </w:p>
    <w:p w14:paraId="5CC508F7">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2.5 “货物”是指各种形态和种类的物品，包括原资料、燃料、设备、产品等，详见《政府采购品目分类目录》(</w:t>
      </w:r>
      <w:r>
        <w:rPr>
          <w:rStyle w:val="46"/>
          <w:rFonts w:hint="eastAsia" w:ascii="宋体" w:hAnsi="宋体" w:eastAsia="宋体" w:cs="宋体"/>
          <w:b w:val="0"/>
          <w:color w:val="auto"/>
          <w:highlight w:val="none"/>
        </w:rPr>
        <w:t>财库[2013]189号</w:t>
      </w:r>
      <w:r>
        <w:rPr>
          <w:rFonts w:hint="eastAsia" w:ascii="宋体" w:hAnsi="宋体" w:eastAsia="宋体" w:cs="宋体"/>
          <w:color w:val="auto"/>
          <w:szCs w:val="21"/>
          <w:highlight w:val="none"/>
        </w:rPr>
        <w:t>)。</w:t>
      </w:r>
    </w:p>
    <w:p w14:paraId="28EFFC4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2.6 “工程”是指建设工程，包括建筑物和构筑物的新建、改建、扩建、装修、拆除、修缮等，详见《政府采购品目分类目录》(</w:t>
      </w:r>
      <w:r>
        <w:rPr>
          <w:rStyle w:val="46"/>
          <w:rFonts w:hint="eastAsia" w:ascii="宋体" w:hAnsi="宋体" w:eastAsia="宋体" w:cs="宋体"/>
          <w:b w:val="0"/>
          <w:color w:val="auto"/>
          <w:highlight w:val="none"/>
        </w:rPr>
        <w:t>财库[2013]189号</w:t>
      </w:r>
      <w:r>
        <w:rPr>
          <w:rFonts w:hint="eastAsia" w:ascii="宋体" w:hAnsi="宋体" w:eastAsia="宋体" w:cs="宋体"/>
          <w:color w:val="auto"/>
          <w:szCs w:val="21"/>
          <w:highlight w:val="none"/>
        </w:rPr>
        <w:t>)。</w:t>
      </w:r>
    </w:p>
    <w:p w14:paraId="51B5B6C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2.7 “服务”是指除货物和工程以外的其他政府采购对象，详见《政府采购品目分类目录》(</w:t>
      </w:r>
      <w:r>
        <w:rPr>
          <w:rStyle w:val="46"/>
          <w:rFonts w:hint="eastAsia" w:ascii="宋体" w:hAnsi="宋体" w:eastAsia="宋体" w:cs="宋体"/>
          <w:b w:val="0"/>
          <w:color w:val="auto"/>
          <w:highlight w:val="none"/>
        </w:rPr>
        <w:t>财库[2013]189号</w:t>
      </w:r>
      <w:r>
        <w:rPr>
          <w:rFonts w:hint="eastAsia" w:ascii="宋体" w:hAnsi="宋体" w:eastAsia="宋体" w:cs="宋体"/>
          <w:color w:val="auto"/>
          <w:szCs w:val="21"/>
          <w:highlight w:val="none"/>
        </w:rPr>
        <w:t>)。</w:t>
      </w:r>
    </w:p>
    <w:p w14:paraId="04030E6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2.8</w:t>
      </w:r>
      <w:r>
        <w:rPr>
          <w:rFonts w:hint="eastAsia" w:ascii="宋体" w:hAnsi="宋体" w:eastAsia="宋体" w:cs="宋体"/>
          <w:color w:val="auto"/>
          <w:szCs w:val="21"/>
          <w:highlight w:val="none"/>
        </w:rPr>
        <w:t xml:space="preserve"> “节能产品”或者“环保产品”是指财政部发布的《节能产品政府采购清单》或者《环境标志产品政府采购清单》的产品。</w:t>
      </w:r>
    </w:p>
    <w:p w14:paraId="0833ABD8">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2.9</w:t>
      </w:r>
      <w:r>
        <w:rPr>
          <w:rFonts w:hint="eastAsia" w:ascii="宋体" w:hAnsi="宋体" w:eastAsia="宋体" w:cs="宋体"/>
          <w:color w:val="auto"/>
          <w:kern w:val="0"/>
          <w:szCs w:val="21"/>
          <w:highlight w:val="none"/>
        </w:rPr>
        <w:t xml:space="preserve"> “进口产品”是指通过中国海关报关验放进入中国境内且产自关境外的产品，详见《关于政府采购进口产品管理有关问题的通知》(财库[2007]119号)。</w:t>
      </w:r>
    </w:p>
    <w:p w14:paraId="422AD1E1">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3.供应商的资格要求</w:t>
      </w:r>
    </w:p>
    <w:p w14:paraId="0B5F5AE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3.1 供应商应当符合</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中规定的资格条件要求。</w:t>
      </w:r>
    </w:p>
    <w:p w14:paraId="6CD80B9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3.2供应商</w:t>
      </w:r>
      <w:r>
        <w:rPr>
          <w:rFonts w:hint="eastAsia" w:ascii="宋体" w:hAnsi="宋体" w:eastAsia="宋体" w:cs="宋体"/>
          <w:color w:val="auto"/>
          <w:highlight w:val="none"/>
        </w:rPr>
        <w:t>为联合体形式的</w:t>
      </w:r>
      <w:r>
        <w:rPr>
          <w:rFonts w:hint="eastAsia" w:ascii="宋体" w:hAnsi="宋体" w:eastAsia="宋体" w:cs="宋体"/>
          <w:color w:val="auto"/>
          <w:szCs w:val="21"/>
          <w:highlight w:val="none"/>
        </w:rPr>
        <w:t xml:space="preserve">，除应满足本章第3.1款资格条件要求及第3.3款规定外，还应遵守以下规定： </w:t>
      </w:r>
    </w:p>
    <w:p w14:paraId="6FDC642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（1）联合体各方应按磋商文件提供的格式签订联合体协议书，明确联合体牵头人和各方权利义务(含承担工作及工作量比例)；</w:t>
      </w:r>
    </w:p>
    <w:p w14:paraId="0982C83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（2）联合体中有同类资质的供应商按照联合体分工承担相同工作的，应当按照资质等级较低的供应商确定资质等级；</w:t>
      </w:r>
    </w:p>
    <w:p w14:paraId="4D9F1C2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（3）以联合体形式参加政府采购活动的，联合体各方不得再单独参加或者与其他供应商另外组成联合体参加同一合同项下的政府采购活动。</w:t>
      </w:r>
    </w:p>
    <w:p w14:paraId="263AAD4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3.3 供应商不得存在下列情形之一：</w:t>
      </w:r>
    </w:p>
    <w:p w14:paraId="0E1F3A3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（l）与采购人、采购代理机构存在</w:t>
      </w:r>
      <w:r>
        <w:rPr>
          <w:rFonts w:hint="eastAsia" w:ascii="宋体" w:hAnsi="宋体" w:eastAsia="宋体" w:cs="宋体"/>
          <w:bCs/>
          <w:color w:val="auto"/>
          <w:szCs w:val="21"/>
          <w:highlight w:val="none"/>
        </w:rPr>
        <w:t>隶属关系或者其他利害关系</w:t>
      </w:r>
      <w:r>
        <w:rPr>
          <w:rFonts w:hint="eastAsia" w:ascii="宋体" w:hAnsi="宋体" w:eastAsia="宋体" w:cs="宋体"/>
          <w:color w:val="auto"/>
          <w:szCs w:val="21"/>
          <w:highlight w:val="none"/>
        </w:rPr>
        <w:t>。</w:t>
      </w:r>
    </w:p>
    <w:p w14:paraId="3F8E62E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（2）与其他供应商的法定代表人（或者负责人）为同一人，或者与其他供应商存在直接控股、管理关系。</w:t>
      </w:r>
    </w:p>
    <w:p w14:paraId="0C46048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bCs/>
          <w:color w:val="auto"/>
          <w:szCs w:val="21"/>
          <w:highlight w:val="none"/>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eastAsia="宋体" w:cs="宋体"/>
          <w:color w:val="auto"/>
          <w:szCs w:val="21"/>
          <w:highlight w:val="none"/>
        </w:rPr>
        <w:t>财政部门认定的其他重大违法记录。</w:t>
      </w:r>
    </w:p>
    <w:p w14:paraId="52C4367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4.参与磋商的费用 </w:t>
      </w:r>
    </w:p>
    <w:p w14:paraId="6C2BB78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4.1 无论磋商的结果如何，供应商应自行承担所有与竞争性磋商采购活动有关的全部费用。</w:t>
      </w:r>
    </w:p>
    <w:p w14:paraId="57D70BA2">
      <w:pPr>
        <w:pStyle w:val="23"/>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highlight w:val="none"/>
        </w:rPr>
      </w:pPr>
      <w:r>
        <w:rPr>
          <w:rFonts w:hint="eastAsia" w:ascii="宋体" w:hAnsi="宋体" w:eastAsia="宋体" w:cs="宋体"/>
          <w:b/>
          <w:color w:val="auto"/>
          <w:highlight w:val="none"/>
        </w:rPr>
        <w:t>5．</w:t>
      </w:r>
      <w:r>
        <w:rPr>
          <w:rFonts w:hint="eastAsia" w:ascii="宋体" w:hAnsi="宋体" w:eastAsia="宋体" w:cs="宋体"/>
          <w:b/>
          <w:bCs/>
          <w:color w:val="auto"/>
          <w:highlight w:val="none"/>
        </w:rPr>
        <w:t>授权委托</w:t>
      </w:r>
    </w:p>
    <w:p w14:paraId="1DCE64D6">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5.1供应商代表为供应商法定代表人的，应具备法定代表人身份证明。供应商代表不是供应商法定代表人的，应具备法定代表人授权书，并附法定代表人身份证明。</w:t>
      </w:r>
    </w:p>
    <w:p w14:paraId="209CA45C">
      <w:pPr>
        <w:pStyle w:val="23"/>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6．联合体形式</w:t>
      </w:r>
    </w:p>
    <w:p w14:paraId="47F37816">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6.1除</w:t>
      </w:r>
      <w:r>
        <w:rPr>
          <w:rFonts w:hint="eastAsia" w:ascii="宋体" w:hAnsi="宋体" w:eastAsia="宋体" w:cs="宋体"/>
          <w:b/>
          <w:color w:val="auto"/>
          <w:highlight w:val="none"/>
        </w:rPr>
        <w:t>磋商须知前附表</w:t>
      </w:r>
      <w:r>
        <w:rPr>
          <w:rFonts w:hint="eastAsia" w:ascii="宋体" w:hAnsi="宋体" w:eastAsia="宋体" w:cs="宋体"/>
          <w:color w:val="auto"/>
          <w:highlight w:val="none"/>
        </w:rPr>
        <w:t>中另有规定，本次谈判采购不接受为联合体形式的供应商。</w:t>
      </w:r>
    </w:p>
    <w:p w14:paraId="436E1C9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6.2供应商</w:t>
      </w:r>
      <w:r>
        <w:rPr>
          <w:rFonts w:hint="eastAsia" w:ascii="宋体" w:hAnsi="宋体" w:eastAsia="宋体" w:cs="宋体"/>
          <w:color w:val="auto"/>
          <w:highlight w:val="none"/>
        </w:rPr>
        <w:t>为联合体形式的</w:t>
      </w:r>
      <w:r>
        <w:rPr>
          <w:rFonts w:hint="eastAsia" w:ascii="宋体" w:hAnsi="宋体" w:eastAsia="宋体" w:cs="宋体"/>
          <w:color w:val="auto"/>
          <w:szCs w:val="21"/>
          <w:highlight w:val="none"/>
        </w:rPr>
        <w:t>，除应符合本章第3条规定外，还应遵守以下规定：</w:t>
      </w:r>
    </w:p>
    <w:p w14:paraId="484073F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（l）联合体各方必须签订联合体协议书，明确联合体牵头人和各方的义务、工作、合同工作量比例；</w:t>
      </w:r>
    </w:p>
    <w:p w14:paraId="75450FA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（2）联合体各方均应当符合本章第3.1</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规定的供应商基本资格条件；</w:t>
      </w:r>
    </w:p>
    <w:p w14:paraId="2EFEFD4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highlight w:val="none"/>
        </w:rPr>
        <w:t>除</w:t>
      </w:r>
      <w:r>
        <w:rPr>
          <w:rFonts w:hint="eastAsia" w:ascii="宋体" w:hAnsi="宋体" w:eastAsia="宋体" w:cs="宋体"/>
          <w:b/>
          <w:color w:val="auto"/>
          <w:highlight w:val="none"/>
        </w:rPr>
        <w:t>磋商须知前附表</w:t>
      </w:r>
      <w:r>
        <w:rPr>
          <w:rFonts w:hint="eastAsia" w:ascii="宋体" w:hAnsi="宋体" w:eastAsia="宋体" w:cs="宋体"/>
          <w:color w:val="auto"/>
          <w:highlight w:val="none"/>
        </w:rPr>
        <w:t>中另有规定，</w:t>
      </w:r>
      <w:r>
        <w:rPr>
          <w:rFonts w:hint="eastAsia" w:ascii="宋体" w:hAnsi="宋体" w:eastAsia="宋体" w:cs="宋体"/>
          <w:color w:val="auto"/>
          <w:szCs w:val="21"/>
          <w:highlight w:val="none"/>
        </w:rPr>
        <w:t>联合体各方中至少有一方应当符合本章第3.1</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规定的供应商特定资格条件；</w:t>
      </w:r>
    </w:p>
    <w:p w14:paraId="7B1FE03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szCs w:val="21"/>
          <w:highlight w:val="none"/>
        </w:rPr>
        <w:t>（4）</w:t>
      </w:r>
      <w:r>
        <w:rPr>
          <w:rFonts w:hint="eastAsia" w:ascii="宋体" w:hAnsi="宋体" w:eastAsia="宋体" w:cs="宋体"/>
          <w:color w:val="auto"/>
          <w:kern w:val="0"/>
          <w:szCs w:val="21"/>
          <w:highlight w:val="none"/>
          <w:lang w:val="zh-CN"/>
        </w:rPr>
        <w:t>联合体各方不得再单独或与其他供应商组成新的联合体参加同一项目的采购活动。</w:t>
      </w:r>
    </w:p>
    <w:p w14:paraId="12CDD52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7.现场勘察</w:t>
      </w:r>
    </w:p>
    <w:p w14:paraId="4938ADD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7.1供应商应按</w:t>
      </w:r>
      <w:r>
        <w:rPr>
          <w:rFonts w:hint="eastAsia" w:ascii="宋体" w:hAnsi="宋体" w:eastAsia="宋体" w:cs="宋体"/>
          <w:b/>
          <w:color w:val="auto"/>
          <w:highlight w:val="none"/>
        </w:rPr>
        <w:t>磋商须知前附表</w:t>
      </w:r>
      <w:r>
        <w:rPr>
          <w:rFonts w:hint="eastAsia" w:ascii="宋体" w:hAnsi="宋体" w:eastAsia="宋体" w:cs="宋体"/>
          <w:color w:val="auto"/>
          <w:highlight w:val="none"/>
        </w:rPr>
        <w:t>中规定</w:t>
      </w:r>
      <w:r>
        <w:rPr>
          <w:rFonts w:hint="eastAsia" w:ascii="宋体" w:hAnsi="宋体" w:eastAsia="宋体" w:cs="宋体"/>
          <w:color w:val="auto"/>
          <w:szCs w:val="21"/>
          <w:highlight w:val="none"/>
        </w:rPr>
        <w:t>对采购项目现场和周围环境的现场考察。</w:t>
      </w:r>
    </w:p>
    <w:p w14:paraId="38660F4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7.2勘察现场的费用由供应商自己承担，勘察期间所发生的人身伤害及财产损失由供应商自己负责。</w:t>
      </w:r>
    </w:p>
    <w:p w14:paraId="0ED54DF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7.3采购人不对供应商据此而做出的推论、理解和结论负责。一旦成交，供应商不得以任何借口，提出额外补偿，或延长合同期限的要求。</w:t>
      </w:r>
    </w:p>
    <w:p w14:paraId="31EC3585">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8.采购进口产品</w:t>
      </w:r>
    </w:p>
    <w:p w14:paraId="0FCCDD98">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8.1除</w:t>
      </w:r>
      <w:r>
        <w:rPr>
          <w:rFonts w:hint="eastAsia" w:ascii="宋体" w:hAnsi="宋体" w:eastAsia="宋体" w:cs="宋体"/>
          <w:b/>
          <w:color w:val="auto"/>
          <w:szCs w:val="21"/>
          <w:highlight w:val="none"/>
        </w:rPr>
        <w:t>磋商文件前附表</w:t>
      </w:r>
      <w:r>
        <w:rPr>
          <w:rFonts w:hint="eastAsia" w:ascii="宋体" w:hAnsi="宋体" w:eastAsia="宋体" w:cs="宋体"/>
          <w:color w:val="auto"/>
          <w:szCs w:val="21"/>
          <w:highlight w:val="none"/>
        </w:rPr>
        <w:t>另有规定外，本项目</w:t>
      </w:r>
      <w:r>
        <w:rPr>
          <w:rFonts w:hint="eastAsia" w:ascii="宋体" w:hAnsi="宋体" w:eastAsia="宋体" w:cs="宋体"/>
          <w:color w:val="auto"/>
          <w:kern w:val="0"/>
          <w:szCs w:val="21"/>
          <w:highlight w:val="none"/>
        </w:rPr>
        <w:t>拒绝进口产品参加</w:t>
      </w:r>
      <w:r>
        <w:rPr>
          <w:rFonts w:hint="eastAsia" w:ascii="宋体" w:hAnsi="宋体" w:eastAsia="宋体" w:cs="宋体"/>
          <w:color w:val="auto"/>
          <w:szCs w:val="21"/>
          <w:highlight w:val="none"/>
        </w:rPr>
        <w:t>竞争性磋商采购活动</w:t>
      </w:r>
      <w:r>
        <w:rPr>
          <w:rFonts w:hint="eastAsia" w:ascii="宋体" w:hAnsi="宋体" w:eastAsia="宋体" w:cs="宋体"/>
          <w:color w:val="auto"/>
          <w:kern w:val="0"/>
          <w:szCs w:val="21"/>
          <w:highlight w:val="none"/>
        </w:rPr>
        <w:t>。</w:t>
      </w:r>
    </w:p>
    <w:p w14:paraId="6AE52356">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8.2</w:t>
      </w:r>
      <w:r>
        <w:rPr>
          <w:rFonts w:hint="eastAsia" w:ascii="宋体" w:hAnsi="宋体" w:eastAsia="宋体" w:cs="宋体"/>
          <w:color w:val="auto"/>
          <w:szCs w:val="21"/>
          <w:highlight w:val="none"/>
        </w:rPr>
        <w:t>本章第7.1</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规定</w:t>
      </w:r>
      <w:r>
        <w:rPr>
          <w:rFonts w:hint="eastAsia" w:ascii="宋体" w:hAnsi="宋体" w:eastAsia="宋体" w:cs="宋体"/>
          <w:color w:val="auto"/>
          <w:kern w:val="0"/>
          <w:szCs w:val="21"/>
          <w:highlight w:val="none"/>
        </w:rPr>
        <w:t>同意购买进口产品的，</w:t>
      </w:r>
      <w:r>
        <w:rPr>
          <w:rFonts w:hint="eastAsia" w:ascii="宋体" w:hAnsi="宋体" w:eastAsia="宋体" w:cs="宋体"/>
          <w:color w:val="auto"/>
          <w:szCs w:val="21"/>
          <w:highlight w:val="none"/>
        </w:rPr>
        <w:t>本项目</w:t>
      </w:r>
      <w:r>
        <w:rPr>
          <w:rFonts w:hint="eastAsia" w:ascii="宋体" w:hAnsi="宋体" w:eastAsia="宋体" w:cs="宋体"/>
          <w:color w:val="auto"/>
          <w:kern w:val="0"/>
          <w:szCs w:val="21"/>
          <w:highlight w:val="none"/>
          <w:lang w:val="zh-CN"/>
        </w:rPr>
        <w:t>采购活动</w:t>
      </w:r>
      <w:r>
        <w:rPr>
          <w:rFonts w:hint="eastAsia" w:ascii="宋体" w:hAnsi="宋体" w:eastAsia="宋体" w:cs="宋体"/>
          <w:color w:val="auto"/>
          <w:kern w:val="0"/>
          <w:szCs w:val="21"/>
          <w:highlight w:val="none"/>
        </w:rPr>
        <w:t>不限制满足</w:t>
      </w:r>
      <w:r>
        <w:rPr>
          <w:rFonts w:hint="eastAsia" w:ascii="宋体" w:hAnsi="宋体" w:eastAsia="宋体" w:cs="宋体"/>
          <w:color w:val="auto"/>
          <w:szCs w:val="21"/>
          <w:highlight w:val="none"/>
        </w:rPr>
        <w:t>磋商文件要求</w:t>
      </w:r>
      <w:r>
        <w:rPr>
          <w:rFonts w:hint="eastAsia" w:ascii="宋体" w:hAnsi="宋体" w:eastAsia="宋体" w:cs="宋体"/>
          <w:color w:val="auto"/>
          <w:kern w:val="0"/>
          <w:szCs w:val="21"/>
          <w:highlight w:val="none"/>
        </w:rPr>
        <w:t>的国内产品参与</w:t>
      </w:r>
      <w:r>
        <w:rPr>
          <w:rFonts w:hint="eastAsia" w:ascii="宋体" w:hAnsi="宋体" w:eastAsia="宋体" w:cs="宋体"/>
          <w:color w:val="auto"/>
          <w:szCs w:val="21"/>
          <w:highlight w:val="none"/>
        </w:rPr>
        <w:t>竞争性磋商</w:t>
      </w:r>
      <w:r>
        <w:rPr>
          <w:rFonts w:hint="eastAsia" w:ascii="宋体" w:hAnsi="宋体" w:eastAsia="宋体" w:cs="宋体"/>
          <w:color w:val="auto"/>
          <w:kern w:val="0"/>
          <w:szCs w:val="21"/>
          <w:highlight w:val="none"/>
        </w:rPr>
        <w:t>。</w:t>
      </w:r>
    </w:p>
    <w:p w14:paraId="28E08E53">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eastAsia="宋体" w:cs="宋体"/>
          <w:b/>
          <w:color w:val="auto"/>
          <w:szCs w:val="21"/>
          <w:highlight w:val="none"/>
        </w:rPr>
      </w:pPr>
      <w:r>
        <w:rPr>
          <w:rFonts w:hint="eastAsia" w:ascii="宋体" w:hAnsi="宋体" w:eastAsia="宋体" w:cs="宋体"/>
          <w:b/>
          <w:bCs/>
          <w:color w:val="auto"/>
          <w:szCs w:val="21"/>
          <w:highlight w:val="none"/>
        </w:rPr>
        <w:t>9.</w:t>
      </w:r>
      <w:r>
        <w:rPr>
          <w:rFonts w:hint="eastAsia" w:ascii="宋体" w:hAnsi="宋体" w:eastAsia="宋体" w:cs="宋体"/>
          <w:b/>
          <w:color w:val="auto"/>
          <w:szCs w:val="21"/>
          <w:highlight w:val="none"/>
        </w:rPr>
        <w:t xml:space="preserve"> 政府采购政策支持</w:t>
      </w:r>
    </w:p>
    <w:p w14:paraId="54759A3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9.1对列入财政部、国家发展改革委发布的《节能产品政府采购清单》且属于应当“强制采购的节能产品”，按照规定实行强制采购。实行政府采购强制采购的节能产品见</w:t>
      </w:r>
      <w:r>
        <w:rPr>
          <w:rFonts w:hint="eastAsia" w:ascii="宋体" w:hAnsi="宋体" w:eastAsia="宋体" w:cs="宋体"/>
          <w:b/>
          <w:color w:val="auto"/>
          <w:kern w:val="0"/>
          <w:szCs w:val="21"/>
          <w:highlight w:val="none"/>
        </w:rPr>
        <w:t>磋商文件前附表。</w:t>
      </w:r>
    </w:p>
    <w:p w14:paraId="6CA6A214">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kern w:val="0"/>
          <w:highlight w:val="none"/>
        </w:rPr>
        <w:t>9.2对列入财政部、国家发展改革委发布的《节能产品政府采购清单》的“非强制采购节能产品”，财政部、环境保护部发布的《环境标志产品政府采购清单》的“环境标志产品”，以及中小企业，实行优先采购，按照省级以上财政部门有关政策规定，评审时进行价格扣除或加分。实行政府采购优先采购的优惠率见</w:t>
      </w:r>
      <w:r>
        <w:rPr>
          <w:rFonts w:hint="eastAsia" w:ascii="宋体" w:hAnsi="宋体" w:eastAsia="宋体" w:cs="宋体"/>
          <w:b/>
          <w:color w:val="auto"/>
          <w:kern w:val="0"/>
          <w:highlight w:val="none"/>
        </w:rPr>
        <w:t>磋商文件前附表。</w:t>
      </w:r>
    </w:p>
    <w:p w14:paraId="03C2504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9.3产品同时属于“非强制采购节能产品”、“环境标志产品”的，评审时只有其中一项能享受优先待遇(供应商自行选择，并在报价文件中并填报相关信息及数据)；中小企业可以与同时属于“非强制采购节能产品”、“环境标志产品”中的一项重复计算。</w:t>
      </w:r>
    </w:p>
    <w:p w14:paraId="7F00B22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9.4同一项目中部分产品属于优先采购政策的，评审时只对该部分产品的报价实行价格扣除及加分。</w:t>
      </w:r>
    </w:p>
    <w:p w14:paraId="6765BE7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9.5符合本章第9.1</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第9.2</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规定的，应提供相关证明资料。</w:t>
      </w:r>
    </w:p>
    <w:p w14:paraId="31EA4B9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9.6供应商有融资、担保需求的，具体办理流程可向</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所列金融机构和担保机构询问。</w:t>
      </w:r>
    </w:p>
    <w:p w14:paraId="4CAF8F46">
      <w:pPr>
        <w:keepNext w:val="0"/>
        <w:keepLines w:val="0"/>
        <w:pageBreakBefore w:val="0"/>
        <w:kinsoku/>
        <w:wordWrap/>
        <w:overflowPunct/>
        <w:topLinePunct w:val="0"/>
        <w:autoSpaceDE/>
        <w:bidi w:val="0"/>
        <w:adjustRightInd w:val="0"/>
        <w:snapToGrid w:val="0"/>
        <w:spacing w:line="400" w:lineRule="exact"/>
        <w:ind w:left="0" w:right="0" w:rightChars="0" w:hanging="902" w:hangingChars="376"/>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二、磋商文件</w:t>
      </w:r>
    </w:p>
    <w:p w14:paraId="123EE0FF">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10．磋商文件的组成</w:t>
      </w:r>
    </w:p>
    <w:p w14:paraId="78680676">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10.1 磋商文件由下列文件组成：</w:t>
      </w:r>
    </w:p>
    <w:p w14:paraId="26995093">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第一章 磋商邀请</w:t>
      </w:r>
    </w:p>
    <w:p w14:paraId="46252571">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第二章 磋商须知</w:t>
      </w:r>
    </w:p>
    <w:p w14:paraId="544573C5">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第三章 政府采购合同格式条款</w:t>
      </w:r>
    </w:p>
    <w:p w14:paraId="3C3D2513">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第四章 采购需求</w:t>
      </w:r>
    </w:p>
    <w:p w14:paraId="27AA129B">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第五章 响应文件组成</w:t>
      </w:r>
    </w:p>
    <w:p w14:paraId="4C43585E">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highlight w:val="none"/>
        </w:rPr>
      </w:pPr>
      <w:r>
        <w:rPr>
          <w:rFonts w:hint="eastAsia" w:ascii="宋体" w:hAnsi="宋体" w:eastAsia="宋体" w:cs="宋体"/>
          <w:color w:val="auto"/>
          <w:highlight w:val="none"/>
        </w:rPr>
        <w:t>10.2</w:t>
      </w:r>
      <w:r>
        <w:rPr>
          <w:rFonts w:hint="eastAsia" w:ascii="宋体" w:hAnsi="宋体" w:eastAsia="宋体" w:cs="宋体"/>
          <w:color w:val="auto"/>
          <w:kern w:val="0"/>
          <w:highlight w:val="none"/>
        </w:rPr>
        <w:t>磋商小组根据与供应商磋商情况可能实质性变动的内容，包括采购需求中的技术、服务要求以及合同条款，</w:t>
      </w:r>
      <w:r>
        <w:rPr>
          <w:rFonts w:hint="eastAsia" w:ascii="宋体" w:hAnsi="宋体" w:eastAsia="宋体" w:cs="宋体"/>
          <w:color w:val="auto"/>
          <w:highlight w:val="none"/>
        </w:rPr>
        <w:t>在</w:t>
      </w:r>
      <w:r>
        <w:rPr>
          <w:rFonts w:hint="eastAsia" w:ascii="宋体" w:hAnsi="宋体" w:eastAsia="宋体" w:cs="宋体"/>
          <w:b/>
          <w:color w:val="auto"/>
          <w:highlight w:val="none"/>
        </w:rPr>
        <w:t>磋商须知前附表</w:t>
      </w:r>
      <w:r>
        <w:rPr>
          <w:rFonts w:hint="eastAsia" w:ascii="宋体" w:hAnsi="宋体" w:eastAsia="宋体" w:cs="宋体"/>
          <w:color w:val="auto"/>
          <w:highlight w:val="none"/>
        </w:rPr>
        <w:t>中明确。</w:t>
      </w:r>
    </w:p>
    <w:p w14:paraId="353679E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rPr>
        <w:t>10.3</w:t>
      </w:r>
      <w:r>
        <w:rPr>
          <w:rFonts w:hint="eastAsia" w:ascii="宋体" w:hAnsi="宋体" w:eastAsia="宋体" w:cs="宋体"/>
          <w:color w:val="auto"/>
          <w:szCs w:val="21"/>
          <w:highlight w:val="none"/>
        </w:rPr>
        <w:t>供应商应仔细阅读</w:t>
      </w:r>
      <w:r>
        <w:rPr>
          <w:rFonts w:hint="eastAsia" w:ascii="宋体" w:hAnsi="宋体" w:eastAsia="宋体" w:cs="宋体"/>
          <w:bCs/>
          <w:color w:val="auto"/>
          <w:szCs w:val="21"/>
          <w:highlight w:val="none"/>
        </w:rPr>
        <w:t>磋商</w:t>
      </w:r>
      <w:r>
        <w:rPr>
          <w:rFonts w:hint="eastAsia" w:ascii="宋体" w:hAnsi="宋体" w:eastAsia="宋体" w:cs="宋体"/>
          <w:color w:val="auto"/>
          <w:szCs w:val="21"/>
          <w:highlight w:val="none"/>
        </w:rPr>
        <w:t>文件的全部内容，按照</w:t>
      </w:r>
      <w:r>
        <w:rPr>
          <w:rFonts w:hint="eastAsia" w:ascii="宋体" w:hAnsi="宋体" w:eastAsia="宋体" w:cs="宋体"/>
          <w:bCs/>
          <w:color w:val="auto"/>
          <w:szCs w:val="21"/>
          <w:highlight w:val="none"/>
        </w:rPr>
        <w:t>磋商</w:t>
      </w:r>
      <w:r>
        <w:rPr>
          <w:rFonts w:hint="eastAsia" w:ascii="宋体" w:hAnsi="宋体" w:eastAsia="宋体" w:cs="宋体"/>
          <w:color w:val="auto"/>
          <w:szCs w:val="21"/>
          <w:highlight w:val="none"/>
        </w:rPr>
        <w:t>文件要求编制响应文件。任何对</w:t>
      </w:r>
      <w:r>
        <w:rPr>
          <w:rFonts w:hint="eastAsia" w:ascii="宋体" w:hAnsi="宋体" w:eastAsia="宋体" w:cs="宋体"/>
          <w:bCs/>
          <w:color w:val="auto"/>
          <w:szCs w:val="21"/>
          <w:highlight w:val="none"/>
        </w:rPr>
        <w:t>磋商</w:t>
      </w:r>
      <w:r>
        <w:rPr>
          <w:rFonts w:hint="eastAsia" w:ascii="宋体" w:hAnsi="宋体" w:eastAsia="宋体" w:cs="宋体"/>
          <w:color w:val="auto"/>
          <w:szCs w:val="21"/>
          <w:highlight w:val="none"/>
        </w:rPr>
        <w:t>文件的忽略或误解不能作为响应文件存在缺陷或瑕疵的理由，其风险由供应商承担。</w:t>
      </w:r>
    </w:p>
    <w:p w14:paraId="3AA1E180">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11.</w:t>
      </w:r>
      <w:r>
        <w:rPr>
          <w:rFonts w:hint="eastAsia" w:ascii="宋体" w:hAnsi="宋体" w:eastAsia="宋体" w:cs="宋体"/>
          <w:b/>
          <w:color w:val="auto"/>
          <w:highlight w:val="none"/>
        </w:rPr>
        <w:t xml:space="preserve"> </w:t>
      </w:r>
      <w:r>
        <w:rPr>
          <w:rFonts w:hint="eastAsia" w:ascii="宋体" w:hAnsi="宋体" w:eastAsia="宋体" w:cs="宋体"/>
          <w:b/>
          <w:color w:val="auto"/>
          <w:szCs w:val="21"/>
          <w:highlight w:val="none"/>
        </w:rPr>
        <w:t>磋商文件的提供期限</w:t>
      </w:r>
    </w:p>
    <w:p w14:paraId="446E0C6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11.1磋商文件的提供期限自开始发出之日起不得少于五个工作日。具体提供期限见</w:t>
      </w:r>
      <w:r>
        <w:rPr>
          <w:rFonts w:hint="eastAsia" w:ascii="宋体" w:hAnsi="宋体" w:eastAsia="宋体" w:cs="宋体"/>
          <w:b/>
          <w:color w:val="auto"/>
          <w:szCs w:val="21"/>
          <w:highlight w:val="none"/>
        </w:rPr>
        <w:t>磋商文件前附表</w:t>
      </w:r>
      <w:r>
        <w:rPr>
          <w:rFonts w:hint="eastAsia" w:ascii="宋体" w:hAnsi="宋体" w:eastAsia="宋体" w:cs="宋体"/>
          <w:color w:val="auto"/>
          <w:szCs w:val="21"/>
          <w:highlight w:val="none"/>
        </w:rPr>
        <w:t>。</w:t>
      </w:r>
    </w:p>
    <w:p w14:paraId="0EAE4EF4">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11.2供应商应持</w:t>
      </w:r>
      <w:r>
        <w:rPr>
          <w:rFonts w:hint="eastAsia" w:ascii="宋体" w:hAnsi="宋体" w:eastAsia="宋体" w:cs="宋体"/>
          <w:b/>
          <w:color w:val="auto"/>
          <w:szCs w:val="21"/>
          <w:highlight w:val="none"/>
        </w:rPr>
        <w:t>磋商文件前附表</w:t>
      </w:r>
      <w:r>
        <w:rPr>
          <w:rFonts w:hint="eastAsia" w:ascii="宋体" w:hAnsi="宋体" w:eastAsia="宋体" w:cs="宋体"/>
          <w:color w:val="auto"/>
          <w:szCs w:val="21"/>
          <w:highlight w:val="none"/>
        </w:rPr>
        <w:t>规定的资料领取或购买磋商文件。</w:t>
      </w:r>
    </w:p>
    <w:p w14:paraId="1B87E7DE">
      <w:pPr>
        <w:pStyle w:val="23"/>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color w:val="auto"/>
          <w:highlight w:val="none"/>
        </w:rPr>
      </w:pPr>
      <w:r>
        <w:rPr>
          <w:rFonts w:hint="eastAsia" w:ascii="宋体" w:hAnsi="宋体" w:eastAsia="宋体" w:cs="宋体"/>
          <w:b/>
          <w:color w:val="auto"/>
          <w:highlight w:val="none"/>
        </w:rPr>
        <w:t>12.</w:t>
      </w:r>
      <w:r>
        <w:rPr>
          <w:rFonts w:hint="eastAsia" w:ascii="宋体" w:hAnsi="宋体" w:eastAsia="宋体" w:cs="宋体"/>
          <w:b/>
          <w:color w:val="auto"/>
          <w:kern w:val="0"/>
          <w:highlight w:val="none"/>
        </w:rPr>
        <w:t>提交首次响应文件</w:t>
      </w:r>
      <w:r>
        <w:rPr>
          <w:rFonts w:hint="eastAsia" w:ascii="宋体" w:hAnsi="宋体" w:eastAsia="宋体" w:cs="宋体"/>
          <w:b/>
          <w:color w:val="auto"/>
          <w:highlight w:val="none"/>
        </w:rPr>
        <w:t>的</w:t>
      </w:r>
      <w:r>
        <w:rPr>
          <w:rFonts w:hint="eastAsia" w:ascii="宋体" w:hAnsi="宋体" w:eastAsia="宋体" w:cs="宋体"/>
          <w:b/>
          <w:color w:val="auto"/>
          <w:kern w:val="0"/>
          <w:highlight w:val="none"/>
        </w:rPr>
        <w:t>截止</w:t>
      </w:r>
      <w:r>
        <w:rPr>
          <w:rFonts w:hint="eastAsia" w:ascii="宋体" w:hAnsi="宋体" w:eastAsia="宋体" w:cs="宋体"/>
          <w:b/>
          <w:color w:val="auto"/>
          <w:highlight w:val="none"/>
        </w:rPr>
        <w:t>时间</w:t>
      </w:r>
    </w:p>
    <w:p w14:paraId="4030D56F">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12.1</w:t>
      </w:r>
      <w:r>
        <w:rPr>
          <w:rFonts w:hint="eastAsia" w:ascii="宋体" w:hAnsi="宋体" w:eastAsia="宋体" w:cs="宋体"/>
          <w:color w:val="auto"/>
          <w:kern w:val="0"/>
          <w:highlight w:val="none"/>
        </w:rPr>
        <w:t>供应商提交首次响应文件截止</w:t>
      </w:r>
      <w:r>
        <w:rPr>
          <w:rFonts w:hint="eastAsia" w:ascii="宋体" w:hAnsi="宋体" w:eastAsia="宋体" w:cs="宋体"/>
          <w:color w:val="auto"/>
          <w:highlight w:val="none"/>
        </w:rPr>
        <w:t>时间见</w:t>
      </w:r>
      <w:r>
        <w:rPr>
          <w:rFonts w:hint="eastAsia" w:ascii="宋体" w:hAnsi="宋体" w:eastAsia="宋体" w:cs="宋体"/>
          <w:b/>
          <w:color w:val="auto"/>
          <w:highlight w:val="none"/>
        </w:rPr>
        <w:t>磋商须知前附表</w:t>
      </w:r>
      <w:r>
        <w:rPr>
          <w:rFonts w:hint="eastAsia" w:ascii="宋体" w:hAnsi="宋体" w:eastAsia="宋体" w:cs="宋体"/>
          <w:color w:val="auto"/>
          <w:highlight w:val="none"/>
        </w:rPr>
        <w:t>。</w:t>
      </w:r>
    </w:p>
    <w:p w14:paraId="7E36BA54">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13.磋商文件的澄清</w:t>
      </w:r>
      <w:r>
        <w:rPr>
          <w:rFonts w:hint="eastAsia" w:ascii="宋体" w:hAnsi="宋体" w:eastAsia="宋体" w:cs="宋体"/>
          <w:b/>
          <w:color w:val="auto"/>
          <w:kern w:val="0"/>
          <w:szCs w:val="21"/>
          <w:highlight w:val="none"/>
          <w:lang w:val="zh-CN"/>
        </w:rPr>
        <w:t>或者</w:t>
      </w:r>
      <w:r>
        <w:rPr>
          <w:rFonts w:hint="eastAsia" w:ascii="宋体" w:hAnsi="宋体" w:eastAsia="宋体" w:cs="宋体"/>
          <w:b/>
          <w:bCs/>
          <w:color w:val="auto"/>
          <w:szCs w:val="21"/>
          <w:highlight w:val="none"/>
        </w:rPr>
        <w:t>修改</w:t>
      </w:r>
    </w:p>
    <w:p w14:paraId="2CAAF01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13.1在</w:t>
      </w:r>
      <w:r>
        <w:rPr>
          <w:rFonts w:hint="eastAsia" w:ascii="宋体" w:hAnsi="宋体" w:eastAsia="宋体" w:cs="宋体"/>
          <w:color w:val="auto"/>
          <w:kern w:val="0"/>
          <w:szCs w:val="21"/>
          <w:highlight w:val="none"/>
        </w:rPr>
        <w:t xml:space="preserve">提交首次响应文件截止之日前，采购人、采购代理机构可以对已发出的磋商文件进行必要的澄清或者修改。 </w:t>
      </w:r>
    </w:p>
    <w:p w14:paraId="7AA1071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13.2</w:t>
      </w:r>
      <w:r>
        <w:rPr>
          <w:rFonts w:hint="eastAsia" w:ascii="宋体" w:hAnsi="宋体" w:eastAsia="宋体" w:cs="宋体"/>
          <w:color w:val="auto"/>
          <w:kern w:val="0"/>
          <w:szCs w:val="21"/>
          <w:highlight w:val="none"/>
        </w:rPr>
        <w:t>澄清或者修改的内容可能影响响应文件编制的，采购人、采购代理机构应当在提交首次响应文件截止</w:t>
      </w:r>
      <w:r>
        <w:rPr>
          <w:rFonts w:hint="eastAsia" w:ascii="宋体" w:hAnsi="宋体" w:eastAsia="宋体" w:cs="宋体"/>
          <w:color w:val="auto"/>
          <w:kern w:val="0"/>
          <w:szCs w:val="21"/>
          <w:highlight w:val="none"/>
          <w:lang w:eastAsia="zh-CN"/>
        </w:rPr>
        <w:t>至少</w:t>
      </w:r>
      <w:r>
        <w:rPr>
          <w:rFonts w:hint="eastAsia" w:ascii="宋体" w:hAnsi="宋体" w:eastAsia="宋体" w:cs="宋体"/>
          <w:color w:val="auto"/>
          <w:kern w:val="0"/>
          <w:szCs w:val="21"/>
          <w:highlight w:val="none"/>
          <w:lang w:val="en-US" w:eastAsia="zh-CN"/>
        </w:rPr>
        <w:t>5日前</w:t>
      </w:r>
      <w:r>
        <w:rPr>
          <w:rFonts w:hint="eastAsia" w:ascii="宋体" w:hAnsi="宋体" w:eastAsia="宋体" w:cs="宋体"/>
          <w:color w:val="auto"/>
          <w:kern w:val="0"/>
          <w:szCs w:val="21"/>
          <w:highlight w:val="none"/>
        </w:rPr>
        <w:t>，以书面形式通知所有接收磋商文件的供应商，不足</w:t>
      </w: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日的，顺延供应商提交首次响应文件截止时间。</w:t>
      </w:r>
    </w:p>
    <w:p w14:paraId="4E16870F">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13.2</w:t>
      </w:r>
      <w:r>
        <w:rPr>
          <w:rFonts w:hint="eastAsia" w:ascii="宋体" w:hAnsi="宋体" w:eastAsia="宋体" w:cs="宋体"/>
          <w:color w:val="auto"/>
          <w:kern w:val="0"/>
          <w:highlight w:val="none"/>
        </w:rPr>
        <w:t>提交首次响应文件截止时间前对磋商文件澄清或者修改内容，为磋商文件的组成部分。</w:t>
      </w:r>
    </w:p>
    <w:p w14:paraId="307423FD">
      <w:pPr>
        <w:keepNext w:val="0"/>
        <w:keepLines w:val="0"/>
        <w:pageBreakBefore w:val="0"/>
        <w:kinsoku/>
        <w:wordWrap/>
        <w:overflowPunct/>
        <w:topLinePunct w:val="0"/>
        <w:autoSpaceDE/>
        <w:bidi w:val="0"/>
        <w:adjustRightInd w:val="0"/>
        <w:snapToGrid w:val="0"/>
        <w:spacing w:line="400" w:lineRule="exact"/>
        <w:ind w:left="0" w:right="0" w:rightChars="0" w:hanging="902" w:hangingChars="376"/>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三、响应文件</w:t>
      </w:r>
    </w:p>
    <w:p w14:paraId="1893A6AC">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14.一般要求</w:t>
      </w:r>
    </w:p>
    <w:p w14:paraId="0436991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14.1 供应商应仔细阅读磋商文件的所有内容，按磋商文件的要求编制响应文件，并保证所提供的全部资料的真实性，以使其响应文件对磋商文件做出实质性的响应。</w:t>
      </w:r>
    </w:p>
    <w:p w14:paraId="58F3BC5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14.2 </w:t>
      </w:r>
      <w:r>
        <w:rPr>
          <w:rFonts w:hint="eastAsia" w:ascii="宋体" w:hAnsi="宋体" w:eastAsia="宋体" w:cs="宋体"/>
          <w:color w:val="auto"/>
          <w:szCs w:val="21"/>
          <w:highlight w:val="none"/>
        </w:rPr>
        <w:t>供应商提交的响应文件及供应商与采购人或采购代理机构、磋商小组就有关磋商的所有来往函电均使用中文。供应商可以提交其它语言的资料，但应附中文注释，在有差异时以中文为准。</w:t>
      </w:r>
    </w:p>
    <w:p w14:paraId="1BB2D9EA">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bCs/>
          <w:color w:val="auto"/>
          <w:highlight w:val="none"/>
        </w:rPr>
        <w:t xml:space="preserve">14.3 </w:t>
      </w:r>
      <w:r>
        <w:rPr>
          <w:rFonts w:hint="eastAsia" w:ascii="宋体" w:hAnsi="宋体" w:eastAsia="宋体" w:cs="宋体"/>
          <w:color w:val="auto"/>
          <w:highlight w:val="none"/>
        </w:rPr>
        <w:t>计量单位应使用我国法定计量单位，未列明时应默认为我国法定计量单位。</w:t>
      </w:r>
    </w:p>
    <w:p w14:paraId="0C155EFA">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14.4 响应文件应采用书面形式，电报、传真、电子邮件形式的响应文件概不接受。</w:t>
      </w:r>
    </w:p>
    <w:p w14:paraId="4D273E1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14.5 供应商应按磋商文件中提供的响应文件格式填写。</w:t>
      </w:r>
    </w:p>
    <w:p w14:paraId="07F59571">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15.</w:t>
      </w:r>
      <w:r>
        <w:rPr>
          <w:rFonts w:hint="eastAsia" w:ascii="宋体" w:hAnsi="宋体" w:eastAsia="宋体" w:cs="宋体"/>
          <w:b/>
          <w:color w:val="auto"/>
          <w:szCs w:val="21"/>
          <w:highlight w:val="none"/>
        </w:rPr>
        <w:t>响应文件</w:t>
      </w:r>
      <w:r>
        <w:rPr>
          <w:rFonts w:hint="eastAsia" w:ascii="宋体" w:hAnsi="宋体" w:eastAsia="宋体" w:cs="宋体"/>
          <w:b/>
          <w:bCs/>
          <w:color w:val="auto"/>
          <w:szCs w:val="21"/>
          <w:highlight w:val="none"/>
        </w:rPr>
        <w:t>的组成</w:t>
      </w:r>
    </w:p>
    <w:p w14:paraId="5214EDA6">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outlineLvl w:val="0"/>
        <w:rPr>
          <w:rFonts w:hint="eastAsia" w:ascii="宋体" w:hAnsi="宋体" w:eastAsia="宋体" w:cs="宋体"/>
          <w:color w:val="auto"/>
          <w:szCs w:val="21"/>
          <w:highlight w:val="none"/>
        </w:rPr>
      </w:pPr>
      <w:r>
        <w:rPr>
          <w:rFonts w:hint="eastAsia" w:ascii="宋体" w:hAnsi="宋体" w:eastAsia="宋体" w:cs="宋体"/>
          <w:color w:val="auto"/>
          <w:highlight w:val="none"/>
        </w:rPr>
        <w:t>15.1 响应文件包括下列内容：</w:t>
      </w:r>
      <w:r>
        <w:rPr>
          <w:rFonts w:hint="eastAsia" w:ascii="宋体" w:hAnsi="宋体" w:eastAsia="宋体" w:cs="宋体"/>
          <w:color w:val="auto"/>
          <w:szCs w:val="21"/>
          <w:highlight w:val="none"/>
        </w:rPr>
        <w:t xml:space="preserve"> </w:t>
      </w:r>
    </w:p>
    <w:p w14:paraId="2436F202">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一、磋商响应声明</w:t>
      </w:r>
    </w:p>
    <w:p w14:paraId="2BB256B0">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二、保证金</w:t>
      </w:r>
    </w:p>
    <w:p w14:paraId="6C99FD09">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三、供应商的资格证明材料</w:t>
      </w:r>
    </w:p>
    <w:p w14:paraId="2D84D923">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rPr>
        <w:t>四、</w:t>
      </w:r>
      <w:r>
        <w:rPr>
          <w:rFonts w:hint="eastAsia" w:ascii="宋体" w:hAnsi="宋体" w:eastAsia="宋体" w:cs="宋体"/>
          <w:b/>
          <w:bCs/>
          <w:color w:val="auto"/>
          <w:sz w:val="24"/>
          <w:highlight w:val="none"/>
          <w:lang w:val="en-US" w:eastAsia="zh-CN"/>
        </w:rPr>
        <w:t>服务方案</w:t>
      </w:r>
    </w:p>
    <w:p w14:paraId="6E894005">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五、技术/商务响应与偏离表</w:t>
      </w:r>
    </w:p>
    <w:p w14:paraId="583E580A">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六、提供政府采购政策产品等证明材料</w:t>
      </w:r>
    </w:p>
    <w:p w14:paraId="57FD19E6">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七、报价一览表及报价文件</w:t>
      </w:r>
    </w:p>
    <w:p w14:paraId="0A5281E2">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八、供应商认为需提供的其它资料</w:t>
      </w:r>
    </w:p>
    <w:p w14:paraId="54736602">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九、最后报价</w:t>
      </w:r>
    </w:p>
    <w:p w14:paraId="0CD421D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15.2在磋商过程中，</w:t>
      </w:r>
      <w:r>
        <w:rPr>
          <w:rFonts w:hint="eastAsia" w:ascii="宋体" w:hAnsi="宋体" w:eastAsia="宋体" w:cs="宋体"/>
          <w:color w:val="auto"/>
          <w:szCs w:val="21"/>
          <w:highlight w:val="none"/>
        </w:rPr>
        <w:t>供应商</w:t>
      </w:r>
      <w:r>
        <w:rPr>
          <w:rFonts w:hint="eastAsia" w:ascii="宋体" w:hAnsi="宋体" w:eastAsia="宋体" w:cs="宋体"/>
          <w:color w:val="auto"/>
          <w:highlight w:val="none"/>
        </w:rPr>
        <w:t>根据</w:t>
      </w:r>
      <w:r>
        <w:rPr>
          <w:rFonts w:hint="eastAsia" w:ascii="宋体" w:hAnsi="宋体" w:eastAsia="宋体" w:cs="宋体"/>
          <w:color w:val="auto"/>
          <w:kern w:val="0"/>
          <w:szCs w:val="21"/>
          <w:highlight w:val="none"/>
        </w:rPr>
        <w:t>磋商小组</w:t>
      </w:r>
      <w:r>
        <w:rPr>
          <w:rFonts w:hint="eastAsia" w:ascii="宋体" w:hAnsi="宋体" w:eastAsia="宋体" w:cs="宋体"/>
          <w:bCs/>
          <w:color w:val="auto"/>
          <w:szCs w:val="21"/>
          <w:highlight w:val="none"/>
        </w:rPr>
        <w:t>书面形式要求</w:t>
      </w:r>
      <w:r>
        <w:rPr>
          <w:rFonts w:hint="eastAsia" w:ascii="宋体" w:hAnsi="宋体" w:eastAsia="宋体" w:cs="宋体"/>
          <w:color w:val="auto"/>
          <w:kern w:val="0"/>
          <w:szCs w:val="21"/>
          <w:highlight w:val="none"/>
        </w:rPr>
        <w:t>提交的</w:t>
      </w:r>
      <w:r>
        <w:rPr>
          <w:rFonts w:hint="eastAsia" w:ascii="宋体" w:hAnsi="宋体" w:eastAsia="宋体" w:cs="宋体"/>
          <w:color w:val="auto"/>
          <w:highlight w:val="none"/>
        </w:rPr>
        <w:t>最后报价(或者</w:t>
      </w:r>
      <w:r>
        <w:rPr>
          <w:rFonts w:hint="eastAsia" w:ascii="宋体" w:hAnsi="宋体" w:eastAsia="宋体" w:cs="宋体"/>
          <w:bCs/>
          <w:color w:val="auto"/>
          <w:szCs w:val="21"/>
          <w:highlight w:val="none"/>
        </w:rPr>
        <w:t>重</w:t>
      </w:r>
      <w:r>
        <w:rPr>
          <w:rFonts w:hint="eastAsia" w:ascii="宋体" w:hAnsi="宋体" w:eastAsia="宋体" w:cs="宋体"/>
          <w:color w:val="auto"/>
          <w:kern w:val="0"/>
          <w:szCs w:val="21"/>
          <w:highlight w:val="none"/>
        </w:rPr>
        <w:t>新提交的响应文件和</w:t>
      </w:r>
      <w:r>
        <w:rPr>
          <w:rFonts w:hint="eastAsia" w:ascii="宋体" w:hAnsi="宋体" w:eastAsia="宋体" w:cs="宋体"/>
          <w:color w:val="auto"/>
          <w:highlight w:val="none"/>
        </w:rPr>
        <w:t>最后报价)是</w:t>
      </w:r>
      <w:r>
        <w:rPr>
          <w:rFonts w:hint="eastAsia" w:ascii="宋体" w:hAnsi="宋体" w:eastAsia="宋体" w:cs="宋体"/>
          <w:color w:val="auto"/>
          <w:szCs w:val="21"/>
          <w:highlight w:val="none"/>
        </w:rPr>
        <w:t>响应文件</w:t>
      </w:r>
      <w:r>
        <w:rPr>
          <w:rFonts w:hint="eastAsia" w:ascii="宋体" w:hAnsi="宋体" w:eastAsia="宋体" w:cs="宋体"/>
          <w:color w:val="auto"/>
          <w:highlight w:val="none"/>
        </w:rPr>
        <w:t>的有效组成部分。</w:t>
      </w:r>
    </w:p>
    <w:p w14:paraId="094142E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b/>
          <w:color w:val="auto"/>
          <w:highlight w:val="none"/>
        </w:rPr>
      </w:pPr>
      <w:r>
        <w:rPr>
          <w:rFonts w:hint="eastAsia" w:ascii="宋体" w:hAnsi="宋体" w:eastAsia="宋体" w:cs="宋体"/>
          <w:color w:val="auto"/>
          <w:highlight w:val="none"/>
        </w:rPr>
        <w:t>15.3</w:t>
      </w:r>
      <w:r>
        <w:rPr>
          <w:rFonts w:hint="eastAsia" w:ascii="宋体" w:hAnsi="宋体" w:eastAsia="宋体" w:cs="宋体"/>
          <w:color w:val="auto"/>
          <w:kern w:val="0"/>
          <w:szCs w:val="21"/>
          <w:highlight w:val="none"/>
        </w:rPr>
        <w:t>磋商文件规定可能发生实质性变动的，供应商应当在</w:t>
      </w:r>
      <w:r>
        <w:rPr>
          <w:rFonts w:hint="eastAsia" w:ascii="宋体" w:hAnsi="宋体" w:eastAsia="宋体" w:cs="宋体"/>
          <w:color w:val="auto"/>
          <w:highlight w:val="none"/>
        </w:rPr>
        <w:t>《技术/商务响应与偏离表》中对应内容注明。</w:t>
      </w:r>
    </w:p>
    <w:p w14:paraId="3D6FFE4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rPr>
        <w:t>15.4</w:t>
      </w:r>
      <w:r>
        <w:rPr>
          <w:rFonts w:hint="eastAsia" w:ascii="宋体" w:hAnsi="宋体" w:eastAsia="宋体" w:cs="宋体"/>
          <w:color w:val="auto"/>
          <w:szCs w:val="21"/>
          <w:highlight w:val="none"/>
        </w:rPr>
        <w:t>根据《政府采购法》第四十二条的规定，供应商无论成交与否，其响应文件不予退还。</w:t>
      </w:r>
    </w:p>
    <w:p w14:paraId="2878C2B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16.报价</w:t>
      </w:r>
    </w:p>
    <w:p w14:paraId="4719290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16.1供应商应当根据磋商文件要求和范围，以</w:t>
      </w:r>
      <w:r>
        <w:rPr>
          <w:rFonts w:hint="eastAsia" w:ascii="宋体" w:hAnsi="宋体" w:eastAsia="宋体" w:cs="宋体"/>
          <w:bCs/>
          <w:color w:val="auto"/>
          <w:szCs w:val="21"/>
          <w:highlight w:val="none"/>
        </w:rPr>
        <w:t>人民币</w:t>
      </w:r>
      <w:r>
        <w:rPr>
          <w:rFonts w:hint="eastAsia" w:ascii="宋体" w:hAnsi="宋体" w:eastAsia="宋体" w:cs="宋体"/>
          <w:color w:val="auto"/>
          <w:szCs w:val="21"/>
          <w:highlight w:val="none"/>
        </w:rPr>
        <w:t>报价，以元为单位，保留小数点后两位。</w:t>
      </w:r>
    </w:p>
    <w:p w14:paraId="2775E335">
      <w:pPr>
        <w:pStyle w:val="101"/>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16.2供应商应按第五章 响应文件组成格式填写。</w:t>
      </w:r>
    </w:p>
    <w:p w14:paraId="75B16AE2">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16.3响应文件中标明的价格在合同执行过程中是固定不变的，不得以任何理由予以变更。以可变动价格提交的报价将被认为是非实质响应而被拒绝。</w:t>
      </w:r>
    </w:p>
    <w:p w14:paraId="4C0412AB">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16.4</w:t>
      </w:r>
      <w:r>
        <w:rPr>
          <w:rFonts w:hint="eastAsia" w:ascii="宋体" w:hAnsi="宋体" w:eastAsia="宋体" w:cs="宋体"/>
          <w:color w:val="auto"/>
          <w:kern w:val="0"/>
          <w:highlight w:val="none"/>
          <w:lang w:val="zh-CN"/>
        </w:rPr>
        <w:t>供应商</w:t>
      </w:r>
      <w:r>
        <w:rPr>
          <w:rFonts w:hint="eastAsia" w:ascii="宋体" w:hAnsi="宋体" w:eastAsia="宋体" w:cs="宋体"/>
          <w:color w:val="auto"/>
          <w:highlight w:val="none"/>
        </w:rPr>
        <w:t>的报价不得超过采购项目预算，采购项目预算或其计算方法见</w:t>
      </w:r>
      <w:r>
        <w:rPr>
          <w:rFonts w:hint="eastAsia" w:ascii="宋体" w:hAnsi="宋体" w:eastAsia="宋体" w:cs="宋体"/>
          <w:b/>
          <w:color w:val="auto"/>
          <w:highlight w:val="none"/>
        </w:rPr>
        <w:t>磋商须知前附表</w:t>
      </w:r>
      <w:r>
        <w:rPr>
          <w:rFonts w:hint="eastAsia" w:ascii="宋体" w:hAnsi="宋体" w:eastAsia="宋体" w:cs="宋体"/>
          <w:color w:val="auto"/>
          <w:highlight w:val="none"/>
        </w:rPr>
        <w:t>。</w:t>
      </w:r>
    </w:p>
    <w:p w14:paraId="2DFBE1CB">
      <w:pPr>
        <w:pStyle w:val="23"/>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17.供应商符合磋商文件规定的证明文件</w:t>
      </w:r>
    </w:p>
    <w:p w14:paraId="609131A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17.1供应商应提交满足本章第3.1款规定的资格条件要求的证明文件,该证明文件作为响应文件的一部分。</w:t>
      </w:r>
    </w:p>
    <w:p w14:paraId="0A66CAD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17.2如果供应商为联合体，则应提交联合体各方资格证明文件、联合体协议。否则，在评审时将其视为无效响应。</w:t>
      </w:r>
    </w:p>
    <w:p w14:paraId="5067671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17.3 除</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另有规定外，供应商提供的货物及服务不是供应商制造或拥有的，则必须提供经销、或代理采购货物、或采购货物提供售后服务的证明文件。</w:t>
      </w:r>
    </w:p>
    <w:p w14:paraId="4E605BFF">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18．样品提供</w:t>
      </w:r>
    </w:p>
    <w:p w14:paraId="4AFAF34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18.1 </w:t>
      </w:r>
      <w:r>
        <w:rPr>
          <w:rFonts w:hint="eastAsia" w:ascii="宋体" w:hAnsi="宋体" w:eastAsia="宋体" w:cs="宋体"/>
          <w:b/>
          <w:color w:val="auto"/>
          <w:highlight w:val="none"/>
        </w:rPr>
        <w:t>磋商须知前附表</w:t>
      </w:r>
      <w:r>
        <w:rPr>
          <w:rFonts w:hint="eastAsia" w:ascii="宋体" w:hAnsi="宋体" w:eastAsia="宋体" w:cs="宋体"/>
          <w:color w:val="auto"/>
          <w:szCs w:val="21"/>
          <w:highlight w:val="none"/>
        </w:rPr>
        <w:t>规定</w:t>
      </w:r>
      <w:r>
        <w:rPr>
          <w:rFonts w:hint="eastAsia" w:ascii="宋体" w:hAnsi="宋体" w:eastAsia="宋体" w:cs="宋体"/>
          <w:bCs/>
          <w:color w:val="auto"/>
          <w:highlight w:val="none"/>
        </w:rPr>
        <w:t>供应商</w:t>
      </w:r>
      <w:r>
        <w:rPr>
          <w:rFonts w:hint="eastAsia" w:ascii="宋体" w:hAnsi="宋体" w:eastAsia="宋体" w:cs="宋体"/>
          <w:color w:val="auto"/>
          <w:szCs w:val="21"/>
          <w:highlight w:val="none"/>
        </w:rPr>
        <w:t>在</w:t>
      </w:r>
      <w:r>
        <w:rPr>
          <w:rFonts w:hint="eastAsia" w:ascii="宋体" w:hAnsi="宋体" w:eastAsia="宋体" w:cs="宋体"/>
          <w:color w:val="auto"/>
          <w:highlight w:val="none"/>
        </w:rPr>
        <w:t>磋商</w:t>
      </w:r>
      <w:r>
        <w:rPr>
          <w:rFonts w:hint="eastAsia" w:ascii="宋体" w:hAnsi="宋体" w:eastAsia="宋体" w:cs="宋体"/>
          <w:color w:val="auto"/>
          <w:szCs w:val="21"/>
          <w:highlight w:val="none"/>
        </w:rPr>
        <w:t>时提供样品的，</w:t>
      </w:r>
      <w:r>
        <w:rPr>
          <w:rFonts w:hint="eastAsia" w:ascii="宋体" w:hAnsi="宋体" w:eastAsia="宋体" w:cs="宋体"/>
          <w:bCs/>
          <w:color w:val="auto"/>
          <w:highlight w:val="none"/>
        </w:rPr>
        <w:t>供应商</w:t>
      </w:r>
      <w:r>
        <w:rPr>
          <w:rFonts w:hint="eastAsia" w:ascii="宋体" w:hAnsi="宋体" w:eastAsia="宋体" w:cs="宋体"/>
          <w:color w:val="auto"/>
          <w:szCs w:val="21"/>
          <w:highlight w:val="none"/>
        </w:rPr>
        <w:t>有以下情形之一的，在评审时将其视为无效响应。</w:t>
      </w:r>
    </w:p>
    <w:p w14:paraId="2289F25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（1）未在</w:t>
      </w:r>
      <w:r>
        <w:rPr>
          <w:rFonts w:hint="eastAsia" w:ascii="宋体" w:hAnsi="宋体" w:eastAsia="宋体" w:cs="宋体"/>
          <w:b/>
          <w:color w:val="auto"/>
          <w:highlight w:val="none"/>
        </w:rPr>
        <w:t>磋商须知前附表</w:t>
      </w:r>
      <w:r>
        <w:rPr>
          <w:rFonts w:hint="eastAsia" w:ascii="宋体" w:hAnsi="宋体" w:eastAsia="宋体" w:cs="宋体"/>
          <w:color w:val="auto"/>
          <w:szCs w:val="21"/>
          <w:highlight w:val="none"/>
        </w:rPr>
        <w:t>规定的提交时间、地点提交的；</w:t>
      </w:r>
    </w:p>
    <w:p w14:paraId="34036CB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bCs/>
          <w:color w:val="auto"/>
          <w:highlight w:val="none"/>
        </w:rPr>
        <w:t>供应商</w:t>
      </w:r>
      <w:r>
        <w:rPr>
          <w:rFonts w:hint="eastAsia" w:ascii="宋体" w:hAnsi="宋体" w:eastAsia="宋体" w:cs="宋体"/>
          <w:color w:val="auto"/>
          <w:szCs w:val="21"/>
          <w:highlight w:val="none"/>
        </w:rPr>
        <w:t>提供的样品与响应文件中提供样品的型号、规格不一致的。</w:t>
      </w:r>
    </w:p>
    <w:p w14:paraId="15B662DA">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19.</w:t>
      </w:r>
      <w:r>
        <w:rPr>
          <w:rFonts w:hint="eastAsia" w:ascii="宋体" w:hAnsi="宋体" w:eastAsia="宋体" w:cs="宋体"/>
          <w:color w:val="auto"/>
          <w:highlight w:val="none"/>
        </w:rPr>
        <w:t xml:space="preserve"> </w:t>
      </w:r>
      <w:r>
        <w:rPr>
          <w:rFonts w:hint="eastAsia" w:ascii="宋体" w:hAnsi="宋体" w:eastAsia="宋体" w:cs="宋体"/>
          <w:b/>
          <w:bCs/>
          <w:color w:val="auto"/>
          <w:szCs w:val="21"/>
          <w:highlight w:val="none"/>
        </w:rPr>
        <w:t>磋商保证金</w:t>
      </w:r>
    </w:p>
    <w:p w14:paraId="4C94318E">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bCs/>
          <w:color w:val="auto"/>
          <w:highlight w:val="none"/>
        </w:rPr>
      </w:pPr>
      <w:r>
        <w:rPr>
          <w:rFonts w:hint="eastAsia" w:ascii="宋体" w:hAnsi="宋体" w:eastAsia="宋体" w:cs="宋体"/>
          <w:color w:val="auto"/>
          <w:highlight w:val="none"/>
        </w:rPr>
        <w:t>19.1</w:t>
      </w:r>
      <w:r>
        <w:rPr>
          <w:rFonts w:hint="eastAsia" w:ascii="宋体" w:hAnsi="宋体" w:eastAsia="宋体" w:cs="宋体"/>
          <w:b/>
          <w:color w:val="auto"/>
          <w:highlight w:val="none"/>
        </w:rPr>
        <w:t>磋商须知前附表</w:t>
      </w:r>
      <w:r>
        <w:rPr>
          <w:rFonts w:hint="eastAsia" w:ascii="宋体" w:hAnsi="宋体" w:eastAsia="宋体" w:cs="宋体"/>
          <w:color w:val="auto"/>
          <w:highlight w:val="none"/>
        </w:rPr>
        <w:t>规定交纳磋商</w:t>
      </w:r>
      <w:r>
        <w:rPr>
          <w:rFonts w:hint="eastAsia" w:ascii="宋体" w:hAnsi="宋体" w:eastAsia="宋体" w:cs="宋体"/>
          <w:bCs/>
          <w:color w:val="auto"/>
          <w:highlight w:val="none"/>
        </w:rPr>
        <w:t>保证金的</w:t>
      </w:r>
      <w:r>
        <w:rPr>
          <w:rFonts w:hint="eastAsia" w:ascii="宋体" w:hAnsi="宋体" w:eastAsia="宋体" w:cs="宋体"/>
          <w:color w:val="auto"/>
          <w:highlight w:val="none"/>
        </w:rPr>
        <w:t>，应按</w:t>
      </w:r>
      <w:r>
        <w:rPr>
          <w:rFonts w:hint="eastAsia" w:ascii="宋体" w:hAnsi="宋体" w:eastAsia="宋体" w:cs="宋体"/>
          <w:b/>
          <w:color w:val="auto"/>
          <w:highlight w:val="none"/>
        </w:rPr>
        <w:t>磋商须知前附表</w:t>
      </w:r>
      <w:r>
        <w:rPr>
          <w:rFonts w:hint="eastAsia" w:ascii="宋体" w:hAnsi="宋体" w:eastAsia="宋体" w:cs="宋体"/>
          <w:color w:val="auto"/>
          <w:highlight w:val="none"/>
        </w:rPr>
        <w:t>规定的磋商</w:t>
      </w:r>
      <w:r>
        <w:rPr>
          <w:rFonts w:hint="eastAsia" w:ascii="宋体" w:hAnsi="宋体" w:eastAsia="宋体" w:cs="宋体"/>
          <w:bCs/>
          <w:color w:val="auto"/>
          <w:highlight w:val="none"/>
        </w:rPr>
        <w:t>保证金形式交纳，不得以现金方式交纳</w:t>
      </w:r>
      <w:r>
        <w:rPr>
          <w:rFonts w:hint="eastAsia" w:ascii="宋体" w:hAnsi="宋体" w:eastAsia="宋体" w:cs="宋体"/>
          <w:color w:val="auto"/>
          <w:highlight w:val="none"/>
        </w:rPr>
        <w:t>，在</w:t>
      </w:r>
      <w:r>
        <w:rPr>
          <w:rFonts w:hint="eastAsia" w:ascii="宋体" w:hAnsi="宋体" w:eastAsia="宋体" w:cs="宋体"/>
          <w:color w:val="auto"/>
          <w:kern w:val="0"/>
          <w:highlight w:val="none"/>
        </w:rPr>
        <w:t>提交首次响应文件截止时间</w:t>
      </w:r>
      <w:r>
        <w:rPr>
          <w:rFonts w:hint="eastAsia" w:ascii="宋体" w:hAnsi="宋体" w:eastAsia="宋体" w:cs="宋体"/>
          <w:color w:val="auto"/>
          <w:highlight w:val="none"/>
        </w:rPr>
        <w:t>前，</w:t>
      </w:r>
      <w:r>
        <w:rPr>
          <w:rFonts w:hint="eastAsia" w:ascii="宋体" w:hAnsi="宋体" w:eastAsia="宋体" w:cs="宋体"/>
          <w:bCs/>
          <w:color w:val="auto"/>
          <w:highlight w:val="none"/>
        </w:rPr>
        <w:t>向采购代理机构交纳不超过</w:t>
      </w:r>
      <w:r>
        <w:rPr>
          <w:rFonts w:hint="eastAsia" w:ascii="宋体" w:hAnsi="宋体" w:eastAsia="宋体" w:cs="宋体"/>
          <w:color w:val="auto"/>
          <w:kern w:val="0"/>
          <w:highlight w:val="none"/>
          <w:lang w:val="zh-CN"/>
        </w:rPr>
        <w:t>采购项目预算2﹪</w:t>
      </w:r>
      <w:r>
        <w:rPr>
          <w:rFonts w:hint="eastAsia" w:ascii="宋体" w:hAnsi="宋体" w:eastAsia="宋体" w:cs="宋体"/>
          <w:bCs/>
          <w:color w:val="auto"/>
          <w:highlight w:val="none"/>
        </w:rPr>
        <w:t>的磋商保证金(数额采用四舍五入，计算至元)</w:t>
      </w:r>
      <w:r>
        <w:rPr>
          <w:rFonts w:hint="eastAsia" w:ascii="宋体" w:hAnsi="宋体" w:eastAsia="宋体" w:cs="宋体"/>
          <w:color w:val="auto"/>
          <w:highlight w:val="none"/>
        </w:rPr>
        <w:t>。磋商</w:t>
      </w:r>
      <w:r>
        <w:rPr>
          <w:rFonts w:hint="eastAsia" w:ascii="宋体" w:hAnsi="宋体" w:eastAsia="宋体" w:cs="宋体"/>
          <w:bCs/>
          <w:color w:val="auto"/>
          <w:highlight w:val="none"/>
        </w:rPr>
        <w:t>保证金有效期应当与</w:t>
      </w:r>
      <w:r>
        <w:rPr>
          <w:rFonts w:hint="eastAsia" w:ascii="宋体" w:hAnsi="宋体" w:eastAsia="宋体" w:cs="宋体"/>
          <w:color w:val="auto"/>
          <w:highlight w:val="none"/>
        </w:rPr>
        <w:t>本章第20.1</w:t>
      </w:r>
      <w:r>
        <w:rPr>
          <w:rFonts w:hint="eastAsia" w:ascii="宋体" w:hAnsi="宋体" w:eastAsia="宋体" w:cs="宋体"/>
          <w:color w:val="auto"/>
          <w:kern w:val="0"/>
          <w:highlight w:val="none"/>
          <w:lang w:val="zh-CN"/>
        </w:rPr>
        <w:t>款</w:t>
      </w:r>
      <w:r>
        <w:rPr>
          <w:rFonts w:hint="eastAsia" w:ascii="宋体" w:hAnsi="宋体" w:eastAsia="宋体" w:cs="宋体"/>
          <w:color w:val="auto"/>
          <w:highlight w:val="none"/>
        </w:rPr>
        <w:t>规定的</w:t>
      </w:r>
      <w:r>
        <w:rPr>
          <w:rFonts w:hint="eastAsia" w:ascii="宋体" w:hAnsi="宋体" w:eastAsia="宋体" w:cs="宋体"/>
          <w:bCs/>
          <w:color w:val="auto"/>
          <w:highlight w:val="none"/>
        </w:rPr>
        <w:t>响应文件有效期一致。</w:t>
      </w:r>
    </w:p>
    <w:p w14:paraId="072B2C5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19.2</w:t>
      </w:r>
      <w:r>
        <w:rPr>
          <w:rFonts w:hint="eastAsia" w:ascii="宋体" w:hAnsi="宋体" w:eastAsia="宋体" w:cs="宋体"/>
          <w:color w:val="auto"/>
          <w:kern w:val="0"/>
          <w:szCs w:val="21"/>
          <w:highlight w:val="none"/>
          <w:lang w:val="zh-CN"/>
        </w:rPr>
        <w:t>供应商为联合体的，可以由联合体中的一方或者共同交纳磋商保证金，其交纳的磋商保证金，对联合体各方均具有约束力。</w:t>
      </w:r>
    </w:p>
    <w:p w14:paraId="64DE86F7">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19.3供应商未按照磋商文件要求提交磋商保证金的，响应无效。</w:t>
      </w:r>
    </w:p>
    <w:p w14:paraId="64AC1893">
      <w:pPr>
        <w:pStyle w:val="23"/>
        <w:keepNext w:val="0"/>
        <w:keepLines w:val="0"/>
        <w:pageBreakBefore w:val="0"/>
        <w:tabs>
          <w:tab w:val="left" w:pos="630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19.4采购代理机构在成交通知书发出后5个工作日内退还未成交供应商的磋商保证金；在采购合同签定后5个工作日内退还成交供应商的磋商保证金，但因供应商自身原因导致无法及时退还的除外。</w:t>
      </w:r>
    </w:p>
    <w:p w14:paraId="284A6F67">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highlight w:val="none"/>
        </w:rPr>
      </w:pPr>
      <w:r>
        <w:rPr>
          <w:rFonts w:hint="eastAsia" w:ascii="宋体" w:hAnsi="宋体" w:eastAsia="宋体" w:cs="宋体"/>
          <w:color w:val="auto"/>
          <w:highlight w:val="none"/>
        </w:rPr>
        <w:t xml:space="preserve">19.5 </w:t>
      </w:r>
      <w:r>
        <w:rPr>
          <w:rFonts w:hint="eastAsia" w:ascii="宋体" w:hAnsi="宋体" w:eastAsia="宋体" w:cs="宋体"/>
          <w:color w:val="auto"/>
          <w:kern w:val="0"/>
          <w:highlight w:val="none"/>
        </w:rPr>
        <w:t>有下列情形之一的，磋商保证金不予退还，并上缴本级财政国库：</w:t>
      </w:r>
    </w:p>
    <w:p w14:paraId="686473C6">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（1）供应商在提交首次响应文件截止时间后撤回响应文件的；</w:t>
      </w:r>
    </w:p>
    <w:p w14:paraId="7DFD85B0">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（2）供应商在响应文件中提供虚假资料的；</w:t>
      </w:r>
    </w:p>
    <w:p w14:paraId="2CC76247">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highlight w:val="none"/>
        </w:rPr>
        <w:t>（3）</w:t>
      </w:r>
      <w:r>
        <w:rPr>
          <w:rFonts w:hint="eastAsia" w:ascii="宋体" w:hAnsi="宋体" w:eastAsia="宋体" w:cs="宋体"/>
          <w:color w:val="auto"/>
          <w:highlight w:val="none"/>
        </w:rPr>
        <w:t>确定成交结果后，无正当理由放弃成交资格的；</w:t>
      </w:r>
    </w:p>
    <w:p w14:paraId="79BFFF6D">
      <w:pPr>
        <w:keepNext w:val="0"/>
        <w:keepLines w:val="0"/>
        <w:pageBreakBefore w:val="0"/>
        <w:widowControl/>
        <w:kinsoku/>
        <w:wordWrap/>
        <w:overflowPunct/>
        <w:topLinePunct w:val="0"/>
        <w:autoSpaceDE/>
        <w:bidi w:val="0"/>
        <w:adjustRightInd w:val="0"/>
        <w:snapToGrid w:val="0"/>
        <w:spacing w:line="400" w:lineRule="exact"/>
        <w:ind w:left="0" w:right="0" w:rightChars="0" w:firstLine="525" w:firstLineChars="25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 除因不可抗力或磋商文件认可的情形以外，成交供应商不与采购人签订合同的；</w:t>
      </w:r>
    </w:p>
    <w:p w14:paraId="36DD3442">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（5）供应商与采购人、其他供应商或者采购代理机构恶意串通的；</w:t>
      </w:r>
    </w:p>
    <w:p w14:paraId="136C47A1">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（6）磋商文件规定的其他情形。</w:t>
      </w:r>
    </w:p>
    <w:p w14:paraId="6ADC9BAC">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20.</w:t>
      </w:r>
      <w:r>
        <w:rPr>
          <w:rFonts w:hint="eastAsia" w:ascii="宋体" w:hAnsi="宋体" w:eastAsia="宋体" w:cs="宋体"/>
          <w:color w:val="auto"/>
          <w:szCs w:val="21"/>
          <w:highlight w:val="none"/>
        </w:rPr>
        <w:t xml:space="preserve"> </w:t>
      </w:r>
      <w:r>
        <w:rPr>
          <w:rFonts w:hint="eastAsia" w:ascii="宋体" w:hAnsi="宋体" w:eastAsia="宋体" w:cs="宋体"/>
          <w:b/>
          <w:color w:val="auto"/>
          <w:highlight w:val="none"/>
        </w:rPr>
        <w:t>响应文件</w:t>
      </w:r>
      <w:r>
        <w:rPr>
          <w:rFonts w:hint="eastAsia" w:ascii="宋体" w:hAnsi="宋体" w:eastAsia="宋体" w:cs="宋体"/>
          <w:b/>
          <w:color w:val="auto"/>
          <w:szCs w:val="21"/>
          <w:highlight w:val="none"/>
        </w:rPr>
        <w:t>有效期</w:t>
      </w:r>
    </w:p>
    <w:p w14:paraId="3BEB383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20.1响应文件</w:t>
      </w:r>
      <w:r>
        <w:rPr>
          <w:rFonts w:hint="eastAsia" w:ascii="宋体" w:hAnsi="宋体" w:eastAsia="宋体" w:cs="宋体"/>
          <w:color w:val="auto"/>
          <w:szCs w:val="21"/>
          <w:highlight w:val="none"/>
        </w:rPr>
        <w:t>有效期见</w:t>
      </w:r>
      <w:r>
        <w:rPr>
          <w:rFonts w:hint="eastAsia" w:ascii="宋体" w:hAnsi="宋体" w:eastAsia="宋体" w:cs="宋体"/>
          <w:b/>
          <w:color w:val="auto"/>
          <w:highlight w:val="none"/>
        </w:rPr>
        <w:t>磋商须知前附表</w:t>
      </w:r>
      <w:r>
        <w:rPr>
          <w:rFonts w:hint="eastAsia" w:ascii="宋体" w:hAnsi="宋体" w:eastAsia="宋体" w:cs="宋体"/>
          <w:color w:val="auto"/>
          <w:szCs w:val="21"/>
          <w:highlight w:val="none"/>
        </w:rPr>
        <w:t>，在此期间</w:t>
      </w:r>
      <w:r>
        <w:rPr>
          <w:rFonts w:hint="eastAsia" w:ascii="宋体" w:hAnsi="宋体" w:eastAsia="宋体" w:cs="宋体"/>
          <w:color w:val="auto"/>
          <w:highlight w:val="none"/>
        </w:rPr>
        <w:t>响应</w:t>
      </w:r>
      <w:r>
        <w:rPr>
          <w:rFonts w:hint="eastAsia" w:ascii="宋体" w:hAnsi="宋体" w:eastAsia="宋体" w:cs="宋体"/>
          <w:color w:val="auto"/>
          <w:szCs w:val="21"/>
          <w:highlight w:val="none"/>
        </w:rPr>
        <w:t>文件对供应商具有法律约束力，</w:t>
      </w:r>
      <w:r>
        <w:rPr>
          <w:rFonts w:hint="eastAsia" w:ascii="宋体" w:hAnsi="宋体" w:eastAsia="宋体" w:cs="宋体"/>
          <w:color w:val="auto"/>
          <w:highlight w:val="none"/>
        </w:rPr>
        <w:t>从</w:t>
      </w:r>
      <w:r>
        <w:rPr>
          <w:rFonts w:hint="eastAsia" w:ascii="宋体" w:hAnsi="宋体" w:eastAsia="宋体" w:cs="宋体"/>
          <w:color w:val="auto"/>
          <w:kern w:val="0"/>
          <w:szCs w:val="21"/>
          <w:highlight w:val="none"/>
        </w:rPr>
        <w:t>提交首次响应文件截止时间</w:t>
      </w:r>
      <w:r>
        <w:rPr>
          <w:rFonts w:hint="eastAsia" w:ascii="宋体" w:hAnsi="宋体" w:eastAsia="宋体" w:cs="宋体"/>
          <w:color w:val="auto"/>
          <w:highlight w:val="none"/>
        </w:rPr>
        <w:t>之日起计算。响应文件有效期不足的将被视为无效响应。</w:t>
      </w:r>
    </w:p>
    <w:p w14:paraId="7F7A511F">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21.响应文件的签署及规定</w:t>
      </w:r>
    </w:p>
    <w:p w14:paraId="1480F9FF">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21.1响应文件的正本和副本应装订成册（胶装），正本一份，副本份数见</w:t>
      </w:r>
      <w:r>
        <w:rPr>
          <w:rFonts w:hint="eastAsia" w:ascii="宋体" w:hAnsi="宋体" w:eastAsia="宋体" w:cs="宋体"/>
          <w:b/>
          <w:color w:val="auto"/>
          <w:highlight w:val="none"/>
        </w:rPr>
        <w:t>磋商须知前附表</w:t>
      </w:r>
      <w:r>
        <w:rPr>
          <w:rFonts w:hint="eastAsia" w:ascii="宋体" w:hAnsi="宋体" w:eastAsia="宋体" w:cs="宋体"/>
          <w:color w:val="auto"/>
          <w:highlight w:val="none"/>
        </w:rPr>
        <w:t>。正本和副本的封面上应标记“正本”或“副本”的字样，当正本和副本有差异时，以正本为准。</w:t>
      </w:r>
    </w:p>
    <w:p w14:paraId="7D2CBDF3">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21.2 响应文件正本和副本应按磋商文件要求签章处盖单位章和由法定代表人或其委托代理人签字；任何加行、涂改、增删，应有法定代表人或其委托代理人在旁边签字。否则，将导致响应文件无效。</w:t>
      </w:r>
    </w:p>
    <w:p w14:paraId="0DDED4DF">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21.3 在磋商过程中，供应商按磋商文件规定和磋商小组要求</w:t>
      </w:r>
      <w:r>
        <w:rPr>
          <w:rFonts w:hint="eastAsia" w:ascii="宋体" w:hAnsi="宋体" w:eastAsia="宋体" w:cs="宋体"/>
          <w:color w:val="auto"/>
          <w:kern w:val="0"/>
          <w:highlight w:val="none"/>
        </w:rPr>
        <w:t>提交的</w:t>
      </w:r>
      <w:r>
        <w:rPr>
          <w:rFonts w:hint="eastAsia" w:ascii="宋体" w:hAnsi="宋体" w:eastAsia="宋体" w:cs="宋体"/>
          <w:color w:val="auto"/>
          <w:highlight w:val="none"/>
        </w:rPr>
        <w:t>最后报价(或者</w:t>
      </w:r>
      <w:r>
        <w:rPr>
          <w:rFonts w:hint="eastAsia" w:ascii="宋体" w:hAnsi="宋体" w:eastAsia="宋体" w:cs="宋体"/>
          <w:bCs/>
          <w:color w:val="auto"/>
          <w:highlight w:val="none"/>
        </w:rPr>
        <w:t>重</w:t>
      </w:r>
      <w:r>
        <w:rPr>
          <w:rFonts w:hint="eastAsia" w:ascii="宋体" w:hAnsi="宋体" w:eastAsia="宋体" w:cs="宋体"/>
          <w:color w:val="auto"/>
          <w:kern w:val="0"/>
          <w:highlight w:val="none"/>
        </w:rPr>
        <w:t>新提交的响应文件和</w:t>
      </w:r>
      <w:r>
        <w:rPr>
          <w:rFonts w:hint="eastAsia" w:ascii="宋体" w:hAnsi="宋体" w:eastAsia="宋体" w:cs="宋体"/>
          <w:color w:val="auto"/>
          <w:highlight w:val="none"/>
        </w:rPr>
        <w:t>最后报价)，可打印或用不退色墨水书写，但需经法定代表人或其委托代理人签字，</w:t>
      </w:r>
      <w:r>
        <w:rPr>
          <w:rFonts w:hint="eastAsia" w:ascii="宋体" w:hAnsi="宋体" w:eastAsia="宋体" w:cs="宋体"/>
          <w:color w:val="auto"/>
          <w:kern w:val="0"/>
          <w:highlight w:val="none"/>
        </w:rPr>
        <w:t>或者加盖供应商单位章</w:t>
      </w:r>
      <w:r>
        <w:rPr>
          <w:rFonts w:hint="eastAsia" w:ascii="宋体" w:hAnsi="宋体" w:eastAsia="宋体" w:cs="宋体"/>
          <w:color w:val="auto"/>
          <w:highlight w:val="none"/>
        </w:rPr>
        <w:t>。否则，将导致响应文件无效。</w:t>
      </w:r>
    </w:p>
    <w:p w14:paraId="2B3EDE30">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四、响应文件的递交</w:t>
      </w:r>
    </w:p>
    <w:p w14:paraId="158E8B0D">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22.</w:t>
      </w:r>
      <w:r>
        <w:rPr>
          <w:rFonts w:hint="eastAsia" w:ascii="宋体" w:hAnsi="宋体" w:eastAsia="宋体" w:cs="宋体"/>
          <w:b/>
          <w:color w:val="auto"/>
          <w:szCs w:val="21"/>
          <w:highlight w:val="none"/>
        </w:rPr>
        <w:t>响应文件</w:t>
      </w:r>
      <w:r>
        <w:rPr>
          <w:rFonts w:hint="eastAsia" w:ascii="宋体" w:hAnsi="宋体" w:eastAsia="宋体" w:cs="宋体"/>
          <w:b/>
          <w:bCs/>
          <w:color w:val="auto"/>
          <w:szCs w:val="21"/>
          <w:highlight w:val="none"/>
        </w:rPr>
        <w:t>的密封和标记</w:t>
      </w:r>
    </w:p>
    <w:p w14:paraId="36039F71">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22.1响应文件应密封包装，加贴封条，并在封套的封口处盖供应商单位章或者由法定代表人或其委托代理人签字。</w:t>
      </w:r>
    </w:p>
    <w:p w14:paraId="1822A7D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22.2响应文件封套上应写明的内容见</w:t>
      </w:r>
      <w:r>
        <w:rPr>
          <w:rFonts w:hint="eastAsia" w:ascii="宋体" w:hAnsi="宋体" w:eastAsia="宋体" w:cs="宋体"/>
          <w:b/>
          <w:color w:val="auto"/>
          <w:szCs w:val="21"/>
          <w:highlight w:val="none"/>
        </w:rPr>
        <w:t>磋商须知前附表。</w:t>
      </w:r>
    </w:p>
    <w:p w14:paraId="78299755">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22.3响应文件如果未按上述规定密封和加写标记，采购人或采购代理机构将拒绝接收。</w:t>
      </w:r>
    </w:p>
    <w:p w14:paraId="5A41B522">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23.响应文件的</w:t>
      </w:r>
      <w:r>
        <w:rPr>
          <w:rFonts w:hint="eastAsia" w:ascii="宋体" w:hAnsi="宋体" w:eastAsia="宋体" w:cs="宋体"/>
          <w:b/>
          <w:color w:val="auto"/>
          <w:kern w:val="0"/>
          <w:szCs w:val="21"/>
          <w:highlight w:val="none"/>
          <w:lang w:val="zh-CN"/>
        </w:rPr>
        <w:t>补充、修改或者撤回</w:t>
      </w:r>
    </w:p>
    <w:p w14:paraId="458903EC">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23.1</w:t>
      </w:r>
      <w:r>
        <w:rPr>
          <w:rFonts w:hint="eastAsia" w:ascii="宋体" w:hAnsi="宋体" w:eastAsia="宋体" w:cs="宋体"/>
          <w:color w:val="auto"/>
          <w:kern w:val="0"/>
          <w:highlight w:val="none"/>
        </w:rPr>
        <w:t>供应商在提交首次响应文件截止时间前，可以对所提交的首次响应文件进行补充、修改或者撤回，并书面通知采购人、采购代理机构。</w:t>
      </w:r>
      <w:r>
        <w:rPr>
          <w:rFonts w:hint="eastAsia" w:ascii="宋体" w:hAnsi="宋体" w:eastAsia="宋体" w:cs="宋体"/>
          <w:color w:val="auto"/>
          <w:highlight w:val="none"/>
        </w:rPr>
        <w:t>该通知应有供应商法定代表人或其委托代理人签字。</w:t>
      </w:r>
    </w:p>
    <w:p w14:paraId="3673B203">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23.2</w:t>
      </w:r>
      <w:r>
        <w:rPr>
          <w:rFonts w:hint="eastAsia" w:ascii="宋体" w:hAnsi="宋体" w:eastAsia="宋体" w:cs="宋体"/>
          <w:color w:val="auto"/>
          <w:kern w:val="0"/>
          <w:highlight w:val="none"/>
          <w:lang w:val="zh-CN"/>
        </w:rPr>
        <w:t>补充、修改的内容与响应文件不一致时，以补充、修改的内容为准。</w:t>
      </w:r>
    </w:p>
    <w:p w14:paraId="259AD0A8">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24.响应文件的递交与接收</w:t>
      </w:r>
    </w:p>
    <w:p w14:paraId="038F980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 供应商应在</w:t>
      </w:r>
      <w:r>
        <w:rPr>
          <w:rFonts w:hint="eastAsia" w:ascii="宋体" w:hAnsi="宋体" w:eastAsia="宋体" w:cs="宋体"/>
          <w:color w:val="auto"/>
          <w:kern w:val="0"/>
          <w:szCs w:val="21"/>
          <w:highlight w:val="none"/>
        </w:rPr>
        <w:t>提交首次响应文件截止时间</w:t>
      </w:r>
      <w:r>
        <w:rPr>
          <w:rFonts w:hint="eastAsia" w:ascii="宋体" w:hAnsi="宋体" w:eastAsia="宋体" w:cs="宋体"/>
          <w:color w:val="auto"/>
          <w:szCs w:val="21"/>
          <w:highlight w:val="none"/>
        </w:rPr>
        <w:t>前，将响应文件送达</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中指定的地点。</w:t>
      </w:r>
      <w:r>
        <w:rPr>
          <w:rFonts w:hint="eastAsia" w:ascii="宋体" w:hAnsi="宋体" w:eastAsia="宋体" w:cs="宋体"/>
          <w:color w:val="auto"/>
          <w:kern w:val="0"/>
          <w:highlight w:val="none"/>
        </w:rPr>
        <w:t>在截止时间后送达的响应文件，采购人、采购代理机构或者磋商小组应当拒收。</w:t>
      </w:r>
    </w:p>
    <w:p w14:paraId="2C74B9D6">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24.2</w:t>
      </w:r>
      <w:r>
        <w:rPr>
          <w:rFonts w:hint="eastAsia" w:ascii="宋体" w:hAnsi="宋体" w:eastAsia="宋体" w:cs="宋体"/>
          <w:color w:val="auto"/>
          <w:kern w:val="0"/>
          <w:highlight w:val="none"/>
        </w:rPr>
        <w:t>在提交首次响应文件截止时间后，</w:t>
      </w:r>
      <w:r>
        <w:rPr>
          <w:rFonts w:hint="eastAsia" w:ascii="宋体" w:hAnsi="宋体" w:eastAsia="宋体" w:cs="宋体"/>
          <w:color w:val="auto"/>
          <w:highlight w:val="none"/>
        </w:rPr>
        <w:t>由</w:t>
      </w:r>
      <w:r>
        <w:rPr>
          <w:rFonts w:hint="eastAsia" w:ascii="宋体" w:hAnsi="宋体" w:eastAsia="宋体" w:cs="宋体"/>
          <w:bCs/>
          <w:color w:val="auto"/>
          <w:highlight w:val="none"/>
        </w:rPr>
        <w:t>供应商代表</w:t>
      </w:r>
      <w:r>
        <w:rPr>
          <w:rFonts w:hint="eastAsia" w:ascii="宋体" w:hAnsi="宋体" w:eastAsia="宋体" w:cs="宋体"/>
          <w:color w:val="auto"/>
          <w:highlight w:val="none"/>
        </w:rPr>
        <w:t>当场查验</w:t>
      </w:r>
      <w:r>
        <w:rPr>
          <w:rFonts w:hint="eastAsia" w:ascii="宋体" w:hAnsi="宋体" w:eastAsia="宋体" w:cs="宋体"/>
          <w:bCs/>
          <w:color w:val="auto"/>
          <w:highlight w:val="none"/>
        </w:rPr>
        <w:t>响应文件</w:t>
      </w:r>
      <w:r>
        <w:rPr>
          <w:rFonts w:hint="eastAsia" w:ascii="宋体" w:hAnsi="宋体" w:eastAsia="宋体" w:cs="宋体"/>
          <w:color w:val="auto"/>
          <w:highlight w:val="none"/>
        </w:rPr>
        <w:t>的密封状况，采购人或</w:t>
      </w:r>
      <w:r>
        <w:rPr>
          <w:rFonts w:hint="eastAsia" w:ascii="宋体" w:hAnsi="宋体" w:eastAsia="宋体" w:cs="宋体"/>
          <w:bCs/>
          <w:color w:val="auto"/>
          <w:highlight w:val="none"/>
        </w:rPr>
        <w:t>采购代理机构</w:t>
      </w:r>
      <w:r>
        <w:rPr>
          <w:rFonts w:hint="eastAsia" w:ascii="宋体" w:hAnsi="宋体" w:eastAsia="宋体" w:cs="宋体"/>
          <w:color w:val="auto"/>
          <w:highlight w:val="none"/>
        </w:rPr>
        <w:t>不当场拆封</w:t>
      </w:r>
      <w:r>
        <w:rPr>
          <w:rFonts w:hint="eastAsia" w:ascii="宋体" w:hAnsi="宋体" w:eastAsia="宋体" w:cs="宋体"/>
          <w:bCs/>
          <w:color w:val="auto"/>
          <w:highlight w:val="none"/>
        </w:rPr>
        <w:t>响应文件</w:t>
      </w:r>
      <w:r>
        <w:rPr>
          <w:rFonts w:hint="eastAsia" w:ascii="宋体" w:hAnsi="宋体" w:eastAsia="宋体" w:cs="宋体"/>
          <w:color w:val="auto"/>
          <w:highlight w:val="none"/>
        </w:rPr>
        <w:t>。</w:t>
      </w:r>
    </w:p>
    <w:p w14:paraId="4002EAE4">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五、响应文件的磋商与评审</w:t>
      </w:r>
    </w:p>
    <w:p w14:paraId="38B88ED9">
      <w:pPr>
        <w:keepNext w:val="0"/>
        <w:keepLines w:val="0"/>
        <w:pageBreakBefore w:val="0"/>
        <w:tabs>
          <w:tab w:val="left" w:pos="0"/>
        </w:tabs>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25.磋商程序</w:t>
      </w:r>
    </w:p>
    <w:p w14:paraId="3E53EED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25.1磋商程序：响应文件审查、磋商（包括澄清）、响应文件评审、</w:t>
      </w:r>
      <w:r>
        <w:rPr>
          <w:rFonts w:hint="eastAsia" w:ascii="宋体" w:hAnsi="宋体" w:eastAsia="宋体" w:cs="宋体"/>
          <w:bCs/>
          <w:color w:val="auto"/>
          <w:szCs w:val="21"/>
          <w:highlight w:val="none"/>
        </w:rPr>
        <w:t>提出成交供应商。其中，</w:t>
      </w:r>
      <w:r>
        <w:rPr>
          <w:rFonts w:hint="eastAsia" w:ascii="宋体" w:hAnsi="宋体" w:eastAsia="宋体" w:cs="宋体"/>
          <w:color w:val="auto"/>
          <w:kern w:val="0"/>
          <w:szCs w:val="21"/>
          <w:highlight w:val="none"/>
        </w:rPr>
        <w:t>磋商按</w:t>
      </w:r>
      <w:r>
        <w:rPr>
          <w:rFonts w:hint="eastAsia" w:ascii="宋体" w:hAnsi="宋体" w:eastAsia="宋体" w:cs="宋体"/>
          <w:color w:val="auto"/>
          <w:szCs w:val="21"/>
          <w:highlight w:val="none"/>
        </w:rPr>
        <w:t>本章</w:t>
      </w:r>
      <w:r>
        <w:rPr>
          <w:rFonts w:hint="eastAsia" w:ascii="宋体" w:hAnsi="宋体" w:eastAsia="宋体" w:cs="宋体"/>
          <w:color w:val="auto"/>
          <w:highlight w:val="none"/>
        </w:rPr>
        <w:t>第30.1</w:t>
      </w:r>
      <w:r>
        <w:rPr>
          <w:rFonts w:hint="eastAsia" w:ascii="宋体" w:hAnsi="宋体" w:eastAsia="宋体" w:cs="宋体"/>
          <w:color w:val="auto"/>
          <w:kern w:val="0"/>
          <w:szCs w:val="21"/>
          <w:highlight w:val="none"/>
          <w:lang w:val="zh-CN"/>
        </w:rPr>
        <w:t>款或者</w:t>
      </w:r>
      <w:r>
        <w:rPr>
          <w:rFonts w:hint="eastAsia" w:ascii="宋体" w:hAnsi="宋体" w:eastAsia="宋体" w:cs="宋体"/>
          <w:color w:val="auto"/>
          <w:highlight w:val="none"/>
        </w:rPr>
        <w:t>第30.2</w:t>
      </w:r>
      <w:r>
        <w:rPr>
          <w:rFonts w:hint="eastAsia" w:ascii="宋体" w:hAnsi="宋体" w:eastAsia="宋体" w:cs="宋体"/>
          <w:color w:val="auto"/>
          <w:kern w:val="0"/>
          <w:szCs w:val="21"/>
          <w:highlight w:val="none"/>
          <w:lang w:val="zh-CN"/>
        </w:rPr>
        <w:t>款</w:t>
      </w:r>
      <w:r>
        <w:rPr>
          <w:rFonts w:hint="eastAsia" w:ascii="宋体" w:hAnsi="宋体" w:eastAsia="宋体" w:cs="宋体"/>
          <w:color w:val="auto"/>
          <w:highlight w:val="none"/>
        </w:rPr>
        <w:t>情形</w:t>
      </w:r>
      <w:r>
        <w:rPr>
          <w:rFonts w:hint="eastAsia" w:ascii="宋体" w:hAnsi="宋体" w:eastAsia="宋体" w:cs="宋体"/>
          <w:bCs/>
          <w:color w:val="auto"/>
          <w:szCs w:val="21"/>
          <w:highlight w:val="none"/>
        </w:rPr>
        <w:t>进行。</w:t>
      </w:r>
    </w:p>
    <w:p w14:paraId="5498E66F">
      <w:pPr>
        <w:keepNext w:val="0"/>
        <w:keepLines w:val="0"/>
        <w:pageBreakBefore w:val="0"/>
        <w:widowControl/>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color w:val="auto"/>
          <w:szCs w:val="21"/>
          <w:highlight w:val="none"/>
        </w:rPr>
      </w:pPr>
      <w:r>
        <w:rPr>
          <w:rFonts w:hint="eastAsia" w:ascii="宋体" w:hAnsi="宋体" w:eastAsia="宋体" w:cs="宋体"/>
          <w:b/>
          <w:color w:val="auto"/>
          <w:kern w:val="0"/>
          <w:szCs w:val="21"/>
          <w:highlight w:val="none"/>
        </w:rPr>
        <w:t>26.</w:t>
      </w:r>
      <w:r>
        <w:rPr>
          <w:rFonts w:hint="eastAsia" w:ascii="宋体" w:hAnsi="宋体" w:eastAsia="宋体" w:cs="宋体"/>
          <w:color w:val="auto"/>
          <w:highlight w:val="none"/>
        </w:rPr>
        <w:t xml:space="preserve"> </w:t>
      </w:r>
      <w:r>
        <w:rPr>
          <w:rFonts w:hint="eastAsia" w:ascii="宋体" w:hAnsi="宋体" w:eastAsia="宋体" w:cs="宋体"/>
          <w:b/>
          <w:color w:val="auto"/>
          <w:kern w:val="0"/>
          <w:szCs w:val="21"/>
          <w:highlight w:val="none"/>
        </w:rPr>
        <w:t>响应文件审查</w:t>
      </w:r>
      <w:r>
        <w:rPr>
          <w:rFonts w:hint="eastAsia" w:ascii="宋体" w:hAnsi="宋体" w:eastAsia="宋体" w:cs="宋体"/>
          <w:b/>
          <w:color w:val="auto"/>
          <w:szCs w:val="21"/>
          <w:highlight w:val="none"/>
        </w:rPr>
        <w:t xml:space="preserve"> </w:t>
      </w:r>
    </w:p>
    <w:p w14:paraId="74E2E50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 资格性审查：根据本章第3.1项规定的供应商资格条件要求，对</w:t>
      </w:r>
      <w:r>
        <w:rPr>
          <w:rFonts w:hint="eastAsia" w:ascii="宋体" w:hAnsi="宋体" w:eastAsia="宋体" w:cs="宋体"/>
          <w:color w:val="auto"/>
          <w:highlight w:val="none"/>
        </w:rPr>
        <w:t>响应</w:t>
      </w:r>
      <w:r>
        <w:rPr>
          <w:rFonts w:hint="eastAsia" w:ascii="宋体" w:hAnsi="宋体" w:eastAsia="宋体" w:cs="宋体"/>
          <w:color w:val="auto"/>
          <w:szCs w:val="21"/>
          <w:highlight w:val="none"/>
        </w:rPr>
        <w:t>文件的资格证明等进行审查，以确定供应商是否具备磋商资格条件。</w:t>
      </w:r>
    </w:p>
    <w:p w14:paraId="5F889AC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26.2符合性审查: 对响应文件(包括首次提交的响应文件、重新提交的响应文件)的有效性、完整性和响应程度进行审查，以确定是否对磋商文件的实质性要求作出响应。</w:t>
      </w:r>
    </w:p>
    <w:p w14:paraId="0D6036C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26.3响应文件审查结束后，磋商小组所有成员集中与单一供应商分别进行磋商，并给予所有参加磋商的供应商平等的磋商机会。供应商应派其法定代表人或委托代理人参加磋商。</w:t>
      </w:r>
    </w:p>
    <w:p w14:paraId="7786F03C">
      <w:pPr>
        <w:pStyle w:val="23"/>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color w:val="auto"/>
          <w:kern w:val="0"/>
          <w:highlight w:val="none"/>
        </w:rPr>
      </w:pPr>
      <w:r>
        <w:rPr>
          <w:rFonts w:hint="eastAsia" w:ascii="宋体" w:hAnsi="宋体" w:eastAsia="宋体" w:cs="宋体"/>
          <w:b/>
          <w:color w:val="auto"/>
          <w:kern w:val="0"/>
          <w:highlight w:val="none"/>
        </w:rPr>
        <w:t>27.实质性响应</w:t>
      </w:r>
    </w:p>
    <w:p w14:paraId="4559A6D9">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highlight w:val="none"/>
          <w:u w:val="single"/>
        </w:rPr>
      </w:pPr>
      <w:r>
        <w:rPr>
          <w:rFonts w:hint="eastAsia" w:ascii="宋体" w:hAnsi="宋体" w:eastAsia="宋体" w:cs="宋体"/>
          <w:color w:val="auto"/>
          <w:kern w:val="0"/>
          <w:highlight w:val="none"/>
        </w:rPr>
        <w:t>27.1</w:t>
      </w:r>
      <w:r>
        <w:rPr>
          <w:rFonts w:hint="eastAsia" w:ascii="宋体" w:hAnsi="宋体" w:eastAsia="宋体" w:cs="宋体"/>
          <w:color w:val="auto"/>
          <w:highlight w:val="none"/>
        </w:rPr>
        <w:t>实质性响应是指响应文件(包括首次响应文件、重新提交的响应文件)与磋商文件要求的所有条款、条件和规格相符，没有偏离。偏离指不满足、或不响应磋商文件的要求。</w:t>
      </w:r>
    </w:p>
    <w:p w14:paraId="70DE3474">
      <w:pPr>
        <w:keepNext w:val="0"/>
        <w:keepLines w:val="0"/>
        <w:pageBreakBefore w:val="0"/>
        <w:tabs>
          <w:tab w:val="left" w:pos="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w:t>
      </w:r>
      <w:r>
        <w:rPr>
          <w:rFonts w:hint="eastAsia" w:ascii="宋体" w:hAnsi="宋体" w:eastAsia="宋体" w:cs="宋体"/>
          <w:color w:val="auto"/>
          <w:highlight w:val="none"/>
        </w:rPr>
        <w:t>响应文件是否实质性响应磋商文件要求由磋商小组依据磋商文件规定认定。</w:t>
      </w:r>
      <w:r>
        <w:rPr>
          <w:rFonts w:hint="eastAsia" w:ascii="宋体" w:hAnsi="宋体" w:eastAsia="宋体" w:cs="宋体"/>
          <w:color w:val="auto"/>
          <w:kern w:val="0"/>
          <w:szCs w:val="21"/>
          <w:highlight w:val="none"/>
        </w:rPr>
        <w:t>磋商小组</w:t>
      </w:r>
      <w:r>
        <w:rPr>
          <w:rFonts w:hint="eastAsia" w:ascii="宋体" w:hAnsi="宋体" w:eastAsia="宋体" w:cs="宋体"/>
          <w:color w:val="auto"/>
          <w:szCs w:val="21"/>
          <w:highlight w:val="none"/>
        </w:rPr>
        <w:t>决定</w:t>
      </w:r>
      <w:r>
        <w:rPr>
          <w:rFonts w:hint="eastAsia" w:ascii="宋体" w:hAnsi="宋体" w:eastAsia="宋体" w:cs="宋体"/>
          <w:color w:val="auto"/>
          <w:highlight w:val="none"/>
        </w:rPr>
        <w:t>响应文件</w:t>
      </w:r>
      <w:r>
        <w:rPr>
          <w:rFonts w:hint="eastAsia" w:ascii="宋体" w:hAnsi="宋体" w:eastAsia="宋体" w:cs="宋体"/>
          <w:color w:val="auto"/>
          <w:szCs w:val="21"/>
          <w:highlight w:val="none"/>
        </w:rPr>
        <w:t>的响应性只根据</w:t>
      </w:r>
      <w:r>
        <w:rPr>
          <w:rFonts w:hint="eastAsia" w:ascii="宋体" w:hAnsi="宋体" w:eastAsia="宋体" w:cs="宋体"/>
          <w:color w:val="auto"/>
          <w:highlight w:val="none"/>
        </w:rPr>
        <w:t>响应文件</w:t>
      </w:r>
      <w:r>
        <w:rPr>
          <w:rFonts w:hint="eastAsia" w:ascii="宋体" w:hAnsi="宋体" w:eastAsia="宋体" w:cs="宋体"/>
          <w:color w:val="auto"/>
          <w:szCs w:val="21"/>
          <w:highlight w:val="none"/>
        </w:rPr>
        <w:t>本身的真实无误的内容，而不依据外部的证据。</w:t>
      </w:r>
    </w:p>
    <w:p w14:paraId="5115ED8C">
      <w:pPr>
        <w:pStyle w:val="23"/>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color w:val="auto"/>
          <w:kern w:val="0"/>
          <w:highlight w:val="none"/>
        </w:rPr>
      </w:pPr>
      <w:r>
        <w:rPr>
          <w:rFonts w:hint="eastAsia" w:ascii="宋体" w:hAnsi="宋体" w:eastAsia="宋体" w:cs="宋体"/>
          <w:b/>
          <w:color w:val="auto"/>
          <w:kern w:val="0"/>
          <w:highlight w:val="none"/>
        </w:rPr>
        <w:t xml:space="preserve">28.无效响应 </w:t>
      </w:r>
    </w:p>
    <w:p w14:paraId="4D4C58E2">
      <w:pPr>
        <w:pStyle w:val="23"/>
        <w:keepNext w:val="0"/>
        <w:keepLines w:val="0"/>
        <w:pageBreakBefore w:val="0"/>
        <w:kinsoku/>
        <w:wordWrap/>
        <w:overflowPunct/>
        <w:topLinePunct w:val="0"/>
        <w:autoSpaceDE/>
        <w:bidi w:val="0"/>
        <w:adjustRightInd w:val="0"/>
        <w:snapToGrid w:val="0"/>
        <w:spacing w:line="400" w:lineRule="exact"/>
        <w:ind w:left="0" w:right="0" w:rightChars="0" w:firstLine="411" w:firstLineChars="196"/>
        <w:textAlignment w:val="auto"/>
        <w:rPr>
          <w:rFonts w:hint="eastAsia" w:ascii="宋体" w:hAnsi="宋体" w:eastAsia="宋体" w:cs="宋体"/>
          <w:b/>
          <w:color w:val="auto"/>
          <w:kern w:val="0"/>
          <w:highlight w:val="none"/>
        </w:rPr>
      </w:pPr>
      <w:r>
        <w:rPr>
          <w:rFonts w:hint="eastAsia" w:ascii="宋体" w:hAnsi="宋体" w:eastAsia="宋体" w:cs="宋体"/>
          <w:color w:val="auto"/>
          <w:kern w:val="0"/>
          <w:highlight w:val="none"/>
        </w:rPr>
        <w:t>28.1</w:t>
      </w:r>
      <w:r>
        <w:rPr>
          <w:rFonts w:hint="eastAsia" w:ascii="宋体" w:hAnsi="宋体" w:eastAsia="宋体" w:cs="宋体"/>
          <w:color w:val="auto"/>
          <w:highlight w:val="none"/>
        </w:rPr>
        <w:t>磋商小组在对资格性和符合性进行审查时，有下列情况之一的，属无效响应，</w:t>
      </w:r>
      <w:r>
        <w:rPr>
          <w:rFonts w:hint="eastAsia" w:ascii="宋体" w:hAnsi="宋体" w:eastAsia="宋体" w:cs="宋体"/>
          <w:color w:val="auto"/>
          <w:kern w:val="0"/>
          <w:highlight w:val="none"/>
        </w:rPr>
        <w:t>磋商小组应当告知有关供应商</w:t>
      </w:r>
      <w:r>
        <w:rPr>
          <w:rFonts w:hint="eastAsia" w:ascii="宋体" w:hAnsi="宋体" w:eastAsia="宋体" w:cs="宋体"/>
          <w:color w:val="auto"/>
          <w:highlight w:val="none"/>
        </w:rPr>
        <w:t>：</w:t>
      </w:r>
    </w:p>
    <w:p w14:paraId="59BF8A4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（1）供应商不具备本章第3.1款规定的供应商资格条件要求，或存在本章第3.3款情形的；</w:t>
      </w:r>
    </w:p>
    <w:p w14:paraId="18F6E25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（2）联合体不符合本章第3.2款规定的；</w:t>
      </w:r>
    </w:p>
    <w:p w14:paraId="764F10E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（3）应交未交磋商保证金或金额不足、磋商保证金缴纳形式不符合磋商文件要求的；</w:t>
      </w:r>
    </w:p>
    <w:p w14:paraId="1B7B3DD4">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（4）响应文件未按照磋商文件要求签署、盖章的；</w:t>
      </w:r>
    </w:p>
    <w:p w14:paraId="082861E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（4）响应文件不满足本章第27.1款规定的实质性要求的；</w:t>
      </w:r>
    </w:p>
    <w:p w14:paraId="1199D43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（5）报价超过采购项目预算的；</w:t>
      </w:r>
    </w:p>
    <w:p w14:paraId="15F2AEF7">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（6）响应文件有效期不足的；</w:t>
      </w:r>
    </w:p>
    <w:p w14:paraId="3311944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（7）响应文件不符合法律、规章、规范性文件和磋商文件规定及要求的。</w:t>
      </w:r>
    </w:p>
    <w:p w14:paraId="771D8C8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 xml:space="preserve">28.2 采购人应当在采购文件中明确，政府采购评审中出现下列情形之一的，评审委员会应当启动异常低价投标（响应）审查程序： </w:t>
      </w:r>
    </w:p>
    <w:p w14:paraId="3251808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 xml:space="preserve">（1）投标（响应）报价低于全部通过符合性审查供应商投标（响应）报价平均值65%的，即投标（响应）报价&lt;全部通过符合性审查供应商投标（响应）报价平均值×65%； </w:t>
      </w:r>
    </w:p>
    <w:p w14:paraId="7FA1B0B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 xml:space="preserve">（2）投标（响应）报价低于通过符合性审查的次低报价供应商投标（响应）报价65%的，即投标（响应）报价&lt;通过符合性审查的次低报价供应商投标（响应）报价×65%； </w:t>
      </w:r>
    </w:p>
    <w:p w14:paraId="30184DF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 xml:space="preserve">（3）投标（响应）报价低于采购项目最高限价65%的，即投标（响应）报价&lt;采购项目最高限价×65%； </w:t>
      </w:r>
    </w:p>
    <w:p w14:paraId="650BDD9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 xml:space="preserve">（4）评审委员会基于专业判断，认为供应商报价过低，有可能影响产品质量或者不能诚信履约的其他情形。 </w:t>
      </w:r>
    </w:p>
    <w:p w14:paraId="2A3BF1C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 xml:space="preserve">采购人可以结合具体项目实际情况，提高上述第1项至第3项中启动异常低价投标（响应）审查的数值标准，但是最高不得超过65%。 </w:t>
      </w:r>
    </w:p>
    <w:p w14:paraId="2F8BD796">
      <w:pPr>
        <w:keepNext w:val="0"/>
        <w:keepLines w:val="0"/>
        <w:pageBreakBefore w:val="0"/>
        <w:kinsoku/>
        <w:wordWrap/>
        <w:overflowPunct/>
        <w:topLinePunct w:val="0"/>
        <w:autoSpaceDE/>
        <w:bidi w:val="0"/>
        <w:adjustRightInd w:val="0"/>
        <w:snapToGrid w:val="0"/>
        <w:spacing w:line="400" w:lineRule="exact"/>
        <w:ind w:right="0" w:rightChars="0" w:firstLine="420" w:firstLineChars="200"/>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相关法律法规对供应商报价有规定的，从其规定。</w:t>
      </w:r>
    </w:p>
    <w:p w14:paraId="6035743D">
      <w:pPr>
        <w:keepNext w:val="0"/>
        <w:keepLines w:val="0"/>
        <w:pageBreakBefore w:val="0"/>
        <w:kinsoku/>
        <w:wordWrap/>
        <w:overflowPunct/>
        <w:topLinePunct w:val="0"/>
        <w:autoSpaceDE/>
        <w:bidi w:val="0"/>
        <w:adjustRightInd w:val="0"/>
        <w:snapToGrid w:val="0"/>
        <w:spacing w:line="400" w:lineRule="exact"/>
        <w:ind w:right="0" w:rightChars="0"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1C487A6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03ABC166">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0E435B96">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异常低价投标（响应）审查的启动原因、审查意见和审查结果应当在评审报告中记录，并随供应商提供的相关书面说明及证明材料，以及评审委员会有关互联网浏览、查询历史一并归档。</w:t>
      </w:r>
    </w:p>
    <w:p w14:paraId="3E213B97">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29.澄清</w:t>
      </w:r>
    </w:p>
    <w:p w14:paraId="5C90D176">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102912A5">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4911ED37">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30.磋商</w:t>
      </w:r>
    </w:p>
    <w:p w14:paraId="0FA81E70">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rPr>
        <w:t>30.1</w:t>
      </w:r>
      <w:r>
        <w:rPr>
          <w:rFonts w:hint="eastAsia" w:ascii="宋体" w:hAnsi="宋体" w:eastAsia="宋体" w:cs="宋体"/>
          <w:color w:val="auto"/>
          <w:highlight w:val="none"/>
        </w:rPr>
        <w:t>本章第10.2项</w:t>
      </w:r>
      <w:r>
        <w:rPr>
          <w:rFonts w:hint="eastAsia" w:ascii="宋体" w:hAnsi="宋体" w:eastAsia="宋体" w:cs="宋体"/>
          <w:color w:val="auto"/>
          <w:kern w:val="0"/>
          <w:szCs w:val="21"/>
          <w:highlight w:val="none"/>
        </w:rPr>
        <w:t>未明确磋商文件实质性变动内容的，或者磋商文件明确了可能发生实质性变动内容，但在磋商过程中，</w:t>
      </w:r>
      <w:r>
        <w:rPr>
          <w:rFonts w:hint="eastAsia" w:ascii="宋体" w:hAnsi="宋体" w:eastAsia="宋体" w:cs="宋体"/>
          <w:bCs/>
          <w:color w:val="auto"/>
          <w:szCs w:val="21"/>
          <w:highlight w:val="none"/>
        </w:rPr>
        <w:t>磋商小组</w:t>
      </w:r>
      <w:r>
        <w:rPr>
          <w:rFonts w:hint="eastAsia" w:ascii="宋体" w:hAnsi="宋体" w:eastAsia="宋体" w:cs="宋体"/>
          <w:color w:val="auto"/>
          <w:kern w:val="0"/>
          <w:szCs w:val="21"/>
          <w:highlight w:val="none"/>
        </w:rPr>
        <w:t>根据磋商情况</w:t>
      </w:r>
      <w:r>
        <w:rPr>
          <w:rFonts w:hint="eastAsia" w:ascii="宋体" w:hAnsi="宋体" w:eastAsia="宋体" w:cs="宋体"/>
          <w:bCs/>
          <w:color w:val="auto"/>
          <w:szCs w:val="21"/>
          <w:highlight w:val="none"/>
        </w:rPr>
        <w:t>认为</w:t>
      </w:r>
      <w:r>
        <w:rPr>
          <w:rFonts w:hint="eastAsia" w:ascii="宋体" w:hAnsi="宋体" w:eastAsia="宋体" w:cs="宋体"/>
          <w:color w:val="auto"/>
          <w:kern w:val="0"/>
          <w:szCs w:val="21"/>
          <w:highlight w:val="none"/>
        </w:rPr>
        <w:t>磋商文件无需发生实质性变动的，磋商小组应当直接与响应文件审查合格的供应商就价格组织多轮磋商。</w:t>
      </w:r>
    </w:p>
    <w:p w14:paraId="12ADFBCB">
      <w:pPr>
        <w:keepNext w:val="0"/>
        <w:keepLines w:val="0"/>
        <w:pageBreakBefore w:val="0"/>
        <w:widowControl/>
        <w:tabs>
          <w:tab w:val="left" w:pos="1080"/>
          <w:tab w:val="left" w:pos="1260"/>
        </w:tabs>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（1）磋商结束后，磋商小组应当要求所有继续参加磋商的供应商在磋商小组规定时间内提交最后报价。</w:t>
      </w:r>
    </w:p>
    <w:p w14:paraId="4E2AC45A">
      <w:pPr>
        <w:keepNext w:val="0"/>
        <w:keepLines w:val="0"/>
        <w:pageBreakBefore w:val="0"/>
        <w:widowControl/>
        <w:tabs>
          <w:tab w:val="left" w:pos="1080"/>
          <w:tab w:val="left" w:pos="1260"/>
        </w:tabs>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（2）磋商文件明确可能发生实质性变动，但在磋商过程中</w:t>
      </w:r>
      <w:r>
        <w:rPr>
          <w:rFonts w:hint="eastAsia" w:ascii="宋体" w:hAnsi="宋体" w:eastAsia="宋体" w:cs="宋体"/>
          <w:bCs/>
          <w:color w:val="auto"/>
          <w:szCs w:val="21"/>
          <w:highlight w:val="none"/>
        </w:rPr>
        <w:t>磋商小组</w:t>
      </w:r>
      <w:r>
        <w:rPr>
          <w:rFonts w:hint="eastAsia" w:ascii="宋体" w:hAnsi="宋体" w:eastAsia="宋体" w:cs="宋体"/>
          <w:color w:val="auto"/>
          <w:kern w:val="0"/>
          <w:szCs w:val="21"/>
          <w:highlight w:val="none"/>
        </w:rPr>
        <w:t>根据磋商情况</w:t>
      </w:r>
      <w:r>
        <w:rPr>
          <w:rFonts w:hint="eastAsia" w:ascii="宋体" w:hAnsi="宋体" w:eastAsia="宋体" w:cs="宋体"/>
          <w:bCs/>
          <w:color w:val="auto"/>
          <w:szCs w:val="21"/>
          <w:highlight w:val="none"/>
        </w:rPr>
        <w:t>认为</w:t>
      </w:r>
      <w:r>
        <w:rPr>
          <w:rFonts w:hint="eastAsia" w:ascii="宋体" w:hAnsi="宋体" w:eastAsia="宋体" w:cs="宋体"/>
          <w:color w:val="auto"/>
          <w:kern w:val="0"/>
          <w:szCs w:val="21"/>
          <w:highlight w:val="none"/>
        </w:rPr>
        <w:t>磋商文件无需发生实质性变动的，磋商小组不另行通知。</w:t>
      </w:r>
    </w:p>
    <w:p w14:paraId="62326202">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30.2</w:t>
      </w:r>
      <w:r>
        <w:rPr>
          <w:rFonts w:hint="eastAsia" w:ascii="宋体" w:hAnsi="宋体" w:eastAsia="宋体" w:cs="宋体"/>
          <w:color w:val="auto"/>
          <w:highlight w:val="none"/>
        </w:rPr>
        <w:t>本章第10.2</w:t>
      </w:r>
      <w:r>
        <w:rPr>
          <w:rFonts w:hint="eastAsia" w:ascii="宋体" w:hAnsi="宋体" w:eastAsia="宋体" w:cs="宋体"/>
          <w:color w:val="auto"/>
          <w:kern w:val="0"/>
          <w:szCs w:val="21"/>
          <w:highlight w:val="none"/>
          <w:lang w:val="zh-CN"/>
        </w:rPr>
        <w:t>款</w:t>
      </w:r>
      <w:r>
        <w:rPr>
          <w:rFonts w:hint="eastAsia" w:ascii="宋体" w:hAnsi="宋体" w:eastAsia="宋体" w:cs="宋体"/>
          <w:color w:val="auto"/>
          <w:kern w:val="0"/>
          <w:szCs w:val="21"/>
          <w:highlight w:val="none"/>
        </w:rPr>
        <w:t>明确磋商文件实质性变动内容的，</w:t>
      </w:r>
      <w:r>
        <w:rPr>
          <w:rFonts w:hint="eastAsia" w:ascii="宋体" w:hAnsi="宋体" w:eastAsia="宋体" w:cs="宋体"/>
          <w:bCs/>
          <w:color w:val="auto"/>
          <w:szCs w:val="21"/>
          <w:highlight w:val="none"/>
        </w:rPr>
        <w:t>磋商小组</w:t>
      </w:r>
      <w:r>
        <w:rPr>
          <w:rFonts w:hint="eastAsia" w:ascii="宋体" w:hAnsi="宋体" w:eastAsia="宋体" w:cs="宋体"/>
          <w:color w:val="auto"/>
          <w:kern w:val="0"/>
          <w:szCs w:val="21"/>
          <w:highlight w:val="none"/>
        </w:rPr>
        <w:t>可以组织多轮磋商。</w:t>
      </w:r>
      <w:r>
        <w:rPr>
          <w:rFonts w:hint="eastAsia" w:ascii="宋体" w:hAnsi="宋体" w:eastAsia="宋体" w:cs="宋体"/>
          <w:bCs/>
          <w:color w:val="auto"/>
          <w:szCs w:val="21"/>
          <w:highlight w:val="none"/>
        </w:rPr>
        <w:t>在每一轮磋商中，磋商小组</w:t>
      </w:r>
      <w:r>
        <w:rPr>
          <w:rFonts w:hint="eastAsia" w:ascii="宋体" w:hAnsi="宋体" w:eastAsia="宋体" w:cs="宋体"/>
          <w:color w:val="auto"/>
          <w:kern w:val="0"/>
          <w:szCs w:val="21"/>
          <w:highlight w:val="none"/>
        </w:rPr>
        <w:t>可以根据磋商文件规定和磋商情况，</w:t>
      </w:r>
      <w:r>
        <w:rPr>
          <w:rFonts w:hint="eastAsia" w:ascii="宋体" w:hAnsi="宋体" w:eastAsia="宋体" w:cs="宋体"/>
          <w:bCs/>
          <w:color w:val="auto"/>
          <w:szCs w:val="21"/>
          <w:highlight w:val="none"/>
        </w:rPr>
        <w:t>对磋商文件的</w:t>
      </w:r>
      <w:r>
        <w:rPr>
          <w:rFonts w:hint="eastAsia" w:ascii="宋体" w:hAnsi="宋体" w:eastAsia="宋体" w:cs="宋体"/>
          <w:color w:val="auto"/>
          <w:kern w:val="0"/>
          <w:szCs w:val="21"/>
          <w:highlight w:val="none"/>
        </w:rPr>
        <w:t>采购需求中的技术、服务要求以及合同草案条款</w:t>
      </w:r>
      <w:r>
        <w:rPr>
          <w:rFonts w:hint="eastAsia" w:ascii="宋体" w:hAnsi="宋体" w:eastAsia="宋体" w:cs="宋体"/>
          <w:bCs/>
          <w:color w:val="auto"/>
          <w:szCs w:val="21"/>
          <w:highlight w:val="none"/>
        </w:rPr>
        <w:t>作实质性变动(磋商文件的实质性变动内容为磋商文件的组成部分)，并以书面形式要求</w:t>
      </w:r>
      <w:r>
        <w:rPr>
          <w:rFonts w:hint="eastAsia" w:ascii="宋体" w:hAnsi="宋体" w:eastAsia="宋体" w:cs="宋体"/>
          <w:color w:val="auto"/>
          <w:kern w:val="0"/>
          <w:szCs w:val="21"/>
          <w:highlight w:val="none"/>
        </w:rPr>
        <w:t>响应文件审查合格</w:t>
      </w:r>
      <w:r>
        <w:rPr>
          <w:rFonts w:hint="eastAsia" w:ascii="宋体" w:hAnsi="宋体" w:eastAsia="宋体" w:cs="宋体"/>
          <w:bCs/>
          <w:color w:val="auto"/>
          <w:szCs w:val="21"/>
          <w:highlight w:val="none"/>
        </w:rPr>
        <w:t>的供应商，在规定的</w:t>
      </w:r>
      <w:r>
        <w:rPr>
          <w:rFonts w:hint="eastAsia" w:ascii="宋体" w:hAnsi="宋体" w:eastAsia="宋体" w:cs="宋体"/>
          <w:color w:val="auto"/>
          <w:kern w:val="0"/>
          <w:szCs w:val="21"/>
          <w:highlight w:val="none"/>
        </w:rPr>
        <w:t>截止时间前</w:t>
      </w:r>
      <w:r>
        <w:rPr>
          <w:rFonts w:hint="eastAsia" w:ascii="宋体" w:hAnsi="宋体" w:eastAsia="宋体" w:cs="宋体"/>
          <w:bCs/>
          <w:color w:val="auto"/>
          <w:szCs w:val="21"/>
          <w:highlight w:val="none"/>
        </w:rPr>
        <w:t>重</w:t>
      </w:r>
      <w:r>
        <w:rPr>
          <w:rFonts w:hint="eastAsia" w:ascii="宋体" w:hAnsi="宋体" w:eastAsia="宋体" w:cs="宋体"/>
          <w:color w:val="auto"/>
          <w:kern w:val="0"/>
          <w:szCs w:val="21"/>
          <w:highlight w:val="none"/>
        </w:rPr>
        <w:t>新提交响应文件</w:t>
      </w:r>
      <w:r>
        <w:rPr>
          <w:rFonts w:hint="eastAsia" w:ascii="宋体" w:hAnsi="宋体" w:eastAsia="宋体" w:cs="宋体"/>
          <w:bCs/>
          <w:color w:val="auto"/>
          <w:szCs w:val="21"/>
          <w:highlight w:val="none"/>
        </w:rPr>
        <w:t>。</w:t>
      </w:r>
      <w:r>
        <w:rPr>
          <w:rFonts w:hint="eastAsia" w:ascii="宋体" w:hAnsi="宋体" w:eastAsia="宋体" w:cs="宋体"/>
          <w:color w:val="auto"/>
          <w:kern w:val="0"/>
          <w:szCs w:val="21"/>
          <w:highlight w:val="none"/>
        </w:rPr>
        <w:t>磋商小组应当</w:t>
      </w:r>
      <w:r>
        <w:rPr>
          <w:rFonts w:hint="eastAsia" w:ascii="宋体" w:hAnsi="宋体" w:eastAsia="宋体" w:cs="宋体"/>
          <w:color w:val="auto"/>
          <w:szCs w:val="21"/>
          <w:highlight w:val="none"/>
        </w:rPr>
        <w:t>根据本章第26.2</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规定</w:t>
      </w:r>
      <w:r>
        <w:rPr>
          <w:rFonts w:hint="eastAsia" w:ascii="宋体" w:hAnsi="宋体" w:eastAsia="宋体" w:cs="宋体"/>
          <w:color w:val="auto"/>
          <w:kern w:val="0"/>
          <w:szCs w:val="21"/>
          <w:highlight w:val="none"/>
        </w:rPr>
        <w:t>对供应商重新提交的响应文件进行审查。供应商重新提交的响应文件审查不合格的，不得进入下一轮磋商，也不得要求提交最后报价。</w:t>
      </w:r>
    </w:p>
    <w:p w14:paraId="4EE3A29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（1）磋商文件能够详细列明采购需求的技术、服务要求的，磋商结束后，磋商小组应当要求所有继续参加磋商的供应商在规定时间内提交最后报价。</w:t>
      </w:r>
    </w:p>
    <w:p w14:paraId="75BBC743">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412FFAA5">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30.3</w:t>
      </w:r>
      <w:r>
        <w:rPr>
          <w:rFonts w:hint="eastAsia" w:ascii="宋体" w:hAnsi="宋体" w:eastAsia="宋体" w:cs="宋体"/>
          <w:color w:val="auto"/>
          <w:highlight w:val="none"/>
        </w:rPr>
        <w:t xml:space="preserve"> </w:t>
      </w:r>
      <w:r>
        <w:rPr>
          <w:rFonts w:hint="eastAsia" w:ascii="宋体" w:hAnsi="宋体" w:eastAsia="宋体" w:cs="宋体"/>
          <w:bCs/>
          <w:color w:val="auto"/>
          <w:highlight w:val="none"/>
        </w:rPr>
        <w:t>重</w:t>
      </w:r>
      <w:r>
        <w:rPr>
          <w:rFonts w:hint="eastAsia" w:ascii="宋体" w:hAnsi="宋体" w:eastAsia="宋体" w:cs="宋体"/>
          <w:color w:val="auto"/>
          <w:kern w:val="0"/>
          <w:highlight w:val="none"/>
        </w:rPr>
        <w:t>新提交的响应文件</w:t>
      </w:r>
      <w:r>
        <w:rPr>
          <w:rFonts w:hint="eastAsia" w:ascii="宋体" w:hAnsi="宋体" w:eastAsia="宋体" w:cs="宋体"/>
          <w:color w:val="auto"/>
          <w:highlight w:val="none"/>
        </w:rPr>
        <w:t>或者最后报价应按</w:t>
      </w:r>
      <w:r>
        <w:rPr>
          <w:rFonts w:hint="eastAsia" w:ascii="宋体" w:hAnsi="宋体" w:eastAsia="宋体" w:cs="宋体"/>
          <w:color w:val="auto"/>
          <w:kern w:val="0"/>
          <w:szCs w:val="21"/>
          <w:highlight w:val="none"/>
        </w:rPr>
        <w:t>本章第</w:t>
      </w:r>
      <w:r>
        <w:rPr>
          <w:rFonts w:hint="eastAsia" w:ascii="宋体" w:hAnsi="宋体" w:eastAsia="宋体" w:cs="宋体"/>
          <w:color w:val="auto"/>
          <w:highlight w:val="none"/>
        </w:rPr>
        <w:t>21.3</w:t>
      </w:r>
      <w:r>
        <w:rPr>
          <w:rFonts w:hint="eastAsia" w:ascii="宋体" w:hAnsi="宋体" w:eastAsia="宋体" w:cs="宋体"/>
          <w:color w:val="auto"/>
          <w:kern w:val="0"/>
          <w:szCs w:val="21"/>
          <w:highlight w:val="none"/>
          <w:lang w:val="zh-CN"/>
        </w:rPr>
        <w:t>款</w:t>
      </w:r>
      <w:r>
        <w:rPr>
          <w:rFonts w:hint="eastAsia" w:ascii="宋体" w:hAnsi="宋体" w:eastAsia="宋体" w:cs="宋体"/>
          <w:color w:val="auto"/>
          <w:highlight w:val="none"/>
        </w:rPr>
        <w:t>规定，</w:t>
      </w:r>
      <w:r>
        <w:rPr>
          <w:rFonts w:hint="eastAsia" w:ascii="宋体" w:hAnsi="宋体" w:eastAsia="宋体" w:cs="宋体"/>
          <w:color w:val="auto"/>
          <w:kern w:val="0"/>
          <w:szCs w:val="21"/>
          <w:highlight w:val="none"/>
        </w:rPr>
        <w:t>由其法定代表人或其委托代理人签字或者加盖</w:t>
      </w:r>
      <w:r>
        <w:rPr>
          <w:rFonts w:hint="eastAsia" w:ascii="宋体" w:hAnsi="宋体" w:eastAsia="宋体" w:cs="宋体"/>
          <w:color w:val="auto"/>
          <w:kern w:val="0"/>
          <w:highlight w:val="none"/>
        </w:rPr>
        <w:t>供应商单位</w:t>
      </w:r>
      <w:r>
        <w:rPr>
          <w:rFonts w:hint="eastAsia" w:ascii="宋体" w:hAnsi="宋体" w:eastAsia="宋体" w:cs="宋体"/>
          <w:color w:val="auto"/>
          <w:kern w:val="0"/>
          <w:szCs w:val="21"/>
          <w:highlight w:val="none"/>
        </w:rPr>
        <w:t>章，在规定时间内密封递交给磋商小组</w:t>
      </w:r>
      <w:r>
        <w:rPr>
          <w:rFonts w:hint="eastAsia" w:ascii="宋体" w:hAnsi="宋体" w:eastAsia="宋体" w:cs="宋体"/>
          <w:bCs/>
          <w:color w:val="auto"/>
          <w:szCs w:val="21"/>
          <w:highlight w:val="none"/>
        </w:rPr>
        <w:t>。</w:t>
      </w:r>
    </w:p>
    <w:p w14:paraId="3CB8BAE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30.4</w:t>
      </w:r>
      <w:r>
        <w:rPr>
          <w:rFonts w:hint="eastAsia" w:ascii="宋体" w:hAnsi="宋体" w:eastAsia="宋体" w:cs="宋体"/>
          <w:color w:val="auto"/>
          <w:kern w:val="0"/>
          <w:szCs w:val="21"/>
          <w:highlight w:val="none"/>
          <w:lang w:val="zh-CN"/>
        </w:rPr>
        <w:t>供应商的</w:t>
      </w:r>
      <w:r>
        <w:rPr>
          <w:rFonts w:hint="eastAsia" w:ascii="宋体" w:hAnsi="宋体" w:eastAsia="宋体" w:cs="宋体"/>
          <w:bCs/>
          <w:color w:val="auto"/>
          <w:szCs w:val="21"/>
          <w:highlight w:val="none"/>
        </w:rPr>
        <w:t>最</w:t>
      </w:r>
      <w:r>
        <w:rPr>
          <w:rFonts w:hint="eastAsia" w:ascii="宋体" w:hAnsi="宋体" w:eastAsia="宋体" w:cs="宋体"/>
          <w:color w:val="auto"/>
          <w:kern w:val="0"/>
          <w:szCs w:val="21"/>
          <w:highlight w:val="none"/>
          <w:lang w:val="zh-CN"/>
        </w:rPr>
        <w:t>后</w:t>
      </w:r>
      <w:r>
        <w:rPr>
          <w:rFonts w:hint="eastAsia" w:ascii="宋体" w:hAnsi="宋体" w:eastAsia="宋体" w:cs="宋体"/>
          <w:bCs/>
          <w:color w:val="auto"/>
          <w:szCs w:val="21"/>
          <w:highlight w:val="none"/>
        </w:rPr>
        <w:t>报价及</w:t>
      </w:r>
      <w:r>
        <w:rPr>
          <w:rFonts w:hint="eastAsia" w:ascii="宋体" w:hAnsi="宋体" w:eastAsia="宋体" w:cs="宋体"/>
          <w:color w:val="auto"/>
          <w:kern w:val="0"/>
          <w:szCs w:val="21"/>
          <w:highlight w:val="none"/>
        </w:rPr>
        <w:t>政府采购政策规定的价格扣除情况，磋商小组应召集所有参加最后报价的供应商当场开封</w:t>
      </w:r>
      <w:r>
        <w:rPr>
          <w:rFonts w:hint="eastAsia" w:ascii="宋体" w:hAnsi="宋体" w:eastAsia="宋体" w:cs="宋体"/>
          <w:bCs/>
          <w:color w:val="auto"/>
          <w:szCs w:val="21"/>
          <w:highlight w:val="none"/>
        </w:rPr>
        <w:t>公布，并由供应商代表签字确认。</w:t>
      </w:r>
    </w:p>
    <w:p w14:paraId="2D6DE88B">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30.5提交首次响应文件的供应商，在提交最后报价之前，可以根据磋商情况退出磋商，</w:t>
      </w:r>
      <w:r>
        <w:rPr>
          <w:rFonts w:hint="eastAsia" w:ascii="宋体" w:hAnsi="宋体" w:eastAsia="宋体" w:cs="宋体"/>
          <w:color w:val="auto"/>
          <w:kern w:val="0"/>
          <w:highlight w:val="none"/>
        </w:rPr>
        <w:t>并书面通知采购代理机构或者磋商小组。</w:t>
      </w:r>
      <w:r>
        <w:rPr>
          <w:rFonts w:hint="eastAsia" w:ascii="宋体" w:hAnsi="宋体" w:eastAsia="宋体" w:cs="宋体"/>
          <w:color w:val="auto"/>
          <w:highlight w:val="none"/>
        </w:rPr>
        <w:t>该通知由供应商法定代表人或其委托代理人签字。</w:t>
      </w:r>
      <w:r>
        <w:rPr>
          <w:rFonts w:hint="eastAsia" w:ascii="宋体" w:hAnsi="宋体" w:eastAsia="宋体" w:cs="宋体"/>
          <w:color w:val="auto"/>
          <w:kern w:val="0"/>
          <w:szCs w:val="21"/>
          <w:highlight w:val="none"/>
        </w:rPr>
        <w:t>采购代理机构</w:t>
      </w:r>
      <w:r>
        <w:rPr>
          <w:rFonts w:hint="eastAsia" w:ascii="宋体" w:hAnsi="宋体" w:eastAsia="宋体" w:cs="宋体"/>
          <w:color w:val="auto"/>
          <w:kern w:val="0"/>
          <w:highlight w:val="none"/>
        </w:rPr>
        <w:t>按</w:t>
      </w:r>
      <w:r>
        <w:rPr>
          <w:rFonts w:hint="eastAsia" w:ascii="宋体" w:hAnsi="宋体" w:eastAsia="宋体" w:cs="宋体"/>
          <w:color w:val="auto"/>
          <w:kern w:val="0"/>
          <w:szCs w:val="21"/>
          <w:highlight w:val="none"/>
        </w:rPr>
        <w:t>本章第</w:t>
      </w:r>
      <w:r>
        <w:rPr>
          <w:rFonts w:hint="eastAsia" w:ascii="宋体" w:hAnsi="宋体" w:eastAsia="宋体" w:cs="宋体"/>
          <w:color w:val="auto"/>
          <w:highlight w:val="none"/>
        </w:rPr>
        <w:t>19.4</w:t>
      </w:r>
      <w:r>
        <w:rPr>
          <w:rFonts w:hint="eastAsia" w:ascii="宋体" w:hAnsi="宋体" w:eastAsia="宋体" w:cs="宋体"/>
          <w:color w:val="auto"/>
          <w:kern w:val="0"/>
          <w:szCs w:val="21"/>
          <w:highlight w:val="none"/>
          <w:lang w:val="zh-CN"/>
        </w:rPr>
        <w:t>款</w:t>
      </w:r>
      <w:r>
        <w:rPr>
          <w:rFonts w:hint="eastAsia" w:ascii="宋体" w:hAnsi="宋体" w:eastAsia="宋体" w:cs="宋体"/>
          <w:color w:val="auto"/>
          <w:highlight w:val="none"/>
        </w:rPr>
        <w:t>规定</w:t>
      </w:r>
      <w:r>
        <w:rPr>
          <w:rFonts w:hint="eastAsia" w:ascii="宋体" w:hAnsi="宋体" w:eastAsia="宋体" w:cs="宋体"/>
          <w:color w:val="auto"/>
          <w:kern w:val="0"/>
          <w:szCs w:val="21"/>
          <w:highlight w:val="none"/>
        </w:rPr>
        <w:t>退还退出磋商的供应商的磋商保证金。</w:t>
      </w:r>
    </w:p>
    <w:p w14:paraId="3B28D65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rPr>
        <w:t>30.6</w:t>
      </w:r>
      <w:r>
        <w:rPr>
          <w:rFonts w:hint="eastAsia" w:ascii="宋体" w:hAnsi="宋体" w:eastAsia="宋体" w:cs="宋体"/>
          <w:color w:val="auto"/>
          <w:kern w:val="0"/>
          <w:szCs w:val="21"/>
          <w:highlight w:val="none"/>
        </w:rPr>
        <w:t>提交首次响应文件的供应商，未按磋商文件规定及磋商小组要求提交最后报价(或者</w:t>
      </w:r>
      <w:r>
        <w:rPr>
          <w:rFonts w:hint="eastAsia" w:ascii="宋体" w:hAnsi="宋体" w:eastAsia="宋体" w:cs="宋体"/>
          <w:bCs/>
          <w:color w:val="auto"/>
          <w:szCs w:val="21"/>
          <w:highlight w:val="none"/>
        </w:rPr>
        <w:t>重</w:t>
      </w:r>
      <w:r>
        <w:rPr>
          <w:rFonts w:hint="eastAsia" w:ascii="宋体" w:hAnsi="宋体" w:eastAsia="宋体" w:cs="宋体"/>
          <w:color w:val="auto"/>
          <w:kern w:val="0"/>
          <w:szCs w:val="21"/>
          <w:highlight w:val="none"/>
        </w:rPr>
        <w:t>新提交的响应文件和最后报价)，且又</w:t>
      </w:r>
      <w:r>
        <w:rPr>
          <w:rFonts w:hint="eastAsia" w:ascii="宋体" w:hAnsi="宋体" w:eastAsia="宋体" w:cs="宋体"/>
          <w:color w:val="auto"/>
          <w:kern w:val="0"/>
          <w:highlight w:val="none"/>
        </w:rPr>
        <w:t>未按</w:t>
      </w:r>
      <w:r>
        <w:rPr>
          <w:rFonts w:hint="eastAsia" w:ascii="宋体" w:hAnsi="宋体" w:eastAsia="宋体" w:cs="宋体"/>
          <w:color w:val="auto"/>
          <w:kern w:val="0"/>
          <w:szCs w:val="21"/>
          <w:highlight w:val="none"/>
        </w:rPr>
        <w:t>本章第</w:t>
      </w:r>
      <w:r>
        <w:rPr>
          <w:rFonts w:hint="eastAsia" w:ascii="宋体" w:hAnsi="宋体" w:eastAsia="宋体" w:cs="宋体"/>
          <w:color w:val="auto"/>
          <w:highlight w:val="none"/>
        </w:rPr>
        <w:t>30.5</w:t>
      </w:r>
      <w:r>
        <w:rPr>
          <w:rFonts w:hint="eastAsia" w:ascii="宋体" w:hAnsi="宋体" w:eastAsia="宋体" w:cs="宋体"/>
          <w:color w:val="auto"/>
          <w:kern w:val="0"/>
          <w:szCs w:val="21"/>
          <w:highlight w:val="none"/>
          <w:lang w:val="zh-CN"/>
        </w:rPr>
        <w:t>款</w:t>
      </w:r>
      <w:r>
        <w:rPr>
          <w:rFonts w:hint="eastAsia" w:ascii="宋体" w:hAnsi="宋体" w:eastAsia="宋体" w:cs="宋体"/>
          <w:color w:val="auto"/>
          <w:highlight w:val="none"/>
        </w:rPr>
        <w:t>规定</w:t>
      </w:r>
      <w:r>
        <w:rPr>
          <w:rFonts w:hint="eastAsia" w:ascii="宋体" w:hAnsi="宋体" w:eastAsia="宋体" w:cs="宋体"/>
          <w:color w:val="auto"/>
          <w:kern w:val="0"/>
          <w:szCs w:val="21"/>
          <w:highlight w:val="none"/>
        </w:rPr>
        <w:t>退出磋商的，供应商的磋商保证金不予退还。</w:t>
      </w:r>
    </w:p>
    <w:p w14:paraId="7449652E">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eastAsia="宋体" w:cs="宋体"/>
          <w:b/>
          <w:bCs/>
          <w:color w:val="auto"/>
          <w:szCs w:val="21"/>
          <w:highlight w:val="none"/>
        </w:rPr>
      </w:pPr>
      <w:r>
        <w:rPr>
          <w:rFonts w:hint="eastAsia" w:ascii="宋体" w:hAnsi="宋体" w:eastAsia="宋体" w:cs="宋体"/>
          <w:b/>
          <w:color w:val="auto"/>
          <w:kern w:val="0"/>
          <w:szCs w:val="21"/>
          <w:highlight w:val="none"/>
        </w:rPr>
        <w:t>31.响应文件评审</w:t>
      </w:r>
    </w:p>
    <w:p w14:paraId="5F1835B8">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31.1经磋商确定最终采购需求和提交最后报价的供应商后，由磋商小组采用综合评分法对提交最后报价的供应商的响应文件和最后报价进行综合评价。</w:t>
      </w:r>
    </w:p>
    <w:p w14:paraId="105F67E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31.2综合评分法，是指响应文件满足磋商文件全部实质性要求且按评审因素的量化指标评审得分最高的供应商为成交候选供应商的评审方法。本采购项目的评审因素和标准见磋商须知前附表。</w:t>
      </w:r>
    </w:p>
    <w:p w14:paraId="56489805">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31.3最后报价调整。磋商小组以各供应商最后报价为基础，按照符合政府采购支持中小企业发展的相应条件，对供应商的最后报价进行价格扣除，用扣除后的最后报价计算价格得分，具体价格扣除比例见磋商须知前附表。</w:t>
      </w:r>
    </w:p>
    <w:p w14:paraId="323281B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31.4综合评分法中的价格分采用低价优先法计算，即满足磋商文件要求且经调整后的最后报价最低的供应商的价格为磋商基准价，其价格分为满分。其他供应商的价格分按照下列公式计算：</w:t>
      </w:r>
    </w:p>
    <w:p w14:paraId="3B25F663">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磋商报价得分=（磋商基准价/最后磋商报价）×</w:t>
      </w:r>
      <w:r>
        <w:rPr>
          <w:rFonts w:hint="eastAsia" w:ascii="宋体" w:hAnsi="宋体" w:eastAsia="宋体" w:cs="宋体"/>
          <w:color w:val="auto"/>
          <w:kern w:val="0"/>
          <w:highlight w:val="none"/>
          <w:lang w:val="en-US" w:eastAsia="zh-CN"/>
        </w:rPr>
        <w:t>价格权值</w:t>
      </w:r>
    </w:p>
    <w:p w14:paraId="4BF34FBA">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项目评审过程中，不得去掉最后报价中的最高报价和最低报价。</w:t>
      </w:r>
    </w:p>
    <w:p w14:paraId="07F1B13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31.5涉及政府采购政策优惠对供应商分值进行调整的，按磋商须知前附表规定调整供应商的技术、商务、价格得分或总得分。</w:t>
      </w:r>
    </w:p>
    <w:p w14:paraId="5345D81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31.6涉及多处或部分获得政府采购政策优惠的，其多处或部分享受政府采购优惠政策的计算方法见磋商须知前附表相关规定。</w:t>
      </w:r>
    </w:p>
    <w:p w14:paraId="65CF5078">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31.7评审时，磋商小组各成员应当独立对每个供应商的响应文件进行评价、评分，并按照政府采购优惠政策对最后报价进行价格扣除和技术、商务、价格加分后，汇总各供应商的总得分。</w:t>
      </w:r>
    </w:p>
    <w:p w14:paraId="3A2A2DC9">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32</w:t>
      </w:r>
      <w:r>
        <w:rPr>
          <w:rFonts w:hint="eastAsia" w:ascii="宋体" w:hAnsi="宋体" w:eastAsia="宋体" w:cs="宋体"/>
          <w:b/>
          <w:color w:val="auto"/>
          <w:kern w:val="0"/>
          <w:szCs w:val="21"/>
          <w:highlight w:val="none"/>
        </w:rPr>
        <w:t>.</w:t>
      </w:r>
      <w:r>
        <w:rPr>
          <w:rFonts w:hint="eastAsia" w:ascii="宋体" w:hAnsi="宋体" w:eastAsia="宋体" w:cs="宋体"/>
          <w:b/>
          <w:bCs/>
          <w:color w:val="auto"/>
          <w:szCs w:val="21"/>
          <w:highlight w:val="none"/>
        </w:rPr>
        <w:t>提出成交供应商</w:t>
      </w:r>
    </w:p>
    <w:p w14:paraId="4403D50C">
      <w:pPr>
        <w:keepNext w:val="0"/>
        <w:keepLines w:val="0"/>
        <w:pageBreakBefore w:val="0"/>
        <w:widowControl/>
        <w:kinsoku/>
        <w:wordWrap/>
        <w:overflowPunct/>
        <w:topLinePunct w:val="0"/>
        <w:autoSpaceDE/>
        <w:bidi w:val="0"/>
        <w:spacing w:line="400" w:lineRule="exact"/>
        <w:ind w:left="0" w:right="0" w:rightChars="0"/>
        <w:jc w:val="left"/>
        <w:textAlignment w:val="auto"/>
        <w:rPr>
          <w:rFonts w:hint="eastAsia" w:ascii="宋体" w:hAnsi="宋体" w:eastAsia="宋体" w:cs="宋体"/>
          <w:color w:val="auto"/>
          <w:kern w:val="0"/>
          <w:highlight w:val="none"/>
        </w:rPr>
      </w:pP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highlight w:val="none"/>
        </w:rPr>
        <w:t>32.1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和《财政部关于政府采购竞争性磋商采购方式管理暂行办法有关问题的补充通知》（财库〔2015〕124号）所列“政府购买服务项目（含政府和社会资本合作项目）、市场竞争不充分的科研项目以及需要扶持的科技成果转化项目”情形的，可以推荐2家成交候选供应商。</w:t>
      </w:r>
    </w:p>
    <w:p w14:paraId="3AD46156">
      <w:pPr>
        <w:keepNext w:val="0"/>
        <w:keepLines w:val="0"/>
        <w:pageBreakBefore w:val="0"/>
        <w:tabs>
          <w:tab w:val="left" w:pos="0"/>
        </w:tabs>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33.确定成交供应商</w:t>
      </w:r>
    </w:p>
    <w:p w14:paraId="14769F43">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33.1采购代理机构应当在评审结束后2个工作日内将评审报告送采购人确认。</w:t>
      </w:r>
    </w:p>
    <w:p w14:paraId="19783E8F">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33.2采购人应当在收到评审报告后5个工作日内，从评审报告提出的成交候选供应商中，按照排序由高到低的原则确定成交供应商，也可以书面授权磋商小组直接确定成交供应商。</w:t>
      </w:r>
    </w:p>
    <w:p w14:paraId="3A5FBB65">
      <w:pPr>
        <w:pStyle w:val="23"/>
        <w:keepNext w:val="0"/>
        <w:keepLines w:val="0"/>
        <w:pageBreakBefore w:val="0"/>
        <w:kinsoku/>
        <w:wordWrap/>
        <w:overflowPunct/>
        <w:topLinePunct w:val="0"/>
        <w:autoSpaceDE/>
        <w:bidi w:val="0"/>
        <w:adjustRightInd w:val="0"/>
        <w:snapToGrid w:val="0"/>
        <w:spacing w:line="400" w:lineRule="exact"/>
        <w:ind w:left="0" w:right="0" w:rightChars="0" w:hanging="632" w:hangingChars="300"/>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34.磋商终止</w:t>
      </w:r>
    </w:p>
    <w:p w14:paraId="3973A2EA">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rPr>
        <w:t>34.1</w:t>
      </w:r>
      <w:r>
        <w:rPr>
          <w:rFonts w:hint="eastAsia" w:ascii="宋体" w:hAnsi="宋体" w:eastAsia="宋体" w:cs="宋体"/>
          <w:color w:val="auto"/>
          <w:kern w:val="0"/>
          <w:szCs w:val="21"/>
          <w:highlight w:val="none"/>
        </w:rPr>
        <w:t>出现下列情形之一的，采购人或者采购代理机构应当终止竞争性磋商采购活动，</w:t>
      </w:r>
      <w:r>
        <w:rPr>
          <w:rFonts w:hint="eastAsia" w:ascii="宋体" w:hAnsi="宋体" w:eastAsia="宋体" w:cs="宋体"/>
          <w:color w:val="auto"/>
          <w:highlight w:val="none"/>
        </w:rPr>
        <w:t>在本章第37.1款指定的媒体上</w:t>
      </w:r>
      <w:r>
        <w:rPr>
          <w:rFonts w:hint="eastAsia" w:ascii="宋体" w:hAnsi="宋体" w:eastAsia="宋体" w:cs="宋体"/>
          <w:color w:val="auto"/>
          <w:kern w:val="0"/>
          <w:szCs w:val="21"/>
          <w:highlight w:val="none"/>
        </w:rPr>
        <w:t xml:space="preserve">发布项目终止公告并说明原因，重新开展采购活动： </w:t>
      </w:r>
    </w:p>
    <w:p w14:paraId="0B16C698">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（1）因情况变化，不再符合规定的竞争性磋商采购方式适用情形的；</w:t>
      </w:r>
    </w:p>
    <w:p w14:paraId="6BA975C7">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（2）出现影响采购公正的违法、违规行为的；</w:t>
      </w:r>
    </w:p>
    <w:p w14:paraId="05CE58AE">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bCs/>
          <w:color w:val="auto"/>
          <w:szCs w:val="21"/>
          <w:highlight w:val="none"/>
        </w:rPr>
        <w:t>除《政府采购竞争性磋商采购方式管理暂行办法》(财库〔2014〕214号)</w:t>
      </w:r>
      <w:r>
        <w:rPr>
          <w:rFonts w:hint="eastAsia" w:ascii="宋体" w:hAnsi="宋体" w:eastAsia="宋体" w:cs="宋体"/>
          <w:color w:val="auto"/>
          <w:kern w:val="0"/>
          <w:szCs w:val="21"/>
          <w:highlight w:val="none"/>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eastAsia="宋体" w:cs="宋体"/>
          <w:bCs/>
          <w:color w:val="auto"/>
          <w:szCs w:val="21"/>
          <w:highlight w:val="none"/>
        </w:rPr>
        <w:t>情形外，在采购过程中符合要求的供应商或者报价未超过采购预算的供应商不足3家的；</w:t>
      </w:r>
    </w:p>
    <w:p w14:paraId="7E023C6F">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（4）因重大变故，采购任务取消的。</w:t>
      </w:r>
    </w:p>
    <w:p w14:paraId="2AF6FB2C">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35．重新评审</w:t>
      </w:r>
    </w:p>
    <w:p w14:paraId="301534AD">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30D046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36.保密及串通行为</w:t>
      </w:r>
    </w:p>
    <w:p w14:paraId="36FF9EB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36.1磋商小组成员以及与评审工作有关的人员不得泄露评审情况以及评审过程中获悉的国家秘密、商业秘密。</w:t>
      </w:r>
    </w:p>
    <w:p w14:paraId="2B460C2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36.2</w:t>
      </w:r>
      <w:r>
        <w:rPr>
          <w:rFonts w:hint="eastAsia" w:ascii="宋体" w:hAnsi="宋体" w:eastAsia="宋体" w:cs="宋体"/>
          <w:color w:val="auto"/>
          <w:kern w:val="0"/>
          <w:szCs w:val="21"/>
          <w:highlight w:val="none"/>
        </w:rPr>
        <w:t>供应商</w:t>
      </w:r>
      <w:r>
        <w:rPr>
          <w:rFonts w:hint="eastAsia" w:ascii="宋体" w:hAnsi="宋体" w:eastAsia="宋体" w:cs="宋体"/>
          <w:color w:val="auto"/>
          <w:szCs w:val="21"/>
          <w:highlight w:val="none"/>
        </w:rPr>
        <w:t>不得与</w:t>
      </w:r>
      <w:r>
        <w:rPr>
          <w:rFonts w:hint="eastAsia" w:ascii="宋体" w:hAnsi="宋体" w:eastAsia="宋体" w:cs="宋体"/>
          <w:color w:val="auto"/>
          <w:kern w:val="0"/>
          <w:szCs w:val="21"/>
          <w:highlight w:val="none"/>
        </w:rPr>
        <w:t>采购人、采购代理机构、其他供应商恶意</w:t>
      </w:r>
      <w:r>
        <w:rPr>
          <w:rFonts w:hint="eastAsia" w:ascii="宋体" w:hAnsi="宋体" w:eastAsia="宋体" w:cs="宋体"/>
          <w:color w:val="auto"/>
          <w:szCs w:val="21"/>
          <w:highlight w:val="none"/>
        </w:rPr>
        <w:t>串通；不得向</w:t>
      </w:r>
      <w:r>
        <w:rPr>
          <w:rFonts w:hint="eastAsia" w:ascii="宋体" w:hAnsi="宋体" w:eastAsia="宋体" w:cs="宋体"/>
          <w:color w:val="auto"/>
          <w:kern w:val="0"/>
          <w:szCs w:val="21"/>
          <w:highlight w:val="none"/>
        </w:rPr>
        <w:t>采购人、采购代理机构</w:t>
      </w:r>
      <w:r>
        <w:rPr>
          <w:rFonts w:hint="eastAsia" w:ascii="宋体" w:hAnsi="宋体" w:eastAsia="宋体" w:cs="宋体"/>
          <w:color w:val="auto"/>
          <w:szCs w:val="21"/>
          <w:highlight w:val="none"/>
        </w:rPr>
        <w:t>或者磋商小组成员行贿或者提供其他不正当利益；不得提供虚假资料谋取成交；不得以任何方式干扰、影响采购工作。</w:t>
      </w:r>
      <w:r>
        <w:rPr>
          <w:rFonts w:hint="eastAsia" w:ascii="宋体" w:hAnsi="宋体" w:eastAsia="宋体" w:cs="宋体"/>
          <w:color w:val="auto"/>
          <w:szCs w:val="21"/>
          <w:highlight w:val="none"/>
          <w:lang w:val="en-US" w:eastAsia="zh-CN"/>
        </w:rPr>
        <w:t xml:space="preserve"> </w:t>
      </w:r>
    </w:p>
    <w:p w14:paraId="0C004FF6">
      <w:pPr>
        <w:pStyle w:val="38"/>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36.3</w:t>
      </w:r>
      <w:r>
        <w:rPr>
          <w:rFonts w:hint="eastAsia" w:ascii="宋体" w:hAnsi="宋体" w:eastAsia="宋体" w:cs="宋体"/>
          <w:color w:val="auto"/>
          <w:sz w:val="21"/>
          <w:szCs w:val="21"/>
          <w:highlight w:val="none"/>
          <w:lang w:val="zh-CN"/>
        </w:rPr>
        <w:t>有下列情形之一的，属于恶意串通，对供应商依照政府采购法第七十七条第一款的规定追究法律责任：</w:t>
      </w:r>
    </w:p>
    <w:p w14:paraId="593C337C">
      <w:pPr>
        <w:pStyle w:val="38"/>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（一）供应商直接或者间接从采购人或者采购代理机构处获得其他供应商的相关情况并修改其响应文件或者响应文件；</w:t>
      </w:r>
    </w:p>
    <w:p w14:paraId="3D076C9A">
      <w:pPr>
        <w:pStyle w:val="38"/>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（二）供应商按照采购人或者采购代理机构的授意撤换、修改响应文件或者响应文件；</w:t>
      </w:r>
    </w:p>
    <w:p w14:paraId="04073550">
      <w:pPr>
        <w:pStyle w:val="38"/>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（三）供应商之间协商报价、技术方案等响应文件或者响应文件的实质性内容；</w:t>
      </w:r>
    </w:p>
    <w:p w14:paraId="0CFAC7E9">
      <w:pPr>
        <w:pStyle w:val="38"/>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（四）属于同一集团、协会、商会等组织成员的供应商按照该组织要求协同参加政府采购活动；</w:t>
      </w:r>
    </w:p>
    <w:p w14:paraId="0F510E96">
      <w:pPr>
        <w:pStyle w:val="38"/>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（五）供应商之间事先约定由某一特定供应商中标、成交；</w:t>
      </w:r>
    </w:p>
    <w:p w14:paraId="2B375EDF">
      <w:pPr>
        <w:pStyle w:val="38"/>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（六）供应商之间商定部分供应商放弃参加政府采购活动或者放弃中标、成交；</w:t>
      </w:r>
    </w:p>
    <w:p w14:paraId="1F0FEE4E">
      <w:pPr>
        <w:pStyle w:val="38"/>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（七）供应商与采购人或者采购代理机构之间、供应商相互之间，为谋求特定供应商中标、成交或者排斥其他供应商的其他串通行为。</w:t>
      </w:r>
    </w:p>
    <w:p w14:paraId="571507EB">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六、成交结果信息公布与授予合同</w:t>
      </w:r>
    </w:p>
    <w:p w14:paraId="7320D169">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37.成交信息的公布</w:t>
      </w:r>
    </w:p>
    <w:p w14:paraId="104DCC82">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37.1成交供应商确定后2个工作日内，成交结果信息将在</w:t>
      </w:r>
      <w:r>
        <w:rPr>
          <w:rFonts w:hint="eastAsia" w:ascii="宋体" w:hAnsi="宋体" w:eastAsia="宋体" w:cs="宋体"/>
          <w:b/>
          <w:color w:val="auto"/>
          <w:highlight w:val="none"/>
        </w:rPr>
        <w:t>磋商须知前附表</w:t>
      </w:r>
      <w:r>
        <w:rPr>
          <w:rFonts w:hint="eastAsia" w:ascii="宋体" w:hAnsi="宋体" w:eastAsia="宋体" w:cs="宋体"/>
          <w:color w:val="auto"/>
          <w:highlight w:val="none"/>
        </w:rPr>
        <w:t>指定的媒体上公布。</w:t>
      </w:r>
    </w:p>
    <w:p w14:paraId="71878ADB">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38.询问及质疑</w:t>
      </w:r>
    </w:p>
    <w:p w14:paraId="458AFB5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38.1供应商对政府采购活动事项有疑问的，可以向采购人或采购代理机构提出询问。</w:t>
      </w:r>
    </w:p>
    <w:p w14:paraId="224D4CD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38.2供应商若认为磋商文件、采购过程和成交结果使自己的权益受到损害，可以按法律、行政法规及湖南省财政厅规范性文件规定向采购人或采购代理机构提出质疑。</w:t>
      </w:r>
    </w:p>
    <w:p w14:paraId="26E7C27F">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39.成交通知</w:t>
      </w:r>
    </w:p>
    <w:p w14:paraId="10B9D16E">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39.1成交供应商确定后，采购人或采购代理机构将以书面形式向成交供应商发出成交通知书。成交通知书对采购人和成交供应商具有同等法律效力。</w:t>
      </w:r>
    </w:p>
    <w:p w14:paraId="721E3833">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39.2 成交通知书是合同文件的组成部分。</w:t>
      </w:r>
    </w:p>
    <w:p w14:paraId="3BD216DF">
      <w:pPr>
        <w:keepNext w:val="0"/>
        <w:keepLines w:val="0"/>
        <w:pageBreakBefore w:val="0"/>
        <w:tabs>
          <w:tab w:val="left" w:pos="7560"/>
          <w:tab w:val="left" w:pos="7740"/>
          <w:tab w:val="left" w:pos="7920"/>
        </w:tabs>
        <w:kinsoku/>
        <w:wordWrap/>
        <w:overflowPunct/>
        <w:topLinePunct w:val="0"/>
        <w:autoSpaceDE/>
        <w:autoSpaceDN w:val="0"/>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39.3 </w:t>
      </w:r>
      <w:r>
        <w:rPr>
          <w:rFonts w:hint="eastAsia" w:ascii="宋体" w:hAnsi="宋体" w:eastAsia="宋体" w:cs="宋体"/>
          <w:color w:val="auto"/>
          <w:szCs w:val="21"/>
          <w:highlight w:val="none"/>
        </w:rPr>
        <w:t>成交供应商在收到采购代理机构的成交通知书后10日内，应按照</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的规定，向采购人提交履约担保。联合体成交的，履约担保由联合体各方或联合体中牵头人的名义提交。</w:t>
      </w:r>
    </w:p>
    <w:p w14:paraId="2B51EC1E">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39.4 成交供应商</w:t>
      </w:r>
      <w:r>
        <w:rPr>
          <w:rFonts w:hint="eastAsia" w:ascii="宋体" w:hAnsi="宋体" w:eastAsia="宋体" w:cs="宋体"/>
          <w:color w:val="auto"/>
          <w:spacing w:val="4"/>
          <w:highlight w:val="none"/>
        </w:rPr>
        <w:t>没有按照本章第39.3</w:t>
      </w:r>
      <w:r>
        <w:rPr>
          <w:rFonts w:hint="eastAsia" w:ascii="宋体" w:hAnsi="宋体" w:eastAsia="宋体" w:cs="宋体"/>
          <w:color w:val="auto"/>
          <w:kern w:val="0"/>
          <w:highlight w:val="none"/>
          <w:lang w:val="zh-CN"/>
        </w:rPr>
        <w:t>款</w:t>
      </w:r>
      <w:r>
        <w:rPr>
          <w:rFonts w:hint="eastAsia" w:ascii="宋体" w:hAnsi="宋体" w:eastAsia="宋体" w:cs="宋体"/>
          <w:color w:val="auto"/>
          <w:spacing w:val="4"/>
          <w:highlight w:val="none"/>
        </w:rPr>
        <w:t>规定</w:t>
      </w:r>
      <w:r>
        <w:rPr>
          <w:rFonts w:hint="eastAsia" w:ascii="宋体" w:hAnsi="宋体" w:eastAsia="宋体" w:cs="宋体"/>
          <w:color w:val="auto"/>
          <w:highlight w:val="none"/>
        </w:rPr>
        <w:t>提交履约担保的</w:t>
      </w:r>
      <w:r>
        <w:rPr>
          <w:rFonts w:hint="eastAsia" w:ascii="宋体" w:hAnsi="宋体" w:eastAsia="宋体" w:cs="宋体"/>
          <w:color w:val="auto"/>
          <w:spacing w:val="4"/>
          <w:highlight w:val="none"/>
        </w:rPr>
        <w:t>，视为放弃</w:t>
      </w:r>
      <w:r>
        <w:rPr>
          <w:rFonts w:hint="eastAsia" w:ascii="宋体" w:hAnsi="宋体" w:eastAsia="宋体" w:cs="宋体"/>
          <w:color w:val="auto"/>
          <w:highlight w:val="none"/>
        </w:rPr>
        <w:t>成交资格</w:t>
      </w:r>
      <w:r>
        <w:rPr>
          <w:rFonts w:hint="eastAsia" w:ascii="宋体" w:hAnsi="宋体" w:eastAsia="宋体" w:cs="宋体"/>
          <w:color w:val="auto"/>
          <w:spacing w:val="4"/>
          <w:highlight w:val="none"/>
        </w:rPr>
        <w:t>，</w:t>
      </w:r>
      <w:r>
        <w:rPr>
          <w:rFonts w:hint="eastAsia" w:ascii="宋体" w:hAnsi="宋体" w:eastAsia="宋体" w:cs="宋体"/>
          <w:color w:val="auto"/>
          <w:spacing w:val="2"/>
          <w:highlight w:val="none"/>
        </w:rPr>
        <w:t>其保证金不予退还。</w:t>
      </w:r>
    </w:p>
    <w:p w14:paraId="52531840">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40.签订合同</w:t>
      </w:r>
    </w:p>
    <w:p w14:paraId="05CC7E2E">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40.1成交供应商应当在成交通知书发出之日起30日内与采购人签订政府采购合同。</w:t>
      </w:r>
    </w:p>
    <w:p w14:paraId="18DDB812">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40.2磋商文件、成交供应商的响应文件等均为签订政府采购合同的依据。</w:t>
      </w:r>
    </w:p>
    <w:p w14:paraId="593774DB">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40.3 成交供应商应当按照合同约定履行义务。成交供应商不得向他人转让成交项目，也不得将成交项目分包后分别向他人转让。</w:t>
      </w:r>
    </w:p>
    <w:p w14:paraId="5409438D">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40.4 成交供应商有下列情形之一的，责令限期改正，情节严重的，列入不良行为记录名单，在1至3年内禁止参加政府采购活动，并予以通报：</w:t>
      </w:r>
    </w:p>
    <w:p w14:paraId="1D51391F">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（一）成交后无正当理由不与采购人签订合同的；</w:t>
      </w:r>
    </w:p>
    <w:p w14:paraId="0FBF70FC">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（二）未按照采购文件确定的事项签订政府采购合同，或者与采购人另行订立背离合同实质性内容的协议的；</w:t>
      </w:r>
    </w:p>
    <w:p w14:paraId="1C3335B1">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（三）拒绝履行合同义务的；</w:t>
      </w:r>
    </w:p>
    <w:p w14:paraId="74864EF0">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kern w:val="0"/>
          <w:highlight w:val="none"/>
        </w:rPr>
      </w:pPr>
      <w:r>
        <w:rPr>
          <w:rFonts w:hint="eastAsia" w:ascii="宋体" w:hAnsi="宋体" w:eastAsia="宋体" w:cs="宋体"/>
          <w:color w:val="auto"/>
          <w:highlight w:val="none"/>
        </w:rPr>
        <w:t>（四）</w:t>
      </w:r>
      <w:r>
        <w:rPr>
          <w:rFonts w:hint="eastAsia" w:ascii="宋体" w:hAnsi="宋体" w:eastAsia="宋体" w:cs="宋体"/>
          <w:color w:val="auto"/>
          <w:kern w:val="0"/>
          <w:highlight w:val="none"/>
        </w:rPr>
        <w:t>违反法律、规章、规范性文件规定的。</w:t>
      </w:r>
    </w:p>
    <w:p w14:paraId="245B25B1">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七、其他规定</w:t>
      </w:r>
    </w:p>
    <w:p w14:paraId="331F5D23">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41.1采购代理服务费</w:t>
      </w:r>
    </w:p>
    <w:p w14:paraId="086ADE6C">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41.1采购代理机构应按</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规定收取采购代理服务费。</w:t>
      </w:r>
    </w:p>
    <w:p w14:paraId="45DF0CDF">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41.2集中采购机构不得收取采购代理服务费。</w:t>
      </w:r>
    </w:p>
    <w:p w14:paraId="73CE4200">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textAlignment w:val="auto"/>
        <w:rPr>
          <w:rFonts w:hint="eastAsia" w:ascii="宋体" w:hAnsi="宋体" w:eastAsia="宋体" w:cs="宋体"/>
          <w:b/>
          <w:color w:val="auto"/>
          <w:highlight w:val="none"/>
        </w:rPr>
      </w:pPr>
      <w:r>
        <w:rPr>
          <w:rFonts w:hint="eastAsia" w:ascii="宋体" w:hAnsi="宋体" w:eastAsia="宋体" w:cs="宋体"/>
          <w:b/>
          <w:color w:val="auto"/>
          <w:szCs w:val="21"/>
          <w:highlight w:val="none"/>
        </w:rPr>
        <w:t>42.</w:t>
      </w:r>
      <w:r>
        <w:rPr>
          <w:rFonts w:hint="eastAsia" w:ascii="宋体" w:hAnsi="宋体" w:eastAsia="宋体" w:cs="宋体"/>
          <w:b/>
          <w:color w:val="auto"/>
          <w:highlight w:val="none"/>
        </w:rPr>
        <w:t xml:space="preserve"> 其他规定</w:t>
      </w:r>
    </w:p>
    <w:p w14:paraId="59E417F3">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rPr>
        <w:t>42.1</w:t>
      </w:r>
      <w:r>
        <w:rPr>
          <w:rFonts w:hint="eastAsia" w:ascii="宋体" w:hAnsi="宋体" w:eastAsia="宋体" w:cs="宋体"/>
          <w:color w:val="auto"/>
          <w:szCs w:val="21"/>
          <w:highlight w:val="none"/>
        </w:rPr>
        <w:t>磋商文件</w:t>
      </w:r>
      <w:r>
        <w:rPr>
          <w:rFonts w:hint="eastAsia" w:ascii="宋体" w:hAnsi="宋体" w:eastAsia="宋体" w:cs="宋体"/>
          <w:color w:val="auto"/>
          <w:highlight w:val="none"/>
        </w:rPr>
        <w:t>的其他规定</w:t>
      </w:r>
      <w:r>
        <w:rPr>
          <w:rFonts w:hint="eastAsia" w:ascii="宋体" w:hAnsi="宋体" w:eastAsia="宋体" w:cs="宋体"/>
          <w:color w:val="auto"/>
          <w:szCs w:val="21"/>
          <w:highlight w:val="none"/>
        </w:rPr>
        <w:t>见</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w:t>
      </w:r>
    </w:p>
    <w:p w14:paraId="6FBB3FDD">
      <w:pPr>
        <w:adjustRightInd w:val="0"/>
        <w:snapToGrid w:val="0"/>
        <w:spacing w:line="360" w:lineRule="auto"/>
        <w:ind w:firstLine="643" w:firstLineChars="200"/>
        <w:rPr>
          <w:rFonts w:hint="eastAsia" w:ascii="宋体" w:hAnsi="宋体" w:eastAsia="宋体" w:cs="宋体"/>
          <w:color w:val="auto"/>
          <w:szCs w:val="21"/>
          <w:highlight w:val="none"/>
        </w:rPr>
      </w:pPr>
      <w:r>
        <w:rPr>
          <w:rFonts w:hint="eastAsia" w:ascii="宋体" w:hAnsi="宋体" w:eastAsia="宋体" w:cs="宋体"/>
          <w:b/>
          <w:color w:val="auto"/>
          <w:sz w:val="32"/>
          <w:szCs w:val="32"/>
          <w:highlight w:val="none"/>
        </w:rPr>
        <w:br w:type="page"/>
      </w:r>
    </w:p>
    <w:p w14:paraId="5D338457">
      <w:pPr>
        <w:pStyle w:val="23"/>
        <w:pageBreakBefore w:val="0"/>
        <w:widowControl w:val="0"/>
        <w:kinsoku/>
        <w:topLinePunct w:val="0"/>
        <w:autoSpaceDE/>
        <w:autoSpaceDN/>
        <w:bidi w:val="0"/>
        <w:spacing w:line="400" w:lineRule="exact"/>
        <w:ind w:left="0" w:right="0" w:firstLine="0" w:firstLineChars="0"/>
        <w:jc w:val="center"/>
        <w:textAlignment w:val="auto"/>
        <w:rPr>
          <w:rFonts w:hint="eastAsia" w:ascii="宋体" w:hAnsi="宋体" w:eastAsia="宋体" w:cs="宋体"/>
          <w:color w:val="auto"/>
          <w:sz w:val="21"/>
          <w:szCs w:val="21"/>
          <w:highlight w:val="none"/>
        </w:rPr>
      </w:pPr>
      <w:bookmarkStart w:id="7" w:name="_Toc20651236"/>
      <w:r>
        <w:rPr>
          <w:rFonts w:hint="eastAsia" w:ascii="宋体" w:hAnsi="宋体" w:eastAsia="宋体" w:cs="宋体"/>
          <w:b/>
          <w:bCs w:val="0"/>
          <w:color w:val="auto"/>
          <w:sz w:val="32"/>
          <w:szCs w:val="32"/>
          <w:highlight w:val="none"/>
        </w:rPr>
        <w:t>第</w:t>
      </w:r>
      <w:r>
        <w:rPr>
          <w:rFonts w:hint="eastAsia" w:ascii="宋体" w:hAnsi="宋体" w:eastAsia="宋体" w:cs="宋体"/>
          <w:b/>
          <w:bCs w:val="0"/>
          <w:color w:val="auto"/>
          <w:sz w:val="32"/>
          <w:szCs w:val="32"/>
          <w:highlight w:val="none"/>
          <w:lang w:eastAsia="zh-CN"/>
        </w:rPr>
        <w:t>三</w:t>
      </w:r>
      <w:r>
        <w:rPr>
          <w:rFonts w:hint="eastAsia" w:ascii="宋体" w:hAnsi="宋体" w:eastAsia="宋体" w:cs="宋体"/>
          <w:b/>
          <w:bCs w:val="0"/>
          <w:color w:val="auto"/>
          <w:sz w:val="32"/>
          <w:szCs w:val="32"/>
          <w:highlight w:val="none"/>
        </w:rPr>
        <w:t xml:space="preserve">章 </w:t>
      </w:r>
      <w:bookmarkEnd w:id="7"/>
      <w:r>
        <w:rPr>
          <w:rFonts w:hint="eastAsia" w:ascii="宋体" w:hAnsi="宋体" w:eastAsia="宋体" w:cs="宋体"/>
          <w:b/>
          <w:bCs w:val="0"/>
          <w:color w:val="auto"/>
          <w:sz w:val="32"/>
          <w:szCs w:val="32"/>
          <w:highlight w:val="none"/>
        </w:rPr>
        <w:t>湖南省政府投资项目代建合同</w:t>
      </w:r>
    </w:p>
    <w:p w14:paraId="767BB659">
      <w:pPr>
        <w:pageBreakBefore w:val="0"/>
        <w:widowControl w:val="0"/>
        <w:kinsoku/>
        <w:topLinePunct w:val="0"/>
        <w:autoSpaceDE/>
        <w:autoSpaceDN/>
        <w:bidi w:val="0"/>
        <w:spacing w:before="312" w:beforeLines="100" w:after="312" w:afterLines="100" w:line="400" w:lineRule="exact"/>
        <w:jc w:val="center"/>
        <w:textAlignment w:val="auto"/>
        <w:outlineLvl w:val="1"/>
        <w:rPr>
          <w:rFonts w:hint="eastAsia" w:ascii="宋体" w:hAnsi="宋体" w:eastAsia="宋体" w:cs="宋体"/>
          <w:color w:val="auto"/>
          <w:sz w:val="28"/>
          <w:szCs w:val="28"/>
          <w:highlight w:val="none"/>
        </w:rPr>
      </w:pPr>
      <w:bookmarkStart w:id="8" w:name="_Toc247527799"/>
      <w:bookmarkStart w:id="9" w:name="_Toc184635123"/>
      <w:bookmarkStart w:id="10" w:name="_Toc337317428"/>
      <w:bookmarkStart w:id="11" w:name="_Toc1630975864"/>
      <w:bookmarkStart w:id="12" w:name="_Toc247514198"/>
      <w:bookmarkStart w:id="13" w:name="_Toc432755057"/>
      <w:bookmarkStart w:id="14" w:name="_Toc300835200"/>
      <w:bookmarkStart w:id="15" w:name="_Toc11864"/>
      <w:bookmarkStart w:id="16" w:name="_Toc66949755"/>
      <w:r>
        <w:rPr>
          <w:rFonts w:hint="eastAsia" w:ascii="宋体" w:hAnsi="宋体" w:eastAsia="宋体" w:cs="宋体"/>
          <w:color w:val="auto"/>
          <w:sz w:val="28"/>
          <w:szCs w:val="28"/>
          <w:highlight w:val="none"/>
        </w:rPr>
        <w:t>第一部分  合同协议书</w:t>
      </w:r>
      <w:bookmarkEnd w:id="8"/>
      <w:bookmarkEnd w:id="9"/>
      <w:bookmarkEnd w:id="10"/>
      <w:bookmarkEnd w:id="11"/>
      <w:bookmarkEnd w:id="12"/>
      <w:bookmarkEnd w:id="13"/>
      <w:bookmarkEnd w:id="14"/>
      <w:bookmarkEnd w:id="15"/>
      <w:bookmarkEnd w:id="16"/>
    </w:p>
    <w:p w14:paraId="322A31E1">
      <w:pPr>
        <w:keepNext w:val="0"/>
        <w:keepLines w:val="0"/>
        <w:pageBreakBefore w:val="0"/>
        <w:widowControl w:val="0"/>
        <w:kinsoku/>
        <w:overflowPunct/>
        <w:topLinePunct w:val="0"/>
        <w:autoSpaceDE/>
        <w:autoSpaceDN/>
        <w:bidi w:val="0"/>
        <w:spacing w:line="50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甲方</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 xml:space="preserve">使用单位，全称）： </w:t>
      </w:r>
      <w:r>
        <w:rPr>
          <w:rFonts w:hint="eastAsia" w:ascii="宋体" w:hAnsi="宋体" w:eastAsia="宋体" w:cs="宋体"/>
          <w:color w:val="auto"/>
          <w:sz w:val="21"/>
          <w:szCs w:val="21"/>
          <w:highlight w:val="none"/>
          <w:u w:val="single"/>
        </w:rPr>
        <w:t xml:space="preserve">                              </w:t>
      </w:r>
    </w:p>
    <w:p w14:paraId="79F97C2D">
      <w:pPr>
        <w:keepNext w:val="0"/>
        <w:keepLines w:val="0"/>
        <w:pageBreakBefore w:val="0"/>
        <w:widowControl w:val="0"/>
        <w:kinsoku/>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 xml:space="preserve">代建单位，全称）： </w:t>
      </w:r>
      <w:r>
        <w:rPr>
          <w:rFonts w:hint="eastAsia" w:ascii="宋体" w:hAnsi="宋体" w:eastAsia="宋体" w:cs="宋体"/>
          <w:color w:val="auto"/>
          <w:sz w:val="21"/>
          <w:szCs w:val="21"/>
          <w:highlight w:val="none"/>
          <w:u w:val="single"/>
        </w:rPr>
        <w:t xml:space="preserve">                              </w:t>
      </w:r>
    </w:p>
    <w:p w14:paraId="37342E4C">
      <w:pPr>
        <w:keepNext w:val="0"/>
        <w:keepLines w:val="0"/>
        <w:pageBreakBefore w:val="0"/>
        <w:widowControl w:val="0"/>
        <w:kinsoku/>
        <w:wordWrap w:val="0"/>
        <w:overflowPunct/>
        <w:topLinePunct w:val="0"/>
        <w:autoSpaceDE/>
        <w:autoSpaceDN/>
        <w:bidi w:val="0"/>
        <w:spacing w:line="500" w:lineRule="exact"/>
        <w:ind w:left="0"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根据《中华人民共和国民法典》及相关法律、行政法规，遵循平等、自愿、公平和诚信原则，为保证政府投资项目的顺利实施，充分发挥政府投资效益，经甲乙双方协商同意，就</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项目由乙方代建事宜协商一致，依法达成如下协议。</w:t>
      </w:r>
    </w:p>
    <w:p w14:paraId="1B0B994E">
      <w:pPr>
        <w:keepNext w:val="0"/>
        <w:keepLines w:val="0"/>
        <w:pageBreakBefore w:val="0"/>
        <w:widowControl w:val="0"/>
        <w:kinsoku/>
        <w:overflowPunct/>
        <w:topLinePunct w:val="0"/>
        <w:autoSpaceDE/>
        <w:autoSpaceDN/>
        <w:bidi w:val="0"/>
        <w:spacing w:line="500" w:lineRule="exact"/>
        <w:ind w:left="0" w:right="-197" w:firstLine="422" w:firstLineChars="200"/>
        <w:jc w:val="both"/>
        <w:textAlignment w:val="auto"/>
        <w:rPr>
          <w:rFonts w:hint="eastAsia" w:ascii="宋体" w:hAnsi="宋体" w:eastAsia="宋体" w:cs="宋体"/>
          <w:b/>
          <w:color w:val="auto"/>
          <w:kern w:val="2"/>
          <w:sz w:val="21"/>
          <w:szCs w:val="21"/>
          <w:highlight w:val="none"/>
          <w:lang w:val="en-US" w:eastAsia="zh-CN" w:bidi="ar-SA"/>
        </w:rPr>
      </w:pPr>
      <w:bookmarkStart w:id="17" w:name="_Toc28254"/>
      <w:bookmarkStart w:id="18" w:name="_Toc15922"/>
      <w:bookmarkStart w:id="19" w:name="_Toc66818548"/>
      <w:bookmarkStart w:id="20" w:name="_Toc432755058"/>
      <w:r>
        <w:rPr>
          <w:rFonts w:hint="eastAsia" w:ascii="宋体" w:hAnsi="宋体" w:eastAsia="宋体" w:cs="宋体"/>
          <w:b/>
          <w:color w:val="auto"/>
          <w:kern w:val="2"/>
          <w:sz w:val="21"/>
          <w:szCs w:val="21"/>
          <w:highlight w:val="none"/>
          <w:lang w:val="en-US" w:eastAsia="zh-CN" w:bidi="ar-SA"/>
        </w:rPr>
        <w:t>1、代建项目概况</w:t>
      </w:r>
      <w:bookmarkEnd w:id="17"/>
      <w:bookmarkEnd w:id="18"/>
      <w:bookmarkEnd w:id="19"/>
      <w:bookmarkEnd w:id="20"/>
    </w:p>
    <w:p w14:paraId="5A74B829">
      <w:pPr>
        <w:keepNext w:val="0"/>
        <w:keepLines w:val="0"/>
        <w:pageBreakBefore w:val="0"/>
        <w:widowControl w:val="0"/>
        <w:kinsoku/>
        <w:overflowPunct/>
        <w:topLinePunct w:val="0"/>
        <w:autoSpaceDE/>
        <w:autoSpaceDN/>
        <w:bidi w:val="0"/>
        <w:spacing w:line="500" w:lineRule="exact"/>
        <w:ind w:left="0" w:right="-197"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项目名称：</w:t>
      </w:r>
      <w:r>
        <w:rPr>
          <w:rFonts w:hint="eastAsia" w:ascii="宋体" w:hAnsi="宋体" w:eastAsia="宋体" w:cs="宋体"/>
          <w:color w:val="auto"/>
          <w:kern w:val="2"/>
          <w:sz w:val="21"/>
          <w:szCs w:val="21"/>
          <w:highlight w:val="none"/>
          <w:u w:val="single"/>
          <w:lang w:val="en-US" w:eastAsia="zh-CN" w:bidi="ar-SA"/>
        </w:rPr>
        <w:t xml:space="preserve">                                  </w:t>
      </w:r>
    </w:p>
    <w:p w14:paraId="0391C7D7">
      <w:pPr>
        <w:keepNext w:val="0"/>
        <w:keepLines w:val="0"/>
        <w:pageBreakBefore w:val="0"/>
        <w:widowControl w:val="0"/>
        <w:kinsoku/>
        <w:overflowPunct/>
        <w:topLinePunct w:val="0"/>
        <w:autoSpaceDE/>
        <w:autoSpaceDN/>
        <w:bidi w:val="0"/>
        <w:spacing w:line="500" w:lineRule="exact"/>
        <w:ind w:left="0" w:right="-197"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项目总投资：</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 w:eastAsia="zh-CN" w:bidi="ar-SA"/>
        </w:rPr>
        <w:t>（</w:t>
      </w:r>
      <w:r>
        <w:rPr>
          <w:rFonts w:hint="eastAsia" w:ascii="宋体" w:hAnsi="宋体" w:eastAsia="宋体" w:cs="宋体"/>
          <w:color w:val="auto"/>
          <w:kern w:val="2"/>
          <w:sz w:val="21"/>
          <w:szCs w:val="21"/>
          <w:highlight w:val="none"/>
          <w:lang w:val="en-US" w:eastAsia="zh-CN" w:bidi="ar-SA"/>
        </w:rPr>
        <w:t>万元）</w:t>
      </w:r>
      <w:r>
        <w:rPr>
          <w:rFonts w:hint="eastAsia" w:ascii="宋体" w:hAnsi="宋体" w:eastAsia="宋体" w:cs="宋体"/>
          <w:color w:val="auto"/>
          <w:kern w:val="2"/>
          <w:sz w:val="21"/>
          <w:szCs w:val="21"/>
          <w:highlight w:val="none"/>
          <w:lang w:val="en" w:eastAsia="zh-CN" w:bidi="ar-SA"/>
        </w:rPr>
        <w:t>（</w:t>
      </w:r>
      <w:r>
        <w:rPr>
          <w:rFonts w:hint="eastAsia" w:ascii="宋体" w:hAnsi="宋体" w:eastAsia="宋体" w:cs="宋体"/>
          <w:color w:val="auto"/>
          <w:kern w:val="2"/>
          <w:sz w:val="21"/>
          <w:szCs w:val="21"/>
          <w:highlight w:val="none"/>
          <w:lang w:val="en-US" w:eastAsia="zh-CN" w:bidi="ar-SA"/>
        </w:rPr>
        <w:t>以批准的投资概算为准）</w:t>
      </w:r>
    </w:p>
    <w:p w14:paraId="6DB6F03F">
      <w:pPr>
        <w:keepNext w:val="0"/>
        <w:keepLines w:val="0"/>
        <w:pageBreakBefore w:val="0"/>
        <w:widowControl w:val="0"/>
        <w:kinsoku/>
        <w:overflowPunct/>
        <w:topLinePunct w:val="0"/>
        <w:autoSpaceDE/>
        <w:autoSpaceDN/>
        <w:bidi w:val="0"/>
        <w:spacing w:line="500" w:lineRule="exact"/>
        <w:ind w:left="0" w:right="-197"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建设地点：</w:t>
      </w:r>
      <w:r>
        <w:rPr>
          <w:rFonts w:hint="eastAsia" w:ascii="宋体" w:hAnsi="宋体" w:eastAsia="宋体" w:cs="宋体"/>
          <w:color w:val="auto"/>
          <w:kern w:val="2"/>
          <w:sz w:val="21"/>
          <w:szCs w:val="21"/>
          <w:highlight w:val="none"/>
          <w:u w:val="single"/>
          <w:lang w:val="en-US" w:eastAsia="zh-CN" w:bidi="ar-SA"/>
        </w:rPr>
        <w:t xml:space="preserve">                                  </w:t>
      </w:r>
    </w:p>
    <w:p w14:paraId="64FF83FA">
      <w:pPr>
        <w:keepNext w:val="0"/>
        <w:keepLines w:val="0"/>
        <w:pageBreakBefore w:val="0"/>
        <w:widowControl w:val="0"/>
        <w:kinsoku/>
        <w:overflowPunct/>
        <w:topLinePunct w:val="0"/>
        <w:autoSpaceDE/>
        <w:autoSpaceDN/>
        <w:bidi w:val="0"/>
        <w:spacing w:line="500" w:lineRule="exact"/>
        <w:ind w:left="0" w:right="-197" w:firstLine="420" w:firstLineChars="200"/>
        <w:jc w:val="left"/>
        <w:textAlignment w:val="auto"/>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建设内容：</w:t>
      </w:r>
      <w:r>
        <w:rPr>
          <w:rFonts w:hint="eastAsia" w:ascii="宋体" w:hAnsi="宋体" w:eastAsia="宋体" w:cs="宋体"/>
          <w:color w:val="auto"/>
          <w:kern w:val="2"/>
          <w:sz w:val="21"/>
          <w:szCs w:val="21"/>
          <w:highlight w:val="none"/>
          <w:u w:val="single"/>
          <w:lang w:val="en-US" w:eastAsia="zh-CN" w:bidi="ar-SA"/>
        </w:rPr>
        <w:t xml:space="preserve">                                  </w:t>
      </w:r>
    </w:p>
    <w:p w14:paraId="6755F9E5">
      <w:pPr>
        <w:keepNext w:val="0"/>
        <w:keepLines w:val="0"/>
        <w:pageBreakBefore w:val="0"/>
        <w:widowControl w:val="0"/>
        <w:kinsoku/>
        <w:overflowPunct/>
        <w:topLinePunct w:val="0"/>
        <w:autoSpaceDE/>
        <w:autoSpaceDN/>
        <w:bidi w:val="0"/>
        <w:spacing w:line="500" w:lineRule="exact"/>
        <w:ind w:left="0" w:right="-197" w:firstLine="422" w:firstLineChars="200"/>
        <w:jc w:val="left"/>
        <w:textAlignment w:val="auto"/>
        <w:rPr>
          <w:rFonts w:hint="eastAsia" w:ascii="宋体" w:hAnsi="宋体" w:eastAsia="宋体" w:cs="宋体"/>
          <w:b/>
          <w:color w:val="auto"/>
          <w:kern w:val="2"/>
          <w:sz w:val="21"/>
          <w:szCs w:val="21"/>
          <w:highlight w:val="none"/>
          <w:u w:val="single"/>
          <w:lang w:val="en-US" w:eastAsia="zh-CN" w:bidi="ar-SA"/>
        </w:rPr>
      </w:pPr>
      <w:r>
        <w:rPr>
          <w:rFonts w:hint="eastAsia" w:ascii="宋体" w:hAnsi="宋体" w:eastAsia="宋体" w:cs="宋体"/>
          <w:b/>
          <w:color w:val="auto"/>
          <w:kern w:val="2"/>
          <w:sz w:val="21"/>
          <w:szCs w:val="21"/>
          <w:highlight w:val="none"/>
          <w:lang w:val="en-US" w:eastAsia="zh-CN" w:bidi="ar-SA"/>
        </w:rPr>
        <w:t>2、乙方代建管</w:t>
      </w:r>
      <w:r>
        <w:rPr>
          <w:rFonts w:hint="eastAsia" w:ascii="宋体" w:hAnsi="宋体" w:eastAsia="宋体" w:cs="宋体"/>
          <w:b w:val="0"/>
          <w:bCs/>
          <w:color w:val="auto"/>
          <w:kern w:val="2"/>
          <w:sz w:val="21"/>
          <w:szCs w:val="21"/>
          <w:highlight w:val="none"/>
          <w:lang w:val="en-US" w:eastAsia="zh-CN" w:bidi="ar-SA"/>
        </w:rPr>
        <w:t>理</w:t>
      </w:r>
      <w:r>
        <w:rPr>
          <w:rFonts w:hint="eastAsia" w:ascii="宋体" w:hAnsi="宋体" w:eastAsia="宋体" w:cs="宋体"/>
          <w:b/>
          <w:color w:val="auto"/>
          <w:kern w:val="2"/>
          <w:sz w:val="21"/>
          <w:szCs w:val="21"/>
          <w:highlight w:val="none"/>
          <w:lang w:val="en-US" w:eastAsia="zh-CN" w:bidi="ar-SA"/>
        </w:rPr>
        <w:t>范围和内容：</w:t>
      </w:r>
    </w:p>
    <w:p w14:paraId="3B244C76">
      <w:pPr>
        <w:keepNext w:val="0"/>
        <w:keepLines w:val="0"/>
        <w:pageBreakBefore w:val="0"/>
        <w:widowControl w:val="0"/>
        <w:kinsoku/>
        <w:wordWrap w:val="0"/>
        <w:overflowPunct/>
        <w:topLinePunct w:val="0"/>
        <w:autoSpaceDE/>
        <w:autoSpaceDN/>
        <w:bidi w:val="0"/>
        <w:spacing w:line="500" w:lineRule="exact"/>
        <w:ind w:firstLine="420" w:firstLineChars="200"/>
        <w:jc w:val="both"/>
        <w:textAlignment w:val="auto"/>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z w:val="21"/>
          <w:szCs w:val="21"/>
          <w:highlight w:val="none"/>
        </w:rPr>
        <w:t>2.1代建管理主要范围：</w:t>
      </w:r>
      <w:r>
        <w:rPr>
          <w:rFonts w:hint="eastAsia" w:ascii="宋体" w:hAnsi="宋体" w:eastAsia="宋体" w:cs="宋体"/>
          <w:color w:val="auto"/>
          <w:sz w:val="21"/>
          <w:szCs w:val="21"/>
          <w:highlight w:val="none"/>
          <w:lang w:eastAsia="zh-CN"/>
        </w:rPr>
        <w:t>从项目可研批复后、代建合同生效开始至工程实体移交为止，对项目的</w:t>
      </w:r>
      <w:r>
        <w:rPr>
          <w:rFonts w:hint="eastAsia" w:ascii="宋体" w:hAnsi="宋体" w:eastAsia="宋体" w:cs="宋体"/>
          <w:color w:val="auto"/>
          <w:sz w:val="21"/>
          <w:szCs w:val="21"/>
          <w:highlight w:val="none"/>
          <w:u w:val="single"/>
          <w:lang w:eastAsia="zh-CN"/>
        </w:rPr>
        <w:t>前期工作、建安工程、材料设备采购、室外工程及相关事项等</w:t>
      </w:r>
      <w:r>
        <w:rPr>
          <w:rFonts w:hint="eastAsia" w:ascii="宋体" w:hAnsi="宋体" w:eastAsia="宋体" w:cs="宋体"/>
          <w:color w:val="auto"/>
          <w:sz w:val="21"/>
          <w:szCs w:val="21"/>
          <w:highlight w:val="none"/>
          <w:lang w:eastAsia="zh-CN"/>
        </w:rPr>
        <w:t>进行全过程管理（可根据项目实际调</w:t>
      </w:r>
      <w:r>
        <w:rPr>
          <w:rFonts w:hint="eastAsia" w:ascii="宋体" w:hAnsi="宋体" w:eastAsia="宋体" w:cs="宋体"/>
          <w:color w:val="auto"/>
          <w:spacing w:val="-4"/>
          <w:sz w:val="21"/>
          <w:szCs w:val="21"/>
          <w:highlight w:val="none"/>
          <w:lang w:eastAsia="zh-CN"/>
        </w:rPr>
        <w:t>整表述）。</w:t>
      </w:r>
    </w:p>
    <w:p w14:paraId="21F940CF">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2.2代建管理服务主要内容：</w:t>
      </w:r>
    </w:p>
    <w:p w14:paraId="41603856">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代建单位在代建期限内行使建设单位相关权利、代行招标人相关职责，负责项目实施的组织、协调、管理等工作，具体负责下列事项：</w:t>
      </w:r>
    </w:p>
    <w:p w14:paraId="43A8719C">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（1）依据批准的可行性研究报告组织编报初步设计及概算、施工图设计及预算；</w:t>
      </w:r>
    </w:p>
    <w:p w14:paraId="7BD28A8F">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（2）组织开展项目勘察、设计、监理、造价咨询等相关工程服务和施工以及设备材料等的采购招标，负责工程合同的洽谈；</w:t>
      </w:r>
    </w:p>
    <w:p w14:paraId="7F66CEFE">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（3）办理规划、节能、环保、消防、人防、园林、施工、市政、设计变更、概算调整等有关事项报批手续；</w:t>
      </w:r>
    </w:p>
    <w:p w14:paraId="2C5BCBD7">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（4）督促项目各参建单位加强项目质量和安全生产管理；</w:t>
      </w:r>
    </w:p>
    <w:p w14:paraId="38E3A143">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（5）配合建设单位按照项目进度申报财政资金，并按月向发展改革、财政部门报送工程进度及资金使用情况；</w:t>
      </w:r>
    </w:p>
    <w:p w14:paraId="3B83AAED">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（6）组织工程验收，办理竣工验收备案，向建设单位办理项目实体移交手续；</w:t>
      </w:r>
    </w:p>
    <w:p w14:paraId="173FFBBA">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（7）办理工程结算、协助建设单位办理竣工财务决算；</w:t>
      </w:r>
    </w:p>
    <w:p w14:paraId="40FB6BB0">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（8）整理汇编并移交有关项目资料；</w:t>
      </w:r>
    </w:p>
    <w:p w14:paraId="3620EA7F">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（9）做好缺陷责任期和保修期的服务工作；</w:t>
      </w:r>
    </w:p>
    <w:p w14:paraId="5F70D105">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（10）依据代建合同约定应当承担的其他工作。</w:t>
      </w:r>
    </w:p>
    <w:p w14:paraId="1A0047F5">
      <w:pPr>
        <w:keepNext w:val="0"/>
        <w:keepLines w:val="0"/>
        <w:pageBreakBefore w:val="0"/>
        <w:widowControl w:val="0"/>
        <w:kinsoku/>
        <w:overflowPunct/>
        <w:topLinePunct w:val="0"/>
        <w:autoSpaceDE/>
        <w:autoSpaceDN/>
        <w:bidi w:val="0"/>
        <w:spacing w:line="500" w:lineRule="exact"/>
        <w:ind w:right="0" w:firstLine="422" w:firstLineChars="200"/>
        <w:jc w:val="both"/>
        <w:textAlignment w:val="auto"/>
        <w:rPr>
          <w:rFonts w:hint="eastAsia" w:ascii="宋体" w:hAnsi="宋体" w:eastAsia="宋体" w:cs="宋体"/>
          <w:b/>
          <w:bCs w:val="0"/>
          <w:color w:val="auto"/>
          <w:kern w:val="2"/>
          <w:sz w:val="21"/>
          <w:szCs w:val="21"/>
          <w:highlight w:val="none"/>
          <w:lang w:val="en-US" w:eastAsia="zh-CN" w:bidi="ar-SA"/>
        </w:rPr>
      </w:pPr>
      <w:r>
        <w:rPr>
          <w:rFonts w:hint="eastAsia" w:ascii="宋体" w:hAnsi="宋体" w:eastAsia="宋体" w:cs="宋体"/>
          <w:b/>
          <w:bCs w:val="0"/>
          <w:color w:val="auto"/>
          <w:kern w:val="2"/>
          <w:sz w:val="21"/>
          <w:szCs w:val="21"/>
          <w:highlight w:val="none"/>
          <w:lang w:val="en-US" w:eastAsia="zh-CN" w:bidi="ar-SA"/>
        </w:rPr>
        <w:t>3、代建项目管理目标</w:t>
      </w:r>
    </w:p>
    <w:p w14:paraId="069626DA">
      <w:pPr>
        <w:keepNext w:val="0"/>
        <w:keepLines w:val="0"/>
        <w:pageBreakBefore w:val="0"/>
        <w:widowControl w:val="0"/>
        <w:kinsoku/>
        <w:overflowPunct/>
        <w:topLinePunct w:val="0"/>
        <w:autoSpaceDE/>
        <w:autoSpaceDN/>
        <w:bidi w:val="0"/>
        <w:spacing w:line="500" w:lineRule="exact"/>
        <w:ind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代建范围内投资控制金额：暂按可行性研究报告批复的投资估算</w:t>
      </w:r>
      <w:r>
        <w:rPr>
          <w:rFonts w:hint="eastAsia" w:ascii="宋体" w:hAnsi="宋体" w:eastAsia="宋体" w:cs="宋体"/>
          <w:color w:val="auto"/>
          <w:kern w:val="2"/>
          <w:sz w:val="21"/>
          <w:szCs w:val="21"/>
          <w:highlight w:val="none"/>
          <w:lang w:val="en" w:eastAsia="zh-CN" w:bidi="ar-SA"/>
        </w:rPr>
        <w:t>（</w:t>
      </w:r>
      <w:r>
        <w:rPr>
          <w:rFonts w:hint="eastAsia" w:ascii="宋体" w:hAnsi="宋体" w:eastAsia="宋体" w:cs="宋体"/>
          <w:color w:val="auto"/>
          <w:kern w:val="2"/>
          <w:sz w:val="21"/>
          <w:szCs w:val="21"/>
          <w:highlight w:val="none"/>
          <w:lang w:val="en-US" w:eastAsia="zh-CN" w:bidi="ar-SA"/>
        </w:rPr>
        <w:t>阶段性代建为已批复概算）</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万元为投资控制金额，以代建范围内最终批准的概算投资额为准。</w:t>
      </w:r>
    </w:p>
    <w:p w14:paraId="3279E90E">
      <w:pPr>
        <w:keepNext w:val="0"/>
        <w:keepLines w:val="0"/>
        <w:pageBreakBefore w:val="0"/>
        <w:widowControl w:val="0"/>
        <w:kinsoku/>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代建周期：合同生效之日起到实体移交手续完成止。其中合同生效之日起至工程竣工验收合格之日止为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日；竣工验收合格后90日内向财政部门申请办理工程结算事宜，并按合同约定向使用单位办理实体移交手续。</w:t>
      </w:r>
    </w:p>
    <w:p w14:paraId="7AB1621F">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代建项目工程质量标准：依照国家</w:t>
      </w:r>
      <w:r>
        <w:rPr>
          <w:rFonts w:hint="eastAsia" w:ascii="宋体" w:hAnsi="宋体" w:eastAsia="宋体" w:cs="宋体"/>
          <w:color w:val="auto"/>
          <w:kern w:val="2"/>
          <w:sz w:val="21"/>
          <w:szCs w:val="21"/>
          <w:highlight w:val="none"/>
          <w:u w:val="single"/>
          <w:lang w:val="en-US" w:eastAsia="zh-CN" w:bidi="ar-SA"/>
        </w:rPr>
        <w:t>《             》</w:t>
      </w:r>
      <w:r>
        <w:rPr>
          <w:rFonts w:hint="eastAsia" w:ascii="宋体" w:hAnsi="宋体" w:eastAsia="宋体" w:cs="宋体"/>
          <w:color w:val="auto"/>
          <w:kern w:val="2"/>
          <w:sz w:val="21"/>
          <w:szCs w:val="21"/>
          <w:highlight w:val="none"/>
          <w:lang w:val="en-US" w:eastAsia="zh-CN" w:bidi="ar-SA"/>
        </w:rPr>
        <w:t>（相应法定质量标准）达到合格。</w:t>
      </w:r>
    </w:p>
    <w:p w14:paraId="054176F3">
      <w:pPr>
        <w:keepNext w:val="0"/>
        <w:keepLines w:val="0"/>
        <w:pageBreakBefore w:val="0"/>
        <w:widowControl w:val="0"/>
        <w:kinsoku/>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代建项目安全管理目标：代建单位无安全责任事故。</w:t>
      </w:r>
    </w:p>
    <w:p w14:paraId="034894B3">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廉洁守法目标：严格遵守法律、法规、政策要求和廉洁规定，无违法违纪行为。</w:t>
      </w:r>
    </w:p>
    <w:p w14:paraId="23751123">
      <w:pPr>
        <w:keepNext w:val="0"/>
        <w:keepLines w:val="0"/>
        <w:pageBreakBefore w:val="0"/>
        <w:widowControl w:val="0"/>
        <w:kinsoku/>
        <w:overflowPunct/>
        <w:topLinePunct w:val="0"/>
        <w:autoSpaceDE/>
        <w:autoSpaceDN/>
        <w:bidi w:val="0"/>
        <w:spacing w:line="500" w:lineRule="exact"/>
        <w:ind w:left="0" w:right="0" w:firstLine="422" w:firstLineChars="200"/>
        <w:jc w:val="both"/>
        <w:textAlignment w:val="auto"/>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4、代建服务费</w:t>
      </w:r>
    </w:p>
    <w:p w14:paraId="63936FE1">
      <w:pPr>
        <w:keepNext w:val="0"/>
        <w:keepLines w:val="0"/>
        <w:pageBreakBefore w:val="0"/>
        <w:widowControl w:val="0"/>
        <w:kinsoku/>
        <w:overflowPunct/>
        <w:topLinePunct w:val="0"/>
        <w:autoSpaceDE/>
        <w:autoSpaceDN/>
        <w:bidi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甲方应向乙方支付代建服务费，代建服务费：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万元（大写：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）（多个项目打捆招标的代建服务费应每个项目分别计取后再汇总取和）。</w:t>
      </w:r>
    </w:p>
    <w:p w14:paraId="49F4513D">
      <w:pPr>
        <w:keepNext w:val="0"/>
        <w:keepLines w:val="0"/>
        <w:pageBreakBefore w:val="0"/>
        <w:widowControl w:val="0"/>
        <w:kinsoku/>
        <w:overflowPunct/>
        <w:topLinePunct w:val="0"/>
        <w:autoSpaceDE/>
        <w:autoSpaceDN/>
        <w:bidi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本合同为固定总价合同，合同签订后除因项目额外工作外，合同价格不再进行调整。</w:t>
      </w:r>
    </w:p>
    <w:p w14:paraId="6F3F8682">
      <w:pPr>
        <w:keepNext w:val="0"/>
        <w:keepLines w:val="0"/>
        <w:pageBreakBefore w:val="0"/>
        <w:widowControl w:val="0"/>
        <w:kinsoku/>
        <w:overflowPunct/>
        <w:topLinePunct w:val="0"/>
        <w:autoSpaceDE/>
        <w:autoSpaceDN/>
        <w:bidi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代建服务费支付详见本合同专用条款约定。</w:t>
      </w:r>
    </w:p>
    <w:p w14:paraId="77FEB59F">
      <w:pPr>
        <w:keepNext w:val="0"/>
        <w:keepLines w:val="0"/>
        <w:pageBreakBefore w:val="0"/>
        <w:widowControl w:val="0"/>
        <w:kinsoku/>
        <w:overflowPunct/>
        <w:topLinePunct w:val="0"/>
        <w:autoSpaceDE/>
        <w:autoSpaceDN/>
        <w:bidi w:val="0"/>
        <w:spacing w:line="500" w:lineRule="exact"/>
        <w:ind w:left="0" w:right="0" w:firstLine="422" w:firstLineChars="200"/>
        <w:jc w:val="both"/>
        <w:textAlignment w:val="auto"/>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5、合同文件</w:t>
      </w:r>
    </w:p>
    <w:p w14:paraId="49295FCF">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组成合同的各项文件应互为解释说明。合同专用条款是对通用条款的补充和细化，但不得违反法律、行政法规的强制性规定，以及平等、自愿、公平和诚实信用原则。除通用条款明确规定可以作出不同约定外，专用条款补充和细化的内容不得与通用条款相抵触，否则相关内容无效。除合同专用条款另有约定外，合同文件的组成及优先顺序如下：</w:t>
      </w:r>
    </w:p>
    <w:p w14:paraId="763F150F">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 w:eastAsia="zh-CN" w:bidi="ar-SA"/>
        </w:rPr>
        <w:t>（</w:t>
      </w:r>
      <w:r>
        <w:rPr>
          <w:rFonts w:hint="eastAsia" w:ascii="宋体" w:hAnsi="宋体" w:eastAsia="宋体" w:cs="宋体"/>
          <w:color w:val="auto"/>
          <w:kern w:val="2"/>
          <w:sz w:val="21"/>
          <w:szCs w:val="21"/>
          <w:highlight w:val="none"/>
          <w:lang w:val="en-US" w:eastAsia="zh-CN" w:bidi="ar-SA"/>
        </w:rPr>
        <w:t>1）合同协议书；</w:t>
      </w:r>
    </w:p>
    <w:p w14:paraId="29E812BA">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 w:eastAsia="zh-CN" w:bidi="ar-SA"/>
        </w:rPr>
        <w:t>（</w:t>
      </w:r>
      <w:r>
        <w:rPr>
          <w:rFonts w:hint="eastAsia" w:ascii="宋体" w:hAnsi="宋体" w:eastAsia="宋体" w:cs="宋体"/>
          <w:color w:val="auto"/>
          <w:kern w:val="2"/>
          <w:sz w:val="21"/>
          <w:szCs w:val="21"/>
          <w:highlight w:val="none"/>
          <w:lang w:val="en-US" w:eastAsia="zh-CN" w:bidi="ar-SA"/>
        </w:rPr>
        <w:t>2）中标通知书；</w:t>
      </w:r>
    </w:p>
    <w:p w14:paraId="2062E119">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 w:eastAsia="zh-CN" w:bidi="ar-SA"/>
        </w:rPr>
        <w:t>（</w:t>
      </w:r>
      <w:r>
        <w:rPr>
          <w:rFonts w:hint="eastAsia" w:ascii="宋体" w:hAnsi="宋体" w:eastAsia="宋体" w:cs="宋体"/>
          <w:color w:val="auto"/>
          <w:kern w:val="2"/>
          <w:sz w:val="21"/>
          <w:szCs w:val="21"/>
          <w:highlight w:val="none"/>
          <w:lang w:val="en-US" w:eastAsia="zh-CN" w:bidi="ar-SA"/>
        </w:rPr>
        <w:t>3）投标函及投标函附录；</w:t>
      </w:r>
    </w:p>
    <w:p w14:paraId="2EC01CE8">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 w:eastAsia="zh-CN" w:bidi="ar-SA"/>
        </w:rPr>
        <w:t>（</w:t>
      </w:r>
      <w:r>
        <w:rPr>
          <w:rFonts w:hint="eastAsia" w:ascii="宋体" w:hAnsi="宋体" w:eastAsia="宋体" w:cs="宋体"/>
          <w:color w:val="auto"/>
          <w:kern w:val="2"/>
          <w:sz w:val="21"/>
          <w:szCs w:val="21"/>
          <w:highlight w:val="none"/>
          <w:lang w:val="en-US" w:eastAsia="zh-CN" w:bidi="ar-SA"/>
        </w:rPr>
        <w:t xml:space="preserve">4）合同专用条款； </w:t>
      </w:r>
    </w:p>
    <w:p w14:paraId="0A024506">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 w:eastAsia="zh-CN" w:bidi="ar-SA"/>
        </w:rPr>
        <w:t>（</w:t>
      </w:r>
      <w:r>
        <w:rPr>
          <w:rFonts w:hint="eastAsia" w:ascii="宋体" w:hAnsi="宋体" w:eastAsia="宋体" w:cs="宋体"/>
          <w:color w:val="auto"/>
          <w:kern w:val="2"/>
          <w:sz w:val="21"/>
          <w:szCs w:val="21"/>
          <w:highlight w:val="none"/>
          <w:lang w:val="en-US" w:eastAsia="zh-CN" w:bidi="ar-SA"/>
        </w:rPr>
        <w:t>5）合同通用条款；</w:t>
      </w:r>
    </w:p>
    <w:p w14:paraId="74FEEF5A">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 w:eastAsia="zh-CN" w:bidi="ar-SA"/>
        </w:rPr>
        <w:t>（</w:t>
      </w:r>
      <w:r>
        <w:rPr>
          <w:rFonts w:hint="eastAsia" w:ascii="宋体" w:hAnsi="宋体" w:eastAsia="宋体" w:cs="宋体"/>
          <w:color w:val="auto"/>
          <w:kern w:val="2"/>
          <w:sz w:val="21"/>
          <w:szCs w:val="21"/>
          <w:highlight w:val="none"/>
          <w:lang w:val="en-US" w:eastAsia="zh-CN" w:bidi="ar-SA"/>
        </w:rPr>
        <w:t>6）招标文件中的标准、规范及有关技术文件；</w:t>
      </w:r>
    </w:p>
    <w:p w14:paraId="36E566F2">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 w:eastAsia="zh-CN" w:bidi="ar-SA"/>
        </w:rPr>
        <w:t>（</w:t>
      </w:r>
      <w:r>
        <w:rPr>
          <w:rFonts w:hint="eastAsia" w:ascii="宋体" w:hAnsi="宋体" w:eastAsia="宋体" w:cs="宋体"/>
          <w:color w:val="auto"/>
          <w:kern w:val="2"/>
          <w:sz w:val="21"/>
          <w:szCs w:val="21"/>
          <w:highlight w:val="none"/>
          <w:lang w:val="en-US" w:eastAsia="zh-CN" w:bidi="ar-SA"/>
        </w:rPr>
        <w:t>7）乙方投标文件中的项目管理方案、团队人员配置和其它投标承诺；</w:t>
      </w:r>
    </w:p>
    <w:p w14:paraId="23398D54">
      <w:pPr>
        <w:keepNext w:val="0"/>
        <w:keepLines w:val="0"/>
        <w:pageBreakBefore w:val="0"/>
        <w:widowControl w:val="0"/>
        <w:kinsoku/>
        <w:overflowPunct/>
        <w:topLinePunct w:val="0"/>
        <w:autoSpaceDE/>
        <w:autoSpaceDN/>
        <w:bidi w:val="0"/>
        <w:spacing w:line="500" w:lineRule="exact"/>
        <w:ind w:left="0"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 w:eastAsia="zh-CN" w:bidi="ar-SA"/>
        </w:rPr>
        <w:t>（</w:t>
      </w:r>
      <w:r>
        <w:rPr>
          <w:rFonts w:hint="eastAsia" w:ascii="宋体" w:hAnsi="宋体" w:eastAsia="宋体" w:cs="宋体"/>
          <w:color w:val="auto"/>
          <w:kern w:val="2"/>
          <w:sz w:val="21"/>
          <w:szCs w:val="21"/>
          <w:highlight w:val="none"/>
          <w:lang w:val="en-US" w:eastAsia="zh-CN" w:bidi="ar-SA"/>
        </w:rPr>
        <w:t>8）其他合同文件。</w:t>
      </w:r>
    </w:p>
    <w:p w14:paraId="0AD091D6">
      <w:pPr>
        <w:keepNext w:val="0"/>
        <w:keepLines w:val="0"/>
        <w:pageBreakBefore w:val="0"/>
        <w:widowControl w:val="0"/>
        <w:kinsoku/>
        <w:overflowPunct/>
        <w:topLinePunct w:val="0"/>
        <w:autoSpaceDE/>
        <w:autoSpaceDN/>
        <w:bidi w:val="0"/>
        <w:spacing w:line="500" w:lineRule="exact"/>
        <w:ind w:left="0" w:right="0"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6、</w:t>
      </w:r>
      <w:r>
        <w:rPr>
          <w:rFonts w:hint="eastAsia" w:ascii="宋体" w:hAnsi="宋体" w:eastAsia="宋体" w:cs="宋体"/>
          <w:color w:val="auto"/>
          <w:kern w:val="2"/>
          <w:sz w:val="21"/>
          <w:szCs w:val="21"/>
          <w:highlight w:val="none"/>
          <w:lang w:val="en-US" w:eastAsia="zh-CN" w:bidi="ar-SA"/>
        </w:rPr>
        <w:t>甲方承诺，遵守本合同中的各项约定，按合同约定的条件、时间和方式向乙方支付合同价款。</w:t>
      </w:r>
    </w:p>
    <w:p w14:paraId="330D4D05">
      <w:pPr>
        <w:keepNext w:val="0"/>
        <w:keepLines w:val="0"/>
        <w:pageBreakBefore w:val="0"/>
        <w:widowControl w:val="0"/>
        <w:kinsoku/>
        <w:overflowPunct/>
        <w:topLinePunct w:val="0"/>
        <w:autoSpaceDE/>
        <w:autoSpaceDN/>
        <w:bidi w:val="0"/>
        <w:spacing w:line="500" w:lineRule="exact"/>
        <w:ind w:left="0" w:right="0"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7、</w:t>
      </w:r>
      <w:r>
        <w:rPr>
          <w:rFonts w:hint="eastAsia" w:ascii="宋体" w:hAnsi="宋体" w:eastAsia="宋体" w:cs="宋体"/>
          <w:color w:val="auto"/>
          <w:kern w:val="2"/>
          <w:sz w:val="21"/>
          <w:szCs w:val="21"/>
          <w:highlight w:val="none"/>
          <w:lang w:val="en-US" w:eastAsia="zh-CN" w:bidi="ar-SA"/>
        </w:rPr>
        <w:t>乙方承诺，遵守本合同中的各项约定，按照代建工作范围和内容，承担和完成代建任务。</w:t>
      </w:r>
    </w:p>
    <w:p w14:paraId="549832C0">
      <w:pPr>
        <w:keepNext w:val="0"/>
        <w:keepLines w:val="0"/>
        <w:pageBreakBefore w:val="0"/>
        <w:widowControl w:val="0"/>
        <w:kinsoku/>
        <w:overflowPunct/>
        <w:topLinePunct w:val="0"/>
        <w:autoSpaceDE/>
        <w:autoSpaceDN/>
        <w:bidi w:val="0"/>
        <w:spacing w:line="500" w:lineRule="exact"/>
        <w:ind w:left="0" w:right="0"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8、</w:t>
      </w:r>
      <w:r>
        <w:rPr>
          <w:rFonts w:hint="eastAsia" w:ascii="宋体" w:hAnsi="宋体" w:eastAsia="宋体" w:cs="宋体"/>
          <w:color w:val="auto"/>
          <w:kern w:val="2"/>
          <w:sz w:val="21"/>
          <w:szCs w:val="21"/>
          <w:highlight w:val="none"/>
          <w:lang w:val="en-US" w:eastAsia="zh-CN" w:bidi="ar-SA"/>
        </w:rPr>
        <w:t>本合同协议书一式</w:t>
      </w:r>
      <w:r>
        <w:rPr>
          <w:rFonts w:hint="eastAsia" w:ascii="宋体" w:hAnsi="宋体" w:eastAsia="宋体" w:cs="宋体"/>
          <w:color w:val="auto"/>
          <w:kern w:val="2"/>
          <w:sz w:val="21"/>
          <w:szCs w:val="21"/>
          <w:highlight w:val="none"/>
          <w:u w:val="single"/>
          <w:lang w:val="en-US" w:eastAsia="zh-CN" w:bidi="ar-SA"/>
        </w:rPr>
        <w:t>拾</w:t>
      </w:r>
      <w:r>
        <w:rPr>
          <w:rFonts w:hint="eastAsia" w:ascii="宋体" w:hAnsi="宋体" w:eastAsia="宋体" w:cs="宋体"/>
          <w:color w:val="auto"/>
          <w:kern w:val="2"/>
          <w:sz w:val="21"/>
          <w:szCs w:val="21"/>
          <w:highlight w:val="none"/>
          <w:lang w:val="en-US" w:eastAsia="zh-CN" w:bidi="ar-SA"/>
        </w:rPr>
        <w:t>份，其中正本</w:t>
      </w:r>
      <w:r>
        <w:rPr>
          <w:rFonts w:hint="eastAsia" w:ascii="宋体" w:hAnsi="宋体" w:eastAsia="宋体" w:cs="宋体"/>
          <w:b/>
          <w:color w:val="auto"/>
          <w:kern w:val="2"/>
          <w:sz w:val="21"/>
          <w:szCs w:val="21"/>
          <w:highlight w:val="none"/>
          <w:u w:val="single"/>
          <w:lang w:val="en-US" w:eastAsia="zh-CN" w:bidi="ar-SA"/>
        </w:rPr>
        <w:t>贰</w:t>
      </w:r>
      <w:r>
        <w:rPr>
          <w:rFonts w:hint="eastAsia" w:ascii="宋体" w:hAnsi="宋体" w:eastAsia="宋体" w:cs="宋体"/>
          <w:color w:val="auto"/>
          <w:kern w:val="2"/>
          <w:sz w:val="21"/>
          <w:szCs w:val="21"/>
          <w:highlight w:val="none"/>
          <w:lang w:val="en-US" w:eastAsia="zh-CN" w:bidi="ar-SA"/>
        </w:rPr>
        <w:t>份，甲方、乙方各执</w:t>
      </w:r>
      <w:r>
        <w:rPr>
          <w:rFonts w:hint="eastAsia" w:ascii="宋体" w:hAnsi="宋体" w:eastAsia="宋体" w:cs="宋体"/>
          <w:color w:val="auto"/>
          <w:kern w:val="2"/>
          <w:sz w:val="21"/>
          <w:szCs w:val="21"/>
          <w:highlight w:val="none"/>
          <w:u w:val="single"/>
          <w:lang w:val="en-US" w:eastAsia="zh-CN" w:bidi="ar-SA"/>
        </w:rPr>
        <w:t>壹</w:t>
      </w:r>
      <w:r>
        <w:rPr>
          <w:rFonts w:hint="eastAsia" w:ascii="宋体" w:hAnsi="宋体" w:eastAsia="宋体" w:cs="宋体"/>
          <w:color w:val="auto"/>
          <w:kern w:val="2"/>
          <w:sz w:val="21"/>
          <w:szCs w:val="21"/>
          <w:highlight w:val="none"/>
          <w:lang w:val="en-US" w:eastAsia="zh-CN" w:bidi="ar-SA"/>
        </w:rPr>
        <w:t>份，副本</w:t>
      </w:r>
      <w:r>
        <w:rPr>
          <w:rFonts w:hint="eastAsia" w:ascii="宋体" w:hAnsi="宋体" w:eastAsia="宋体" w:cs="宋体"/>
          <w:color w:val="auto"/>
          <w:kern w:val="2"/>
          <w:sz w:val="21"/>
          <w:szCs w:val="21"/>
          <w:highlight w:val="none"/>
          <w:u w:val="single"/>
          <w:lang w:val="en-US" w:eastAsia="zh-CN" w:bidi="ar-SA"/>
        </w:rPr>
        <w:t>捌</w:t>
      </w:r>
      <w:r>
        <w:rPr>
          <w:rFonts w:hint="eastAsia" w:ascii="宋体" w:hAnsi="宋体" w:eastAsia="宋体" w:cs="宋体"/>
          <w:color w:val="auto"/>
          <w:kern w:val="2"/>
          <w:sz w:val="21"/>
          <w:szCs w:val="21"/>
          <w:highlight w:val="none"/>
          <w:lang w:val="en-US" w:eastAsia="zh-CN" w:bidi="ar-SA"/>
        </w:rPr>
        <w:t>份，甲方、乙方各执</w:t>
      </w:r>
      <w:r>
        <w:rPr>
          <w:rFonts w:hint="eastAsia" w:ascii="宋体" w:hAnsi="宋体" w:eastAsia="宋体" w:cs="宋体"/>
          <w:color w:val="auto"/>
          <w:kern w:val="2"/>
          <w:sz w:val="21"/>
          <w:szCs w:val="21"/>
          <w:highlight w:val="none"/>
          <w:u w:val="single"/>
          <w:lang w:val="en-US" w:eastAsia="zh-CN" w:bidi="ar-SA"/>
        </w:rPr>
        <w:t>壹</w:t>
      </w:r>
      <w:r>
        <w:rPr>
          <w:rFonts w:hint="eastAsia" w:ascii="宋体" w:hAnsi="宋体" w:eastAsia="宋体" w:cs="宋体"/>
          <w:color w:val="auto"/>
          <w:kern w:val="2"/>
          <w:sz w:val="21"/>
          <w:szCs w:val="21"/>
          <w:highlight w:val="none"/>
          <w:lang w:val="en-US" w:eastAsia="zh-CN" w:bidi="ar-SA"/>
        </w:rPr>
        <w:t>份，其余副本由甲方分送有关单位。</w:t>
      </w:r>
    </w:p>
    <w:p w14:paraId="2639C543">
      <w:pPr>
        <w:keepNext w:val="0"/>
        <w:keepLines w:val="0"/>
        <w:pageBreakBefore w:val="0"/>
        <w:widowControl w:val="0"/>
        <w:kinsoku/>
        <w:overflowPunct/>
        <w:topLinePunct w:val="0"/>
        <w:autoSpaceDE/>
        <w:autoSpaceDN/>
        <w:bidi w:val="0"/>
        <w:spacing w:line="500" w:lineRule="exact"/>
        <w:ind w:left="0" w:right="0" w:firstLine="422" w:firstLineChars="200"/>
        <w:jc w:val="both"/>
        <w:textAlignment w:val="auto"/>
        <w:rPr>
          <w:rFonts w:hint="eastAsia" w:ascii="宋体" w:hAnsi="宋体" w:eastAsia="宋体" w:cs="宋体"/>
          <w:color w:val="auto"/>
          <w:kern w:val="2"/>
          <w:sz w:val="21"/>
          <w:szCs w:val="21"/>
          <w:highlight w:val="none"/>
          <w:lang w:val="en-US" w:eastAsia="zh-CN" w:bidi="ar-SA"/>
        </w:rPr>
      </w:pPr>
      <w:bookmarkStart w:id="21" w:name="_Toc144974830"/>
      <w:bookmarkStart w:id="22" w:name="_Toc152042550"/>
      <w:r>
        <w:rPr>
          <w:rFonts w:hint="eastAsia" w:ascii="宋体" w:hAnsi="宋体" w:eastAsia="宋体" w:cs="宋体"/>
          <w:b/>
          <w:color w:val="auto"/>
          <w:kern w:val="2"/>
          <w:sz w:val="21"/>
          <w:szCs w:val="21"/>
          <w:highlight w:val="none"/>
          <w:lang w:val="en-US" w:eastAsia="zh-CN" w:bidi="ar-SA"/>
        </w:rPr>
        <w:t>9</w:t>
      </w:r>
      <w:r>
        <w:rPr>
          <w:rFonts w:hint="eastAsia" w:ascii="宋体" w:hAnsi="宋体" w:eastAsia="宋体" w:cs="宋体"/>
          <w:color w:val="auto"/>
          <w:kern w:val="2"/>
          <w:sz w:val="21"/>
          <w:szCs w:val="21"/>
          <w:highlight w:val="none"/>
          <w:lang w:val="en-US" w:eastAsia="zh-CN" w:bidi="ar-SA"/>
        </w:rPr>
        <w:t>、本协议未尽事宜，双方可另行签订补充协议。补充协议是合同的组成部分</w:t>
      </w:r>
      <w:bookmarkEnd w:id="21"/>
      <w:bookmarkEnd w:id="22"/>
      <w:r>
        <w:rPr>
          <w:rFonts w:hint="eastAsia" w:ascii="宋体" w:hAnsi="宋体" w:eastAsia="宋体" w:cs="宋体"/>
          <w:color w:val="auto"/>
          <w:kern w:val="2"/>
          <w:sz w:val="21"/>
          <w:szCs w:val="21"/>
          <w:highlight w:val="none"/>
          <w:lang w:val="en-US" w:eastAsia="zh-CN" w:bidi="ar-SA"/>
        </w:rPr>
        <w:t>，与本协议具有同等法律效力。</w:t>
      </w:r>
    </w:p>
    <w:p w14:paraId="4F44B754">
      <w:pPr>
        <w:keepNext w:val="0"/>
        <w:keepLines w:val="0"/>
        <w:pageBreakBefore w:val="0"/>
        <w:widowControl w:val="0"/>
        <w:kinsoku/>
        <w:overflowPunct/>
        <w:topLinePunct w:val="0"/>
        <w:autoSpaceDE/>
        <w:autoSpaceDN/>
        <w:bidi w:val="0"/>
        <w:spacing w:line="500" w:lineRule="exact"/>
        <w:ind w:left="0" w:right="0"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10、</w:t>
      </w:r>
      <w:r>
        <w:rPr>
          <w:rFonts w:hint="eastAsia" w:ascii="宋体" w:hAnsi="宋体" w:eastAsia="宋体" w:cs="宋体"/>
          <w:color w:val="auto"/>
          <w:kern w:val="2"/>
          <w:sz w:val="21"/>
          <w:szCs w:val="21"/>
          <w:highlight w:val="none"/>
          <w:lang w:val="en-US" w:eastAsia="zh-CN" w:bidi="ar-SA"/>
        </w:rPr>
        <w:t>本合同自代建主管部门颁发代建合同备案通知之日起生效，至双方按照代建合同的约定履行完各自的义务和责任后自然失效。</w:t>
      </w:r>
    </w:p>
    <w:p w14:paraId="6A4A7E07">
      <w:pPr>
        <w:pageBreakBefore w:val="0"/>
        <w:widowControl w:val="0"/>
        <w:kinsoku/>
        <w:topLinePunct w:val="0"/>
        <w:autoSpaceDE/>
        <w:autoSpaceDN/>
        <w:bidi w:val="0"/>
        <w:spacing w:line="400" w:lineRule="exact"/>
        <w:ind w:left="420" w:right="-197" w:firstLine="420" w:firstLineChars="200"/>
        <w:jc w:val="left"/>
        <w:textAlignment w:val="auto"/>
        <w:rPr>
          <w:rFonts w:hint="eastAsia" w:ascii="宋体" w:hAnsi="宋体" w:eastAsia="宋体" w:cs="宋体"/>
          <w:color w:val="auto"/>
          <w:kern w:val="2"/>
          <w:sz w:val="21"/>
          <w:szCs w:val="21"/>
          <w:highlight w:val="none"/>
          <w:lang w:val="en-US" w:eastAsia="zh-CN" w:bidi="ar-SA"/>
        </w:rPr>
      </w:pPr>
    </w:p>
    <w:p w14:paraId="0321F231">
      <w:pPr>
        <w:pageBreakBefore w:val="0"/>
        <w:widowControl w:val="0"/>
        <w:tabs>
          <w:tab w:val="left" w:pos="4400"/>
        </w:tabs>
        <w:kinsoku/>
        <w:topLinePunct w:val="0"/>
        <w:autoSpaceDE/>
        <w:autoSpaceDN/>
        <w:bidi w:val="0"/>
        <w:spacing w:line="400" w:lineRule="exact"/>
        <w:ind w:left="420" w:right="-197"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甲方：</w:t>
      </w:r>
      <w:r>
        <w:rPr>
          <w:rFonts w:hint="eastAsia" w:ascii="宋体" w:hAnsi="宋体" w:eastAsia="宋体" w:cs="宋体"/>
          <w:color w:val="auto"/>
          <w:kern w:val="2"/>
          <w:sz w:val="21"/>
          <w:szCs w:val="21"/>
          <w:highlight w:val="none"/>
          <w:u w:val="single"/>
          <w:lang w:val="en-US" w:eastAsia="zh-CN" w:bidi="ar-SA"/>
        </w:rPr>
        <w:tab/>
      </w:r>
      <w:r>
        <w:rPr>
          <w:rFonts w:hint="eastAsia" w:ascii="宋体" w:hAnsi="宋体" w:eastAsia="宋体" w:cs="宋体"/>
          <w:color w:val="auto"/>
          <w:kern w:val="2"/>
          <w:sz w:val="21"/>
          <w:szCs w:val="21"/>
          <w:highlight w:val="none"/>
          <w:lang w:val="en-US" w:eastAsia="zh-CN" w:bidi="ar-SA"/>
        </w:rPr>
        <w:tab/>
      </w:r>
      <w:r>
        <w:rPr>
          <w:rFonts w:hint="eastAsia" w:ascii="宋体" w:hAnsi="宋体" w:eastAsia="宋体" w:cs="宋体"/>
          <w:color w:val="auto"/>
          <w:kern w:val="2"/>
          <w:sz w:val="21"/>
          <w:szCs w:val="21"/>
          <w:highlight w:val="none"/>
          <w:lang w:val="en-US" w:eastAsia="zh-CN" w:bidi="ar-SA"/>
        </w:rPr>
        <w:t>乙方：</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single"/>
          <w:lang w:val="en-US" w:eastAsia="zh-CN" w:bidi="ar-SA"/>
        </w:rPr>
        <w:tab/>
      </w:r>
    </w:p>
    <w:p w14:paraId="39317CCB">
      <w:pPr>
        <w:pageBreakBefore w:val="0"/>
        <w:widowControl w:val="0"/>
        <w:tabs>
          <w:tab w:val="left" w:pos="6780"/>
        </w:tabs>
        <w:kinsoku/>
        <w:topLinePunct w:val="0"/>
        <w:autoSpaceDE/>
        <w:autoSpaceDN/>
        <w:bidi w:val="0"/>
        <w:spacing w:line="400" w:lineRule="exact"/>
        <w:ind w:left="0" w:right="-197"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 w:eastAsia="zh-CN" w:bidi="ar-SA"/>
        </w:rPr>
        <w:t>（</w:t>
      </w:r>
      <w:r>
        <w:rPr>
          <w:rFonts w:hint="eastAsia" w:ascii="宋体" w:hAnsi="宋体" w:eastAsia="宋体" w:cs="宋体"/>
          <w:color w:val="auto"/>
          <w:kern w:val="2"/>
          <w:sz w:val="21"/>
          <w:szCs w:val="21"/>
          <w:highlight w:val="none"/>
          <w:lang w:val="en-US" w:eastAsia="zh-CN" w:bidi="ar-SA"/>
        </w:rPr>
        <w:t xml:space="preserve">盖单位章）                 </w:t>
      </w:r>
      <w:r>
        <w:rPr>
          <w:rFonts w:hint="eastAsia" w:ascii="宋体" w:hAnsi="宋体" w:cs="宋体"/>
          <w:color w:val="auto"/>
          <w:kern w:val="2"/>
          <w:sz w:val="21"/>
          <w:szCs w:val="21"/>
          <w:highlight w:val="none"/>
          <w:lang w:val="en-US" w:eastAsia="zh-CN" w:bidi="ar-SA"/>
        </w:rPr>
        <w:t xml:space="preserve">                </w:t>
      </w:r>
      <w:r>
        <w:rPr>
          <w:rFonts w:hint="eastAsia" w:ascii="宋体" w:hAnsi="宋体" w:eastAsia="宋体" w:cs="宋体"/>
          <w:color w:val="auto"/>
          <w:kern w:val="2"/>
          <w:sz w:val="21"/>
          <w:szCs w:val="21"/>
          <w:highlight w:val="none"/>
          <w:lang w:val="en-US" w:eastAsia="zh-CN" w:bidi="ar-SA"/>
        </w:rPr>
        <w:t xml:space="preserve"> </w:t>
      </w:r>
      <w:r>
        <w:rPr>
          <w:rFonts w:hint="eastAsia" w:ascii="宋体" w:hAnsi="宋体" w:eastAsia="宋体" w:cs="宋体"/>
          <w:color w:val="auto"/>
          <w:kern w:val="2"/>
          <w:sz w:val="21"/>
          <w:szCs w:val="21"/>
          <w:highlight w:val="none"/>
          <w:lang w:val="en" w:eastAsia="zh-CN" w:bidi="ar-SA"/>
        </w:rPr>
        <w:t>（</w:t>
      </w:r>
      <w:r>
        <w:rPr>
          <w:rFonts w:hint="eastAsia" w:ascii="宋体" w:hAnsi="宋体" w:eastAsia="宋体" w:cs="宋体"/>
          <w:color w:val="auto"/>
          <w:kern w:val="2"/>
          <w:sz w:val="21"/>
          <w:szCs w:val="21"/>
          <w:highlight w:val="none"/>
          <w:lang w:val="en-US" w:eastAsia="zh-CN" w:bidi="ar-SA"/>
        </w:rPr>
        <w:t>盖单位章）</w:t>
      </w:r>
    </w:p>
    <w:p w14:paraId="056B4302">
      <w:pPr>
        <w:pageBreakBefore w:val="0"/>
        <w:widowControl w:val="0"/>
        <w:tabs>
          <w:tab w:val="left" w:pos="4400"/>
        </w:tabs>
        <w:kinsoku/>
        <w:topLinePunct w:val="0"/>
        <w:autoSpaceDE/>
        <w:autoSpaceDN/>
        <w:bidi w:val="0"/>
        <w:spacing w:line="400" w:lineRule="exact"/>
        <w:ind w:left="420" w:right="-197"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法定代表人：</w:t>
      </w:r>
      <w:r>
        <w:rPr>
          <w:rFonts w:hint="eastAsia" w:ascii="宋体" w:hAnsi="宋体" w:eastAsia="宋体" w:cs="宋体"/>
          <w:color w:val="auto"/>
          <w:kern w:val="2"/>
          <w:sz w:val="21"/>
          <w:szCs w:val="21"/>
          <w:highlight w:val="none"/>
          <w:u w:val="single"/>
          <w:lang w:val="en-US" w:eastAsia="zh-CN" w:bidi="ar-SA"/>
        </w:rPr>
        <w:tab/>
      </w:r>
      <w:r>
        <w:rPr>
          <w:rFonts w:hint="eastAsia" w:ascii="宋体" w:hAnsi="宋体" w:eastAsia="宋体" w:cs="宋体"/>
          <w:color w:val="auto"/>
          <w:kern w:val="2"/>
          <w:sz w:val="21"/>
          <w:szCs w:val="21"/>
          <w:highlight w:val="none"/>
          <w:lang w:val="en-US" w:eastAsia="zh-CN" w:bidi="ar-SA"/>
        </w:rPr>
        <w:tab/>
      </w:r>
      <w:r>
        <w:rPr>
          <w:rFonts w:hint="eastAsia" w:ascii="宋体" w:hAnsi="宋体" w:eastAsia="宋体" w:cs="宋体"/>
          <w:color w:val="auto"/>
          <w:kern w:val="2"/>
          <w:sz w:val="21"/>
          <w:szCs w:val="21"/>
          <w:highlight w:val="none"/>
          <w:lang w:val="en-US" w:eastAsia="zh-CN" w:bidi="ar-SA"/>
        </w:rPr>
        <w:t>法定代表人：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single"/>
          <w:lang w:val="en-US" w:eastAsia="zh-CN" w:bidi="ar-SA"/>
        </w:rPr>
        <w:tab/>
      </w:r>
    </w:p>
    <w:p w14:paraId="549750C2">
      <w:pPr>
        <w:pageBreakBefore w:val="0"/>
        <w:widowControl w:val="0"/>
        <w:tabs>
          <w:tab w:val="left" w:pos="7460"/>
        </w:tabs>
        <w:kinsoku/>
        <w:topLinePunct w:val="0"/>
        <w:autoSpaceDE/>
        <w:autoSpaceDN/>
        <w:bidi w:val="0"/>
        <w:spacing w:line="400" w:lineRule="exact"/>
        <w:ind w:left="0" w:right="-197"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 w:eastAsia="zh-CN" w:bidi="ar-SA"/>
        </w:rPr>
        <w:t>（</w:t>
      </w:r>
      <w:r>
        <w:rPr>
          <w:rFonts w:hint="eastAsia" w:ascii="宋体" w:hAnsi="宋体" w:eastAsia="宋体" w:cs="宋体"/>
          <w:color w:val="auto"/>
          <w:kern w:val="2"/>
          <w:sz w:val="21"/>
          <w:szCs w:val="21"/>
          <w:highlight w:val="none"/>
          <w:lang w:val="en-US" w:eastAsia="zh-CN" w:bidi="ar-SA"/>
        </w:rPr>
        <w:t xml:space="preserve">签字）                   </w:t>
      </w:r>
      <w:r>
        <w:rPr>
          <w:rFonts w:hint="eastAsia" w:ascii="宋体" w:hAnsi="宋体" w:cs="宋体"/>
          <w:color w:val="auto"/>
          <w:kern w:val="2"/>
          <w:sz w:val="21"/>
          <w:szCs w:val="21"/>
          <w:highlight w:val="none"/>
          <w:lang w:val="en-US" w:eastAsia="zh-CN" w:bidi="ar-SA"/>
        </w:rPr>
        <w:t xml:space="preserve">                 </w:t>
      </w:r>
      <w:r>
        <w:rPr>
          <w:rFonts w:hint="eastAsia" w:ascii="宋体" w:hAnsi="宋体" w:eastAsia="宋体" w:cs="宋体"/>
          <w:color w:val="auto"/>
          <w:kern w:val="2"/>
          <w:sz w:val="21"/>
          <w:szCs w:val="21"/>
          <w:highlight w:val="none"/>
          <w:lang w:val="en-US" w:eastAsia="zh-CN" w:bidi="ar-SA"/>
        </w:rPr>
        <w:t xml:space="preserve">  </w:t>
      </w:r>
      <w:r>
        <w:rPr>
          <w:rFonts w:hint="eastAsia" w:ascii="宋体" w:hAnsi="宋体" w:eastAsia="宋体" w:cs="宋体"/>
          <w:color w:val="auto"/>
          <w:kern w:val="2"/>
          <w:sz w:val="21"/>
          <w:szCs w:val="21"/>
          <w:highlight w:val="none"/>
          <w:lang w:val="en" w:eastAsia="zh-CN" w:bidi="ar-SA"/>
        </w:rPr>
        <w:t>（</w:t>
      </w:r>
      <w:r>
        <w:rPr>
          <w:rFonts w:hint="eastAsia" w:ascii="宋体" w:hAnsi="宋体" w:eastAsia="宋体" w:cs="宋体"/>
          <w:color w:val="auto"/>
          <w:kern w:val="2"/>
          <w:sz w:val="21"/>
          <w:szCs w:val="21"/>
          <w:highlight w:val="none"/>
          <w:lang w:val="en-US" w:eastAsia="zh-CN" w:bidi="ar-SA"/>
        </w:rPr>
        <w:t>签字）</w:t>
      </w:r>
    </w:p>
    <w:p w14:paraId="14014783">
      <w:pPr>
        <w:pageBreakBefore w:val="0"/>
        <w:widowControl w:val="0"/>
        <w:tabs>
          <w:tab w:val="left" w:pos="4255"/>
        </w:tabs>
        <w:kinsoku/>
        <w:topLinePunct w:val="0"/>
        <w:autoSpaceDE/>
        <w:autoSpaceDN/>
        <w:bidi w:val="0"/>
        <w:spacing w:line="400" w:lineRule="exact"/>
        <w:ind w:left="420" w:right="-197"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授权代理人：</w:t>
      </w:r>
      <w:r>
        <w:rPr>
          <w:rFonts w:hint="eastAsia" w:ascii="宋体" w:hAnsi="宋体" w:eastAsia="宋体" w:cs="宋体"/>
          <w:color w:val="auto"/>
          <w:kern w:val="2"/>
          <w:sz w:val="21"/>
          <w:szCs w:val="21"/>
          <w:highlight w:val="none"/>
          <w:u w:val="single"/>
          <w:lang w:val="en-US" w:eastAsia="zh-CN" w:bidi="ar-SA"/>
        </w:rPr>
        <w:tab/>
      </w:r>
      <w:r>
        <w:rPr>
          <w:rFonts w:hint="eastAsia" w:ascii="宋体" w:hAnsi="宋体" w:eastAsia="宋体" w:cs="宋体"/>
          <w:color w:val="auto"/>
          <w:kern w:val="2"/>
          <w:sz w:val="21"/>
          <w:szCs w:val="21"/>
          <w:highlight w:val="none"/>
          <w:lang w:val="en-US" w:eastAsia="zh-CN" w:bidi="ar-SA"/>
        </w:rPr>
        <w:tab/>
      </w:r>
      <w:r>
        <w:rPr>
          <w:rFonts w:hint="eastAsia" w:ascii="宋体" w:hAnsi="宋体" w:eastAsia="宋体" w:cs="宋体"/>
          <w:color w:val="auto"/>
          <w:kern w:val="2"/>
          <w:sz w:val="21"/>
          <w:szCs w:val="21"/>
          <w:highlight w:val="none"/>
          <w:lang w:val="en-US" w:eastAsia="zh-CN" w:bidi="ar-SA"/>
        </w:rPr>
        <w:t>授权代理人：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single"/>
          <w:lang w:val="en-US" w:eastAsia="zh-CN" w:bidi="ar-SA"/>
        </w:rPr>
        <w:tab/>
      </w:r>
    </w:p>
    <w:p w14:paraId="4F07663D">
      <w:pPr>
        <w:pageBreakBefore w:val="0"/>
        <w:widowControl w:val="0"/>
        <w:tabs>
          <w:tab w:val="left" w:pos="7595"/>
        </w:tabs>
        <w:kinsoku/>
        <w:topLinePunct w:val="0"/>
        <w:autoSpaceDE/>
        <w:autoSpaceDN/>
        <w:bidi w:val="0"/>
        <w:spacing w:line="400" w:lineRule="exact"/>
        <w:ind w:left="0" w:right="-197"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 w:eastAsia="zh-CN" w:bidi="ar-SA"/>
        </w:rPr>
        <w:t>（</w:t>
      </w:r>
      <w:r>
        <w:rPr>
          <w:rFonts w:hint="eastAsia" w:ascii="宋体" w:hAnsi="宋体" w:eastAsia="宋体" w:cs="宋体"/>
          <w:color w:val="auto"/>
          <w:kern w:val="2"/>
          <w:sz w:val="21"/>
          <w:szCs w:val="21"/>
          <w:highlight w:val="none"/>
          <w:lang w:val="en-US" w:eastAsia="zh-CN" w:bidi="ar-SA"/>
        </w:rPr>
        <w:t xml:space="preserve">签字）                    </w:t>
      </w:r>
      <w:r>
        <w:rPr>
          <w:rFonts w:hint="eastAsia" w:ascii="宋体" w:hAnsi="宋体" w:cs="宋体"/>
          <w:color w:val="auto"/>
          <w:kern w:val="2"/>
          <w:sz w:val="21"/>
          <w:szCs w:val="21"/>
          <w:highlight w:val="none"/>
          <w:lang w:val="en-US" w:eastAsia="zh-CN" w:bidi="ar-SA"/>
        </w:rPr>
        <w:t xml:space="preserve">                </w:t>
      </w:r>
      <w:r>
        <w:rPr>
          <w:rFonts w:hint="eastAsia" w:ascii="宋体" w:hAnsi="宋体" w:eastAsia="宋体" w:cs="宋体"/>
          <w:color w:val="auto"/>
          <w:kern w:val="2"/>
          <w:sz w:val="21"/>
          <w:szCs w:val="21"/>
          <w:highlight w:val="none"/>
          <w:lang w:val="en-US" w:eastAsia="zh-CN" w:bidi="ar-SA"/>
        </w:rPr>
        <w:t xml:space="preserve">  </w:t>
      </w:r>
      <w:r>
        <w:rPr>
          <w:rFonts w:hint="eastAsia" w:ascii="宋体" w:hAnsi="宋体" w:eastAsia="宋体" w:cs="宋体"/>
          <w:color w:val="auto"/>
          <w:kern w:val="2"/>
          <w:sz w:val="21"/>
          <w:szCs w:val="21"/>
          <w:highlight w:val="none"/>
          <w:lang w:val="en" w:eastAsia="zh-CN" w:bidi="ar-SA"/>
        </w:rPr>
        <w:t>（</w:t>
      </w:r>
      <w:r>
        <w:rPr>
          <w:rFonts w:hint="eastAsia" w:ascii="宋体" w:hAnsi="宋体" w:eastAsia="宋体" w:cs="宋体"/>
          <w:color w:val="auto"/>
          <w:kern w:val="2"/>
          <w:sz w:val="21"/>
          <w:szCs w:val="21"/>
          <w:highlight w:val="none"/>
          <w:lang w:val="en-US" w:eastAsia="zh-CN" w:bidi="ar-SA"/>
        </w:rPr>
        <w:t>签字）</w:t>
      </w:r>
    </w:p>
    <w:p w14:paraId="37DBC74B">
      <w:pPr>
        <w:pageBreakBefore w:val="0"/>
        <w:widowControl w:val="0"/>
        <w:tabs>
          <w:tab w:val="left" w:pos="4255"/>
        </w:tabs>
        <w:kinsoku/>
        <w:topLinePunct w:val="0"/>
        <w:autoSpaceDE/>
        <w:autoSpaceDN/>
        <w:bidi w:val="0"/>
        <w:spacing w:line="400" w:lineRule="exact"/>
        <w:ind w:left="420" w:right="-197"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地址：</w:t>
      </w:r>
      <w:r>
        <w:rPr>
          <w:rFonts w:hint="eastAsia" w:ascii="宋体" w:hAnsi="宋体" w:eastAsia="宋体" w:cs="宋体"/>
          <w:color w:val="auto"/>
          <w:kern w:val="2"/>
          <w:sz w:val="21"/>
          <w:szCs w:val="21"/>
          <w:highlight w:val="none"/>
          <w:u w:val="single"/>
          <w:lang w:val="en-US" w:eastAsia="zh-CN" w:bidi="ar-SA"/>
        </w:rPr>
        <w:tab/>
      </w:r>
      <w:r>
        <w:rPr>
          <w:rFonts w:hint="eastAsia" w:ascii="宋体" w:hAnsi="宋体" w:eastAsia="宋体" w:cs="宋体"/>
          <w:color w:val="auto"/>
          <w:kern w:val="2"/>
          <w:sz w:val="21"/>
          <w:szCs w:val="21"/>
          <w:highlight w:val="none"/>
          <w:lang w:val="en-US" w:eastAsia="zh-CN" w:bidi="ar-SA"/>
        </w:rPr>
        <w:tab/>
      </w:r>
      <w:r>
        <w:rPr>
          <w:rFonts w:hint="eastAsia" w:ascii="宋体" w:hAnsi="宋体" w:eastAsia="宋体" w:cs="宋体"/>
          <w:color w:val="auto"/>
          <w:kern w:val="2"/>
          <w:sz w:val="21"/>
          <w:szCs w:val="21"/>
          <w:highlight w:val="none"/>
          <w:lang w:val="en-US" w:eastAsia="zh-CN" w:bidi="ar-SA"/>
        </w:rPr>
        <w:t>地址：</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single"/>
          <w:lang w:val="en-US" w:eastAsia="zh-CN" w:bidi="ar-SA"/>
        </w:rPr>
        <w:tab/>
      </w:r>
    </w:p>
    <w:p w14:paraId="1D231743">
      <w:pPr>
        <w:pageBreakBefore w:val="0"/>
        <w:widowControl w:val="0"/>
        <w:tabs>
          <w:tab w:val="left" w:pos="4255"/>
        </w:tabs>
        <w:kinsoku/>
        <w:topLinePunct w:val="0"/>
        <w:autoSpaceDE/>
        <w:autoSpaceDN/>
        <w:bidi w:val="0"/>
        <w:spacing w:line="400" w:lineRule="exact"/>
        <w:ind w:left="420" w:right="-197"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邮编：</w:t>
      </w:r>
      <w:r>
        <w:rPr>
          <w:rFonts w:hint="eastAsia" w:ascii="宋体" w:hAnsi="宋体" w:eastAsia="宋体" w:cs="宋体"/>
          <w:color w:val="auto"/>
          <w:kern w:val="2"/>
          <w:sz w:val="21"/>
          <w:szCs w:val="21"/>
          <w:highlight w:val="none"/>
          <w:u w:val="single"/>
          <w:lang w:val="en-US" w:eastAsia="zh-CN" w:bidi="ar-SA"/>
        </w:rPr>
        <w:tab/>
      </w:r>
      <w:r>
        <w:rPr>
          <w:rFonts w:hint="eastAsia" w:ascii="宋体" w:hAnsi="宋体" w:eastAsia="宋体" w:cs="宋体"/>
          <w:color w:val="auto"/>
          <w:kern w:val="2"/>
          <w:sz w:val="21"/>
          <w:szCs w:val="21"/>
          <w:highlight w:val="none"/>
          <w:lang w:val="en-US" w:eastAsia="zh-CN" w:bidi="ar-SA"/>
        </w:rPr>
        <w:tab/>
      </w:r>
      <w:r>
        <w:rPr>
          <w:rFonts w:hint="eastAsia" w:ascii="宋体" w:hAnsi="宋体" w:eastAsia="宋体" w:cs="宋体"/>
          <w:color w:val="auto"/>
          <w:kern w:val="2"/>
          <w:sz w:val="21"/>
          <w:szCs w:val="21"/>
          <w:highlight w:val="none"/>
          <w:lang w:val="en-US" w:eastAsia="zh-CN" w:bidi="ar-SA"/>
        </w:rPr>
        <w:t>邮编：</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 xml:space="preserve"> </w:t>
      </w:r>
    </w:p>
    <w:p w14:paraId="71719AF4">
      <w:pPr>
        <w:pageBreakBefore w:val="0"/>
        <w:widowControl w:val="0"/>
        <w:tabs>
          <w:tab w:val="left" w:pos="4255"/>
        </w:tabs>
        <w:kinsoku/>
        <w:topLinePunct w:val="0"/>
        <w:autoSpaceDE/>
        <w:autoSpaceDN/>
        <w:bidi w:val="0"/>
        <w:spacing w:line="400" w:lineRule="exact"/>
        <w:ind w:left="420" w:right="-197"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电话：</w:t>
      </w:r>
      <w:r>
        <w:rPr>
          <w:rFonts w:hint="eastAsia" w:ascii="宋体" w:hAnsi="宋体" w:eastAsia="宋体" w:cs="宋体"/>
          <w:color w:val="auto"/>
          <w:kern w:val="2"/>
          <w:sz w:val="21"/>
          <w:szCs w:val="21"/>
          <w:highlight w:val="none"/>
          <w:u w:val="single"/>
          <w:lang w:val="en-US" w:eastAsia="zh-CN" w:bidi="ar-SA"/>
        </w:rPr>
        <w:tab/>
      </w:r>
      <w:r>
        <w:rPr>
          <w:rFonts w:hint="eastAsia" w:ascii="宋体" w:hAnsi="宋体" w:eastAsia="宋体" w:cs="宋体"/>
          <w:color w:val="auto"/>
          <w:kern w:val="2"/>
          <w:sz w:val="21"/>
          <w:szCs w:val="21"/>
          <w:highlight w:val="none"/>
          <w:lang w:val="en-US" w:eastAsia="zh-CN" w:bidi="ar-SA"/>
        </w:rPr>
        <w:tab/>
      </w:r>
      <w:r>
        <w:rPr>
          <w:rFonts w:hint="eastAsia" w:ascii="宋体" w:hAnsi="宋体" w:eastAsia="宋体" w:cs="宋体"/>
          <w:color w:val="auto"/>
          <w:kern w:val="2"/>
          <w:sz w:val="21"/>
          <w:szCs w:val="21"/>
          <w:highlight w:val="none"/>
          <w:lang w:val="en-US" w:eastAsia="zh-CN" w:bidi="ar-SA"/>
        </w:rPr>
        <w:t>电话：</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u w:val="single"/>
          <w:lang w:val="en-US" w:eastAsia="zh-CN" w:bidi="ar-SA"/>
        </w:rPr>
        <w:tab/>
      </w:r>
    </w:p>
    <w:p w14:paraId="66494711">
      <w:pPr>
        <w:pageBreakBefore w:val="0"/>
        <w:widowControl w:val="0"/>
        <w:kinsoku/>
        <w:topLinePunct w:val="0"/>
        <w:autoSpaceDE/>
        <w:autoSpaceDN/>
        <w:bidi w:val="0"/>
        <w:spacing w:line="400" w:lineRule="exact"/>
        <w:ind w:left="420" w:right="-197" w:firstLine="420" w:firstLineChars="200"/>
        <w:jc w:val="left"/>
        <w:textAlignment w:val="auto"/>
        <w:rPr>
          <w:rFonts w:hint="eastAsia" w:ascii="宋体" w:hAnsi="宋体" w:eastAsia="宋体" w:cs="宋体"/>
          <w:color w:val="auto"/>
          <w:kern w:val="2"/>
          <w:sz w:val="21"/>
          <w:szCs w:val="21"/>
          <w:highlight w:val="none"/>
          <w:lang w:val="en-US" w:eastAsia="zh-CN" w:bidi="ar-SA"/>
        </w:rPr>
      </w:pPr>
    </w:p>
    <w:p w14:paraId="35134229">
      <w:pPr>
        <w:pageBreakBefore w:val="0"/>
        <w:widowControl w:val="0"/>
        <w:kinsoku/>
        <w:topLinePunct w:val="0"/>
        <w:autoSpaceDE/>
        <w:autoSpaceDN/>
        <w:bidi w:val="0"/>
        <w:spacing w:line="400" w:lineRule="exact"/>
        <w:ind w:left="420" w:leftChars="200" w:right="420" w:rightChars="200" w:firstLine="2100" w:firstLineChars="10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合同订立时间：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2E7F57AC">
      <w:pPr>
        <w:pageBreakBefore w:val="0"/>
        <w:widowControl w:val="0"/>
        <w:kinsoku/>
        <w:topLinePunct w:val="0"/>
        <w:autoSpaceDE/>
        <w:autoSpaceDN/>
        <w:bidi w:val="0"/>
        <w:snapToGrid w:val="0"/>
        <w:spacing w:line="400" w:lineRule="exact"/>
        <w:ind w:right="420" w:rightChars="200"/>
        <w:textAlignment w:val="auto"/>
        <w:rPr>
          <w:rFonts w:hint="eastAsia" w:ascii="宋体" w:hAnsi="宋体" w:eastAsia="宋体" w:cs="宋体"/>
          <w:color w:val="auto"/>
          <w:sz w:val="21"/>
          <w:szCs w:val="21"/>
          <w:highlight w:val="none"/>
        </w:rPr>
      </w:pPr>
    </w:p>
    <w:p w14:paraId="277989F5">
      <w:pPr>
        <w:pageBreakBefore w:val="0"/>
        <w:widowControl w:val="0"/>
        <w:kinsoku/>
        <w:topLinePunct w:val="0"/>
        <w:autoSpaceDE/>
        <w:autoSpaceDN/>
        <w:bidi w:val="0"/>
        <w:spacing w:line="400" w:lineRule="exact"/>
        <w:ind w:left="420" w:leftChars="200" w:right="420" w:rightChars="200" w:firstLine="2100" w:firstLineChars="10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合同订立地点：</w:t>
      </w:r>
      <w:r>
        <w:rPr>
          <w:rFonts w:hint="eastAsia" w:ascii="宋体" w:hAnsi="宋体" w:eastAsia="宋体" w:cs="宋体"/>
          <w:color w:val="auto"/>
          <w:sz w:val="21"/>
          <w:szCs w:val="21"/>
          <w:highlight w:val="none"/>
          <w:u w:val="single"/>
        </w:rPr>
        <w:t xml:space="preserve">                </w:t>
      </w:r>
    </w:p>
    <w:p w14:paraId="2C6EEE6E">
      <w:pPr>
        <w:pageBreakBefore w:val="0"/>
        <w:widowControl w:val="0"/>
        <w:kinsoku/>
        <w:overflowPunct w:val="0"/>
        <w:topLinePunct w:val="0"/>
        <w:autoSpaceDE/>
        <w:autoSpaceDN/>
        <w:bidi w:val="0"/>
        <w:spacing w:after="156" w:afterLines="50" w:line="400" w:lineRule="exact"/>
        <w:jc w:val="center"/>
        <w:textAlignment w:val="auto"/>
        <w:outlineLvl w:val="1"/>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br w:type="page"/>
      </w:r>
      <w:bookmarkStart w:id="23" w:name="_Toc432755059"/>
      <w:bookmarkStart w:id="24" w:name="_Toc2758"/>
      <w:bookmarkStart w:id="25" w:name="_Toc233741286"/>
      <w:bookmarkStart w:id="26" w:name="_Toc1486051629"/>
      <w:bookmarkStart w:id="27" w:name="_Toc66949756"/>
      <w:bookmarkStart w:id="28" w:name="_Toc346179749"/>
      <w:bookmarkStart w:id="29" w:name="_Toc260820859"/>
      <w:r>
        <w:rPr>
          <w:rFonts w:hint="eastAsia" w:ascii="宋体" w:hAnsi="宋体" w:eastAsia="宋体" w:cs="宋体"/>
          <w:color w:val="auto"/>
          <w:sz w:val="28"/>
          <w:szCs w:val="28"/>
          <w:highlight w:val="none"/>
        </w:rPr>
        <w:t xml:space="preserve">第二部分  </w:t>
      </w:r>
      <w:bookmarkEnd w:id="23"/>
      <w:r>
        <w:rPr>
          <w:rFonts w:hint="eastAsia" w:ascii="宋体" w:hAnsi="宋体" w:eastAsia="宋体" w:cs="宋体"/>
          <w:color w:val="auto"/>
          <w:sz w:val="28"/>
          <w:szCs w:val="28"/>
          <w:highlight w:val="none"/>
        </w:rPr>
        <w:t>合同通用条款</w:t>
      </w:r>
      <w:bookmarkEnd w:id="24"/>
      <w:bookmarkEnd w:id="25"/>
      <w:bookmarkEnd w:id="26"/>
      <w:bookmarkEnd w:id="27"/>
    </w:p>
    <w:bookmarkEnd w:id="28"/>
    <w:bookmarkEnd w:id="29"/>
    <w:p w14:paraId="13EEEF2A">
      <w:pPr>
        <w:keepNext/>
        <w:keepLines/>
        <w:pageBreakBefore w:val="0"/>
        <w:widowControl w:val="0"/>
        <w:kinsoku/>
        <w:overflowPunct w:val="0"/>
        <w:topLinePunct w:val="0"/>
        <w:autoSpaceDE/>
        <w:autoSpaceDN/>
        <w:bidi w:val="0"/>
        <w:spacing w:before="0" w:beforeLines="0" w:after="0" w:afterLines="0" w:line="400" w:lineRule="exact"/>
        <w:ind w:left="0" w:firstLine="0"/>
        <w:jc w:val="center"/>
        <w:textAlignment w:val="auto"/>
        <w:outlineLvl w:val="2"/>
        <w:rPr>
          <w:rFonts w:hint="eastAsia" w:ascii="宋体" w:hAnsi="宋体" w:eastAsia="宋体" w:cs="宋体"/>
          <w:b/>
          <w:color w:val="auto"/>
          <w:kern w:val="2"/>
          <w:sz w:val="21"/>
          <w:szCs w:val="21"/>
          <w:highlight w:val="none"/>
          <w:lang w:val="en-US" w:eastAsia="zh-CN" w:bidi="ar-SA"/>
        </w:rPr>
      </w:pPr>
      <w:bookmarkStart w:id="30" w:name="_Toc66818553"/>
      <w:bookmarkStart w:id="31" w:name="_Toc24550"/>
      <w:bookmarkStart w:id="32" w:name="_Toc66948650"/>
      <w:bookmarkStart w:id="33" w:name="_Toc66949360"/>
      <w:bookmarkStart w:id="34" w:name="_Toc66949757"/>
      <w:bookmarkStart w:id="35" w:name="_Toc27245"/>
      <w:bookmarkStart w:id="36" w:name="_Toc66949614"/>
      <w:bookmarkStart w:id="37" w:name="_Toc66818960"/>
      <w:bookmarkStart w:id="38" w:name="_Toc432755060"/>
      <w:r>
        <w:rPr>
          <w:rFonts w:hint="eastAsia" w:ascii="宋体" w:hAnsi="宋体" w:eastAsia="宋体" w:cs="宋体"/>
          <w:b/>
          <w:color w:val="auto"/>
          <w:kern w:val="2"/>
          <w:sz w:val="21"/>
          <w:szCs w:val="21"/>
          <w:highlight w:val="none"/>
          <w:lang w:val="en-US" w:eastAsia="zh-CN" w:bidi="ar-SA"/>
        </w:rPr>
        <w:t>第一节  定义、解释和一般约定</w:t>
      </w:r>
      <w:bookmarkEnd w:id="30"/>
      <w:bookmarkEnd w:id="31"/>
      <w:bookmarkEnd w:id="32"/>
      <w:bookmarkEnd w:id="33"/>
      <w:bookmarkEnd w:id="34"/>
      <w:bookmarkEnd w:id="35"/>
      <w:bookmarkEnd w:id="36"/>
      <w:bookmarkEnd w:id="37"/>
      <w:bookmarkEnd w:id="38"/>
    </w:p>
    <w:p w14:paraId="4E3C9572">
      <w:pPr>
        <w:keepNext/>
        <w:keepLines/>
        <w:pageBreakBefore w:val="0"/>
        <w:widowControl w:val="0"/>
        <w:kinsoku/>
        <w:overflowPunct w:val="0"/>
        <w:topLinePunct w:val="0"/>
        <w:autoSpaceDE/>
        <w:autoSpaceDN/>
        <w:bidi w:val="0"/>
        <w:spacing w:before="156" w:beforeLines="5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39" w:name="_Toc432755061"/>
      <w:r>
        <w:rPr>
          <w:rFonts w:hint="eastAsia" w:ascii="宋体" w:hAnsi="宋体" w:eastAsia="宋体" w:cs="宋体"/>
          <w:b w:val="0"/>
          <w:color w:val="auto"/>
          <w:kern w:val="2"/>
          <w:sz w:val="21"/>
          <w:szCs w:val="21"/>
          <w:highlight w:val="none"/>
          <w:lang w:val="en-US" w:eastAsia="zh-CN" w:bidi="ar-SA"/>
        </w:rPr>
        <w:t>第一条  词语定义</w:t>
      </w:r>
      <w:bookmarkEnd w:id="39"/>
    </w:p>
    <w:p w14:paraId="1948FC70">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合同通用条款、合同专用条款中的下列词语应具有本款所赋予的含义。</w:t>
      </w:r>
    </w:p>
    <w:p w14:paraId="4326CF49">
      <w:pPr>
        <w:keepNext/>
        <w:keepLines/>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40" w:name="_Toc432755062"/>
      <w:r>
        <w:rPr>
          <w:rFonts w:hint="eastAsia" w:ascii="宋体" w:hAnsi="宋体" w:eastAsia="宋体" w:cs="宋体"/>
          <w:b/>
          <w:color w:val="auto"/>
          <w:kern w:val="2"/>
          <w:sz w:val="21"/>
          <w:szCs w:val="21"/>
          <w:highlight w:val="none"/>
          <w:lang w:val="en-US" w:eastAsia="zh-CN" w:bidi="ar-SA"/>
        </w:rPr>
        <w:t>1.1合同</w:t>
      </w:r>
      <w:bookmarkEnd w:id="40"/>
    </w:p>
    <w:p w14:paraId="2D848438">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1.1.1</w:t>
      </w:r>
      <w:r>
        <w:rPr>
          <w:rFonts w:hint="eastAsia" w:ascii="宋体" w:hAnsi="宋体" w:eastAsia="宋体" w:cs="宋体"/>
          <w:color w:val="auto"/>
          <w:sz w:val="21"/>
          <w:szCs w:val="21"/>
          <w:highlight w:val="none"/>
        </w:rPr>
        <w:t>合同协议书：指乙方按中标通知书规定的时间与甲方签订的合同协议书。</w:t>
      </w:r>
    </w:p>
    <w:p w14:paraId="14F6A8A2">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1.1.2</w:t>
      </w:r>
      <w:r>
        <w:rPr>
          <w:rFonts w:hint="eastAsia" w:ascii="宋体" w:hAnsi="宋体" w:eastAsia="宋体" w:cs="宋体"/>
          <w:color w:val="auto"/>
          <w:sz w:val="21"/>
          <w:szCs w:val="21"/>
          <w:highlight w:val="none"/>
        </w:rPr>
        <w:t>中标通知书：指甲方通知乙方中标的函件。中标通知书随附的澄清、说明、补正事项纪要等，是中标通知书的组成部分。</w:t>
      </w:r>
    </w:p>
    <w:p w14:paraId="48FCE9D5">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1.1.3</w:t>
      </w:r>
      <w:r>
        <w:rPr>
          <w:rFonts w:hint="eastAsia" w:ascii="宋体" w:hAnsi="宋体" w:eastAsia="宋体" w:cs="宋体"/>
          <w:color w:val="auto"/>
          <w:sz w:val="21"/>
          <w:szCs w:val="21"/>
          <w:highlight w:val="none"/>
        </w:rPr>
        <w:t>投标函：指构成合同文件组成部分的由乙方填写并签署的投标函。</w:t>
      </w:r>
    </w:p>
    <w:p w14:paraId="225D41AE">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1.1.4</w:t>
      </w:r>
      <w:r>
        <w:rPr>
          <w:rFonts w:hint="eastAsia" w:ascii="宋体" w:hAnsi="宋体" w:eastAsia="宋体" w:cs="宋体"/>
          <w:color w:val="auto"/>
          <w:sz w:val="21"/>
          <w:szCs w:val="21"/>
          <w:highlight w:val="none"/>
        </w:rPr>
        <w:t>投标函附录：指附在投标函后构成合同文件的投标函附录。</w:t>
      </w:r>
    </w:p>
    <w:p w14:paraId="716EC6A7">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1.1.5</w:t>
      </w:r>
      <w:r>
        <w:rPr>
          <w:rFonts w:hint="eastAsia" w:ascii="宋体" w:hAnsi="宋体" w:eastAsia="宋体" w:cs="宋体"/>
          <w:color w:val="auto"/>
          <w:sz w:val="21"/>
          <w:szCs w:val="21"/>
          <w:highlight w:val="none"/>
        </w:rPr>
        <w:t>其他合同文件：指项目实施过程中合同双方共同认可的有关合同内容变更、洽商等书面文件或协议修正文件。包括项目相关批复文件，标准、规范及有关技术文件等，具体内容在专用条款中约定。</w:t>
      </w:r>
    </w:p>
    <w:p w14:paraId="4BB164B4">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1.1.6</w:t>
      </w:r>
      <w:r>
        <w:rPr>
          <w:rFonts w:hint="eastAsia" w:ascii="宋体" w:hAnsi="宋体" w:eastAsia="宋体" w:cs="宋体"/>
          <w:color w:val="auto"/>
          <w:sz w:val="21"/>
          <w:szCs w:val="21"/>
          <w:highlight w:val="none"/>
        </w:rPr>
        <w:t>额外工作：指甲方与乙方在合同中约定的项目代建管理范围和内容之外，乙方协助甲方参与管理，通过双方协商同意另外增加，且不违反国家和省有关招投标和投资管理等法律法规和政策规定的工作内容。签订合同时增加的额外工作在专用条款中明确，项目实施过程中增加的额外工作签订补充协议明确。</w:t>
      </w:r>
    </w:p>
    <w:p w14:paraId="1AEE7117">
      <w:pPr>
        <w:keepNext/>
        <w:keepLines/>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41" w:name="_Toc432755063"/>
      <w:r>
        <w:rPr>
          <w:rFonts w:hint="eastAsia" w:ascii="宋体" w:hAnsi="宋体" w:eastAsia="宋体" w:cs="宋体"/>
          <w:b/>
          <w:color w:val="auto"/>
          <w:kern w:val="2"/>
          <w:sz w:val="21"/>
          <w:szCs w:val="21"/>
          <w:highlight w:val="none"/>
          <w:lang w:val="en-US" w:eastAsia="zh-CN" w:bidi="ar-SA"/>
        </w:rPr>
        <w:t>1.2合同当事人和人员</w:t>
      </w:r>
      <w:bookmarkEnd w:id="41"/>
    </w:p>
    <w:p w14:paraId="5118A8B6">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1.2.1</w:t>
      </w:r>
      <w:r>
        <w:rPr>
          <w:rFonts w:hint="eastAsia" w:ascii="宋体" w:hAnsi="宋体" w:eastAsia="宋体" w:cs="宋体"/>
          <w:color w:val="auto"/>
          <w:sz w:val="21"/>
          <w:szCs w:val="21"/>
          <w:highlight w:val="none"/>
        </w:rPr>
        <w:t>甲方：指与乙方订立合同协议书的当事人及取得该当事人资格的合法继受人。</w:t>
      </w:r>
    </w:p>
    <w:p w14:paraId="46A0C2E8">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1.2.2</w:t>
      </w:r>
      <w:r>
        <w:rPr>
          <w:rFonts w:hint="eastAsia" w:ascii="宋体" w:hAnsi="宋体" w:eastAsia="宋体" w:cs="宋体"/>
          <w:color w:val="auto"/>
          <w:sz w:val="21"/>
          <w:szCs w:val="21"/>
          <w:highlight w:val="none"/>
        </w:rPr>
        <w:t>乙方：指与甲方订立合同协议书的当事人及取得该当事人资格的合法继受人。</w:t>
      </w:r>
    </w:p>
    <w:p w14:paraId="745A5145">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1.2.3</w:t>
      </w:r>
      <w:r>
        <w:rPr>
          <w:rFonts w:hint="eastAsia" w:ascii="宋体" w:hAnsi="宋体" w:eastAsia="宋体" w:cs="宋体"/>
          <w:color w:val="auto"/>
          <w:kern w:val="0"/>
          <w:sz w:val="21"/>
          <w:szCs w:val="21"/>
          <w:highlight w:val="none"/>
        </w:rPr>
        <w:t>代建管理团队</w:t>
      </w:r>
      <w:r>
        <w:rPr>
          <w:rFonts w:hint="eastAsia" w:ascii="宋体" w:hAnsi="宋体" w:eastAsia="宋体" w:cs="宋体"/>
          <w:color w:val="auto"/>
          <w:sz w:val="21"/>
          <w:szCs w:val="21"/>
          <w:highlight w:val="none"/>
        </w:rPr>
        <w:t>：指</w:t>
      </w:r>
      <w:r>
        <w:rPr>
          <w:rFonts w:hint="eastAsia" w:ascii="宋体" w:hAnsi="宋体" w:eastAsia="宋体" w:cs="宋体"/>
          <w:color w:val="auto"/>
          <w:kern w:val="0"/>
          <w:sz w:val="21"/>
          <w:szCs w:val="21"/>
          <w:highlight w:val="none"/>
        </w:rPr>
        <w:t>乙方履行投标承诺，组建的并代表乙方实施和承担项目代建具体工作任务的团队。</w:t>
      </w:r>
    </w:p>
    <w:p w14:paraId="3B900341">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1.2.4</w:t>
      </w:r>
      <w:r>
        <w:rPr>
          <w:rFonts w:hint="eastAsia" w:ascii="宋体" w:hAnsi="宋体" w:eastAsia="宋体" w:cs="宋体"/>
          <w:color w:val="auto"/>
          <w:kern w:val="0"/>
          <w:sz w:val="21"/>
          <w:szCs w:val="21"/>
          <w:highlight w:val="none"/>
        </w:rPr>
        <w:t>代建项目经理</w:t>
      </w:r>
      <w:r>
        <w:rPr>
          <w:rFonts w:hint="eastAsia" w:ascii="宋体" w:hAnsi="宋体" w:eastAsia="宋体" w:cs="宋体"/>
          <w:color w:val="auto"/>
          <w:sz w:val="21"/>
          <w:szCs w:val="21"/>
          <w:highlight w:val="none"/>
        </w:rPr>
        <w:t>：指乙方投标时指派的代表乙方牵头负责项目代建管理工作、履行管理义务的全权负责人。</w:t>
      </w:r>
    </w:p>
    <w:p w14:paraId="25D33319">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1.2.5</w:t>
      </w:r>
      <w:r>
        <w:rPr>
          <w:rFonts w:hint="eastAsia" w:ascii="宋体" w:hAnsi="宋体" w:eastAsia="宋体" w:cs="宋体"/>
          <w:color w:val="auto"/>
          <w:kern w:val="0"/>
          <w:sz w:val="21"/>
          <w:szCs w:val="21"/>
          <w:highlight w:val="none"/>
        </w:rPr>
        <w:t>专业工作单位：是指由乙方依法依规选择的承担代建项目的勘察设计、监理、施工、检测、材料和设备供应安装、造价咨询、水土保持、环评等工作的单位。</w:t>
      </w:r>
    </w:p>
    <w:p w14:paraId="0C47F204">
      <w:pPr>
        <w:keepNext/>
        <w:keepLines/>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42" w:name="_Toc432755064"/>
      <w:r>
        <w:rPr>
          <w:rFonts w:hint="eastAsia" w:ascii="宋体" w:hAnsi="宋体" w:eastAsia="宋体" w:cs="宋体"/>
          <w:b/>
          <w:color w:val="auto"/>
          <w:kern w:val="2"/>
          <w:sz w:val="21"/>
          <w:szCs w:val="21"/>
          <w:highlight w:val="none"/>
          <w:lang w:val="en-US" w:eastAsia="zh-CN" w:bidi="ar-SA"/>
        </w:rPr>
        <w:t>1.3项目</w:t>
      </w:r>
      <w:bookmarkEnd w:id="42"/>
    </w:p>
    <w:p w14:paraId="37A5E8EE">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pacing w:val="0"/>
          <w:sz w:val="21"/>
          <w:szCs w:val="21"/>
          <w:highlight w:val="none"/>
        </w:rPr>
        <w:t>1.3.1</w:t>
      </w:r>
      <w:r>
        <w:rPr>
          <w:rFonts w:hint="eastAsia" w:ascii="宋体" w:hAnsi="宋体" w:eastAsia="宋体" w:cs="宋体"/>
          <w:color w:val="auto"/>
          <w:spacing w:val="0"/>
          <w:sz w:val="21"/>
          <w:szCs w:val="21"/>
          <w:highlight w:val="none"/>
        </w:rPr>
        <w:t>项目：是指由乙方实施代建最终移交甲方使用的项目</w:t>
      </w:r>
      <w:r>
        <w:rPr>
          <w:rFonts w:hint="eastAsia" w:ascii="宋体" w:hAnsi="宋体" w:eastAsia="宋体" w:cs="宋体"/>
          <w:color w:val="auto"/>
          <w:sz w:val="21"/>
          <w:szCs w:val="21"/>
          <w:highlight w:val="none"/>
        </w:rPr>
        <w:t>。</w:t>
      </w:r>
    </w:p>
    <w:p w14:paraId="4A4F2840">
      <w:pPr>
        <w:keepNext/>
        <w:keepLines/>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43" w:name="_Toc432755065"/>
      <w:r>
        <w:rPr>
          <w:rFonts w:hint="eastAsia" w:ascii="宋体" w:hAnsi="宋体" w:eastAsia="宋体" w:cs="宋体"/>
          <w:b/>
          <w:color w:val="auto"/>
          <w:kern w:val="2"/>
          <w:sz w:val="21"/>
          <w:szCs w:val="21"/>
          <w:highlight w:val="none"/>
          <w:lang w:val="en-US" w:eastAsia="zh-CN" w:bidi="ar-SA"/>
        </w:rPr>
        <w:t>1.4日期</w:t>
      </w:r>
      <w:bookmarkEnd w:id="43"/>
    </w:p>
    <w:p w14:paraId="2EBD7A99">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1.4.1</w:t>
      </w:r>
      <w:r>
        <w:rPr>
          <w:rFonts w:hint="eastAsia" w:ascii="宋体" w:hAnsi="宋体" w:eastAsia="宋体" w:cs="宋体"/>
          <w:color w:val="auto"/>
          <w:sz w:val="21"/>
          <w:szCs w:val="21"/>
          <w:highlight w:val="none"/>
        </w:rPr>
        <w:t>代建周期：自合同生效之日起至代建项目实体移交手续完成之日止的时间。</w:t>
      </w:r>
    </w:p>
    <w:p w14:paraId="4E807B40">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1.4.2</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天）：除特别指明外，指日历日</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天）。合同中按日</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天）计算时间的，开始当日</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天）不计入，从次日开始计算。期限最后一天的截止时间为当日</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天）24：00。</w:t>
      </w:r>
    </w:p>
    <w:p w14:paraId="4B3C7288">
      <w:pPr>
        <w:keepNext/>
        <w:keepLines/>
        <w:pageBreakBefore w:val="0"/>
        <w:widowControl w:val="0"/>
        <w:kinsoku/>
        <w:overflowPunct w:val="0"/>
        <w:topLinePunct w:val="0"/>
        <w:autoSpaceDE/>
        <w:autoSpaceDN/>
        <w:bidi w:val="0"/>
        <w:spacing w:before="0" w:after="0" w:line="400" w:lineRule="exact"/>
        <w:ind w:left="976" w:leftChars="306" w:hanging="333" w:hangingChars="158"/>
        <w:jc w:val="both"/>
        <w:textAlignment w:val="auto"/>
        <w:outlineLvl w:val="5"/>
        <w:rPr>
          <w:rFonts w:hint="eastAsia" w:ascii="宋体" w:hAnsi="宋体" w:eastAsia="宋体" w:cs="宋体"/>
          <w:b/>
          <w:color w:val="auto"/>
          <w:kern w:val="2"/>
          <w:sz w:val="21"/>
          <w:szCs w:val="21"/>
          <w:highlight w:val="none"/>
          <w:lang w:val="en-US" w:eastAsia="zh-CN" w:bidi="ar-SA"/>
        </w:rPr>
      </w:pPr>
      <w:bookmarkStart w:id="44" w:name="_Toc432755066"/>
      <w:r>
        <w:rPr>
          <w:rFonts w:hint="eastAsia" w:ascii="宋体" w:hAnsi="宋体" w:eastAsia="宋体" w:cs="宋体"/>
          <w:b/>
          <w:color w:val="auto"/>
          <w:kern w:val="2"/>
          <w:sz w:val="21"/>
          <w:szCs w:val="21"/>
          <w:highlight w:val="none"/>
          <w:lang w:val="en-US" w:eastAsia="zh-CN" w:bidi="ar-SA"/>
        </w:rPr>
        <w:t>1.5其他</w:t>
      </w:r>
      <w:bookmarkEnd w:id="44"/>
    </w:p>
    <w:p w14:paraId="2175D28D">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1.5.1</w:t>
      </w:r>
      <w:r>
        <w:rPr>
          <w:rFonts w:hint="eastAsia" w:ascii="宋体" w:hAnsi="宋体" w:eastAsia="宋体" w:cs="宋体"/>
          <w:color w:val="auto"/>
          <w:sz w:val="21"/>
          <w:szCs w:val="21"/>
          <w:highlight w:val="none"/>
        </w:rPr>
        <w:t>书面形式：指合同书、纸质文件、信函、电报、传真、会议纪要等可以有形地表现所载内容的形式。</w:t>
      </w:r>
    </w:p>
    <w:p w14:paraId="045F41A2">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pacing w:val="0"/>
          <w:sz w:val="21"/>
          <w:szCs w:val="21"/>
          <w:highlight w:val="none"/>
        </w:rPr>
      </w:pPr>
      <w:r>
        <w:rPr>
          <w:rFonts w:hint="eastAsia" w:ascii="宋体" w:hAnsi="宋体" w:eastAsia="宋体" w:cs="宋体"/>
          <w:b/>
          <w:color w:val="auto"/>
          <w:spacing w:val="0"/>
          <w:sz w:val="21"/>
          <w:szCs w:val="21"/>
          <w:highlight w:val="none"/>
        </w:rPr>
        <w:t>1.5.2</w:t>
      </w:r>
      <w:r>
        <w:rPr>
          <w:rFonts w:hint="eastAsia" w:ascii="宋体" w:hAnsi="宋体" w:eastAsia="宋体" w:cs="宋体"/>
          <w:color w:val="auto"/>
          <w:spacing w:val="0"/>
          <w:sz w:val="21"/>
          <w:szCs w:val="21"/>
          <w:highlight w:val="none"/>
          <w:shd w:val="clear" w:color="auto" w:fill="FFFFFF"/>
        </w:rPr>
        <w:t>实体移交证书：指项目竣工验收后，甲方经移交验收同意接收项目实体，签署并发给乙方的项目实体移交证明文件。</w:t>
      </w:r>
    </w:p>
    <w:p w14:paraId="3A27DC18">
      <w:pPr>
        <w:keepNext/>
        <w:keepLines/>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45" w:name="_Toc432755067"/>
      <w:r>
        <w:rPr>
          <w:rFonts w:hint="eastAsia" w:ascii="宋体" w:hAnsi="宋体" w:eastAsia="宋体" w:cs="宋体"/>
          <w:b w:val="0"/>
          <w:color w:val="auto"/>
          <w:kern w:val="2"/>
          <w:sz w:val="21"/>
          <w:szCs w:val="21"/>
          <w:highlight w:val="none"/>
          <w:lang w:val="en-US" w:eastAsia="zh-CN" w:bidi="ar-SA"/>
        </w:rPr>
        <w:t>第二条  解释</w:t>
      </w:r>
      <w:bookmarkEnd w:id="45"/>
    </w:p>
    <w:p w14:paraId="290599B5">
      <w:pPr>
        <w:keepNext/>
        <w:keepLines/>
        <w:pageBreakBefore w:val="0"/>
        <w:widowControl w:val="0"/>
        <w:kinsoku/>
        <w:overflowPunct w:val="0"/>
        <w:topLinePunct w:val="0"/>
        <w:autoSpaceDE/>
        <w:autoSpaceDN/>
        <w:bidi w:val="0"/>
        <w:spacing w:before="0" w:after="0" w:line="400" w:lineRule="exact"/>
        <w:ind w:left="976" w:leftChars="306" w:hanging="333" w:hangingChars="158"/>
        <w:jc w:val="both"/>
        <w:textAlignment w:val="auto"/>
        <w:outlineLvl w:val="5"/>
        <w:rPr>
          <w:rFonts w:hint="eastAsia" w:ascii="宋体" w:hAnsi="宋体" w:eastAsia="宋体" w:cs="宋体"/>
          <w:b/>
          <w:color w:val="auto"/>
          <w:kern w:val="2"/>
          <w:sz w:val="21"/>
          <w:szCs w:val="21"/>
          <w:highlight w:val="none"/>
          <w:lang w:val="en-US" w:eastAsia="zh-CN" w:bidi="ar-SA"/>
        </w:rPr>
      </w:pPr>
      <w:bookmarkStart w:id="46" w:name="_Toc432755068"/>
      <w:r>
        <w:rPr>
          <w:rFonts w:hint="eastAsia" w:ascii="宋体" w:hAnsi="宋体" w:eastAsia="宋体" w:cs="宋体"/>
          <w:b/>
          <w:color w:val="auto"/>
          <w:kern w:val="2"/>
          <w:sz w:val="21"/>
          <w:szCs w:val="21"/>
          <w:highlight w:val="none"/>
          <w:lang w:val="en-US" w:eastAsia="zh-CN" w:bidi="ar-SA"/>
        </w:rPr>
        <w:t>2.1语言文字</w:t>
      </w:r>
      <w:bookmarkEnd w:id="46"/>
    </w:p>
    <w:p w14:paraId="56053646">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合同使用的语言文字以中文为准。专用术语使用外文的，应附有中文注释。</w:t>
      </w:r>
    </w:p>
    <w:p w14:paraId="2E680F4A">
      <w:pPr>
        <w:keepNext/>
        <w:keepLines/>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47" w:name="_Toc432755069"/>
      <w:r>
        <w:rPr>
          <w:rFonts w:hint="eastAsia" w:ascii="宋体" w:hAnsi="宋体" w:eastAsia="宋体" w:cs="宋体"/>
          <w:b/>
          <w:color w:val="auto"/>
          <w:kern w:val="2"/>
          <w:sz w:val="21"/>
          <w:szCs w:val="21"/>
          <w:highlight w:val="none"/>
          <w:lang w:val="en-US" w:eastAsia="zh-CN" w:bidi="ar-SA"/>
        </w:rPr>
        <w:t>2.2法律</w:t>
      </w:r>
      <w:bookmarkEnd w:id="47"/>
    </w:p>
    <w:p w14:paraId="021467BB">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适用于合同的法律包括中华人民共和国法律、行政法规、部门规章，以及项目所在地的地方法规、自治条例和地方政府规章。</w:t>
      </w:r>
    </w:p>
    <w:p w14:paraId="46E822DB">
      <w:pPr>
        <w:keepNext/>
        <w:keepLines/>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48" w:name="_Toc432755070"/>
      <w:r>
        <w:rPr>
          <w:rFonts w:hint="eastAsia" w:ascii="宋体" w:hAnsi="宋体" w:eastAsia="宋体" w:cs="宋体"/>
          <w:b w:val="0"/>
          <w:color w:val="auto"/>
          <w:kern w:val="2"/>
          <w:sz w:val="21"/>
          <w:szCs w:val="21"/>
          <w:highlight w:val="none"/>
          <w:lang w:val="en-US" w:eastAsia="zh-CN" w:bidi="ar-SA"/>
        </w:rPr>
        <w:t>第三条  一般约定</w:t>
      </w:r>
      <w:bookmarkEnd w:id="48"/>
    </w:p>
    <w:p w14:paraId="70839A3E">
      <w:pPr>
        <w:keepNext/>
        <w:keepLines/>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49" w:name="_Toc432755071"/>
      <w:r>
        <w:rPr>
          <w:rFonts w:hint="eastAsia" w:ascii="宋体" w:hAnsi="宋体" w:eastAsia="宋体" w:cs="宋体"/>
          <w:b/>
          <w:color w:val="auto"/>
          <w:kern w:val="2"/>
          <w:sz w:val="21"/>
          <w:szCs w:val="21"/>
          <w:highlight w:val="none"/>
          <w:lang w:val="en-US" w:eastAsia="zh-CN" w:bidi="ar-SA"/>
        </w:rPr>
        <w:t>3.1联络</w:t>
      </w:r>
      <w:bookmarkEnd w:id="49"/>
    </w:p>
    <w:p w14:paraId="1BBBE462">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3.1.1</w:t>
      </w:r>
      <w:r>
        <w:rPr>
          <w:rFonts w:hint="eastAsia" w:ascii="宋体" w:hAnsi="宋体" w:eastAsia="宋体" w:cs="宋体"/>
          <w:color w:val="auto"/>
          <w:sz w:val="21"/>
          <w:szCs w:val="21"/>
          <w:highlight w:val="none"/>
        </w:rPr>
        <w:t>与合同有关的通知、批准、证明、证书、指示、要求、请求、同意、意见、确定和决定等，均应采用书面形式。</w:t>
      </w:r>
    </w:p>
    <w:p w14:paraId="6E9AB555">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pacing w:val="0"/>
          <w:sz w:val="21"/>
          <w:szCs w:val="21"/>
          <w:highlight w:val="none"/>
        </w:rPr>
      </w:pPr>
      <w:r>
        <w:rPr>
          <w:rFonts w:hint="eastAsia" w:ascii="宋体" w:hAnsi="宋体" w:eastAsia="宋体" w:cs="宋体"/>
          <w:b/>
          <w:color w:val="auto"/>
          <w:spacing w:val="0"/>
          <w:sz w:val="21"/>
          <w:szCs w:val="21"/>
          <w:highlight w:val="none"/>
        </w:rPr>
        <w:t>3.1.2</w:t>
      </w:r>
      <w:r>
        <w:rPr>
          <w:rFonts w:hint="eastAsia" w:ascii="宋体" w:hAnsi="宋体" w:eastAsia="宋体" w:cs="宋体"/>
          <w:color w:val="auto"/>
          <w:spacing w:val="0"/>
          <w:sz w:val="21"/>
          <w:szCs w:val="21"/>
          <w:highlight w:val="none"/>
        </w:rPr>
        <w:t>第3.1.1项中的通知、批准、证明、证书、指示、要求、请求、同意、意见、确定和决定等来往函件，均应在合同约定的期限内送达指定的地点和指定的接收人，并办理签收手续。</w:t>
      </w:r>
    </w:p>
    <w:p w14:paraId="536528A5">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bookmarkStart w:id="50" w:name="_Toc300835060"/>
      <w:bookmarkStart w:id="51" w:name="_Toc247514062"/>
      <w:bookmarkStart w:id="52" w:name="_Toc247527663"/>
      <w:r>
        <w:rPr>
          <w:rFonts w:hint="eastAsia" w:ascii="宋体" w:hAnsi="宋体" w:eastAsia="宋体" w:cs="宋体"/>
          <w:b/>
          <w:color w:val="auto"/>
          <w:sz w:val="21"/>
          <w:szCs w:val="21"/>
          <w:highlight w:val="none"/>
        </w:rPr>
        <w:t>3.1.3</w:t>
      </w:r>
      <w:r>
        <w:rPr>
          <w:rFonts w:hint="eastAsia" w:ascii="宋体" w:hAnsi="宋体" w:eastAsia="宋体" w:cs="宋体"/>
          <w:color w:val="auto"/>
          <w:sz w:val="21"/>
          <w:szCs w:val="21"/>
          <w:highlight w:val="none"/>
        </w:rPr>
        <w:t>甲方的</w:t>
      </w:r>
      <w:bookmarkEnd w:id="50"/>
      <w:bookmarkEnd w:id="51"/>
      <w:bookmarkEnd w:id="52"/>
      <w:r>
        <w:rPr>
          <w:rFonts w:hint="eastAsia" w:ascii="宋体" w:hAnsi="宋体" w:eastAsia="宋体" w:cs="宋体"/>
          <w:color w:val="auto"/>
          <w:sz w:val="21"/>
          <w:szCs w:val="21"/>
          <w:highlight w:val="none"/>
        </w:rPr>
        <w:t>通知</w:t>
      </w:r>
    </w:p>
    <w:p w14:paraId="3FFAB9A5">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甲方的通知应采用书面形式，盖有甲方印章，并由约定授权的人员签字。</w:t>
      </w:r>
    </w:p>
    <w:p w14:paraId="6DDAE5D7">
      <w:pPr>
        <w:keepNext/>
        <w:keepLines/>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53" w:name="_Toc432755072"/>
      <w:r>
        <w:rPr>
          <w:rFonts w:hint="eastAsia" w:ascii="宋体" w:hAnsi="宋体" w:eastAsia="宋体" w:cs="宋体"/>
          <w:b/>
          <w:color w:val="auto"/>
          <w:kern w:val="2"/>
          <w:sz w:val="21"/>
          <w:szCs w:val="21"/>
          <w:highlight w:val="none"/>
          <w:lang w:val="en-US" w:eastAsia="zh-CN" w:bidi="ar-SA"/>
        </w:rPr>
        <w:t>3.2转让</w:t>
      </w:r>
      <w:bookmarkEnd w:id="53"/>
    </w:p>
    <w:p w14:paraId="183AA5C6">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除法律法规、政策变更等特殊原因外，甲乙双方均不得将权利义务转让。</w:t>
      </w:r>
    </w:p>
    <w:p w14:paraId="60768650">
      <w:pPr>
        <w:keepNext/>
        <w:keepLines/>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54" w:name="_Toc432755073"/>
      <w:r>
        <w:rPr>
          <w:rFonts w:hint="eastAsia" w:ascii="宋体" w:hAnsi="宋体" w:eastAsia="宋体" w:cs="宋体"/>
          <w:b/>
          <w:color w:val="auto"/>
          <w:kern w:val="2"/>
          <w:sz w:val="21"/>
          <w:szCs w:val="21"/>
          <w:highlight w:val="none"/>
          <w:lang w:val="en-US" w:eastAsia="zh-CN" w:bidi="ar-SA"/>
        </w:rPr>
        <w:t>3.3严禁贿赂</w:t>
      </w:r>
      <w:bookmarkEnd w:id="54"/>
    </w:p>
    <w:p w14:paraId="16AE2991">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合同双方当事人不得以贿赂或变相贿赂的方式，谋取不当利益或损害对方权益。因贿赂造成对方损失的，行为人应赔偿损失，并承担相应的法律责任。</w:t>
      </w:r>
    </w:p>
    <w:p w14:paraId="1469B24F">
      <w:pPr>
        <w:keepNext/>
        <w:keepLines/>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55" w:name="_Toc432755074"/>
      <w:r>
        <w:rPr>
          <w:rFonts w:hint="eastAsia" w:ascii="宋体" w:hAnsi="宋体" w:eastAsia="宋体" w:cs="宋体"/>
          <w:b/>
          <w:color w:val="auto"/>
          <w:kern w:val="2"/>
          <w:sz w:val="21"/>
          <w:szCs w:val="21"/>
          <w:highlight w:val="none"/>
          <w:lang w:val="en-US" w:eastAsia="zh-CN" w:bidi="ar-SA"/>
        </w:rPr>
        <w:t>3.4知识产权</w:t>
      </w:r>
      <w:bookmarkEnd w:id="55"/>
    </w:p>
    <w:p w14:paraId="69B24858">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3.4.1</w:t>
      </w:r>
      <w:r>
        <w:rPr>
          <w:rFonts w:hint="eastAsia" w:ascii="宋体" w:hAnsi="宋体" w:eastAsia="宋体" w:cs="宋体"/>
          <w:color w:val="auto"/>
          <w:kern w:val="0"/>
          <w:sz w:val="21"/>
          <w:szCs w:val="21"/>
          <w:highlight w:val="none"/>
        </w:rPr>
        <w:t>除合同专用条款另有约定外，乙方完成的工作成果，除署名权以外的著作权等其他知识产权均归甲方享有。</w:t>
      </w:r>
    </w:p>
    <w:p w14:paraId="62199D78">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3.4.2</w:t>
      </w:r>
      <w:r>
        <w:rPr>
          <w:rFonts w:hint="eastAsia" w:ascii="宋体" w:hAnsi="宋体" w:eastAsia="宋体" w:cs="宋体"/>
          <w:color w:val="auto"/>
          <w:kern w:val="0"/>
          <w:sz w:val="21"/>
          <w:szCs w:val="21"/>
          <w:highlight w:val="none"/>
        </w:rPr>
        <w:t>乙方在进行项目代建管理时，因侵犯专利权或其他知识产权所引起的责任，由乙方承担。</w:t>
      </w:r>
    </w:p>
    <w:p w14:paraId="1A6B6261">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3.4.3</w:t>
      </w:r>
      <w:r>
        <w:rPr>
          <w:rFonts w:hint="eastAsia" w:ascii="宋体" w:hAnsi="宋体" w:eastAsia="宋体" w:cs="宋体"/>
          <w:color w:val="auto"/>
          <w:kern w:val="0"/>
          <w:sz w:val="21"/>
          <w:szCs w:val="21"/>
          <w:highlight w:val="none"/>
        </w:rPr>
        <w:t>乙方在投标文件中采用专利技术的，专利技术的使用费包含在投标报价内。</w:t>
      </w:r>
    </w:p>
    <w:p w14:paraId="0A66413C">
      <w:pPr>
        <w:keepNext/>
        <w:keepLines/>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56" w:name="_Toc432755075"/>
      <w:r>
        <w:rPr>
          <w:rFonts w:hint="eastAsia" w:ascii="宋体" w:hAnsi="宋体" w:eastAsia="宋体" w:cs="宋体"/>
          <w:b/>
          <w:color w:val="auto"/>
          <w:kern w:val="2"/>
          <w:sz w:val="21"/>
          <w:szCs w:val="21"/>
          <w:highlight w:val="none"/>
          <w:lang w:val="en-US" w:eastAsia="zh-CN" w:bidi="ar-SA"/>
        </w:rPr>
        <w:t>3.5文件及信息的保密</w:t>
      </w:r>
      <w:bookmarkEnd w:id="56"/>
    </w:p>
    <w:p w14:paraId="60548766">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未经对方同意，任何一方当事人不得将有关文件、技术秘密、需要保密的资料和信息泄露给他人或公开发表与引用。</w:t>
      </w:r>
    </w:p>
    <w:p w14:paraId="30C6A0DE">
      <w:pPr>
        <w:keepNext w:val="0"/>
        <w:keepLines w:val="0"/>
        <w:pageBreakBefore w:val="0"/>
        <w:widowControl w:val="0"/>
        <w:kinsoku/>
        <w:overflowPunct w:val="0"/>
        <w:topLinePunct w:val="0"/>
        <w:autoSpaceDE/>
        <w:autoSpaceDN/>
        <w:bidi w:val="0"/>
        <w:spacing w:before="156" w:beforeLines="50" w:after="156" w:afterLines="50" w:line="400" w:lineRule="exact"/>
        <w:ind w:left="0" w:firstLine="0"/>
        <w:jc w:val="center"/>
        <w:textAlignment w:val="auto"/>
        <w:outlineLvl w:val="2"/>
        <w:rPr>
          <w:rFonts w:hint="eastAsia" w:ascii="宋体" w:hAnsi="宋体" w:eastAsia="宋体" w:cs="宋体"/>
          <w:b/>
          <w:color w:val="auto"/>
          <w:kern w:val="2"/>
          <w:sz w:val="21"/>
          <w:szCs w:val="21"/>
          <w:highlight w:val="none"/>
          <w:lang w:val="en-US" w:eastAsia="zh-CN" w:bidi="ar-SA"/>
        </w:rPr>
      </w:pPr>
      <w:bookmarkStart w:id="57" w:name="_Toc66949758"/>
      <w:bookmarkStart w:id="58" w:name="_Toc66949615"/>
      <w:bookmarkStart w:id="59" w:name="_Toc8050"/>
      <w:bookmarkStart w:id="60" w:name="_Toc66949361"/>
      <w:bookmarkStart w:id="61" w:name="_Toc66818554"/>
      <w:bookmarkStart w:id="62" w:name="_Toc66818961"/>
      <w:bookmarkStart w:id="63" w:name="_Toc66948651"/>
      <w:bookmarkStart w:id="64" w:name="_Toc10131"/>
      <w:bookmarkStart w:id="65" w:name="_Toc432755076"/>
      <w:r>
        <w:rPr>
          <w:rFonts w:hint="eastAsia" w:ascii="宋体" w:hAnsi="宋体" w:eastAsia="宋体" w:cs="宋体"/>
          <w:b/>
          <w:color w:val="auto"/>
          <w:kern w:val="2"/>
          <w:sz w:val="21"/>
          <w:szCs w:val="21"/>
          <w:highlight w:val="none"/>
          <w:lang w:val="en-US" w:eastAsia="zh-CN" w:bidi="ar-SA"/>
        </w:rPr>
        <w:t>第二节  合同双方的权利</w:t>
      </w:r>
      <w:bookmarkEnd w:id="57"/>
      <w:bookmarkEnd w:id="58"/>
      <w:bookmarkEnd w:id="59"/>
      <w:bookmarkEnd w:id="60"/>
      <w:bookmarkEnd w:id="61"/>
      <w:bookmarkEnd w:id="62"/>
      <w:bookmarkEnd w:id="63"/>
      <w:bookmarkEnd w:id="64"/>
      <w:bookmarkEnd w:id="65"/>
    </w:p>
    <w:p w14:paraId="1ABB08DA">
      <w:pPr>
        <w:keepNext w:val="0"/>
        <w:keepLines w:val="0"/>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66" w:name="_Toc432755077"/>
      <w:r>
        <w:rPr>
          <w:rFonts w:hint="eastAsia" w:ascii="宋体" w:hAnsi="宋体" w:eastAsia="宋体" w:cs="宋体"/>
          <w:b w:val="0"/>
          <w:color w:val="auto"/>
          <w:kern w:val="2"/>
          <w:sz w:val="21"/>
          <w:szCs w:val="21"/>
          <w:highlight w:val="none"/>
          <w:lang w:val="en-US" w:eastAsia="zh-CN" w:bidi="ar-SA"/>
        </w:rPr>
        <w:t>第四条  甲方权利</w:t>
      </w:r>
      <w:bookmarkEnd w:id="66"/>
    </w:p>
    <w:p w14:paraId="17300998">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4.1</w:t>
      </w:r>
      <w:r>
        <w:rPr>
          <w:rFonts w:hint="eastAsia" w:ascii="宋体" w:hAnsi="宋体" w:eastAsia="宋体" w:cs="宋体"/>
          <w:color w:val="auto"/>
          <w:sz w:val="21"/>
          <w:szCs w:val="21"/>
          <w:highlight w:val="none"/>
        </w:rPr>
        <w:t>书面提出代建项目的主要设计和功能要求及材料设备选型建议，参与初步设计、施工图设计及其调整优化的编报审查，参与设备选型和材料的选择。</w:t>
      </w:r>
    </w:p>
    <w:p w14:paraId="15082169">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4.2</w:t>
      </w:r>
      <w:r>
        <w:rPr>
          <w:rFonts w:hint="eastAsia" w:ascii="宋体" w:hAnsi="宋体" w:eastAsia="宋体" w:cs="宋体"/>
          <w:color w:val="auto"/>
          <w:sz w:val="21"/>
          <w:szCs w:val="21"/>
          <w:highlight w:val="none"/>
        </w:rPr>
        <w:t>依法依规监督代建过程中的工程勘察、设计、施工、监理和设备、材料采购招标与政府采购及合同签订工作。</w:t>
      </w:r>
    </w:p>
    <w:p w14:paraId="092149BA">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4.3</w:t>
      </w:r>
      <w:r>
        <w:rPr>
          <w:rFonts w:hint="eastAsia" w:ascii="宋体" w:hAnsi="宋体" w:eastAsia="宋体" w:cs="宋体"/>
          <w:color w:val="auto"/>
          <w:sz w:val="21"/>
          <w:szCs w:val="21"/>
          <w:highlight w:val="none"/>
        </w:rPr>
        <w:t>监督工程质量、施工进度和资金使用，按有关规定参与工程验收。</w:t>
      </w:r>
    </w:p>
    <w:p w14:paraId="71FAFC42">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4.4</w:t>
      </w:r>
      <w:r>
        <w:rPr>
          <w:rFonts w:hint="eastAsia" w:ascii="宋体" w:hAnsi="宋体" w:eastAsia="宋体" w:cs="宋体"/>
          <w:color w:val="auto"/>
          <w:sz w:val="21"/>
          <w:szCs w:val="21"/>
          <w:highlight w:val="none"/>
        </w:rPr>
        <w:t>对乙方违规违约行为以及不利于满足项目功能要求的问题要求乙方予以纠正，追究乙方违约责任，向代建主管部门反映乙方不良行为和对乙方的意见要求。</w:t>
      </w:r>
    </w:p>
    <w:p w14:paraId="7F1264C6">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4.5</w:t>
      </w:r>
      <w:r>
        <w:rPr>
          <w:rFonts w:hint="eastAsia" w:ascii="宋体" w:hAnsi="宋体" w:eastAsia="宋体" w:cs="宋体"/>
          <w:color w:val="auto"/>
          <w:sz w:val="21"/>
          <w:szCs w:val="21"/>
          <w:highlight w:val="none"/>
        </w:rPr>
        <w:t>项目竣工验收后，要求乙方按合同约定尽快办理实体和资料的移交，对合同约定期限内出现的质量问题要求乙方提供服务。</w:t>
      </w:r>
    </w:p>
    <w:p w14:paraId="68B9D7B2">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4.6</w:t>
      </w:r>
      <w:r>
        <w:rPr>
          <w:rFonts w:hint="eastAsia" w:ascii="宋体" w:hAnsi="宋体" w:eastAsia="宋体" w:cs="宋体"/>
          <w:color w:val="auto"/>
          <w:sz w:val="21"/>
          <w:szCs w:val="21"/>
          <w:highlight w:val="none"/>
        </w:rPr>
        <w:t>对代建过程中，因乙方原因造成的甲方直接经济损失享有索赔的权利。</w:t>
      </w:r>
    </w:p>
    <w:p w14:paraId="43A84696">
      <w:pPr>
        <w:keepNext/>
        <w:keepLines/>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67" w:name="_Toc432755078"/>
      <w:r>
        <w:rPr>
          <w:rFonts w:hint="eastAsia" w:ascii="宋体" w:hAnsi="宋体" w:eastAsia="宋体" w:cs="宋体"/>
          <w:b w:val="0"/>
          <w:color w:val="auto"/>
          <w:kern w:val="2"/>
          <w:sz w:val="21"/>
          <w:szCs w:val="21"/>
          <w:highlight w:val="none"/>
          <w:lang w:val="en-US" w:eastAsia="zh-CN" w:bidi="ar-SA"/>
        </w:rPr>
        <w:t>第五条  乙方权利</w:t>
      </w:r>
      <w:bookmarkEnd w:id="67"/>
    </w:p>
    <w:p w14:paraId="2982B882">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5.1</w:t>
      </w:r>
      <w:r>
        <w:rPr>
          <w:rFonts w:hint="eastAsia" w:ascii="宋体" w:hAnsi="宋体" w:eastAsia="宋体" w:cs="宋体"/>
          <w:color w:val="auto"/>
          <w:sz w:val="21"/>
          <w:szCs w:val="21"/>
          <w:highlight w:val="none"/>
        </w:rPr>
        <w:t>乙方在代建周期内作为项目建设单位并享有相应的项目组织、管理及协调权。</w:t>
      </w:r>
    </w:p>
    <w:p w14:paraId="459F4260">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5.1.1</w:t>
      </w:r>
      <w:r>
        <w:rPr>
          <w:rFonts w:hint="eastAsia" w:ascii="宋体" w:hAnsi="宋体" w:eastAsia="宋体" w:cs="宋体"/>
          <w:color w:val="auto"/>
          <w:sz w:val="21"/>
          <w:szCs w:val="21"/>
          <w:highlight w:val="none"/>
        </w:rPr>
        <w:t>组织初步设计</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仅限全过程代建）、施工图设计和优化调整方案及其概预算编报送审。</w:t>
      </w:r>
    </w:p>
    <w:p w14:paraId="7F817665">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5.1.2</w:t>
      </w:r>
      <w:r>
        <w:rPr>
          <w:rFonts w:hint="eastAsia" w:ascii="宋体" w:hAnsi="宋体" w:eastAsia="宋体" w:cs="宋体"/>
          <w:color w:val="auto"/>
          <w:sz w:val="21"/>
          <w:szCs w:val="21"/>
          <w:highlight w:val="none"/>
        </w:rPr>
        <w:t>代建过程中作为招标人依法依规组织工程招标和采购活动，选择专业工作单位，与各专业工作单位签订合同并依法依约进行管理。</w:t>
      </w:r>
    </w:p>
    <w:p w14:paraId="45CBC912">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5.1.3</w:t>
      </w:r>
      <w:r>
        <w:rPr>
          <w:rFonts w:hint="eastAsia" w:ascii="宋体" w:hAnsi="宋体" w:eastAsia="宋体" w:cs="宋体"/>
          <w:color w:val="auto"/>
          <w:sz w:val="21"/>
          <w:szCs w:val="21"/>
          <w:highlight w:val="none"/>
        </w:rPr>
        <w:t>授权监理人发布开工令、停工令、复工令。</w:t>
      </w:r>
    </w:p>
    <w:p w14:paraId="2DA86607">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5.1.4</w:t>
      </w:r>
      <w:r>
        <w:rPr>
          <w:rFonts w:hint="eastAsia" w:ascii="宋体" w:hAnsi="宋体" w:eastAsia="宋体" w:cs="宋体"/>
          <w:color w:val="auto"/>
          <w:sz w:val="21"/>
          <w:szCs w:val="21"/>
          <w:highlight w:val="none"/>
        </w:rPr>
        <w:t>管理各类合同、文件、图纸和工程档案资料。</w:t>
      </w:r>
    </w:p>
    <w:p w14:paraId="6B67E206">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5.1.5</w:t>
      </w:r>
      <w:r>
        <w:rPr>
          <w:rFonts w:hint="eastAsia" w:ascii="宋体" w:hAnsi="宋体" w:eastAsia="宋体" w:cs="宋体"/>
          <w:color w:val="auto"/>
          <w:sz w:val="21"/>
          <w:szCs w:val="21"/>
          <w:highlight w:val="none"/>
        </w:rPr>
        <w:t>在与专业工作单位合同约定的价格范围内，有价款支付的审核权和签认权。</w:t>
      </w:r>
    </w:p>
    <w:p w14:paraId="2A027F74">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5.1.6</w:t>
      </w:r>
      <w:r>
        <w:rPr>
          <w:rFonts w:hint="eastAsia" w:ascii="宋体" w:hAnsi="宋体" w:eastAsia="宋体" w:cs="宋体"/>
          <w:color w:val="auto"/>
          <w:sz w:val="21"/>
          <w:szCs w:val="21"/>
          <w:highlight w:val="none"/>
        </w:rPr>
        <w:t>组织开展项目各参与方的协调工作。</w:t>
      </w:r>
    </w:p>
    <w:p w14:paraId="149106FC">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5.2</w:t>
      </w:r>
      <w:r>
        <w:rPr>
          <w:rFonts w:hint="eastAsia" w:ascii="宋体" w:hAnsi="宋体" w:eastAsia="宋体" w:cs="宋体"/>
          <w:color w:val="auto"/>
          <w:sz w:val="21"/>
          <w:szCs w:val="21"/>
          <w:highlight w:val="none"/>
        </w:rPr>
        <w:t>对代建实施过程中可能突破政府投资主管部门批复的投资规模的方案、行为要求改正或优化，拒绝并要求有关方面停止实施未经政府投资主管部门批复同意的工程建设内容，拒绝并要求有关方面停止实施未经批准的可能引起投资超过概算的行为。</w:t>
      </w:r>
    </w:p>
    <w:p w14:paraId="47FAF007">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5.3</w:t>
      </w:r>
      <w:r>
        <w:rPr>
          <w:rFonts w:hint="eastAsia" w:ascii="宋体" w:hAnsi="宋体" w:eastAsia="宋体" w:cs="宋体"/>
          <w:color w:val="auto"/>
          <w:sz w:val="21"/>
          <w:szCs w:val="21"/>
          <w:highlight w:val="none"/>
        </w:rPr>
        <w:t>按合同约定取得代建服务费，并按合同专用条款约定从项目投资节余中获得适当奖励。乙方对甲方提出的额外工作，有权要求支付额外工作费用。对因甲方原因造成的项目建设周期延长，乙方有权要求延长代建周期，并获得补偿。对代建过程中，因甲方原因造成的乙方直接经济损失享有索赔的权利。</w:t>
      </w:r>
    </w:p>
    <w:p w14:paraId="41B89E33">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5.4</w:t>
      </w:r>
      <w:r>
        <w:rPr>
          <w:rFonts w:hint="eastAsia" w:ascii="宋体" w:hAnsi="宋体" w:eastAsia="宋体" w:cs="宋体"/>
          <w:color w:val="auto"/>
          <w:sz w:val="21"/>
          <w:szCs w:val="21"/>
          <w:highlight w:val="none"/>
        </w:rPr>
        <w:t>乙方有权拒绝甲方提出的代建合同约定之外的要求。</w:t>
      </w:r>
    </w:p>
    <w:p w14:paraId="65DDA76D">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5.5</w:t>
      </w:r>
      <w:r>
        <w:rPr>
          <w:rFonts w:hint="eastAsia" w:ascii="宋体" w:hAnsi="宋体" w:eastAsia="宋体" w:cs="宋体"/>
          <w:color w:val="auto"/>
          <w:sz w:val="21"/>
          <w:szCs w:val="21"/>
          <w:highlight w:val="none"/>
        </w:rPr>
        <w:t>乙方有权就合同争议事项和代建项目重大变更等向代建主管部门请求协调。</w:t>
      </w:r>
    </w:p>
    <w:p w14:paraId="374BB872">
      <w:pPr>
        <w:keepNext w:val="0"/>
        <w:keepLines w:val="0"/>
        <w:pageBreakBefore w:val="0"/>
        <w:widowControl w:val="0"/>
        <w:tabs>
          <w:tab w:val="left" w:pos="1050"/>
        </w:tabs>
        <w:kinsoku/>
        <w:overflowPunct w:val="0"/>
        <w:topLinePunct w:val="0"/>
        <w:autoSpaceDE/>
        <w:autoSpaceDN/>
        <w:bidi w:val="0"/>
        <w:spacing w:before="156" w:beforeLines="50" w:after="156" w:afterLines="50" w:line="400" w:lineRule="exact"/>
        <w:ind w:left="0" w:firstLine="0"/>
        <w:jc w:val="center"/>
        <w:textAlignment w:val="auto"/>
        <w:outlineLvl w:val="2"/>
        <w:rPr>
          <w:rFonts w:hint="eastAsia" w:ascii="宋体" w:hAnsi="宋体" w:eastAsia="宋体" w:cs="宋体"/>
          <w:b/>
          <w:color w:val="auto"/>
          <w:kern w:val="2"/>
          <w:sz w:val="21"/>
          <w:szCs w:val="21"/>
          <w:highlight w:val="none"/>
          <w:lang w:val="en-US" w:eastAsia="zh-CN" w:bidi="ar-SA"/>
        </w:rPr>
      </w:pPr>
      <w:bookmarkStart w:id="68" w:name="_Toc29561"/>
      <w:bookmarkStart w:id="69" w:name="_Toc66949759"/>
      <w:bookmarkStart w:id="70" w:name="_Toc66818962"/>
      <w:bookmarkStart w:id="71" w:name="_Toc66818555"/>
      <w:bookmarkStart w:id="72" w:name="_Toc432755079"/>
      <w:bookmarkStart w:id="73" w:name="_Toc66948652"/>
      <w:bookmarkStart w:id="74" w:name="_Toc66949616"/>
      <w:bookmarkStart w:id="75" w:name="_Toc66949362"/>
      <w:bookmarkStart w:id="76" w:name="_Toc26050"/>
      <w:r>
        <w:rPr>
          <w:rFonts w:hint="eastAsia" w:ascii="宋体" w:hAnsi="宋体" w:eastAsia="宋体" w:cs="宋体"/>
          <w:b/>
          <w:color w:val="auto"/>
          <w:kern w:val="2"/>
          <w:sz w:val="21"/>
          <w:szCs w:val="21"/>
          <w:highlight w:val="none"/>
          <w:lang w:val="en-US" w:eastAsia="zh-CN" w:bidi="ar-SA"/>
        </w:rPr>
        <w:t>第三节  合同双方的义务</w:t>
      </w:r>
      <w:bookmarkEnd w:id="68"/>
      <w:bookmarkEnd w:id="69"/>
      <w:bookmarkEnd w:id="70"/>
      <w:bookmarkEnd w:id="71"/>
      <w:bookmarkEnd w:id="72"/>
      <w:bookmarkEnd w:id="73"/>
      <w:bookmarkEnd w:id="74"/>
      <w:bookmarkEnd w:id="75"/>
      <w:bookmarkEnd w:id="76"/>
    </w:p>
    <w:p w14:paraId="73921814">
      <w:pPr>
        <w:keepNext/>
        <w:keepLines/>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77" w:name="_Toc432755080"/>
      <w:r>
        <w:rPr>
          <w:rFonts w:hint="eastAsia" w:ascii="宋体" w:hAnsi="宋体" w:eastAsia="宋体" w:cs="宋体"/>
          <w:b w:val="0"/>
          <w:color w:val="auto"/>
          <w:kern w:val="2"/>
          <w:sz w:val="21"/>
          <w:szCs w:val="21"/>
          <w:highlight w:val="none"/>
          <w:lang w:val="en-US" w:eastAsia="zh-CN" w:bidi="ar-SA"/>
        </w:rPr>
        <w:t>第六条  甲方义务</w:t>
      </w:r>
      <w:bookmarkEnd w:id="77"/>
    </w:p>
    <w:p w14:paraId="278EE8B3">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78" w:name="_Toc432755081"/>
      <w:r>
        <w:rPr>
          <w:rFonts w:hint="eastAsia" w:ascii="宋体" w:hAnsi="宋体" w:eastAsia="宋体" w:cs="宋体"/>
          <w:b/>
          <w:color w:val="auto"/>
          <w:kern w:val="2"/>
          <w:sz w:val="21"/>
          <w:szCs w:val="21"/>
          <w:highlight w:val="none"/>
          <w:lang w:val="en-US" w:eastAsia="zh-CN" w:bidi="ar-SA"/>
        </w:rPr>
        <w:t>6.1遵守法律</w:t>
      </w:r>
      <w:bookmarkEnd w:id="78"/>
    </w:p>
    <w:p w14:paraId="6635E59D">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甲方在履行合同过程中应遵守法律，并保证乙方免于承担因甲方违反法律而引起的任何责任。</w:t>
      </w:r>
    </w:p>
    <w:p w14:paraId="30FC86EE">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bookmarkStart w:id="79" w:name="_Toc27773"/>
      <w:bookmarkStart w:id="80" w:name="_Toc66818556"/>
      <w:bookmarkStart w:id="81" w:name="_Toc10448"/>
      <w:r>
        <w:rPr>
          <w:rFonts w:hint="eastAsia" w:ascii="宋体" w:hAnsi="宋体" w:eastAsia="宋体" w:cs="宋体"/>
          <w:b/>
          <w:color w:val="auto"/>
          <w:sz w:val="21"/>
          <w:szCs w:val="21"/>
          <w:highlight w:val="none"/>
        </w:rPr>
        <w:t>6.2完成项目前期准备</w:t>
      </w:r>
      <w:bookmarkEnd w:id="79"/>
      <w:bookmarkEnd w:id="80"/>
      <w:bookmarkEnd w:id="81"/>
    </w:p>
    <w:p w14:paraId="33655B9E">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6.2.1</w:t>
      </w:r>
      <w:r>
        <w:rPr>
          <w:rFonts w:hint="eastAsia" w:ascii="宋体" w:hAnsi="宋体" w:eastAsia="宋体" w:cs="宋体"/>
          <w:color w:val="auto"/>
          <w:sz w:val="21"/>
          <w:szCs w:val="21"/>
          <w:highlight w:val="none"/>
        </w:rPr>
        <w:t>负责项目前期的土地房屋征收，提供项目场地，落实乙方进场条件。</w:t>
      </w:r>
    </w:p>
    <w:p w14:paraId="337F758E">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6.2.2</w:t>
      </w:r>
      <w:r>
        <w:rPr>
          <w:rFonts w:hint="eastAsia" w:ascii="宋体" w:hAnsi="宋体" w:eastAsia="宋体" w:cs="宋体"/>
          <w:color w:val="auto"/>
          <w:sz w:val="21"/>
          <w:szCs w:val="21"/>
          <w:highlight w:val="none"/>
        </w:rPr>
        <w:t>负责提供项目施工场界、土地权属等相关图纸及资料，为乙方项目前期实施提供便利。</w:t>
      </w:r>
    </w:p>
    <w:p w14:paraId="2DC02E9F">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6.2.3</w:t>
      </w:r>
      <w:r>
        <w:rPr>
          <w:rFonts w:hint="eastAsia" w:ascii="宋体" w:hAnsi="宋体" w:eastAsia="宋体" w:cs="宋体"/>
          <w:color w:val="auto"/>
          <w:sz w:val="21"/>
          <w:szCs w:val="21"/>
          <w:highlight w:val="none"/>
        </w:rPr>
        <w:t>负责项目资金计划和预算的申报，及时落实各级财政性资金，筹措自筹资金。</w:t>
      </w:r>
    </w:p>
    <w:p w14:paraId="48B3D258">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82" w:name="_Toc432755082"/>
      <w:r>
        <w:rPr>
          <w:rFonts w:hint="eastAsia" w:ascii="宋体" w:hAnsi="宋体" w:eastAsia="宋体" w:cs="宋体"/>
          <w:b/>
          <w:color w:val="auto"/>
          <w:kern w:val="2"/>
          <w:sz w:val="21"/>
          <w:szCs w:val="21"/>
          <w:highlight w:val="none"/>
          <w:lang w:val="en-US" w:eastAsia="zh-CN" w:bidi="ar-SA"/>
        </w:rPr>
        <w:t>6.3办理有关手续</w:t>
      </w:r>
      <w:bookmarkEnd w:id="82"/>
    </w:p>
    <w:p w14:paraId="7DA92E6C">
      <w:pPr>
        <w:pageBreakBefore w:val="0"/>
        <w:widowControl w:val="0"/>
        <w:tabs>
          <w:tab w:val="left" w:pos="1276"/>
        </w:tabs>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6.3.1</w:t>
      </w:r>
      <w:r>
        <w:rPr>
          <w:rFonts w:hint="eastAsia" w:ascii="宋体" w:hAnsi="宋体" w:eastAsia="宋体" w:cs="宋体"/>
          <w:color w:val="auto"/>
          <w:sz w:val="21"/>
          <w:szCs w:val="21"/>
          <w:highlight w:val="none"/>
        </w:rPr>
        <w:t>现行工程建设管理规定要求必须由甲方负责办理的各项报批手续</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如可能需要的道路开口、供水、供电、燃气供应等），甲方应按时办理。甲方负责办理的手续在合同专用条款中明确。</w:t>
      </w:r>
    </w:p>
    <w:p w14:paraId="26D06A78">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6.3.2</w:t>
      </w:r>
      <w:r>
        <w:rPr>
          <w:rFonts w:hint="eastAsia" w:ascii="宋体" w:hAnsi="宋体" w:eastAsia="宋体" w:cs="宋体"/>
          <w:color w:val="auto"/>
          <w:sz w:val="21"/>
          <w:szCs w:val="21"/>
          <w:highlight w:val="none"/>
        </w:rPr>
        <w:t>负责因甲方原因导致的设计及概算调整的报批。</w:t>
      </w:r>
    </w:p>
    <w:p w14:paraId="25201B67">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83" w:name="_Toc432755083"/>
      <w:r>
        <w:rPr>
          <w:rFonts w:hint="eastAsia" w:ascii="宋体" w:hAnsi="宋体" w:eastAsia="宋体" w:cs="宋体"/>
          <w:b/>
          <w:color w:val="auto"/>
          <w:kern w:val="2"/>
          <w:sz w:val="21"/>
          <w:szCs w:val="21"/>
          <w:highlight w:val="none"/>
          <w:lang w:val="en-US" w:eastAsia="zh-CN" w:bidi="ar-SA"/>
        </w:rPr>
        <w:t>6.4资金支付</w:t>
      </w:r>
      <w:bookmarkEnd w:id="83"/>
    </w:p>
    <w:p w14:paraId="652DAA1D">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6.4.1</w:t>
      </w:r>
      <w:r>
        <w:rPr>
          <w:rFonts w:hint="eastAsia" w:ascii="宋体" w:hAnsi="宋体" w:eastAsia="宋体" w:cs="宋体"/>
          <w:color w:val="auto"/>
          <w:sz w:val="21"/>
          <w:szCs w:val="21"/>
          <w:highlight w:val="none"/>
        </w:rPr>
        <w:t>按照合同约定向乙方及时支付代建服务费。</w:t>
      </w:r>
    </w:p>
    <w:p w14:paraId="27E03404">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6.4.2</w:t>
      </w:r>
      <w:r>
        <w:rPr>
          <w:rFonts w:hint="eastAsia" w:ascii="宋体" w:hAnsi="宋体" w:eastAsia="宋体" w:cs="宋体"/>
          <w:color w:val="auto"/>
          <w:sz w:val="21"/>
          <w:szCs w:val="21"/>
          <w:highlight w:val="none"/>
        </w:rPr>
        <w:t>按照乙方签核的价款在合同约定的期限内及时向财政部门申报支付，确保项目建设价款及时拨付到位。</w:t>
      </w:r>
    </w:p>
    <w:p w14:paraId="765822F8">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pacing w:val="0"/>
          <w:sz w:val="21"/>
          <w:szCs w:val="21"/>
          <w:highlight w:val="none"/>
        </w:rPr>
      </w:pPr>
      <w:r>
        <w:rPr>
          <w:rFonts w:hint="eastAsia" w:ascii="宋体" w:hAnsi="宋体" w:eastAsia="宋体" w:cs="宋体"/>
          <w:b/>
          <w:color w:val="auto"/>
          <w:spacing w:val="0"/>
          <w:sz w:val="21"/>
          <w:szCs w:val="21"/>
          <w:highlight w:val="none"/>
        </w:rPr>
        <w:t>6.4.3</w:t>
      </w:r>
      <w:r>
        <w:rPr>
          <w:rFonts w:hint="eastAsia" w:ascii="宋体" w:hAnsi="宋体" w:eastAsia="宋体" w:cs="宋体"/>
          <w:color w:val="auto"/>
          <w:spacing w:val="0"/>
          <w:sz w:val="21"/>
          <w:szCs w:val="21"/>
          <w:highlight w:val="none"/>
        </w:rPr>
        <w:t>做好自筹资金的管理，按照乙方签核的价款及时支付。</w:t>
      </w:r>
    </w:p>
    <w:p w14:paraId="4443E1CF">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84" w:name="_Toc432755084"/>
      <w:r>
        <w:rPr>
          <w:rFonts w:hint="eastAsia" w:ascii="宋体" w:hAnsi="宋体" w:eastAsia="宋体" w:cs="宋体"/>
          <w:b/>
          <w:color w:val="auto"/>
          <w:kern w:val="2"/>
          <w:sz w:val="21"/>
          <w:szCs w:val="21"/>
          <w:highlight w:val="none"/>
          <w:lang w:val="en-US" w:eastAsia="zh-CN" w:bidi="ar-SA"/>
        </w:rPr>
        <w:t>6.5支持协助乙方工作</w:t>
      </w:r>
      <w:bookmarkEnd w:id="84"/>
    </w:p>
    <w:p w14:paraId="62DD24FE">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6.5.1</w:t>
      </w:r>
      <w:r>
        <w:rPr>
          <w:rFonts w:hint="eastAsia" w:ascii="宋体" w:hAnsi="宋体" w:eastAsia="宋体" w:cs="宋体"/>
          <w:color w:val="auto"/>
          <w:sz w:val="21"/>
          <w:szCs w:val="21"/>
          <w:highlight w:val="none"/>
        </w:rPr>
        <w:t>根据项目建设的需要，提供甲方掌握的文件资料，积极做好有关协调工作，为乙方办理规划、施工、节能、环保、消防、市政等报批报建工作提供必要的协助和便利，及时提供政府有关部门依法要求的甲方文件。</w:t>
      </w:r>
    </w:p>
    <w:p w14:paraId="371961A6">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6.5.2</w:t>
      </w:r>
      <w:r>
        <w:rPr>
          <w:rFonts w:hint="eastAsia" w:ascii="宋体" w:hAnsi="宋体" w:eastAsia="宋体" w:cs="宋体"/>
          <w:color w:val="auto"/>
          <w:sz w:val="21"/>
          <w:szCs w:val="21"/>
          <w:highlight w:val="none"/>
        </w:rPr>
        <w:t>尊重乙方代建周期内的管理权责，不直接作为招标人组织招标和采购活动，不直接作为甲方与专业工作单位签订合同，不直接干预专业单位工作。</w:t>
      </w:r>
    </w:p>
    <w:p w14:paraId="1D4D4CF8">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pacing w:val="0"/>
          <w:sz w:val="21"/>
          <w:szCs w:val="21"/>
          <w:highlight w:val="none"/>
        </w:rPr>
        <w:t>6.5.3</w:t>
      </w:r>
      <w:r>
        <w:rPr>
          <w:rFonts w:hint="eastAsia" w:ascii="宋体" w:hAnsi="宋体" w:eastAsia="宋体" w:cs="宋体"/>
          <w:color w:val="auto"/>
          <w:spacing w:val="0"/>
          <w:sz w:val="21"/>
          <w:szCs w:val="21"/>
          <w:highlight w:val="none"/>
        </w:rPr>
        <w:t>书面指派专人负责项目的联络工作，对乙方提交并要</w:t>
      </w:r>
      <w:r>
        <w:rPr>
          <w:rFonts w:hint="eastAsia" w:ascii="宋体" w:hAnsi="宋体" w:eastAsia="宋体" w:cs="宋体"/>
          <w:color w:val="auto"/>
          <w:spacing w:val="-6"/>
          <w:sz w:val="21"/>
          <w:szCs w:val="21"/>
          <w:highlight w:val="none"/>
        </w:rPr>
        <w:t>求作出决定的事宜在专用条款约定的时间内及时予以书面答复。</w:t>
      </w:r>
    </w:p>
    <w:p w14:paraId="16A92E81">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6.5.4</w:t>
      </w:r>
      <w:r>
        <w:rPr>
          <w:rFonts w:hint="eastAsia" w:ascii="宋体" w:hAnsi="宋体" w:eastAsia="宋体" w:cs="宋体"/>
          <w:color w:val="auto"/>
          <w:sz w:val="21"/>
          <w:szCs w:val="21"/>
          <w:highlight w:val="none"/>
        </w:rPr>
        <w:t>及时书面告知乙方与工程建设相关的行业法规、政策变化情况和其他甲方知晓的影响工程建设的有关情况。</w:t>
      </w:r>
    </w:p>
    <w:p w14:paraId="2B90716C">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6.5.5</w:t>
      </w:r>
      <w:r>
        <w:rPr>
          <w:rFonts w:hint="eastAsia" w:ascii="宋体" w:hAnsi="宋体" w:eastAsia="宋体" w:cs="宋体"/>
          <w:color w:val="auto"/>
          <w:sz w:val="21"/>
          <w:szCs w:val="21"/>
          <w:highlight w:val="none"/>
        </w:rPr>
        <w:t>及时协助开展竣工验收工作，按合同约定及时办理工程实体移交手续，出具实体移交证书。</w:t>
      </w:r>
    </w:p>
    <w:p w14:paraId="77908B0C">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6.5.6</w:t>
      </w:r>
      <w:r>
        <w:rPr>
          <w:rFonts w:hint="eastAsia" w:ascii="宋体" w:hAnsi="宋体" w:eastAsia="宋体" w:cs="宋体"/>
          <w:color w:val="auto"/>
          <w:sz w:val="21"/>
          <w:szCs w:val="21"/>
          <w:highlight w:val="none"/>
        </w:rPr>
        <w:t>协助乙方组织编制工程结算，负责组织编制项目决算，并报有关部门审查。</w:t>
      </w:r>
    </w:p>
    <w:p w14:paraId="280513F9">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val="0"/>
          <w:color w:val="auto"/>
          <w:kern w:val="2"/>
          <w:sz w:val="21"/>
          <w:szCs w:val="21"/>
          <w:highlight w:val="none"/>
          <w:lang w:val="en-US" w:eastAsia="zh-CN" w:bidi="ar-SA"/>
        </w:rPr>
      </w:pPr>
      <w:bookmarkStart w:id="85" w:name="_Toc432755085"/>
      <w:r>
        <w:rPr>
          <w:rFonts w:hint="eastAsia" w:ascii="宋体" w:hAnsi="宋体" w:eastAsia="宋体" w:cs="宋体"/>
          <w:b/>
          <w:color w:val="auto"/>
          <w:kern w:val="2"/>
          <w:sz w:val="21"/>
          <w:szCs w:val="21"/>
          <w:highlight w:val="none"/>
          <w:lang w:val="en-US" w:eastAsia="zh-CN" w:bidi="ar-SA"/>
        </w:rPr>
        <w:t>6.6</w:t>
      </w:r>
      <w:r>
        <w:rPr>
          <w:rFonts w:hint="eastAsia" w:ascii="宋体" w:hAnsi="宋体" w:eastAsia="宋体" w:cs="宋体"/>
          <w:b w:val="0"/>
          <w:color w:val="auto"/>
          <w:kern w:val="2"/>
          <w:sz w:val="21"/>
          <w:szCs w:val="21"/>
          <w:highlight w:val="none"/>
          <w:lang w:val="en-US" w:eastAsia="zh-CN" w:bidi="ar-SA"/>
        </w:rPr>
        <w:t>在项目建设工作中接受代建主管部门及其他行业主管部门的指导、协调和监督，配合对代建单位和代建项目的监督评价工作。</w:t>
      </w:r>
      <w:bookmarkEnd w:id="85"/>
    </w:p>
    <w:p w14:paraId="5E1F15DB">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86" w:name="_Toc432755086"/>
      <w:r>
        <w:rPr>
          <w:rFonts w:hint="eastAsia" w:ascii="宋体" w:hAnsi="宋体" w:eastAsia="宋体" w:cs="宋体"/>
          <w:b/>
          <w:color w:val="auto"/>
          <w:kern w:val="2"/>
          <w:sz w:val="21"/>
          <w:szCs w:val="21"/>
          <w:highlight w:val="none"/>
          <w:lang w:val="en-US" w:eastAsia="zh-CN" w:bidi="ar-SA"/>
        </w:rPr>
        <w:t>6.7其他义务</w:t>
      </w:r>
      <w:bookmarkEnd w:id="86"/>
    </w:p>
    <w:p w14:paraId="407D53C0">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履行合同约定的其他义务。</w:t>
      </w:r>
    </w:p>
    <w:p w14:paraId="12681F25">
      <w:pPr>
        <w:keepNext w:val="0"/>
        <w:keepLines w:val="0"/>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87" w:name="_Toc432755087"/>
      <w:r>
        <w:rPr>
          <w:rFonts w:hint="eastAsia" w:ascii="宋体" w:hAnsi="宋体" w:eastAsia="宋体" w:cs="宋体"/>
          <w:b w:val="0"/>
          <w:color w:val="auto"/>
          <w:kern w:val="2"/>
          <w:sz w:val="21"/>
          <w:szCs w:val="21"/>
          <w:highlight w:val="none"/>
          <w:lang w:val="en-US" w:eastAsia="zh-CN" w:bidi="ar-SA"/>
        </w:rPr>
        <w:t>第七条  乙方义务</w:t>
      </w:r>
      <w:bookmarkEnd w:id="87"/>
    </w:p>
    <w:p w14:paraId="0A303D4A">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88" w:name="_Toc432755088"/>
      <w:r>
        <w:rPr>
          <w:rFonts w:hint="eastAsia" w:ascii="宋体" w:hAnsi="宋体" w:eastAsia="宋体" w:cs="宋体"/>
          <w:b/>
          <w:color w:val="auto"/>
          <w:kern w:val="2"/>
          <w:sz w:val="21"/>
          <w:szCs w:val="21"/>
          <w:highlight w:val="none"/>
          <w:lang w:val="en-US" w:eastAsia="zh-CN" w:bidi="ar-SA"/>
        </w:rPr>
        <w:t>7.1</w:t>
      </w:r>
      <w:bookmarkEnd w:id="88"/>
      <w:r>
        <w:rPr>
          <w:rFonts w:hint="eastAsia" w:ascii="宋体" w:hAnsi="宋体" w:eastAsia="宋体" w:cs="宋体"/>
          <w:b/>
          <w:color w:val="auto"/>
          <w:kern w:val="2"/>
          <w:sz w:val="21"/>
          <w:szCs w:val="21"/>
          <w:highlight w:val="none"/>
          <w:lang w:val="en-US" w:eastAsia="zh-CN" w:bidi="ar-SA"/>
        </w:rPr>
        <w:t>一般义务</w:t>
      </w:r>
    </w:p>
    <w:p w14:paraId="3441ECBD">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bCs/>
          <w:color w:val="auto"/>
          <w:sz w:val="21"/>
          <w:szCs w:val="21"/>
          <w:highlight w:val="none"/>
        </w:rPr>
      </w:pPr>
      <w:bookmarkStart w:id="89" w:name="_Toc432755089"/>
      <w:r>
        <w:rPr>
          <w:rFonts w:hint="eastAsia" w:ascii="宋体" w:hAnsi="宋体" w:eastAsia="宋体" w:cs="宋体"/>
          <w:b/>
          <w:color w:val="auto"/>
          <w:sz w:val="21"/>
          <w:szCs w:val="21"/>
          <w:highlight w:val="none"/>
        </w:rPr>
        <w:t>7.1.1</w:t>
      </w:r>
      <w:r>
        <w:rPr>
          <w:rFonts w:hint="eastAsia" w:ascii="宋体" w:hAnsi="宋体" w:eastAsia="宋体" w:cs="宋体"/>
          <w:bCs/>
          <w:color w:val="auto"/>
          <w:sz w:val="21"/>
          <w:szCs w:val="21"/>
          <w:highlight w:val="none"/>
        </w:rPr>
        <w:t>遵守法律</w:t>
      </w:r>
      <w:bookmarkEnd w:id="89"/>
    </w:p>
    <w:p w14:paraId="49C2A8A8">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乙方在履行合同过程中应遵守法律，并保证甲方免于承担因乙方违反法律而引起的任何责任。</w:t>
      </w:r>
    </w:p>
    <w:p w14:paraId="24E10409">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7.1.2</w:t>
      </w:r>
      <w:r>
        <w:rPr>
          <w:rFonts w:hint="eastAsia" w:ascii="宋体" w:hAnsi="宋体" w:eastAsia="宋体" w:cs="宋体"/>
          <w:color w:val="auto"/>
          <w:sz w:val="21"/>
          <w:szCs w:val="21"/>
          <w:highlight w:val="none"/>
        </w:rPr>
        <w:t>依法纳税</w:t>
      </w:r>
    </w:p>
    <w:p w14:paraId="71EF6C04">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乙方应按有关法律规定纳税，承担本项目代建服务应缴纳的税金包含在代建合同价款内。</w:t>
      </w:r>
    </w:p>
    <w:p w14:paraId="330C6014">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7.1.3</w:t>
      </w:r>
      <w:r>
        <w:rPr>
          <w:rFonts w:hint="eastAsia" w:ascii="宋体" w:hAnsi="宋体" w:eastAsia="宋体" w:cs="宋体"/>
          <w:color w:val="auto"/>
          <w:sz w:val="21"/>
          <w:szCs w:val="21"/>
          <w:highlight w:val="none"/>
        </w:rPr>
        <w:t>保证项目和人员的安全</w:t>
      </w:r>
    </w:p>
    <w:p w14:paraId="6EF87881">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按法律法规及行业现行规定，承担建设单位的安全管理和监督责任。</w:t>
      </w:r>
    </w:p>
    <w:p w14:paraId="1517FF2B">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7.1.4</w:t>
      </w:r>
      <w:r>
        <w:rPr>
          <w:rFonts w:hint="eastAsia" w:ascii="宋体" w:hAnsi="宋体" w:eastAsia="宋体" w:cs="宋体"/>
          <w:color w:val="auto"/>
          <w:sz w:val="21"/>
          <w:szCs w:val="21"/>
          <w:highlight w:val="none"/>
        </w:rPr>
        <w:t>避免项目对公众与他人的利益造成损害</w:t>
      </w:r>
    </w:p>
    <w:p w14:paraId="19AAD4A4">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1）组织协调文明施工，避免对周围环境造成任何不利影响，对非文明施工行为承担项目建设单位的责任。</w:t>
      </w:r>
    </w:p>
    <w:p w14:paraId="3F41796C">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2）在工程建设实施过程中，应约束参建各方不得侵害他人使用公用道路、水源、管网等公共设施的权利，避免对邻近的公共设施产生干扰。</w:t>
      </w:r>
    </w:p>
    <w:p w14:paraId="791A7F84">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3）采取有效措施督促各专业工作单位向其员工及时、足额发放工资及福利。</w:t>
      </w:r>
    </w:p>
    <w:p w14:paraId="63B323DD">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7.1.5</w:t>
      </w:r>
      <w:r>
        <w:rPr>
          <w:rFonts w:hint="eastAsia" w:ascii="宋体" w:hAnsi="宋体" w:eastAsia="宋体" w:cs="宋体"/>
          <w:color w:val="auto"/>
          <w:sz w:val="21"/>
          <w:szCs w:val="21"/>
          <w:highlight w:val="none"/>
        </w:rPr>
        <w:t>保障乙方人员的合法权益</w:t>
      </w:r>
    </w:p>
    <w:p w14:paraId="0CA22370">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乙方应按有关法律规定保障代建项目管理团队人员合法权益，办理保险，并按时发放工资。</w:t>
      </w:r>
    </w:p>
    <w:p w14:paraId="270E88C8">
      <w:pPr>
        <w:keepNext/>
        <w:keepLines/>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90" w:name="_Toc432755090"/>
      <w:r>
        <w:rPr>
          <w:rFonts w:hint="eastAsia" w:ascii="宋体" w:hAnsi="宋体" w:eastAsia="宋体" w:cs="宋体"/>
          <w:b/>
          <w:color w:val="auto"/>
          <w:kern w:val="2"/>
          <w:sz w:val="21"/>
          <w:szCs w:val="21"/>
          <w:highlight w:val="none"/>
          <w:lang w:val="en-US" w:eastAsia="zh-CN" w:bidi="ar-SA"/>
        </w:rPr>
        <w:t>7.2</w:t>
      </w:r>
      <w:bookmarkEnd w:id="90"/>
      <w:r>
        <w:rPr>
          <w:rFonts w:hint="eastAsia" w:ascii="宋体" w:hAnsi="宋体" w:eastAsia="宋体" w:cs="宋体"/>
          <w:b/>
          <w:color w:val="auto"/>
          <w:kern w:val="2"/>
          <w:sz w:val="21"/>
          <w:szCs w:val="21"/>
          <w:highlight w:val="none"/>
          <w:lang w:val="en-US" w:eastAsia="zh-CN" w:bidi="ar-SA"/>
        </w:rPr>
        <w:t>在代建周期内承担建设单位的义务和责任</w:t>
      </w:r>
    </w:p>
    <w:p w14:paraId="45C89F3C">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7.2.1</w:t>
      </w:r>
      <w:r>
        <w:rPr>
          <w:rFonts w:hint="eastAsia" w:ascii="宋体" w:hAnsi="宋体" w:eastAsia="宋体" w:cs="宋体"/>
          <w:color w:val="auto"/>
          <w:sz w:val="21"/>
          <w:szCs w:val="21"/>
          <w:highlight w:val="none"/>
        </w:rPr>
        <w:t>切实履行代建职责，根据合同和投标提交的代建管理方案，在约定的代建工作范围内，保质保量保廉如期完成代建工作内容，实现项目功能要求，确保代建范围内项目总投资决算不超过批准的概算投资。</w:t>
      </w:r>
    </w:p>
    <w:p w14:paraId="7CEF1BEE">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7.2.2</w:t>
      </w:r>
      <w:r>
        <w:rPr>
          <w:rFonts w:hint="eastAsia" w:ascii="宋体" w:hAnsi="宋体" w:eastAsia="宋体" w:cs="宋体"/>
          <w:color w:val="auto"/>
          <w:sz w:val="21"/>
          <w:szCs w:val="21"/>
          <w:highlight w:val="none"/>
        </w:rPr>
        <w:t>根据法律法规、政策要求和投标提交的代建管理方案，科学制定并执行书面的代建管理工作制度，建立管理例会、管理工作日志和月报、人员管理、现场管理、进度管理、质量安全、环境保护和职业健康管理、资金财务管理、档案管理、廉政管理、办公场地管理等具体工作制度和工作流程，管理团队应每日如实记录代建管理发生、处理的事项，管理例会应有书面会议纪要，各项文件资料档案管理应按项目进度完整齐全、规范有序。</w:t>
      </w:r>
    </w:p>
    <w:p w14:paraId="18AB48A8">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7.2.3</w:t>
      </w:r>
      <w:r>
        <w:rPr>
          <w:rFonts w:hint="eastAsia" w:ascii="宋体" w:hAnsi="宋体" w:eastAsia="宋体" w:cs="宋体"/>
          <w:color w:val="auto"/>
          <w:sz w:val="21"/>
          <w:szCs w:val="21"/>
          <w:highlight w:val="none"/>
        </w:rPr>
        <w:t>严格按国家和省招投标、政府采购的规定组织招标和采购活动。代建过程中的招标和采购原则上采取全社会专家评委评标方式，即招标人代表委托随机抽取的专家担任，确有需要时由甲方派人作为招标人代表参与评标，乙方负责组织招标和采购工作但不得派人作为评标委员会成员直接评标。依法依规与各专业工作单位洽谈、签订合同，并负责合同的组织实施，切实依法履约。</w:t>
      </w:r>
    </w:p>
    <w:p w14:paraId="789E6944">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7.2.4</w:t>
      </w:r>
      <w:r>
        <w:rPr>
          <w:rFonts w:hint="eastAsia" w:ascii="宋体" w:hAnsi="宋体" w:eastAsia="宋体" w:cs="宋体"/>
          <w:color w:val="auto"/>
          <w:sz w:val="21"/>
          <w:szCs w:val="21"/>
          <w:highlight w:val="none"/>
        </w:rPr>
        <w:t>严格执行国家和省的基建财务会计等制度，对代建项目单独建账、核算，完整反映费用开支和物资购置情况。严格按政府财政支付管理和基建财务管理的规定办理项目建设应付款项的申报支付，根据有关规定和合同约定与甲方共同协商，编制详细的资金支付制度，明确支付审核流程、支付凭证要求、支付申请格式等，甲乙双方一致认可的资金支付制度可作为合同的组成部分。及时审核申报应付款项。按要求组织完成工程结算，配合甲方做好工程决算及报批。</w:t>
      </w:r>
    </w:p>
    <w:p w14:paraId="2D3C9E98">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7.2.5</w:t>
      </w:r>
      <w:r>
        <w:rPr>
          <w:rFonts w:hint="eastAsia" w:ascii="宋体" w:hAnsi="宋体" w:eastAsia="宋体" w:cs="宋体"/>
          <w:color w:val="auto"/>
          <w:sz w:val="21"/>
          <w:szCs w:val="21"/>
          <w:highlight w:val="none"/>
        </w:rPr>
        <w:t>按照国家法律与省相关规定对工程质量承担建设单位的责任，代建项目经理承担相应的质量终身责任，采取措施有效控制项目质量、功能，对发生的质量缺陷、质量隐患、质量事故及时调查、处理或督促第三方按规定报告有关部门。</w:t>
      </w:r>
    </w:p>
    <w:p w14:paraId="5DDAD1E0">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7.2.6</w:t>
      </w:r>
      <w:r>
        <w:rPr>
          <w:rFonts w:hint="eastAsia" w:ascii="宋体" w:hAnsi="宋体" w:eastAsia="宋体" w:cs="宋体"/>
          <w:color w:val="auto"/>
          <w:sz w:val="21"/>
          <w:szCs w:val="21"/>
          <w:highlight w:val="none"/>
        </w:rPr>
        <w:t>乙方应按合同约定的内容和期限，编制详细的进度计划，包括专业工作单位工作的各个阶段的预期时间，做好工期控制，确保项目如期实施并交付。现场管理办公室应有显著的进度计划图示，并根据实际情况及时优化调整。</w:t>
      </w:r>
    </w:p>
    <w:p w14:paraId="2FA69444">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7.2.7</w:t>
      </w:r>
      <w:r>
        <w:rPr>
          <w:rFonts w:hint="eastAsia" w:ascii="宋体" w:hAnsi="宋体" w:eastAsia="宋体" w:cs="宋体"/>
          <w:color w:val="auto"/>
          <w:sz w:val="21"/>
          <w:szCs w:val="21"/>
          <w:highlight w:val="none"/>
        </w:rPr>
        <w:t>承担建设单位的安全责任，按照有关规定和合同约定及时申请并督促使用单位向施工单位拨付建设工程现场安全文明施工措施费，负责牵头组织签订建设工程项目施工安全责任保证书及两个以上施工单位在同一作业区域进行施工作业时双方之间的安全生产管理协议。对各专业单位的安全管理、环境保护、职业健康工作进行指导、检查和监督，责成各专业工作单位做好项目现场的社会治安、环境保护、职业健康工作。</w:t>
      </w:r>
    </w:p>
    <w:p w14:paraId="092BBA42">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7.2.8</w:t>
      </w:r>
      <w:r>
        <w:rPr>
          <w:rFonts w:hint="eastAsia" w:ascii="宋体" w:hAnsi="宋体" w:eastAsia="宋体" w:cs="宋体"/>
          <w:color w:val="auto"/>
          <w:sz w:val="21"/>
          <w:szCs w:val="21"/>
          <w:highlight w:val="none"/>
        </w:rPr>
        <w:t>做好项目廉政管理，建立和落实代建周期内相关人员、专业单位廉政责任制，编写廉政管理台账，代建单位和管理团队人员不因代建工作事项发生不廉政行为。</w:t>
      </w:r>
    </w:p>
    <w:p w14:paraId="5271900A">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7.2.9</w:t>
      </w:r>
      <w:r>
        <w:rPr>
          <w:rFonts w:hint="eastAsia" w:ascii="宋体" w:hAnsi="宋体" w:eastAsia="宋体" w:cs="宋体"/>
          <w:color w:val="auto"/>
          <w:sz w:val="21"/>
          <w:szCs w:val="21"/>
          <w:highlight w:val="none"/>
        </w:rPr>
        <w:t>按照专用条款约定，积极落实合理化建议，推进项目采用集成装配、绿色建筑、节能环保等新技术。</w:t>
      </w:r>
    </w:p>
    <w:p w14:paraId="553954C3">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7.2.10</w:t>
      </w:r>
      <w:r>
        <w:rPr>
          <w:rFonts w:hint="eastAsia" w:ascii="宋体" w:hAnsi="宋体" w:eastAsia="宋体" w:cs="宋体"/>
          <w:color w:val="auto"/>
          <w:sz w:val="21"/>
          <w:szCs w:val="21"/>
          <w:highlight w:val="none"/>
        </w:rPr>
        <w:t>工程的维护和照管</w:t>
      </w:r>
    </w:p>
    <w:p w14:paraId="1D0FECDF">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各单位工程接收证书签发后、项目实体移交证书颁发前，乙方均应负责做好各单位工程的照管和维护。</w:t>
      </w:r>
      <w:r>
        <w:rPr>
          <w:rFonts w:hint="eastAsia" w:ascii="宋体" w:hAnsi="宋体" w:eastAsia="宋体" w:cs="宋体"/>
          <w:color w:val="auto"/>
          <w:sz w:val="21"/>
          <w:szCs w:val="21"/>
          <w:highlight w:val="none"/>
          <w:shd w:val="clear" w:color="auto" w:fill="FFFFFF"/>
        </w:rPr>
        <w:t>实体移交证书颁发后，由甲方负责项目的日常照管和维护，乙方不再承担项目的日常照管和维护，</w:t>
      </w:r>
      <w:r>
        <w:rPr>
          <w:rFonts w:hint="eastAsia" w:ascii="宋体" w:hAnsi="宋体" w:eastAsia="宋体" w:cs="宋体"/>
          <w:color w:val="auto"/>
          <w:sz w:val="21"/>
          <w:szCs w:val="21"/>
          <w:highlight w:val="none"/>
        </w:rPr>
        <w:t>但乙方仍应做好合同专用条款约定的服务配合工作。</w:t>
      </w:r>
    </w:p>
    <w:p w14:paraId="601A909C">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7.2.11</w:t>
      </w:r>
      <w:r>
        <w:rPr>
          <w:rFonts w:hint="eastAsia" w:ascii="宋体" w:hAnsi="宋体" w:eastAsia="宋体" w:cs="宋体"/>
          <w:color w:val="auto"/>
          <w:sz w:val="21"/>
          <w:szCs w:val="21"/>
          <w:highlight w:val="none"/>
        </w:rPr>
        <w:t>做好缺陷责任期和保修期管理与服务。在与施工、设备安装和装修等专业单位签订合同时，应按专用条款约定设定缺陷责任期与保修期。在实体移交证书颁发前、各单位工程缺陷责任期和保修期内，乙方负责各工程日常维护，采取措施及时做好缺陷修复。实体移交证书颁发后，甲方负责工程的日常维护，各单位工程尚在缺陷责任期内的，工程出现新的缺陷或已修复缺陷又遭损坏的，乙方须应甲方要求组织做好修复工作。缺陷期后，工程尚在保修期内的，由甲方为主做好质量保修工作，乙方提供必要的质量责任认定等配合服务。</w:t>
      </w:r>
    </w:p>
    <w:p w14:paraId="2C025B9F">
      <w:pPr>
        <w:keepNext/>
        <w:keepLines/>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91" w:name="_Toc432755091"/>
      <w:r>
        <w:rPr>
          <w:rFonts w:hint="eastAsia" w:ascii="宋体" w:hAnsi="宋体" w:eastAsia="宋体" w:cs="宋体"/>
          <w:b/>
          <w:color w:val="auto"/>
          <w:kern w:val="2"/>
          <w:sz w:val="21"/>
          <w:szCs w:val="21"/>
          <w:highlight w:val="none"/>
          <w:lang w:val="en-US" w:eastAsia="zh-CN" w:bidi="ar-SA"/>
        </w:rPr>
        <w:t>7.3乙方人员管理</w:t>
      </w:r>
      <w:bookmarkEnd w:id="91"/>
    </w:p>
    <w:p w14:paraId="0C8FC17F">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7.3.1</w:t>
      </w:r>
      <w:r>
        <w:rPr>
          <w:rFonts w:hint="eastAsia" w:ascii="宋体" w:hAnsi="宋体" w:eastAsia="宋体" w:cs="宋体"/>
          <w:color w:val="auto"/>
          <w:sz w:val="21"/>
          <w:szCs w:val="21"/>
          <w:highlight w:val="none"/>
        </w:rPr>
        <w:t>代建管理团队</w:t>
      </w:r>
    </w:p>
    <w:p w14:paraId="11DC0424">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1）乙方应按投标文件中的承诺和方案组建代建管理团队，指派代建项目经理，配备相应岗位人员，并在合同生效后3天内到职，项目代建管理团队应能够满足和胜任项目代建管理服务需要。</w:t>
      </w:r>
    </w:p>
    <w:p w14:paraId="49BA4F48">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2）乙方代建项目经理承担建设单位项目负责人的有关工作和责任。</w:t>
      </w:r>
    </w:p>
    <w:p w14:paraId="3204E534">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3）乙方代建项目经理应按合同约定，负责组织合同工作的实施。乙方为履行合同发出的一切函件均应盖有乙方单位章或由乙方代建项目经理签字。乙方应出具书面文件明确其盖章和签字的具体权限划分。</w:t>
      </w:r>
    </w:p>
    <w:p w14:paraId="42607F46">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4）乙方代建项目经理可以授权其下属人员履行其某项职责，但事先应将这些人员的姓名和授权范围书面通知甲方。</w:t>
      </w:r>
    </w:p>
    <w:p w14:paraId="721E4CBF">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5）项目管理团队其他人员按投标文件承诺与合同约定履行各自职责，代表乙方开展相应工作。</w:t>
      </w:r>
    </w:p>
    <w:p w14:paraId="52A8B7B6">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6）乙方代建项目经理、承诺常驻人员应常驻代建项目现场，不得擅离，因特殊原因确需离开项目现场的，应履行书面请假程序，经甲方同意后方可离开。每次请假期限不得超过3个工作日，每年度请假累计不得超过20日。单次请假超过3个工作日或年度请假累积超过20日的，应征得甲方同意并报代建主管部门。未履行上述手续擅自离岗的，视同违规变更、撤换项目人员。</w:t>
      </w:r>
    </w:p>
    <w:p w14:paraId="5645CAF8">
      <w:pPr>
        <w:pageBreakBefore w:val="0"/>
        <w:widowControl w:val="0"/>
        <w:tabs>
          <w:tab w:val="center" w:pos="4393"/>
        </w:tabs>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7.3.2</w:t>
      </w:r>
      <w:r>
        <w:rPr>
          <w:rFonts w:hint="eastAsia" w:ascii="宋体" w:hAnsi="宋体" w:eastAsia="宋体" w:cs="宋体"/>
          <w:color w:val="auto"/>
          <w:sz w:val="21"/>
          <w:szCs w:val="21"/>
          <w:highlight w:val="none"/>
        </w:rPr>
        <w:t>人员撤换</w:t>
      </w:r>
      <w:r>
        <w:rPr>
          <w:rFonts w:hint="eastAsia" w:ascii="宋体" w:hAnsi="宋体" w:eastAsia="宋体" w:cs="宋体"/>
          <w:color w:val="auto"/>
          <w:sz w:val="21"/>
          <w:szCs w:val="21"/>
          <w:highlight w:val="none"/>
        </w:rPr>
        <w:tab/>
      </w:r>
    </w:p>
    <w:p w14:paraId="78E16CBC">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1）除因不可抗力、个人健康原因、国家法律法规规定其他情形等原因，或因履职水平过低而被甲方及有权的政府机构要求撤换的情况外，投标时明确的乙方代建项目经理、现场管理人员和其他不允许变更或承诺不变更的人员不得更换；因上述原因确需更换的，应征得甲方同意并报代建主管部门后，选派不低于原人员技术实力及经验者接替其工作。乙方代建项目经理连续3天以上不能履行职责的，应事先征得甲方同意，并委派代表临时代行其职责。</w:t>
      </w:r>
    </w:p>
    <w:p w14:paraId="2F8F80E1">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2）乙方应对其他人员进行有效管理。对投标时允许变更的人员进行更换时，替换人员的资格条件和要求应不低于原投标文件中拟任人员的资格条件和要求，并须书面告知甲方和代建主管部门。</w:t>
      </w:r>
    </w:p>
    <w:p w14:paraId="479A641C">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7.4分包和转包</w:t>
      </w:r>
    </w:p>
    <w:p w14:paraId="36185D02">
      <w:pPr>
        <w:pageBreakBefore w:val="0"/>
        <w:widowControl w:val="0"/>
        <w:kinsoku/>
        <w:overflowPunct w:val="0"/>
        <w:topLinePunct w:val="0"/>
        <w:autoSpaceDE/>
        <w:autoSpaceDN/>
        <w:bidi w:val="0"/>
        <w:spacing w:line="400" w:lineRule="exact"/>
        <w:ind w:firstLine="404" w:firstLineChars="200"/>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乙方不得将其代建工作的全部或部分分包或转包给第三人。</w:t>
      </w:r>
    </w:p>
    <w:p w14:paraId="33126853">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7.5报告制度和接受监督</w:t>
      </w:r>
    </w:p>
    <w:p w14:paraId="51CA513B">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应按代建主管部门的要求，每月按时报送项目实施情况，并将招投标、政府采购情况、合同签订情况按有关规定及时报告发展改革、财政以及相关行业管理部门，遇到合同专用条款约定的重大事项应按规定的时间提前报告。在代建周期内接受代建主管部门的监管评价。</w:t>
      </w:r>
    </w:p>
    <w:p w14:paraId="32A8B39D">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92" w:name="_Toc432755092"/>
      <w:r>
        <w:rPr>
          <w:rFonts w:hint="eastAsia" w:ascii="宋体" w:hAnsi="宋体" w:eastAsia="宋体" w:cs="宋体"/>
          <w:b/>
          <w:color w:val="auto"/>
          <w:kern w:val="2"/>
          <w:sz w:val="21"/>
          <w:szCs w:val="21"/>
          <w:highlight w:val="none"/>
          <w:lang w:val="en-US" w:eastAsia="zh-CN" w:bidi="ar-SA"/>
        </w:rPr>
        <w:t>7.6其他义务</w:t>
      </w:r>
      <w:bookmarkEnd w:id="92"/>
    </w:p>
    <w:p w14:paraId="6EA0F328">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履行合同其他条款约定的义务。</w:t>
      </w:r>
    </w:p>
    <w:p w14:paraId="10198104">
      <w:pPr>
        <w:keepNext w:val="0"/>
        <w:keepLines w:val="0"/>
        <w:pageBreakBefore w:val="0"/>
        <w:widowControl w:val="0"/>
        <w:tabs>
          <w:tab w:val="left" w:pos="1050"/>
        </w:tabs>
        <w:kinsoku/>
        <w:overflowPunct w:val="0"/>
        <w:topLinePunct w:val="0"/>
        <w:autoSpaceDE/>
        <w:autoSpaceDN/>
        <w:bidi w:val="0"/>
        <w:spacing w:before="156" w:beforeLines="50" w:after="156" w:afterLines="50" w:line="400" w:lineRule="exact"/>
        <w:ind w:left="0" w:firstLine="0"/>
        <w:jc w:val="center"/>
        <w:textAlignment w:val="auto"/>
        <w:outlineLvl w:val="2"/>
        <w:rPr>
          <w:rFonts w:hint="eastAsia" w:ascii="宋体" w:hAnsi="宋体" w:eastAsia="宋体" w:cs="宋体"/>
          <w:b/>
          <w:color w:val="auto"/>
          <w:kern w:val="2"/>
          <w:sz w:val="21"/>
          <w:szCs w:val="21"/>
          <w:highlight w:val="none"/>
          <w:lang w:val="en-US" w:eastAsia="zh-CN" w:bidi="ar-SA"/>
        </w:rPr>
      </w:pPr>
      <w:bookmarkStart w:id="93" w:name="_Toc30771"/>
      <w:bookmarkStart w:id="94" w:name="_Toc66948653"/>
      <w:bookmarkStart w:id="95" w:name="_Toc66949363"/>
      <w:bookmarkStart w:id="96" w:name="_Toc66818963"/>
      <w:bookmarkStart w:id="97" w:name="_Toc66949617"/>
      <w:bookmarkStart w:id="98" w:name="_Toc28135"/>
      <w:bookmarkStart w:id="99" w:name="_Toc432755093"/>
      <w:bookmarkStart w:id="100" w:name="_Toc66818557"/>
      <w:bookmarkStart w:id="101" w:name="_Toc66949760"/>
      <w:r>
        <w:rPr>
          <w:rFonts w:hint="eastAsia" w:ascii="宋体" w:hAnsi="宋体" w:eastAsia="宋体" w:cs="宋体"/>
          <w:b/>
          <w:color w:val="auto"/>
          <w:kern w:val="2"/>
          <w:sz w:val="21"/>
          <w:szCs w:val="21"/>
          <w:highlight w:val="none"/>
          <w:lang w:val="en-US" w:eastAsia="zh-CN" w:bidi="ar-SA"/>
        </w:rPr>
        <w:t>第四节  代建过程管理</w:t>
      </w:r>
      <w:bookmarkEnd w:id="93"/>
      <w:bookmarkEnd w:id="94"/>
      <w:bookmarkEnd w:id="95"/>
      <w:bookmarkEnd w:id="96"/>
      <w:bookmarkEnd w:id="97"/>
      <w:bookmarkEnd w:id="98"/>
      <w:bookmarkEnd w:id="99"/>
      <w:bookmarkEnd w:id="100"/>
      <w:bookmarkEnd w:id="101"/>
    </w:p>
    <w:p w14:paraId="19C133D7">
      <w:pPr>
        <w:keepNext w:val="0"/>
        <w:keepLines w:val="0"/>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102" w:name="_Toc432755094"/>
      <w:r>
        <w:rPr>
          <w:rFonts w:hint="eastAsia" w:ascii="宋体" w:hAnsi="宋体" w:eastAsia="宋体" w:cs="宋体"/>
          <w:b w:val="0"/>
          <w:color w:val="auto"/>
          <w:kern w:val="2"/>
          <w:sz w:val="21"/>
          <w:szCs w:val="21"/>
          <w:highlight w:val="none"/>
          <w:lang w:val="en-US" w:eastAsia="zh-CN" w:bidi="ar-SA"/>
        </w:rPr>
        <w:t>第八条  开始工作和代建周期</w:t>
      </w:r>
      <w:bookmarkEnd w:id="102"/>
    </w:p>
    <w:p w14:paraId="2E5B02F5">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8.1</w:t>
      </w:r>
      <w:bookmarkStart w:id="103" w:name="_Toc432755095"/>
      <w:r>
        <w:rPr>
          <w:rFonts w:hint="eastAsia" w:ascii="宋体" w:hAnsi="宋体" w:eastAsia="宋体" w:cs="宋体"/>
          <w:b/>
          <w:color w:val="auto"/>
          <w:kern w:val="2"/>
          <w:sz w:val="21"/>
          <w:szCs w:val="21"/>
          <w:highlight w:val="none"/>
          <w:lang w:val="en-US" w:eastAsia="zh-CN" w:bidi="ar-SA"/>
        </w:rPr>
        <w:t>开始工作</w:t>
      </w:r>
      <w:bookmarkEnd w:id="103"/>
    </w:p>
    <w:p w14:paraId="2581E2BC">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代建合同生效之日即是代建工作开始之时。</w:t>
      </w:r>
    </w:p>
    <w:p w14:paraId="0A13585A">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104" w:name="_Toc432755096"/>
      <w:r>
        <w:rPr>
          <w:rFonts w:hint="eastAsia" w:ascii="宋体" w:hAnsi="宋体" w:eastAsia="宋体" w:cs="宋体"/>
          <w:b/>
          <w:color w:val="auto"/>
          <w:kern w:val="2"/>
          <w:sz w:val="21"/>
          <w:szCs w:val="21"/>
          <w:highlight w:val="none"/>
          <w:lang w:val="en-US" w:eastAsia="zh-CN" w:bidi="ar-SA"/>
        </w:rPr>
        <w:t>8.2代建周期的完成</w:t>
      </w:r>
      <w:bookmarkEnd w:id="104"/>
    </w:p>
    <w:p w14:paraId="3F24D2AB">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颁发实体移交证书之日起即代表代建周期结束，乙方应向代建主管部门申请实体移交登记和更新省代建项目库中有关内容，此外乙方须做好应配合甲方的后续服务，按合同约定在工程缺陷责任期、保修期内提供必要服务。</w:t>
      </w:r>
    </w:p>
    <w:p w14:paraId="1878594B">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105" w:name="_Toc432755097"/>
      <w:r>
        <w:rPr>
          <w:rFonts w:hint="eastAsia" w:ascii="宋体" w:hAnsi="宋体" w:eastAsia="宋体" w:cs="宋体"/>
          <w:b/>
          <w:color w:val="auto"/>
          <w:kern w:val="2"/>
          <w:sz w:val="21"/>
          <w:szCs w:val="21"/>
          <w:highlight w:val="none"/>
          <w:lang w:val="en-US" w:eastAsia="zh-CN" w:bidi="ar-SA"/>
        </w:rPr>
        <w:t>8.3甲方引起的工期延误</w:t>
      </w:r>
      <w:bookmarkEnd w:id="105"/>
    </w:p>
    <w:p w14:paraId="7A156053">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在履行合同过程中，由于甲方原因造成工期延误，经甲乙双方共同确认，相应调整补充代建周期约定，报代建主管部门，甲方按合同约定办法向乙方支付违约补偿费用。</w:t>
      </w:r>
    </w:p>
    <w:p w14:paraId="404C8EC5">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106" w:name="_Toc432755098"/>
      <w:r>
        <w:rPr>
          <w:rFonts w:hint="eastAsia" w:ascii="宋体" w:hAnsi="宋体" w:eastAsia="宋体" w:cs="宋体"/>
          <w:b/>
          <w:color w:val="auto"/>
          <w:kern w:val="2"/>
          <w:sz w:val="21"/>
          <w:szCs w:val="21"/>
          <w:highlight w:val="none"/>
          <w:lang w:val="en-US" w:eastAsia="zh-CN" w:bidi="ar-SA"/>
        </w:rPr>
        <w:t>8.4不可抗力引起的工期延误</w:t>
      </w:r>
      <w:bookmarkEnd w:id="106"/>
    </w:p>
    <w:p w14:paraId="148568B2">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因不可抗力导致工期延误的，甲乙双方协商调整代建周期，报代建主管部门，代建服务费不变</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概算发生调整的除外）。</w:t>
      </w:r>
    </w:p>
    <w:p w14:paraId="1EB09DE7">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107" w:name="_Toc432755099"/>
      <w:r>
        <w:rPr>
          <w:rFonts w:hint="eastAsia" w:ascii="宋体" w:hAnsi="宋体" w:eastAsia="宋体" w:cs="宋体"/>
          <w:b/>
          <w:color w:val="auto"/>
          <w:kern w:val="2"/>
          <w:sz w:val="21"/>
          <w:szCs w:val="21"/>
          <w:highlight w:val="none"/>
          <w:lang w:val="en-US" w:eastAsia="zh-CN" w:bidi="ar-SA"/>
        </w:rPr>
        <w:t>8.5乙方引起的工期延误</w:t>
      </w:r>
      <w:bookmarkEnd w:id="107"/>
    </w:p>
    <w:p w14:paraId="79CC4E54">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由于乙方原因造成工期延误的，乙方承担违约责任，并支付违约金。</w:t>
      </w:r>
    </w:p>
    <w:p w14:paraId="799EEB7A">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108" w:name="_Toc432755100"/>
      <w:r>
        <w:rPr>
          <w:rFonts w:hint="eastAsia" w:ascii="宋体" w:hAnsi="宋体" w:eastAsia="宋体" w:cs="宋体"/>
          <w:b/>
          <w:color w:val="auto"/>
          <w:kern w:val="2"/>
          <w:sz w:val="21"/>
          <w:szCs w:val="21"/>
          <w:highlight w:val="none"/>
          <w:lang w:val="en-US" w:eastAsia="zh-CN" w:bidi="ar-SA"/>
        </w:rPr>
        <w:t>8.6工期提前</w:t>
      </w:r>
      <w:bookmarkEnd w:id="108"/>
    </w:p>
    <w:p w14:paraId="5DCB3AD0">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乙方采取有效措施，在满足合同约定的质量要求、投资要求的前提下，提前完成代建工作的，甲方按合同约定办法给予奖励。</w:t>
      </w:r>
    </w:p>
    <w:p w14:paraId="7828A294">
      <w:pPr>
        <w:keepNext w:val="0"/>
        <w:keepLines w:val="0"/>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109" w:name="_Toc432755101"/>
      <w:r>
        <w:rPr>
          <w:rFonts w:hint="eastAsia" w:ascii="宋体" w:hAnsi="宋体" w:eastAsia="宋体" w:cs="宋体"/>
          <w:b w:val="0"/>
          <w:color w:val="auto"/>
          <w:kern w:val="2"/>
          <w:sz w:val="21"/>
          <w:szCs w:val="21"/>
          <w:highlight w:val="none"/>
          <w:lang w:val="en-US" w:eastAsia="zh-CN" w:bidi="ar-SA"/>
        </w:rPr>
        <w:t>第九条  工程变更</w:t>
      </w:r>
      <w:bookmarkEnd w:id="109"/>
    </w:p>
    <w:p w14:paraId="172E976B">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9.1</w:t>
      </w:r>
      <w:r>
        <w:rPr>
          <w:rFonts w:hint="eastAsia" w:ascii="宋体" w:hAnsi="宋体" w:eastAsia="宋体" w:cs="宋体"/>
          <w:color w:val="auto"/>
          <w:sz w:val="21"/>
          <w:szCs w:val="21"/>
          <w:highlight w:val="none"/>
        </w:rPr>
        <w:t>应甲方或乙方的请求，在不改变项目的主要功能、技术标准、建设规模和使用安全且不超出总概算的前提下，可对项目进行适度的优化变更，另一方应积极配合。经设计、监理及甲乙双方共同签认并按规定报相关部门审核同意后方可实施。</w:t>
      </w:r>
    </w:p>
    <w:p w14:paraId="77B42382">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9.2</w:t>
      </w:r>
      <w:r>
        <w:rPr>
          <w:rFonts w:hint="eastAsia" w:ascii="宋体" w:hAnsi="宋体" w:eastAsia="宋体" w:cs="宋体"/>
          <w:color w:val="auto"/>
          <w:sz w:val="21"/>
          <w:szCs w:val="21"/>
          <w:highlight w:val="none"/>
        </w:rPr>
        <w:t>因水文地质等自然条件制约造成重大技术调整，涉及项目技术标准、使用功能、建设规模和投资规模的重大变更，以及概算中计列的大宗设备、材料、分项工程单价比市场价明显偏低等，导致相应的招标不能正常进行、相应合同无法履行时，乙方应及时书面通报甲方。双方协商一致后，经代建主管部门核实并提出意见，报原审批部门复核批准后方可实施。对合理要求不能及时核批而导致工期延误时，甲方应支持乙方合理调整延长代建周期并报代建主管部门同意。</w:t>
      </w:r>
    </w:p>
    <w:p w14:paraId="6677DFD5">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9.3</w:t>
      </w:r>
      <w:r>
        <w:rPr>
          <w:rFonts w:hint="eastAsia" w:ascii="宋体" w:hAnsi="宋体" w:eastAsia="宋体" w:cs="宋体"/>
          <w:color w:val="auto"/>
          <w:sz w:val="21"/>
          <w:szCs w:val="21"/>
          <w:highlight w:val="none"/>
        </w:rPr>
        <w:t>在项目建设过程中，因下列原因导致投资增加时，先知情方应及时书面告知另一方，经双方协商一致后报代建主管部门，由代建主管部门组织协调并报原审批部门批准后方可实施：</w:t>
      </w:r>
    </w:p>
    <w:p w14:paraId="518F64F1">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1）不可抗力；</w:t>
      </w:r>
    </w:p>
    <w:p w14:paraId="3C0B0F37">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2）国家法律法规和省相关政策及行业标准调整；</w:t>
      </w:r>
    </w:p>
    <w:p w14:paraId="46BF7FBF">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3）因受水文地质等自然条件制约造成重大技术调整；</w:t>
      </w:r>
    </w:p>
    <w:p w14:paraId="6643920B">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4）确因勘察设计存在严重缺陷、概算漏项、功能性设计错误，导致项目建设内容、标准等设计、施工有重大变更；</w:t>
      </w:r>
    </w:p>
    <w:p w14:paraId="7CA6611B">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5）其他不可预见的重大原因导致投资发生重大变化的。</w:t>
      </w:r>
    </w:p>
    <w:p w14:paraId="63AB1290">
      <w:pPr>
        <w:keepNext w:val="0"/>
        <w:keepLines w:val="0"/>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110" w:name="_Toc432755102"/>
      <w:bookmarkStart w:id="111" w:name="_Toc428706168"/>
      <w:r>
        <w:rPr>
          <w:rFonts w:hint="eastAsia" w:ascii="宋体" w:hAnsi="宋体" w:eastAsia="宋体" w:cs="宋体"/>
          <w:b w:val="0"/>
          <w:color w:val="auto"/>
          <w:kern w:val="2"/>
          <w:sz w:val="21"/>
          <w:szCs w:val="21"/>
          <w:highlight w:val="none"/>
          <w:lang w:val="en-US" w:eastAsia="zh-CN" w:bidi="ar-SA"/>
        </w:rPr>
        <w:t>第十条  事故处理</w:t>
      </w:r>
      <w:bookmarkEnd w:id="110"/>
    </w:p>
    <w:p w14:paraId="7B5E72D4">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112" w:name="_Toc432755103"/>
      <w:r>
        <w:rPr>
          <w:rFonts w:hint="eastAsia" w:ascii="宋体" w:hAnsi="宋体" w:eastAsia="宋体" w:cs="宋体"/>
          <w:b/>
          <w:color w:val="auto"/>
          <w:kern w:val="2"/>
          <w:sz w:val="21"/>
          <w:szCs w:val="21"/>
          <w:highlight w:val="none"/>
          <w:lang w:val="en-US" w:eastAsia="zh-CN" w:bidi="ar-SA"/>
        </w:rPr>
        <w:t>10.1事故现场处理</w:t>
      </w:r>
      <w:bookmarkEnd w:id="111"/>
      <w:bookmarkEnd w:id="112"/>
    </w:p>
    <w:p w14:paraId="568A847D">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履行过程中发生事故的，先知情方应立即通知另一方，乙方立即组织人员和设备进行紧急抢救和抢修，减少人员伤亡和财产损失，防止事故扩大，并保护事故现场。需要移动现场物品时，应作出标记和书面记录，妥善保管有关证据。</w:t>
      </w:r>
    </w:p>
    <w:p w14:paraId="2C1105FE">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10.2事故的报告</w:t>
      </w:r>
    </w:p>
    <w:p w14:paraId="1CB02B5C">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和乙方均有责任按国家有关规定，及时如实地向职能主管部门和代建主管部门报告事故发生的情况，以及正在采取的紧急措施等，积极配合有关主管部门查明事故原因。严禁瞒报、迟报事故有关情况，或隐匿、篡改、销毁有关证据，否则承担有关法律责任。</w:t>
      </w:r>
    </w:p>
    <w:p w14:paraId="13BD8CB7">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10.3事故的善后</w:t>
      </w:r>
    </w:p>
    <w:p w14:paraId="15915D01">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由乙方为主组织事故的善后事宜，并积极组织有关专业工作单位进行整改，甲方予以配合。根据有关主管部门对事故责任的认定和法律法规规定，各自承担应负的责任。</w:t>
      </w:r>
    </w:p>
    <w:p w14:paraId="4F40D1DE">
      <w:pPr>
        <w:keepNext w:val="0"/>
        <w:keepLines w:val="0"/>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113" w:name="_Toc432755104"/>
      <w:r>
        <w:rPr>
          <w:rFonts w:hint="eastAsia" w:ascii="宋体" w:hAnsi="宋体" w:eastAsia="宋体" w:cs="宋体"/>
          <w:b w:val="0"/>
          <w:color w:val="auto"/>
          <w:kern w:val="2"/>
          <w:sz w:val="21"/>
          <w:szCs w:val="21"/>
          <w:highlight w:val="none"/>
          <w:lang w:val="en-US" w:eastAsia="zh-CN" w:bidi="ar-SA"/>
        </w:rPr>
        <w:t>第十一条  暂停工作</w:t>
      </w:r>
      <w:bookmarkEnd w:id="113"/>
    </w:p>
    <w:p w14:paraId="5BAE534B">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11.1</w:t>
      </w:r>
      <w:bookmarkStart w:id="114" w:name="_Toc432755105"/>
      <w:r>
        <w:rPr>
          <w:rFonts w:hint="eastAsia" w:ascii="宋体" w:hAnsi="宋体" w:eastAsia="宋体" w:cs="宋体"/>
          <w:b/>
          <w:color w:val="auto"/>
          <w:kern w:val="2"/>
          <w:sz w:val="21"/>
          <w:szCs w:val="21"/>
          <w:highlight w:val="none"/>
          <w:lang w:val="en-US" w:eastAsia="zh-CN" w:bidi="ar-SA"/>
        </w:rPr>
        <w:t>由甲方暂停工作</w:t>
      </w:r>
      <w:bookmarkEnd w:id="114"/>
    </w:p>
    <w:p w14:paraId="55AF515C">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11.1.1</w:t>
      </w:r>
      <w:r>
        <w:rPr>
          <w:rFonts w:hint="eastAsia" w:ascii="宋体" w:hAnsi="宋体" w:eastAsia="宋体" w:cs="宋体"/>
          <w:color w:val="auto"/>
          <w:sz w:val="21"/>
          <w:szCs w:val="21"/>
          <w:highlight w:val="none"/>
        </w:rPr>
        <w:t>因下列原因，甲方可向乙方书面发出暂停工作的通知，乙方应按通知要求暂停自身及相关专业单位工作，同时甲乙双方报告代建主管部门。由此造成工作延误的甲方应相应延长乙方代建周期并按合同约定给予费用赔偿。</w:t>
      </w:r>
    </w:p>
    <w:p w14:paraId="49A1D2DA">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1）因与甲方相关的法律法规或政策变化，代建项目不能按原有方案实施的；</w:t>
      </w:r>
    </w:p>
    <w:p w14:paraId="79EF7E17">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2）甲方对代建项目的使用功能作重大调整需重新申请项目批准文件或重新报建的。</w:t>
      </w:r>
    </w:p>
    <w:p w14:paraId="605D3D05">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115" w:name="_Toc432755106"/>
      <w:r>
        <w:rPr>
          <w:rFonts w:hint="eastAsia" w:ascii="宋体" w:hAnsi="宋体" w:eastAsia="宋体" w:cs="宋体"/>
          <w:b/>
          <w:color w:val="auto"/>
          <w:kern w:val="2"/>
          <w:sz w:val="21"/>
          <w:szCs w:val="21"/>
          <w:highlight w:val="none"/>
          <w:lang w:val="en-US" w:eastAsia="zh-CN" w:bidi="ar-SA"/>
        </w:rPr>
        <w:t>11.2由乙方暂停工作</w:t>
      </w:r>
      <w:bookmarkEnd w:id="115"/>
    </w:p>
    <w:p w14:paraId="07429021">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11.2.1</w:t>
      </w:r>
      <w:r>
        <w:rPr>
          <w:rFonts w:hint="eastAsia" w:ascii="宋体" w:hAnsi="宋体" w:eastAsia="宋体" w:cs="宋体"/>
          <w:color w:val="auto"/>
          <w:sz w:val="21"/>
          <w:szCs w:val="21"/>
          <w:highlight w:val="none"/>
        </w:rPr>
        <w:t>因甲方原因致使乙方代建工作无法继续推进并可能影响乙方代建周期的，乙方应向代建主管部门书面报告要求暂停工作并协调处理，经确定为甲方原因造成暂停工作的，相应调整延长合同代建周期，甲方按合同规定赔偿乙方直接经济损失和延期补偿费用。</w:t>
      </w:r>
    </w:p>
    <w:p w14:paraId="27026147">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乙方未履行合同约定程序，擅自暂停工作产生的所有责任由乙方自行承担。</w:t>
      </w:r>
    </w:p>
    <w:p w14:paraId="429D036D">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116" w:name="_Toc432755107"/>
      <w:r>
        <w:rPr>
          <w:rFonts w:hint="eastAsia" w:ascii="宋体" w:hAnsi="宋体" w:eastAsia="宋体" w:cs="宋体"/>
          <w:b/>
          <w:color w:val="auto"/>
          <w:kern w:val="2"/>
          <w:sz w:val="21"/>
          <w:szCs w:val="21"/>
          <w:highlight w:val="none"/>
          <w:lang w:val="en-US" w:eastAsia="zh-CN" w:bidi="ar-SA"/>
        </w:rPr>
        <w:t>11.3暂停工作后的照管</w:t>
      </w:r>
      <w:bookmarkEnd w:id="116"/>
    </w:p>
    <w:p w14:paraId="69442DBE">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不论由于何种原因引起暂停工作的，暂停工作期间，乙方应负责组织相关专业工作单位妥善保护项目并提供安全保障，由此增加的费用由引起暂停的责任方承担。</w:t>
      </w:r>
    </w:p>
    <w:p w14:paraId="64308BF2">
      <w:pPr>
        <w:keepNext w:val="0"/>
        <w:keepLines w:val="0"/>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117" w:name="_Toc432755108"/>
      <w:r>
        <w:rPr>
          <w:rFonts w:hint="eastAsia" w:ascii="宋体" w:hAnsi="宋体" w:eastAsia="宋体" w:cs="宋体"/>
          <w:b w:val="0"/>
          <w:color w:val="auto"/>
          <w:kern w:val="2"/>
          <w:sz w:val="21"/>
          <w:szCs w:val="21"/>
          <w:highlight w:val="none"/>
          <w:lang w:val="en-US" w:eastAsia="zh-CN" w:bidi="ar-SA"/>
        </w:rPr>
        <w:t>第十二条  代建服务费支付与调整</w:t>
      </w:r>
      <w:bookmarkEnd w:id="117"/>
    </w:p>
    <w:p w14:paraId="694CE529">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118" w:name="_Toc247514147"/>
      <w:bookmarkStart w:id="119" w:name="_Toc247527748"/>
      <w:bookmarkStart w:id="120" w:name="_Toc300835151"/>
      <w:bookmarkStart w:id="121" w:name="_Toc432755109"/>
      <w:r>
        <w:rPr>
          <w:rFonts w:hint="eastAsia" w:ascii="宋体" w:hAnsi="宋体" w:eastAsia="宋体" w:cs="宋体"/>
          <w:b/>
          <w:color w:val="auto"/>
          <w:kern w:val="2"/>
          <w:sz w:val="21"/>
          <w:szCs w:val="21"/>
          <w:highlight w:val="none"/>
          <w:lang w:val="en-US" w:eastAsia="zh-CN" w:bidi="ar-SA"/>
        </w:rPr>
        <w:t>12.1</w:t>
      </w:r>
      <w:bookmarkEnd w:id="118"/>
      <w:bookmarkEnd w:id="119"/>
      <w:bookmarkEnd w:id="120"/>
      <w:r>
        <w:rPr>
          <w:rFonts w:hint="eastAsia" w:ascii="宋体" w:hAnsi="宋体" w:eastAsia="宋体" w:cs="宋体"/>
          <w:b/>
          <w:color w:val="auto"/>
          <w:kern w:val="2"/>
          <w:sz w:val="21"/>
          <w:szCs w:val="21"/>
          <w:highlight w:val="none"/>
          <w:lang w:val="en-US" w:eastAsia="zh-CN" w:bidi="ar-SA"/>
        </w:rPr>
        <w:t>代建服务费</w:t>
      </w:r>
      <w:bookmarkEnd w:id="121"/>
    </w:p>
    <w:p w14:paraId="23A85AB7">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12.1.1</w:t>
      </w:r>
      <w:r>
        <w:rPr>
          <w:rFonts w:hint="eastAsia" w:ascii="宋体" w:hAnsi="宋体" w:eastAsia="宋体" w:cs="宋体"/>
          <w:color w:val="auto"/>
          <w:sz w:val="21"/>
          <w:szCs w:val="21"/>
          <w:highlight w:val="none"/>
        </w:rPr>
        <w:t>代建服务费包括乙方在项目前期、实施、验收及后期结算、审计等阶段的管理成本、人员工资及福利、应缴税费和合理利润。不包括后续招标代理、勘察、设计、监理等中介服务费用。</w:t>
      </w:r>
    </w:p>
    <w:p w14:paraId="0ED08BA6">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代建服务费可用于：代建工作人员的基本工资、工资性津贴、社会保险费用</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基本养老、基本医疗、失业、工伤保险）、住房公积金、职工福利费等人工费用，代建服务所必需的办公费、差旅费、固定资产使用费等工作费用，为推动项目建设所直接发生的各项管理性质的开支</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不超过按同等投资额度计算的建设单位管理费范围），以及应缴的各种税费。其中业务招待费的额度和支出应按国家有关规定执行。</w:t>
      </w:r>
    </w:p>
    <w:p w14:paraId="398B526F">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12.1.2</w:t>
      </w:r>
      <w:r>
        <w:rPr>
          <w:rFonts w:hint="eastAsia" w:ascii="宋体" w:hAnsi="宋体" w:eastAsia="宋体" w:cs="宋体"/>
          <w:color w:val="auto"/>
          <w:sz w:val="21"/>
          <w:szCs w:val="21"/>
          <w:highlight w:val="none"/>
        </w:rPr>
        <w:t>乙方投标时承诺的代建服务费综合优惠率在合同执行过程中是固定不变的，不得以任何理由予以变更。</w:t>
      </w:r>
    </w:p>
    <w:p w14:paraId="0F28D060">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122" w:name="_Toc247527749"/>
      <w:bookmarkStart w:id="123" w:name="_Toc432755110"/>
      <w:bookmarkStart w:id="124" w:name="_Toc300835152"/>
      <w:bookmarkStart w:id="125" w:name="_Toc247514148"/>
      <w:r>
        <w:rPr>
          <w:rFonts w:hint="eastAsia" w:ascii="宋体" w:hAnsi="宋体" w:eastAsia="宋体" w:cs="宋体"/>
          <w:b/>
          <w:color w:val="auto"/>
          <w:kern w:val="2"/>
          <w:sz w:val="21"/>
          <w:szCs w:val="21"/>
          <w:highlight w:val="none"/>
          <w:lang w:val="en-US" w:eastAsia="zh-CN" w:bidi="ar-SA"/>
        </w:rPr>
        <w:t>12.2预付款</w:t>
      </w:r>
      <w:bookmarkEnd w:id="122"/>
      <w:bookmarkEnd w:id="123"/>
      <w:bookmarkEnd w:id="124"/>
      <w:bookmarkEnd w:id="125"/>
    </w:p>
    <w:p w14:paraId="56EC8E9B">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预付款用于乙方为完成合同实施的前期准备、工作成本支出等。预付款的额度和支付在合同专用条款中约定。预付款必须专用于代建工作。</w:t>
      </w:r>
    </w:p>
    <w:p w14:paraId="1F072CF8">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126" w:name="_Toc247514149"/>
      <w:bookmarkStart w:id="127" w:name="_Toc247527750"/>
      <w:bookmarkStart w:id="128" w:name="_Toc300835153"/>
      <w:bookmarkStart w:id="129" w:name="_Toc432755111"/>
      <w:r>
        <w:rPr>
          <w:rFonts w:hint="eastAsia" w:ascii="宋体" w:hAnsi="宋体" w:eastAsia="宋体" w:cs="宋体"/>
          <w:b/>
          <w:color w:val="auto"/>
          <w:kern w:val="2"/>
          <w:sz w:val="21"/>
          <w:szCs w:val="21"/>
          <w:highlight w:val="none"/>
          <w:lang w:val="en-US" w:eastAsia="zh-CN" w:bidi="ar-SA"/>
        </w:rPr>
        <w:t>12.3进度付款</w:t>
      </w:r>
      <w:bookmarkEnd w:id="126"/>
      <w:bookmarkEnd w:id="127"/>
      <w:bookmarkEnd w:id="128"/>
      <w:bookmarkEnd w:id="129"/>
    </w:p>
    <w:p w14:paraId="2D4C40EC">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除合同专用条款另有约定外，进度付款按形象进度支付。具体见专用条款约定。</w:t>
      </w:r>
    </w:p>
    <w:p w14:paraId="4B352501">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130" w:name="_Toc432755112"/>
      <w:r>
        <w:rPr>
          <w:rFonts w:hint="eastAsia" w:ascii="宋体" w:hAnsi="宋体" w:eastAsia="宋体" w:cs="宋体"/>
          <w:b/>
          <w:color w:val="auto"/>
          <w:kern w:val="2"/>
          <w:sz w:val="21"/>
          <w:szCs w:val="21"/>
          <w:highlight w:val="none"/>
          <w:lang w:val="en-US" w:eastAsia="zh-CN" w:bidi="ar-SA"/>
        </w:rPr>
        <w:t>12.4物价波动引起的调整</w:t>
      </w:r>
      <w:bookmarkEnd w:id="130"/>
    </w:p>
    <w:p w14:paraId="1EDC4911">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除法律规定或合同专用条款另有约定外，代建服务费不因物价波动进行调整。</w:t>
      </w:r>
    </w:p>
    <w:p w14:paraId="6231B89A">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131" w:name="_Toc432755113"/>
      <w:r>
        <w:rPr>
          <w:rFonts w:hint="eastAsia" w:ascii="宋体" w:hAnsi="宋体" w:eastAsia="宋体" w:cs="宋体"/>
          <w:b/>
          <w:color w:val="auto"/>
          <w:kern w:val="2"/>
          <w:sz w:val="21"/>
          <w:szCs w:val="21"/>
          <w:highlight w:val="none"/>
          <w:lang w:val="en-US" w:eastAsia="zh-CN" w:bidi="ar-SA"/>
        </w:rPr>
        <w:t>12.5法律变化引起的调整</w:t>
      </w:r>
      <w:bookmarkEnd w:id="131"/>
    </w:p>
    <w:p w14:paraId="336CC7CF">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因法律变化导致乙方代建服务费发生增减时，甲乙双方应根据法律、法规和政策性文件的规定，协商调整代建服务费，并报代建主管部门和财政部门同意。</w:t>
      </w:r>
    </w:p>
    <w:p w14:paraId="3787279B">
      <w:pPr>
        <w:keepNext w:val="0"/>
        <w:keepLines w:val="0"/>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132" w:name="_Toc432755114"/>
      <w:r>
        <w:rPr>
          <w:rFonts w:hint="eastAsia" w:ascii="宋体" w:hAnsi="宋体" w:eastAsia="宋体" w:cs="宋体"/>
          <w:b w:val="0"/>
          <w:color w:val="auto"/>
          <w:kern w:val="2"/>
          <w:sz w:val="21"/>
          <w:szCs w:val="21"/>
          <w:highlight w:val="none"/>
          <w:lang w:val="en-US" w:eastAsia="zh-CN" w:bidi="ar-SA"/>
        </w:rPr>
        <w:t>第十三条  竣工验收与项目实体移交</w:t>
      </w:r>
      <w:bookmarkEnd w:id="132"/>
    </w:p>
    <w:p w14:paraId="2822D519">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13.1</w:t>
      </w:r>
      <w:r>
        <w:rPr>
          <w:rFonts w:hint="eastAsia" w:ascii="宋体" w:hAnsi="宋体" w:eastAsia="宋体" w:cs="宋体"/>
          <w:color w:val="auto"/>
          <w:sz w:val="21"/>
          <w:szCs w:val="21"/>
          <w:highlight w:val="none"/>
        </w:rPr>
        <w:t>乙方收到监理人提交的竣工验收申请报告后28天内组织竣工验收，对竣工验收中发现的质量和功能缺陷在48小时内提出整改方案，依方案组织相关专业工作单位进行整改并重新组织竣工验收，直至竣工验收通过。</w:t>
      </w:r>
    </w:p>
    <w:p w14:paraId="66631E28">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bookmarkStart w:id="133" w:name="_Toc29728"/>
      <w:bookmarkStart w:id="134" w:name="_Toc66818558"/>
      <w:bookmarkStart w:id="135" w:name="_Toc23773"/>
      <w:r>
        <w:rPr>
          <w:rFonts w:hint="eastAsia" w:ascii="宋体" w:hAnsi="宋体" w:eastAsia="宋体" w:cs="宋体"/>
          <w:b/>
          <w:color w:val="auto"/>
          <w:sz w:val="21"/>
          <w:szCs w:val="21"/>
          <w:highlight w:val="none"/>
        </w:rPr>
        <w:t>13.2</w:t>
      </w:r>
      <w:r>
        <w:rPr>
          <w:rFonts w:hint="eastAsia" w:ascii="宋体" w:hAnsi="宋体" w:eastAsia="宋体" w:cs="宋体"/>
          <w:color w:val="auto"/>
          <w:sz w:val="21"/>
          <w:szCs w:val="21"/>
          <w:highlight w:val="none"/>
        </w:rPr>
        <w:t>项目整体竣工验收和项目实体移交应报请代建主管部门参加。</w:t>
      </w:r>
      <w:bookmarkEnd w:id="133"/>
      <w:bookmarkEnd w:id="134"/>
      <w:bookmarkEnd w:id="135"/>
    </w:p>
    <w:p w14:paraId="1AEB1B77">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13.3</w:t>
      </w:r>
      <w:r>
        <w:rPr>
          <w:rFonts w:hint="eastAsia" w:ascii="宋体" w:hAnsi="宋体" w:eastAsia="宋体" w:cs="宋体"/>
          <w:color w:val="auto"/>
          <w:sz w:val="21"/>
          <w:szCs w:val="21"/>
          <w:highlight w:val="none"/>
        </w:rPr>
        <w:t>竣工验收合格后，乙方应在30天内向甲方递交项目实体移交申请报告。甲方应在收到乙方项目实体移交申请报告后30天内，依据经批准的项目功能要求和合同约定办理实体移交验收，验收中如发现功能或质量缺陷，可提出整改和完善要求，乙方应组织整改以满足要求。实体移交验收合格后，甲方向乙方出具实体移交证书，工程实体移交甲方负责管理和维护。在具备合同约定的实体移交验收条件，乙方向甲方递交工程实体移交申请报告后30天内，甲方拒不组织移交验收的，乙方可要求按照16.3.1</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3）条处理，或要求从乙方递交报告后的第31天起视为甲方已出具实体移交证书，工程管理和维护义务由甲方承担。工程未经实体移交，甲方擅自使用的，应在转移占用工程后14天内向乙方颁发实体移交证书，甲方无正当理由逾期不颁发实体移交证书的，自转移占用后第15天起视为已颁发实体移交证书。</w:t>
      </w:r>
    </w:p>
    <w:p w14:paraId="1B3CEEFD">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13.4</w:t>
      </w:r>
      <w:r>
        <w:rPr>
          <w:rFonts w:hint="eastAsia" w:ascii="宋体" w:hAnsi="宋体" w:eastAsia="宋体" w:cs="宋体"/>
          <w:color w:val="auto"/>
          <w:sz w:val="21"/>
          <w:szCs w:val="21"/>
          <w:highlight w:val="none"/>
        </w:rPr>
        <w:t>项目整体未经验收或验收不合格，甲方擅自使用的，应在转移占有后14天内向乙方颁发实体移交证书，甲方无正当理由逾期不颁发实体移交证书的，自转移占用后第15天起视为已颁发实体移交证书。</w:t>
      </w:r>
    </w:p>
    <w:p w14:paraId="2ED71B4C">
      <w:pPr>
        <w:keepNext w:val="0"/>
        <w:keepLines w:val="0"/>
        <w:pageBreakBefore w:val="0"/>
        <w:widowControl w:val="0"/>
        <w:tabs>
          <w:tab w:val="left" w:pos="1050"/>
          <w:tab w:val="left" w:pos="1125"/>
        </w:tabs>
        <w:kinsoku/>
        <w:overflowPunct w:val="0"/>
        <w:topLinePunct w:val="0"/>
        <w:autoSpaceDE/>
        <w:autoSpaceDN/>
        <w:bidi w:val="0"/>
        <w:spacing w:before="156" w:beforeLines="50" w:after="156" w:afterLines="50" w:line="400" w:lineRule="exact"/>
        <w:ind w:left="643" w:hanging="422" w:hangingChars="200"/>
        <w:jc w:val="center"/>
        <w:textAlignment w:val="auto"/>
        <w:outlineLvl w:val="2"/>
        <w:rPr>
          <w:rFonts w:hint="eastAsia" w:ascii="宋体" w:hAnsi="宋体" w:eastAsia="宋体" w:cs="宋体"/>
          <w:b/>
          <w:color w:val="auto"/>
          <w:kern w:val="2"/>
          <w:sz w:val="21"/>
          <w:szCs w:val="21"/>
          <w:highlight w:val="none"/>
          <w:lang w:val="en-US" w:eastAsia="zh-CN" w:bidi="ar-SA"/>
        </w:rPr>
      </w:pPr>
      <w:bookmarkStart w:id="136" w:name="_Toc66949364"/>
      <w:bookmarkStart w:id="137" w:name="_Toc66818964"/>
      <w:bookmarkStart w:id="138" w:name="_Toc432755118"/>
      <w:bookmarkStart w:id="139" w:name="_Toc66949618"/>
      <w:bookmarkStart w:id="140" w:name="_Toc32595"/>
      <w:bookmarkStart w:id="141" w:name="_Toc66948654"/>
      <w:bookmarkStart w:id="142" w:name="_Toc18518"/>
      <w:bookmarkStart w:id="143" w:name="_Toc66818559"/>
      <w:bookmarkStart w:id="144" w:name="_Toc66949761"/>
      <w:r>
        <w:rPr>
          <w:rFonts w:hint="eastAsia" w:ascii="宋体" w:hAnsi="宋体" w:eastAsia="宋体" w:cs="宋体"/>
          <w:b/>
          <w:color w:val="auto"/>
          <w:kern w:val="2"/>
          <w:sz w:val="21"/>
          <w:szCs w:val="21"/>
          <w:highlight w:val="none"/>
          <w:lang w:val="en-US" w:eastAsia="zh-CN" w:bidi="ar-SA"/>
        </w:rPr>
        <w:t>第五节  不可抗力</w:t>
      </w:r>
      <w:bookmarkEnd w:id="136"/>
      <w:bookmarkEnd w:id="137"/>
      <w:bookmarkEnd w:id="138"/>
      <w:bookmarkEnd w:id="139"/>
      <w:bookmarkEnd w:id="140"/>
      <w:bookmarkEnd w:id="141"/>
      <w:bookmarkEnd w:id="142"/>
      <w:bookmarkEnd w:id="143"/>
      <w:bookmarkEnd w:id="144"/>
    </w:p>
    <w:p w14:paraId="57452EB7">
      <w:pPr>
        <w:keepNext w:val="0"/>
        <w:keepLines w:val="0"/>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145" w:name="_Toc432755119"/>
      <w:r>
        <w:rPr>
          <w:rFonts w:hint="eastAsia" w:ascii="宋体" w:hAnsi="宋体" w:eastAsia="宋体" w:cs="宋体"/>
          <w:b w:val="0"/>
          <w:color w:val="auto"/>
          <w:kern w:val="2"/>
          <w:sz w:val="21"/>
          <w:szCs w:val="21"/>
          <w:highlight w:val="none"/>
          <w:lang w:val="en-US" w:eastAsia="zh-CN" w:bidi="ar-SA"/>
        </w:rPr>
        <w:t>第十四条  不可抗力</w:t>
      </w:r>
      <w:bookmarkEnd w:id="145"/>
    </w:p>
    <w:p w14:paraId="7462CFD2">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14.1不可抗力的</w:t>
      </w:r>
      <w:bookmarkStart w:id="146" w:name="_Toc432755120"/>
      <w:r>
        <w:rPr>
          <w:rFonts w:hint="eastAsia" w:ascii="宋体" w:hAnsi="宋体" w:eastAsia="宋体" w:cs="宋体"/>
          <w:b/>
          <w:color w:val="auto"/>
          <w:kern w:val="2"/>
          <w:sz w:val="21"/>
          <w:szCs w:val="21"/>
          <w:highlight w:val="none"/>
          <w:lang w:val="en-US" w:eastAsia="zh-CN" w:bidi="ar-SA"/>
        </w:rPr>
        <w:t>确认</w:t>
      </w:r>
      <w:bookmarkEnd w:id="146"/>
    </w:p>
    <w:p w14:paraId="455DA089">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14.1.1</w:t>
      </w:r>
      <w:r>
        <w:rPr>
          <w:rFonts w:hint="eastAsia" w:ascii="宋体" w:hAnsi="宋体" w:eastAsia="宋体" w:cs="宋体"/>
          <w:color w:val="auto"/>
          <w:sz w:val="21"/>
          <w:szCs w:val="21"/>
          <w:highlight w:val="none"/>
        </w:rPr>
        <w:t>不可抗力是指乙方和甲方在订立合同时不可预见，在履行合同过程中不可避免发生并不能克服的自然灾害和社会性突发事件，如地震、海啸、瘟疫、水灾、骚乱、暴动、战争和合同专用条款约定的其他情形。</w:t>
      </w:r>
    </w:p>
    <w:p w14:paraId="0055FD86">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14.1.2</w:t>
      </w:r>
      <w:r>
        <w:rPr>
          <w:rFonts w:hint="eastAsia" w:ascii="宋体" w:hAnsi="宋体" w:eastAsia="宋体" w:cs="宋体"/>
          <w:color w:val="auto"/>
          <w:sz w:val="21"/>
          <w:szCs w:val="21"/>
          <w:highlight w:val="none"/>
        </w:rPr>
        <w:t>不可抗力发生后，乙方和甲方应及时认真统计所造成的损失，收集不可抗力造成损失的证据。</w:t>
      </w:r>
    </w:p>
    <w:p w14:paraId="156430CF">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147" w:name="_Toc432755121"/>
      <w:r>
        <w:rPr>
          <w:rFonts w:hint="eastAsia" w:ascii="宋体" w:hAnsi="宋体" w:eastAsia="宋体" w:cs="宋体"/>
          <w:b/>
          <w:color w:val="auto"/>
          <w:kern w:val="2"/>
          <w:sz w:val="21"/>
          <w:szCs w:val="21"/>
          <w:highlight w:val="none"/>
          <w:lang w:val="en-US" w:eastAsia="zh-CN" w:bidi="ar-SA"/>
        </w:rPr>
        <w:t>14.2不可抗力的通知</w:t>
      </w:r>
      <w:bookmarkEnd w:id="147"/>
    </w:p>
    <w:p w14:paraId="0E2FA4B9">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14.2.1</w:t>
      </w:r>
      <w:r>
        <w:rPr>
          <w:rFonts w:hint="eastAsia" w:ascii="宋体" w:hAnsi="宋体" w:eastAsia="宋体" w:cs="宋体"/>
          <w:color w:val="auto"/>
          <w:sz w:val="21"/>
          <w:szCs w:val="21"/>
          <w:highlight w:val="none"/>
        </w:rPr>
        <w:t>合同一方当事人遇到不可抗力事件，使其履行合同义务受到阻碍时，应立即通知合同另一方当事人和代建主管部门，书面说明不可抗力和受阻碍的详细情况，并提供必要的证明。</w:t>
      </w:r>
    </w:p>
    <w:p w14:paraId="069C0036">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14.2.2</w:t>
      </w:r>
      <w:r>
        <w:rPr>
          <w:rFonts w:hint="eastAsia" w:ascii="宋体" w:hAnsi="宋体" w:eastAsia="宋体" w:cs="宋体"/>
          <w:color w:val="auto"/>
          <w:sz w:val="21"/>
          <w:szCs w:val="21"/>
          <w:highlight w:val="none"/>
        </w:rPr>
        <w:t>如不可抗力持续发生，合同一方当事人应及时向合同另一方当事人和代建主管部门提交中间报告，说明不可抗力和履行合同受阻的情况，并于不可抗力事件结束后28天内提交最终报告及有关资料。</w:t>
      </w:r>
    </w:p>
    <w:p w14:paraId="05DE520B">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148" w:name="_Toc432755122"/>
      <w:r>
        <w:rPr>
          <w:rFonts w:hint="eastAsia" w:ascii="宋体" w:hAnsi="宋体" w:eastAsia="宋体" w:cs="宋体"/>
          <w:b/>
          <w:color w:val="auto"/>
          <w:kern w:val="2"/>
          <w:sz w:val="21"/>
          <w:szCs w:val="21"/>
          <w:highlight w:val="none"/>
          <w:lang w:val="en-US" w:eastAsia="zh-CN" w:bidi="ar-SA"/>
        </w:rPr>
        <w:t>14.3不可抗力后果及其处理</w:t>
      </w:r>
      <w:bookmarkEnd w:id="148"/>
    </w:p>
    <w:p w14:paraId="184B125B">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除合同专用条款另有约定外，不可抗力导致的人员伤亡、财产损失、费用增加和代建周期延误等后果，由合同双方按以下原则承担：</w:t>
      </w:r>
    </w:p>
    <w:p w14:paraId="77B2FF6B">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1）工程的损害，以及因工程损害造成的第三者人员伤亡和财产损失，由甲乙方协商确认后上报有关主管部门，再确定处理意见；</w:t>
      </w:r>
    </w:p>
    <w:p w14:paraId="5A410DF0">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2）甲方和乙方各自承担其人员伤亡和其他财产损失及其相关费用；</w:t>
      </w:r>
    </w:p>
    <w:p w14:paraId="6711E1AB">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3）不能在代建周期完成代建工作的，甲乙双方应报请代建主管部门同意合理延长工期，不需支付违约金。</w:t>
      </w:r>
    </w:p>
    <w:p w14:paraId="65EE7AB4">
      <w:pPr>
        <w:pageBreakBefore w:val="0"/>
        <w:widowControl w:val="0"/>
        <w:kinsoku/>
        <w:overflowPunct w:val="0"/>
        <w:topLinePunct w:val="0"/>
        <w:autoSpaceDE/>
        <w:autoSpaceDN/>
        <w:bidi w:val="0"/>
        <w:snapToGrid w:val="0"/>
        <w:spacing w:line="400" w:lineRule="exact"/>
        <w:ind w:firstLine="420" w:firstLineChars="200"/>
        <w:textAlignment w:val="auto"/>
        <w:rPr>
          <w:rFonts w:hint="eastAsia" w:ascii="宋体" w:hAnsi="宋体" w:eastAsia="宋体" w:cs="宋体"/>
          <w:color w:val="auto"/>
          <w:sz w:val="21"/>
          <w:szCs w:val="21"/>
          <w:highlight w:val="none"/>
          <w:lang w:val="en"/>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4）合同一方当事人因不可抗力不能履行合同的，应当及时通知对方解除合同并报告代建主管部门。解除合同产生的损害、损失或延误，双方各负其责。合同解除后28天内，乙方应根据在合同解除前实际完成的工作向甲方提交要求支付尚未支付的代建服务费的有关资料和凭证，甲方应予支付；合同解除前甲方已支付的代建服务费超过应付金额的，超出部分乙方应予退还。同时甲方应及时向乙方返还剩余的履约担保。</w:t>
      </w:r>
    </w:p>
    <w:p w14:paraId="75AC4472">
      <w:pPr>
        <w:keepNext/>
        <w:keepLines/>
        <w:pageBreakBefore w:val="0"/>
        <w:widowControl w:val="0"/>
        <w:tabs>
          <w:tab w:val="left" w:pos="1050"/>
          <w:tab w:val="left" w:pos="1125"/>
        </w:tabs>
        <w:kinsoku/>
        <w:overflowPunct w:val="0"/>
        <w:topLinePunct w:val="0"/>
        <w:autoSpaceDE/>
        <w:autoSpaceDN/>
        <w:bidi w:val="0"/>
        <w:spacing w:before="0" w:beforeLines="0" w:after="0" w:afterLines="0" w:line="400" w:lineRule="exact"/>
        <w:ind w:left="0" w:firstLine="0"/>
        <w:jc w:val="center"/>
        <w:textAlignment w:val="auto"/>
        <w:outlineLvl w:val="2"/>
        <w:rPr>
          <w:rFonts w:hint="eastAsia" w:ascii="宋体" w:hAnsi="宋体" w:eastAsia="宋体" w:cs="宋体"/>
          <w:b/>
          <w:color w:val="auto"/>
          <w:kern w:val="2"/>
          <w:sz w:val="21"/>
          <w:szCs w:val="21"/>
          <w:highlight w:val="none"/>
          <w:lang w:val="en-US" w:eastAsia="zh-CN" w:bidi="ar-SA"/>
        </w:rPr>
      </w:pPr>
      <w:bookmarkStart w:id="149" w:name="_Toc3362"/>
      <w:bookmarkStart w:id="150" w:name="_Toc18568"/>
      <w:bookmarkStart w:id="151" w:name="_Toc432755123"/>
      <w:bookmarkStart w:id="152" w:name="_Toc66949365"/>
      <w:bookmarkStart w:id="153" w:name="_Toc66948655"/>
      <w:bookmarkStart w:id="154" w:name="_Toc66818965"/>
      <w:bookmarkStart w:id="155" w:name="_Toc66949619"/>
      <w:bookmarkStart w:id="156" w:name="_Toc66818560"/>
      <w:bookmarkStart w:id="157" w:name="_Toc66949762"/>
      <w:r>
        <w:rPr>
          <w:rFonts w:hint="eastAsia" w:ascii="宋体" w:hAnsi="宋体" w:eastAsia="宋体" w:cs="宋体"/>
          <w:b/>
          <w:color w:val="auto"/>
          <w:kern w:val="2"/>
          <w:sz w:val="21"/>
          <w:szCs w:val="21"/>
          <w:highlight w:val="none"/>
          <w:lang w:val="en-US" w:eastAsia="zh-CN" w:bidi="ar-SA"/>
        </w:rPr>
        <w:t>第六节  履约担保、违约及赔偿责任与争议</w:t>
      </w:r>
      <w:bookmarkEnd w:id="149"/>
      <w:bookmarkEnd w:id="150"/>
      <w:bookmarkEnd w:id="151"/>
      <w:r>
        <w:rPr>
          <w:rFonts w:hint="eastAsia" w:ascii="宋体" w:hAnsi="宋体" w:eastAsia="宋体" w:cs="宋体"/>
          <w:b/>
          <w:color w:val="auto"/>
          <w:kern w:val="2"/>
          <w:sz w:val="21"/>
          <w:szCs w:val="21"/>
          <w:highlight w:val="none"/>
          <w:lang w:val="en-US" w:eastAsia="zh-CN" w:bidi="ar-SA"/>
        </w:rPr>
        <w:t>解决</w:t>
      </w:r>
      <w:bookmarkEnd w:id="152"/>
      <w:bookmarkEnd w:id="153"/>
      <w:bookmarkEnd w:id="154"/>
      <w:bookmarkEnd w:id="155"/>
      <w:bookmarkEnd w:id="156"/>
      <w:bookmarkEnd w:id="157"/>
      <w:bookmarkStart w:id="158" w:name="_Toc432755115"/>
      <w:bookmarkStart w:id="159" w:name="_Toc247514184"/>
      <w:bookmarkStart w:id="160" w:name="_Toc432755124"/>
      <w:bookmarkStart w:id="161" w:name="_Toc184635119"/>
      <w:bookmarkStart w:id="162" w:name="_Toc247527785"/>
      <w:bookmarkStart w:id="163" w:name="_Toc300835186"/>
    </w:p>
    <w:p w14:paraId="2247D97E">
      <w:pPr>
        <w:keepNext w:val="0"/>
        <w:keepLines w:val="0"/>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第十五条  履约担保</w:t>
      </w:r>
      <w:bookmarkEnd w:id="158"/>
    </w:p>
    <w:p w14:paraId="433D6A97">
      <w:pPr>
        <w:keepNext/>
        <w:keepLines/>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164" w:name="_Toc432755116"/>
      <w:r>
        <w:rPr>
          <w:rFonts w:hint="eastAsia" w:ascii="宋体" w:hAnsi="宋体" w:eastAsia="宋体" w:cs="宋体"/>
          <w:b/>
          <w:color w:val="auto"/>
          <w:kern w:val="2"/>
          <w:sz w:val="21"/>
          <w:szCs w:val="21"/>
          <w:highlight w:val="none"/>
          <w:lang w:val="en-US" w:eastAsia="zh-CN" w:bidi="ar-SA"/>
        </w:rPr>
        <w:t>15.1履约担保</w:t>
      </w:r>
      <w:bookmarkEnd w:id="164"/>
    </w:p>
    <w:p w14:paraId="6AA6D694">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15.1.1</w:t>
      </w:r>
      <w:r>
        <w:rPr>
          <w:rFonts w:hint="eastAsia" w:ascii="宋体" w:hAnsi="宋体" w:eastAsia="宋体" w:cs="宋体"/>
          <w:color w:val="auto"/>
          <w:sz w:val="21"/>
          <w:szCs w:val="21"/>
          <w:highlight w:val="none"/>
        </w:rPr>
        <w:t>乙方应按照投标时承诺的数额和方式及时提交履约担保，并保证其履约担保在代建范围内工程决算完成前一直有效。如乙方因自身工作原因全部或部分不能履行本合同时，甲方有权根据具体情况没收全部或部分履约担保。乙方未提交履约担保或中途撤回履约担保的，本合同失效，造成的有关损失由乙方承担。</w:t>
      </w:r>
    </w:p>
    <w:p w14:paraId="43F05CE1">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15.1.2</w:t>
      </w:r>
      <w:r>
        <w:rPr>
          <w:rFonts w:hint="eastAsia" w:ascii="宋体" w:hAnsi="宋体" w:eastAsia="宋体" w:cs="宋体"/>
          <w:color w:val="auto"/>
          <w:sz w:val="21"/>
          <w:szCs w:val="21"/>
          <w:highlight w:val="none"/>
        </w:rPr>
        <w:t>如合同发生代建周期延期调整，其中由于甲方原因导致延期的，履约担保相应延期所需增加的费用由甲方承担；由于乙方原因导致延期的，履约担保所需费用均由乙方承担。</w:t>
      </w:r>
    </w:p>
    <w:p w14:paraId="1031C237">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15.1.3</w:t>
      </w:r>
      <w:r>
        <w:rPr>
          <w:rFonts w:hint="eastAsia" w:ascii="宋体" w:hAnsi="宋体" w:eastAsia="宋体" w:cs="宋体"/>
          <w:color w:val="auto"/>
          <w:sz w:val="21"/>
          <w:szCs w:val="21"/>
          <w:highlight w:val="none"/>
        </w:rPr>
        <w:t>代建范围内工程决算完成后，如仍有工程在缺陷责任期内的，乙方应按甲方格式要求，以履约担保金额的10%为额度向甲方提交缺陷责任期保函。甲方应在收到缺陷责任期保函7天内将剩余履约担保退还乙方。所有工程缺陷责任期满后14日内，甲方向乙方返还缺陷责任期保函。</w:t>
      </w:r>
    </w:p>
    <w:p w14:paraId="77618B9F">
      <w:pPr>
        <w:keepNext w:val="0"/>
        <w:keepLines w:val="0"/>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第十六条  违约</w:t>
      </w:r>
      <w:bookmarkEnd w:id="159"/>
      <w:bookmarkEnd w:id="160"/>
      <w:bookmarkEnd w:id="161"/>
      <w:bookmarkEnd w:id="162"/>
      <w:bookmarkEnd w:id="163"/>
      <w:r>
        <w:rPr>
          <w:rFonts w:hint="eastAsia" w:ascii="宋体" w:hAnsi="宋体" w:eastAsia="宋体" w:cs="宋体"/>
          <w:b w:val="0"/>
          <w:color w:val="auto"/>
          <w:kern w:val="2"/>
          <w:sz w:val="21"/>
          <w:szCs w:val="21"/>
          <w:highlight w:val="none"/>
          <w:lang w:val="en-US" w:eastAsia="zh-CN" w:bidi="ar-SA"/>
        </w:rPr>
        <w:t>及赔偿责任</w:t>
      </w:r>
    </w:p>
    <w:p w14:paraId="3E3F10D5">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165" w:name="_Toc247527787"/>
      <w:bookmarkStart w:id="166" w:name="_Toc247514186"/>
      <w:bookmarkStart w:id="167" w:name="_Toc300835188"/>
      <w:bookmarkStart w:id="168" w:name="_Toc432755125"/>
      <w:r>
        <w:rPr>
          <w:rFonts w:hint="eastAsia" w:ascii="宋体" w:hAnsi="宋体" w:eastAsia="宋体" w:cs="宋体"/>
          <w:b/>
          <w:color w:val="auto"/>
          <w:kern w:val="2"/>
          <w:sz w:val="21"/>
          <w:szCs w:val="21"/>
          <w:highlight w:val="none"/>
          <w:lang w:val="en-US" w:eastAsia="zh-CN" w:bidi="ar-SA"/>
        </w:rPr>
        <w:t>16.1甲方违约</w:t>
      </w:r>
      <w:bookmarkEnd w:id="165"/>
      <w:bookmarkEnd w:id="166"/>
      <w:bookmarkEnd w:id="167"/>
      <w:bookmarkEnd w:id="168"/>
    </w:p>
    <w:p w14:paraId="531E2DE6">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16.1.1</w:t>
      </w:r>
      <w:r>
        <w:rPr>
          <w:rFonts w:hint="eastAsia" w:ascii="宋体" w:hAnsi="宋体" w:eastAsia="宋体" w:cs="宋体"/>
          <w:color w:val="auto"/>
          <w:sz w:val="21"/>
          <w:szCs w:val="21"/>
          <w:highlight w:val="none"/>
        </w:rPr>
        <w:t>甲方违约的情形</w:t>
      </w:r>
    </w:p>
    <w:p w14:paraId="19A7819D">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在履行合同过程中发生下列情形之一的，属甲方违约：</w:t>
      </w:r>
    </w:p>
    <w:p w14:paraId="1F30C627">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1）甲方建设资金无法落实又未按程序及时调减建设规模或标准并获得批准的；</w:t>
      </w:r>
    </w:p>
    <w:p w14:paraId="6BCA1F9B">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2）甲方未能及时申报资金计划，或未能按专用条款约定向财政申请合同价款支付，或拖延、拒绝按合同约定批准付款申请和支付凭证，导致向乙方或专业单位付款延误的；</w:t>
      </w:r>
    </w:p>
    <w:p w14:paraId="1C4D15AC">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3）甲方未经乙方同意，自行开展或直接要求专业工作单位开展工程建设、自行调整工程建设内容、建设标准的；</w:t>
      </w:r>
    </w:p>
    <w:p w14:paraId="09AD4046">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4）甲方在设备选型、材料选择时，超过专用条款约定的时限的；</w:t>
      </w:r>
    </w:p>
    <w:p w14:paraId="5226ACA5">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5）甲方未在专用条款约定的时限内对乙方提交并要求作出决定的事宜予以书面答复或未按甲方义务及时支持协助乙方办理有关手续导致代建周期延误的；</w:t>
      </w:r>
    </w:p>
    <w:p w14:paraId="37EBDC3D">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6）甲方未经代建主管部门同意，明确表示不履行或实质上已停止履行合同的；</w:t>
      </w:r>
    </w:p>
    <w:p w14:paraId="3E9D6967">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7）具备条件后不按合同约定及时办理项目实体验收并出具实体移交证书的；</w:t>
      </w:r>
    </w:p>
    <w:p w14:paraId="5325EC81">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8）甲方不履行合同其他约定义务的。</w:t>
      </w:r>
      <w:bookmarkStart w:id="169" w:name="_Toc247527786"/>
      <w:bookmarkStart w:id="170" w:name="_Toc247514185"/>
      <w:bookmarkStart w:id="171" w:name="_Toc300835187"/>
      <w:bookmarkStart w:id="172" w:name="_Toc432755126"/>
    </w:p>
    <w:p w14:paraId="1E7E089F">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16.2</w:t>
      </w:r>
      <w:r>
        <w:rPr>
          <w:rFonts w:hint="eastAsia" w:ascii="宋体" w:hAnsi="宋体" w:eastAsia="宋体" w:cs="宋体"/>
          <w:color w:val="auto"/>
          <w:sz w:val="21"/>
          <w:szCs w:val="21"/>
          <w:highlight w:val="none"/>
        </w:rPr>
        <w:t>乙方违约</w:t>
      </w:r>
      <w:bookmarkEnd w:id="169"/>
      <w:bookmarkEnd w:id="170"/>
      <w:bookmarkEnd w:id="171"/>
      <w:bookmarkEnd w:id="172"/>
    </w:p>
    <w:p w14:paraId="2FE752B5">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16.2.1</w:t>
      </w:r>
      <w:r>
        <w:rPr>
          <w:rFonts w:hint="eastAsia" w:ascii="宋体" w:hAnsi="宋体" w:eastAsia="宋体" w:cs="宋体"/>
          <w:color w:val="auto"/>
          <w:sz w:val="21"/>
          <w:szCs w:val="21"/>
          <w:highlight w:val="none"/>
        </w:rPr>
        <w:t>乙方违约的情形</w:t>
      </w:r>
    </w:p>
    <w:p w14:paraId="5F7B4392">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在履行合同过程中发生的下列情况之一的，属乙方违约：</w:t>
      </w:r>
    </w:p>
    <w:p w14:paraId="68D80E5B">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1）乙方将代建管理服务的任何部分转让或分包；</w:t>
      </w:r>
    </w:p>
    <w:p w14:paraId="1A7EE6BC">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lang w:val="en"/>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2）乙方未按承诺及时配备代建项目管理团队人员，或未按约定程序擅自更换项目管理团队人员，或因乙方人员履职水平过低而只能撤换的；</w:t>
      </w:r>
    </w:p>
    <w:p w14:paraId="055DE6E6">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lang w:val="en"/>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3）乙方指令不按政府有效文件确定的建设内容、规模、标准开展项目设计和建设的；</w:t>
      </w:r>
    </w:p>
    <w:p w14:paraId="218DF72F">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lang w:val="en"/>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4）乙方未经代建主管部门同意，明确表示不履行或实质上已停止履行合同的；</w:t>
      </w:r>
    </w:p>
    <w:p w14:paraId="70B0E033">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lang w:val="en"/>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5）乙方在代建过程中的招标、采购、与第三方合同签订履行、代建项目资金财务管理、开工竣工管理、资料文件档案管理等代建管理行为不符合法律法规以及本合同约定的，或代建单位及相关人员因代建事项发生不廉洁行为或损害国家、社会公共利益的；</w:t>
      </w:r>
    </w:p>
    <w:p w14:paraId="261FF169">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6）因乙方工作失职，未能保质保量及时完成合同约定的工作，造成代建周期延误或出现安全责任事故或工程质量不合格的；</w:t>
      </w:r>
    </w:p>
    <w:p w14:paraId="4872E78A">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7）乙方在实体移交证书颁发前、各单位工程缺陷责任期和保修期内，未采取措施及时做好缺陷修复的；或在实体移交证书颁发后、单位工程缺陷责任期内，乙方未应甲方要求组织做好缺陷修复工作的。</w:t>
      </w:r>
    </w:p>
    <w:p w14:paraId="1928A449">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8）代建范围内的项目决算投资突破经批准的概算的；</w:t>
      </w:r>
    </w:p>
    <w:p w14:paraId="31FC023C">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9）乙方不履行合同其他约定义务的情况。</w:t>
      </w:r>
    </w:p>
    <w:p w14:paraId="09073543">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173" w:name="_Toc432755127"/>
      <w:r>
        <w:rPr>
          <w:rFonts w:hint="eastAsia" w:ascii="宋体" w:hAnsi="宋体" w:eastAsia="宋体" w:cs="宋体"/>
          <w:b/>
          <w:color w:val="auto"/>
          <w:kern w:val="2"/>
          <w:sz w:val="21"/>
          <w:szCs w:val="21"/>
          <w:highlight w:val="none"/>
          <w:lang w:val="en-US" w:eastAsia="zh-CN" w:bidi="ar-SA"/>
        </w:rPr>
        <w:t>16.3违约</w:t>
      </w:r>
      <w:bookmarkEnd w:id="173"/>
      <w:r>
        <w:rPr>
          <w:rFonts w:hint="eastAsia" w:ascii="宋体" w:hAnsi="宋体" w:eastAsia="宋体" w:cs="宋体"/>
          <w:b/>
          <w:color w:val="auto"/>
          <w:kern w:val="2"/>
          <w:sz w:val="21"/>
          <w:szCs w:val="21"/>
          <w:highlight w:val="none"/>
          <w:lang w:val="en-US" w:eastAsia="zh-CN" w:bidi="ar-SA"/>
        </w:rPr>
        <w:t>处理与赔偿责任</w:t>
      </w:r>
    </w:p>
    <w:p w14:paraId="3A6F34C5">
      <w:pPr>
        <w:pStyle w:val="306"/>
        <w:pageBreakBefore w:val="0"/>
        <w:widowControl w:val="0"/>
        <w:tabs>
          <w:tab w:val="left" w:pos="360"/>
        </w:tabs>
        <w:kinsoku/>
        <w:overflowPunct w:val="0"/>
        <w:topLinePunct w:val="0"/>
        <w:autoSpaceDE/>
        <w:autoSpaceDN/>
        <w:bidi w:val="0"/>
        <w:spacing w:line="400" w:lineRule="exact"/>
        <w:ind w:left="0" w:firstLine="422" w:firstLineChars="200"/>
        <w:jc w:val="both"/>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16.3.1甲方的违约处理与赔偿责任</w:t>
      </w:r>
    </w:p>
    <w:p w14:paraId="33A6BB11">
      <w:pPr>
        <w:pageBreakBefore w:val="0"/>
        <w:widowControl w:val="0"/>
        <w:numPr>
          <w:ilvl w:val="0"/>
          <w:numId w:val="8"/>
        </w:numPr>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因甲方违约而导致乙方代建周期延误的，每超过一天，甲方应支付违约补偿金，金额按合同专用条款约定的数额向乙方支付工期延误赔偿。</w:t>
      </w:r>
    </w:p>
    <w:p w14:paraId="2E0EDAAF">
      <w:pPr>
        <w:pageBreakBefore w:val="0"/>
        <w:widowControl w:val="0"/>
        <w:kinsoku/>
        <w:overflowPunct w:val="0"/>
        <w:topLinePunct w:val="0"/>
        <w:autoSpaceDE/>
        <w:autoSpaceDN/>
        <w:bidi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2）出现16.1.1</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6）项情形时，乙方有权向代建主管部门书面申请解除合同。出现其他情形，乙方可书面要求甲方纠正或报请代建主管部门协调。经代建主管部门协调后28天内不予纠正或无法纠正，乙方可向甲方发出解除合同通知。本项中乙方解除合同后28天内，乙方根据在合同解除前实际完成的工作向甲方提交要求支付尚未支付的代建服务费的有关资料和凭证，甲方应予支付，甲方还应同时向乙方返还剩余的履约担保；合同解除前甲方已支付的代建服务费超过应付金额的，超出部分乙方应予退还。</w:t>
      </w:r>
    </w:p>
    <w:p w14:paraId="640F7418">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lang w:val="en"/>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3）在具备合同约定的实体移交验收条件，乙方向甲方递交工程实体移交申请报告后30天内，甲方拒不组织移交验收的，需从乙方递交报告后的第31天起至甲方开始组织实体移交验收止，按天补偿乙方延期维护和照管投入人员的人工工资费用。</w:t>
      </w:r>
    </w:p>
    <w:p w14:paraId="6252BF3D">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4）因甲方违约导致乙方和第三方经济损失的，甲方在支付上述补偿费用时，还应同时赔偿乙方和第三方相应的直接经济损失。</w:t>
      </w:r>
    </w:p>
    <w:p w14:paraId="5304B623">
      <w:pPr>
        <w:pStyle w:val="306"/>
        <w:pageBreakBefore w:val="0"/>
        <w:widowControl w:val="0"/>
        <w:tabs>
          <w:tab w:val="left" w:pos="360"/>
        </w:tabs>
        <w:kinsoku/>
        <w:overflowPunct w:val="0"/>
        <w:topLinePunct w:val="0"/>
        <w:autoSpaceDE/>
        <w:autoSpaceDN/>
        <w:bidi w:val="0"/>
        <w:spacing w:line="400" w:lineRule="exact"/>
        <w:ind w:left="0" w:firstLine="422" w:firstLineChars="200"/>
        <w:jc w:val="both"/>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16.3.2乙方的违约处理与赔偿责任</w:t>
      </w:r>
    </w:p>
    <w:p w14:paraId="57B1998C">
      <w:pPr>
        <w:pStyle w:val="306"/>
        <w:pageBreakBefore w:val="0"/>
        <w:widowControl w:val="0"/>
        <w:tabs>
          <w:tab w:val="left" w:pos="360"/>
        </w:tabs>
        <w:kinsoku/>
        <w:overflowPunct w:val="0"/>
        <w:topLinePunct w:val="0"/>
        <w:autoSpaceDE/>
        <w:autoSpaceDN/>
        <w:bidi w:val="0"/>
        <w:spacing w:line="400" w:lineRule="exact"/>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1）出现16.2.1</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3）违约情形的，甲方可根据实际情况报请代建主管部门核实后解除代建合同并没收剩余履约担保，或者书面要求乙方3日内改正到位并报请代建主管部门督促乙方整改，如按期改正到位，按专用条款罚收乙方违约金，整改不力的，解除代建合同并没收剩余履约担保。出现16.2.1</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2）违约情形的，甲方可书面要求乙方3日内改正到位并报请代建主管部门督促乙方整改，整改不力的，解除代建合同并没收剩余履约担保。</w:t>
      </w:r>
    </w:p>
    <w:p w14:paraId="7902361E">
      <w:pPr>
        <w:pStyle w:val="306"/>
        <w:pageBreakBefore w:val="0"/>
        <w:widowControl w:val="0"/>
        <w:tabs>
          <w:tab w:val="left" w:pos="360"/>
        </w:tabs>
        <w:kinsoku/>
        <w:overflowPunct w:val="0"/>
        <w:topLinePunct w:val="0"/>
        <w:autoSpaceDE/>
        <w:autoSpaceDN/>
        <w:bidi w:val="0"/>
        <w:spacing w:line="400" w:lineRule="exact"/>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2）出现16.2.1</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4）情形或乙方在代建管理中严重违法违纪被追究刑事责任、被责令停业、被吊销许可证或执照的或乙方在代建周期内相关招标采购活动中派人担任评委的，甲方报告代建主管部门后解除代建合同并没收乙方剩余履约担保。</w:t>
      </w:r>
    </w:p>
    <w:p w14:paraId="15E1DBAF">
      <w:pPr>
        <w:pStyle w:val="306"/>
        <w:pageBreakBefore w:val="0"/>
        <w:widowControl w:val="0"/>
        <w:tabs>
          <w:tab w:val="left" w:pos="360"/>
        </w:tabs>
        <w:kinsoku/>
        <w:overflowPunct w:val="0"/>
        <w:topLinePunct w:val="0"/>
        <w:autoSpaceDE/>
        <w:autoSpaceDN/>
        <w:bidi w:val="0"/>
        <w:spacing w:line="400" w:lineRule="exact"/>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3）乙方与第三方串通在代建过程中牟取不当利益或损害甲方利益、国家利益的，甲方应报告代建主管部门核实后解除代建合同、乙方剩余的履约担保不予退还。情节严重的，依法追究法律责任。</w:t>
      </w:r>
    </w:p>
    <w:p w14:paraId="5844B889">
      <w:pPr>
        <w:pStyle w:val="306"/>
        <w:pageBreakBefore w:val="0"/>
        <w:widowControl w:val="0"/>
        <w:tabs>
          <w:tab w:val="left" w:pos="360"/>
        </w:tabs>
        <w:kinsoku/>
        <w:overflowPunct w:val="0"/>
        <w:topLinePunct w:val="0"/>
        <w:autoSpaceDE/>
        <w:autoSpaceDN/>
        <w:bidi w:val="0"/>
        <w:spacing w:line="400" w:lineRule="exact"/>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4）乙方违约致使项目投资增加或甲方经济损失的，所增加的项目投资额和造成的甲方直接经济损失从代建单位的履约担保中赔偿；履约担保不足的，相应扣减代建服务费；代建服务费仍不足的，代建单位从自有资金中赔偿。</w:t>
      </w:r>
    </w:p>
    <w:p w14:paraId="6B1E0112">
      <w:pPr>
        <w:pStyle w:val="306"/>
        <w:pageBreakBefore w:val="0"/>
        <w:widowControl w:val="0"/>
        <w:tabs>
          <w:tab w:val="left" w:pos="360"/>
        </w:tabs>
        <w:kinsoku/>
        <w:overflowPunct w:val="0"/>
        <w:topLinePunct w:val="0"/>
        <w:autoSpaceDE/>
        <w:autoSpaceDN/>
        <w:bidi w:val="0"/>
        <w:spacing w:line="400" w:lineRule="exact"/>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5）乙方违约导致代建周期延长，项目未能按合同约定的代建项目建设工期竣工时，乙方按合同专用条款约定的数额向甲方支付工期延误赔偿。</w:t>
      </w:r>
    </w:p>
    <w:p w14:paraId="681EB010">
      <w:pPr>
        <w:pStyle w:val="306"/>
        <w:pageBreakBefore w:val="0"/>
        <w:widowControl w:val="0"/>
        <w:tabs>
          <w:tab w:val="left" w:pos="360"/>
        </w:tabs>
        <w:kinsoku/>
        <w:overflowPunct w:val="0"/>
        <w:topLinePunct w:val="0"/>
        <w:autoSpaceDE/>
        <w:autoSpaceDN/>
        <w:bidi w:val="0"/>
        <w:spacing w:line="400" w:lineRule="exact"/>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6）代建项目建设发生质量、安全事故乙方被认定承担责任时，乙方应按合同专用条款约定的数额向甲方支付赔偿金。因乙方责任发生较大以上安全责任事故的，甲方还可报告代建主管部门后解除代建合同。</w:t>
      </w:r>
    </w:p>
    <w:p w14:paraId="79BD0042">
      <w:pPr>
        <w:pStyle w:val="306"/>
        <w:pageBreakBefore w:val="0"/>
        <w:widowControl w:val="0"/>
        <w:tabs>
          <w:tab w:val="left" w:pos="360"/>
        </w:tabs>
        <w:kinsoku/>
        <w:overflowPunct w:val="0"/>
        <w:topLinePunct w:val="0"/>
        <w:autoSpaceDE/>
        <w:autoSpaceDN/>
        <w:bidi w:val="0"/>
        <w:spacing w:line="400" w:lineRule="exact"/>
        <w:ind w:left="0" w:firstLine="420" w:firstLineChars="200"/>
        <w:jc w:val="both"/>
        <w:textAlignment w:val="auto"/>
        <w:rPr>
          <w:rFonts w:hint="eastAsia" w:ascii="宋体" w:hAnsi="宋体" w:eastAsia="宋体" w:cs="宋体"/>
          <w:color w:val="auto"/>
          <w:sz w:val="21"/>
          <w:szCs w:val="21"/>
          <w:highlight w:val="none"/>
          <w:lang w:val="en"/>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7）缺陷责任期内，乙方拒不履行缺陷修复有关义务的，按专用条款约定缴纳违约金。</w:t>
      </w:r>
    </w:p>
    <w:p w14:paraId="1E18EA77">
      <w:pPr>
        <w:pStyle w:val="306"/>
        <w:pageBreakBefore w:val="0"/>
        <w:widowControl w:val="0"/>
        <w:tabs>
          <w:tab w:val="left" w:pos="360"/>
        </w:tabs>
        <w:kinsoku/>
        <w:overflowPunct w:val="0"/>
        <w:topLinePunct w:val="0"/>
        <w:autoSpaceDE/>
        <w:autoSpaceDN/>
        <w:bidi w:val="0"/>
        <w:spacing w:line="400" w:lineRule="exact"/>
        <w:ind w:left="0" w:firstLine="420" w:firstLineChars="200"/>
        <w:jc w:val="both"/>
        <w:textAlignment w:val="auto"/>
        <w:rPr>
          <w:rFonts w:hint="eastAsia" w:ascii="宋体" w:hAnsi="宋体" w:eastAsia="宋体" w:cs="宋体"/>
          <w:color w:val="auto"/>
          <w:sz w:val="21"/>
          <w:szCs w:val="21"/>
          <w:highlight w:val="none"/>
        </w:rPr>
      </w:pPr>
      <w:bookmarkStart w:id="174" w:name="_Toc300678376"/>
      <w:r>
        <w:rPr>
          <w:rFonts w:hint="eastAsia" w:ascii="宋体" w:hAnsi="宋体" w:eastAsia="宋体" w:cs="宋体"/>
          <w:color w:val="auto"/>
          <w:sz w:val="21"/>
          <w:szCs w:val="21"/>
          <w:highlight w:val="none"/>
        </w:rPr>
        <w:t>（8）乙方违约金累计超过履约担保金额时，甲方可向代建主管部门报告后解除合同并要求乙方赔偿由此引起的损失。</w:t>
      </w:r>
    </w:p>
    <w:p w14:paraId="1AE25078">
      <w:pPr>
        <w:pStyle w:val="306"/>
        <w:pageBreakBefore w:val="0"/>
        <w:widowControl w:val="0"/>
        <w:tabs>
          <w:tab w:val="left" w:pos="360"/>
        </w:tabs>
        <w:kinsoku/>
        <w:overflowPunct w:val="0"/>
        <w:topLinePunct w:val="0"/>
        <w:autoSpaceDE/>
        <w:autoSpaceDN/>
        <w:bidi w:val="0"/>
        <w:spacing w:line="400" w:lineRule="exact"/>
        <w:ind w:left="0" w:firstLine="422" w:firstLineChars="200"/>
        <w:jc w:val="both"/>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16.3.3第三人造成的违约</w:t>
      </w:r>
      <w:bookmarkEnd w:id="174"/>
    </w:p>
    <w:p w14:paraId="315855F5">
      <w:pPr>
        <w:pageBreakBefore w:val="0"/>
        <w:widowControl w:val="0"/>
        <w:kinsoku/>
        <w:overflowPunct w:val="0"/>
        <w:topLinePunct w:val="0"/>
        <w:autoSpaceDE/>
        <w:autoSpaceDN/>
        <w:bidi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在履行合同过程中，一方当事人因第三人的原因造成违约的，应当向对方当事人承担违约责任。一方当事人和第三人之间的纠纷，依照法律规定或者按照约定解决。</w:t>
      </w:r>
    </w:p>
    <w:p w14:paraId="5EA26861">
      <w:pPr>
        <w:keepNext w:val="0"/>
        <w:keepLines w:val="0"/>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175" w:name="_Toc432755131"/>
      <w:r>
        <w:rPr>
          <w:rFonts w:hint="eastAsia" w:ascii="宋体" w:hAnsi="宋体" w:eastAsia="宋体" w:cs="宋体"/>
          <w:b w:val="0"/>
          <w:color w:val="auto"/>
          <w:kern w:val="2"/>
          <w:sz w:val="21"/>
          <w:szCs w:val="21"/>
          <w:highlight w:val="none"/>
          <w:lang w:val="en-US" w:eastAsia="zh-CN" w:bidi="ar-SA"/>
        </w:rPr>
        <w:t>第十七条  争议的解决</w:t>
      </w:r>
      <w:bookmarkEnd w:id="175"/>
    </w:p>
    <w:p w14:paraId="69D391CE">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176" w:name="_Toc432755132"/>
      <w:bookmarkStart w:id="177" w:name="_Toc260820860"/>
      <w:bookmarkStart w:id="178" w:name="_Toc346179750"/>
      <w:r>
        <w:rPr>
          <w:rFonts w:hint="eastAsia" w:ascii="宋体" w:hAnsi="宋体" w:eastAsia="宋体" w:cs="宋体"/>
          <w:b/>
          <w:color w:val="auto"/>
          <w:kern w:val="2"/>
          <w:sz w:val="21"/>
          <w:szCs w:val="21"/>
          <w:highlight w:val="none"/>
          <w:lang w:val="en-US" w:eastAsia="zh-CN" w:bidi="ar-SA"/>
        </w:rPr>
        <w:t>17.1争议的解决</w:t>
      </w:r>
      <w:bookmarkEnd w:id="176"/>
    </w:p>
    <w:p w14:paraId="3FE0941B">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甲方和乙方在履行合同中发生争议的，应优先友好协商解决。不能协商一致的，提请代建主管部门协调解决。不接受代建主管部门协调决定的，可向项目所在地的人民法院提起诉讼。</w:t>
      </w:r>
    </w:p>
    <w:p w14:paraId="32F7856B">
      <w:pPr>
        <w:keepNext w:val="0"/>
        <w:keepLines w:val="0"/>
        <w:pageBreakBefore w:val="0"/>
        <w:widowControl w:val="0"/>
        <w:tabs>
          <w:tab w:val="left" w:pos="1050"/>
          <w:tab w:val="left" w:pos="1125"/>
        </w:tabs>
        <w:kinsoku/>
        <w:overflowPunct w:val="0"/>
        <w:topLinePunct w:val="0"/>
        <w:autoSpaceDE/>
        <w:autoSpaceDN/>
        <w:bidi w:val="0"/>
        <w:spacing w:before="156" w:beforeLines="50" w:after="156" w:afterLines="50" w:line="400" w:lineRule="exact"/>
        <w:ind w:left="0" w:firstLine="0"/>
        <w:jc w:val="center"/>
        <w:textAlignment w:val="auto"/>
        <w:outlineLvl w:val="2"/>
        <w:rPr>
          <w:rFonts w:hint="eastAsia" w:ascii="宋体" w:hAnsi="宋体" w:eastAsia="宋体" w:cs="宋体"/>
          <w:b/>
          <w:color w:val="auto"/>
          <w:kern w:val="2"/>
          <w:sz w:val="21"/>
          <w:szCs w:val="21"/>
          <w:highlight w:val="none"/>
          <w:lang w:val="en-US" w:eastAsia="zh-CN" w:bidi="ar-SA"/>
        </w:rPr>
      </w:pPr>
      <w:bookmarkStart w:id="179" w:name="_Toc66949366"/>
      <w:bookmarkStart w:id="180" w:name="_Toc66948656"/>
      <w:bookmarkStart w:id="181" w:name="_Toc66949763"/>
      <w:bookmarkStart w:id="182" w:name="_Toc66818966"/>
      <w:bookmarkStart w:id="183" w:name="_Toc66818561"/>
      <w:bookmarkStart w:id="184" w:name="_Toc66949620"/>
      <w:bookmarkStart w:id="185" w:name="_Toc27756"/>
      <w:bookmarkStart w:id="186" w:name="_Toc432755134"/>
      <w:bookmarkStart w:id="187" w:name="_Toc967"/>
      <w:r>
        <w:rPr>
          <w:rFonts w:hint="eastAsia" w:ascii="宋体" w:hAnsi="宋体" w:eastAsia="宋体" w:cs="宋体"/>
          <w:b/>
          <w:color w:val="auto"/>
          <w:kern w:val="2"/>
          <w:sz w:val="21"/>
          <w:szCs w:val="21"/>
          <w:highlight w:val="none"/>
          <w:lang w:val="en-US" w:eastAsia="zh-CN" w:bidi="ar-SA"/>
        </w:rPr>
        <w:t>第七节  奖励</w:t>
      </w:r>
      <w:bookmarkEnd w:id="179"/>
      <w:bookmarkEnd w:id="180"/>
      <w:bookmarkEnd w:id="181"/>
      <w:bookmarkEnd w:id="182"/>
      <w:bookmarkEnd w:id="183"/>
      <w:bookmarkEnd w:id="184"/>
    </w:p>
    <w:p w14:paraId="4D7D22B5">
      <w:pPr>
        <w:keepNext w:val="0"/>
        <w:keepLines w:val="0"/>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188" w:name="_Toc432755129"/>
      <w:r>
        <w:rPr>
          <w:rFonts w:hint="eastAsia" w:ascii="宋体" w:hAnsi="宋体" w:eastAsia="宋体" w:cs="宋体"/>
          <w:b w:val="0"/>
          <w:color w:val="auto"/>
          <w:kern w:val="2"/>
          <w:sz w:val="21"/>
          <w:szCs w:val="21"/>
          <w:highlight w:val="none"/>
          <w:lang w:val="en-US" w:eastAsia="zh-CN" w:bidi="ar-SA"/>
        </w:rPr>
        <w:t>第十八条  奖励</w:t>
      </w:r>
      <w:bookmarkEnd w:id="188"/>
    </w:p>
    <w:p w14:paraId="07AF51A3">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18.1</w:t>
      </w:r>
      <w:r>
        <w:rPr>
          <w:rFonts w:hint="eastAsia" w:ascii="宋体" w:hAnsi="宋体" w:eastAsia="宋体" w:cs="宋体"/>
          <w:color w:val="auto"/>
          <w:sz w:val="21"/>
          <w:szCs w:val="21"/>
          <w:highlight w:val="none"/>
        </w:rPr>
        <w:t>乙方全面、切实履行合同义务，在满足项目功能要求、规模标准及结构安全的前提下，充分运用专业管理经验，在项目竣工财务决算审核批准后，其合同约定的代建范围内决算总投资比批准的对应投资概算有节余的，报代建主管部门及财政部门核定后按照合同专用条款对乙方进行奖励。</w:t>
      </w:r>
    </w:p>
    <w:p w14:paraId="53D1A768">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18.2</w:t>
      </w:r>
      <w:r>
        <w:rPr>
          <w:rFonts w:hint="eastAsia" w:ascii="宋体" w:hAnsi="宋体" w:eastAsia="宋体" w:cs="宋体"/>
          <w:color w:val="auto"/>
          <w:sz w:val="21"/>
          <w:szCs w:val="21"/>
          <w:highlight w:val="none"/>
        </w:rPr>
        <w:t>若本项目获得国家级或省级工程质量奖项的，由甲方按照合同专用条款对乙方进行奖励。获得多个奖项时只给予奖金最高的一项奖励。</w:t>
      </w:r>
    </w:p>
    <w:p w14:paraId="2EAE1E27">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18.3</w:t>
      </w:r>
      <w:r>
        <w:rPr>
          <w:rFonts w:hint="eastAsia" w:ascii="宋体" w:hAnsi="宋体" w:eastAsia="宋体" w:cs="宋体"/>
          <w:color w:val="auto"/>
          <w:sz w:val="21"/>
          <w:szCs w:val="21"/>
          <w:highlight w:val="none"/>
        </w:rPr>
        <w:t>因乙方科学管理使得代建项目施工工期提前的，甲方可以给予乙方奖励。具体奖励金额以合同专用条款的约定为准。因工程延期签订了工期延期合同，已获得工期补偿的，不再计取工期提前奖励。</w:t>
      </w:r>
    </w:p>
    <w:p w14:paraId="74355701">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18.4</w:t>
      </w:r>
      <w:r>
        <w:rPr>
          <w:rFonts w:hint="eastAsia" w:ascii="宋体" w:hAnsi="宋体" w:eastAsia="宋体" w:cs="宋体"/>
          <w:color w:val="auto"/>
          <w:sz w:val="21"/>
          <w:szCs w:val="21"/>
          <w:highlight w:val="none"/>
        </w:rPr>
        <w:t>按18.2、18.3给予乙方的奖励合计不超过代建服务费的5%。</w:t>
      </w:r>
    </w:p>
    <w:p w14:paraId="5333198B">
      <w:pPr>
        <w:keepNext/>
        <w:keepLines/>
        <w:pageBreakBefore w:val="0"/>
        <w:widowControl w:val="0"/>
        <w:tabs>
          <w:tab w:val="left" w:pos="1050"/>
          <w:tab w:val="left" w:pos="1125"/>
        </w:tabs>
        <w:kinsoku/>
        <w:overflowPunct w:val="0"/>
        <w:topLinePunct w:val="0"/>
        <w:autoSpaceDE/>
        <w:autoSpaceDN/>
        <w:bidi w:val="0"/>
        <w:spacing w:before="156" w:beforeLines="50" w:after="156" w:afterLines="50" w:line="400" w:lineRule="exact"/>
        <w:ind w:left="0" w:firstLine="0"/>
        <w:jc w:val="center"/>
        <w:textAlignment w:val="auto"/>
        <w:outlineLvl w:val="2"/>
        <w:rPr>
          <w:rFonts w:hint="eastAsia" w:ascii="宋体" w:hAnsi="宋体" w:eastAsia="宋体" w:cs="宋体"/>
          <w:b/>
          <w:color w:val="auto"/>
          <w:kern w:val="2"/>
          <w:sz w:val="21"/>
          <w:szCs w:val="21"/>
          <w:highlight w:val="none"/>
          <w:lang w:val="en-US" w:eastAsia="zh-CN" w:bidi="ar-SA"/>
        </w:rPr>
      </w:pPr>
      <w:bookmarkStart w:id="189" w:name="_Toc66948657"/>
      <w:bookmarkStart w:id="190" w:name="_Toc66949764"/>
      <w:bookmarkStart w:id="191" w:name="_Toc66949367"/>
      <w:bookmarkStart w:id="192" w:name="_Toc66818562"/>
      <w:bookmarkStart w:id="193" w:name="_Toc66818967"/>
      <w:bookmarkStart w:id="194" w:name="_Toc66949621"/>
      <w:r>
        <w:rPr>
          <w:rFonts w:hint="eastAsia" w:ascii="宋体" w:hAnsi="宋体" w:eastAsia="宋体" w:cs="宋体"/>
          <w:b/>
          <w:color w:val="auto"/>
          <w:kern w:val="2"/>
          <w:sz w:val="21"/>
          <w:szCs w:val="21"/>
          <w:highlight w:val="none"/>
          <w:lang w:val="en-US" w:eastAsia="zh-CN" w:bidi="ar-SA"/>
        </w:rPr>
        <w:t>第八节  合同的生效</w:t>
      </w:r>
      <w:bookmarkEnd w:id="185"/>
      <w:bookmarkEnd w:id="186"/>
      <w:bookmarkEnd w:id="187"/>
      <w:r>
        <w:rPr>
          <w:rFonts w:hint="eastAsia" w:ascii="宋体" w:hAnsi="宋体" w:eastAsia="宋体" w:cs="宋体"/>
          <w:b/>
          <w:color w:val="auto"/>
          <w:kern w:val="2"/>
          <w:sz w:val="21"/>
          <w:szCs w:val="21"/>
          <w:highlight w:val="none"/>
          <w:lang w:val="en-US" w:eastAsia="zh-CN" w:bidi="ar-SA"/>
        </w:rPr>
        <w:t>、变更、终止与补充</w:t>
      </w:r>
      <w:bookmarkEnd w:id="189"/>
      <w:bookmarkEnd w:id="190"/>
      <w:bookmarkEnd w:id="191"/>
      <w:bookmarkEnd w:id="192"/>
      <w:bookmarkEnd w:id="193"/>
      <w:bookmarkEnd w:id="194"/>
    </w:p>
    <w:p w14:paraId="7F756FE0">
      <w:pPr>
        <w:keepNext w:val="0"/>
        <w:keepLines w:val="0"/>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195" w:name="_Toc432755135"/>
      <w:bookmarkStart w:id="196" w:name="_Toc335226502"/>
      <w:r>
        <w:rPr>
          <w:rFonts w:hint="eastAsia" w:ascii="宋体" w:hAnsi="宋体" w:eastAsia="宋体" w:cs="宋体"/>
          <w:b w:val="0"/>
          <w:color w:val="auto"/>
          <w:kern w:val="2"/>
          <w:sz w:val="21"/>
          <w:szCs w:val="21"/>
          <w:highlight w:val="none"/>
          <w:lang w:val="en-US" w:eastAsia="zh-CN" w:bidi="ar-SA"/>
        </w:rPr>
        <w:t>第十九条  合同的生效</w:t>
      </w:r>
      <w:bookmarkEnd w:id="195"/>
      <w:r>
        <w:rPr>
          <w:rFonts w:hint="eastAsia" w:ascii="宋体" w:hAnsi="宋体" w:eastAsia="宋体" w:cs="宋体"/>
          <w:b w:val="0"/>
          <w:color w:val="auto"/>
          <w:kern w:val="2"/>
          <w:sz w:val="21"/>
          <w:szCs w:val="21"/>
          <w:highlight w:val="none"/>
          <w:lang w:val="en-US" w:eastAsia="zh-CN" w:bidi="ar-SA"/>
        </w:rPr>
        <w:t>、变更、中止</w:t>
      </w:r>
      <w:r>
        <w:rPr>
          <w:rFonts w:hint="eastAsia" w:ascii="宋体" w:hAnsi="宋体" w:eastAsia="宋体" w:cs="宋体"/>
          <w:b w:val="0"/>
          <w:color w:val="auto"/>
          <w:kern w:val="2"/>
          <w:sz w:val="21"/>
          <w:szCs w:val="21"/>
          <w:highlight w:val="none"/>
          <w:lang w:val="en" w:eastAsia="zh-CN" w:bidi="ar-SA"/>
        </w:rPr>
        <w:t>、恢复</w:t>
      </w:r>
      <w:r>
        <w:rPr>
          <w:rFonts w:hint="eastAsia" w:ascii="宋体" w:hAnsi="宋体" w:eastAsia="宋体" w:cs="宋体"/>
          <w:b w:val="0"/>
          <w:color w:val="auto"/>
          <w:kern w:val="2"/>
          <w:sz w:val="21"/>
          <w:szCs w:val="21"/>
          <w:highlight w:val="none"/>
          <w:lang w:val="en-US" w:eastAsia="zh-CN" w:bidi="ar-SA"/>
        </w:rPr>
        <w:t>与终止</w:t>
      </w:r>
    </w:p>
    <w:p w14:paraId="6ADF27BF">
      <w:pPr>
        <w:keepNext/>
        <w:keepLines/>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197" w:name="_Toc432755136"/>
      <w:r>
        <w:rPr>
          <w:rFonts w:hint="eastAsia" w:ascii="宋体" w:hAnsi="宋体" w:eastAsia="宋体" w:cs="宋体"/>
          <w:b/>
          <w:color w:val="auto"/>
          <w:kern w:val="2"/>
          <w:sz w:val="21"/>
          <w:szCs w:val="21"/>
          <w:highlight w:val="none"/>
          <w:lang w:val="en-US" w:eastAsia="zh-CN" w:bidi="ar-SA"/>
        </w:rPr>
        <w:t>19.1合同生效</w:t>
      </w:r>
      <w:bookmarkEnd w:id="196"/>
      <w:bookmarkEnd w:id="197"/>
      <w:r>
        <w:rPr>
          <w:rFonts w:hint="eastAsia" w:ascii="宋体" w:hAnsi="宋体" w:eastAsia="宋体" w:cs="宋体"/>
          <w:b/>
          <w:color w:val="auto"/>
          <w:kern w:val="2"/>
          <w:sz w:val="21"/>
          <w:szCs w:val="21"/>
          <w:highlight w:val="none"/>
          <w:lang w:val="en-US" w:eastAsia="zh-CN" w:bidi="ar-SA"/>
        </w:rPr>
        <w:t>与终止</w:t>
      </w:r>
    </w:p>
    <w:p w14:paraId="46EFE99F">
      <w:pPr>
        <w:pageBreakBefore w:val="0"/>
        <w:widowControl w:val="0"/>
        <w:kinsoku/>
        <w:overflowPunct w:val="0"/>
        <w:topLinePunct w:val="0"/>
        <w:autoSpaceDE/>
        <w:autoSpaceDN/>
        <w:bidi w:val="0"/>
        <w:spacing w:line="40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合同从代建主管部门颁发代建合同备案通知之日起生效，至双方按照合同约定履行完各自的义务和责任后自然失效。</w:t>
      </w:r>
    </w:p>
    <w:p w14:paraId="7263F218">
      <w:pPr>
        <w:keepNext/>
        <w:keepLines/>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198" w:name="_Toc432755138"/>
      <w:bookmarkStart w:id="199" w:name="_Toc335226505"/>
      <w:r>
        <w:rPr>
          <w:rFonts w:hint="eastAsia" w:ascii="宋体" w:hAnsi="宋体" w:eastAsia="宋体" w:cs="宋体"/>
          <w:b/>
          <w:color w:val="auto"/>
          <w:kern w:val="2"/>
          <w:sz w:val="21"/>
          <w:szCs w:val="21"/>
          <w:highlight w:val="none"/>
          <w:lang w:val="en-US" w:eastAsia="zh-CN" w:bidi="ar-SA"/>
        </w:rPr>
        <w:t>19.2合同</w:t>
      </w:r>
      <w:bookmarkEnd w:id="198"/>
      <w:bookmarkEnd w:id="199"/>
      <w:r>
        <w:rPr>
          <w:rFonts w:hint="eastAsia" w:ascii="宋体" w:hAnsi="宋体" w:eastAsia="宋体" w:cs="宋体"/>
          <w:b/>
          <w:color w:val="auto"/>
          <w:kern w:val="2"/>
          <w:sz w:val="21"/>
          <w:szCs w:val="21"/>
          <w:highlight w:val="none"/>
          <w:lang w:val="en-US" w:eastAsia="zh-CN" w:bidi="ar-SA"/>
        </w:rPr>
        <w:t>变更</w:t>
      </w:r>
    </w:p>
    <w:bookmarkEnd w:id="177"/>
    <w:bookmarkEnd w:id="178"/>
    <w:p w14:paraId="0ADCBC0C">
      <w:pPr>
        <w:pageBreakBefore w:val="0"/>
        <w:widowControl w:val="0"/>
        <w:kinsoku/>
        <w:overflowPunct w:val="0"/>
        <w:topLinePunct w:val="0"/>
        <w:autoSpaceDE/>
        <w:autoSpaceDN/>
        <w:bidi w:val="0"/>
        <w:snapToGrid w:val="0"/>
        <w:spacing w:line="40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现超出本合同协议书规定的情况或不可抗力出现或合同约定可调整的情况或未约定而又必须新增的代建管理工作，任何一方提出、双方书面同意并报代建主管部门备案后，可以补充协议的方式对本合同进行变更。</w:t>
      </w:r>
    </w:p>
    <w:p w14:paraId="59524F16">
      <w:pPr>
        <w:pageBreakBefore w:val="0"/>
        <w:widowControl w:val="0"/>
        <w:kinsoku/>
        <w:overflowPunct w:val="0"/>
        <w:topLinePunct w:val="0"/>
        <w:autoSpaceDE/>
        <w:autoSpaceDN/>
        <w:bidi w:val="0"/>
        <w:snapToGrid w:val="0"/>
        <w:spacing w:line="400" w:lineRule="exact"/>
        <w:ind w:firstLine="422" w:firstLineChars="200"/>
        <w:jc w:val="both"/>
        <w:textAlignment w:val="auto"/>
        <w:rPr>
          <w:rFonts w:hint="eastAsia" w:ascii="宋体" w:hAnsi="宋体" w:eastAsia="宋体" w:cs="宋体"/>
          <w:b/>
          <w:bCs/>
          <w:color w:val="auto"/>
          <w:sz w:val="21"/>
          <w:szCs w:val="21"/>
          <w:highlight w:val="none"/>
          <w:lang w:val="en"/>
        </w:rPr>
      </w:pPr>
      <w:r>
        <w:rPr>
          <w:rFonts w:hint="eastAsia" w:ascii="宋体" w:hAnsi="宋体" w:eastAsia="宋体" w:cs="宋体"/>
          <w:b/>
          <w:bCs/>
          <w:color w:val="auto"/>
          <w:sz w:val="21"/>
          <w:szCs w:val="21"/>
          <w:highlight w:val="none"/>
        </w:rPr>
        <w:t>19.3合同中止</w:t>
      </w:r>
      <w:r>
        <w:rPr>
          <w:rFonts w:hint="eastAsia" w:ascii="宋体" w:hAnsi="宋体" w:eastAsia="宋体" w:cs="宋体"/>
          <w:b/>
          <w:bCs/>
          <w:color w:val="auto"/>
          <w:sz w:val="21"/>
          <w:szCs w:val="21"/>
          <w:highlight w:val="none"/>
          <w:lang w:val="en"/>
        </w:rPr>
        <w:t>与恢复</w:t>
      </w:r>
    </w:p>
    <w:p w14:paraId="47C806B4">
      <w:pPr>
        <w:pageBreakBefore w:val="0"/>
        <w:widowControl w:val="0"/>
        <w:kinsoku/>
        <w:overflowPunct w:val="0"/>
        <w:topLinePunct w:val="0"/>
        <w:autoSpaceDE/>
        <w:autoSpaceDN/>
        <w:bidi w:val="0"/>
        <w:snapToGrid w:val="0"/>
        <w:spacing w:line="400" w:lineRule="exact"/>
        <w:ind w:firstLine="420" w:firstLineChars="200"/>
        <w:jc w:val="both"/>
        <w:textAlignment w:val="auto"/>
        <w:rPr>
          <w:rFonts w:hint="eastAsia" w:ascii="宋体" w:hAnsi="宋体" w:eastAsia="宋体" w:cs="宋体"/>
          <w:color w:val="auto"/>
          <w:sz w:val="21"/>
          <w:szCs w:val="21"/>
          <w:highlight w:val="none"/>
          <w:lang w:val="en"/>
        </w:rPr>
      </w:pPr>
      <w:r>
        <w:rPr>
          <w:rFonts w:hint="eastAsia" w:ascii="宋体" w:hAnsi="宋体" w:eastAsia="宋体" w:cs="宋体"/>
          <w:color w:val="auto"/>
          <w:sz w:val="21"/>
          <w:szCs w:val="21"/>
          <w:highlight w:val="none"/>
        </w:rPr>
        <w:t>在合同履行之前或履行的过程中，因不可抗力或其他因素使得确实不能履行合同义务而只能暂时停止时，任何一方提出、双方书面同意并报代建主管部门后，可以中止合同</w:t>
      </w:r>
      <w:r>
        <w:rPr>
          <w:rFonts w:hint="eastAsia" w:ascii="宋体" w:hAnsi="宋体" w:eastAsia="宋体" w:cs="宋体"/>
          <w:color w:val="auto"/>
          <w:sz w:val="21"/>
          <w:szCs w:val="21"/>
          <w:highlight w:val="none"/>
          <w:lang w:val="en"/>
        </w:rPr>
        <w:t>。合同中止期间，乙方应负责组织相关专业工作单位妥善保护项目并提供安全保障，由此增加的费用由引起暂停的责任方承担。</w:t>
      </w:r>
    </w:p>
    <w:p w14:paraId="6072E7F2">
      <w:pPr>
        <w:pageBreakBefore w:val="0"/>
        <w:widowControl w:val="0"/>
        <w:kinsoku/>
        <w:overflowPunct w:val="0"/>
        <w:topLinePunct w:val="0"/>
        <w:autoSpaceDE/>
        <w:autoSpaceDN/>
        <w:bidi w:val="0"/>
        <w:snapToGrid w:val="0"/>
        <w:spacing w:line="400" w:lineRule="exact"/>
        <w:ind w:firstLine="420" w:firstLineChars="200"/>
        <w:jc w:val="both"/>
        <w:textAlignment w:val="auto"/>
        <w:rPr>
          <w:rFonts w:hint="eastAsia" w:ascii="宋体" w:hAnsi="宋体" w:eastAsia="宋体" w:cs="宋体"/>
          <w:color w:val="auto"/>
          <w:sz w:val="21"/>
          <w:szCs w:val="21"/>
          <w:highlight w:val="none"/>
          <w:lang w:val="en"/>
        </w:rPr>
      </w:pPr>
      <w:r>
        <w:rPr>
          <w:rFonts w:hint="eastAsia" w:ascii="宋体" w:hAnsi="宋体" w:eastAsia="宋体" w:cs="宋体"/>
          <w:color w:val="auto"/>
          <w:sz w:val="21"/>
          <w:szCs w:val="21"/>
          <w:highlight w:val="none"/>
          <w:lang w:val="en"/>
        </w:rPr>
        <w:t>合同恢复履行条件时，由</w:t>
      </w:r>
      <w:r>
        <w:rPr>
          <w:rFonts w:hint="eastAsia" w:ascii="宋体" w:hAnsi="宋体" w:eastAsia="宋体" w:cs="宋体"/>
          <w:color w:val="auto"/>
          <w:sz w:val="21"/>
          <w:szCs w:val="21"/>
          <w:highlight w:val="none"/>
        </w:rPr>
        <w:t>任何一方提出、双方书面同意并报代建主管部门后，可以继续履行合同。</w:t>
      </w:r>
    </w:p>
    <w:p w14:paraId="42912323">
      <w:pPr>
        <w:pageBreakBefore w:val="0"/>
        <w:widowControl w:val="0"/>
        <w:kinsoku/>
        <w:overflowPunct w:val="0"/>
        <w:topLinePunct w:val="0"/>
        <w:autoSpaceDE/>
        <w:autoSpaceDN/>
        <w:bidi w:val="0"/>
        <w:snapToGrid w:val="0"/>
        <w:spacing w:line="400" w:lineRule="exact"/>
        <w:ind w:firstLine="422"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19.4补充条款</w:t>
      </w:r>
    </w:p>
    <w:p w14:paraId="43DB6DF8">
      <w:pPr>
        <w:pageBreakBefore w:val="0"/>
        <w:widowControl w:val="0"/>
        <w:kinsoku/>
        <w:overflowPunct w:val="0"/>
        <w:topLinePunct w:val="0"/>
        <w:autoSpaceDE/>
        <w:autoSpaceDN/>
        <w:bidi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在专用条款中补充约定。</w:t>
      </w:r>
    </w:p>
    <w:p w14:paraId="3EAE9037">
      <w:pPr>
        <w:keepNext/>
        <w:keepLines/>
        <w:pageBreakBefore w:val="0"/>
        <w:widowControl w:val="0"/>
        <w:kinsoku/>
        <w:overflowPunct w:val="0"/>
        <w:topLinePunct w:val="0"/>
        <w:autoSpaceDE/>
        <w:autoSpaceDN/>
        <w:bidi w:val="0"/>
        <w:spacing w:before="0" w:after="0" w:line="400" w:lineRule="exact"/>
        <w:ind w:left="420" w:hanging="420"/>
        <w:jc w:val="center"/>
        <w:textAlignment w:val="auto"/>
        <w:outlineLvl w:val="1"/>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br w:type="page"/>
      </w:r>
      <w:bookmarkStart w:id="200" w:name="_Toc432755139"/>
      <w:bookmarkStart w:id="201" w:name="_Toc168"/>
      <w:bookmarkStart w:id="202" w:name="_Toc66949765"/>
      <w:bookmarkStart w:id="203" w:name="_Toc798318908"/>
      <w:bookmarkStart w:id="204" w:name="_Toc1653834152"/>
      <w:bookmarkStart w:id="205" w:name="_Toc144974831"/>
      <w:r>
        <w:rPr>
          <w:rFonts w:hint="eastAsia" w:ascii="宋体" w:hAnsi="宋体" w:eastAsia="宋体" w:cs="宋体"/>
          <w:color w:val="auto"/>
          <w:kern w:val="2"/>
          <w:sz w:val="28"/>
          <w:szCs w:val="28"/>
          <w:highlight w:val="none"/>
          <w:lang w:val="en-US" w:eastAsia="zh-CN" w:bidi="ar-SA"/>
        </w:rPr>
        <w:t xml:space="preserve">第三部分 </w:t>
      </w:r>
      <w:bookmarkEnd w:id="200"/>
      <w:r>
        <w:rPr>
          <w:rFonts w:hint="eastAsia" w:ascii="宋体" w:hAnsi="宋体" w:eastAsia="宋体" w:cs="宋体"/>
          <w:color w:val="auto"/>
          <w:kern w:val="2"/>
          <w:sz w:val="28"/>
          <w:szCs w:val="28"/>
          <w:highlight w:val="none"/>
          <w:lang w:val="en-US" w:eastAsia="zh-CN" w:bidi="ar-SA"/>
        </w:rPr>
        <w:t>合同专用条款</w:t>
      </w:r>
      <w:bookmarkEnd w:id="201"/>
      <w:bookmarkEnd w:id="202"/>
      <w:bookmarkEnd w:id="203"/>
      <w:bookmarkEnd w:id="204"/>
    </w:p>
    <w:p w14:paraId="53A11DD9">
      <w:pPr>
        <w:keepNext/>
        <w:keepLines/>
        <w:pageBreakBefore w:val="0"/>
        <w:widowControl w:val="0"/>
        <w:kinsoku/>
        <w:overflowPunct w:val="0"/>
        <w:topLinePunct w:val="0"/>
        <w:autoSpaceDE/>
        <w:autoSpaceDN/>
        <w:bidi w:val="0"/>
        <w:spacing w:before="156" w:beforeLines="50" w:after="156" w:afterLines="50" w:line="400" w:lineRule="exact"/>
        <w:ind w:left="0" w:firstLine="0"/>
        <w:jc w:val="center"/>
        <w:textAlignment w:val="auto"/>
        <w:outlineLvl w:val="2"/>
        <w:rPr>
          <w:rFonts w:hint="eastAsia" w:ascii="宋体" w:hAnsi="宋体" w:eastAsia="宋体" w:cs="宋体"/>
          <w:b/>
          <w:color w:val="auto"/>
          <w:kern w:val="2"/>
          <w:sz w:val="21"/>
          <w:szCs w:val="21"/>
          <w:highlight w:val="none"/>
          <w:lang w:val="en-US" w:eastAsia="zh-CN" w:bidi="ar-SA"/>
        </w:rPr>
      </w:pPr>
      <w:bookmarkStart w:id="206" w:name="_Toc66949623"/>
      <w:bookmarkStart w:id="207" w:name="_Toc432755140"/>
      <w:bookmarkStart w:id="208" w:name="_Toc31467"/>
      <w:bookmarkStart w:id="209" w:name="_Toc66818969"/>
      <w:bookmarkStart w:id="210" w:name="_Toc66948659"/>
      <w:bookmarkStart w:id="211" w:name="_Toc6090"/>
      <w:bookmarkStart w:id="212" w:name="_Toc66949766"/>
      <w:bookmarkStart w:id="213" w:name="_Toc66818563"/>
      <w:bookmarkStart w:id="214" w:name="_Toc66949368"/>
      <w:r>
        <w:rPr>
          <w:rFonts w:hint="eastAsia" w:ascii="宋体" w:hAnsi="宋体" w:eastAsia="宋体" w:cs="宋体"/>
          <w:b/>
          <w:color w:val="auto"/>
          <w:kern w:val="2"/>
          <w:sz w:val="21"/>
          <w:szCs w:val="21"/>
          <w:highlight w:val="none"/>
          <w:lang w:val="en-US" w:eastAsia="zh-CN" w:bidi="ar-SA"/>
        </w:rPr>
        <w:t>第一节  定义、解释和一般约定</w:t>
      </w:r>
      <w:bookmarkEnd w:id="206"/>
      <w:bookmarkEnd w:id="207"/>
      <w:bookmarkEnd w:id="208"/>
      <w:bookmarkEnd w:id="209"/>
      <w:bookmarkEnd w:id="210"/>
      <w:bookmarkEnd w:id="211"/>
      <w:bookmarkEnd w:id="212"/>
      <w:bookmarkEnd w:id="213"/>
      <w:bookmarkEnd w:id="214"/>
    </w:p>
    <w:p w14:paraId="7128231D">
      <w:pPr>
        <w:keepNext/>
        <w:keepLines/>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215" w:name="_Toc432755141"/>
      <w:r>
        <w:rPr>
          <w:rFonts w:hint="eastAsia" w:ascii="宋体" w:hAnsi="宋体" w:eastAsia="宋体" w:cs="宋体"/>
          <w:b w:val="0"/>
          <w:color w:val="auto"/>
          <w:kern w:val="2"/>
          <w:sz w:val="21"/>
          <w:szCs w:val="21"/>
          <w:highlight w:val="none"/>
          <w:lang w:val="en-US" w:eastAsia="zh-CN" w:bidi="ar-SA"/>
        </w:rPr>
        <w:t>第一条  词语定义</w:t>
      </w:r>
      <w:bookmarkEnd w:id="215"/>
    </w:p>
    <w:p w14:paraId="30530975">
      <w:pPr>
        <w:keepNext/>
        <w:keepLines/>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216" w:name="_Toc432755142"/>
      <w:r>
        <w:rPr>
          <w:rFonts w:hint="eastAsia" w:ascii="宋体" w:hAnsi="宋体" w:eastAsia="宋体" w:cs="宋体"/>
          <w:b/>
          <w:color w:val="auto"/>
          <w:kern w:val="2"/>
          <w:sz w:val="21"/>
          <w:szCs w:val="21"/>
          <w:highlight w:val="none"/>
          <w:lang w:val="en-US" w:eastAsia="zh-CN" w:bidi="ar-SA"/>
        </w:rPr>
        <w:t>1.1合同</w:t>
      </w:r>
      <w:bookmarkEnd w:id="216"/>
    </w:p>
    <w:p w14:paraId="6185BDAB">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1.1.5其他合同文件，包括：</w:t>
      </w:r>
      <w:r>
        <w:rPr>
          <w:rFonts w:hint="eastAsia" w:ascii="宋体" w:hAnsi="宋体" w:eastAsia="宋体" w:cs="宋体"/>
          <w:color w:val="auto"/>
          <w:sz w:val="21"/>
          <w:szCs w:val="21"/>
          <w:highlight w:val="none"/>
          <w:u w:val="single"/>
        </w:rPr>
        <w:t xml:space="preserve">      </w:t>
      </w:r>
    </w:p>
    <w:p w14:paraId="2BCDB9CC">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1.1.6经双方协商增加的额外工作包括：</w:t>
      </w:r>
      <w:r>
        <w:rPr>
          <w:rFonts w:hint="eastAsia" w:ascii="宋体" w:hAnsi="宋体" w:eastAsia="宋体" w:cs="宋体"/>
          <w:color w:val="auto"/>
          <w:kern w:val="0"/>
          <w:sz w:val="21"/>
          <w:szCs w:val="21"/>
          <w:highlight w:val="none"/>
          <w:u w:val="single"/>
        </w:rPr>
        <w:t xml:space="preserve">               </w:t>
      </w:r>
    </w:p>
    <w:p w14:paraId="783E0FBF">
      <w:pPr>
        <w:keepNext/>
        <w:keepLines/>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217" w:name="_Toc432755143"/>
      <w:r>
        <w:rPr>
          <w:rFonts w:hint="eastAsia" w:ascii="宋体" w:hAnsi="宋体" w:eastAsia="宋体" w:cs="宋体"/>
          <w:b w:val="0"/>
          <w:color w:val="auto"/>
          <w:kern w:val="2"/>
          <w:sz w:val="21"/>
          <w:szCs w:val="21"/>
          <w:highlight w:val="none"/>
          <w:lang w:val="en-US" w:eastAsia="zh-CN" w:bidi="ar-SA"/>
        </w:rPr>
        <w:t>第二条  解释</w:t>
      </w:r>
      <w:bookmarkEnd w:id="217"/>
    </w:p>
    <w:p w14:paraId="32B78F37">
      <w:pPr>
        <w:keepNext/>
        <w:keepLines/>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218" w:name="_Toc335226509"/>
      <w:bookmarkStart w:id="219" w:name="_Toc432755144"/>
      <w:r>
        <w:rPr>
          <w:rFonts w:hint="eastAsia" w:ascii="宋体" w:hAnsi="宋体" w:eastAsia="宋体" w:cs="宋体"/>
          <w:b/>
          <w:color w:val="auto"/>
          <w:kern w:val="2"/>
          <w:sz w:val="21"/>
          <w:szCs w:val="21"/>
          <w:highlight w:val="none"/>
          <w:lang w:val="en-US" w:eastAsia="zh-CN" w:bidi="ar-SA"/>
        </w:rPr>
        <w:t>2.1语言文字</w:t>
      </w:r>
      <w:bookmarkEnd w:id="218"/>
      <w:bookmarkEnd w:id="219"/>
    </w:p>
    <w:p w14:paraId="628993AF">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本合同除使用汉语外，还使用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语言。</w:t>
      </w:r>
    </w:p>
    <w:p w14:paraId="4CD47D11">
      <w:pPr>
        <w:keepNext/>
        <w:keepLines/>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220" w:name="_Toc335226510"/>
      <w:bookmarkStart w:id="221" w:name="_Toc432755145"/>
      <w:r>
        <w:rPr>
          <w:rFonts w:hint="eastAsia" w:ascii="宋体" w:hAnsi="宋体" w:eastAsia="宋体" w:cs="宋体"/>
          <w:b/>
          <w:color w:val="auto"/>
          <w:kern w:val="2"/>
          <w:sz w:val="21"/>
          <w:szCs w:val="21"/>
          <w:highlight w:val="none"/>
          <w:lang w:val="en-US" w:eastAsia="zh-CN" w:bidi="ar-SA"/>
        </w:rPr>
        <w:t>2.2法律</w:t>
      </w:r>
      <w:bookmarkEnd w:id="220"/>
      <w:bookmarkEnd w:id="221"/>
    </w:p>
    <w:p w14:paraId="08EC795A">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合同双方需要明示的法律、行政法规、地方性法规：</w:t>
      </w:r>
      <w:r>
        <w:rPr>
          <w:rFonts w:hint="eastAsia" w:ascii="宋体" w:hAnsi="宋体" w:eastAsia="宋体" w:cs="宋体"/>
          <w:color w:val="auto"/>
          <w:sz w:val="21"/>
          <w:szCs w:val="21"/>
          <w:highlight w:val="none"/>
          <w:u w:val="single"/>
        </w:rPr>
        <w:t xml:space="preserve">      </w:t>
      </w:r>
    </w:p>
    <w:p w14:paraId="0131078E">
      <w:pPr>
        <w:keepNext/>
        <w:keepLines/>
        <w:pageBreakBefore w:val="0"/>
        <w:widowControl w:val="0"/>
        <w:kinsoku/>
        <w:overflowPunct w:val="0"/>
        <w:topLinePunct w:val="0"/>
        <w:autoSpaceDE/>
        <w:autoSpaceDN/>
        <w:bidi w:val="0"/>
        <w:spacing w:before="156" w:beforeLines="50" w:after="156" w:afterLines="50" w:line="400" w:lineRule="exact"/>
        <w:ind w:left="0" w:firstLine="0"/>
        <w:jc w:val="center"/>
        <w:textAlignment w:val="auto"/>
        <w:outlineLvl w:val="2"/>
        <w:rPr>
          <w:rFonts w:hint="eastAsia" w:ascii="宋体" w:hAnsi="宋体" w:eastAsia="宋体" w:cs="宋体"/>
          <w:b/>
          <w:color w:val="auto"/>
          <w:kern w:val="2"/>
          <w:sz w:val="21"/>
          <w:szCs w:val="21"/>
          <w:highlight w:val="none"/>
          <w:lang w:val="en-US" w:eastAsia="zh-CN" w:bidi="ar-SA"/>
        </w:rPr>
      </w:pPr>
      <w:bookmarkStart w:id="222" w:name="_Toc66948660"/>
      <w:bookmarkStart w:id="223" w:name="_Toc22661"/>
      <w:bookmarkStart w:id="224" w:name="_Toc432755146"/>
      <w:bookmarkStart w:id="225" w:name="_Toc25521"/>
      <w:bookmarkStart w:id="226" w:name="_Toc66818564"/>
      <w:bookmarkStart w:id="227" w:name="_Toc66949624"/>
      <w:bookmarkStart w:id="228" w:name="_Toc66949369"/>
      <w:bookmarkStart w:id="229" w:name="_Toc66949767"/>
      <w:bookmarkStart w:id="230" w:name="_Toc66818970"/>
      <w:r>
        <w:rPr>
          <w:rFonts w:hint="eastAsia" w:ascii="宋体" w:hAnsi="宋体" w:eastAsia="宋体" w:cs="宋体"/>
          <w:b/>
          <w:color w:val="auto"/>
          <w:kern w:val="2"/>
          <w:sz w:val="21"/>
          <w:szCs w:val="21"/>
          <w:highlight w:val="none"/>
          <w:lang w:val="en-US" w:eastAsia="zh-CN" w:bidi="ar-SA"/>
        </w:rPr>
        <w:t>第三节  合同双方的义务</w:t>
      </w:r>
      <w:bookmarkEnd w:id="222"/>
      <w:bookmarkEnd w:id="223"/>
      <w:bookmarkEnd w:id="224"/>
      <w:bookmarkEnd w:id="225"/>
      <w:bookmarkEnd w:id="226"/>
      <w:bookmarkEnd w:id="227"/>
      <w:bookmarkEnd w:id="228"/>
      <w:bookmarkEnd w:id="229"/>
      <w:bookmarkEnd w:id="230"/>
    </w:p>
    <w:p w14:paraId="3A4827DF">
      <w:pPr>
        <w:keepNext/>
        <w:keepLines/>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231" w:name="_Toc432755147"/>
      <w:r>
        <w:rPr>
          <w:rFonts w:hint="eastAsia" w:ascii="宋体" w:hAnsi="宋体" w:eastAsia="宋体" w:cs="宋体"/>
          <w:b w:val="0"/>
          <w:color w:val="auto"/>
          <w:kern w:val="2"/>
          <w:sz w:val="21"/>
          <w:szCs w:val="21"/>
          <w:highlight w:val="none"/>
          <w:lang w:val="en-US" w:eastAsia="zh-CN" w:bidi="ar-SA"/>
        </w:rPr>
        <w:t>第六条  甲方义务</w:t>
      </w:r>
      <w:bookmarkEnd w:id="231"/>
    </w:p>
    <w:p w14:paraId="29594E24">
      <w:pPr>
        <w:keepNext/>
        <w:keepLines/>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232" w:name="_Toc432755148"/>
      <w:r>
        <w:rPr>
          <w:rFonts w:hint="eastAsia" w:ascii="宋体" w:hAnsi="宋体" w:eastAsia="宋体" w:cs="宋体"/>
          <w:b/>
          <w:color w:val="auto"/>
          <w:kern w:val="2"/>
          <w:sz w:val="21"/>
          <w:szCs w:val="21"/>
          <w:highlight w:val="none"/>
          <w:lang w:val="en-US" w:eastAsia="zh-CN" w:bidi="ar-SA"/>
        </w:rPr>
        <w:t>6.3办理有关手续</w:t>
      </w:r>
      <w:bookmarkEnd w:id="232"/>
    </w:p>
    <w:p w14:paraId="0EB5047B">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6.3.1</w:t>
      </w:r>
      <w:r>
        <w:rPr>
          <w:rFonts w:hint="eastAsia" w:ascii="宋体" w:hAnsi="宋体" w:eastAsia="宋体" w:cs="宋体"/>
          <w:color w:val="auto"/>
          <w:sz w:val="21"/>
          <w:szCs w:val="21"/>
          <w:highlight w:val="none"/>
        </w:rPr>
        <w:t>由甲方负责办理的有关手续是：</w:t>
      </w:r>
      <w:r>
        <w:rPr>
          <w:rFonts w:hint="eastAsia" w:ascii="宋体" w:hAnsi="宋体" w:eastAsia="宋体" w:cs="宋体"/>
          <w:color w:val="auto"/>
          <w:sz w:val="21"/>
          <w:szCs w:val="21"/>
          <w:highlight w:val="none"/>
          <w:u w:val="single"/>
        </w:rPr>
        <w:t xml:space="preserve">                </w:t>
      </w:r>
    </w:p>
    <w:p w14:paraId="2BBFC61F">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6.5.3</w:t>
      </w:r>
      <w:r>
        <w:rPr>
          <w:rFonts w:hint="eastAsia" w:ascii="宋体" w:hAnsi="宋体" w:eastAsia="宋体" w:cs="宋体"/>
          <w:color w:val="auto"/>
          <w:sz w:val="21"/>
          <w:szCs w:val="21"/>
          <w:highlight w:val="none"/>
        </w:rPr>
        <w:t>甲方指派负责人为：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，公民身份号码：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，联系邮箱</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接收往来函件）：</w:t>
      </w:r>
      <w:r>
        <w:rPr>
          <w:rFonts w:hint="eastAsia" w:ascii="宋体" w:hAnsi="宋体" w:eastAsia="宋体" w:cs="宋体"/>
          <w:color w:val="auto"/>
          <w:sz w:val="21"/>
          <w:szCs w:val="21"/>
          <w:highlight w:val="none"/>
          <w:u w:val="single"/>
        </w:rPr>
        <w:t xml:space="preserve">           </w:t>
      </w:r>
    </w:p>
    <w:p w14:paraId="22314EAD">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233" w:name="_Toc432755149"/>
      <w:r>
        <w:rPr>
          <w:rFonts w:hint="eastAsia" w:ascii="宋体" w:hAnsi="宋体" w:eastAsia="宋体" w:cs="宋体"/>
          <w:b/>
          <w:color w:val="auto"/>
          <w:kern w:val="2"/>
          <w:sz w:val="21"/>
          <w:szCs w:val="21"/>
          <w:highlight w:val="none"/>
          <w:lang w:val="en-US" w:eastAsia="zh-CN" w:bidi="ar-SA"/>
        </w:rPr>
        <w:t>6.7其他义务</w:t>
      </w:r>
      <w:bookmarkEnd w:id="233"/>
    </w:p>
    <w:p w14:paraId="455F6DEB">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甲方应履行合同约定的其他义务：</w:t>
      </w:r>
      <w:r>
        <w:rPr>
          <w:rFonts w:hint="eastAsia" w:ascii="宋体" w:hAnsi="宋体" w:eastAsia="宋体" w:cs="宋体"/>
          <w:color w:val="auto"/>
          <w:sz w:val="21"/>
          <w:szCs w:val="21"/>
          <w:highlight w:val="none"/>
          <w:u w:val="single"/>
        </w:rPr>
        <w:t xml:space="preserve">                    </w:t>
      </w:r>
    </w:p>
    <w:p w14:paraId="331C19C8">
      <w:pPr>
        <w:keepNext w:val="0"/>
        <w:keepLines w:val="0"/>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234" w:name="_Toc432755150"/>
      <w:r>
        <w:rPr>
          <w:rFonts w:hint="eastAsia" w:ascii="宋体" w:hAnsi="宋体" w:eastAsia="宋体" w:cs="宋体"/>
          <w:b w:val="0"/>
          <w:color w:val="auto"/>
          <w:kern w:val="2"/>
          <w:sz w:val="21"/>
          <w:szCs w:val="21"/>
          <w:highlight w:val="none"/>
          <w:lang w:val="en-US" w:eastAsia="zh-CN" w:bidi="ar-SA"/>
        </w:rPr>
        <w:t>第七条  乙方义务</w:t>
      </w:r>
      <w:bookmarkEnd w:id="234"/>
    </w:p>
    <w:p w14:paraId="33E8E0CA">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bookmarkStart w:id="235" w:name="_Toc432755151"/>
      <w:r>
        <w:rPr>
          <w:rFonts w:hint="eastAsia" w:ascii="宋体" w:hAnsi="宋体" w:eastAsia="宋体" w:cs="宋体"/>
          <w:b/>
          <w:color w:val="auto"/>
          <w:kern w:val="2"/>
          <w:sz w:val="21"/>
          <w:szCs w:val="21"/>
          <w:highlight w:val="none"/>
          <w:lang w:val="en-US" w:eastAsia="zh-CN" w:bidi="ar-SA"/>
        </w:rPr>
        <w:t>7.2在代建周期内承担建设单位的义务和责任</w:t>
      </w:r>
    </w:p>
    <w:p w14:paraId="4E98C275">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7.2.9</w:t>
      </w:r>
      <w:r>
        <w:rPr>
          <w:rFonts w:hint="eastAsia" w:ascii="宋体" w:hAnsi="宋体" w:eastAsia="宋体" w:cs="宋体"/>
          <w:color w:val="auto"/>
          <w:sz w:val="21"/>
          <w:szCs w:val="21"/>
          <w:highlight w:val="none"/>
        </w:rPr>
        <w:t>在项目实施过程中落实合理化建议及技术创新包括：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5DA3A926">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b/>
          <w:color w:val="auto"/>
          <w:sz w:val="21"/>
          <w:szCs w:val="21"/>
          <w:highlight w:val="none"/>
        </w:rPr>
        <w:t>7.2.10</w:t>
      </w:r>
      <w:r>
        <w:rPr>
          <w:rFonts w:hint="eastAsia" w:ascii="宋体" w:hAnsi="宋体" w:eastAsia="宋体" w:cs="宋体"/>
          <w:color w:val="auto"/>
          <w:sz w:val="21"/>
          <w:szCs w:val="21"/>
          <w:highlight w:val="none"/>
        </w:rPr>
        <w:t xml:space="preserve"> 实体移交证书颁发后，乙方仍应配合甲方做好有关工作，包括</w:t>
      </w:r>
      <w:r>
        <w:rPr>
          <w:rFonts w:hint="eastAsia" w:ascii="宋体" w:hAnsi="宋体" w:eastAsia="宋体" w:cs="宋体"/>
          <w:color w:val="auto"/>
          <w:sz w:val="21"/>
          <w:szCs w:val="21"/>
          <w:highlight w:val="none"/>
          <w:u w:val="single"/>
        </w:rPr>
        <w:t xml:space="preserve">                                </w:t>
      </w:r>
    </w:p>
    <w:p w14:paraId="7E1971BC">
      <w:pPr>
        <w:pageBreakBefore w:val="0"/>
        <w:widowControl w:val="0"/>
        <w:kinsoku/>
        <w:wordWrap/>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7.2.11</w:t>
      </w:r>
      <w:r>
        <w:rPr>
          <w:rFonts w:hint="eastAsia" w:ascii="宋体" w:hAnsi="宋体" w:eastAsia="宋体" w:cs="宋体"/>
          <w:color w:val="auto"/>
          <w:sz w:val="21"/>
          <w:szCs w:val="21"/>
          <w:highlight w:val="none"/>
        </w:rPr>
        <w:t>缺陷责任期设定时间应为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一般不超过2年），保修期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分部分项工程）</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分部分项工程）</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p>
    <w:p w14:paraId="613A2AF4">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同时在与有关专业单位签订的合同中应明确：实体移交证书颁发后，发包人权力转由项目使用单位行使，剩余的质量保证金或质量保函同时转交项目使用单位。</w:t>
      </w:r>
    </w:p>
    <w:p w14:paraId="0779452B">
      <w:pPr>
        <w:keepNext/>
        <w:keepLines/>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5"/>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7.3乙方人员的管理</w:t>
      </w:r>
      <w:bookmarkEnd w:id="235"/>
    </w:p>
    <w:p w14:paraId="2B11CD64">
      <w:pPr>
        <w:pageBreakBefore w:val="0"/>
        <w:widowControl w:val="0"/>
        <w:kinsoku/>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7.3.1</w:t>
      </w:r>
      <w:r>
        <w:rPr>
          <w:rFonts w:hint="eastAsia" w:ascii="宋体" w:hAnsi="宋体" w:eastAsia="宋体" w:cs="宋体"/>
          <w:color w:val="auto"/>
          <w:sz w:val="21"/>
          <w:szCs w:val="21"/>
          <w:highlight w:val="none"/>
        </w:rPr>
        <w:t>乙方代建管理团队人员</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与招标文件、投标文件一致）：</w:t>
      </w:r>
    </w:p>
    <w:tbl>
      <w:tblPr>
        <w:tblStyle w:val="43"/>
        <w:tblW w:w="9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1282"/>
        <w:gridCol w:w="984"/>
        <w:gridCol w:w="1166"/>
        <w:gridCol w:w="2212"/>
        <w:gridCol w:w="1418"/>
        <w:gridCol w:w="1134"/>
      </w:tblGrid>
      <w:tr w14:paraId="5D14A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blHeader/>
          <w:jc w:val="center"/>
        </w:trPr>
        <w:tc>
          <w:tcPr>
            <w:tcW w:w="869" w:type="dxa"/>
            <w:noWrap w:val="0"/>
            <w:vAlign w:val="center"/>
          </w:tcPr>
          <w:p w14:paraId="2E2EF40C">
            <w:pPr>
              <w:pageBreakBefore w:val="0"/>
              <w:widowControl w:val="0"/>
              <w:kinsoku/>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姓名</w:t>
            </w:r>
          </w:p>
        </w:tc>
        <w:tc>
          <w:tcPr>
            <w:tcW w:w="1282" w:type="dxa"/>
            <w:tcBorders>
              <w:bottom w:val="single" w:color="auto" w:sz="8" w:space="0"/>
            </w:tcBorders>
            <w:noWrap w:val="0"/>
            <w:vAlign w:val="center"/>
          </w:tcPr>
          <w:p w14:paraId="6F01BE79">
            <w:pPr>
              <w:pageBreakBefore w:val="0"/>
              <w:widowControl w:val="0"/>
              <w:tabs>
                <w:tab w:val="left" w:pos="-112"/>
              </w:tabs>
              <w:kinsoku/>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拟任岗位名称</w:t>
            </w:r>
          </w:p>
        </w:tc>
        <w:tc>
          <w:tcPr>
            <w:tcW w:w="984" w:type="dxa"/>
            <w:tcBorders>
              <w:bottom w:val="single" w:color="auto" w:sz="8" w:space="0"/>
            </w:tcBorders>
            <w:noWrap w:val="0"/>
            <w:vAlign w:val="center"/>
          </w:tcPr>
          <w:p w14:paraId="73D66A97">
            <w:pPr>
              <w:pageBreakBefore w:val="0"/>
              <w:widowControl w:val="0"/>
              <w:kinsoku/>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身份证号</w:t>
            </w:r>
          </w:p>
        </w:tc>
        <w:tc>
          <w:tcPr>
            <w:tcW w:w="1166" w:type="dxa"/>
            <w:tcBorders>
              <w:bottom w:val="single" w:color="auto" w:sz="8" w:space="0"/>
            </w:tcBorders>
            <w:noWrap w:val="0"/>
            <w:vAlign w:val="center"/>
          </w:tcPr>
          <w:p w14:paraId="16691F2F">
            <w:pPr>
              <w:pageBreakBefore w:val="0"/>
              <w:widowControl w:val="0"/>
              <w:kinsoku/>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是否常驻现场</w:t>
            </w:r>
          </w:p>
        </w:tc>
        <w:tc>
          <w:tcPr>
            <w:tcW w:w="2212" w:type="dxa"/>
            <w:tcBorders>
              <w:bottom w:val="single" w:color="auto" w:sz="8" w:space="0"/>
            </w:tcBorders>
            <w:noWrap w:val="0"/>
            <w:vAlign w:val="center"/>
          </w:tcPr>
          <w:p w14:paraId="7180C430">
            <w:pPr>
              <w:pageBreakBefore w:val="0"/>
              <w:widowControl w:val="0"/>
              <w:kinsoku/>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是否承担本项目代建以外工作</w:t>
            </w:r>
          </w:p>
        </w:tc>
        <w:tc>
          <w:tcPr>
            <w:tcW w:w="1418" w:type="dxa"/>
            <w:tcBorders>
              <w:bottom w:val="single" w:color="auto" w:sz="8" w:space="0"/>
            </w:tcBorders>
            <w:noWrap w:val="0"/>
            <w:vAlign w:val="center"/>
          </w:tcPr>
          <w:p w14:paraId="49F5D863">
            <w:pPr>
              <w:pageBreakBefore w:val="0"/>
              <w:widowControl w:val="0"/>
              <w:kinsoku/>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是否可能变更</w:t>
            </w:r>
          </w:p>
        </w:tc>
        <w:tc>
          <w:tcPr>
            <w:tcW w:w="1134" w:type="dxa"/>
            <w:tcBorders>
              <w:bottom w:val="single" w:color="auto" w:sz="8" w:space="0"/>
            </w:tcBorders>
            <w:noWrap w:val="0"/>
            <w:vAlign w:val="center"/>
          </w:tcPr>
          <w:p w14:paraId="795DC765">
            <w:pPr>
              <w:pageBreakBefore w:val="0"/>
              <w:widowControl w:val="0"/>
              <w:kinsoku/>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备注</w:t>
            </w:r>
          </w:p>
        </w:tc>
      </w:tr>
      <w:tr w14:paraId="08911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69" w:type="dxa"/>
            <w:noWrap w:val="0"/>
            <w:vAlign w:val="center"/>
          </w:tcPr>
          <w:p w14:paraId="3D29D9A4">
            <w:pPr>
              <w:pageBreakBefore w:val="0"/>
              <w:widowControl w:val="0"/>
              <w:kinsoku/>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rPr>
            </w:pPr>
          </w:p>
        </w:tc>
        <w:tc>
          <w:tcPr>
            <w:tcW w:w="1282" w:type="dxa"/>
            <w:noWrap w:val="0"/>
            <w:vAlign w:val="center"/>
          </w:tcPr>
          <w:p w14:paraId="11C32A80">
            <w:pPr>
              <w:pageBreakBefore w:val="0"/>
              <w:widowControl w:val="0"/>
              <w:kinsoku/>
              <w:topLinePunct w:val="0"/>
              <w:autoSpaceDE/>
              <w:autoSpaceDN/>
              <w:bidi w:val="0"/>
              <w:spacing w:line="400" w:lineRule="exact"/>
              <w:jc w:val="left"/>
              <w:textAlignment w:val="auto"/>
              <w:rPr>
                <w:rFonts w:hint="eastAsia" w:ascii="宋体" w:hAnsi="宋体" w:eastAsia="宋体" w:cs="宋体"/>
                <w:color w:val="auto"/>
                <w:sz w:val="21"/>
                <w:szCs w:val="21"/>
                <w:highlight w:val="none"/>
              </w:rPr>
            </w:pPr>
          </w:p>
        </w:tc>
        <w:tc>
          <w:tcPr>
            <w:tcW w:w="984" w:type="dxa"/>
            <w:noWrap w:val="0"/>
            <w:vAlign w:val="center"/>
          </w:tcPr>
          <w:p w14:paraId="7A0E7FC6">
            <w:pPr>
              <w:pageBreakBefore w:val="0"/>
              <w:widowControl w:val="0"/>
              <w:kinsoku/>
              <w:topLinePunct w:val="0"/>
              <w:autoSpaceDE/>
              <w:autoSpaceDN/>
              <w:bidi w:val="0"/>
              <w:spacing w:line="400" w:lineRule="exact"/>
              <w:jc w:val="left"/>
              <w:textAlignment w:val="auto"/>
              <w:rPr>
                <w:rFonts w:hint="eastAsia" w:ascii="宋体" w:hAnsi="宋体" w:eastAsia="宋体" w:cs="宋体"/>
                <w:color w:val="auto"/>
                <w:sz w:val="21"/>
                <w:szCs w:val="21"/>
                <w:highlight w:val="none"/>
              </w:rPr>
            </w:pPr>
          </w:p>
        </w:tc>
        <w:tc>
          <w:tcPr>
            <w:tcW w:w="1166" w:type="dxa"/>
            <w:noWrap w:val="0"/>
            <w:vAlign w:val="center"/>
          </w:tcPr>
          <w:p w14:paraId="78E0ED68">
            <w:pPr>
              <w:pageBreakBefore w:val="0"/>
              <w:widowControl w:val="0"/>
              <w:kinsoku/>
              <w:topLinePunct w:val="0"/>
              <w:autoSpaceDE/>
              <w:autoSpaceDN/>
              <w:bidi w:val="0"/>
              <w:adjustRightInd w:val="0"/>
              <w:snapToGrid w:val="0"/>
              <w:spacing w:line="400" w:lineRule="exact"/>
              <w:jc w:val="center"/>
              <w:textAlignment w:val="auto"/>
              <w:rPr>
                <w:rFonts w:hint="eastAsia" w:ascii="宋体" w:hAnsi="宋体" w:eastAsia="宋体" w:cs="宋体"/>
                <w:b/>
                <w:snapToGrid w:val="0"/>
                <w:color w:val="auto"/>
                <w:kern w:val="0"/>
                <w:sz w:val="21"/>
                <w:szCs w:val="21"/>
                <w:highlight w:val="none"/>
              </w:rPr>
            </w:pPr>
          </w:p>
        </w:tc>
        <w:tc>
          <w:tcPr>
            <w:tcW w:w="2212" w:type="dxa"/>
            <w:noWrap w:val="0"/>
            <w:vAlign w:val="center"/>
          </w:tcPr>
          <w:p w14:paraId="5D79A72E">
            <w:pPr>
              <w:pageBreakBefore w:val="0"/>
              <w:widowControl w:val="0"/>
              <w:kinsoku/>
              <w:topLinePunct w:val="0"/>
              <w:autoSpaceDE/>
              <w:autoSpaceDN/>
              <w:bidi w:val="0"/>
              <w:adjustRightInd w:val="0"/>
              <w:snapToGrid w:val="0"/>
              <w:spacing w:line="400" w:lineRule="exact"/>
              <w:jc w:val="left"/>
              <w:textAlignment w:val="auto"/>
              <w:rPr>
                <w:rFonts w:hint="eastAsia" w:ascii="宋体" w:hAnsi="宋体" w:eastAsia="宋体" w:cs="宋体"/>
                <w:color w:val="auto"/>
                <w:sz w:val="21"/>
                <w:szCs w:val="21"/>
                <w:highlight w:val="none"/>
              </w:rPr>
            </w:pPr>
          </w:p>
        </w:tc>
        <w:tc>
          <w:tcPr>
            <w:tcW w:w="1418" w:type="dxa"/>
            <w:noWrap w:val="0"/>
            <w:vAlign w:val="center"/>
          </w:tcPr>
          <w:p w14:paraId="7B37454A">
            <w:pPr>
              <w:pageBreakBefore w:val="0"/>
              <w:widowControl w:val="0"/>
              <w:kinsoku/>
              <w:topLinePunct w:val="0"/>
              <w:autoSpaceDE/>
              <w:autoSpaceDN/>
              <w:bidi w:val="0"/>
              <w:adjustRightInd w:val="0"/>
              <w:snapToGrid w:val="0"/>
              <w:spacing w:line="400" w:lineRule="exact"/>
              <w:jc w:val="left"/>
              <w:textAlignment w:val="auto"/>
              <w:rPr>
                <w:rFonts w:hint="eastAsia" w:ascii="宋体" w:hAnsi="宋体" w:eastAsia="宋体" w:cs="宋体"/>
                <w:snapToGrid w:val="0"/>
                <w:color w:val="auto"/>
                <w:kern w:val="0"/>
                <w:sz w:val="21"/>
                <w:szCs w:val="21"/>
                <w:highlight w:val="none"/>
              </w:rPr>
            </w:pPr>
          </w:p>
        </w:tc>
        <w:tc>
          <w:tcPr>
            <w:tcW w:w="1134" w:type="dxa"/>
            <w:noWrap w:val="0"/>
            <w:vAlign w:val="center"/>
          </w:tcPr>
          <w:p w14:paraId="4CAB6B4D">
            <w:pPr>
              <w:pageBreakBefore w:val="0"/>
              <w:widowControl w:val="0"/>
              <w:kinsoku/>
              <w:topLinePunct w:val="0"/>
              <w:autoSpaceDE/>
              <w:autoSpaceDN/>
              <w:bidi w:val="0"/>
              <w:adjustRightInd w:val="0"/>
              <w:snapToGrid w:val="0"/>
              <w:spacing w:line="400" w:lineRule="exact"/>
              <w:jc w:val="left"/>
              <w:textAlignment w:val="auto"/>
              <w:rPr>
                <w:rFonts w:hint="eastAsia" w:ascii="宋体" w:hAnsi="宋体" w:eastAsia="宋体" w:cs="宋体"/>
                <w:snapToGrid w:val="0"/>
                <w:color w:val="auto"/>
                <w:kern w:val="0"/>
                <w:sz w:val="21"/>
                <w:szCs w:val="21"/>
                <w:highlight w:val="none"/>
              </w:rPr>
            </w:pPr>
          </w:p>
        </w:tc>
      </w:tr>
      <w:tr w14:paraId="7ED7F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9" w:type="dxa"/>
            <w:noWrap w:val="0"/>
            <w:vAlign w:val="center"/>
          </w:tcPr>
          <w:p w14:paraId="7B52D570">
            <w:pPr>
              <w:pageBreakBefore w:val="0"/>
              <w:widowControl w:val="0"/>
              <w:kinsoku/>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rPr>
            </w:pPr>
          </w:p>
        </w:tc>
        <w:tc>
          <w:tcPr>
            <w:tcW w:w="1282" w:type="dxa"/>
            <w:noWrap w:val="0"/>
            <w:vAlign w:val="center"/>
          </w:tcPr>
          <w:p w14:paraId="31FF83A1">
            <w:pPr>
              <w:pageBreakBefore w:val="0"/>
              <w:widowControl w:val="0"/>
              <w:kinsoku/>
              <w:topLinePunct w:val="0"/>
              <w:autoSpaceDE/>
              <w:autoSpaceDN/>
              <w:bidi w:val="0"/>
              <w:spacing w:line="400" w:lineRule="exact"/>
              <w:jc w:val="left"/>
              <w:textAlignment w:val="auto"/>
              <w:rPr>
                <w:rFonts w:hint="eastAsia" w:ascii="宋体" w:hAnsi="宋体" w:eastAsia="宋体" w:cs="宋体"/>
                <w:color w:val="auto"/>
                <w:sz w:val="21"/>
                <w:szCs w:val="21"/>
                <w:highlight w:val="none"/>
              </w:rPr>
            </w:pPr>
          </w:p>
        </w:tc>
        <w:tc>
          <w:tcPr>
            <w:tcW w:w="984" w:type="dxa"/>
            <w:noWrap w:val="0"/>
            <w:vAlign w:val="center"/>
          </w:tcPr>
          <w:p w14:paraId="5B4E4FDD">
            <w:pPr>
              <w:pageBreakBefore w:val="0"/>
              <w:widowControl w:val="0"/>
              <w:kinsoku/>
              <w:topLinePunct w:val="0"/>
              <w:autoSpaceDE/>
              <w:autoSpaceDN/>
              <w:bidi w:val="0"/>
              <w:spacing w:line="400" w:lineRule="exact"/>
              <w:jc w:val="left"/>
              <w:textAlignment w:val="auto"/>
              <w:rPr>
                <w:rFonts w:hint="eastAsia" w:ascii="宋体" w:hAnsi="宋体" w:eastAsia="宋体" w:cs="宋体"/>
                <w:color w:val="auto"/>
                <w:sz w:val="21"/>
                <w:szCs w:val="21"/>
                <w:highlight w:val="none"/>
              </w:rPr>
            </w:pPr>
          </w:p>
        </w:tc>
        <w:tc>
          <w:tcPr>
            <w:tcW w:w="1166" w:type="dxa"/>
            <w:noWrap w:val="0"/>
            <w:vAlign w:val="center"/>
          </w:tcPr>
          <w:p w14:paraId="5282E926">
            <w:pPr>
              <w:pageBreakBefore w:val="0"/>
              <w:widowControl w:val="0"/>
              <w:kinsoku/>
              <w:topLinePunct w:val="0"/>
              <w:autoSpaceDE/>
              <w:autoSpaceDN/>
              <w:bidi w:val="0"/>
              <w:adjustRightInd w:val="0"/>
              <w:snapToGrid w:val="0"/>
              <w:spacing w:line="400" w:lineRule="exact"/>
              <w:jc w:val="center"/>
              <w:textAlignment w:val="auto"/>
              <w:rPr>
                <w:rFonts w:hint="eastAsia" w:ascii="宋体" w:hAnsi="宋体" w:eastAsia="宋体" w:cs="宋体"/>
                <w:b/>
                <w:snapToGrid w:val="0"/>
                <w:color w:val="auto"/>
                <w:kern w:val="0"/>
                <w:sz w:val="21"/>
                <w:szCs w:val="21"/>
                <w:highlight w:val="none"/>
              </w:rPr>
            </w:pPr>
          </w:p>
        </w:tc>
        <w:tc>
          <w:tcPr>
            <w:tcW w:w="2212" w:type="dxa"/>
            <w:noWrap w:val="0"/>
            <w:vAlign w:val="center"/>
          </w:tcPr>
          <w:p w14:paraId="261D6214">
            <w:pPr>
              <w:pageBreakBefore w:val="0"/>
              <w:widowControl w:val="0"/>
              <w:kinsoku/>
              <w:topLinePunct w:val="0"/>
              <w:autoSpaceDE/>
              <w:autoSpaceDN/>
              <w:bidi w:val="0"/>
              <w:adjustRightInd w:val="0"/>
              <w:snapToGrid w:val="0"/>
              <w:spacing w:line="400" w:lineRule="exact"/>
              <w:jc w:val="left"/>
              <w:textAlignment w:val="auto"/>
              <w:rPr>
                <w:rFonts w:hint="eastAsia" w:ascii="宋体" w:hAnsi="宋体" w:eastAsia="宋体" w:cs="宋体"/>
                <w:color w:val="auto"/>
                <w:sz w:val="21"/>
                <w:szCs w:val="21"/>
                <w:highlight w:val="none"/>
              </w:rPr>
            </w:pPr>
          </w:p>
        </w:tc>
        <w:tc>
          <w:tcPr>
            <w:tcW w:w="1418" w:type="dxa"/>
            <w:noWrap w:val="0"/>
            <w:vAlign w:val="center"/>
          </w:tcPr>
          <w:p w14:paraId="58295E29">
            <w:pPr>
              <w:pageBreakBefore w:val="0"/>
              <w:widowControl w:val="0"/>
              <w:kinsoku/>
              <w:topLinePunct w:val="0"/>
              <w:autoSpaceDE/>
              <w:autoSpaceDN/>
              <w:bidi w:val="0"/>
              <w:adjustRightInd w:val="0"/>
              <w:snapToGrid w:val="0"/>
              <w:spacing w:line="400" w:lineRule="exact"/>
              <w:jc w:val="left"/>
              <w:textAlignment w:val="auto"/>
              <w:rPr>
                <w:rFonts w:hint="eastAsia" w:ascii="宋体" w:hAnsi="宋体" w:eastAsia="宋体" w:cs="宋体"/>
                <w:snapToGrid w:val="0"/>
                <w:color w:val="auto"/>
                <w:kern w:val="0"/>
                <w:sz w:val="21"/>
                <w:szCs w:val="21"/>
                <w:highlight w:val="none"/>
              </w:rPr>
            </w:pPr>
          </w:p>
        </w:tc>
        <w:tc>
          <w:tcPr>
            <w:tcW w:w="1134" w:type="dxa"/>
            <w:noWrap w:val="0"/>
            <w:vAlign w:val="center"/>
          </w:tcPr>
          <w:p w14:paraId="2BED0FF1">
            <w:pPr>
              <w:pageBreakBefore w:val="0"/>
              <w:widowControl w:val="0"/>
              <w:kinsoku/>
              <w:topLinePunct w:val="0"/>
              <w:autoSpaceDE/>
              <w:autoSpaceDN/>
              <w:bidi w:val="0"/>
              <w:adjustRightInd w:val="0"/>
              <w:snapToGrid w:val="0"/>
              <w:spacing w:line="400" w:lineRule="exact"/>
              <w:jc w:val="left"/>
              <w:textAlignment w:val="auto"/>
              <w:rPr>
                <w:rFonts w:hint="eastAsia" w:ascii="宋体" w:hAnsi="宋体" w:eastAsia="宋体" w:cs="宋体"/>
                <w:snapToGrid w:val="0"/>
                <w:color w:val="auto"/>
                <w:kern w:val="0"/>
                <w:sz w:val="21"/>
                <w:szCs w:val="21"/>
                <w:highlight w:val="none"/>
              </w:rPr>
            </w:pPr>
          </w:p>
        </w:tc>
      </w:tr>
      <w:tr w14:paraId="67823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9" w:type="dxa"/>
            <w:noWrap w:val="0"/>
            <w:vAlign w:val="center"/>
          </w:tcPr>
          <w:p w14:paraId="4EE3CDFC">
            <w:pPr>
              <w:pageBreakBefore w:val="0"/>
              <w:widowControl w:val="0"/>
              <w:kinsoku/>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rPr>
            </w:pPr>
          </w:p>
        </w:tc>
        <w:tc>
          <w:tcPr>
            <w:tcW w:w="1282" w:type="dxa"/>
            <w:noWrap w:val="0"/>
            <w:vAlign w:val="center"/>
          </w:tcPr>
          <w:p w14:paraId="1CF0B9BE">
            <w:pPr>
              <w:pageBreakBefore w:val="0"/>
              <w:widowControl w:val="0"/>
              <w:kinsoku/>
              <w:topLinePunct w:val="0"/>
              <w:autoSpaceDE/>
              <w:autoSpaceDN/>
              <w:bidi w:val="0"/>
              <w:spacing w:line="400" w:lineRule="exact"/>
              <w:jc w:val="left"/>
              <w:textAlignment w:val="auto"/>
              <w:rPr>
                <w:rFonts w:hint="eastAsia" w:ascii="宋体" w:hAnsi="宋体" w:eastAsia="宋体" w:cs="宋体"/>
                <w:color w:val="auto"/>
                <w:sz w:val="21"/>
                <w:szCs w:val="21"/>
                <w:highlight w:val="none"/>
              </w:rPr>
            </w:pPr>
          </w:p>
        </w:tc>
        <w:tc>
          <w:tcPr>
            <w:tcW w:w="984" w:type="dxa"/>
            <w:noWrap w:val="0"/>
            <w:vAlign w:val="center"/>
          </w:tcPr>
          <w:p w14:paraId="6A81786F">
            <w:pPr>
              <w:pageBreakBefore w:val="0"/>
              <w:widowControl w:val="0"/>
              <w:kinsoku/>
              <w:topLinePunct w:val="0"/>
              <w:autoSpaceDE/>
              <w:autoSpaceDN/>
              <w:bidi w:val="0"/>
              <w:spacing w:line="400" w:lineRule="exact"/>
              <w:jc w:val="left"/>
              <w:textAlignment w:val="auto"/>
              <w:rPr>
                <w:rFonts w:hint="eastAsia" w:ascii="宋体" w:hAnsi="宋体" w:eastAsia="宋体" w:cs="宋体"/>
                <w:color w:val="auto"/>
                <w:sz w:val="21"/>
                <w:szCs w:val="21"/>
                <w:highlight w:val="none"/>
              </w:rPr>
            </w:pPr>
          </w:p>
        </w:tc>
        <w:tc>
          <w:tcPr>
            <w:tcW w:w="1166" w:type="dxa"/>
            <w:noWrap w:val="0"/>
            <w:vAlign w:val="center"/>
          </w:tcPr>
          <w:p w14:paraId="6A107F93">
            <w:pPr>
              <w:pageBreakBefore w:val="0"/>
              <w:widowControl w:val="0"/>
              <w:kinsoku/>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rPr>
            </w:pPr>
          </w:p>
        </w:tc>
        <w:tc>
          <w:tcPr>
            <w:tcW w:w="2212" w:type="dxa"/>
            <w:noWrap w:val="0"/>
            <w:vAlign w:val="center"/>
          </w:tcPr>
          <w:p w14:paraId="416EF65C">
            <w:pPr>
              <w:pageBreakBefore w:val="0"/>
              <w:widowControl w:val="0"/>
              <w:kinsoku/>
              <w:topLinePunct w:val="0"/>
              <w:autoSpaceDE/>
              <w:autoSpaceDN/>
              <w:bidi w:val="0"/>
              <w:adjustRightInd w:val="0"/>
              <w:snapToGrid w:val="0"/>
              <w:spacing w:line="400" w:lineRule="exact"/>
              <w:jc w:val="left"/>
              <w:textAlignment w:val="auto"/>
              <w:rPr>
                <w:rFonts w:hint="eastAsia" w:ascii="宋体" w:hAnsi="宋体" w:eastAsia="宋体" w:cs="宋体"/>
                <w:snapToGrid w:val="0"/>
                <w:color w:val="auto"/>
                <w:kern w:val="0"/>
                <w:sz w:val="21"/>
                <w:szCs w:val="21"/>
                <w:highlight w:val="none"/>
              </w:rPr>
            </w:pPr>
          </w:p>
        </w:tc>
        <w:tc>
          <w:tcPr>
            <w:tcW w:w="1418" w:type="dxa"/>
            <w:noWrap w:val="0"/>
            <w:vAlign w:val="center"/>
          </w:tcPr>
          <w:p w14:paraId="2E9326F5">
            <w:pPr>
              <w:pageBreakBefore w:val="0"/>
              <w:widowControl w:val="0"/>
              <w:kinsoku/>
              <w:topLinePunct w:val="0"/>
              <w:autoSpaceDE/>
              <w:autoSpaceDN/>
              <w:bidi w:val="0"/>
              <w:adjustRightInd w:val="0"/>
              <w:snapToGrid w:val="0"/>
              <w:spacing w:line="400" w:lineRule="exact"/>
              <w:jc w:val="left"/>
              <w:textAlignment w:val="auto"/>
              <w:rPr>
                <w:rFonts w:hint="eastAsia" w:ascii="宋体" w:hAnsi="宋体" w:eastAsia="宋体" w:cs="宋体"/>
                <w:snapToGrid w:val="0"/>
                <w:color w:val="auto"/>
                <w:kern w:val="0"/>
                <w:sz w:val="21"/>
                <w:szCs w:val="21"/>
                <w:highlight w:val="none"/>
              </w:rPr>
            </w:pPr>
          </w:p>
        </w:tc>
        <w:tc>
          <w:tcPr>
            <w:tcW w:w="1134" w:type="dxa"/>
            <w:noWrap w:val="0"/>
            <w:vAlign w:val="center"/>
          </w:tcPr>
          <w:p w14:paraId="04FDFA91">
            <w:pPr>
              <w:pageBreakBefore w:val="0"/>
              <w:widowControl w:val="0"/>
              <w:kinsoku/>
              <w:topLinePunct w:val="0"/>
              <w:autoSpaceDE/>
              <w:autoSpaceDN/>
              <w:bidi w:val="0"/>
              <w:adjustRightInd w:val="0"/>
              <w:snapToGrid w:val="0"/>
              <w:spacing w:line="400" w:lineRule="exact"/>
              <w:jc w:val="left"/>
              <w:textAlignment w:val="auto"/>
              <w:rPr>
                <w:rFonts w:hint="eastAsia" w:ascii="宋体" w:hAnsi="宋体" w:eastAsia="宋体" w:cs="宋体"/>
                <w:snapToGrid w:val="0"/>
                <w:color w:val="auto"/>
                <w:kern w:val="0"/>
                <w:sz w:val="21"/>
                <w:szCs w:val="21"/>
                <w:highlight w:val="none"/>
              </w:rPr>
            </w:pPr>
          </w:p>
        </w:tc>
      </w:tr>
      <w:tr w14:paraId="2574A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69" w:type="dxa"/>
            <w:noWrap w:val="0"/>
            <w:vAlign w:val="center"/>
          </w:tcPr>
          <w:p w14:paraId="5D3671F3">
            <w:pPr>
              <w:pageBreakBefore w:val="0"/>
              <w:widowControl w:val="0"/>
              <w:kinsoku/>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rPr>
            </w:pPr>
          </w:p>
        </w:tc>
        <w:tc>
          <w:tcPr>
            <w:tcW w:w="1282" w:type="dxa"/>
            <w:tcBorders>
              <w:bottom w:val="single" w:color="auto" w:sz="8" w:space="0"/>
            </w:tcBorders>
            <w:noWrap w:val="0"/>
            <w:vAlign w:val="center"/>
          </w:tcPr>
          <w:p w14:paraId="108F0C38">
            <w:pPr>
              <w:pageBreakBefore w:val="0"/>
              <w:widowControl w:val="0"/>
              <w:kinsoku/>
              <w:topLinePunct w:val="0"/>
              <w:autoSpaceDE/>
              <w:autoSpaceDN/>
              <w:bidi w:val="0"/>
              <w:spacing w:line="400" w:lineRule="exact"/>
              <w:jc w:val="left"/>
              <w:textAlignment w:val="auto"/>
              <w:rPr>
                <w:rFonts w:hint="eastAsia" w:ascii="宋体" w:hAnsi="宋体" w:eastAsia="宋体" w:cs="宋体"/>
                <w:color w:val="auto"/>
                <w:sz w:val="21"/>
                <w:szCs w:val="21"/>
                <w:highlight w:val="none"/>
              </w:rPr>
            </w:pPr>
          </w:p>
        </w:tc>
        <w:tc>
          <w:tcPr>
            <w:tcW w:w="984" w:type="dxa"/>
            <w:tcBorders>
              <w:bottom w:val="single" w:color="auto" w:sz="8" w:space="0"/>
            </w:tcBorders>
            <w:noWrap w:val="0"/>
            <w:vAlign w:val="center"/>
          </w:tcPr>
          <w:p w14:paraId="349D42DE">
            <w:pPr>
              <w:pageBreakBefore w:val="0"/>
              <w:widowControl w:val="0"/>
              <w:kinsoku/>
              <w:topLinePunct w:val="0"/>
              <w:autoSpaceDE/>
              <w:autoSpaceDN/>
              <w:bidi w:val="0"/>
              <w:spacing w:line="400" w:lineRule="exact"/>
              <w:jc w:val="left"/>
              <w:textAlignment w:val="auto"/>
              <w:rPr>
                <w:rFonts w:hint="eastAsia" w:ascii="宋体" w:hAnsi="宋体" w:eastAsia="宋体" w:cs="宋体"/>
                <w:color w:val="auto"/>
                <w:sz w:val="21"/>
                <w:szCs w:val="21"/>
                <w:highlight w:val="none"/>
              </w:rPr>
            </w:pPr>
          </w:p>
        </w:tc>
        <w:tc>
          <w:tcPr>
            <w:tcW w:w="1166" w:type="dxa"/>
            <w:tcBorders>
              <w:bottom w:val="single" w:color="auto" w:sz="8" w:space="0"/>
            </w:tcBorders>
            <w:noWrap w:val="0"/>
            <w:vAlign w:val="center"/>
          </w:tcPr>
          <w:p w14:paraId="405BCC47">
            <w:pPr>
              <w:pageBreakBefore w:val="0"/>
              <w:widowControl w:val="0"/>
              <w:kinsoku/>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rPr>
            </w:pPr>
          </w:p>
        </w:tc>
        <w:tc>
          <w:tcPr>
            <w:tcW w:w="2212" w:type="dxa"/>
            <w:tcBorders>
              <w:bottom w:val="single" w:color="auto" w:sz="8" w:space="0"/>
            </w:tcBorders>
            <w:noWrap w:val="0"/>
            <w:vAlign w:val="center"/>
          </w:tcPr>
          <w:p w14:paraId="1150DE78">
            <w:pPr>
              <w:pageBreakBefore w:val="0"/>
              <w:widowControl w:val="0"/>
              <w:kinsoku/>
              <w:topLinePunct w:val="0"/>
              <w:autoSpaceDE/>
              <w:autoSpaceDN/>
              <w:bidi w:val="0"/>
              <w:adjustRightInd w:val="0"/>
              <w:snapToGrid w:val="0"/>
              <w:spacing w:line="400" w:lineRule="exact"/>
              <w:jc w:val="left"/>
              <w:textAlignment w:val="auto"/>
              <w:rPr>
                <w:rFonts w:hint="eastAsia" w:ascii="宋体" w:hAnsi="宋体" w:eastAsia="宋体" w:cs="宋体"/>
                <w:snapToGrid w:val="0"/>
                <w:color w:val="auto"/>
                <w:kern w:val="0"/>
                <w:sz w:val="21"/>
                <w:szCs w:val="21"/>
                <w:highlight w:val="none"/>
              </w:rPr>
            </w:pPr>
          </w:p>
        </w:tc>
        <w:tc>
          <w:tcPr>
            <w:tcW w:w="1418" w:type="dxa"/>
            <w:tcBorders>
              <w:bottom w:val="single" w:color="auto" w:sz="8" w:space="0"/>
            </w:tcBorders>
            <w:noWrap w:val="0"/>
            <w:vAlign w:val="center"/>
          </w:tcPr>
          <w:p w14:paraId="7B8A2966">
            <w:pPr>
              <w:pageBreakBefore w:val="0"/>
              <w:widowControl w:val="0"/>
              <w:kinsoku/>
              <w:topLinePunct w:val="0"/>
              <w:autoSpaceDE/>
              <w:autoSpaceDN/>
              <w:bidi w:val="0"/>
              <w:adjustRightInd w:val="0"/>
              <w:snapToGrid w:val="0"/>
              <w:spacing w:line="400" w:lineRule="exact"/>
              <w:jc w:val="left"/>
              <w:textAlignment w:val="auto"/>
              <w:rPr>
                <w:rFonts w:hint="eastAsia" w:ascii="宋体" w:hAnsi="宋体" w:eastAsia="宋体" w:cs="宋体"/>
                <w:snapToGrid w:val="0"/>
                <w:color w:val="auto"/>
                <w:kern w:val="0"/>
                <w:sz w:val="21"/>
                <w:szCs w:val="21"/>
                <w:highlight w:val="none"/>
              </w:rPr>
            </w:pPr>
          </w:p>
        </w:tc>
        <w:tc>
          <w:tcPr>
            <w:tcW w:w="1134" w:type="dxa"/>
            <w:tcBorders>
              <w:bottom w:val="single" w:color="auto" w:sz="8" w:space="0"/>
            </w:tcBorders>
            <w:noWrap w:val="0"/>
            <w:vAlign w:val="center"/>
          </w:tcPr>
          <w:p w14:paraId="2D258CD6">
            <w:pPr>
              <w:pageBreakBefore w:val="0"/>
              <w:widowControl w:val="0"/>
              <w:kinsoku/>
              <w:topLinePunct w:val="0"/>
              <w:autoSpaceDE/>
              <w:autoSpaceDN/>
              <w:bidi w:val="0"/>
              <w:adjustRightInd w:val="0"/>
              <w:snapToGrid w:val="0"/>
              <w:spacing w:line="400" w:lineRule="exact"/>
              <w:jc w:val="left"/>
              <w:textAlignment w:val="auto"/>
              <w:rPr>
                <w:rFonts w:hint="eastAsia" w:ascii="宋体" w:hAnsi="宋体" w:eastAsia="宋体" w:cs="宋体"/>
                <w:snapToGrid w:val="0"/>
                <w:color w:val="auto"/>
                <w:kern w:val="0"/>
                <w:sz w:val="21"/>
                <w:szCs w:val="21"/>
                <w:highlight w:val="none"/>
              </w:rPr>
            </w:pPr>
          </w:p>
        </w:tc>
      </w:tr>
      <w:tr w14:paraId="05275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69" w:type="dxa"/>
            <w:noWrap w:val="0"/>
            <w:vAlign w:val="center"/>
          </w:tcPr>
          <w:p w14:paraId="7EEF533D">
            <w:pPr>
              <w:pageBreakBefore w:val="0"/>
              <w:widowControl w:val="0"/>
              <w:kinsoku/>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rPr>
            </w:pPr>
          </w:p>
        </w:tc>
        <w:tc>
          <w:tcPr>
            <w:tcW w:w="1282" w:type="dxa"/>
            <w:noWrap w:val="0"/>
            <w:vAlign w:val="center"/>
          </w:tcPr>
          <w:p w14:paraId="7AD573BF">
            <w:pPr>
              <w:pageBreakBefore w:val="0"/>
              <w:widowControl w:val="0"/>
              <w:kinsoku/>
              <w:topLinePunct w:val="0"/>
              <w:autoSpaceDE/>
              <w:autoSpaceDN/>
              <w:bidi w:val="0"/>
              <w:spacing w:line="400" w:lineRule="exact"/>
              <w:jc w:val="left"/>
              <w:textAlignment w:val="auto"/>
              <w:rPr>
                <w:rFonts w:hint="eastAsia" w:ascii="宋体" w:hAnsi="宋体" w:eastAsia="宋体" w:cs="宋体"/>
                <w:color w:val="auto"/>
                <w:sz w:val="21"/>
                <w:szCs w:val="21"/>
                <w:highlight w:val="none"/>
              </w:rPr>
            </w:pPr>
          </w:p>
        </w:tc>
        <w:tc>
          <w:tcPr>
            <w:tcW w:w="984" w:type="dxa"/>
            <w:noWrap w:val="0"/>
            <w:vAlign w:val="center"/>
          </w:tcPr>
          <w:p w14:paraId="4C0D97AE">
            <w:pPr>
              <w:pageBreakBefore w:val="0"/>
              <w:widowControl w:val="0"/>
              <w:kinsoku/>
              <w:topLinePunct w:val="0"/>
              <w:autoSpaceDE/>
              <w:autoSpaceDN/>
              <w:bidi w:val="0"/>
              <w:spacing w:line="400" w:lineRule="exact"/>
              <w:jc w:val="left"/>
              <w:textAlignment w:val="auto"/>
              <w:rPr>
                <w:rFonts w:hint="eastAsia" w:ascii="宋体" w:hAnsi="宋体" w:eastAsia="宋体" w:cs="宋体"/>
                <w:color w:val="auto"/>
                <w:sz w:val="21"/>
                <w:szCs w:val="21"/>
                <w:highlight w:val="none"/>
              </w:rPr>
            </w:pPr>
          </w:p>
        </w:tc>
        <w:tc>
          <w:tcPr>
            <w:tcW w:w="1166" w:type="dxa"/>
            <w:noWrap w:val="0"/>
            <w:vAlign w:val="center"/>
          </w:tcPr>
          <w:p w14:paraId="0795029E">
            <w:pPr>
              <w:pageBreakBefore w:val="0"/>
              <w:widowControl w:val="0"/>
              <w:kinsoku/>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rPr>
            </w:pPr>
          </w:p>
        </w:tc>
        <w:tc>
          <w:tcPr>
            <w:tcW w:w="2212" w:type="dxa"/>
            <w:noWrap w:val="0"/>
            <w:vAlign w:val="center"/>
          </w:tcPr>
          <w:p w14:paraId="306032C5">
            <w:pPr>
              <w:pageBreakBefore w:val="0"/>
              <w:widowControl w:val="0"/>
              <w:kinsoku/>
              <w:topLinePunct w:val="0"/>
              <w:autoSpaceDE/>
              <w:autoSpaceDN/>
              <w:bidi w:val="0"/>
              <w:adjustRightInd w:val="0"/>
              <w:snapToGrid w:val="0"/>
              <w:spacing w:line="400" w:lineRule="exact"/>
              <w:jc w:val="left"/>
              <w:textAlignment w:val="auto"/>
              <w:rPr>
                <w:rFonts w:hint="eastAsia" w:ascii="宋体" w:hAnsi="宋体" w:eastAsia="宋体" w:cs="宋体"/>
                <w:snapToGrid w:val="0"/>
                <w:color w:val="auto"/>
                <w:kern w:val="0"/>
                <w:sz w:val="21"/>
                <w:szCs w:val="21"/>
                <w:highlight w:val="none"/>
              </w:rPr>
            </w:pPr>
          </w:p>
        </w:tc>
        <w:tc>
          <w:tcPr>
            <w:tcW w:w="1418" w:type="dxa"/>
            <w:noWrap w:val="0"/>
            <w:vAlign w:val="center"/>
          </w:tcPr>
          <w:p w14:paraId="26CE69EF">
            <w:pPr>
              <w:pageBreakBefore w:val="0"/>
              <w:widowControl w:val="0"/>
              <w:kinsoku/>
              <w:topLinePunct w:val="0"/>
              <w:autoSpaceDE/>
              <w:autoSpaceDN/>
              <w:bidi w:val="0"/>
              <w:adjustRightInd w:val="0"/>
              <w:snapToGrid w:val="0"/>
              <w:spacing w:line="400" w:lineRule="exact"/>
              <w:jc w:val="left"/>
              <w:textAlignment w:val="auto"/>
              <w:rPr>
                <w:rFonts w:hint="eastAsia" w:ascii="宋体" w:hAnsi="宋体" w:eastAsia="宋体" w:cs="宋体"/>
                <w:snapToGrid w:val="0"/>
                <w:color w:val="auto"/>
                <w:kern w:val="0"/>
                <w:sz w:val="21"/>
                <w:szCs w:val="21"/>
                <w:highlight w:val="none"/>
              </w:rPr>
            </w:pPr>
          </w:p>
        </w:tc>
        <w:tc>
          <w:tcPr>
            <w:tcW w:w="1134" w:type="dxa"/>
            <w:noWrap w:val="0"/>
            <w:vAlign w:val="center"/>
          </w:tcPr>
          <w:p w14:paraId="15CE6BF0">
            <w:pPr>
              <w:pageBreakBefore w:val="0"/>
              <w:widowControl w:val="0"/>
              <w:kinsoku/>
              <w:topLinePunct w:val="0"/>
              <w:autoSpaceDE/>
              <w:autoSpaceDN/>
              <w:bidi w:val="0"/>
              <w:adjustRightInd w:val="0"/>
              <w:snapToGrid w:val="0"/>
              <w:spacing w:line="400" w:lineRule="exact"/>
              <w:jc w:val="left"/>
              <w:textAlignment w:val="auto"/>
              <w:rPr>
                <w:rFonts w:hint="eastAsia" w:ascii="宋体" w:hAnsi="宋体" w:eastAsia="宋体" w:cs="宋体"/>
                <w:snapToGrid w:val="0"/>
                <w:color w:val="auto"/>
                <w:kern w:val="0"/>
                <w:sz w:val="21"/>
                <w:szCs w:val="21"/>
                <w:highlight w:val="none"/>
              </w:rPr>
            </w:pPr>
          </w:p>
        </w:tc>
      </w:tr>
    </w:tbl>
    <w:p w14:paraId="04175553">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乙方联系人为项目经理，联系电话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，联系邮箱</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接收往来函件）：</w:t>
      </w:r>
      <w:r>
        <w:rPr>
          <w:rFonts w:hint="eastAsia" w:ascii="宋体" w:hAnsi="宋体" w:eastAsia="宋体" w:cs="宋体"/>
          <w:color w:val="auto"/>
          <w:sz w:val="21"/>
          <w:szCs w:val="21"/>
          <w:highlight w:val="none"/>
          <w:u w:val="single"/>
        </w:rPr>
        <w:t xml:space="preserve">           </w:t>
      </w:r>
    </w:p>
    <w:p w14:paraId="2CD480D4">
      <w:pPr>
        <w:keepNext/>
        <w:keepLines/>
        <w:pageBreakBefore w:val="0"/>
        <w:widowControl w:val="0"/>
        <w:kinsoku/>
        <w:overflowPunct w:val="0"/>
        <w:topLinePunct w:val="0"/>
        <w:autoSpaceDE/>
        <w:autoSpaceDN/>
        <w:bidi w:val="0"/>
        <w:spacing w:before="0" w:after="0" w:line="400" w:lineRule="exact"/>
        <w:ind w:left="0" w:firstLine="422" w:firstLineChars="200"/>
        <w:jc w:val="left"/>
        <w:textAlignment w:val="auto"/>
        <w:outlineLvl w:val="5"/>
        <w:rPr>
          <w:rFonts w:hint="eastAsia" w:ascii="宋体" w:hAnsi="宋体" w:eastAsia="宋体" w:cs="宋体"/>
          <w:b/>
          <w:color w:val="auto"/>
          <w:kern w:val="2"/>
          <w:sz w:val="21"/>
          <w:szCs w:val="21"/>
          <w:highlight w:val="none"/>
          <w:lang w:val="en-US" w:eastAsia="zh-CN" w:bidi="ar-SA"/>
        </w:rPr>
      </w:pPr>
      <w:bookmarkStart w:id="236" w:name="_Toc432755152"/>
      <w:r>
        <w:rPr>
          <w:rFonts w:hint="eastAsia" w:ascii="宋体" w:hAnsi="宋体" w:eastAsia="宋体" w:cs="宋体"/>
          <w:b/>
          <w:color w:val="auto"/>
          <w:kern w:val="2"/>
          <w:sz w:val="21"/>
          <w:szCs w:val="21"/>
          <w:highlight w:val="none"/>
          <w:lang w:val="en-US" w:eastAsia="zh-CN" w:bidi="ar-SA"/>
        </w:rPr>
        <w:t>7.5报告制度和监督</w:t>
      </w:r>
      <w:bookmarkEnd w:id="236"/>
    </w:p>
    <w:p w14:paraId="2BB49D7A">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乙方应每月向甲方和代建主管部门对项目实施情况进行书面报告的时间：5号以前，报告的份数为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；遇到重大事项应提前3天报告。</w:t>
      </w:r>
    </w:p>
    <w:p w14:paraId="751C124F">
      <w:pPr>
        <w:pageBreakBefore w:val="0"/>
        <w:widowControl w:val="0"/>
        <w:kinsoku/>
        <w:wordWrap/>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本项目重大事项是指：项目初步设计方案评审、初步设计概算评审、项目开工、项目招标和政府采购活动、重大设计变更论证、概算调整、项目竣工验收、项目实体移交以及</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等事项。</w:t>
      </w:r>
    </w:p>
    <w:p w14:paraId="076EC733">
      <w:pPr>
        <w:keepNext/>
        <w:keepLines/>
        <w:pageBreakBefore w:val="0"/>
        <w:widowControl w:val="0"/>
        <w:kinsoku/>
        <w:overflowPunct w:val="0"/>
        <w:topLinePunct w:val="0"/>
        <w:autoSpaceDE/>
        <w:autoSpaceDN/>
        <w:bidi w:val="0"/>
        <w:spacing w:before="0" w:after="0" w:line="400" w:lineRule="exact"/>
        <w:ind w:left="0" w:firstLine="422" w:firstLineChars="200"/>
        <w:jc w:val="left"/>
        <w:textAlignment w:val="auto"/>
        <w:outlineLvl w:val="5"/>
        <w:rPr>
          <w:rFonts w:hint="eastAsia" w:ascii="宋体" w:hAnsi="宋体" w:eastAsia="宋体" w:cs="宋体"/>
          <w:b/>
          <w:color w:val="auto"/>
          <w:kern w:val="2"/>
          <w:sz w:val="21"/>
          <w:szCs w:val="21"/>
          <w:highlight w:val="none"/>
          <w:lang w:val="en-US" w:eastAsia="zh-CN" w:bidi="ar-SA"/>
        </w:rPr>
      </w:pPr>
      <w:bookmarkStart w:id="237" w:name="_Toc432755153"/>
      <w:r>
        <w:rPr>
          <w:rFonts w:hint="eastAsia" w:ascii="宋体" w:hAnsi="宋体" w:eastAsia="宋体" w:cs="宋体"/>
          <w:b/>
          <w:color w:val="auto"/>
          <w:kern w:val="2"/>
          <w:sz w:val="21"/>
          <w:szCs w:val="21"/>
          <w:highlight w:val="none"/>
          <w:lang w:val="en-US" w:eastAsia="zh-CN" w:bidi="ar-SA"/>
        </w:rPr>
        <w:t>7.6其他义务</w:t>
      </w:r>
      <w:bookmarkEnd w:id="237"/>
    </w:p>
    <w:p w14:paraId="4D2DC421">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乙方应履行合同约定的其他义务：</w:t>
      </w:r>
      <w:r>
        <w:rPr>
          <w:rFonts w:hint="eastAsia" w:ascii="宋体" w:hAnsi="宋体" w:eastAsia="宋体" w:cs="宋体"/>
          <w:color w:val="auto"/>
          <w:sz w:val="21"/>
          <w:szCs w:val="21"/>
          <w:highlight w:val="none"/>
          <w:u w:val="single"/>
        </w:rPr>
        <w:t xml:space="preserve">                     </w:t>
      </w:r>
    </w:p>
    <w:p w14:paraId="175C430C">
      <w:pPr>
        <w:keepNext/>
        <w:keepLines/>
        <w:pageBreakBefore w:val="0"/>
        <w:widowControl w:val="0"/>
        <w:kinsoku/>
        <w:overflowPunct w:val="0"/>
        <w:topLinePunct w:val="0"/>
        <w:autoSpaceDE/>
        <w:autoSpaceDN/>
        <w:bidi w:val="0"/>
        <w:spacing w:before="156" w:beforeLines="50" w:after="156" w:afterLines="50" w:line="400" w:lineRule="exact"/>
        <w:ind w:left="0" w:firstLine="0"/>
        <w:jc w:val="center"/>
        <w:textAlignment w:val="auto"/>
        <w:outlineLvl w:val="2"/>
        <w:rPr>
          <w:rFonts w:hint="eastAsia" w:ascii="宋体" w:hAnsi="宋体" w:eastAsia="宋体" w:cs="宋体"/>
          <w:b/>
          <w:color w:val="auto"/>
          <w:kern w:val="2"/>
          <w:sz w:val="21"/>
          <w:szCs w:val="21"/>
          <w:highlight w:val="none"/>
          <w:lang w:val="en-US" w:eastAsia="zh-CN" w:bidi="ar-SA"/>
        </w:rPr>
      </w:pPr>
      <w:bookmarkStart w:id="238" w:name="_Toc13730"/>
      <w:bookmarkStart w:id="239" w:name="_Toc66949370"/>
      <w:bookmarkStart w:id="240" w:name="_Toc66949625"/>
      <w:bookmarkStart w:id="241" w:name="_Toc66948661"/>
      <w:bookmarkStart w:id="242" w:name="_Toc66818971"/>
      <w:bookmarkStart w:id="243" w:name="_Toc66949768"/>
      <w:bookmarkStart w:id="244" w:name="_Toc66818565"/>
      <w:bookmarkStart w:id="245" w:name="_Toc27994"/>
      <w:bookmarkStart w:id="246" w:name="_Toc432755154"/>
      <w:r>
        <w:rPr>
          <w:rFonts w:hint="eastAsia" w:ascii="宋体" w:hAnsi="宋体" w:eastAsia="宋体" w:cs="宋体"/>
          <w:b/>
          <w:color w:val="auto"/>
          <w:kern w:val="2"/>
          <w:sz w:val="21"/>
          <w:szCs w:val="21"/>
          <w:highlight w:val="none"/>
          <w:lang w:val="en-US" w:eastAsia="zh-CN" w:bidi="ar-SA"/>
        </w:rPr>
        <w:t>第四节  代建过程管理</w:t>
      </w:r>
      <w:bookmarkEnd w:id="238"/>
      <w:bookmarkEnd w:id="239"/>
      <w:bookmarkEnd w:id="240"/>
      <w:bookmarkEnd w:id="241"/>
      <w:bookmarkEnd w:id="242"/>
      <w:bookmarkEnd w:id="243"/>
      <w:bookmarkEnd w:id="244"/>
      <w:bookmarkEnd w:id="245"/>
      <w:bookmarkEnd w:id="246"/>
    </w:p>
    <w:p w14:paraId="4BFCE532">
      <w:pPr>
        <w:keepNext w:val="0"/>
        <w:keepLines w:val="0"/>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247" w:name="_Toc432755155"/>
      <w:r>
        <w:rPr>
          <w:rFonts w:hint="eastAsia" w:ascii="宋体" w:hAnsi="宋体" w:eastAsia="宋体" w:cs="宋体"/>
          <w:b w:val="0"/>
          <w:color w:val="auto"/>
          <w:kern w:val="2"/>
          <w:sz w:val="21"/>
          <w:szCs w:val="21"/>
          <w:highlight w:val="none"/>
          <w:lang w:val="en-US" w:eastAsia="zh-CN" w:bidi="ar-SA"/>
        </w:rPr>
        <w:t>第十二条  代建服务费支付与调整</w:t>
      </w:r>
      <w:bookmarkEnd w:id="247"/>
    </w:p>
    <w:p w14:paraId="00A22FE6">
      <w:pPr>
        <w:keepNext w:val="0"/>
        <w:keepLines w:val="0"/>
        <w:pageBreakBefore w:val="0"/>
        <w:widowControl w:val="0"/>
        <w:kinsoku/>
        <w:overflowPunct w:val="0"/>
        <w:topLinePunct w:val="0"/>
        <w:autoSpaceDE/>
        <w:autoSpaceDN/>
        <w:bidi w:val="0"/>
        <w:spacing w:before="0" w:after="0" w:line="400" w:lineRule="exact"/>
        <w:ind w:left="0" w:firstLine="422" w:firstLineChars="200"/>
        <w:jc w:val="left"/>
        <w:textAlignment w:val="auto"/>
        <w:outlineLvl w:val="5"/>
        <w:rPr>
          <w:rFonts w:hint="eastAsia" w:ascii="宋体" w:hAnsi="宋体" w:eastAsia="宋体" w:cs="宋体"/>
          <w:b/>
          <w:color w:val="auto"/>
          <w:kern w:val="2"/>
          <w:sz w:val="21"/>
          <w:szCs w:val="21"/>
          <w:highlight w:val="none"/>
          <w:lang w:val="en-US" w:eastAsia="zh-CN" w:bidi="ar-SA"/>
        </w:rPr>
      </w:pPr>
      <w:bookmarkStart w:id="248" w:name="_Toc432755156"/>
      <w:r>
        <w:rPr>
          <w:rFonts w:hint="eastAsia" w:ascii="宋体" w:hAnsi="宋体" w:eastAsia="宋体" w:cs="宋体"/>
          <w:b/>
          <w:color w:val="auto"/>
          <w:kern w:val="2"/>
          <w:sz w:val="21"/>
          <w:szCs w:val="21"/>
          <w:highlight w:val="none"/>
          <w:lang w:val="en-US" w:eastAsia="zh-CN" w:bidi="ar-SA"/>
        </w:rPr>
        <w:t>12.2预付款</w:t>
      </w:r>
      <w:bookmarkEnd w:id="248"/>
    </w:p>
    <w:p w14:paraId="161EE3E1">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本合同的预付款为：代建服务费暂定总额的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30%-40%之间）；合同生效后，乙方向甲方提出书面支付申请和支付凭证，甲方在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个工作日</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3-5个）内报请财政支付。</w:t>
      </w:r>
    </w:p>
    <w:p w14:paraId="22C24B6D">
      <w:pPr>
        <w:keepNext w:val="0"/>
        <w:keepLines w:val="0"/>
        <w:pageBreakBefore w:val="0"/>
        <w:widowControl w:val="0"/>
        <w:kinsoku/>
        <w:overflowPunct w:val="0"/>
        <w:topLinePunct w:val="0"/>
        <w:autoSpaceDE/>
        <w:autoSpaceDN/>
        <w:bidi w:val="0"/>
        <w:spacing w:before="0" w:after="0" w:line="400" w:lineRule="exact"/>
        <w:ind w:left="0" w:firstLine="422" w:firstLineChars="200"/>
        <w:jc w:val="left"/>
        <w:textAlignment w:val="auto"/>
        <w:outlineLvl w:val="5"/>
        <w:rPr>
          <w:rFonts w:hint="eastAsia" w:ascii="宋体" w:hAnsi="宋体" w:eastAsia="宋体" w:cs="宋体"/>
          <w:b/>
          <w:color w:val="auto"/>
          <w:kern w:val="2"/>
          <w:sz w:val="21"/>
          <w:szCs w:val="21"/>
          <w:highlight w:val="none"/>
          <w:lang w:val="en-US" w:eastAsia="zh-CN" w:bidi="ar-SA"/>
        </w:rPr>
      </w:pPr>
      <w:bookmarkStart w:id="249" w:name="_Toc432755157"/>
      <w:r>
        <w:rPr>
          <w:rFonts w:hint="eastAsia" w:ascii="宋体" w:hAnsi="宋体" w:eastAsia="宋体" w:cs="宋体"/>
          <w:b/>
          <w:color w:val="auto"/>
          <w:kern w:val="2"/>
          <w:sz w:val="21"/>
          <w:szCs w:val="21"/>
          <w:highlight w:val="none"/>
          <w:lang w:val="en-US" w:eastAsia="zh-CN" w:bidi="ar-SA"/>
        </w:rPr>
        <w:t>12.3进度付款</w:t>
      </w:r>
      <w:bookmarkEnd w:id="249"/>
    </w:p>
    <w:p w14:paraId="1739D19C">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□建筑工程：</w:t>
      </w:r>
    </w:p>
    <w:p w14:paraId="1CB69B97">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主体工程基础完工后，乙方向甲方提出书面支付申请和支付凭证，甲方在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个工作日</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7-10个）内，报请财政支付依据批复的初步设计概算核定代建服务费总金额的20％，代建服务费总金额与暂定总金额有差额的，在本次支付中应按预付款情况予以扣减或补足，如扣减不足的，在下一个支付阶段予以扣减；</w:t>
      </w:r>
    </w:p>
    <w:p w14:paraId="5EB79918">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主体工程封顶后，乙方向甲方提出书面支付申请和支付凭证，甲方在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个工作日</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7-10个）内，报请财政支付依据批复的初步设计概算核定代建服务费总金额的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10％-20%），代建服务费总金额与暂定总金额有差额且在上一次支付中尚未扣减完的，在本次支付中继续扣减；</w:t>
      </w:r>
    </w:p>
    <w:p w14:paraId="751470B0">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工程整体竣工验收合格后，乙方向甲方提出书面支付申请和支付凭证，甲方在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个工作日</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7-10个）内，报请财政支付依据批复的初步设计概算核定代建服务费总金额的20％；</w:t>
      </w:r>
    </w:p>
    <w:p w14:paraId="68907D5D">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余款</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代建服务费总额的5%-10%）待代建范围内工程结算完成后的180日内付清。</w:t>
      </w:r>
    </w:p>
    <w:p w14:paraId="07FD028D">
      <w:pPr>
        <w:pageBreakBefore w:val="0"/>
        <w:widowControl w:val="0"/>
        <w:kinsoku/>
        <w:wordWrap/>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□其他工程按有关行业特点或有关规定约定：</w:t>
      </w:r>
    </w:p>
    <w:p w14:paraId="3EFCA7C1">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可参照建筑工程进度付款拟定）</w:t>
      </w:r>
      <w:r>
        <w:rPr>
          <w:rFonts w:hint="eastAsia" w:ascii="宋体" w:hAnsi="宋体" w:eastAsia="宋体" w:cs="宋体"/>
          <w:color w:val="auto"/>
          <w:sz w:val="21"/>
          <w:szCs w:val="21"/>
          <w:highlight w:val="none"/>
          <w:u w:val="single"/>
        </w:rPr>
        <w:t xml:space="preserve">                      </w:t>
      </w:r>
    </w:p>
    <w:p w14:paraId="5A13DF78">
      <w:pPr>
        <w:keepNext/>
        <w:keepLines/>
        <w:pageBreakBefore w:val="0"/>
        <w:widowControl w:val="0"/>
        <w:kinsoku/>
        <w:overflowPunct w:val="0"/>
        <w:topLinePunct w:val="0"/>
        <w:autoSpaceDE/>
        <w:autoSpaceDN/>
        <w:bidi w:val="0"/>
        <w:spacing w:before="156" w:beforeLines="50" w:after="156" w:afterLines="50" w:line="400" w:lineRule="exact"/>
        <w:ind w:left="0" w:firstLine="0"/>
        <w:jc w:val="center"/>
        <w:textAlignment w:val="auto"/>
        <w:outlineLvl w:val="2"/>
        <w:rPr>
          <w:rFonts w:hint="eastAsia" w:ascii="宋体" w:hAnsi="宋体" w:eastAsia="宋体" w:cs="宋体"/>
          <w:b/>
          <w:color w:val="auto"/>
          <w:kern w:val="2"/>
          <w:sz w:val="21"/>
          <w:szCs w:val="21"/>
          <w:highlight w:val="none"/>
          <w:lang w:val="en-US" w:eastAsia="zh-CN" w:bidi="ar-SA"/>
        </w:rPr>
      </w:pPr>
      <w:bookmarkStart w:id="250" w:name="_Toc66818972"/>
      <w:bookmarkStart w:id="251" w:name="_Toc26997"/>
      <w:bookmarkStart w:id="252" w:name="_Toc66818566"/>
      <w:bookmarkStart w:id="253" w:name="_Toc8799"/>
      <w:bookmarkStart w:id="254" w:name="_Toc432755164"/>
      <w:bookmarkStart w:id="255" w:name="_Toc66949626"/>
      <w:bookmarkStart w:id="256" w:name="_Toc66949769"/>
      <w:bookmarkStart w:id="257" w:name="_Toc66948662"/>
      <w:bookmarkStart w:id="258" w:name="_Toc66949371"/>
      <w:r>
        <w:rPr>
          <w:rFonts w:hint="eastAsia" w:ascii="宋体" w:hAnsi="宋体" w:eastAsia="宋体" w:cs="宋体"/>
          <w:b/>
          <w:color w:val="auto"/>
          <w:kern w:val="2"/>
          <w:sz w:val="21"/>
          <w:szCs w:val="21"/>
          <w:highlight w:val="none"/>
          <w:lang w:val="en-US" w:eastAsia="zh-CN" w:bidi="ar-SA"/>
        </w:rPr>
        <w:t>第五节  不可抗力</w:t>
      </w:r>
      <w:bookmarkEnd w:id="250"/>
      <w:bookmarkEnd w:id="251"/>
      <w:bookmarkEnd w:id="252"/>
      <w:bookmarkEnd w:id="253"/>
      <w:bookmarkEnd w:id="254"/>
      <w:bookmarkEnd w:id="255"/>
      <w:bookmarkEnd w:id="256"/>
      <w:bookmarkEnd w:id="257"/>
      <w:bookmarkEnd w:id="258"/>
    </w:p>
    <w:p w14:paraId="33239C8B">
      <w:pPr>
        <w:keepNext/>
        <w:keepLines/>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259" w:name="_Toc432755165"/>
      <w:r>
        <w:rPr>
          <w:rFonts w:hint="eastAsia" w:ascii="宋体" w:hAnsi="宋体" w:eastAsia="宋体" w:cs="宋体"/>
          <w:b w:val="0"/>
          <w:color w:val="auto"/>
          <w:kern w:val="2"/>
          <w:sz w:val="21"/>
          <w:szCs w:val="21"/>
          <w:highlight w:val="none"/>
          <w:lang w:val="en-US" w:eastAsia="zh-CN" w:bidi="ar-SA"/>
        </w:rPr>
        <w:t>第十四条  不可抗力</w:t>
      </w:r>
      <w:bookmarkEnd w:id="259"/>
    </w:p>
    <w:p w14:paraId="7ADBC922">
      <w:pPr>
        <w:keepNext/>
        <w:keepLines/>
        <w:pageBreakBefore w:val="0"/>
        <w:widowControl w:val="0"/>
        <w:kinsoku/>
        <w:overflowPunct w:val="0"/>
        <w:topLinePunct w:val="0"/>
        <w:autoSpaceDE/>
        <w:autoSpaceDN/>
        <w:bidi w:val="0"/>
        <w:spacing w:before="0" w:after="0" w:line="400" w:lineRule="exact"/>
        <w:ind w:left="0" w:firstLine="422" w:firstLineChars="200"/>
        <w:jc w:val="left"/>
        <w:textAlignment w:val="auto"/>
        <w:outlineLvl w:val="5"/>
        <w:rPr>
          <w:rFonts w:hint="eastAsia" w:ascii="宋体" w:hAnsi="宋体" w:eastAsia="宋体" w:cs="宋体"/>
          <w:b/>
          <w:color w:val="auto"/>
          <w:kern w:val="2"/>
          <w:sz w:val="21"/>
          <w:szCs w:val="21"/>
          <w:highlight w:val="none"/>
          <w:lang w:val="en-US" w:eastAsia="zh-CN" w:bidi="ar-SA"/>
        </w:rPr>
      </w:pPr>
      <w:bookmarkStart w:id="260" w:name="_Toc432755166"/>
      <w:r>
        <w:rPr>
          <w:rFonts w:hint="eastAsia" w:ascii="宋体" w:hAnsi="宋体" w:eastAsia="宋体" w:cs="宋体"/>
          <w:b/>
          <w:color w:val="auto"/>
          <w:kern w:val="2"/>
          <w:sz w:val="21"/>
          <w:szCs w:val="21"/>
          <w:highlight w:val="none"/>
          <w:lang w:val="en-US" w:eastAsia="zh-CN" w:bidi="ar-SA"/>
        </w:rPr>
        <w:t>14.1不可抗力的确认</w:t>
      </w:r>
      <w:bookmarkEnd w:id="260"/>
    </w:p>
    <w:p w14:paraId="3C0C2196">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14.1.1</w:t>
      </w:r>
      <w:r>
        <w:rPr>
          <w:rFonts w:hint="eastAsia" w:ascii="宋体" w:hAnsi="宋体" w:eastAsia="宋体" w:cs="宋体"/>
          <w:color w:val="auto"/>
          <w:sz w:val="21"/>
          <w:szCs w:val="21"/>
          <w:highlight w:val="none"/>
        </w:rPr>
        <w:t>不可抗力还包括：</w:t>
      </w:r>
      <w:r>
        <w:rPr>
          <w:rFonts w:hint="eastAsia" w:ascii="宋体" w:hAnsi="宋体" w:eastAsia="宋体" w:cs="宋体"/>
          <w:color w:val="auto"/>
          <w:sz w:val="21"/>
          <w:szCs w:val="21"/>
          <w:highlight w:val="none"/>
          <w:u w:val="single"/>
        </w:rPr>
        <w:t xml:space="preserve">                           </w:t>
      </w:r>
    </w:p>
    <w:p w14:paraId="3845E319">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14.3不可抗力后果及处理的其他约定为：</w:t>
      </w:r>
      <w:r>
        <w:rPr>
          <w:rFonts w:hint="eastAsia" w:ascii="宋体" w:hAnsi="宋体" w:eastAsia="宋体" w:cs="宋体"/>
          <w:b/>
          <w:color w:val="auto"/>
          <w:sz w:val="21"/>
          <w:szCs w:val="21"/>
          <w:highlight w:val="none"/>
          <w:u w:val="single"/>
        </w:rPr>
        <w:t xml:space="preserve">             </w:t>
      </w:r>
    </w:p>
    <w:p w14:paraId="7E46C4D5">
      <w:pPr>
        <w:keepNext/>
        <w:keepLines/>
        <w:pageBreakBefore w:val="0"/>
        <w:widowControl w:val="0"/>
        <w:kinsoku/>
        <w:overflowPunct w:val="0"/>
        <w:topLinePunct w:val="0"/>
        <w:autoSpaceDE/>
        <w:autoSpaceDN/>
        <w:bidi w:val="0"/>
        <w:spacing w:before="0" w:beforeLines="0" w:after="0" w:afterLines="0" w:line="400" w:lineRule="exact"/>
        <w:ind w:left="0" w:firstLine="0"/>
        <w:jc w:val="center"/>
        <w:textAlignment w:val="auto"/>
        <w:outlineLvl w:val="2"/>
        <w:rPr>
          <w:rFonts w:hint="eastAsia" w:ascii="宋体" w:hAnsi="宋体" w:eastAsia="宋体" w:cs="宋体"/>
          <w:b/>
          <w:color w:val="auto"/>
          <w:kern w:val="2"/>
          <w:sz w:val="21"/>
          <w:szCs w:val="21"/>
          <w:highlight w:val="none"/>
          <w:lang w:val="en-US" w:eastAsia="zh-CN" w:bidi="ar-SA"/>
        </w:rPr>
      </w:pPr>
      <w:bookmarkStart w:id="261" w:name="_Toc432755167"/>
      <w:bookmarkStart w:id="262" w:name="_Toc5802"/>
      <w:bookmarkStart w:id="263" w:name="_Toc30543"/>
      <w:bookmarkStart w:id="264" w:name="_Toc66949627"/>
      <w:bookmarkStart w:id="265" w:name="_Toc66818567"/>
      <w:bookmarkStart w:id="266" w:name="_Toc66949372"/>
      <w:bookmarkStart w:id="267" w:name="_Toc66948663"/>
      <w:bookmarkStart w:id="268" w:name="_Toc66949770"/>
      <w:bookmarkStart w:id="269" w:name="_Toc66818973"/>
      <w:r>
        <w:rPr>
          <w:rFonts w:hint="eastAsia" w:ascii="宋体" w:hAnsi="宋体" w:eastAsia="宋体" w:cs="宋体"/>
          <w:b/>
          <w:color w:val="auto"/>
          <w:kern w:val="2"/>
          <w:sz w:val="21"/>
          <w:szCs w:val="21"/>
          <w:highlight w:val="none"/>
          <w:lang w:val="en-US" w:eastAsia="zh-CN" w:bidi="ar-SA"/>
        </w:rPr>
        <w:t>第六节 履约担保、违约及赔偿责任和争议</w:t>
      </w:r>
      <w:bookmarkEnd w:id="261"/>
      <w:bookmarkEnd w:id="262"/>
      <w:bookmarkEnd w:id="263"/>
      <w:r>
        <w:rPr>
          <w:rFonts w:hint="eastAsia" w:ascii="宋体" w:hAnsi="宋体" w:eastAsia="宋体" w:cs="宋体"/>
          <w:b/>
          <w:color w:val="auto"/>
          <w:kern w:val="2"/>
          <w:sz w:val="21"/>
          <w:szCs w:val="21"/>
          <w:highlight w:val="none"/>
          <w:lang w:val="en-US" w:eastAsia="zh-CN" w:bidi="ar-SA"/>
        </w:rPr>
        <w:t>解决</w:t>
      </w:r>
      <w:bookmarkEnd w:id="264"/>
      <w:bookmarkEnd w:id="265"/>
      <w:bookmarkEnd w:id="266"/>
      <w:bookmarkEnd w:id="267"/>
      <w:bookmarkEnd w:id="268"/>
      <w:bookmarkEnd w:id="269"/>
    </w:p>
    <w:p w14:paraId="73A29DCF">
      <w:pPr>
        <w:keepNext w:val="0"/>
        <w:keepLines w:val="0"/>
        <w:pageBreakBefore w:val="0"/>
        <w:widowControl w:val="0"/>
        <w:kinsoku/>
        <w:overflowPunct w:val="0"/>
        <w:topLinePunct w:val="0"/>
        <w:autoSpaceDE/>
        <w:autoSpaceDN/>
        <w:bidi w:val="0"/>
        <w:spacing w:before="0" w:after="0" w:line="400" w:lineRule="exact"/>
        <w:ind w:left="0" w:firstLine="420" w:firstLineChars="200"/>
        <w:jc w:val="both"/>
        <w:textAlignment w:val="auto"/>
        <w:outlineLvl w:val="3"/>
        <w:rPr>
          <w:rFonts w:hint="eastAsia" w:ascii="宋体" w:hAnsi="宋体" w:eastAsia="宋体" w:cs="宋体"/>
          <w:b w:val="0"/>
          <w:color w:val="auto"/>
          <w:kern w:val="2"/>
          <w:sz w:val="21"/>
          <w:szCs w:val="21"/>
          <w:highlight w:val="none"/>
          <w:lang w:val="en-US" w:eastAsia="zh-CN" w:bidi="ar-SA"/>
        </w:rPr>
      </w:pPr>
      <w:bookmarkStart w:id="270" w:name="_Toc432755161"/>
      <w:bookmarkStart w:id="271" w:name="_Toc432755168"/>
      <w:r>
        <w:rPr>
          <w:rFonts w:hint="eastAsia" w:ascii="宋体" w:hAnsi="宋体" w:eastAsia="宋体" w:cs="宋体"/>
          <w:b w:val="0"/>
          <w:color w:val="auto"/>
          <w:kern w:val="2"/>
          <w:sz w:val="21"/>
          <w:szCs w:val="21"/>
          <w:highlight w:val="none"/>
          <w:lang w:val="en-US" w:eastAsia="zh-CN" w:bidi="ar-SA"/>
        </w:rPr>
        <w:t>第十五条  履约担保</w:t>
      </w:r>
      <w:bookmarkEnd w:id="270"/>
    </w:p>
    <w:p w14:paraId="63082563">
      <w:pPr>
        <w:keepNext w:val="0"/>
        <w:keepLines w:val="0"/>
        <w:pageBreakBefore w:val="0"/>
        <w:widowControl w:val="0"/>
        <w:kinsoku/>
        <w:overflowPunct w:val="0"/>
        <w:topLinePunct w:val="0"/>
        <w:autoSpaceDE/>
        <w:autoSpaceDN/>
        <w:bidi w:val="0"/>
        <w:spacing w:before="0" w:after="0" w:line="400" w:lineRule="exact"/>
        <w:ind w:left="0" w:firstLine="422" w:firstLineChars="200"/>
        <w:jc w:val="left"/>
        <w:textAlignment w:val="auto"/>
        <w:outlineLvl w:val="5"/>
        <w:rPr>
          <w:rFonts w:hint="eastAsia" w:ascii="宋体" w:hAnsi="宋体" w:eastAsia="宋体" w:cs="宋体"/>
          <w:b/>
          <w:color w:val="auto"/>
          <w:kern w:val="2"/>
          <w:sz w:val="21"/>
          <w:szCs w:val="21"/>
          <w:highlight w:val="none"/>
          <w:lang w:val="en-US" w:eastAsia="zh-CN" w:bidi="ar-SA"/>
        </w:rPr>
      </w:pPr>
      <w:bookmarkStart w:id="272" w:name="_Toc432755162"/>
      <w:r>
        <w:rPr>
          <w:rFonts w:hint="eastAsia" w:ascii="宋体" w:hAnsi="宋体" w:eastAsia="宋体" w:cs="宋体"/>
          <w:b/>
          <w:color w:val="auto"/>
          <w:kern w:val="2"/>
          <w:sz w:val="21"/>
          <w:szCs w:val="21"/>
          <w:highlight w:val="none"/>
          <w:lang w:val="en-US" w:eastAsia="zh-CN" w:bidi="ar-SA"/>
        </w:rPr>
        <w:t>15.1履约担保</w:t>
      </w:r>
      <w:bookmarkEnd w:id="272"/>
    </w:p>
    <w:p w14:paraId="435ADED5">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bookmarkStart w:id="273" w:name="_Toc66818568"/>
      <w:bookmarkStart w:id="274" w:name="_Toc27474"/>
      <w:bookmarkStart w:id="275" w:name="_Toc5025"/>
      <w:r>
        <w:rPr>
          <w:rFonts w:hint="eastAsia" w:ascii="宋体" w:hAnsi="宋体" w:eastAsia="宋体" w:cs="宋体"/>
          <w:b/>
          <w:color w:val="auto"/>
          <w:sz w:val="21"/>
          <w:szCs w:val="21"/>
          <w:highlight w:val="none"/>
        </w:rPr>
        <w:t>15.1.1</w:t>
      </w:r>
      <w:r>
        <w:rPr>
          <w:rFonts w:hint="eastAsia" w:ascii="宋体" w:hAnsi="宋体" w:eastAsia="宋体" w:cs="宋体"/>
          <w:color w:val="auto"/>
          <w:sz w:val="21"/>
          <w:szCs w:val="21"/>
          <w:highlight w:val="none"/>
        </w:rPr>
        <w:t>乙方向甲方提交的银行或第三方担保机构出具的担保函履约担保额度为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履约担保金额比率为项目估算总投资的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bookmarkEnd w:id="273"/>
      <w:bookmarkEnd w:id="274"/>
      <w:bookmarkEnd w:id="275"/>
    </w:p>
    <w:p w14:paraId="7D59FE7C">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3"/>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第十六条  违约</w:t>
      </w:r>
      <w:bookmarkEnd w:id="271"/>
      <w:r>
        <w:rPr>
          <w:rFonts w:hint="eastAsia" w:ascii="宋体" w:hAnsi="宋体" w:eastAsia="宋体" w:cs="宋体"/>
          <w:b/>
          <w:color w:val="auto"/>
          <w:kern w:val="2"/>
          <w:sz w:val="21"/>
          <w:szCs w:val="21"/>
          <w:highlight w:val="none"/>
          <w:lang w:val="en-US" w:eastAsia="zh-CN" w:bidi="ar-SA"/>
        </w:rPr>
        <w:t>及赔偿责任</w:t>
      </w:r>
    </w:p>
    <w:p w14:paraId="5604D729">
      <w:pPr>
        <w:keepNext w:val="0"/>
        <w:keepLines w:val="0"/>
        <w:pageBreakBefore w:val="0"/>
        <w:widowControl w:val="0"/>
        <w:kinsoku/>
        <w:overflowPunct w:val="0"/>
        <w:topLinePunct w:val="0"/>
        <w:autoSpaceDE/>
        <w:autoSpaceDN/>
        <w:bidi w:val="0"/>
        <w:spacing w:before="0" w:after="0" w:line="400" w:lineRule="exact"/>
        <w:ind w:left="0" w:firstLine="422" w:firstLineChars="200"/>
        <w:jc w:val="left"/>
        <w:textAlignment w:val="auto"/>
        <w:outlineLvl w:val="5"/>
        <w:rPr>
          <w:rFonts w:hint="eastAsia" w:ascii="宋体" w:hAnsi="宋体" w:eastAsia="宋体" w:cs="宋体"/>
          <w:b/>
          <w:color w:val="auto"/>
          <w:kern w:val="2"/>
          <w:sz w:val="21"/>
          <w:szCs w:val="21"/>
          <w:highlight w:val="none"/>
          <w:lang w:val="en-US" w:eastAsia="zh-CN" w:bidi="ar-SA"/>
        </w:rPr>
      </w:pPr>
      <w:bookmarkStart w:id="276" w:name="_Toc432755169"/>
      <w:r>
        <w:rPr>
          <w:rFonts w:hint="eastAsia" w:ascii="宋体" w:hAnsi="宋体" w:eastAsia="宋体" w:cs="宋体"/>
          <w:b/>
          <w:color w:val="auto"/>
          <w:kern w:val="2"/>
          <w:sz w:val="21"/>
          <w:szCs w:val="21"/>
          <w:highlight w:val="none"/>
          <w:lang w:val="en-US" w:eastAsia="zh-CN" w:bidi="ar-SA"/>
        </w:rPr>
        <w:t>16.1甲方违约</w:t>
      </w:r>
      <w:bookmarkEnd w:id="276"/>
    </w:p>
    <w:p w14:paraId="6AFB7BD7">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bookmarkStart w:id="277" w:name="_Toc66818569"/>
      <w:bookmarkStart w:id="278" w:name="_Toc10475"/>
      <w:bookmarkStart w:id="279" w:name="_Toc17132"/>
      <w:r>
        <w:rPr>
          <w:rFonts w:hint="eastAsia" w:ascii="宋体" w:hAnsi="宋体" w:eastAsia="宋体" w:cs="宋体"/>
          <w:b/>
          <w:color w:val="auto"/>
          <w:sz w:val="21"/>
          <w:szCs w:val="21"/>
          <w:highlight w:val="none"/>
        </w:rPr>
        <w:t>16.1.1</w:t>
      </w:r>
      <w:r>
        <w:rPr>
          <w:rFonts w:hint="eastAsia" w:ascii="宋体" w:hAnsi="宋体" w:eastAsia="宋体" w:cs="宋体"/>
          <w:color w:val="auto"/>
          <w:sz w:val="21"/>
          <w:szCs w:val="21"/>
          <w:highlight w:val="none"/>
        </w:rPr>
        <w:t>甲方违约的情形</w:t>
      </w:r>
      <w:bookmarkEnd w:id="277"/>
      <w:bookmarkEnd w:id="278"/>
      <w:bookmarkEnd w:id="279"/>
    </w:p>
    <w:p w14:paraId="53DA263D">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2）对乙方签认报请支付专业单位款项，甲方应在3个工作日内向财政申请支付。</w:t>
      </w:r>
    </w:p>
    <w:p w14:paraId="44563F79">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4）甲方设备选型、材料选择的时限为：15日。</w:t>
      </w:r>
    </w:p>
    <w:p w14:paraId="182AFC83">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5）甲方应在7日内对乙方书面提交并要求作出决定的事宜予以书面答复。</w:t>
      </w:r>
    </w:p>
    <w:p w14:paraId="03AF3274">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8）甲方不履行合同约定其他义务的情形：</w:t>
      </w:r>
      <w:r>
        <w:rPr>
          <w:rFonts w:hint="eastAsia" w:ascii="宋体" w:hAnsi="宋体" w:eastAsia="宋体" w:cs="宋体"/>
          <w:color w:val="auto"/>
          <w:sz w:val="21"/>
          <w:szCs w:val="21"/>
          <w:highlight w:val="none"/>
          <w:u w:val="single"/>
        </w:rPr>
        <w:t xml:space="preserve">            </w:t>
      </w:r>
    </w:p>
    <w:p w14:paraId="07DBEC6B">
      <w:pPr>
        <w:keepNext w:val="0"/>
        <w:keepLines w:val="0"/>
        <w:pageBreakBefore w:val="0"/>
        <w:widowControl w:val="0"/>
        <w:kinsoku/>
        <w:overflowPunct w:val="0"/>
        <w:topLinePunct w:val="0"/>
        <w:autoSpaceDE/>
        <w:autoSpaceDN/>
        <w:bidi w:val="0"/>
        <w:spacing w:before="0" w:after="0" w:line="400" w:lineRule="exact"/>
        <w:ind w:left="0" w:firstLine="422" w:firstLineChars="200"/>
        <w:jc w:val="left"/>
        <w:textAlignment w:val="auto"/>
        <w:outlineLvl w:val="5"/>
        <w:rPr>
          <w:rFonts w:hint="eastAsia" w:ascii="宋体" w:hAnsi="宋体" w:eastAsia="宋体" w:cs="宋体"/>
          <w:b/>
          <w:color w:val="auto"/>
          <w:kern w:val="2"/>
          <w:sz w:val="21"/>
          <w:szCs w:val="21"/>
          <w:highlight w:val="none"/>
          <w:lang w:val="en-US" w:eastAsia="zh-CN" w:bidi="ar-SA"/>
        </w:rPr>
      </w:pPr>
      <w:bookmarkStart w:id="280" w:name="_Toc432755170"/>
      <w:r>
        <w:rPr>
          <w:rFonts w:hint="eastAsia" w:ascii="宋体" w:hAnsi="宋体" w:eastAsia="宋体" w:cs="宋体"/>
          <w:b/>
          <w:color w:val="auto"/>
          <w:kern w:val="2"/>
          <w:sz w:val="21"/>
          <w:szCs w:val="21"/>
          <w:highlight w:val="none"/>
          <w:lang w:val="en-US" w:eastAsia="zh-CN" w:bidi="ar-SA"/>
        </w:rPr>
        <w:t>16.2乙方违约</w:t>
      </w:r>
      <w:bookmarkEnd w:id="280"/>
    </w:p>
    <w:p w14:paraId="70035409">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bookmarkStart w:id="281" w:name="_Toc29375"/>
      <w:bookmarkStart w:id="282" w:name="_Toc5822"/>
      <w:bookmarkStart w:id="283" w:name="_Toc66818570"/>
      <w:bookmarkStart w:id="284" w:name="_Toc432755171"/>
      <w:r>
        <w:rPr>
          <w:rFonts w:hint="eastAsia" w:ascii="宋体" w:hAnsi="宋体" w:eastAsia="宋体" w:cs="宋体"/>
          <w:b/>
          <w:color w:val="auto"/>
          <w:sz w:val="21"/>
          <w:szCs w:val="21"/>
          <w:highlight w:val="none"/>
        </w:rPr>
        <w:t>16.2.1</w:t>
      </w:r>
      <w:r>
        <w:rPr>
          <w:rFonts w:hint="eastAsia" w:ascii="宋体" w:hAnsi="宋体" w:eastAsia="宋体" w:cs="宋体"/>
          <w:color w:val="auto"/>
          <w:sz w:val="21"/>
          <w:szCs w:val="21"/>
          <w:highlight w:val="none"/>
        </w:rPr>
        <w:t>乙方违约的情形</w:t>
      </w:r>
      <w:bookmarkEnd w:id="281"/>
      <w:bookmarkEnd w:id="282"/>
      <w:bookmarkEnd w:id="283"/>
      <w:bookmarkEnd w:id="284"/>
    </w:p>
    <w:p w14:paraId="2A220F24">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9）乙方不按合同约定履行义务的其他情况：</w:t>
      </w:r>
      <w:r>
        <w:rPr>
          <w:rFonts w:hint="eastAsia" w:ascii="宋体" w:hAnsi="宋体" w:eastAsia="宋体" w:cs="宋体"/>
          <w:color w:val="auto"/>
          <w:sz w:val="21"/>
          <w:szCs w:val="21"/>
          <w:highlight w:val="none"/>
          <w:u w:val="single"/>
        </w:rPr>
        <w:t xml:space="preserve">          </w:t>
      </w:r>
    </w:p>
    <w:p w14:paraId="68B78E51">
      <w:pPr>
        <w:keepNext w:val="0"/>
        <w:keepLines w:val="0"/>
        <w:pageBreakBefore w:val="0"/>
        <w:widowControl w:val="0"/>
        <w:kinsoku/>
        <w:overflowPunct w:val="0"/>
        <w:topLinePunct w:val="0"/>
        <w:autoSpaceDE/>
        <w:autoSpaceDN/>
        <w:bidi w:val="0"/>
        <w:spacing w:before="0" w:after="0" w:line="400" w:lineRule="exact"/>
        <w:ind w:left="0" w:firstLine="422" w:firstLineChars="200"/>
        <w:jc w:val="left"/>
        <w:textAlignment w:val="auto"/>
        <w:outlineLvl w:val="5"/>
        <w:rPr>
          <w:rFonts w:hint="eastAsia" w:ascii="宋体" w:hAnsi="宋体" w:eastAsia="宋体" w:cs="宋体"/>
          <w:b/>
          <w:color w:val="auto"/>
          <w:kern w:val="2"/>
          <w:sz w:val="21"/>
          <w:szCs w:val="21"/>
          <w:highlight w:val="none"/>
          <w:lang w:val="en-US" w:eastAsia="zh-CN" w:bidi="ar-SA"/>
        </w:rPr>
      </w:pPr>
      <w:bookmarkStart w:id="285" w:name="_Toc432755172"/>
      <w:r>
        <w:rPr>
          <w:rFonts w:hint="eastAsia" w:ascii="宋体" w:hAnsi="宋体" w:eastAsia="宋体" w:cs="宋体"/>
          <w:b/>
          <w:color w:val="auto"/>
          <w:kern w:val="2"/>
          <w:sz w:val="21"/>
          <w:szCs w:val="21"/>
          <w:highlight w:val="none"/>
          <w:lang w:val="en-US" w:eastAsia="zh-CN" w:bidi="ar-SA"/>
        </w:rPr>
        <w:t>16.3违约处理</w:t>
      </w:r>
      <w:bookmarkEnd w:id="285"/>
      <w:r>
        <w:rPr>
          <w:rFonts w:hint="eastAsia" w:ascii="宋体" w:hAnsi="宋体" w:eastAsia="宋体" w:cs="宋体"/>
          <w:b/>
          <w:color w:val="auto"/>
          <w:kern w:val="2"/>
          <w:sz w:val="21"/>
          <w:szCs w:val="21"/>
          <w:highlight w:val="none"/>
          <w:lang w:val="en-US" w:eastAsia="zh-CN" w:bidi="ar-SA"/>
        </w:rPr>
        <w:t>及赔偿责任</w:t>
      </w:r>
    </w:p>
    <w:p w14:paraId="4B93C404">
      <w:pPr>
        <w:pStyle w:val="306"/>
        <w:pageBreakBefore w:val="0"/>
        <w:widowControl w:val="0"/>
        <w:tabs>
          <w:tab w:val="left" w:pos="360"/>
        </w:tabs>
        <w:kinsoku/>
        <w:overflowPunct w:val="0"/>
        <w:topLinePunct w:val="0"/>
        <w:autoSpaceDE/>
        <w:autoSpaceDN/>
        <w:bidi w:val="0"/>
        <w:spacing w:line="400" w:lineRule="exact"/>
        <w:ind w:left="0" w:firstLine="422" w:firstLineChars="200"/>
        <w:textAlignment w:val="auto"/>
        <w:rPr>
          <w:rFonts w:hint="eastAsia" w:ascii="宋体" w:hAnsi="宋体" w:eastAsia="宋体" w:cs="宋体"/>
          <w:b/>
          <w:color w:val="auto"/>
          <w:sz w:val="21"/>
          <w:szCs w:val="21"/>
          <w:highlight w:val="none"/>
        </w:rPr>
      </w:pPr>
      <w:bookmarkStart w:id="286" w:name="_Toc432755173"/>
      <w:bookmarkStart w:id="287" w:name="_Toc30074"/>
      <w:bookmarkStart w:id="288" w:name="_Toc26861"/>
      <w:bookmarkStart w:id="289" w:name="_Toc66818571"/>
      <w:r>
        <w:rPr>
          <w:rFonts w:hint="eastAsia" w:ascii="宋体" w:hAnsi="宋体" w:eastAsia="宋体" w:cs="宋体"/>
          <w:b/>
          <w:color w:val="auto"/>
          <w:sz w:val="21"/>
          <w:szCs w:val="21"/>
          <w:highlight w:val="none"/>
        </w:rPr>
        <w:t>16.3.1甲方的违约</w:t>
      </w:r>
      <w:bookmarkEnd w:id="286"/>
      <w:bookmarkEnd w:id="287"/>
      <w:bookmarkEnd w:id="288"/>
      <w:r>
        <w:rPr>
          <w:rFonts w:hint="eastAsia" w:ascii="宋体" w:hAnsi="宋体" w:eastAsia="宋体" w:cs="宋体"/>
          <w:b/>
          <w:color w:val="auto"/>
          <w:sz w:val="21"/>
          <w:szCs w:val="21"/>
          <w:highlight w:val="none"/>
        </w:rPr>
        <w:t>处理</w:t>
      </w:r>
      <w:bookmarkEnd w:id="289"/>
    </w:p>
    <w:p w14:paraId="6F908F91">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1）因甲方违约造成工期延误的，每超过一天，甲方应支付</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元的违约金。</w:t>
      </w:r>
    </w:p>
    <w:p w14:paraId="5C0505A8">
      <w:pPr>
        <w:pStyle w:val="306"/>
        <w:pageBreakBefore w:val="0"/>
        <w:widowControl w:val="0"/>
        <w:tabs>
          <w:tab w:val="left" w:pos="360"/>
        </w:tabs>
        <w:kinsoku/>
        <w:overflowPunct w:val="0"/>
        <w:topLinePunct w:val="0"/>
        <w:autoSpaceDE/>
        <w:autoSpaceDN/>
        <w:bidi w:val="0"/>
        <w:spacing w:line="400" w:lineRule="exact"/>
        <w:ind w:left="0" w:firstLine="422" w:firstLineChars="200"/>
        <w:textAlignment w:val="auto"/>
        <w:rPr>
          <w:rFonts w:hint="eastAsia" w:ascii="宋体" w:hAnsi="宋体" w:eastAsia="宋体" w:cs="宋体"/>
          <w:b/>
          <w:color w:val="auto"/>
          <w:sz w:val="21"/>
          <w:szCs w:val="21"/>
          <w:highlight w:val="none"/>
        </w:rPr>
      </w:pPr>
      <w:bookmarkStart w:id="290" w:name="_Toc432755174"/>
      <w:bookmarkStart w:id="291" w:name="_Toc19215"/>
      <w:bookmarkStart w:id="292" w:name="_Toc4127"/>
      <w:bookmarkStart w:id="293" w:name="_Toc66818572"/>
      <w:r>
        <w:rPr>
          <w:rFonts w:hint="eastAsia" w:ascii="宋体" w:hAnsi="宋体" w:eastAsia="宋体" w:cs="宋体"/>
          <w:b/>
          <w:color w:val="auto"/>
          <w:sz w:val="21"/>
          <w:szCs w:val="21"/>
          <w:highlight w:val="none"/>
        </w:rPr>
        <w:t>16.3.2乙方的违约</w:t>
      </w:r>
      <w:bookmarkEnd w:id="290"/>
      <w:bookmarkEnd w:id="291"/>
      <w:bookmarkEnd w:id="292"/>
      <w:r>
        <w:rPr>
          <w:rFonts w:hint="eastAsia" w:ascii="宋体" w:hAnsi="宋体" w:eastAsia="宋体" w:cs="宋体"/>
          <w:b/>
          <w:color w:val="auto"/>
          <w:sz w:val="21"/>
          <w:szCs w:val="21"/>
          <w:highlight w:val="none"/>
        </w:rPr>
        <w:t>处理</w:t>
      </w:r>
      <w:bookmarkEnd w:id="293"/>
    </w:p>
    <w:p w14:paraId="21DF54D5">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1）发生16.2.1中</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3）种情形，未按甲方要求按期整改到位的，每次对乙方处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1-3万元，违约金总和不超过代建服务费）违约金。</w:t>
      </w:r>
    </w:p>
    <w:p w14:paraId="45FD0B05">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5）乙方按每天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元向甲方支付工期延误赔偿。</w:t>
      </w:r>
    </w:p>
    <w:p w14:paraId="6AE185D7">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6）</w:t>
      </w:r>
      <w:bookmarkStart w:id="294" w:name="_Toc2903"/>
      <w:bookmarkStart w:id="295" w:name="_Toc432755175"/>
      <w:bookmarkStart w:id="296" w:name="_Toc22423"/>
      <w:r>
        <w:rPr>
          <w:rFonts w:hint="eastAsia" w:ascii="宋体" w:hAnsi="宋体" w:eastAsia="宋体" w:cs="宋体"/>
          <w:color w:val="auto"/>
          <w:sz w:val="21"/>
          <w:szCs w:val="21"/>
          <w:highlight w:val="none"/>
        </w:rPr>
        <w:t>发生质量安全责任事故</w:t>
      </w:r>
      <w:bookmarkEnd w:id="294"/>
      <w:bookmarkEnd w:id="295"/>
      <w:bookmarkEnd w:id="296"/>
      <w:r>
        <w:rPr>
          <w:rFonts w:hint="eastAsia" w:ascii="宋体" w:hAnsi="宋体" w:eastAsia="宋体" w:cs="宋体"/>
          <w:color w:val="auto"/>
          <w:sz w:val="21"/>
          <w:szCs w:val="21"/>
          <w:highlight w:val="none"/>
        </w:rPr>
        <w:t>乙方被认定承担管理责任的，乙方按事故损失10%的比例向甲方赔偿，并承担其他法定责任。</w:t>
      </w:r>
    </w:p>
    <w:p w14:paraId="1937F526">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lang w:val="en"/>
        </w:rPr>
        <w:t>（</w:t>
      </w:r>
      <w:r>
        <w:rPr>
          <w:rFonts w:hint="eastAsia" w:ascii="宋体" w:hAnsi="宋体" w:eastAsia="宋体" w:cs="宋体"/>
          <w:color w:val="auto"/>
          <w:spacing w:val="0"/>
          <w:sz w:val="21"/>
          <w:szCs w:val="21"/>
          <w:highlight w:val="none"/>
        </w:rPr>
        <w:t>7）乙方不按时履行缺陷责任期内组织维修义务的，每次处以</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1-3万元）违约金。</w:t>
      </w:r>
    </w:p>
    <w:p w14:paraId="1891AD82">
      <w:pPr>
        <w:keepNext/>
        <w:keepLines/>
        <w:pageBreakBefore w:val="0"/>
        <w:widowControl w:val="0"/>
        <w:kinsoku/>
        <w:overflowPunct w:val="0"/>
        <w:topLinePunct w:val="0"/>
        <w:autoSpaceDE/>
        <w:autoSpaceDN/>
        <w:bidi w:val="0"/>
        <w:spacing w:before="0" w:beforeLines="0" w:after="0" w:afterLines="0" w:line="400" w:lineRule="exact"/>
        <w:ind w:left="0" w:firstLine="0"/>
        <w:jc w:val="center"/>
        <w:textAlignment w:val="auto"/>
        <w:outlineLvl w:val="2"/>
        <w:rPr>
          <w:rFonts w:hint="eastAsia" w:ascii="宋体" w:hAnsi="宋体" w:eastAsia="宋体" w:cs="宋体"/>
          <w:b/>
          <w:color w:val="auto"/>
          <w:kern w:val="2"/>
          <w:sz w:val="21"/>
          <w:szCs w:val="21"/>
          <w:highlight w:val="none"/>
          <w:lang w:val="en-US" w:eastAsia="zh-CN" w:bidi="ar-SA"/>
        </w:rPr>
      </w:pPr>
      <w:bookmarkStart w:id="297" w:name="_Toc66948664"/>
      <w:bookmarkStart w:id="298" w:name="_Toc66949771"/>
      <w:bookmarkStart w:id="299" w:name="_Toc66818974"/>
      <w:bookmarkStart w:id="300" w:name="_Toc66949373"/>
      <w:bookmarkStart w:id="301" w:name="_Toc66818573"/>
      <w:bookmarkStart w:id="302" w:name="_Toc66949628"/>
      <w:r>
        <w:rPr>
          <w:rFonts w:hint="eastAsia" w:ascii="宋体" w:hAnsi="宋体" w:eastAsia="宋体" w:cs="宋体"/>
          <w:b/>
          <w:color w:val="auto"/>
          <w:kern w:val="2"/>
          <w:sz w:val="21"/>
          <w:szCs w:val="21"/>
          <w:highlight w:val="none"/>
          <w:lang w:val="en-US" w:eastAsia="zh-CN" w:bidi="ar-SA"/>
        </w:rPr>
        <w:t>第七节</w:t>
      </w:r>
      <w:bookmarkEnd w:id="297"/>
      <w:bookmarkEnd w:id="298"/>
      <w:bookmarkEnd w:id="299"/>
      <w:bookmarkEnd w:id="300"/>
      <w:bookmarkEnd w:id="301"/>
      <w:bookmarkEnd w:id="302"/>
      <w:r>
        <w:rPr>
          <w:rFonts w:hint="eastAsia" w:ascii="宋体" w:hAnsi="宋体" w:cs="宋体"/>
          <w:b/>
          <w:color w:val="auto"/>
          <w:kern w:val="2"/>
          <w:sz w:val="21"/>
          <w:szCs w:val="21"/>
          <w:highlight w:val="none"/>
          <w:lang w:val="en-US" w:eastAsia="zh-CN" w:bidi="ar-SA"/>
        </w:rPr>
        <w:t xml:space="preserve"> </w:t>
      </w:r>
      <w:r>
        <w:rPr>
          <w:rFonts w:hint="eastAsia" w:ascii="宋体" w:hAnsi="宋体" w:eastAsia="宋体" w:cs="宋体"/>
          <w:b/>
          <w:color w:val="auto"/>
          <w:kern w:val="2"/>
          <w:sz w:val="21"/>
          <w:szCs w:val="21"/>
          <w:highlight w:val="none"/>
          <w:lang w:val="en-US" w:eastAsia="zh-CN" w:bidi="ar-SA"/>
        </w:rPr>
        <w:t>奖励</w:t>
      </w:r>
    </w:p>
    <w:p w14:paraId="2F869A0A">
      <w:pPr>
        <w:keepNext w:val="0"/>
        <w:keepLines w:val="0"/>
        <w:pageBreakBefore w:val="0"/>
        <w:widowControl w:val="0"/>
        <w:kinsoku/>
        <w:overflowPunct w:val="0"/>
        <w:topLinePunct w:val="0"/>
        <w:autoSpaceDE/>
        <w:autoSpaceDN/>
        <w:bidi w:val="0"/>
        <w:spacing w:before="0" w:after="0" w:line="400" w:lineRule="exact"/>
        <w:ind w:left="0" w:firstLine="422" w:firstLineChars="200"/>
        <w:jc w:val="both"/>
        <w:textAlignment w:val="auto"/>
        <w:outlineLvl w:val="3"/>
        <w:rPr>
          <w:rFonts w:hint="eastAsia" w:ascii="宋体" w:hAnsi="宋体" w:eastAsia="宋体" w:cs="宋体"/>
          <w:b/>
          <w:color w:val="auto"/>
          <w:kern w:val="2"/>
          <w:sz w:val="21"/>
          <w:szCs w:val="21"/>
          <w:highlight w:val="none"/>
          <w:lang w:val="en-US" w:eastAsia="zh-CN" w:bidi="ar-SA"/>
        </w:rPr>
      </w:pPr>
      <w:bookmarkStart w:id="303" w:name="_Toc432755177"/>
      <w:r>
        <w:rPr>
          <w:rFonts w:hint="eastAsia" w:ascii="宋体" w:hAnsi="宋体" w:eastAsia="宋体" w:cs="宋体"/>
          <w:b/>
          <w:color w:val="auto"/>
          <w:kern w:val="2"/>
          <w:sz w:val="21"/>
          <w:szCs w:val="21"/>
          <w:highlight w:val="none"/>
          <w:lang w:val="en-US" w:eastAsia="zh-CN" w:bidi="ar-SA"/>
        </w:rPr>
        <w:t>第十八条  奖励</w:t>
      </w:r>
      <w:bookmarkEnd w:id="303"/>
    </w:p>
    <w:p w14:paraId="2B527AA0">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18.1</w:t>
      </w:r>
      <w:r>
        <w:rPr>
          <w:rFonts w:hint="eastAsia" w:ascii="宋体" w:hAnsi="宋体" w:eastAsia="宋体" w:cs="宋体"/>
          <w:color w:val="auto"/>
          <w:sz w:val="21"/>
          <w:szCs w:val="21"/>
          <w:highlight w:val="none"/>
        </w:rPr>
        <w:t>按节余资金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不超过20%）的比例对乙方进行奖励，最终以财政部门核定的金额为准。</w:t>
      </w:r>
    </w:p>
    <w:p w14:paraId="1953B76C">
      <w:pPr>
        <w:pageBreakBefore w:val="0"/>
        <w:widowControl w:val="0"/>
        <w:kinsoku/>
        <w:overflowPunct w:val="0"/>
        <w:topLinePunct w:val="0"/>
        <w:autoSpaceDE/>
        <w:autoSpaceDN/>
        <w:bidi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18.2</w:t>
      </w:r>
      <w:r>
        <w:rPr>
          <w:rFonts w:hint="eastAsia" w:ascii="宋体" w:hAnsi="宋体" w:eastAsia="宋体" w:cs="宋体"/>
          <w:color w:val="auto"/>
          <w:sz w:val="21"/>
          <w:szCs w:val="21"/>
          <w:highlight w:val="none"/>
        </w:rPr>
        <w:t>本项目获得</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奖项</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国家级）的，甲方奖励乙方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万元；本项目获得</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奖项</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省级）的，甲方奖励乙方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w:t>
      </w:r>
    </w:p>
    <w:p w14:paraId="7699BBE9">
      <w:pPr>
        <w:keepNext w:val="0"/>
        <w:keepLines w:val="0"/>
        <w:pageBreakBefore w:val="0"/>
        <w:widowControl w:val="0"/>
        <w:kinsoku/>
        <w:overflowPunct w:val="0"/>
        <w:topLinePunct w:val="0"/>
        <w:autoSpaceDE/>
        <w:autoSpaceDN/>
        <w:bidi w:val="0"/>
        <w:spacing w:before="0" w:beforeLines="0" w:after="0" w:afterLines="0" w:line="400" w:lineRule="exact"/>
        <w:ind w:left="0" w:firstLine="0"/>
        <w:jc w:val="center"/>
        <w:textAlignment w:val="auto"/>
        <w:outlineLvl w:val="2"/>
        <w:rPr>
          <w:rFonts w:hint="eastAsia" w:ascii="宋体" w:hAnsi="宋体" w:eastAsia="宋体" w:cs="宋体"/>
          <w:b/>
          <w:color w:val="auto"/>
          <w:kern w:val="2"/>
          <w:sz w:val="21"/>
          <w:szCs w:val="21"/>
          <w:highlight w:val="none"/>
          <w:lang w:val="en-US" w:eastAsia="zh-CN" w:bidi="ar-SA"/>
        </w:rPr>
      </w:pPr>
      <w:bookmarkStart w:id="304" w:name="_Toc66949772"/>
      <w:bookmarkStart w:id="305" w:name="_Toc66948665"/>
      <w:bookmarkStart w:id="306" w:name="_Toc66818975"/>
      <w:bookmarkStart w:id="307" w:name="_Toc66949374"/>
      <w:bookmarkStart w:id="308" w:name="_Toc432755179"/>
      <w:bookmarkStart w:id="309" w:name="_Toc66818575"/>
      <w:bookmarkStart w:id="310" w:name="_Toc6841"/>
      <w:bookmarkStart w:id="311" w:name="_Toc28116"/>
      <w:bookmarkStart w:id="312" w:name="_Toc66949629"/>
      <w:r>
        <w:rPr>
          <w:rFonts w:hint="eastAsia" w:ascii="宋体" w:hAnsi="宋体" w:eastAsia="宋体" w:cs="宋体"/>
          <w:b/>
          <w:color w:val="auto"/>
          <w:kern w:val="2"/>
          <w:sz w:val="21"/>
          <w:szCs w:val="21"/>
          <w:highlight w:val="none"/>
          <w:lang w:val="en-US" w:eastAsia="zh-CN" w:bidi="ar-SA"/>
        </w:rPr>
        <w:t>第八节  合同的生效与补充</w:t>
      </w:r>
      <w:bookmarkEnd w:id="304"/>
      <w:bookmarkEnd w:id="305"/>
      <w:bookmarkEnd w:id="306"/>
      <w:bookmarkEnd w:id="307"/>
      <w:bookmarkEnd w:id="308"/>
      <w:bookmarkEnd w:id="309"/>
      <w:bookmarkEnd w:id="310"/>
      <w:bookmarkEnd w:id="311"/>
      <w:bookmarkEnd w:id="312"/>
    </w:p>
    <w:p w14:paraId="0EA2E6A2">
      <w:pPr>
        <w:keepNext w:val="0"/>
        <w:keepLines w:val="0"/>
        <w:pageBreakBefore w:val="0"/>
        <w:widowControl w:val="0"/>
        <w:kinsoku/>
        <w:overflowPunct w:val="0"/>
        <w:topLinePunct w:val="0"/>
        <w:autoSpaceDE/>
        <w:autoSpaceDN/>
        <w:bidi w:val="0"/>
        <w:spacing w:before="0" w:after="0" w:line="400" w:lineRule="exact"/>
        <w:ind w:left="0" w:firstLine="422" w:firstLineChars="200"/>
        <w:jc w:val="left"/>
        <w:textAlignment w:val="auto"/>
        <w:outlineLvl w:val="5"/>
        <w:rPr>
          <w:rFonts w:hint="eastAsia" w:ascii="宋体" w:hAnsi="宋体" w:eastAsia="宋体" w:cs="宋体"/>
          <w:b/>
          <w:color w:val="auto"/>
          <w:kern w:val="2"/>
          <w:sz w:val="21"/>
          <w:szCs w:val="21"/>
          <w:highlight w:val="none"/>
          <w:lang w:val="en-US" w:eastAsia="zh-CN" w:bidi="ar-SA"/>
        </w:rPr>
      </w:pPr>
      <w:bookmarkStart w:id="313" w:name="_Toc432755180"/>
      <w:r>
        <w:rPr>
          <w:rFonts w:hint="eastAsia" w:ascii="宋体" w:hAnsi="宋体" w:eastAsia="宋体" w:cs="宋体"/>
          <w:b/>
          <w:color w:val="auto"/>
          <w:kern w:val="2"/>
          <w:sz w:val="21"/>
          <w:szCs w:val="21"/>
          <w:highlight w:val="none"/>
          <w:lang w:val="en-US" w:eastAsia="zh-CN" w:bidi="ar-SA"/>
        </w:rPr>
        <w:t>第十九条  合同的生效、变更、终止与补充条款</w:t>
      </w:r>
      <w:bookmarkEnd w:id="313"/>
    </w:p>
    <w:p w14:paraId="3D3BF1F1">
      <w:pPr>
        <w:keepNext/>
        <w:keepLines/>
        <w:pageBreakBefore w:val="0"/>
        <w:widowControl w:val="0"/>
        <w:kinsoku/>
        <w:overflowPunct w:val="0"/>
        <w:topLinePunct w:val="0"/>
        <w:autoSpaceDE/>
        <w:autoSpaceDN/>
        <w:bidi w:val="0"/>
        <w:spacing w:before="0" w:after="0" w:line="400" w:lineRule="exact"/>
        <w:ind w:left="0" w:firstLine="422" w:firstLineChars="200"/>
        <w:jc w:val="left"/>
        <w:textAlignment w:val="auto"/>
        <w:outlineLvl w:val="5"/>
        <w:rPr>
          <w:rFonts w:hint="eastAsia" w:ascii="宋体" w:hAnsi="宋体" w:eastAsia="宋体" w:cs="宋体"/>
          <w:b/>
          <w:color w:val="auto"/>
          <w:kern w:val="2"/>
          <w:sz w:val="21"/>
          <w:szCs w:val="21"/>
          <w:highlight w:val="none"/>
          <w:lang w:val="en-US" w:eastAsia="zh-CN" w:bidi="ar-SA"/>
        </w:rPr>
      </w:pPr>
      <w:bookmarkStart w:id="314" w:name="_Toc432755182"/>
      <w:r>
        <w:rPr>
          <w:rFonts w:hint="eastAsia" w:ascii="宋体" w:hAnsi="宋体" w:eastAsia="宋体" w:cs="宋体"/>
          <w:b/>
          <w:bCs/>
          <w:color w:val="auto"/>
          <w:kern w:val="2"/>
          <w:sz w:val="21"/>
          <w:szCs w:val="21"/>
          <w:highlight w:val="none"/>
          <w:lang w:val="en-US" w:eastAsia="zh-CN" w:bidi="ar-SA"/>
        </w:rPr>
        <w:t>19.3</w:t>
      </w:r>
      <w:r>
        <w:rPr>
          <w:rFonts w:hint="eastAsia" w:ascii="宋体" w:hAnsi="宋体" w:eastAsia="宋体" w:cs="宋体"/>
          <w:b/>
          <w:color w:val="auto"/>
          <w:kern w:val="2"/>
          <w:sz w:val="21"/>
          <w:szCs w:val="21"/>
          <w:highlight w:val="none"/>
          <w:lang w:val="en-US" w:eastAsia="zh-CN" w:bidi="ar-SA"/>
        </w:rPr>
        <w:t>补充合同条款</w:t>
      </w:r>
      <w:bookmarkEnd w:id="314"/>
    </w:p>
    <w:p w14:paraId="6AAADAB6">
      <w:pPr>
        <w:pageBreakBefore w:val="0"/>
        <w:widowControl w:val="0"/>
        <w:kinsoku/>
        <w:overflowPunct w:val="0"/>
        <w:topLinePunct w:val="0"/>
        <w:autoSpaceDE/>
        <w:autoSpaceDN/>
        <w:bidi w:val="0"/>
        <w:spacing w:line="400" w:lineRule="exact"/>
        <w:ind w:firstLine="422"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b/>
          <w:color w:val="auto"/>
          <w:kern w:val="0"/>
          <w:sz w:val="21"/>
          <w:szCs w:val="21"/>
          <w:highlight w:val="none"/>
        </w:rPr>
        <w:t>19.3.1</w:t>
      </w:r>
      <w:r>
        <w:rPr>
          <w:rFonts w:hint="eastAsia" w:ascii="宋体" w:hAnsi="宋体" w:eastAsia="宋体" w:cs="宋体"/>
          <w:color w:val="auto"/>
          <w:kern w:val="0"/>
          <w:sz w:val="21"/>
          <w:szCs w:val="21"/>
          <w:highlight w:val="none"/>
        </w:rPr>
        <w:t>项目节能要求：</w:t>
      </w:r>
      <w:r>
        <w:rPr>
          <w:rFonts w:hint="eastAsia" w:ascii="宋体" w:hAnsi="宋体" w:eastAsia="宋体" w:cs="宋体"/>
          <w:color w:val="auto"/>
          <w:kern w:val="0"/>
          <w:sz w:val="21"/>
          <w:szCs w:val="21"/>
          <w:highlight w:val="none"/>
          <w:u w:val="single"/>
        </w:rPr>
        <w:t xml:space="preserve">                                </w:t>
      </w:r>
    </w:p>
    <w:p w14:paraId="0C22F128">
      <w:pPr>
        <w:pageBreakBefore w:val="0"/>
        <w:widowControl w:val="0"/>
        <w:kinsoku/>
        <w:overflowPunct w:val="0"/>
        <w:topLinePunct w:val="0"/>
        <w:autoSpaceDE/>
        <w:autoSpaceDN/>
        <w:bidi w:val="0"/>
        <w:spacing w:line="400" w:lineRule="exact"/>
        <w:ind w:firstLine="422"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19.3.2</w:t>
      </w:r>
      <w:r>
        <w:rPr>
          <w:rFonts w:hint="eastAsia" w:ascii="宋体" w:hAnsi="宋体" w:eastAsia="宋体" w:cs="宋体"/>
          <w:color w:val="auto"/>
          <w:kern w:val="0"/>
          <w:sz w:val="21"/>
          <w:szCs w:val="21"/>
          <w:highlight w:val="none"/>
        </w:rPr>
        <w:t>项目绿色建筑要求：</w:t>
      </w:r>
      <w:r>
        <w:rPr>
          <w:rFonts w:hint="eastAsia" w:ascii="宋体" w:hAnsi="宋体" w:eastAsia="宋体" w:cs="宋体"/>
          <w:color w:val="auto"/>
          <w:kern w:val="0"/>
          <w:sz w:val="21"/>
          <w:szCs w:val="21"/>
          <w:highlight w:val="none"/>
          <w:u w:val="single"/>
        </w:rPr>
        <w:t xml:space="preserve">                            </w:t>
      </w:r>
    </w:p>
    <w:p w14:paraId="0CD638B8">
      <w:pPr>
        <w:pageBreakBefore w:val="0"/>
        <w:widowControl w:val="0"/>
        <w:kinsoku/>
        <w:overflowPunct w:val="0"/>
        <w:topLinePunct w:val="0"/>
        <w:autoSpaceDE/>
        <w:autoSpaceDN/>
        <w:bidi w:val="0"/>
        <w:spacing w:line="400" w:lineRule="exact"/>
        <w:ind w:firstLine="422" w:firstLineChars="200"/>
        <w:jc w:val="left"/>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19.3.3</w:t>
      </w:r>
      <w:r>
        <w:rPr>
          <w:rFonts w:hint="eastAsia" w:ascii="宋体" w:hAnsi="宋体" w:eastAsia="宋体" w:cs="宋体"/>
          <w:color w:val="auto"/>
          <w:kern w:val="0"/>
          <w:sz w:val="21"/>
          <w:szCs w:val="21"/>
          <w:highlight w:val="none"/>
        </w:rPr>
        <w:t>资金管理</w:t>
      </w:r>
    </w:p>
    <w:p w14:paraId="3E4F5F40">
      <w:pPr>
        <w:pageBreakBefore w:val="0"/>
        <w:widowControl w:val="0"/>
        <w:kinsoku/>
        <w:overflowPunct w:val="0"/>
        <w:topLinePunct w:val="0"/>
        <w:autoSpaceDE/>
        <w:autoSpaceDN/>
        <w:bidi w:val="0"/>
        <w:spacing w:line="400" w:lineRule="exact"/>
        <w:ind w:left="0" w:right="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 w:eastAsia="zh-CN" w:bidi="ar-SA"/>
        </w:rPr>
        <w:t>（</w:t>
      </w:r>
      <w:r>
        <w:rPr>
          <w:rFonts w:hint="eastAsia" w:ascii="宋体" w:hAnsi="宋体" w:eastAsia="宋体" w:cs="宋体"/>
          <w:color w:val="auto"/>
          <w:kern w:val="0"/>
          <w:sz w:val="21"/>
          <w:szCs w:val="21"/>
          <w:highlight w:val="none"/>
          <w:lang w:val="en-US" w:eastAsia="zh-CN" w:bidi="ar-SA"/>
        </w:rPr>
        <w:t>1）甲方和乙方双方互相监督项目建设资金的使用，费用支付应当经双方授权的人员签字盖章。</w:t>
      </w:r>
    </w:p>
    <w:p w14:paraId="7D8EE3F8">
      <w:pPr>
        <w:pageBreakBefore w:val="0"/>
        <w:widowControl w:val="0"/>
        <w:kinsoku/>
        <w:overflowPunct w:val="0"/>
        <w:topLinePunct w:val="0"/>
        <w:autoSpaceDE/>
        <w:autoSpaceDN/>
        <w:bidi w:val="0"/>
        <w:spacing w:line="400" w:lineRule="exact"/>
        <w:ind w:left="0" w:right="-197"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br w:type="page"/>
      </w:r>
      <w:bookmarkStart w:id="315" w:name="_Toc20693"/>
      <w:bookmarkStart w:id="316" w:name="_Toc6185"/>
      <w:bookmarkStart w:id="317" w:name="_Toc432755183"/>
      <w:bookmarkStart w:id="318" w:name="_Toc66818576"/>
      <w:bookmarkStart w:id="319" w:name="_Toc152045769"/>
      <w:bookmarkStart w:id="320" w:name="_Toc247527801"/>
      <w:bookmarkStart w:id="321" w:name="_Toc300835202"/>
      <w:bookmarkStart w:id="322" w:name="_Toc247514200"/>
      <w:bookmarkStart w:id="323" w:name="_Toc152042551"/>
      <w:r>
        <w:rPr>
          <w:rFonts w:hint="eastAsia" w:ascii="宋体" w:hAnsi="宋体" w:eastAsia="宋体" w:cs="宋体"/>
          <w:color w:val="auto"/>
          <w:kern w:val="2"/>
          <w:sz w:val="21"/>
          <w:szCs w:val="21"/>
          <w:highlight w:val="none"/>
          <w:lang w:val="en-US" w:eastAsia="zh-CN" w:bidi="ar-SA"/>
        </w:rPr>
        <w:t>附件一：履约担保格式</w:t>
      </w:r>
      <w:bookmarkEnd w:id="205"/>
      <w:bookmarkEnd w:id="315"/>
      <w:bookmarkEnd w:id="316"/>
      <w:bookmarkEnd w:id="317"/>
      <w:bookmarkEnd w:id="318"/>
      <w:bookmarkEnd w:id="319"/>
      <w:bookmarkEnd w:id="320"/>
      <w:bookmarkEnd w:id="321"/>
      <w:bookmarkEnd w:id="322"/>
      <w:bookmarkEnd w:id="323"/>
    </w:p>
    <w:p w14:paraId="5BC8992B">
      <w:pPr>
        <w:pageBreakBefore w:val="0"/>
        <w:widowControl w:val="0"/>
        <w:kinsoku/>
        <w:overflowPunct w:val="0"/>
        <w:topLinePunct w:val="0"/>
        <w:autoSpaceDE/>
        <w:autoSpaceDN/>
        <w:bidi w:val="0"/>
        <w:spacing w:line="400" w:lineRule="exact"/>
        <w:textAlignment w:val="auto"/>
        <w:rPr>
          <w:rFonts w:hint="eastAsia" w:ascii="宋体" w:hAnsi="宋体" w:eastAsia="宋体" w:cs="宋体"/>
          <w:color w:val="auto"/>
          <w:sz w:val="21"/>
          <w:szCs w:val="21"/>
          <w:highlight w:val="none"/>
        </w:rPr>
      </w:pPr>
    </w:p>
    <w:p w14:paraId="445E858C">
      <w:pPr>
        <w:pageBreakBefore w:val="0"/>
        <w:widowControl w:val="0"/>
        <w:kinsoku/>
        <w:overflowPunct w:val="0"/>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p w14:paraId="6F27FC46">
      <w:pPr>
        <w:pageBreakBefore w:val="0"/>
        <w:widowControl w:val="0"/>
        <w:kinsoku/>
        <w:overflowPunct w:val="0"/>
        <w:topLinePunct w:val="0"/>
        <w:autoSpaceDE/>
        <w:autoSpaceDN/>
        <w:bidi w:val="0"/>
        <w:spacing w:line="400" w:lineRule="exact"/>
        <w:textAlignment w:val="auto"/>
        <w:rPr>
          <w:rFonts w:hint="eastAsia" w:ascii="宋体" w:hAnsi="宋体" w:eastAsia="宋体" w:cs="宋体"/>
          <w:color w:val="auto"/>
          <w:sz w:val="21"/>
          <w:szCs w:val="21"/>
          <w:highlight w:val="none"/>
        </w:rPr>
      </w:pPr>
    </w:p>
    <w:p w14:paraId="1A038763">
      <w:pPr>
        <w:pageBreakBefore w:val="0"/>
        <w:widowControl w:val="0"/>
        <w:kinsoku/>
        <w:overflowPunct w:val="0"/>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项目使用单位全称）：</w:t>
      </w:r>
    </w:p>
    <w:p w14:paraId="2E377D34">
      <w:pPr>
        <w:pageBreakBefore w:val="0"/>
        <w:widowControl w:val="0"/>
        <w:kinsoku/>
        <w:overflowPunct w:val="0"/>
        <w:topLinePunct w:val="0"/>
        <w:autoSpaceDE/>
        <w:autoSpaceDN/>
        <w:bidi w:val="0"/>
        <w:spacing w:line="400" w:lineRule="exact"/>
        <w:ind w:right="-143" w:rightChars="-68"/>
        <w:textAlignment w:val="auto"/>
        <w:rPr>
          <w:rFonts w:hint="eastAsia" w:ascii="宋体" w:hAnsi="宋体" w:eastAsia="宋体" w:cs="宋体"/>
          <w:color w:val="auto"/>
          <w:sz w:val="21"/>
          <w:szCs w:val="21"/>
          <w:highlight w:val="none"/>
        </w:rPr>
      </w:pPr>
    </w:p>
    <w:p w14:paraId="176AAD33">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鉴于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代建单位全称，以下称“代建单位”）即将与你方签订</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代建项目名称）的代建合同协议书，并保证按代建合同约定承担代建管理服务工作，我方愿意无条件地、不可撤销地就代建单位履行与你方订立的代建合同，出具保函为代建单位提供担保，担保金额为人民币</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ADE39E9">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函的义务是：我方在接到你方提出的因代建单位在履行代建合同过程中，未能履行或违背代建合同约定的责任和义务而要求索赔的书面通知和付款凭证后7日内，在上述担保的限额内，无条件向你方支付任何数额的款项，无须你方出具证明或陈述理由。</w:t>
      </w:r>
    </w:p>
    <w:p w14:paraId="7D838587">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在向我方提出要求前，我方将不坚持要求你方应首先向代建单位索要上述款项。我方还同意，任何对合同条款所做的修改和补充都不能免除我方按本保函所承担的义务。</w:t>
      </w:r>
    </w:p>
    <w:p w14:paraId="747A6C21">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本保函自</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生效日期，代建主管部门合同备案通知下发之日）之日起生效，至</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失效日期，代建范围内工程决算完成之日）之日失效，除非你方提前终止或解除本保函。本保函到期后，无论正本是否退回我方，该保函自动失效。</w:t>
      </w:r>
    </w:p>
    <w:p w14:paraId="22F09A66">
      <w:pPr>
        <w:pageBreakBefore w:val="0"/>
        <w:widowControl w:val="0"/>
        <w:kinsoku/>
        <w:overflowPunct w:val="0"/>
        <w:topLinePunct w:val="0"/>
        <w:autoSpaceDE/>
        <w:autoSpaceDN/>
        <w:bidi w:val="0"/>
        <w:spacing w:line="400" w:lineRule="exact"/>
        <w:textAlignment w:val="auto"/>
        <w:rPr>
          <w:rFonts w:hint="eastAsia" w:ascii="宋体" w:hAnsi="宋体" w:eastAsia="宋体" w:cs="宋体"/>
          <w:color w:val="auto"/>
          <w:sz w:val="21"/>
          <w:szCs w:val="21"/>
          <w:highlight w:val="none"/>
        </w:rPr>
      </w:pPr>
    </w:p>
    <w:p w14:paraId="7B2424CC">
      <w:pPr>
        <w:pageBreakBefore w:val="0"/>
        <w:widowControl w:val="0"/>
        <w:kinsoku/>
        <w:overflowPunct w:val="0"/>
        <w:topLinePunct w:val="0"/>
        <w:autoSpaceDE/>
        <w:autoSpaceDN/>
        <w:bidi w:val="0"/>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担 保 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盖单位章）</w:t>
      </w:r>
    </w:p>
    <w:p w14:paraId="0618AB66">
      <w:pPr>
        <w:pageBreakBefore w:val="0"/>
        <w:widowControl w:val="0"/>
        <w:kinsoku/>
        <w:overflowPunct w:val="0"/>
        <w:topLinePunct w:val="0"/>
        <w:autoSpaceDE/>
        <w:autoSpaceDN/>
        <w:bidi w:val="0"/>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签字）</w:t>
      </w:r>
    </w:p>
    <w:p w14:paraId="0182DAC7">
      <w:pPr>
        <w:pageBreakBefore w:val="0"/>
        <w:widowControl w:val="0"/>
        <w:kinsoku/>
        <w:overflowPunct w:val="0"/>
        <w:topLinePunct w:val="0"/>
        <w:autoSpaceDE/>
        <w:autoSpaceDN/>
        <w:bidi w:val="0"/>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single"/>
        </w:rPr>
        <w:t xml:space="preserve">                            </w:t>
      </w:r>
    </w:p>
    <w:p w14:paraId="590690F5">
      <w:pPr>
        <w:pageBreakBefore w:val="0"/>
        <w:widowControl w:val="0"/>
        <w:kinsoku/>
        <w:overflowPunct w:val="0"/>
        <w:topLinePunct w:val="0"/>
        <w:autoSpaceDE/>
        <w:autoSpaceDN/>
        <w:bidi w:val="0"/>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    话：</w:t>
      </w:r>
      <w:r>
        <w:rPr>
          <w:rFonts w:hint="eastAsia" w:ascii="宋体" w:hAnsi="宋体" w:eastAsia="宋体" w:cs="宋体"/>
          <w:color w:val="auto"/>
          <w:sz w:val="21"/>
          <w:szCs w:val="21"/>
          <w:highlight w:val="none"/>
          <w:u w:val="single"/>
        </w:rPr>
        <w:t xml:space="preserve">                            </w:t>
      </w:r>
    </w:p>
    <w:p w14:paraId="42D702CE">
      <w:pPr>
        <w:pageBreakBefore w:val="0"/>
        <w:widowControl w:val="0"/>
        <w:kinsoku/>
        <w:overflowPunct w:val="0"/>
        <w:topLinePunct w:val="0"/>
        <w:autoSpaceDE/>
        <w:autoSpaceDN/>
        <w:bidi w:val="0"/>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 xml:space="preserve">                            </w:t>
      </w:r>
    </w:p>
    <w:p w14:paraId="142E983D">
      <w:pPr>
        <w:pageBreakBefore w:val="0"/>
        <w:widowControl w:val="0"/>
        <w:kinsoku/>
        <w:overflowPunct w:val="0"/>
        <w:topLinePunct w:val="0"/>
        <w:autoSpaceDE/>
        <w:autoSpaceDN/>
        <w:bidi w:val="0"/>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    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5315D18A">
      <w:pPr>
        <w:keepNext/>
        <w:keepLines/>
        <w:pageBreakBefore w:val="0"/>
        <w:widowControl w:val="0"/>
        <w:kinsoku/>
        <w:overflowPunct w:val="0"/>
        <w:topLinePunct w:val="0"/>
        <w:autoSpaceDE/>
        <w:autoSpaceDN/>
        <w:bidi w:val="0"/>
        <w:spacing w:line="400" w:lineRule="exact"/>
        <w:ind w:left="482" w:right="-197" w:hanging="316" w:hangingChars="15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color w:val="auto"/>
          <w:kern w:val="44"/>
          <w:sz w:val="21"/>
          <w:szCs w:val="21"/>
          <w:highlight w:val="none"/>
          <w:lang w:val="en-US" w:eastAsia="zh-CN" w:bidi="ar-SA"/>
        </w:rPr>
        <w:br w:type="page"/>
      </w:r>
      <w:r>
        <w:rPr>
          <w:rFonts w:hint="eastAsia" w:ascii="宋体" w:hAnsi="宋体" w:eastAsia="宋体" w:cs="宋体"/>
          <w:color w:val="auto"/>
          <w:kern w:val="2"/>
          <w:sz w:val="21"/>
          <w:szCs w:val="21"/>
          <w:highlight w:val="none"/>
          <w:lang w:val="en-US" w:eastAsia="zh-CN" w:bidi="ar-SA"/>
        </w:rPr>
        <w:t>附件二：承诺函格式</w:t>
      </w:r>
    </w:p>
    <w:p w14:paraId="1FD97A0E">
      <w:pPr>
        <w:pageBreakBefore w:val="0"/>
        <w:widowControl w:val="0"/>
        <w:kinsoku/>
        <w:overflowPunct w:val="0"/>
        <w:topLinePunct w:val="0"/>
        <w:autoSpaceDE/>
        <w:autoSpaceDN/>
        <w:bidi w:val="0"/>
        <w:spacing w:line="400" w:lineRule="exact"/>
        <w:textAlignment w:val="auto"/>
        <w:rPr>
          <w:rFonts w:hint="eastAsia" w:ascii="宋体" w:hAnsi="宋体" w:eastAsia="宋体" w:cs="宋体"/>
          <w:color w:val="auto"/>
          <w:sz w:val="21"/>
          <w:szCs w:val="21"/>
          <w:highlight w:val="none"/>
        </w:rPr>
      </w:pPr>
    </w:p>
    <w:p w14:paraId="0499F423">
      <w:pPr>
        <w:pageBreakBefore w:val="0"/>
        <w:widowControl w:val="0"/>
        <w:kinsoku/>
        <w:overflowPunct w:val="0"/>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 诺 函</w:t>
      </w:r>
    </w:p>
    <w:p w14:paraId="364DF8FD">
      <w:pPr>
        <w:pageBreakBefore w:val="0"/>
        <w:widowControl w:val="0"/>
        <w:kinsoku/>
        <w:overflowPunct w:val="0"/>
        <w:topLinePunct w:val="0"/>
        <w:autoSpaceDE/>
        <w:autoSpaceDN/>
        <w:bidi w:val="0"/>
        <w:spacing w:line="400" w:lineRule="exact"/>
        <w:jc w:val="both"/>
        <w:textAlignment w:val="auto"/>
        <w:rPr>
          <w:rFonts w:hint="eastAsia" w:ascii="宋体" w:hAnsi="宋体" w:eastAsia="宋体" w:cs="宋体"/>
          <w:color w:val="auto"/>
          <w:sz w:val="21"/>
          <w:szCs w:val="21"/>
          <w:highlight w:val="none"/>
        </w:rPr>
      </w:pPr>
    </w:p>
    <w:p w14:paraId="2A98039B">
      <w:pPr>
        <w:pageBreakBefore w:val="0"/>
        <w:widowControl w:val="0"/>
        <w:kinsoku/>
        <w:overflowPunct w:val="0"/>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项目使用单位全称）：</w:t>
      </w:r>
    </w:p>
    <w:p w14:paraId="787B2730">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鉴于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代建单位全称，以下称“代建单位”）即将与你方签订</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代建项目名称）的代建合同协议书，承担该项目代建管理服务工作。我方承诺严格按照代建合同要求及建设程序和各项规定进行管理，严格按照政府投资主管部门批复的投资规模、标准进行建设，决算不超概算。</w:t>
      </w:r>
    </w:p>
    <w:p w14:paraId="767BA920">
      <w:pPr>
        <w:pageBreakBefore w:val="0"/>
        <w:widowControl w:val="0"/>
        <w:kinsoku/>
        <w:overflowPunct w:val="0"/>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因我方违反代建合同约定致使项目投资增加或你方经济损失的，所增加的项目投资额和造成的你方直接经济损失从履约担保中赔偿；履约担保不足的，相应扣减代建服务费；代建服务费仍不足的，从我方自有资金中赔偿。</w:t>
      </w:r>
    </w:p>
    <w:p w14:paraId="075738C1">
      <w:pPr>
        <w:pageBreakBefore w:val="0"/>
        <w:widowControl w:val="0"/>
        <w:kinsoku/>
        <w:overflowPunct w:val="0"/>
        <w:topLinePunct w:val="0"/>
        <w:autoSpaceDE/>
        <w:autoSpaceDN/>
        <w:bidi w:val="0"/>
        <w:spacing w:line="400" w:lineRule="exact"/>
        <w:ind w:left="3360" w:leftChars="16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代建单位盖章）</w:t>
      </w:r>
    </w:p>
    <w:p w14:paraId="04EE602A">
      <w:pPr>
        <w:widowControl/>
        <w:numPr>
          <w:ilvl w:val="0"/>
          <w:numId w:val="0"/>
        </w:numPr>
        <w:spacing w:line="440" w:lineRule="exact"/>
        <w:jc w:val="center"/>
        <w:rPr>
          <w:rFonts w:hint="eastAsia" w:ascii="宋体" w:hAnsi="宋体" w:eastAsia="宋体" w:cs="宋体"/>
          <w:b/>
          <w:color w:val="auto"/>
          <w:kern w:val="2"/>
          <w:sz w:val="32"/>
          <w:szCs w:val="32"/>
          <w:highlight w:val="none"/>
          <w:lang w:val="en-US" w:eastAsia="zh-CN" w:bidi="ar-SA"/>
        </w:rPr>
      </w:pPr>
    </w:p>
    <w:p w14:paraId="5277CAE4">
      <w:pPr>
        <w:widowControl/>
        <w:numPr>
          <w:ilvl w:val="0"/>
          <w:numId w:val="0"/>
        </w:numPr>
        <w:spacing w:line="440" w:lineRule="exact"/>
        <w:jc w:val="center"/>
        <w:rPr>
          <w:rFonts w:hint="eastAsia" w:ascii="宋体" w:hAnsi="宋体" w:eastAsia="宋体" w:cs="宋体"/>
          <w:b/>
          <w:color w:val="auto"/>
          <w:kern w:val="2"/>
          <w:sz w:val="32"/>
          <w:szCs w:val="32"/>
          <w:highlight w:val="none"/>
          <w:lang w:val="en-US" w:eastAsia="zh-CN" w:bidi="ar-SA"/>
        </w:rPr>
      </w:pPr>
    </w:p>
    <w:p w14:paraId="0150D2BB">
      <w:pPr>
        <w:widowControl/>
        <w:numPr>
          <w:ilvl w:val="0"/>
          <w:numId w:val="0"/>
        </w:numPr>
        <w:spacing w:line="440" w:lineRule="exact"/>
        <w:jc w:val="center"/>
        <w:rPr>
          <w:rFonts w:hint="eastAsia" w:ascii="宋体" w:hAnsi="宋体" w:eastAsia="宋体" w:cs="宋体"/>
          <w:b/>
          <w:color w:val="auto"/>
          <w:kern w:val="2"/>
          <w:sz w:val="32"/>
          <w:szCs w:val="32"/>
          <w:highlight w:val="none"/>
          <w:lang w:val="en-US" w:eastAsia="zh-CN" w:bidi="ar-SA"/>
        </w:rPr>
      </w:pPr>
    </w:p>
    <w:p w14:paraId="224BD0CD">
      <w:pPr>
        <w:widowControl/>
        <w:numPr>
          <w:ilvl w:val="0"/>
          <w:numId w:val="0"/>
        </w:numPr>
        <w:spacing w:line="440" w:lineRule="exact"/>
        <w:jc w:val="center"/>
        <w:rPr>
          <w:rFonts w:hint="eastAsia" w:ascii="宋体" w:hAnsi="宋体" w:eastAsia="宋体" w:cs="宋体"/>
          <w:b/>
          <w:color w:val="auto"/>
          <w:kern w:val="2"/>
          <w:sz w:val="32"/>
          <w:szCs w:val="32"/>
          <w:highlight w:val="none"/>
          <w:lang w:val="en-US" w:eastAsia="zh-CN" w:bidi="ar-SA"/>
        </w:rPr>
      </w:pPr>
    </w:p>
    <w:p w14:paraId="3E49FFD9">
      <w:pPr>
        <w:widowControl/>
        <w:numPr>
          <w:ilvl w:val="0"/>
          <w:numId w:val="0"/>
        </w:numPr>
        <w:spacing w:line="440" w:lineRule="exact"/>
        <w:jc w:val="center"/>
        <w:rPr>
          <w:rFonts w:hint="eastAsia" w:ascii="宋体" w:hAnsi="宋体" w:eastAsia="宋体" w:cs="宋体"/>
          <w:b/>
          <w:color w:val="auto"/>
          <w:kern w:val="2"/>
          <w:sz w:val="32"/>
          <w:szCs w:val="32"/>
          <w:highlight w:val="none"/>
          <w:lang w:val="en-US" w:eastAsia="zh-CN" w:bidi="ar-SA"/>
        </w:rPr>
      </w:pPr>
    </w:p>
    <w:p w14:paraId="002489FB">
      <w:pPr>
        <w:widowControl/>
        <w:numPr>
          <w:ilvl w:val="0"/>
          <w:numId w:val="0"/>
        </w:numPr>
        <w:spacing w:line="440" w:lineRule="exact"/>
        <w:jc w:val="center"/>
        <w:rPr>
          <w:rFonts w:hint="eastAsia" w:ascii="宋体" w:hAnsi="宋体" w:eastAsia="宋体" w:cs="宋体"/>
          <w:b/>
          <w:color w:val="auto"/>
          <w:kern w:val="2"/>
          <w:sz w:val="32"/>
          <w:szCs w:val="32"/>
          <w:highlight w:val="none"/>
          <w:lang w:val="en-US" w:eastAsia="zh-CN" w:bidi="ar-SA"/>
        </w:rPr>
      </w:pPr>
    </w:p>
    <w:p w14:paraId="6FEC18AC">
      <w:pPr>
        <w:widowControl/>
        <w:numPr>
          <w:ilvl w:val="0"/>
          <w:numId w:val="0"/>
        </w:numPr>
        <w:spacing w:line="440" w:lineRule="exact"/>
        <w:jc w:val="center"/>
        <w:rPr>
          <w:rFonts w:hint="eastAsia" w:ascii="宋体" w:hAnsi="宋体" w:eastAsia="宋体" w:cs="宋体"/>
          <w:b/>
          <w:color w:val="auto"/>
          <w:kern w:val="2"/>
          <w:sz w:val="32"/>
          <w:szCs w:val="32"/>
          <w:highlight w:val="none"/>
          <w:lang w:val="en-US" w:eastAsia="zh-CN" w:bidi="ar-SA"/>
        </w:rPr>
      </w:pPr>
    </w:p>
    <w:p w14:paraId="4EBB6B89">
      <w:pPr>
        <w:widowControl/>
        <w:numPr>
          <w:ilvl w:val="0"/>
          <w:numId w:val="0"/>
        </w:numPr>
        <w:spacing w:line="440" w:lineRule="exact"/>
        <w:jc w:val="center"/>
        <w:rPr>
          <w:rFonts w:hint="eastAsia" w:ascii="宋体" w:hAnsi="宋体" w:eastAsia="宋体" w:cs="宋体"/>
          <w:b/>
          <w:color w:val="auto"/>
          <w:kern w:val="2"/>
          <w:sz w:val="32"/>
          <w:szCs w:val="32"/>
          <w:highlight w:val="none"/>
          <w:lang w:val="en-US" w:eastAsia="zh-CN" w:bidi="ar-SA"/>
        </w:rPr>
      </w:pPr>
    </w:p>
    <w:p w14:paraId="0CAC2D69">
      <w:pPr>
        <w:widowControl/>
        <w:numPr>
          <w:ilvl w:val="0"/>
          <w:numId w:val="0"/>
        </w:numPr>
        <w:spacing w:line="440" w:lineRule="exact"/>
        <w:jc w:val="center"/>
        <w:rPr>
          <w:rFonts w:hint="eastAsia" w:ascii="宋体" w:hAnsi="宋体" w:eastAsia="宋体" w:cs="宋体"/>
          <w:b/>
          <w:color w:val="auto"/>
          <w:kern w:val="2"/>
          <w:sz w:val="32"/>
          <w:szCs w:val="32"/>
          <w:highlight w:val="none"/>
          <w:lang w:val="en-US" w:eastAsia="zh-CN" w:bidi="ar-SA"/>
        </w:rPr>
      </w:pPr>
    </w:p>
    <w:p w14:paraId="6F5406B5">
      <w:pPr>
        <w:widowControl/>
        <w:numPr>
          <w:ilvl w:val="0"/>
          <w:numId w:val="0"/>
        </w:numPr>
        <w:spacing w:line="440" w:lineRule="exact"/>
        <w:jc w:val="center"/>
        <w:rPr>
          <w:rFonts w:hint="eastAsia" w:ascii="宋体" w:hAnsi="宋体" w:eastAsia="宋体" w:cs="宋体"/>
          <w:b/>
          <w:color w:val="auto"/>
          <w:kern w:val="2"/>
          <w:sz w:val="32"/>
          <w:szCs w:val="32"/>
          <w:highlight w:val="none"/>
          <w:lang w:val="en-US" w:eastAsia="zh-CN" w:bidi="ar-SA"/>
        </w:rPr>
      </w:pPr>
    </w:p>
    <w:p w14:paraId="19526F38">
      <w:pPr>
        <w:widowControl/>
        <w:numPr>
          <w:ilvl w:val="0"/>
          <w:numId w:val="0"/>
        </w:numPr>
        <w:spacing w:line="440" w:lineRule="exact"/>
        <w:jc w:val="center"/>
        <w:rPr>
          <w:rFonts w:hint="eastAsia" w:ascii="宋体" w:hAnsi="宋体" w:eastAsia="宋体" w:cs="宋体"/>
          <w:b/>
          <w:color w:val="auto"/>
          <w:kern w:val="2"/>
          <w:sz w:val="32"/>
          <w:szCs w:val="32"/>
          <w:highlight w:val="none"/>
          <w:lang w:val="en-US" w:eastAsia="zh-CN" w:bidi="ar-SA"/>
        </w:rPr>
      </w:pPr>
    </w:p>
    <w:p w14:paraId="7547172D">
      <w:pPr>
        <w:widowControl/>
        <w:numPr>
          <w:ilvl w:val="0"/>
          <w:numId w:val="0"/>
        </w:numPr>
        <w:spacing w:line="440" w:lineRule="exact"/>
        <w:jc w:val="center"/>
        <w:rPr>
          <w:rFonts w:hint="eastAsia" w:ascii="宋体" w:hAnsi="宋体" w:eastAsia="宋体" w:cs="宋体"/>
          <w:b/>
          <w:color w:val="auto"/>
          <w:kern w:val="2"/>
          <w:sz w:val="32"/>
          <w:szCs w:val="32"/>
          <w:highlight w:val="none"/>
          <w:lang w:val="en-US" w:eastAsia="zh-CN" w:bidi="ar-SA"/>
        </w:rPr>
      </w:pPr>
    </w:p>
    <w:p w14:paraId="612C524F">
      <w:pPr>
        <w:widowControl/>
        <w:numPr>
          <w:ilvl w:val="0"/>
          <w:numId w:val="0"/>
        </w:numPr>
        <w:spacing w:line="440" w:lineRule="exact"/>
        <w:jc w:val="center"/>
        <w:rPr>
          <w:rFonts w:hint="eastAsia" w:ascii="宋体" w:hAnsi="宋体" w:eastAsia="宋体" w:cs="宋体"/>
          <w:b/>
          <w:color w:val="auto"/>
          <w:kern w:val="2"/>
          <w:sz w:val="32"/>
          <w:szCs w:val="32"/>
          <w:highlight w:val="none"/>
          <w:lang w:val="en-US" w:eastAsia="zh-CN" w:bidi="ar-SA"/>
        </w:rPr>
      </w:pPr>
    </w:p>
    <w:p w14:paraId="50C74A53">
      <w:pPr>
        <w:widowControl/>
        <w:numPr>
          <w:ilvl w:val="0"/>
          <w:numId w:val="0"/>
        </w:numPr>
        <w:spacing w:line="440" w:lineRule="exact"/>
        <w:jc w:val="center"/>
        <w:rPr>
          <w:rFonts w:hint="eastAsia" w:ascii="宋体" w:hAnsi="宋体" w:eastAsia="宋体" w:cs="宋体"/>
          <w:b/>
          <w:color w:val="auto"/>
          <w:kern w:val="2"/>
          <w:sz w:val="32"/>
          <w:szCs w:val="32"/>
          <w:highlight w:val="none"/>
          <w:lang w:val="en-US" w:eastAsia="zh-CN" w:bidi="ar-SA"/>
        </w:rPr>
      </w:pPr>
    </w:p>
    <w:p w14:paraId="1D08F6BC">
      <w:pPr>
        <w:widowControl/>
        <w:numPr>
          <w:ilvl w:val="0"/>
          <w:numId w:val="0"/>
        </w:numPr>
        <w:spacing w:line="440" w:lineRule="exact"/>
        <w:jc w:val="center"/>
        <w:rPr>
          <w:rFonts w:hint="eastAsia" w:ascii="宋体" w:hAnsi="宋体" w:eastAsia="宋体" w:cs="宋体"/>
          <w:b/>
          <w:color w:val="auto"/>
          <w:kern w:val="2"/>
          <w:sz w:val="32"/>
          <w:szCs w:val="32"/>
          <w:highlight w:val="none"/>
          <w:lang w:val="en-US" w:eastAsia="zh-CN" w:bidi="ar-SA"/>
        </w:rPr>
      </w:pPr>
    </w:p>
    <w:p w14:paraId="2ABD2E96">
      <w:pPr>
        <w:widowControl/>
        <w:numPr>
          <w:ilvl w:val="0"/>
          <w:numId w:val="0"/>
        </w:numPr>
        <w:spacing w:line="440" w:lineRule="exact"/>
        <w:jc w:val="center"/>
        <w:rPr>
          <w:rFonts w:hint="eastAsia" w:ascii="宋体" w:hAnsi="宋体" w:eastAsia="宋体" w:cs="宋体"/>
          <w:b/>
          <w:color w:val="auto"/>
          <w:kern w:val="2"/>
          <w:sz w:val="32"/>
          <w:szCs w:val="32"/>
          <w:highlight w:val="none"/>
          <w:lang w:val="en-US" w:eastAsia="zh-CN" w:bidi="ar-SA"/>
        </w:rPr>
      </w:pPr>
    </w:p>
    <w:p w14:paraId="49F86923">
      <w:pPr>
        <w:widowControl/>
        <w:numPr>
          <w:ilvl w:val="0"/>
          <w:numId w:val="0"/>
        </w:numPr>
        <w:spacing w:line="440" w:lineRule="exact"/>
        <w:jc w:val="center"/>
        <w:rPr>
          <w:rFonts w:hint="eastAsia" w:ascii="宋体" w:hAnsi="宋体" w:eastAsia="宋体" w:cs="宋体"/>
          <w:b/>
          <w:color w:val="auto"/>
          <w:kern w:val="2"/>
          <w:sz w:val="32"/>
          <w:szCs w:val="32"/>
          <w:highlight w:val="none"/>
          <w:lang w:val="en-US" w:eastAsia="zh-CN" w:bidi="ar-SA"/>
        </w:rPr>
      </w:pPr>
    </w:p>
    <w:p w14:paraId="16D2ED55">
      <w:pPr>
        <w:widowControl/>
        <w:numPr>
          <w:ilvl w:val="0"/>
          <w:numId w:val="0"/>
        </w:numPr>
        <w:spacing w:line="440" w:lineRule="exact"/>
        <w:jc w:val="center"/>
        <w:rPr>
          <w:rFonts w:hint="eastAsia" w:ascii="宋体" w:hAnsi="宋体" w:eastAsia="宋体" w:cs="宋体"/>
          <w:b/>
          <w:color w:val="auto"/>
          <w:kern w:val="2"/>
          <w:sz w:val="32"/>
          <w:szCs w:val="32"/>
          <w:highlight w:val="none"/>
          <w:lang w:val="en-US" w:eastAsia="zh-CN" w:bidi="ar-SA"/>
        </w:rPr>
      </w:pPr>
    </w:p>
    <w:p w14:paraId="6DD83EAB">
      <w:pPr>
        <w:widowControl/>
        <w:numPr>
          <w:ilvl w:val="0"/>
          <w:numId w:val="0"/>
        </w:numPr>
        <w:spacing w:line="440" w:lineRule="exact"/>
        <w:jc w:val="center"/>
        <w:rPr>
          <w:rFonts w:hint="eastAsia" w:ascii="宋体" w:hAnsi="宋体" w:eastAsia="宋体" w:cs="宋体"/>
          <w:b/>
          <w:color w:val="auto"/>
          <w:kern w:val="2"/>
          <w:sz w:val="32"/>
          <w:szCs w:val="32"/>
          <w:highlight w:val="none"/>
          <w:lang w:val="en-US" w:eastAsia="zh-CN" w:bidi="ar-SA"/>
        </w:rPr>
      </w:pPr>
    </w:p>
    <w:p w14:paraId="099FD13D">
      <w:pPr>
        <w:widowControl/>
        <w:numPr>
          <w:ilvl w:val="0"/>
          <w:numId w:val="0"/>
        </w:numPr>
        <w:spacing w:line="440" w:lineRule="exact"/>
        <w:jc w:val="center"/>
        <w:rPr>
          <w:rFonts w:hint="eastAsia" w:ascii="宋体" w:hAnsi="宋体" w:eastAsia="宋体" w:cs="宋体"/>
          <w:b/>
          <w:color w:val="auto"/>
          <w:kern w:val="2"/>
          <w:sz w:val="32"/>
          <w:szCs w:val="32"/>
          <w:highlight w:val="none"/>
          <w:lang w:val="en-US" w:eastAsia="zh-CN" w:bidi="ar-SA"/>
        </w:rPr>
      </w:pPr>
    </w:p>
    <w:p w14:paraId="6228392A">
      <w:pPr>
        <w:widowControl/>
        <w:numPr>
          <w:ilvl w:val="0"/>
          <w:numId w:val="0"/>
        </w:numPr>
        <w:spacing w:line="440" w:lineRule="exact"/>
        <w:jc w:val="center"/>
        <w:rPr>
          <w:rFonts w:hint="eastAsia" w:ascii="宋体" w:hAnsi="宋体" w:eastAsia="宋体" w:cs="宋体"/>
          <w:b/>
          <w:color w:val="auto"/>
          <w:kern w:val="2"/>
          <w:sz w:val="32"/>
          <w:szCs w:val="32"/>
          <w:highlight w:val="none"/>
          <w:lang w:val="en-US" w:eastAsia="zh-CN" w:bidi="ar-SA"/>
        </w:rPr>
      </w:pPr>
    </w:p>
    <w:p w14:paraId="4B47A396">
      <w:pPr>
        <w:widowControl/>
        <w:numPr>
          <w:ilvl w:val="0"/>
          <w:numId w:val="0"/>
        </w:numPr>
        <w:spacing w:line="440" w:lineRule="exact"/>
        <w:jc w:val="center"/>
        <w:rPr>
          <w:rFonts w:hint="eastAsia" w:ascii="宋体" w:hAnsi="宋体" w:eastAsia="宋体" w:cs="宋体"/>
          <w:b/>
          <w:color w:val="auto"/>
          <w:sz w:val="32"/>
          <w:szCs w:val="32"/>
          <w:highlight w:val="none"/>
        </w:rPr>
      </w:pPr>
      <w:r>
        <w:rPr>
          <w:rFonts w:hint="eastAsia" w:ascii="宋体" w:hAnsi="宋体" w:eastAsia="宋体" w:cs="宋体"/>
          <w:b/>
          <w:color w:val="auto"/>
          <w:kern w:val="2"/>
          <w:sz w:val="32"/>
          <w:szCs w:val="32"/>
          <w:highlight w:val="none"/>
          <w:lang w:val="en-US" w:eastAsia="zh-CN" w:bidi="ar-SA"/>
        </w:rPr>
        <w:t>第四章</w:t>
      </w:r>
      <w:r>
        <w:rPr>
          <w:rFonts w:hint="eastAsia" w:ascii="宋体" w:hAnsi="宋体" w:eastAsia="宋体" w:cs="宋体"/>
          <w:b/>
          <w:color w:val="auto"/>
          <w:sz w:val="32"/>
          <w:szCs w:val="32"/>
          <w:highlight w:val="none"/>
          <w:lang w:val="en-US" w:eastAsia="zh-CN"/>
        </w:rPr>
        <w:t xml:space="preserve"> </w:t>
      </w:r>
      <w:r>
        <w:rPr>
          <w:rFonts w:hint="eastAsia" w:ascii="宋体" w:hAnsi="宋体" w:eastAsia="宋体" w:cs="宋体"/>
          <w:b/>
          <w:color w:val="auto"/>
          <w:sz w:val="32"/>
          <w:szCs w:val="32"/>
          <w:highlight w:val="none"/>
        </w:rPr>
        <w:t>采购需求</w:t>
      </w:r>
    </w:p>
    <w:p w14:paraId="2EA8C66C">
      <w:pPr>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宋体" w:hAnsi="宋体" w:eastAsia="宋体" w:cs="宋体"/>
          <w:b/>
          <w:color w:val="auto"/>
          <w:sz w:val="32"/>
          <w:szCs w:val="32"/>
          <w:highlight w:val="none"/>
        </w:rPr>
      </w:pPr>
    </w:p>
    <w:p w14:paraId="71B52525">
      <w:pPr>
        <w:pStyle w:val="3"/>
        <w:pageBreakBefore w:val="0"/>
        <w:numPr>
          <w:ilvl w:val="0"/>
          <w:numId w:val="9"/>
        </w:numPr>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宋体" w:hAnsi="宋体" w:eastAsia="宋体" w:cs="宋体"/>
          <w:b/>
          <w:bCs w:val="0"/>
          <w:color w:val="auto"/>
          <w:kern w:val="2"/>
          <w:sz w:val="32"/>
          <w:szCs w:val="32"/>
          <w:highlight w:val="none"/>
          <w:lang w:val="en-US" w:eastAsia="zh-CN" w:bidi="ar-SA"/>
        </w:rPr>
      </w:pPr>
      <w:bookmarkStart w:id="324" w:name="_Toc288468094"/>
      <w:bookmarkStart w:id="325" w:name="_Toc128884461"/>
      <w:bookmarkStart w:id="326" w:name="_Toc402897600"/>
      <w:r>
        <w:rPr>
          <w:rFonts w:hint="eastAsia" w:ascii="宋体" w:hAnsi="宋体" w:eastAsia="宋体" w:cs="宋体"/>
          <w:b/>
          <w:bCs w:val="0"/>
          <w:color w:val="auto"/>
          <w:kern w:val="2"/>
          <w:sz w:val="32"/>
          <w:szCs w:val="32"/>
          <w:highlight w:val="none"/>
          <w:lang w:val="en-US" w:eastAsia="zh-CN" w:bidi="ar-SA"/>
        </w:rPr>
        <w:t>项目概况</w:t>
      </w:r>
    </w:p>
    <w:p w14:paraId="3C5AC420">
      <w:pPr>
        <w:numPr>
          <w:ilvl w:val="0"/>
          <w:numId w:val="0"/>
        </w:numPr>
        <w:rPr>
          <w:rFonts w:hint="eastAsia" w:ascii="宋体" w:hAnsi="宋体" w:eastAsia="宋体" w:cs="宋体"/>
          <w:color w:val="auto"/>
          <w:highlight w:val="none"/>
          <w:lang w:val="en-US" w:eastAsia="zh-CN"/>
        </w:rPr>
      </w:pPr>
    </w:p>
    <w:bookmarkEnd w:id="324"/>
    <w:bookmarkEnd w:id="325"/>
    <w:p w14:paraId="1A3C7262">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一、</w:t>
      </w:r>
      <w:r>
        <w:rPr>
          <w:rFonts w:hint="eastAsia" w:ascii="宋体" w:hAnsi="宋体" w:eastAsia="宋体" w:cs="宋体"/>
          <w:color w:val="auto"/>
          <w:sz w:val="24"/>
          <w:szCs w:val="24"/>
          <w:highlight w:val="none"/>
          <w:lang w:val="en-US" w:eastAsia="zh-CN"/>
        </w:rPr>
        <w:t>项目名称：</w:t>
      </w:r>
      <w:r>
        <w:rPr>
          <w:rFonts w:hint="eastAsia" w:ascii="宋体" w:hAnsi="宋体" w:cs="宋体"/>
          <w:color w:val="auto"/>
          <w:sz w:val="24"/>
          <w:szCs w:val="24"/>
          <w:highlight w:val="none"/>
          <w:lang w:val="en-US" w:eastAsia="zh-CN"/>
        </w:rPr>
        <w:t>岳阳县第五人民医院整体搬迁建设项目（一期）代建服务项目</w:t>
      </w:r>
    </w:p>
    <w:p w14:paraId="3E2CEF54">
      <w:pPr>
        <w:spacing w:before="156" w:beforeLines="50" w:line="360" w:lineRule="auto"/>
        <w:ind w:firstLine="480" w:firstLineChars="200"/>
        <w:jc w:val="left"/>
        <w:rPr>
          <w:rFonts w:hint="eastAsia" w:ascii="宋体" w:hAnsi="宋体" w:eastAsia="宋体" w:cs="宋体"/>
          <w:b w:val="0"/>
          <w:bCs w:val="0"/>
          <w:color w:val="auto"/>
          <w:sz w:val="24"/>
          <w:szCs w:val="24"/>
          <w:highlight w:val="none"/>
          <w:lang w:val="en-US" w:eastAsia="zh-CN"/>
        </w:rPr>
      </w:pPr>
      <w:r>
        <w:rPr>
          <w:rFonts w:hint="eastAsia" w:ascii="宋体" w:hAnsi="宋体" w:cs="宋体"/>
          <w:color w:val="auto"/>
          <w:sz w:val="24"/>
          <w:szCs w:val="24"/>
          <w:highlight w:val="none"/>
          <w:lang w:val="en-US" w:eastAsia="zh-CN"/>
        </w:rPr>
        <w:t>二、</w:t>
      </w:r>
      <w:r>
        <w:rPr>
          <w:rFonts w:hint="eastAsia" w:ascii="宋体" w:hAnsi="宋体" w:eastAsia="宋体" w:cs="宋体"/>
          <w:b w:val="0"/>
          <w:bCs w:val="0"/>
          <w:color w:val="auto"/>
          <w:sz w:val="24"/>
          <w:szCs w:val="24"/>
          <w:highlight w:val="none"/>
          <w:lang w:val="en-US" w:eastAsia="zh-CN"/>
        </w:rPr>
        <w:t>项目服务期限：代建周期为合同生效起到实体移交手续完成止。其中合同生效之日起至工程竣工验收合格之日止为 365日；竣工验收合格后 90日内向财政部门申请办理工程结算审批事宜，并按合同约定向使用单位办理实体移交手续。</w:t>
      </w:r>
    </w:p>
    <w:p w14:paraId="6AAC1A73">
      <w:pPr>
        <w:spacing w:before="156" w:beforeLines="50" w:line="360" w:lineRule="auto"/>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三、</w:t>
      </w:r>
      <w:bookmarkEnd w:id="326"/>
      <w:r>
        <w:rPr>
          <w:rFonts w:hint="eastAsia" w:ascii="宋体" w:hAnsi="宋体" w:cs="宋体"/>
          <w:b w:val="0"/>
          <w:bCs w:val="0"/>
          <w:color w:val="auto"/>
          <w:sz w:val="24"/>
          <w:szCs w:val="24"/>
          <w:highlight w:val="none"/>
          <w:lang w:val="en-US" w:eastAsia="zh-CN"/>
        </w:rPr>
        <w:t>项目建设内容及规模：岳阳县第五人民医院整体搬迁建设项目（一期）主要内容包括1#医技住院综合楼、2#食堂及管理用房、3#管理附属用房、室外附属工程等。该项目阶段性代建服务主要包括项目前期、实施、验收及后期结算、审计等阶段管理服务。</w:t>
      </w:r>
    </w:p>
    <w:p w14:paraId="4014A62F">
      <w:pPr>
        <w:spacing w:before="156" w:beforeLines="50" w:line="360" w:lineRule="auto"/>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四、</w:t>
      </w:r>
      <w:r>
        <w:rPr>
          <w:rFonts w:hint="eastAsia" w:ascii="宋体" w:hAnsi="宋体" w:eastAsia="宋体" w:cs="宋体"/>
          <w:b w:val="0"/>
          <w:bCs w:val="0"/>
          <w:color w:val="auto"/>
          <w:sz w:val="24"/>
          <w:szCs w:val="24"/>
          <w:highlight w:val="none"/>
          <w:lang w:val="en-US" w:eastAsia="zh-CN"/>
        </w:rPr>
        <w:t>代建范围内投资控制目标：核定岳阳县第五人民医院整体搬迁建设项目（一期）概算总投资4093.03万元，其中:工</w:t>
      </w:r>
      <w:r>
        <w:rPr>
          <w:rFonts w:hint="eastAsia" w:ascii="宋体" w:hAnsi="宋体" w:cs="宋体"/>
          <w:b w:val="0"/>
          <w:bCs w:val="0"/>
          <w:color w:val="auto"/>
          <w:sz w:val="24"/>
          <w:szCs w:val="24"/>
          <w:highlight w:val="none"/>
          <w:lang w:val="en-US" w:eastAsia="zh-CN"/>
        </w:rPr>
        <w:t>程费用3569.15万元，工程建设其他费用293.85万元，预备费78.35万元，代建制服务费151.68万元。</w:t>
      </w:r>
    </w:p>
    <w:p w14:paraId="6C35A1A7">
      <w:pPr>
        <w:spacing w:before="156" w:beforeLines="50" w:line="360" w:lineRule="auto"/>
        <w:ind w:firstLine="480" w:firstLineChars="20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五、代建服务费预算价：</w:t>
      </w:r>
      <w:r>
        <w:rPr>
          <w:rFonts w:hint="eastAsia" w:ascii="宋体" w:hAnsi="宋体" w:cs="宋体"/>
          <w:color w:val="auto"/>
          <w:sz w:val="24"/>
          <w:szCs w:val="24"/>
          <w:highlight w:val="none"/>
          <w:lang w:val="en-US" w:eastAsia="zh-CN"/>
        </w:rPr>
        <w:t>847300.00</w:t>
      </w:r>
      <w:r>
        <w:rPr>
          <w:rFonts w:hint="eastAsia" w:ascii="宋体" w:hAnsi="宋体" w:eastAsia="宋体" w:cs="宋体"/>
          <w:color w:val="auto"/>
          <w:sz w:val="24"/>
          <w:szCs w:val="24"/>
          <w:highlight w:val="none"/>
          <w:lang w:val="en-US" w:eastAsia="zh-CN"/>
        </w:rPr>
        <w:t>元</w:t>
      </w:r>
    </w:p>
    <w:p w14:paraId="29EF1607">
      <w:pPr>
        <w:spacing w:before="156" w:beforeLines="50" w:line="360" w:lineRule="auto"/>
        <w:ind w:firstLine="480" w:firstLineChars="20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六、本项目实施阶段性代建。</w:t>
      </w:r>
    </w:p>
    <w:p w14:paraId="372CBAF9">
      <w:pPr>
        <w:spacing w:before="156" w:beforeLines="50" w:line="360" w:lineRule="auto"/>
        <w:jc w:val="center"/>
        <w:rPr>
          <w:rFonts w:hint="eastAsia" w:ascii="宋体" w:hAnsi="宋体" w:eastAsia="宋体" w:cs="宋体"/>
          <w:b/>
          <w:bCs w:val="0"/>
          <w:color w:val="auto"/>
          <w:kern w:val="2"/>
          <w:sz w:val="32"/>
          <w:szCs w:val="32"/>
          <w:highlight w:val="none"/>
          <w:lang w:val="en-US" w:eastAsia="zh-CN" w:bidi="ar-SA"/>
        </w:rPr>
      </w:pPr>
    </w:p>
    <w:p w14:paraId="778ABE49">
      <w:pPr>
        <w:spacing w:before="156" w:beforeLines="50" w:line="360" w:lineRule="auto"/>
        <w:jc w:val="center"/>
        <w:rPr>
          <w:rFonts w:hint="eastAsia" w:ascii="宋体" w:hAnsi="宋体" w:eastAsia="宋体" w:cs="宋体"/>
          <w:b/>
          <w:bCs w:val="0"/>
          <w:color w:val="auto"/>
          <w:kern w:val="2"/>
          <w:sz w:val="32"/>
          <w:szCs w:val="32"/>
          <w:highlight w:val="none"/>
          <w:lang w:val="en-US" w:eastAsia="zh-CN" w:bidi="ar-SA"/>
        </w:rPr>
      </w:pPr>
    </w:p>
    <w:p w14:paraId="41999A2A">
      <w:pPr>
        <w:spacing w:before="156" w:beforeLines="50" w:line="360" w:lineRule="auto"/>
        <w:jc w:val="center"/>
        <w:rPr>
          <w:rFonts w:hint="eastAsia" w:ascii="宋体" w:hAnsi="宋体" w:eastAsia="宋体" w:cs="宋体"/>
          <w:b/>
          <w:bCs w:val="0"/>
          <w:color w:val="auto"/>
          <w:kern w:val="2"/>
          <w:sz w:val="32"/>
          <w:szCs w:val="32"/>
          <w:highlight w:val="none"/>
          <w:lang w:val="en-US" w:eastAsia="zh-CN" w:bidi="ar-SA"/>
        </w:rPr>
      </w:pPr>
    </w:p>
    <w:p w14:paraId="372D7043">
      <w:pPr>
        <w:spacing w:before="156" w:beforeLines="50" w:line="360" w:lineRule="auto"/>
        <w:jc w:val="center"/>
        <w:rPr>
          <w:rFonts w:hint="eastAsia" w:ascii="宋体" w:hAnsi="宋体" w:eastAsia="宋体" w:cs="宋体"/>
          <w:b/>
          <w:bCs w:val="0"/>
          <w:color w:val="auto"/>
          <w:kern w:val="2"/>
          <w:sz w:val="32"/>
          <w:szCs w:val="32"/>
          <w:highlight w:val="none"/>
          <w:lang w:val="en-US" w:eastAsia="zh-CN" w:bidi="ar-SA"/>
        </w:rPr>
      </w:pPr>
    </w:p>
    <w:p w14:paraId="35997597">
      <w:pPr>
        <w:spacing w:before="156" w:beforeLines="50" w:line="360" w:lineRule="auto"/>
        <w:jc w:val="center"/>
        <w:rPr>
          <w:rFonts w:hint="eastAsia" w:ascii="宋体" w:hAnsi="宋体" w:eastAsia="宋体" w:cs="宋体"/>
          <w:b/>
          <w:bCs w:val="0"/>
          <w:color w:val="auto"/>
          <w:kern w:val="2"/>
          <w:sz w:val="32"/>
          <w:szCs w:val="32"/>
          <w:highlight w:val="none"/>
          <w:lang w:val="en-US" w:eastAsia="zh-CN" w:bidi="ar-SA"/>
        </w:rPr>
      </w:pPr>
    </w:p>
    <w:p w14:paraId="724CE53E">
      <w:pPr>
        <w:spacing w:before="156" w:beforeLines="50" w:line="360" w:lineRule="auto"/>
        <w:jc w:val="center"/>
        <w:rPr>
          <w:rFonts w:hint="eastAsia" w:ascii="宋体" w:hAnsi="宋体" w:eastAsia="宋体" w:cs="宋体"/>
          <w:b/>
          <w:bCs w:val="0"/>
          <w:color w:val="auto"/>
          <w:kern w:val="2"/>
          <w:sz w:val="32"/>
          <w:szCs w:val="32"/>
          <w:highlight w:val="none"/>
          <w:lang w:val="en-US" w:eastAsia="zh-CN" w:bidi="ar-SA"/>
        </w:rPr>
      </w:pPr>
    </w:p>
    <w:p w14:paraId="1318946F">
      <w:pPr>
        <w:spacing w:before="156" w:beforeLines="50" w:line="360" w:lineRule="auto"/>
        <w:jc w:val="center"/>
        <w:rPr>
          <w:rFonts w:hint="eastAsia" w:ascii="宋体" w:hAnsi="宋体" w:eastAsia="宋体" w:cs="宋体"/>
          <w:b/>
          <w:bCs w:val="0"/>
          <w:color w:val="auto"/>
          <w:kern w:val="2"/>
          <w:sz w:val="32"/>
          <w:szCs w:val="32"/>
          <w:highlight w:val="none"/>
          <w:lang w:val="en-US" w:eastAsia="zh-CN" w:bidi="ar-SA"/>
        </w:rPr>
      </w:pPr>
    </w:p>
    <w:p w14:paraId="57C27319">
      <w:pPr>
        <w:spacing w:before="156" w:beforeLines="50" w:line="360" w:lineRule="auto"/>
        <w:jc w:val="center"/>
        <w:rPr>
          <w:rFonts w:hint="eastAsia" w:ascii="宋体" w:hAnsi="宋体" w:eastAsia="宋体" w:cs="宋体"/>
          <w:b/>
          <w:bCs w:val="0"/>
          <w:color w:val="auto"/>
          <w:kern w:val="2"/>
          <w:sz w:val="32"/>
          <w:szCs w:val="32"/>
          <w:highlight w:val="none"/>
          <w:lang w:val="en-US" w:eastAsia="zh-CN" w:bidi="ar-SA"/>
        </w:rPr>
      </w:pPr>
    </w:p>
    <w:p w14:paraId="247AAB97">
      <w:pPr>
        <w:spacing w:before="156" w:beforeLines="50" w:line="360" w:lineRule="auto"/>
        <w:jc w:val="center"/>
        <w:rPr>
          <w:rFonts w:hint="default" w:ascii="宋体" w:hAnsi="宋体" w:eastAsia="宋体" w:cs="宋体"/>
          <w:b/>
          <w:bCs w:val="0"/>
          <w:color w:val="auto"/>
          <w:kern w:val="2"/>
          <w:sz w:val="32"/>
          <w:szCs w:val="32"/>
          <w:highlight w:val="none"/>
          <w:lang w:val="en-US" w:eastAsia="zh-CN" w:bidi="ar-SA"/>
        </w:rPr>
      </w:pPr>
      <w:r>
        <w:rPr>
          <w:rFonts w:hint="eastAsia" w:ascii="宋体" w:hAnsi="宋体" w:eastAsia="宋体" w:cs="宋体"/>
          <w:b/>
          <w:bCs w:val="0"/>
          <w:color w:val="auto"/>
          <w:kern w:val="2"/>
          <w:sz w:val="32"/>
          <w:szCs w:val="32"/>
          <w:highlight w:val="none"/>
          <w:lang w:val="en-US" w:eastAsia="zh-CN" w:bidi="ar-SA"/>
        </w:rPr>
        <w:t xml:space="preserve">第二节 </w:t>
      </w:r>
      <w:r>
        <w:rPr>
          <w:rFonts w:hint="eastAsia" w:ascii="宋体" w:hAnsi="宋体" w:cs="宋体"/>
          <w:b/>
          <w:bCs w:val="0"/>
          <w:color w:val="auto"/>
          <w:kern w:val="2"/>
          <w:sz w:val="32"/>
          <w:szCs w:val="32"/>
          <w:highlight w:val="none"/>
          <w:lang w:val="en-US" w:eastAsia="zh-CN" w:bidi="ar-SA"/>
        </w:rPr>
        <w:t>技术</w:t>
      </w:r>
      <w:r>
        <w:rPr>
          <w:rFonts w:hint="eastAsia" w:ascii="宋体" w:hAnsi="宋体" w:eastAsia="宋体" w:cs="宋体"/>
          <w:b/>
          <w:bCs w:val="0"/>
          <w:color w:val="auto"/>
          <w:kern w:val="2"/>
          <w:sz w:val="32"/>
          <w:szCs w:val="32"/>
          <w:highlight w:val="none"/>
          <w:lang w:val="en-US" w:eastAsia="zh-CN" w:bidi="ar-SA"/>
        </w:rPr>
        <w:t>服务要求</w:t>
      </w:r>
    </w:p>
    <w:p w14:paraId="773098DB">
      <w:pPr>
        <w:pStyle w:val="305"/>
        <w:numPr>
          <w:ilvl w:val="0"/>
          <w:numId w:val="0"/>
        </w:num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一、工作范围：从初步设计概算批复后、代建合同生效开始至实体移交手续完成为止，对项目的开工前工作、建安工程、材料设备采购、室外工程及相关事项等进行全过程管理。</w:t>
      </w:r>
    </w:p>
    <w:p w14:paraId="74ECF7C2">
      <w:pPr>
        <w:pStyle w:val="305"/>
        <w:numPr>
          <w:ilvl w:val="0"/>
          <w:numId w:val="0"/>
        </w:numPr>
        <w:spacing w:line="360" w:lineRule="auto"/>
        <w:ind w:left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二、工作内容:</w:t>
      </w:r>
    </w:p>
    <w:p w14:paraId="7C0CE1D6">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1、按照国家、省有关规定和代建合同的约定，代建周期内代行项目建设单位的职责，负责工程实施的组织、协调、管理工作；</w:t>
      </w:r>
    </w:p>
    <w:p w14:paraId="410A4465">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2、依法组织开展项目勘察、设计、施工、监理及设备材料采购招标，负责工程合同的洽谈和签订，并将招投标情况、签订的合同按有关规定报发展改革、财政和相关行业管理部门备案；</w:t>
      </w:r>
    </w:p>
    <w:p w14:paraId="3B8F585A">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3、办理规划、施工、节能、环保、消防、人防、园林、市政等有关报批手续；</w:t>
      </w:r>
    </w:p>
    <w:p w14:paraId="3EB19A5B">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4、会同使用单位按项目进度申报财政资金，并按月向发展改革、财政部门和使用单位报送工程进度及资金使用情况；</w:t>
      </w:r>
    </w:p>
    <w:p w14:paraId="257E9312">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5、组织编制工程结算，协助招标人办理竣工财务决算；</w:t>
      </w:r>
    </w:p>
    <w:p w14:paraId="3D26B92E">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6、按照国家和省有关规定以及代建合同约定组织工程验收及办理竣工验收备案；</w:t>
      </w:r>
    </w:p>
    <w:p w14:paraId="102FF877">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7、按代建合同约定向使用单位办理项目实体移交手续；</w:t>
      </w:r>
    </w:p>
    <w:p w14:paraId="700E4127">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8、整理汇编移交有关项目资料等；</w:t>
      </w:r>
    </w:p>
    <w:p w14:paraId="7FF02749">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9、按有关规定要求和代建合同约定，做好缺陷责任期和保修期的服务工作；</w:t>
      </w:r>
    </w:p>
    <w:p w14:paraId="3E387733">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10、代建合同约定应承担的其他工作。（参照全过程代建工作内容，剔除本次代建单位招标前已完成的初步设计等相关工作内容）。</w:t>
      </w:r>
    </w:p>
    <w:p w14:paraId="78185210">
      <w:pPr>
        <w:numPr>
          <w:ilvl w:val="0"/>
          <w:numId w:val="0"/>
        </w:numPr>
        <w:adjustRightInd w:val="0"/>
        <w:snapToGrid w:val="0"/>
        <w:spacing w:line="360" w:lineRule="auto"/>
        <w:ind w:left="0" w:leftChars="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三、质量要求：依照国家《建筑工程施工质量验收统一标准》（相应法定质量标准）达到合格。</w:t>
      </w:r>
    </w:p>
    <w:p w14:paraId="2AB26C33">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四、安全管理目标:代建单位无安全责任事故。</w:t>
      </w:r>
    </w:p>
    <w:p w14:paraId="74D5CA54">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五、廉洁守法目标：严格遵守法律、法规、政策要求，无违法违纪行为。</w:t>
      </w:r>
    </w:p>
    <w:p w14:paraId="2EE8DED8">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六、人员配备</w:t>
      </w:r>
    </w:p>
    <w:tbl>
      <w:tblPr>
        <w:tblStyle w:val="304"/>
        <w:tblW w:w="98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8"/>
        <w:gridCol w:w="1525"/>
        <w:gridCol w:w="3340"/>
        <w:gridCol w:w="909"/>
        <w:gridCol w:w="724"/>
        <w:gridCol w:w="1049"/>
        <w:gridCol w:w="717"/>
        <w:gridCol w:w="720"/>
      </w:tblGrid>
      <w:tr w14:paraId="1C6912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0" w:hRule="atLeast"/>
        </w:trPr>
        <w:tc>
          <w:tcPr>
            <w:tcW w:w="828" w:type="dxa"/>
            <w:vAlign w:val="top"/>
          </w:tcPr>
          <w:p w14:paraId="65792D03">
            <w:pPr>
              <w:widowControl/>
              <w:kinsoku w:val="0"/>
              <w:autoSpaceDE w:val="0"/>
              <w:autoSpaceDN w:val="0"/>
              <w:adjustRightInd w:val="0"/>
              <w:snapToGrid w:val="0"/>
              <w:spacing w:before="308" w:line="240" w:lineRule="auto"/>
              <w:ind w:left="210" w:right="198" w:firstLine="12"/>
              <w:jc w:val="left"/>
              <w:textAlignment w:val="baseline"/>
              <w:rPr>
                <w:rFonts w:ascii="黑体" w:hAnsi="黑体" w:eastAsia="黑体" w:cs="黑体"/>
                <w:snapToGrid w:val="0"/>
                <w:color w:val="auto"/>
                <w:kern w:val="0"/>
                <w:sz w:val="21"/>
                <w:szCs w:val="21"/>
                <w:highlight w:val="none"/>
                <w:lang w:eastAsia="en-US"/>
              </w:rPr>
            </w:pPr>
            <w:r>
              <w:rPr>
                <w:rFonts w:ascii="黑体" w:hAnsi="黑体" w:eastAsia="黑体" w:cs="黑体"/>
                <w:snapToGrid w:val="0"/>
                <w:color w:val="auto"/>
                <w:spacing w:val="-10"/>
                <w:kern w:val="0"/>
                <w:sz w:val="21"/>
                <w:szCs w:val="21"/>
                <w:highlight w:val="none"/>
                <w:lang w:eastAsia="en-US"/>
              </w:rPr>
              <w:t>岗位</w:t>
            </w:r>
            <w:r>
              <w:rPr>
                <w:rFonts w:ascii="黑体" w:hAnsi="黑体" w:eastAsia="黑体" w:cs="黑体"/>
                <w:snapToGrid w:val="0"/>
                <w:color w:val="auto"/>
                <w:spacing w:val="-4"/>
                <w:kern w:val="0"/>
                <w:sz w:val="21"/>
                <w:szCs w:val="21"/>
                <w:highlight w:val="none"/>
                <w:lang w:eastAsia="en-US"/>
              </w:rPr>
              <w:t>设置</w:t>
            </w:r>
          </w:p>
        </w:tc>
        <w:tc>
          <w:tcPr>
            <w:tcW w:w="1525" w:type="dxa"/>
            <w:vAlign w:val="top"/>
          </w:tcPr>
          <w:p w14:paraId="43A30CC1">
            <w:pPr>
              <w:widowControl/>
              <w:kinsoku w:val="0"/>
              <w:autoSpaceDE w:val="0"/>
              <w:autoSpaceDN w:val="0"/>
              <w:adjustRightInd w:val="0"/>
              <w:snapToGrid w:val="0"/>
              <w:spacing w:line="373" w:lineRule="auto"/>
              <w:jc w:val="left"/>
              <w:textAlignment w:val="baseline"/>
              <w:rPr>
                <w:rFonts w:ascii="Arial" w:hAnsi="Arial" w:eastAsia="Arial" w:cs="Arial"/>
                <w:snapToGrid w:val="0"/>
                <w:color w:val="auto"/>
                <w:kern w:val="0"/>
                <w:sz w:val="21"/>
                <w:szCs w:val="21"/>
                <w:highlight w:val="none"/>
                <w:lang w:eastAsia="en-US"/>
              </w:rPr>
            </w:pPr>
          </w:p>
          <w:p w14:paraId="61D5FF8E">
            <w:pPr>
              <w:widowControl/>
              <w:kinsoku w:val="0"/>
              <w:autoSpaceDE w:val="0"/>
              <w:autoSpaceDN w:val="0"/>
              <w:adjustRightInd w:val="0"/>
              <w:snapToGrid w:val="0"/>
              <w:spacing w:before="68" w:line="221" w:lineRule="auto"/>
              <w:ind w:left="347"/>
              <w:jc w:val="left"/>
              <w:textAlignment w:val="baseline"/>
              <w:rPr>
                <w:rFonts w:ascii="黑体" w:hAnsi="黑体" w:eastAsia="黑体" w:cs="黑体"/>
                <w:snapToGrid w:val="0"/>
                <w:color w:val="auto"/>
                <w:kern w:val="0"/>
                <w:sz w:val="21"/>
                <w:szCs w:val="21"/>
                <w:highlight w:val="none"/>
                <w:lang w:eastAsia="en-US"/>
              </w:rPr>
            </w:pPr>
            <w:r>
              <w:rPr>
                <w:rFonts w:ascii="黑体" w:hAnsi="黑体" w:eastAsia="黑体" w:cs="黑体"/>
                <w:snapToGrid w:val="0"/>
                <w:color w:val="auto"/>
                <w:spacing w:val="-3"/>
                <w:kern w:val="0"/>
                <w:sz w:val="21"/>
                <w:szCs w:val="21"/>
                <w:highlight w:val="none"/>
                <w:lang w:eastAsia="en-US"/>
              </w:rPr>
              <w:t>人数要求</w:t>
            </w:r>
          </w:p>
        </w:tc>
        <w:tc>
          <w:tcPr>
            <w:tcW w:w="3340" w:type="dxa"/>
            <w:tcBorders>
              <w:bottom w:val="single" w:color="000000" w:sz="6" w:space="0"/>
            </w:tcBorders>
            <w:vAlign w:val="top"/>
          </w:tcPr>
          <w:p w14:paraId="1524877D">
            <w:pPr>
              <w:widowControl/>
              <w:kinsoku w:val="0"/>
              <w:autoSpaceDE w:val="0"/>
              <w:autoSpaceDN w:val="0"/>
              <w:adjustRightInd w:val="0"/>
              <w:snapToGrid w:val="0"/>
              <w:spacing w:line="374" w:lineRule="auto"/>
              <w:jc w:val="left"/>
              <w:textAlignment w:val="baseline"/>
              <w:rPr>
                <w:rFonts w:ascii="Arial" w:hAnsi="Arial" w:eastAsia="Arial" w:cs="Arial"/>
                <w:snapToGrid w:val="0"/>
                <w:color w:val="auto"/>
                <w:kern w:val="0"/>
                <w:sz w:val="21"/>
                <w:szCs w:val="21"/>
                <w:highlight w:val="none"/>
                <w:lang w:eastAsia="en-US"/>
              </w:rPr>
            </w:pPr>
          </w:p>
          <w:p w14:paraId="4E2E944C">
            <w:pPr>
              <w:widowControl/>
              <w:kinsoku w:val="0"/>
              <w:autoSpaceDE w:val="0"/>
              <w:autoSpaceDN w:val="0"/>
              <w:adjustRightInd w:val="0"/>
              <w:snapToGrid w:val="0"/>
              <w:spacing w:before="68" w:line="220" w:lineRule="auto"/>
              <w:ind w:left="1261"/>
              <w:jc w:val="left"/>
              <w:textAlignment w:val="baseline"/>
              <w:rPr>
                <w:rFonts w:ascii="黑体" w:hAnsi="黑体" w:eastAsia="黑体" w:cs="黑体"/>
                <w:snapToGrid w:val="0"/>
                <w:color w:val="auto"/>
                <w:kern w:val="0"/>
                <w:sz w:val="21"/>
                <w:szCs w:val="21"/>
                <w:highlight w:val="none"/>
                <w:lang w:eastAsia="en-US"/>
              </w:rPr>
            </w:pPr>
            <w:r>
              <w:rPr>
                <w:rFonts w:ascii="黑体" w:hAnsi="黑体" w:eastAsia="黑体" w:cs="黑体"/>
                <w:snapToGrid w:val="0"/>
                <w:color w:val="auto"/>
                <w:spacing w:val="-4"/>
                <w:kern w:val="0"/>
                <w:sz w:val="21"/>
                <w:szCs w:val="21"/>
                <w:highlight w:val="none"/>
                <w:lang w:eastAsia="en-US"/>
              </w:rPr>
              <w:t>资质要求</w:t>
            </w:r>
          </w:p>
        </w:tc>
        <w:tc>
          <w:tcPr>
            <w:tcW w:w="909" w:type="dxa"/>
            <w:tcBorders>
              <w:bottom w:val="single" w:color="000000" w:sz="6" w:space="0"/>
            </w:tcBorders>
            <w:vAlign w:val="top"/>
          </w:tcPr>
          <w:p w14:paraId="733978F8">
            <w:pPr>
              <w:widowControl/>
              <w:kinsoku w:val="0"/>
              <w:autoSpaceDE w:val="0"/>
              <w:autoSpaceDN w:val="0"/>
              <w:adjustRightInd w:val="0"/>
              <w:snapToGrid w:val="0"/>
              <w:spacing w:before="308" w:line="242" w:lineRule="auto"/>
              <w:ind w:left="356" w:right="132" w:hanging="210"/>
              <w:jc w:val="left"/>
              <w:textAlignment w:val="baseline"/>
              <w:rPr>
                <w:rFonts w:ascii="黑体" w:hAnsi="黑体" w:eastAsia="黑体" w:cs="黑体"/>
                <w:snapToGrid w:val="0"/>
                <w:color w:val="auto"/>
                <w:kern w:val="0"/>
                <w:sz w:val="21"/>
                <w:szCs w:val="21"/>
                <w:highlight w:val="none"/>
                <w:lang w:eastAsia="en-US"/>
              </w:rPr>
            </w:pPr>
            <w:r>
              <w:rPr>
                <w:rFonts w:ascii="黑体" w:hAnsi="黑体" w:eastAsia="黑体" w:cs="黑体"/>
                <w:snapToGrid w:val="0"/>
                <w:color w:val="auto"/>
                <w:spacing w:val="-2"/>
                <w:kern w:val="0"/>
                <w:sz w:val="21"/>
                <w:szCs w:val="21"/>
                <w:highlight w:val="none"/>
                <w:lang w:eastAsia="en-US"/>
              </w:rPr>
              <w:t>职称要</w:t>
            </w:r>
            <w:r>
              <w:rPr>
                <w:rFonts w:ascii="黑体" w:hAnsi="黑体" w:eastAsia="黑体" w:cs="黑体"/>
                <w:snapToGrid w:val="0"/>
                <w:color w:val="auto"/>
                <w:kern w:val="0"/>
                <w:sz w:val="21"/>
                <w:szCs w:val="21"/>
                <w:highlight w:val="none"/>
                <w:lang w:eastAsia="en-US"/>
              </w:rPr>
              <w:t>求</w:t>
            </w:r>
          </w:p>
        </w:tc>
        <w:tc>
          <w:tcPr>
            <w:tcW w:w="724" w:type="dxa"/>
            <w:tcBorders>
              <w:bottom w:val="single" w:color="000000" w:sz="6" w:space="0"/>
            </w:tcBorders>
            <w:vAlign w:val="top"/>
          </w:tcPr>
          <w:p w14:paraId="2DAE1D05">
            <w:pPr>
              <w:widowControl/>
              <w:kinsoku w:val="0"/>
              <w:autoSpaceDE w:val="0"/>
              <w:autoSpaceDN w:val="0"/>
              <w:adjustRightInd w:val="0"/>
              <w:snapToGrid w:val="0"/>
              <w:spacing w:before="170" w:line="221" w:lineRule="auto"/>
              <w:ind w:left="162"/>
              <w:jc w:val="left"/>
              <w:textAlignment w:val="baseline"/>
              <w:rPr>
                <w:rFonts w:ascii="黑体" w:hAnsi="黑体" w:eastAsia="黑体" w:cs="黑体"/>
                <w:snapToGrid w:val="0"/>
                <w:color w:val="auto"/>
                <w:kern w:val="0"/>
                <w:sz w:val="21"/>
                <w:szCs w:val="21"/>
                <w:highlight w:val="none"/>
                <w:lang w:eastAsia="en-US"/>
              </w:rPr>
            </w:pPr>
            <w:r>
              <w:rPr>
                <w:rFonts w:ascii="黑体" w:hAnsi="黑体" w:eastAsia="黑体" w:cs="黑体"/>
                <w:snapToGrid w:val="0"/>
                <w:color w:val="auto"/>
                <w:spacing w:val="-3"/>
                <w:kern w:val="0"/>
                <w:sz w:val="21"/>
                <w:szCs w:val="21"/>
                <w:highlight w:val="none"/>
                <w:lang w:eastAsia="en-US"/>
              </w:rPr>
              <w:t>是否</w:t>
            </w:r>
          </w:p>
          <w:p w14:paraId="3F06C505">
            <w:pPr>
              <w:widowControl/>
              <w:kinsoku w:val="0"/>
              <w:autoSpaceDE w:val="0"/>
              <w:autoSpaceDN w:val="0"/>
              <w:adjustRightInd w:val="0"/>
              <w:snapToGrid w:val="0"/>
              <w:spacing w:before="22" w:line="220" w:lineRule="auto"/>
              <w:ind w:left="166"/>
              <w:jc w:val="left"/>
              <w:textAlignment w:val="baseline"/>
              <w:rPr>
                <w:rFonts w:ascii="黑体" w:hAnsi="黑体" w:eastAsia="黑体" w:cs="黑体"/>
                <w:snapToGrid w:val="0"/>
                <w:color w:val="auto"/>
                <w:kern w:val="0"/>
                <w:sz w:val="21"/>
                <w:szCs w:val="21"/>
                <w:highlight w:val="none"/>
                <w:lang w:eastAsia="en-US"/>
              </w:rPr>
            </w:pPr>
            <w:r>
              <w:rPr>
                <w:rFonts w:ascii="黑体" w:hAnsi="黑体" w:eastAsia="黑体" w:cs="黑体"/>
                <w:snapToGrid w:val="0"/>
                <w:color w:val="auto"/>
                <w:spacing w:val="-4"/>
                <w:kern w:val="0"/>
                <w:sz w:val="21"/>
                <w:szCs w:val="21"/>
                <w:highlight w:val="none"/>
                <w:lang w:eastAsia="en-US"/>
              </w:rPr>
              <w:t>常驻</w:t>
            </w:r>
          </w:p>
          <w:p w14:paraId="4B56683E">
            <w:pPr>
              <w:widowControl/>
              <w:kinsoku w:val="0"/>
              <w:autoSpaceDE w:val="0"/>
              <w:autoSpaceDN w:val="0"/>
              <w:adjustRightInd w:val="0"/>
              <w:snapToGrid w:val="0"/>
              <w:spacing w:before="20" w:line="220" w:lineRule="auto"/>
              <w:ind w:left="158"/>
              <w:jc w:val="left"/>
              <w:textAlignment w:val="baseline"/>
              <w:rPr>
                <w:rFonts w:ascii="黑体" w:hAnsi="黑体" w:eastAsia="黑体" w:cs="黑体"/>
                <w:snapToGrid w:val="0"/>
                <w:color w:val="auto"/>
                <w:kern w:val="0"/>
                <w:sz w:val="21"/>
                <w:szCs w:val="21"/>
                <w:highlight w:val="none"/>
                <w:lang w:eastAsia="en-US"/>
              </w:rPr>
            </w:pPr>
            <w:r>
              <w:rPr>
                <w:rFonts w:ascii="黑体" w:hAnsi="黑体" w:eastAsia="黑体" w:cs="黑体"/>
                <w:snapToGrid w:val="0"/>
                <w:color w:val="auto"/>
                <w:spacing w:val="-2"/>
                <w:kern w:val="0"/>
                <w:sz w:val="21"/>
                <w:szCs w:val="21"/>
                <w:highlight w:val="none"/>
                <w:lang w:eastAsia="en-US"/>
              </w:rPr>
              <w:t>现场</w:t>
            </w:r>
          </w:p>
        </w:tc>
        <w:tc>
          <w:tcPr>
            <w:tcW w:w="1049" w:type="dxa"/>
            <w:tcBorders>
              <w:bottom w:val="single" w:color="000000" w:sz="6" w:space="0"/>
            </w:tcBorders>
            <w:vAlign w:val="top"/>
          </w:tcPr>
          <w:p w14:paraId="02B39BE8">
            <w:pPr>
              <w:widowControl/>
              <w:kinsoku w:val="0"/>
              <w:autoSpaceDE w:val="0"/>
              <w:autoSpaceDN w:val="0"/>
              <w:adjustRightInd w:val="0"/>
              <w:snapToGrid w:val="0"/>
              <w:spacing w:before="34" w:line="220" w:lineRule="auto"/>
              <w:ind w:left="115"/>
              <w:jc w:val="left"/>
              <w:textAlignment w:val="baseline"/>
              <w:rPr>
                <w:rFonts w:ascii="黑体" w:hAnsi="黑体" w:eastAsia="黑体" w:cs="黑体"/>
                <w:snapToGrid w:val="0"/>
                <w:color w:val="auto"/>
                <w:kern w:val="0"/>
                <w:sz w:val="21"/>
                <w:szCs w:val="21"/>
                <w:highlight w:val="none"/>
                <w:lang w:eastAsia="en-US"/>
              </w:rPr>
            </w:pPr>
            <w:r>
              <w:rPr>
                <w:rFonts w:ascii="黑体" w:hAnsi="黑体" w:eastAsia="黑体" w:cs="黑体"/>
                <w:snapToGrid w:val="0"/>
                <w:color w:val="auto"/>
                <w:spacing w:val="-3"/>
                <w:kern w:val="0"/>
                <w:sz w:val="21"/>
                <w:szCs w:val="21"/>
                <w:highlight w:val="none"/>
                <w:lang w:eastAsia="en-US"/>
              </w:rPr>
              <w:t>是否允许</w:t>
            </w:r>
          </w:p>
          <w:p w14:paraId="6CABA885">
            <w:pPr>
              <w:widowControl/>
              <w:kinsoku w:val="0"/>
              <w:autoSpaceDE w:val="0"/>
              <w:autoSpaceDN w:val="0"/>
              <w:adjustRightInd w:val="0"/>
              <w:snapToGrid w:val="0"/>
              <w:spacing w:before="23" w:line="220" w:lineRule="auto"/>
              <w:ind w:left="110"/>
              <w:jc w:val="left"/>
              <w:textAlignment w:val="baseline"/>
              <w:rPr>
                <w:rFonts w:ascii="黑体" w:hAnsi="黑体" w:eastAsia="黑体" w:cs="黑体"/>
                <w:snapToGrid w:val="0"/>
                <w:color w:val="auto"/>
                <w:kern w:val="0"/>
                <w:sz w:val="21"/>
                <w:szCs w:val="21"/>
                <w:highlight w:val="none"/>
                <w:lang w:eastAsia="en-US"/>
              </w:rPr>
            </w:pPr>
            <w:r>
              <w:rPr>
                <w:rFonts w:ascii="黑体" w:hAnsi="黑体" w:eastAsia="黑体" w:cs="黑体"/>
                <w:snapToGrid w:val="0"/>
                <w:color w:val="auto"/>
                <w:spacing w:val="-1"/>
                <w:kern w:val="0"/>
                <w:sz w:val="21"/>
                <w:szCs w:val="21"/>
                <w:highlight w:val="none"/>
                <w:lang w:eastAsia="en-US"/>
              </w:rPr>
              <w:t>承担本项</w:t>
            </w:r>
          </w:p>
          <w:p w14:paraId="607735E4">
            <w:pPr>
              <w:widowControl/>
              <w:kinsoku w:val="0"/>
              <w:autoSpaceDE w:val="0"/>
              <w:autoSpaceDN w:val="0"/>
              <w:adjustRightInd w:val="0"/>
              <w:snapToGrid w:val="0"/>
              <w:spacing w:before="21" w:line="219" w:lineRule="auto"/>
              <w:ind w:left="137"/>
              <w:jc w:val="left"/>
              <w:textAlignment w:val="baseline"/>
              <w:rPr>
                <w:rFonts w:ascii="黑体" w:hAnsi="黑体" w:eastAsia="黑体" w:cs="黑体"/>
                <w:snapToGrid w:val="0"/>
                <w:color w:val="auto"/>
                <w:kern w:val="0"/>
                <w:sz w:val="21"/>
                <w:szCs w:val="21"/>
                <w:highlight w:val="none"/>
                <w:lang w:eastAsia="en-US"/>
              </w:rPr>
            </w:pPr>
            <w:r>
              <w:rPr>
                <w:rFonts w:ascii="黑体" w:hAnsi="黑体" w:eastAsia="黑体" w:cs="黑体"/>
                <w:snapToGrid w:val="0"/>
                <w:color w:val="auto"/>
                <w:spacing w:val="-8"/>
                <w:kern w:val="0"/>
                <w:sz w:val="21"/>
                <w:szCs w:val="21"/>
                <w:highlight w:val="none"/>
                <w:lang w:eastAsia="en-US"/>
              </w:rPr>
              <w:t>目代建以</w:t>
            </w:r>
          </w:p>
          <w:p w14:paraId="19FFC7B3">
            <w:pPr>
              <w:widowControl/>
              <w:kinsoku w:val="0"/>
              <w:autoSpaceDE w:val="0"/>
              <w:autoSpaceDN w:val="0"/>
              <w:adjustRightInd w:val="0"/>
              <w:snapToGrid w:val="0"/>
              <w:spacing w:before="23" w:line="209" w:lineRule="auto"/>
              <w:ind w:left="109"/>
              <w:jc w:val="left"/>
              <w:textAlignment w:val="baseline"/>
              <w:rPr>
                <w:rFonts w:ascii="黑体" w:hAnsi="黑体" w:eastAsia="黑体" w:cs="黑体"/>
                <w:snapToGrid w:val="0"/>
                <w:color w:val="auto"/>
                <w:kern w:val="0"/>
                <w:sz w:val="21"/>
                <w:szCs w:val="21"/>
                <w:highlight w:val="none"/>
                <w:lang w:eastAsia="en-US"/>
              </w:rPr>
            </w:pPr>
            <w:r>
              <w:rPr>
                <w:rFonts w:ascii="黑体" w:hAnsi="黑体" w:eastAsia="黑体" w:cs="黑体"/>
                <w:snapToGrid w:val="0"/>
                <w:color w:val="auto"/>
                <w:spacing w:val="-1"/>
                <w:kern w:val="0"/>
                <w:sz w:val="21"/>
                <w:szCs w:val="21"/>
                <w:highlight w:val="none"/>
                <w:lang w:eastAsia="en-US"/>
              </w:rPr>
              <w:t>外的工作</w:t>
            </w:r>
          </w:p>
        </w:tc>
        <w:tc>
          <w:tcPr>
            <w:tcW w:w="717" w:type="dxa"/>
            <w:tcBorders>
              <w:bottom w:val="single" w:color="000000" w:sz="6" w:space="0"/>
            </w:tcBorders>
            <w:vAlign w:val="top"/>
          </w:tcPr>
          <w:p w14:paraId="220E5B4C">
            <w:pPr>
              <w:widowControl/>
              <w:kinsoku w:val="0"/>
              <w:autoSpaceDE w:val="0"/>
              <w:autoSpaceDN w:val="0"/>
              <w:adjustRightInd w:val="0"/>
              <w:snapToGrid w:val="0"/>
              <w:spacing w:before="170" w:line="221" w:lineRule="auto"/>
              <w:ind w:left="161"/>
              <w:jc w:val="left"/>
              <w:textAlignment w:val="baseline"/>
              <w:rPr>
                <w:rFonts w:ascii="黑体" w:hAnsi="黑体" w:eastAsia="黑体" w:cs="黑体"/>
                <w:snapToGrid w:val="0"/>
                <w:color w:val="auto"/>
                <w:kern w:val="0"/>
                <w:sz w:val="21"/>
                <w:szCs w:val="21"/>
                <w:highlight w:val="none"/>
                <w:lang w:eastAsia="en-US"/>
              </w:rPr>
            </w:pPr>
            <w:r>
              <w:rPr>
                <w:rFonts w:ascii="黑体" w:hAnsi="黑体" w:eastAsia="黑体" w:cs="黑体"/>
                <w:snapToGrid w:val="0"/>
                <w:color w:val="auto"/>
                <w:spacing w:val="-3"/>
                <w:kern w:val="0"/>
                <w:sz w:val="21"/>
                <w:szCs w:val="21"/>
                <w:highlight w:val="none"/>
                <w:lang w:eastAsia="en-US"/>
              </w:rPr>
              <w:t>是否</w:t>
            </w:r>
          </w:p>
          <w:p w14:paraId="1AD78D20">
            <w:pPr>
              <w:widowControl/>
              <w:kinsoku w:val="0"/>
              <w:autoSpaceDE w:val="0"/>
              <w:autoSpaceDN w:val="0"/>
              <w:adjustRightInd w:val="0"/>
              <w:snapToGrid w:val="0"/>
              <w:spacing w:before="22" w:line="220" w:lineRule="auto"/>
              <w:ind w:left="163"/>
              <w:jc w:val="left"/>
              <w:textAlignment w:val="baseline"/>
              <w:rPr>
                <w:rFonts w:ascii="黑体" w:hAnsi="黑体" w:eastAsia="黑体" w:cs="黑体"/>
                <w:snapToGrid w:val="0"/>
                <w:color w:val="auto"/>
                <w:kern w:val="0"/>
                <w:sz w:val="21"/>
                <w:szCs w:val="21"/>
                <w:highlight w:val="none"/>
                <w:lang w:eastAsia="en-US"/>
              </w:rPr>
            </w:pPr>
            <w:r>
              <w:rPr>
                <w:rFonts w:ascii="黑体" w:hAnsi="黑体" w:eastAsia="黑体" w:cs="黑体"/>
                <w:snapToGrid w:val="0"/>
                <w:color w:val="auto"/>
                <w:spacing w:val="-3"/>
                <w:kern w:val="0"/>
                <w:sz w:val="21"/>
                <w:szCs w:val="21"/>
                <w:highlight w:val="none"/>
                <w:lang w:eastAsia="en-US"/>
              </w:rPr>
              <w:t>允许</w:t>
            </w:r>
          </w:p>
          <w:p w14:paraId="186595EE">
            <w:pPr>
              <w:widowControl/>
              <w:kinsoku w:val="0"/>
              <w:autoSpaceDE w:val="0"/>
              <w:autoSpaceDN w:val="0"/>
              <w:adjustRightInd w:val="0"/>
              <w:snapToGrid w:val="0"/>
              <w:spacing w:before="20" w:line="220" w:lineRule="auto"/>
              <w:ind w:left="161"/>
              <w:jc w:val="left"/>
              <w:textAlignment w:val="baseline"/>
              <w:rPr>
                <w:rFonts w:ascii="黑体" w:hAnsi="黑体" w:eastAsia="黑体" w:cs="黑体"/>
                <w:snapToGrid w:val="0"/>
                <w:color w:val="auto"/>
                <w:kern w:val="0"/>
                <w:sz w:val="21"/>
                <w:szCs w:val="21"/>
                <w:highlight w:val="none"/>
                <w:lang w:eastAsia="en-US"/>
              </w:rPr>
            </w:pPr>
            <w:r>
              <w:rPr>
                <w:rFonts w:ascii="黑体" w:hAnsi="黑体" w:eastAsia="黑体" w:cs="黑体"/>
                <w:snapToGrid w:val="0"/>
                <w:color w:val="auto"/>
                <w:spacing w:val="-3"/>
                <w:kern w:val="0"/>
                <w:sz w:val="21"/>
                <w:szCs w:val="21"/>
                <w:highlight w:val="none"/>
                <w:lang w:eastAsia="en-US"/>
              </w:rPr>
              <w:t>变更</w:t>
            </w:r>
          </w:p>
        </w:tc>
        <w:tc>
          <w:tcPr>
            <w:tcW w:w="720" w:type="dxa"/>
            <w:tcBorders>
              <w:bottom w:val="single" w:color="000000" w:sz="6" w:space="0"/>
            </w:tcBorders>
            <w:vAlign w:val="top"/>
          </w:tcPr>
          <w:p w14:paraId="0D2FAFAA">
            <w:pPr>
              <w:widowControl/>
              <w:kinsoku w:val="0"/>
              <w:autoSpaceDE w:val="0"/>
              <w:autoSpaceDN w:val="0"/>
              <w:adjustRightInd w:val="0"/>
              <w:snapToGrid w:val="0"/>
              <w:spacing w:line="374" w:lineRule="auto"/>
              <w:jc w:val="left"/>
              <w:textAlignment w:val="baseline"/>
              <w:rPr>
                <w:rFonts w:ascii="Arial" w:hAnsi="Arial" w:eastAsia="Arial" w:cs="Arial"/>
                <w:snapToGrid w:val="0"/>
                <w:color w:val="auto"/>
                <w:kern w:val="0"/>
                <w:sz w:val="21"/>
                <w:szCs w:val="21"/>
                <w:highlight w:val="none"/>
                <w:lang w:eastAsia="en-US"/>
              </w:rPr>
            </w:pPr>
          </w:p>
          <w:p w14:paraId="53E67E5D">
            <w:pPr>
              <w:widowControl/>
              <w:kinsoku w:val="0"/>
              <w:autoSpaceDE w:val="0"/>
              <w:autoSpaceDN w:val="0"/>
              <w:adjustRightInd w:val="0"/>
              <w:snapToGrid w:val="0"/>
              <w:spacing w:before="68" w:line="220" w:lineRule="auto"/>
              <w:ind w:left="153"/>
              <w:jc w:val="left"/>
              <w:textAlignment w:val="baseline"/>
              <w:rPr>
                <w:rFonts w:ascii="黑体" w:hAnsi="黑体" w:eastAsia="黑体" w:cs="黑体"/>
                <w:snapToGrid w:val="0"/>
                <w:color w:val="auto"/>
                <w:kern w:val="0"/>
                <w:sz w:val="21"/>
                <w:szCs w:val="21"/>
                <w:highlight w:val="none"/>
                <w:lang w:eastAsia="en-US"/>
              </w:rPr>
            </w:pPr>
            <w:r>
              <w:rPr>
                <w:rFonts w:ascii="黑体" w:hAnsi="黑体" w:eastAsia="黑体" w:cs="黑体"/>
                <w:snapToGrid w:val="0"/>
                <w:color w:val="auto"/>
                <w:spacing w:val="-2"/>
                <w:kern w:val="0"/>
                <w:sz w:val="21"/>
                <w:szCs w:val="21"/>
                <w:highlight w:val="none"/>
                <w:lang w:eastAsia="en-US"/>
              </w:rPr>
              <w:t>备注</w:t>
            </w:r>
          </w:p>
        </w:tc>
      </w:tr>
      <w:tr w14:paraId="78DA9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4" w:hRule="atLeast"/>
        </w:trPr>
        <w:tc>
          <w:tcPr>
            <w:tcW w:w="828" w:type="dxa"/>
            <w:vAlign w:val="top"/>
          </w:tcPr>
          <w:p w14:paraId="26028AD0">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highlight w:val="none"/>
                <w:lang w:eastAsia="en-US"/>
              </w:rPr>
            </w:pPr>
          </w:p>
          <w:p w14:paraId="03D2F0BB">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highlight w:val="none"/>
                <w:lang w:eastAsia="en-US"/>
              </w:rPr>
            </w:pPr>
          </w:p>
          <w:p w14:paraId="3D95A164">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highlight w:val="none"/>
                <w:lang w:eastAsia="en-US"/>
              </w:rPr>
            </w:pPr>
          </w:p>
          <w:p w14:paraId="0878FF67">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highlight w:val="none"/>
                <w:lang w:eastAsia="en-US"/>
              </w:rPr>
            </w:pPr>
          </w:p>
          <w:p w14:paraId="31C4BD66">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highlight w:val="none"/>
                <w:lang w:eastAsia="en-US"/>
              </w:rPr>
            </w:pPr>
          </w:p>
          <w:p w14:paraId="0DCE7B3F">
            <w:pPr>
              <w:kinsoku w:val="0"/>
              <w:autoSpaceDE w:val="0"/>
              <w:autoSpaceDN w:val="0"/>
              <w:adjustRightInd w:val="0"/>
              <w:snapToGrid w:val="0"/>
              <w:spacing w:before="68" w:line="243" w:lineRule="auto"/>
              <w:ind w:left="120" w:right="105" w:hanging="3"/>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8"/>
                <w:kern w:val="0"/>
                <w:sz w:val="21"/>
                <w:szCs w:val="21"/>
                <w:highlight w:val="none"/>
                <w:lang w:val="en-US" w:eastAsia="en-US" w:bidi="ar-SA"/>
              </w:rPr>
              <w:t>现场</w:t>
            </w:r>
            <w:r>
              <w:rPr>
                <w:rFonts w:ascii="宋体" w:hAnsi="宋体" w:eastAsia="宋体" w:cs="宋体"/>
                <w:snapToGrid w:val="0"/>
                <w:color w:val="auto"/>
                <w:spacing w:val="-3"/>
                <w:kern w:val="0"/>
                <w:sz w:val="21"/>
                <w:szCs w:val="21"/>
                <w:highlight w:val="none"/>
                <w:lang w:val="en-US" w:eastAsia="en-US" w:bidi="ar-SA"/>
              </w:rPr>
              <w:t>管理</w:t>
            </w:r>
          </w:p>
        </w:tc>
        <w:tc>
          <w:tcPr>
            <w:tcW w:w="1525" w:type="dxa"/>
            <w:vAlign w:val="top"/>
          </w:tcPr>
          <w:p w14:paraId="5C994E0E">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highlight w:val="none"/>
                <w:lang w:eastAsia="en-US"/>
              </w:rPr>
            </w:pPr>
          </w:p>
          <w:p w14:paraId="1824BE15">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highlight w:val="none"/>
                <w:lang w:eastAsia="en-US"/>
              </w:rPr>
            </w:pPr>
          </w:p>
          <w:p w14:paraId="34719B2B">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highlight w:val="none"/>
                <w:lang w:eastAsia="en-US"/>
              </w:rPr>
            </w:pPr>
          </w:p>
          <w:p w14:paraId="1A9926E3">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highlight w:val="none"/>
                <w:lang w:eastAsia="en-US"/>
              </w:rPr>
            </w:pPr>
          </w:p>
          <w:p w14:paraId="0F1681EC">
            <w:pPr>
              <w:widowControl/>
              <w:kinsoku w:val="0"/>
              <w:autoSpaceDE w:val="0"/>
              <w:autoSpaceDN w:val="0"/>
              <w:adjustRightInd w:val="0"/>
              <w:snapToGrid w:val="0"/>
              <w:spacing w:line="280" w:lineRule="auto"/>
              <w:jc w:val="left"/>
              <w:textAlignment w:val="baseline"/>
              <w:rPr>
                <w:rFonts w:ascii="Arial" w:hAnsi="Arial" w:eastAsia="Arial" w:cs="Arial"/>
                <w:snapToGrid w:val="0"/>
                <w:color w:val="auto"/>
                <w:kern w:val="0"/>
                <w:sz w:val="21"/>
                <w:szCs w:val="21"/>
                <w:highlight w:val="none"/>
                <w:lang w:eastAsia="en-US"/>
              </w:rPr>
            </w:pPr>
          </w:p>
          <w:p w14:paraId="3FD1FE9F">
            <w:pPr>
              <w:kinsoku w:val="0"/>
              <w:autoSpaceDE w:val="0"/>
              <w:autoSpaceDN w:val="0"/>
              <w:adjustRightInd w:val="0"/>
              <w:snapToGrid w:val="0"/>
              <w:spacing w:before="68" w:line="238" w:lineRule="auto"/>
              <w:ind w:left="110" w:right="65" w:hanging="1"/>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3"/>
                <w:kern w:val="0"/>
                <w:sz w:val="21"/>
                <w:szCs w:val="21"/>
                <w:highlight w:val="none"/>
                <w:lang w:val="en-US" w:eastAsia="en-US" w:bidi="ar-SA"/>
              </w:rPr>
              <w:t>独立配备（</w:t>
            </w:r>
            <w:r>
              <w:rPr>
                <w:rFonts w:hint="eastAsia" w:eastAsia="宋体" w:cs="Times New Roman"/>
                <w:snapToGrid w:val="0"/>
                <w:color w:val="auto"/>
                <w:spacing w:val="-3"/>
                <w:kern w:val="0"/>
                <w:sz w:val="21"/>
                <w:szCs w:val="21"/>
                <w:highlight w:val="none"/>
                <w:lang w:val="en-US" w:eastAsia="zh-CN" w:bidi="ar-SA"/>
              </w:rPr>
              <w:t>1</w:t>
            </w:r>
            <w:r>
              <w:rPr>
                <w:rFonts w:ascii="宋体" w:hAnsi="宋体" w:eastAsia="宋体" w:cs="宋体"/>
                <w:snapToGrid w:val="0"/>
                <w:color w:val="auto"/>
                <w:spacing w:val="-3"/>
                <w:kern w:val="0"/>
                <w:sz w:val="21"/>
                <w:szCs w:val="21"/>
                <w:highlight w:val="none"/>
                <w:lang w:val="en-US" w:eastAsia="en-US" w:bidi="ar-SA"/>
              </w:rPr>
              <w:t>）</w:t>
            </w:r>
            <w:r>
              <w:rPr>
                <w:rFonts w:ascii="宋体" w:hAnsi="宋体" w:eastAsia="宋体" w:cs="宋体"/>
                <w:snapToGrid w:val="0"/>
                <w:color w:val="auto"/>
                <w:kern w:val="0"/>
                <w:sz w:val="21"/>
                <w:szCs w:val="21"/>
                <w:highlight w:val="none"/>
                <w:lang w:val="en-US" w:eastAsia="en-US" w:bidi="ar-SA"/>
              </w:rPr>
              <w:t>人</w:t>
            </w:r>
          </w:p>
        </w:tc>
        <w:tc>
          <w:tcPr>
            <w:tcW w:w="3340" w:type="dxa"/>
            <w:tcBorders>
              <w:top w:val="single" w:color="000000" w:sz="6" w:space="0"/>
              <w:bottom w:val="single" w:color="000000" w:sz="6" w:space="0"/>
            </w:tcBorders>
            <w:vAlign w:val="top"/>
          </w:tcPr>
          <w:p w14:paraId="44981420">
            <w:pPr>
              <w:kinsoku w:val="0"/>
              <w:autoSpaceDE w:val="0"/>
              <w:autoSpaceDN w:val="0"/>
              <w:adjustRightInd w:val="0"/>
              <w:snapToGrid w:val="0"/>
              <w:spacing w:before="52" w:line="221" w:lineRule="auto"/>
              <w:ind w:left="132"/>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7"/>
                <w:kern w:val="0"/>
                <w:sz w:val="21"/>
                <w:szCs w:val="21"/>
                <w:highlight w:val="none"/>
                <w:lang w:val="en-US" w:eastAsia="en-US" w:bidi="ar-SA"/>
              </w:rPr>
              <w:t>□无要求</w:t>
            </w:r>
          </w:p>
          <w:p w14:paraId="4FD65D89">
            <w:pPr>
              <w:kinsoku w:val="0"/>
              <w:autoSpaceDE w:val="0"/>
              <w:autoSpaceDN w:val="0"/>
              <w:adjustRightInd w:val="0"/>
              <w:snapToGrid w:val="0"/>
              <w:spacing w:before="60" w:line="235" w:lineRule="auto"/>
              <w:ind w:left="118"/>
              <w:jc w:val="left"/>
              <w:textAlignment w:val="baseline"/>
              <w:rPr>
                <w:rFonts w:ascii="宋体" w:hAnsi="宋体" w:eastAsia="宋体" w:cs="宋体"/>
                <w:snapToGrid w:val="0"/>
                <w:color w:val="auto"/>
                <w:kern w:val="0"/>
                <w:sz w:val="21"/>
                <w:szCs w:val="21"/>
                <w:highlight w:val="none"/>
                <w:lang w:val="en-US" w:eastAsia="en-US" w:bidi="ar-SA"/>
              </w:rPr>
            </w:pPr>
            <w:r>
              <w:rPr>
                <w:rFonts w:ascii="MS Gothic" w:hAnsi="MS Gothic" w:eastAsia="MS Gothic" w:cs="MS Gothic"/>
                <w:snapToGrid w:val="0"/>
                <w:color w:val="auto"/>
                <w:spacing w:val="-2"/>
                <w:kern w:val="0"/>
                <w:sz w:val="21"/>
                <w:szCs w:val="21"/>
                <w:highlight w:val="none"/>
                <w:lang w:val="en-US" w:eastAsia="en-US" w:bidi="ar-SA"/>
              </w:rPr>
              <w:t>☑</w:t>
            </w:r>
            <w:r>
              <w:rPr>
                <w:rFonts w:ascii="宋体" w:hAnsi="宋体" w:eastAsia="宋体" w:cs="宋体"/>
                <w:snapToGrid w:val="0"/>
                <w:color w:val="auto"/>
                <w:spacing w:val="-2"/>
                <w:kern w:val="0"/>
                <w:sz w:val="21"/>
                <w:szCs w:val="21"/>
                <w:highlight w:val="none"/>
                <w:lang w:val="en-US" w:eastAsia="en-US" w:bidi="ar-SA"/>
              </w:rPr>
              <w:t>至少</w:t>
            </w:r>
            <w:r>
              <w:rPr>
                <w:rFonts w:ascii="宋体" w:hAnsi="宋体" w:eastAsia="宋体" w:cs="宋体"/>
                <w:snapToGrid w:val="0"/>
                <w:color w:val="auto"/>
                <w:spacing w:val="-36"/>
                <w:kern w:val="0"/>
                <w:sz w:val="21"/>
                <w:szCs w:val="21"/>
                <w:highlight w:val="none"/>
                <w:lang w:val="en-US" w:eastAsia="en-US" w:bidi="ar-SA"/>
              </w:rPr>
              <w:t xml:space="preserve"> </w:t>
            </w:r>
            <w:r>
              <w:rPr>
                <w:rFonts w:hint="eastAsia" w:eastAsia="宋体" w:cs="Times New Roman"/>
                <w:snapToGrid w:val="0"/>
                <w:color w:val="auto"/>
                <w:spacing w:val="-2"/>
                <w:kern w:val="0"/>
                <w:sz w:val="21"/>
                <w:szCs w:val="21"/>
                <w:highlight w:val="none"/>
                <w:lang w:val="en-US" w:eastAsia="zh-CN" w:bidi="ar-SA"/>
              </w:rPr>
              <w:t>1</w:t>
            </w:r>
            <w:r>
              <w:rPr>
                <w:rFonts w:ascii="Times New Roman" w:hAnsi="Times New Roman" w:eastAsia="Times New Roman" w:cs="Times New Roman"/>
                <w:snapToGrid w:val="0"/>
                <w:color w:val="auto"/>
                <w:spacing w:val="-2"/>
                <w:kern w:val="0"/>
                <w:sz w:val="21"/>
                <w:szCs w:val="21"/>
                <w:highlight w:val="none"/>
                <w:lang w:val="en-US" w:eastAsia="en-US" w:bidi="ar-SA"/>
              </w:rPr>
              <w:t xml:space="preserve"> </w:t>
            </w:r>
            <w:r>
              <w:rPr>
                <w:rFonts w:ascii="宋体" w:hAnsi="宋体" w:eastAsia="宋体" w:cs="宋体"/>
                <w:snapToGrid w:val="0"/>
                <w:color w:val="auto"/>
                <w:spacing w:val="-2"/>
                <w:kern w:val="0"/>
                <w:sz w:val="21"/>
                <w:szCs w:val="21"/>
                <w:highlight w:val="none"/>
                <w:lang w:val="en-US" w:eastAsia="en-US" w:bidi="ar-SA"/>
              </w:rPr>
              <w:t>人具备以下资质之一：</w:t>
            </w:r>
          </w:p>
          <w:p w14:paraId="1C8BB02A">
            <w:pPr>
              <w:kinsoku w:val="0"/>
              <w:autoSpaceDE w:val="0"/>
              <w:autoSpaceDN w:val="0"/>
              <w:adjustRightInd w:val="0"/>
              <w:snapToGrid w:val="0"/>
              <w:spacing w:before="47" w:line="274" w:lineRule="auto"/>
              <w:ind w:left="109" w:right="102"/>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2"/>
                <w:kern w:val="0"/>
                <w:sz w:val="21"/>
                <w:szCs w:val="21"/>
                <w:highlight w:val="none"/>
                <w:lang w:val="en-US" w:eastAsia="en-US" w:bidi="ar-SA"/>
              </w:rPr>
              <w:t>注册建造师二级及以上、注册造价工程师二级及以上、注册结构工程师二级及以上；注册公用设备工程师、注册电气工程师、注册咨询工</w:t>
            </w:r>
            <w:r>
              <w:rPr>
                <w:rFonts w:ascii="宋体" w:hAnsi="宋体" w:eastAsia="宋体" w:cs="宋体"/>
                <w:snapToGrid w:val="0"/>
                <w:color w:val="auto"/>
                <w:spacing w:val="-5"/>
                <w:kern w:val="0"/>
                <w:sz w:val="21"/>
                <w:szCs w:val="21"/>
                <w:highlight w:val="none"/>
                <w:lang w:val="en-US" w:eastAsia="en-US" w:bidi="ar-SA"/>
              </w:rPr>
              <w:t>程师（投资）、注册监理工程师、</w:t>
            </w:r>
            <w:r>
              <w:rPr>
                <w:rFonts w:ascii="宋体" w:hAnsi="宋体" w:eastAsia="宋体" w:cs="宋体"/>
                <w:snapToGrid w:val="0"/>
                <w:color w:val="auto"/>
                <w:spacing w:val="-2"/>
                <w:kern w:val="0"/>
                <w:sz w:val="21"/>
                <w:szCs w:val="21"/>
                <w:highlight w:val="none"/>
                <w:lang w:val="en-US" w:eastAsia="en-US" w:bidi="ar-SA"/>
              </w:rPr>
              <w:t>中级注册安全工程师（建筑施工安</w:t>
            </w:r>
            <w:r>
              <w:rPr>
                <w:rFonts w:ascii="宋体" w:hAnsi="宋体" w:eastAsia="宋体" w:cs="宋体"/>
                <w:snapToGrid w:val="0"/>
                <w:color w:val="auto"/>
                <w:spacing w:val="-5"/>
                <w:kern w:val="0"/>
                <w:sz w:val="21"/>
                <w:szCs w:val="21"/>
                <w:highlight w:val="none"/>
                <w:lang w:val="en-US" w:eastAsia="en-US" w:bidi="ar-SA"/>
              </w:rPr>
              <w:t>全）</w:t>
            </w:r>
          </w:p>
          <w:p w14:paraId="47F8F155">
            <w:pPr>
              <w:kinsoku w:val="0"/>
              <w:autoSpaceDE w:val="0"/>
              <w:autoSpaceDN w:val="0"/>
              <w:adjustRightInd w:val="0"/>
              <w:snapToGrid w:val="0"/>
              <w:spacing w:before="1" w:line="247" w:lineRule="auto"/>
              <w:ind w:left="119" w:right="101" w:firstLine="12"/>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7"/>
                <w:kern w:val="0"/>
                <w:sz w:val="21"/>
                <w:szCs w:val="21"/>
                <w:highlight w:val="none"/>
                <w:lang w:val="en-US" w:eastAsia="en-US" w:bidi="ar-SA"/>
              </w:rPr>
              <w:t>□</w:t>
            </w:r>
            <w:r>
              <w:rPr>
                <w:rFonts w:ascii="Times New Roman" w:hAnsi="Times New Roman" w:eastAsia="Times New Roman" w:cs="Times New Roman"/>
                <w:snapToGrid w:val="0"/>
                <w:color w:val="auto"/>
                <w:spacing w:val="-7"/>
                <w:kern w:val="0"/>
                <w:sz w:val="21"/>
                <w:szCs w:val="21"/>
                <w:highlight w:val="none"/>
                <w:lang w:val="en-US" w:eastAsia="en-US" w:bidi="ar-SA"/>
              </w:rPr>
              <w:t>/</w:t>
            </w:r>
            <w:r>
              <w:rPr>
                <w:rFonts w:ascii="宋体" w:hAnsi="宋体" w:eastAsia="宋体" w:cs="宋体"/>
                <w:snapToGrid w:val="0"/>
                <w:color w:val="auto"/>
                <w:spacing w:val="-7"/>
                <w:kern w:val="0"/>
                <w:sz w:val="21"/>
                <w:szCs w:val="21"/>
                <w:highlight w:val="none"/>
                <w:lang w:val="en-US" w:eastAsia="en-US" w:bidi="ar-SA"/>
              </w:rPr>
              <w:t>（具备其他适应项目实际要求的资质）</w:t>
            </w:r>
          </w:p>
        </w:tc>
        <w:tc>
          <w:tcPr>
            <w:tcW w:w="909" w:type="dxa"/>
            <w:tcBorders>
              <w:top w:val="single" w:color="000000" w:sz="6" w:space="0"/>
              <w:bottom w:val="single" w:color="000000" w:sz="6" w:space="0"/>
            </w:tcBorders>
            <w:vAlign w:val="top"/>
          </w:tcPr>
          <w:p w14:paraId="767CBAF7">
            <w:pPr>
              <w:widowControl/>
              <w:kinsoku w:val="0"/>
              <w:autoSpaceDE w:val="0"/>
              <w:autoSpaceDN w:val="0"/>
              <w:adjustRightInd w:val="0"/>
              <w:snapToGrid w:val="0"/>
              <w:spacing w:line="248" w:lineRule="auto"/>
              <w:jc w:val="left"/>
              <w:textAlignment w:val="baseline"/>
              <w:rPr>
                <w:rFonts w:ascii="Arial" w:hAnsi="Arial" w:eastAsia="Arial" w:cs="Arial"/>
                <w:snapToGrid w:val="0"/>
                <w:color w:val="auto"/>
                <w:kern w:val="0"/>
                <w:sz w:val="21"/>
                <w:szCs w:val="21"/>
                <w:highlight w:val="none"/>
                <w:lang w:eastAsia="en-US"/>
              </w:rPr>
            </w:pPr>
          </w:p>
          <w:p w14:paraId="48D8B53A">
            <w:pPr>
              <w:widowControl/>
              <w:kinsoku w:val="0"/>
              <w:autoSpaceDE w:val="0"/>
              <w:autoSpaceDN w:val="0"/>
              <w:adjustRightInd w:val="0"/>
              <w:snapToGrid w:val="0"/>
              <w:spacing w:line="248" w:lineRule="auto"/>
              <w:jc w:val="left"/>
              <w:textAlignment w:val="baseline"/>
              <w:rPr>
                <w:rFonts w:ascii="Arial" w:hAnsi="Arial" w:eastAsia="Arial" w:cs="Arial"/>
                <w:snapToGrid w:val="0"/>
                <w:color w:val="auto"/>
                <w:kern w:val="0"/>
                <w:sz w:val="21"/>
                <w:szCs w:val="21"/>
                <w:highlight w:val="none"/>
                <w:lang w:eastAsia="en-US"/>
              </w:rPr>
            </w:pPr>
          </w:p>
          <w:p w14:paraId="65CFC06E">
            <w:pPr>
              <w:widowControl/>
              <w:kinsoku w:val="0"/>
              <w:autoSpaceDE w:val="0"/>
              <w:autoSpaceDN w:val="0"/>
              <w:adjustRightInd w:val="0"/>
              <w:snapToGrid w:val="0"/>
              <w:spacing w:line="248" w:lineRule="auto"/>
              <w:jc w:val="left"/>
              <w:textAlignment w:val="baseline"/>
              <w:rPr>
                <w:rFonts w:ascii="Arial" w:hAnsi="Arial" w:eastAsia="Arial" w:cs="Arial"/>
                <w:snapToGrid w:val="0"/>
                <w:color w:val="auto"/>
                <w:kern w:val="0"/>
                <w:sz w:val="21"/>
                <w:szCs w:val="21"/>
                <w:highlight w:val="none"/>
                <w:lang w:eastAsia="en-US"/>
              </w:rPr>
            </w:pPr>
          </w:p>
          <w:p w14:paraId="401850BF">
            <w:pPr>
              <w:widowControl/>
              <w:kinsoku w:val="0"/>
              <w:autoSpaceDE w:val="0"/>
              <w:autoSpaceDN w:val="0"/>
              <w:adjustRightInd w:val="0"/>
              <w:snapToGrid w:val="0"/>
              <w:spacing w:line="248" w:lineRule="auto"/>
              <w:jc w:val="left"/>
              <w:textAlignment w:val="baseline"/>
              <w:rPr>
                <w:rFonts w:ascii="Arial" w:hAnsi="Arial" w:eastAsia="Arial" w:cs="Arial"/>
                <w:snapToGrid w:val="0"/>
                <w:color w:val="auto"/>
                <w:kern w:val="0"/>
                <w:sz w:val="21"/>
                <w:szCs w:val="21"/>
                <w:highlight w:val="none"/>
                <w:lang w:eastAsia="en-US"/>
              </w:rPr>
            </w:pPr>
          </w:p>
          <w:p w14:paraId="3E141DB6">
            <w:pPr>
              <w:kinsoku w:val="0"/>
              <w:autoSpaceDE w:val="0"/>
              <w:autoSpaceDN w:val="0"/>
              <w:adjustRightInd w:val="0"/>
              <w:snapToGrid w:val="0"/>
              <w:spacing w:before="68" w:line="239" w:lineRule="auto"/>
              <w:ind w:left="116" w:right="101" w:firstLine="19"/>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2"/>
                <w:kern w:val="0"/>
                <w:sz w:val="21"/>
                <w:szCs w:val="21"/>
                <w:highlight w:val="none"/>
                <w:lang w:val="en-US" w:eastAsia="en-US" w:bidi="ar-SA"/>
              </w:rPr>
              <w:t>□</w:t>
            </w:r>
            <w:r>
              <w:rPr>
                <w:rFonts w:ascii="宋体" w:hAnsi="宋体" w:eastAsia="宋体" w:cs="宋体"/>
                <w:snapToGrid w:val="0"/>
                <w:color w:val="auto"/>
                <w:spacing w:val="-64"/>
                <w:kern w:val="0"/>
                <w:sz w:val="21"/>
                <w:szCs w:val="21"/>
                <w:highlight w:val="none"/>
                <w:lang w:val="en-US" w:eastAsia="en-US" w:bidi="ar-SA"/>
              </w:rPr>
              <w:t xml:space="preserve"> </w:t>
            </w:r>
            <w:r>
              <w:rPr>
                <w:rFonts w:ascii="宋体" w:hAnsi="宋体" w:eastAsia="宋体" w:cs="宋体"/>
                <w:snapToGrid w:val="0"/>
                <w:color w:val="auto"/>
                <w:spacing w:val="-2"/>
                <w:kern w:val="0"/>
                <w:sz w:val="21"/>
                <w:szCs w:val="21"/>
                <w:highlight w:val="none"/>
                <w:lang w:val="en-US" w:eastAsia="en-US" w:bidi="ar-SA"/>
              </w:rPr>
              <w:t>无要</w:t>
            </w:r>
            <w:r>
              <w:rPr>
                <w:rFonts w:ascii="宋体" w:hAnsi="宋体" w:eastAsia="宋体" w:cs="宋体"/>
                <w:snapToGrid w:val="0"/>
                <w:color w:val="auto"/>
                <w:kern w:val="0"/>
                <w:sz w:val="21"/>
                <w:szCs w:val="21"/>
                <w:highlight w:val="none"/>
                <w:lang w:val="en-US" w:eastAsia="en-US" w:bidi="ar-SA"/>
              </w:rPr>
              <w:t>求</w:t>
            </w:r>
          </w:p>
          <w:p w14:paraId="6CEECB81">
            <w:pPr>
              <w:kinsoku w:val="0"/>
              <w:autoSpaceDE w:val="0"/>
              <w:autoSpaceDN w:val="0"/>
              <w:adjustRightInd w:val="0"/>
              <w:snapToGrid w:val="0"/>
              <w:spacing w:before="2" w:line="241" w:lineRule="auto"/>
              <w:ind w:left="113" w:right="101" w:firstLine="22"/>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9"/>
                <w:kern w:val="0"/>
                <w:sz w:val="21"/>
                <w:szCs w:val="21"/>
                <w:highlight w:val="none"/>
                <w:lang w:val="en-US" w:eastAsia="en-US" w:bidi="ar-SA"/>
              </w:rPr>
              <w:t>□初级</w:t>
            </w:r>
            <w:r>
              <w:rPr>
                <w:rFonts w:ascii="MS Gothic" w:hAnsi="MS Gothic" w:eastAsia="MS Gothic" w:cs="MS Gothic"/>
                <w:snapToGrid w:val="0"/>
                <w:color w:val="auto"/>
                <w:kern w:val="0"/>
                <w:sz w:val="21"/>
                <w:szCs w:val="21"/>
                <w:highlight w:val="none"/>
                <w:lang w:val="en-US" w:eastAsia="en-US" w:bidi="ar-SA"/>
              </w:rPr>
              <w:t>☑</w:t>
            </w:r>
            <w:r>
              <w:rPr>
                <w:rFonts w:ascii="MS Gothic" w:hAnsi="MS Gothic" w:eastAsia="MS Gothic" w:cs="MS Gothic"/>
                <w:snapToGrid w:val="0"/>
                <w:color w:val="auto"/>
                <w:spacing w:val="-48"/>
                <w:kern w:val="0"/>
                <w:sz w:val="21"/>
                <w:szCs w:val="21"/>
                <w:highlight w:val="none"/>
                <w:lang w:val="en-US" w:eastAsia="en-US" w:bidi="ar-SA"/>
              </w:rPr>
              <w:t xml:space="preserve"> </w:t>
            </w:r>
            <w:r>
              <w:rPr>
                <w:rFonts w:ascii="宋体" w:hAnsi="宋体" w:eastAsia="宋体" w:cs="宋体"/>
                <w:snapToGrid w:val="0"/>
                <w:color w:val="auto"/>
                <w:kern w:val="0"/>
                <w:sz w:val="21"/>
                <w:szCs w:val="21"/>
                <w:highlight w:val="none"/>
                <w:lang w:val="en-US" w:eastAsia="en-US" w:bidi="ar-SA"/>
              </w:rPr>
              <w:t>中级</w:t>
            </w:r>
            <w:r>
              <w:rPr>
                <w:rFonts w:ascii="宋体" w:hAnsi="宋体" w:eastAsia="宋体" w:cs="宋体"/>
                <w:snapToGrid w:val="0"/>
                <w:color w:val="auto"/>
                <w:spacing w:val="-1"/>
                <w:kern w:val="0"/>
                <w:sz w:val="21"/>
                <w:szCs w:val="21"/>
                <w:highlight w:val="none"/>
                <w:lang w:val="en-US" w:eastAsia="en-US" w:bidi="ar-SA"/>
              </w:rPr>
              <w:t>及以上</w:t>
            </w:r>
          </w:p>
        </w:tc>
        <w:tc>
          <w:tcPr>
            <w:tcW w:w="724" w:type="dxa"/>
            <w:tcBorders>
              <w:top w:val="single" w:color="000000" w:sz="6" w:space="0"/>
              <w:bottom w:val="single" w:color="000000" w:sz="6" w:space="0"/>
            </w:tcBorders>
            <w:vAlign w:val="top"/>
          </w:tcPr>
          <w:p w14:paraId="7D5F0A0C">
            <w:pPr>
              <w:widowControl/>
              <w:kinsoku w:val="0"/>
              <w:autoSpaceDE w:val="0"/>
              <w:autoSpaceDN w:val="0"/>
              <w:adjustRightInd w:val="0"/>
              <w:snapToGrid w:val="0"/>
              <w:spacing w:line="255" w:lineRule="auto"/>
              <w:jc w:val="left"/>
              <w:textAlignment w:val="baseline"/>
              <w:rPr>
                <w:rFonts w:ascii="Arial" w:hAnsi="Arial" w:eastAsia="Arial" w:cs="Arial"/>
                <w:snapToGrid w:val="0"/>
                <w:color w:val="auto"/>
                <w:kern w:val="0"/>
                <w:sz w:val="21"/>
                <w:szCs w:val="21"/>
                <w:highlight w:val="none"/>
                <w:lang w:eastAsia="en-US"/>
              </w:rPr>
            </w:pPr>
          </w:p>
          <w:p w14:paraId="650ADF1A">
            <w:pPr>
              <w:widowControl/>
              <w:kinsoku w:val="0"/>
              <w:autoSpaceDE w:val="0"/>
              <w:autoSpaceDN w:val="0"/>
              <w:adjustRightInd w:val="0"/>
              <w:snapToGrid w:val="0"/>
              <w:spacing w:line="255" w:lineRule="auto"/>
              <w:jc w:val="left"/>
              <w:textAlignment w:val="baseline"/>
              <w:rPr>
                <w:rFonts w:ascii="Arial" w:hAnsi="Arial" w:eastAsia="Arial" w:cs="Arial"/>
                <w:snapToGrid w:val="0"/>
                <w:color w:val="auto"/>
                <w:kern w:val="0"/>
                <w:sz w:val="21"/>
                <w:szCs w:val="21"/>
                <w:highlight w:val="none"/>
                <w:lang w:eastAsia="en-US"/>
              </w:rPr>
            </w:pPr>
          </w:p>
          <w:p w14:paraId="19EBE850">
            <w:pPr>
              <w:widowControl/>
              <w:kinsoku w:val="0"/>
              <w:autoSpaceDE w:val="0"/>
              <w:autoSpaceDN w:val="0"/>
              <w:adjustRightInd w:val="0"/>
              <w:snapToGrid w:val="0"/>
              <w:spacing w:line="255" w:lineRule="auto"/>
              <w:jc w:val="left"/>
              <w:textAlignment w:val="baseline"/>
              <w:rPr>
                <w:rFonts w:ascii="Arial" w:hAnsi="Arial" w:eastAsia="Arial" w:cs="Arial"/>
                <w:snapToGrid w:val="0"/>
                <w:color w:val="auto"/>
                <w:kern w:val="0"/>
                <w:sz w:val="21"/>
                <w:szCs w:val="21"/>
                <w:highlight w:val="none"/>
                <w:lang w:eastAsia="en-US"/>
              </w:rPr>
            </w:pPr>
          </w:p>
          <w:p w14:paraId="5BAE13F5">
            <w:pPr>
              <w:widowControl/>
              <w:kinsoku w:val="0"/>
              <w:autoSpaceDE w:val="0"/>
              <w:autoSpaceDN w:val="0"/>
              <w:adjustRightInd w:val="0"/>
              <w:snapToGrid w:val="0"/>
              <w:spacing w:line="255" w:lineRule="auto"/>
              <w:jc w:val="left"/>
              <w:textAlignment w:val="baseline"/>
              <w:rPr>
                <w:rFonts w:ascii="Arial" w:hAnsi="Arial" w:eastAsia="Arial" w:cs="Arial"/>
                <w:snapToGrid w:val="0"/>
                <w:color w:val="auto"/>
                <w:kern w:val="0"/>
                <w:sz w:val="21"/>
                <w:szCs w:val="21"/>
                <w:highlight w:val="none"/>
                <w:lang w:eastAsia="en-US"/>
              </w:rPr>
            </w:pPr>
          </w:p>
          <w:p w14:paraId="3CF5A609">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1"/>
                <w:szCs w:val="21"/>
                <w:highlight w:val="none"/>
                <w:lang w:eastAsia="en-US"/>
              </w:rPr>
            </w:pPr>
          </w:p>
          <w:p w14:paraId="6921DBB1">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1"/>
                <w:szCs w:val="21"/>
                <w:highlight w:val="none"/>
                <w:lang w:eastAsia="en-US"/>
              </w:rPr>
            </w:pPr>
          </w:p>
          <w:p w14:paraId="3DD8B94F">
            <w:pPr>
              <w:kinsoku w:val="0"/>
              <w:autoSpaceDE w:val="0"/>
              <w:autoSpaceDN w:val="0"/>
              <w:adjustRightInd w:val="0"/>
              <w:snapToGrid w:val="0"/>
              <w:spacing w:before="69" w:line="224" w:lineRule="auto"/>
              <w:ind w:left="118"/>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kern w:val="0"/>
                <w:sz w:val="21"/>
                <w:szCs w:val="21"/>
                <w:highlight w:val="none"/>
                <w:lang w:val="en-US" w:eastAsia="en-US" w:bidi="ar-SA"/>
              </w:rPr>
              <w:t>是</w:t>
            </w:r>
          </w:p>
        </w:tc>
        <w:tc>
          <w:tcPr>
            <w:tcW w:w="1049" w:type="dxa"/>
            <w:tcBorders>
              <w:top w:val="single" w:color="000000" w:sz="6" w:space="0"/>
              <w:bottom w:val="single" w:color="000000" w:sz="6" w:space="0"/>
            </w:tcBorders>
            <w:vAlign w:val="top"/>
          </w:tcPr>
          <w:p w14:paraId="59458053">
            <w:pPr>
              <w:widowControl/>
              <w:kinsoku w:val="0"/>
              <w:autoSpaceDE w:val="0"/>
              <w:autoSpaceDN w:val="0"/>
              <w:adjustRightInd w:val="0"/>
              <w:snapToGrid w:val="0"/>
              <w:spacing w:line="255" w:lineRule="auto"/>
              <w:jc w:val="left"/>
              <w:textAlignment w:val="baseline"/>
              <w:rPr>
                <w:rFonts w:ascii="Arial" w:hAnsi="Arial" w:eastAsia="Arial" w:cs="Arial"/>
                <w:snapToGrid w:val="0"/>
                <w:color w:val="auto"/>
                <w:kern w:val="0"/>
                <w:sz w:val="21"/>
                <w:szCs w:val="21"/>
                <w:highlight w:val="none"/>
                <w:lang w:eastAsia="en-US"/>
              </w:rPr>
            </w:pPr>
          </w:p>
          <w:p w14:paraId="6830D0F4">
            <w:pPr>
              <w:widowControl/>
              <w:kinsoku w:val="0"/>
              <w:autoSpaceDE w:val="0"/>
              <w:autoSpaceDN w:val="0"/>
              <w:adjustRightInd w:val="0"/>
              <w:snapToGrid w:val="0"/>
              <w:spacing w:line="255" w:lineRule="auto"/>
              <w:jc w:val="left"/>
              <w:textAlignment w:val="baseline"/>
              <w:rPr>
                <w:rFonts w:ascii="Arial" w:hAnsi="Arial" w:eastAsia="Arial" w:cs="Arial"/>
                <w:snapToGrid w:val="0"/>
                <w:color w:val="auto"/>
                <w:kern w:val="0"/>
                <w:sz w:val="21"/>
                <w:szCs w:val="21"/>
                <w:highlight w:val="none"/>
                <w:lang w:eastAsia="en-US"/>
              </w:rPr>
            </w:pPr>
          </w:p>
          <w:p w14:paraId="35AE5F5D">
            <w:pPr>
              <w:widowControl/>
              <w:kinsoku w:val="0"/>
              <w:autoSpaceDE w:val="0"/>
              <w:autoSpaceDN w:val="0"/>
              <w:adjustRightInd w:val="0"/>
              <w:snapToGrid w:val="0"/>
              <w:spacing w:line="255" w:lineRule="auto"/>
              <w:jc w:val="left"/>
              <w:textAlignment w:val="baseline"/>
              <w:rPr>
                <w:rFonts w:ascii="Arial" w:hAnsi="Arial" w:eastAsia="Arial" w:cs="Arial"/>
                <w:snapToGrid w:val="0"/>
                <w:color w:val="auto"/>
                <w:kern w:val="0"/>
                <w:sz w:val="21"/>
                <w:szCs w:val="21"/>
                <w:highlight w:val="none"/>
                <w:lang w:eastAsia="en-US"/>
              </w:rPr>
            </w:pPr>
          </w:p>
          <w:p w14:paraId="255B06A9">
            <w:pPr>
              <w:widowControl/>
              <w:kinsoku w:val="0"/>
              <w:autoSpaceDE w:val="0"/>
              <w:autoSpaceDN w:val="0"/>
              <w:adjustRightInd w:val="0"/>
              <w:snapToGrid w:val="0"/>
              <w:spacing w:line="255" w:lineRule="auto"/>
              <w:jc w:val="left"/>
              <w:textAlignment w:val="baseline"/>
              <w:rPr>
                <w:rFonts w:ascii="Arial" w:hAnsi="Arial" w:eastAsia="Arial" w:cs="Arial"/>
                <w:snapToGrid w:val="0"/>
                <w:color w:val="auto"/>
                <w:kern w:val="0"/>
                <w:sz w:val="21"/>
                <w:szCs w:val="21"/>
                <w:highlight w:val="none"/>
                <w:lang w:eastAsia="en-US"/>
              </w:rPr>
            </w:pPr>
          </w:p>
          <w:p w14:paraId="5428A0D9">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1"/>
                <w:szCs w:val="21"/>
                <w:highlight w:val="none"/>
                <w:lang w:eastAsia="en-US"/>
              </w:rPr>
            </w:pPr>
          </w:p>
          <w:p w14:paraId="4EB1E6BF">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1"/>
                <w:szCs w:val="21"/>
                <w:highlight w:val="none"/>
                <w:lang w:eastAsia="en-US"/>
              </w:rPr>
            </w:pPr>
          </w:p>
          <w:p w14:paraId="4BAFF9A8">
            <w:pPr>
              <w:kinsoku w:val="0"/>
              <w:autoSpaceDE w:val="0"/>
              <w:autoSpaceDN w:val="0"/>
              <w:adjustRightInd w:val="0"/>
              <w:snapToGrid w:val="0"/>
              <w:spacing w:before="68" w:line="221" w:lineRule="auto"/>
              <w:ind w:left="119"/>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2"/>
                <w:kern w:val="0"/>
                <w:sz w:val="21"/>
                <w:szCs w:val="21"/>
                <w:highlight w:val="none"/>
                <w:lang w:val="en-US" w:eastAsia="en-US" w:bidi="ar-SA"/>
              </w:rPr>
              <w:t>不允许</w:t>
            </w:r>
          </w:p>
        </w:tc>
        <w:tc>
          <w:tcPr>
            <w:tcW w:w="717" w:type="dxa"/>
            <w:tcBorders>
              <w:top w:val="single" w:color="000000" w:sz="6" w:space="0"/>
              <w:bottom w:val="single" w:color="000000" w:sz="6" w:space="0"/>
            </w:tcBorders>
            <w:vAlign w:val="top"/>
          </w:tcPr>
          <w:p w14:paraId="2BCE94E3">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highlight w:val="none"/>
                <w:lang w:eastAsia="en-US"/>
              </w:rPr>
            </w:pPr>
          </w:p>
          <w:p w14:paraId="64D508F6">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highlight w:val="none"/>
                <w:lang w:eastAsia="en-US"/>
              </w:rPr>
            </w:pPr>
          </w:p>
          <w:p w14:paraId="7818470E">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highlight w:val="none"/>
                <w:lang w:eastAsia="en-US"/>
              </w:rPr>
            </w:pPr>
          </w:p>
          <w:p w14:paraId="08694459">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1"/>
                <w:szCs w:val="21"/>
                <w:highlight w:val="none"/>
                <w:lang w:eastAsia="en-US"/>
              </w:rPr>
            </w:pPr>
          </w:p>
          <w:p w14:paraId="78EB23ED">
            <w:pPr>
              <w:widowControl/>
              <w:kinsoku w:val="0"/>
              <w:autoSpaceDE w:val="0"/>
              <w:autoSpaceDN w:val="0"/>
              <w:adjustRightInd w:val="0"/>
              <w:snapToGrid w:val="0"/>
              <w:spacing w:line="280" w:lineRule="auto"/>
              <w:jc w:val="left"/>
              <w:textAlignment w:val="baseline"/>
              <w:rPr>
                <w:rFonts w:ascii="Arial" w:hAnsi="Arial" w:eastAsia="Arial" w:cs="Arial"/>
                <w:snapToGrid w:val="0"/>
                <w:color w:val="auto"/>
                <w:kern w:val="0"/>
                <w:sz w:val="21"/>
                <w:szCs w:val="21"/>
                <w:highlight w:val="none"/>
                <w:lang w:eastAsia="en-US"/>
              </w:rPr>
            </w:pPr>
          </w:p>
          <w:p w14:paraId="48393F75">
            <w:pPr>
              <w:kinsoku w:val="0"/>
              <w:autoSpaceDE w:val="0"/>
              <w:autoSpaceDN w:val="0"/>
              <w:adjustRightInd w:val="0"/>
              <w:snapToGrid w:val="0"/>
              <w:spacing w:before="68" w:line="243" w:lineRule="auto"/>
              <w:ind w:left="117" w:right="99" w:firstLine="2"/>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11"/>
                <w:kern w:val="0"/>
                <w:sz w:val="21"/>
                <w:szCs w:val="21"/>
                <w:highlight w:val="none"/>
                <w:lang w:val="en-US" w:eastAsia="en-US" w:bidi="ar-SA"/>
              </w:rPr>
              <w:t>不允</w:t>
            </w:r>
            <w:r>
              <w:rPr>
                <w:rFonts w:ascii="宋体" w:hAnsi="宋体" w:eastAsia="宋体" w:cs="宋体"/>
                <w:snapToGrid w:val="0"/>
                <w:color w:val="auto"/>
                <w:kern w:val="0"/>
                <w:sz w:val="21"/>
                <w:szCs w:val="21"/>
                <w:highlight w:val="none"/>
                <w:lang w:val="en-US" w:eastAsia="en-US" w:bidi="ar-SA"/>
              </w:rPr>
              <w:t>许</w:t>
            </w:r>
          </w:p>
        </w:tc>
        <w:tc>
          <w:tcPr>
            <w:tcW w:w="720" w:type="dxa"/>
            <w:tcBorders>
              <w:top w:val="single" w:color="000000" w:sz="6" w:space="0"/>
              <w:bottom w:val="single" w:color="000000" w:sz="6" w:space="0"/>
            </w:tcBorders>
            <w:vAlign w:val="top"/>
          </w:tcPr>
          <w:p w14:paraId="5256C805">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注册</w:t>
            </w:r>
          </w:p>
          <w:p w14:paraId="7BE1E42E">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证书</w:t>
            </w:r>
          </w:p>
          <w:p w14:paraId="69EB0E3A">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的单</w:t>
            </w:r>
          </w:p>
          <w:p w14:paraId="2F3A6A3C">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位应</w:t>
            </w:r>
          </w:p>
          <w:p w14:paraId="1A6525FD">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与投</w:t>
            </w:r>
          </w:p>
          <w:p w14:paraId="4FEAC026">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标人</w:t>
            </w:r>
          </w:p>
          <w:p w14:paraId="5989E15B">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名称</w:t>
            </w:r>
          </w:p>
          <w:p w14:paraId="3EE955D0">
            <w:pPr>
              <w:kinsoku w:val="0"/>
              <w:autoSpaceDE w:val="0"/>
              <w:autoSpaceDN w:val="0"/>
              <w:adjustRightInd w:val="0"/>
              <w:snapToGrid w:val="0"/>
              <w:spacing w:before="68" w:line="240" w:lineRule="auto"/>
              <w:ind w:left="114" w:right="106" w:hanging="8"/>
              <w:jc w:val="both"/>
              <w:textAlignment w:val="baseline"/>
              <w:rPr>
                <w:rFonts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一致</w:t>
            </w:r>
          </w:p>
        </w:tc>
      </w:tr>
      <w:tr w14:paraId="5D6F1B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4" w:hRule="atLeast"/>
        </w:trPr>
        <w:tc>
          <w:tcPr>
            <w:tcW w:w="828" w:type="dxa"/>
            <w:vAlign w:val="top"/>
          </w:tcPr>
          <w:p w14:paraId="72171492">
            <w:pPr>
              <w:widowControl/>
              <w:kinsoku w:val="0"/>
              <w:autoSpaceDE w:val="0"/>
              <w:autoSpaceDN w:val="0"/>
              <w:adjustRightInd w:val="0"/>
              <w:snapToGrid w:val="0"/>
              <w:spacing w:line="311" w:lineRule="auto"/>
              <w:jc w:val="left"/>
              <w:textAlignment w:val="baseline"/>
              <w:rPr>
                <w:rFonts w:ascii="Arial" w:hAnsi="Arial" w:eastAsia="Arial" w:cs="Arial"/>
                <w:snapToGrid w:val="0"/>
                <w:color w:val="auto"/>
                <w:kern w:val="0"/>
                <w:sz w:val="21"/>
                <w:szCs w:val="21"/>
                <w:highlight w:val="none"/>
                <w:lang w:eastAsia="en-US"/>
              </w:rPr>
            </w:pPr>
          </w:p>
          <w:p w14:paraId="666956C6">
            <w:pPr>
              <w:widowControl/>
              <w:kinsoku w:val="0"/>
              <w:autoSpaceDE w:val="0"/>
              <w:autoSpaceDN w:val="0"/>
              <w:adjustRightInd w:val="0"/>
              <w:snapToGrid w:val="0"/>
              <w:spacing w:line="311" w:lineRule="auto"/>
              <w:jc w:val="left"/>
              <w:textAlignment w:val="baseline"/>
              <w:rPr>
                <w:rFonts w:ascii="Arial" w:hAnsi="Arial" w:eastAsia="Arial" w:cs="Arial"/>
                <w:snapToGrid w:val="0"/>
                <w:color w:val="auto"/>
                <w:kern w:val="0"/>
                <w:sz w:val="21"/>
                <w:szCs w:val="21"/>
                <w:highlight w:val="none"/>
                <w:lang w:eastAsia="en-US"/>
              </w:rPr>
            </w:pPr>
          </w:p>
          <w:p w14:paraId="7ABDAA98">
            <w:pPr>
              <w:kinsoku w:val="0"/>
              <w:autoSpaceDE w:val="0"/>
              <w:autoSpaceDN w:val="0"/>
              <w:adjustRightInd w:val="0"/>
              <w:snapToGrid w:val="0"/>
              <w:spacing w:before="69" w:line="243" w:lineRule="auto"/>
              <w:ind w:left="120" w:right="105" w:hanging="1"/>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9"/>
                <w:kern w:val="0"/>
                <w:sz w:val="21"/>
                <w:szCs w:val="21"/>
                <w:highlight w:val="none"/>
                <w:lang w:val="en-US" w:eastAsia="en-US" w:bidi="ar-SA"/>
              </w:rPr>
              <w:t>设计</w:t>
            </w:r>
            <w:r>
              <w:rPr>
                <w:rFonts w:ascii="宋体" w:hAnsi="宋体" w:eastAsia="宋体" w:cs="宋体"/>
                <w:snapToGrid w:val="0"/>
                <w:color w:val="auto"/>
                <w:spacing w:val="-3"/>
                <w:kern w:val="0"/>
                <w:sz w:val="21"/>
                <w:szCs w:val="21"/>
                <w:highlight w:val="none"/>
                <w:lang w:val="en-US" w:eastAsia="en-US" w:bidi="ar-SA"/>
              </w:rPr>
              <w:t>管理</w:t>
            </w:r>
          </w:p>
        </w:tc>
        <w:tc>
          <w:tcPr>
            <w:tcW w:w="1525" w:type="dxa"/>
            <w:vAlign w:val="top"/>
          </w:tcPr>
          <w:p w14:paraId="781A548E">
            <w:pPr>
              <w:kinsoku w:val="0"/>
              <w:autoSpaceDE w:val="0"/>
              <w:autoSpaceDN w:val="0"/>
              <w:adjustRightInd w:val="0"/>
              <w:snapToGrid w:val="0"/>
              <w:spacing w:before="287" w:line="240" w:lineRule="auto"/>
              <w:ind w:left="110" w:right="107" w:firstLine="19"/>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3"/>
                <w:kern w:val="0"/>
                <w:sz w:val="21"/>
                <w:szCs w:val="21"/>
                <w:highlight w:val="none"/>
                <w:lang w:val="en-US" w:eastAsia="en-US" w:bidi="ar-SA"/>
              </w:rPr>
              <w:t>□允许独立配</w:t>
            </w:r>
            <w:r>
              <w:rPr>
                <w:rFonts w:ascii="宋体" w:hAnsi="宋体" w:eastAsia="宋体" w:cs="宋体"/>
                <w:snapToGrid w:val="0"/>
                <w:color w:val="auto"/>
                <w:spacing w:val="6"/>
                <w:kern w:val="0"/>
                <w:sz w:val="21"/>
                <w:szCs w:val="21"/>
                <w:highlight w:val="none"/>
                <w:lang w:val="en-US" w:eastAsia="en-US" w:bidi="ar-SA"/>
              </w:rPr>
              <w:t>备人员及其他</w:t>
            </w:r>
            <w:r>
              <w:rPr>
                <w:rFonts w:ascii="宋体" w:hAnsi="宋体" w:eastAsia="宋体" w:cs="宋体"/>
                <w:snapToGrid w:val="0"/>
                <w:color w:val="auto"/>
                <w:spacing w:val="-2"/>
                <w:kern w:val="0"/>
                <w:sz w:val="21"/>
                <w:szCs w:val="21"/>
                <w:highlight w:val="none"/>
                <w:lang w:val="en-US" w:eastAsia="en-US" w:bidi="ar-SA"/>
              </w:rPr>
              <w:t>人员兼任</w:t>
            </w:r>
          </w:p>
          <w:p w14:paraId="1489735A">
            <w:pPr>
              <w:kinsoku w:val="0"/>
              <w:autoSpaceDE w:val="0"/>
              <w:autoSpaceDN w:val="0"/>
              <w:adjustRightInd w:val="0"/>
              <w:snapToGrid w:val="0"/>
              <w:spacing w:line="247" w:lineRule="auto"/>
              <w:ind w:left="115" w:right="106" w:firstLine="1"/>
              <w:jc w:val="left"/>
              <w:textAlignment w:val="baseline"/>
              <w:rPr>
                <w:rFonts w:ascii="宋体" w:hAnsi="宋体" w:eastAsia="宋体" w:cs="宋体"/>
                <w:snapToGrid w:val="0"/>
                <w:color w:val="auto"/>
                <w:kern w:val="0"/>
                <w:sz w:val="21"/>
                <w:szCs w:val="21"/>
                <w:highlight w:val="none"/>
                <w:lang w:val="en-US" w:eastAsia="en-US" w:bidi="ar-SA"/>
              </w:rPr>
            </w:pPr>
            <w:r>
              <w:rPr>
                <w:rFonts w:ascii="MS Gothic" w:hAnsi="MS Gothic" w:eastAsia="MS Gothic" w:cs="MS Gothic"/>
                <w:snapToGrid w:val="0"/>
                <w:color w:val="auto"/>
                <w:spacing w:val="-9"/>
                <w:kern w:val="0"/>
                <w:sz w:val="21"/>
                <w:szCs w:val="21"/>
                <w:highlight w:val="none"/>
                <w:lang w:val="en-US" w:eastAsia="en-US" w:bidi="ar-SA"/>
              </w:rPr>
              <w:t>☑</w:t>
            </w:r>
            <w:r>
              <w:rPr>
                <w:rFonts w:ascii="MS Gothic" w:hAnsi="MS Gothic" w:eastAsia="MS Gothic" w:cs="MS Gothic"/>
                <w:snapToGrid w:val="0"/>
                <w:color w:val="auto"/>
                <w:spacing w:val="-34"/>
                <w:kern w:val="0"/>
                <w:sz w:val="21"/>
                <w:szCs w:val="21"/>
                <w:highlight w:val="none"/>
                <w:lang w:val="en-US" w:eastAsia="en-US" w:bidi="ar-SA"/>
              </w:rPr>
              <w:t xml:space="preserve"> </w:t>
            </w:r>
            <w:r>
              <w:rPr>
                <w:rFonts w:ascii="宋体" w:hAnsi="宋体" w:eastAsia="宋体" w:cs="宋体"/>
                <w:snapToGrid w:val="0"/>
                <w:color w:val="auto"/>
                <w:spacing w:val="-9"/>
                <w:kern w:val="0"/>
                <w:sz w:val="21"/>
                <w:szCs w:val="21"/>
                <w:highlight w:val="none"/>
                <w:lang w:val="en-US" w:eastAsia="en-US" w:bidi="ar-SA"/>
              </w:rPr>
              <w:t>独</w:t>
            </w:r>
            <w:r>
              <w:rPr>
                <w:rFonts w:ascii="宋体" w:hAnsi="宋体" w:eastAsia="宋体" w:cs="宋体"/>
                <w:snapToGrid w:val="0"/>
                <w:color w:val="auto"/>
                <w:spacing w:val="-33"/>
                <w:kern w:val="0"/>
                <w:sz w:val="21"/>
                <w:szCs w:val="21"/>
                <w:highlight w:val="none"/>
                <w:lang w:val="en-US" w:eastAsia="en-US" w:bidi="ar-SA"/>
              </w:rPr>
              <w:t xml:space="preserve"> </w:t>
            </w:r>
            <w:r>
              <w:rPr>
                <w:rFonts w:ascii="宋体" w:hAnsi="宋体" w:eastAsia="宋体" w:cs="宋体"/>
                <w:snapToGrid w:val="0"/>
                <w:color w:val="auto"/>
                <w:spacing w:val="-9"/>
                <w:kern w:val="0"/>
                <w:sz w:val="21"/>
                <w:szCs w:val="21"/>
                <w:highlight w:val="none"/>
                <w:lang w:val="en-US" w:eastAsia="en-US" w:bidi="ar-SA"/>
              </w:rPr>
              <w:t>立</w:t>
            </w:r>
            <w:r>
              <w:rPr>
                <w:rFonts w:ascii="宋体" w:hAnsi="宋体" w:eastAsia="宋体" w:cs="宋体"/>
                <w:snapToGrid w:val="0"/>
                <w:color w:val="auto"/>
                <w:spacing w:val="-34"/>
                <w:kern w:val="0"/>
                <w:sz w:val="21"/>
                <w:szCs w:val="21"/>
                <w:highlight w:val="none"/>
                <w:lang w:val="en-US" w:eastAsia="en-US" w:bidi="ar-SA"/>
              </w:rPr>
              <w:t xml:space="preserve"> </w:t>
            </w:r>
            <w:r>
              <w:rPr>
                <w:rFonts w:ascii="宋体" w:hAnsi="宋体" w:eastAsia="宋体" w:cs="宋体"/>
                <w:snapToGrid w:val="0"/>
                <w:color w:val="auto"/>
                <w:spacing w:val="-9"/>
                <w:kern w:val="0"/>
                <w:sz w:val="21"/>
                <w:szCs w:val="21"/>
                <w:highlight w:val="none"/>
                <w:lang w:val="en-US" w:eastAsia="en-US" w:bidi="ar-SA"/>
              </w:rPr>
              <w:t>配</w:t>
            </w:r>
            <w:r>
              <w:rPr>
                <w:rFonts w:ascii="宋体" w:hAnsi="宋体" w:eastAsia="宋体" w:cs="宋体"/>
                <w:snapToGrid w:val="0"/>
                <w:color w:val="auto"/>
                <w:spacing w:val="-30"/>
                <w:kern w:val="0"/>
                <w:sz w:val="21"/>
                <w:szCs w:val="21"/>
                <w:highlight w:val="none"/>
                <w:lang w:val="en-US" w:eastAsia="en-US" w:bidi="ar-SA"/>
              </w:rPr>
              <w:t xml:space="preserve"> </w:t>
            </w:r>
            <w:r>
              <w:rPr>
                <w:rFonts w:ascii="宋体" w:hAnsi="宋体" w:eastAsia="宋体" w:cs="宋体"/>
                <w:snapToGrid w:val="0"/>
                <w:color w:val="auto"/>
                <w:spacing w:val="-9"/>
                <w:kern w:val="0"/>
                <w:sz w:val="21"/>
                <w:szCs w:val="21"/>
                <w:highlight w:val="none"/>
                <w:lang w:val="en-US" w:eastAsia="en-US" w:bidi="ar-SA"/>
              </w:rPr>
              <w:t>备</w:t>
            </w:r>
            <w:r>
              <w:rPr>
                <w:rFonts w:ascii="宋体" w:hAnsi="宋体" w:eastAsia="宋体" w:cs="宋体"/>
                <w:snapToGrid w:val="0"/>
                <w:color w:val="auto"/>
                <w:spacing w:val="-5"/>
                <w:kern w:val="0"/>
                <w:sz w:val="21"/>
                <w:szCs w:val="21"/>
                <w:highlight w:val="none"/>
                <w:lang w:val="en-US" w:eastAsia="en-US" w:bidi="ar-SA"/>
              </w:rPr>
              <w:t>（</w:t>
            </w:r>
            <w:r>
              <w:rPr>
                <w:rFonts w:ascii="Times New Roman" w:hAnsi="Times New Roman" w:eastAsia="Times New Roman" w:cs="Times New Roman"/>
                <w:snapToGrid w:val="0"/>
                <w:color w:val="auto"/>
                <w:spacing w:val="-5"/>
                <w:kern w:val="0"/>
                <w:sz w:val="21"/>
                <w:szCs w:val="21"/>
                <w:highlight w:val="none"/>
                <w:lang w:val="en-US" w:eastAsia="en-US" w:bidi="ar-SA"/>
              </w:rPr>
              <w:t>1</w:t>
            </w:r>
            <w:r>
              <w:rPr>
                <w:rFonts w:ascii="宋体" w:hAnsi="宋体" w:eastAsia="宋体" w:cs="宋体"/>
                <w:snapToGrid w:val="0"/>
                <w:color w:val="auto"/>
                <w:spacing w:val="-5"/>
                <w:kern w:val="0"/>
                <w:sz w:val="21"/>
                <w:szCs w:val="21"/>
                <w:highlight w:val="none"/>
                <w:lang w:val="en-US" w:eastAsia="en-US" w:bidi="ar-SA"/>
              </w:rPr>
              <w:t>）人</w:t>
            </w:r>
          </w:p>
        </w:tc>
        <w:tc>
          <w:tcPr>
            <w:tcW w:w="3340" w:type="dxa"/>
            <w:tcBorders>
              <w:top w:val="single" w:color="000000" w:sz="6" w:space="0"/>
              <w:bottom w:val="single" w:color="000000" w:sz="6" w:space="0"/>
            </w:tcBorders>
            <w:vAlign w:val="top"/>
          </w:tcPr>
          <w:p w14:paraId="40E20C5B">
            <w:pPr>
              <w:kinsoku w:val="0"/>
              <w:autoSpaceDE w:val="0"/>
              <w:autoSpaceDN w:val="0"/>
              <w:adjustRightInd w:val="0"/>
              <w:snapToGrid w:val="0"/>
              <w:spacing w:before="55" w:line="221" w:lineRule="auto"/>
              <w:ind w:left="132"/>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7"/>
                <w:kern w:val="0"/>
                <w:sz w:val="21"/>
                <w:szCs w:val="21"/>
                <w:highlight w:val="none"/>
                <w:lang w:val="en-US" w:eastAsia="en-US" w:bidi="ar-SA"/>
              </w:rPr>
              <w:t>□无要求</w:t>
            </w:r>
          </w:p>
          <w:p w14:paraId="180797AD">
            <w:pPr>
              <w:kinsoku w:val="0"/>
              <w:autoSpaceDE w:val="0"/>
              <w:autoSpaceDN w:val="0"/>
              <w:adjustRightInd w:val="0"/>
              <w:snapToGrid w:val="0"/>
              <w:spacing w:before="60" w:line="235" w:lineRule="auto"/>
              <w:ind w:left="118"/>
              <w:jc w:val="left"/>
              <w:textAlignment w:val="baseline"/>
              <w:rPr>
                <w:rFonts w:ascii="宋体" w:hAnsi="宋体" w:eastAsia="宋体" w:cs="宋体"/>
                <w:snapToGrid w:val="0"/>
                <w:color w:val="auto"/>
                <w:kern w:val="0"/>
                <w:sz w:val="21"/>
                <w:szCs w:val="21"/>
                <w:highlight w:val="none"/>
                <w:lang w:val="en-US" w:eastAsia="en-US" w:bidi="ar-SA"/>
              </w:rPr>
            </w:pPr>
            <w:r>
              <w:rPr>
                <w:rFonts w:ascii="MS Gothic" w:hAnsi="MS Gothic" w:eastAsia="MS Gothic" w:cs="MS Gothic"/>
                <w:snapToGrid w:val="0"/>
                <w:color w:val="auto"/>
                <w:spacing w:val="-3"/>
                <w:kern w:val="0"/>
                <w:sz w:val="21"/>
                <w:szCs w:val="21"/>
                <w:highlight w:val="none"/>
                <w:lang w:val="en-US" w:eastAsia="en-US" w:bidi="ar-SA"/>
              </w:rPr>
              <w:t>☑</w:t>
            </w:r>
            <w:r>
              <w:rPr>
                <w:rFonts w:ascii="宋体" w:hAnsi="宋体" w:eastAsia="宋体" w:cs="宋体"/>
                <w:snapToGrid w:val="0"/>
                <w:color w:val="auto"/>
                <w:spacing w:val="-3"/>
                <w:kern w:val="0"/>
                <w:sz w:val="21"/>
                <w:szCs w:val="21"/>
                <w:highlight w:val="none"/>
                <w:lang w:val="en-US" w:eastAsia="en-US" w:bidi="ar-SA"/>
              </w:rPr>
              <w:t>至少</w:t>
            </w:r>
            <w:r>
              <w:rPr>
                <w:rFonts w:ascii="宋体" w:hAnsi="宋体" w:eastAsia="宋体" w:cs="宋体"/>
                <w:snapToGrid w:val="0"/>
                <w:color w:val="auto"/>
                <w:spacing w:val="-21"/>
                <w:kern w:val="0"/>
                <w:sz w:val="21"/>
                <w:szCs w:val="21"/>
                <w:highlight w:val="none"/>
                <w:lang w:val="en-US" w:eastAsia="en-US" w:bidi="ar-SA"/>
              </w:rPr>
              <w:t xml:space="preserve"> </w:t>
            </w:r>
            <w:r>
              <w:rPr>
                <w:rFonts w:ascii="Times New Roman" w:hAnsi="Times New Roman" w:eastAsia="Times New Roman" w:cs="Times New Roman"/>
                <w:snapToGrid w:val="0"/>
                <w:color w:val="auto"/>
                <w:spacing w:val="-3"/>
                <w:kern w:val="0"/>
                <w:sz w:val="21"/>
                <w:szCs w:val="21"/>
                <w:highlight w:val="none"/>
                <w:lang w:val="en-US" w:eastAsia="en-US" w:bidi="ar-SA"/>
              </w:rPr>
              <w:t xml:space="preserve">1 </w:t>
            </w:r>
            <w:r>
              <w:rPr>
                <w:rFonts w:ascii="宋体" w:hAnsi="宋体" w:eastAsia="宋体" w:cs="宋体"/>
                <w:snapToGrid w:val="0"/>
                <w:color w:val="auto"/>
                <w:spacing w:val="-3"/>
                <w:kern w:val="0"/>
                <w:sz w:val="21"/>
                <w:szCs w:val="21"/>
                <w:highlight w:val="none"/>
                <w:lang w:val="en-US" w:eastAsia="en-US" w:bidi="ar-SA"/>
              </w:rPr>
              <w:t>人具备以下资质之一：</w:t>
            </w:r>
          </w:p>
          <w:p w14:paraId="02EDF3AE">
            <w:pPr>
              <w:kinsoku w:val="0"/>
              <w:autoSpaceDE w:val="0"/>
              <w:autoSpaceDN w:val="0"/>
              <w:adjustRightInd w:val="0"/>
              <w:snapToGrid w:val="0"/>
              <w:spacing w:before="46" w:line="260" w:lineRule="auto"/>
              <w:ind w:left="110" w:right="102"/>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2"/>
                <w:kern w:val="0"/>
                <w:sz w:val="21"/>
                <w:szCs w:val="21"/>
                <w:highlight w:val="none"/>
                <w:lang w:val="en-US" w:eastAsia="en-US" w:bidi="ar-SA"/>
              </w:rPr>
              <w:t>注册建筑师二级及以上、注册结构工程师二级及以上、注册公用设备工程师（仅限机电安装工程代建单</w:t>
            </w:r>
            <w:r>
              <w:rPr>
                <w:rFonts w:ascii="宋体" w:hAnsi="宋体" w:eastAsia="宋体" w:cs="宋体"/>
                <w:snapToGrid w:val="0"/>
                <w:color w:val="auto"/>
                <w:spacing w:val="-1"/>
                <w:kern w:val="0"/>
                <w:sz w:val="21"/>
                <w:szCs w:val="21"/>
                <w:highlight w:val="none"/>
                <w:lang w:val="en-US" w:eastAsia="en-US" w:bidi="ar-SA"/>
              </w:rPr>
              <w:t>位招标选用）</w:t>
            </w:r>
          </w:p>
        </w:tc>
        <w:tc>
          <w:tcPr>
            <w:tcW w:w="909" w:type="dxa"/>
            <w:tcBorders>
              <w:top w:val="single" w:color="000000" w:sz="6" w:space="0"/>
              <w:bottom w:val="single" w:color="000000" w:sz="6" w:space="0"/>
            </w:tcBorders>
            <w:vAlign w:val="top"/>
          </w:tcPr>
          <w:p w14:paraId="24B2C668">
            <w:pPr>
              <w:kinsoku w:val="0"/>
              <w:autoSpaceDE w:val="0"/>
              <w:autoSpaceDN w:val="0"/>
              <w:adjustRightInd w:val="0"/>
              <w:snapToGrid w:val="0"/>
              <w:spacing w:before="286" w:line="240" w:lineRule="auto"/>
              <w:ind w:left="116" w:right="101" w:firstLine="19"/>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2"/>
                <w:kern w:val="0"/>
                <w:sz w:val="21"/>
                <w:szCs w:val="21"/>
                <w:highlight w:val="none"/>
                <w:lang w:val="en-US" w:eastAsia="en-US" w:bidi="ar-SA"/>
              </w:rPr>
              <w:t>□</w:t>
            </w:r>
            <w:r>
              <w:rPr>
                <w:rFonts w:ascii="宋体" w:hAnsi="宋体" w:eastAsia="宋体" w:cs="宋体"/>
                <w:snapToGrid w:val="0"/>
                <w:color w:val="auto"/>
                <w:spacing w:val="-64"/>
                <w:kern w:val="0"/>
                <w:sz w:val="21"/>
                <w:szCs w:val="21"/>
                <w:highlight w:val="none"/>
                <w:lang w:val="en-US" w:eastAsia="en-US" w:bidi="ar-SA"/>
              </w:rPr>
              <w:t xml:space="preserve"> </w:t>
            </w:r>
            <w:r>
              <w:rPr>
                <w:rFonts w:ascii="宋体" w:hAnsi="宋体" w:eastAsia="宋体" w:cs="宋体"/>
                <w:snapToGrid w:val="0"/>
                <w:color w:val="auto"/>
                <w:spacing w:val="-2"/>
                <w:kern w:val="0"/>
                <w:sz w:val="21"/>
                <w:szCs w:val="21"/>
                <w:highlight w:val="none"/>
                <w:lang w:val="en-US" w:eastAsia="en-US" w:bidi="ar-SA"/>
              </w:rPr>
              <w:t>无要</w:t>
            </w:r>
            <w:r>
              <w:rPr>
                <w:rFonts w:ascii="宋体" w:hAnsi="宋体" w:eastAsia="宋体" w:cs="宋体"/>
                <w:snapToGrid w:val="0"/>
                <w:color w:val="auto"/>
                <w:kern w:val="0"/>
                <w:sz w:val="21"/>
                <w:szCs w:val="21"/>
                <w:highlight w:val="none"/>
                <w:lang w:val="en-US" w:eastAsia="en-US" w:bidi="ar-SA"/>
              </w:rPr>
              <w:t>求</w:t>
            </w:r>
          </w:p>
          <w:p w14:paraId="02ABAD2B">
            <w:pPr>
              <w:kinsoku w:val="0"/>
              <w:autoSpaceDE w:val="0"/>
              <w:autoSpaceDN w:val="0"/>
              <w:adjustRightInd w:val="0"/>
              <w:snapToGrid w:val="0"/>
              <w:spacing w:line="222" w:lineRule="auto"/>
              <w:ind w:left="136"/>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9"/>
                <w:kern w:val="0"/>
                <w:sz w:val="21"/>
                <w:szCs w:val="21"/>
                <w:highlight w:val="none"/>
                <w:lang w:val="en-US" w:eastAsia="en-US" w:bidi="ar-SA"/>
              </w:rPr>
              <w:t>□初级</w:t>
            </w:r>
          </w:p>
          <w:p w14:paraId="73523A3E">
            <w:pPr>
              <w:kinsoku w:val="0"/>
              <w:autoSpaceDE w:val="0"/>
              <w:autoSpaceDN w:val="0"/>
              <w:adjustRightInd w:val="0"/>
              <w:snapToGrid w:val="0"/>
              <w:spacing w:before="20" w:line="221" w:lineRule="auto"/>
              <w:ind w:left="123"/>
              <w:jc w:val="left"/>
              <w:textAlignment w:val="baseline"/>
              <w:rPr>
                <w:rFonts w:ascii="宋体" w:hAnsi="宋体" w:eastAsia="宋体" w:cs="宋体"/>
                <w:snapToGrid w:val="0"/>
                <w:color w:val="auto"/>
                <w:kern w:val="0"/>
                <w:sz w:val="21"/>
                <w:szCs w:val="21"/>
                <w:highlight w:val="none"/>
                <w:lang w:val="en-US" w:eastAsia="en-US" w:bidi="ar-SA"/>
              </w:rPr>
            </w:pPr>
            <w:r>
              <w:rPr>
                <w:rFonts w:ascii="MS Gothic" w:hAnsi="MS Gothic" w:eastAsia="MS Gothic" w:cs="MS Gothic"/>
                <w:snapToGrid w:val="0"/>
                <w:color w:val="auto"/>
                <w:spacing w:val="-3"/>
                <w:kern w:val="0"/>
                <w:sz w:val="21"/>
                <w:szCs w:val="21"/>
                <w:highlight w:val="none"/>
                <w:lang w:val="en-US" w:eastAsia="en-US" w:bidi="ar-SA"/>
              </w:rPr>
              <w:t>☑</w:t>
            </w:r>
            <w:r>
              <w:rPr>
                <w:rFonts w:ascii="MS Gothic" w:hAnsi="MS Gothic" w:eastAsia="MS Gothic" w:cs="MS Gothic"/>
                <w:snapToGrid w:val="0"/>
                <w:color w:val="auto"/>
                <w:spacing w:val="-48"/>
                <w:kern w:val="0"/>
                <w:sz w:val="21"/>
                <w:szCs w:val="21"/>
                <w:highlight w:val="none"/>
                <w:lang w:val="en-US" w:eastAsia="en-US" w:bidi="ar-SA"/>
              </w:rPr>
              <w:t xml:space="preserve"> </w:t>
            </w:r>
            <w:r>
              <w:rPr>
                <w:rFonts w:ascii="宋体" w:hAnsi="宋体" w:eastAsia="宋体" w:cs="宋体"/>
                <w:snapToGrid w:val="0"/>
                <w:color w:val="auto"/>
                <w:spacing w:val="-3"/>
                <w:kern w:val="0"/>
                <w:sz w:val="21"/>
                <w:szCs w:val="21"/>
                <w:highlight w:val="none"/>
                <w:lang w:val="en-US" w:eastAsia="en-US" w:bidi="ar-SA"/>
              </w:rPr>
              <w:t>中级</w:t>
            </w:r>
          </w:p>
          <w:p w14:paraId="65163F61">
            <w:pPr>
              <w:kinsoku w:val="0"/>
              <w:autoSpaceDE w:val="0"/>
              <w:autoSpaceDN w:val="0"/>
              <w:adjustRightInd w:val="0"/>
              <w:snapToGrid w:val="0"/>
              <w:spacing w:before="20" w:line="223" w:lineRule="auto"/>
              <w:ind w:left="113"/>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1"/>
                <w:kern w:val="0"/>
                <w:sz w:val="21"/>
                <w:szCs w:val="21"/>
                <w:highlight w:val="none"/>
                <w:lang w:val="en-US" w:eastAsia="en-US" w:bidi="ar-SA"/>
              </w:rPr>
              <w:t>及以上</w:t>
            </w:r>
          </w:p>
        </w:tc>
        <w:tc>
          <w:tcPr>
            <w:tcW w:w="724" w:type="dxa"/>
            <w:tcBorders>
              <w:top w:val="single" w:color="000000" w:sz="6" w:space="0"/>
              <w:bottom w:val="single" w:color="000000" w:sz="6" w:space="0"/>
            </w:tcBorders>
            <w:vAlign w:val="top"/>
          </w:tcPr>
          <w:p w14:paraId="7848D2A9">
            <w:pPr>
              <w:widowControl/>
              <w:kinsoku w:val="0"/>
              <w:autoSpaceDE w:val="0"/>
              <w:autoSpaceDN w:val="0"/>
              <w:adjustRightInd w:val="0"/>
              <w:snapToGrid w:val="0"/>
              <w:spacing w:line="253" w:lineRule="auto"/>
              <w:jc w:val="left"/>
              <w:textAlignment w:val="baseline"/>
              <w:rPr>
                <w:rFonts w:ascii="Arial" w:hAnsi="Arial" w:eastAsia="Arial" w:cs="Arial"/>
                <w:snapToGrid w:val="0"/>
                <w:color w:val="auto"/>
                <w:kern w:val="0"/>
                <w:sz w:val="21"/>
                <w:szCs w:val="21"/>
                <w:highlight w:val="none"/>
                <w:lang w:eastAsia="en-US"/>
              </w:rPr>
            </w:pPr>
          </w:p>
          <w:p w14:paraId="6E1CE112">
            <w:pPr>
              <w:widowControl/>
              <w:kinsoku w:val="0"/>
              <w:autoSpaceDE w:val="0"/>
              <w:autoSpaceDN w:val="0"/>
              <w:adjustRightInd w:val="0"/>
              <w:snapToGrid w:val="0"/>
              <w:spacing w:line="253" w:lineRule="auto"/>
              <w:jc w:val="left"/>
              <w:textAlignment w:val="baseline"/>
              <w:rPr>
                <w:rFonts w:ascii="Arial" w:hAnsi="Arial" w:eastAsia="Arial" w:cs="Arial"/>
                <w:snapToGrid w:val="0"/>
                <w:color w:val="auto"/>
                <w:kern w:val="0"/>
                <w:sz w:val="21"/>
                <w:szCs w:val="21"/>
                <w:highlight w:val="none"/>
                <w:lang w:eastAsia="en-US"/>
              </w:rPr>
            </w:pPr>
          </w:p>
          <w:p w14:paraId="1BC3540C">
            <w:pPr>
              <w:widowControl/>
              <w:kinsoku w:val="0"/>
              <w:autoSpaceDE w:val="0"/>
              <w:autoSpaceDN w:val="0"/>
              <w:adjustRightInd w:val="0"/>
              <w:snapToGrid w:val="0"/>
              <w:spacing w:line="254" w:lineRule="auto"/>
              <w:jc w:val="left"/>
              <w:textAlignment w:val="baseline"/>
              <w:rPr>
                <w:rFonts w:ascii="Arial" w:hAnsi="Arial" w:eastAsia="Arial" w:cs="Arial"/>
                <w:snapToGrid w:val="0"/>
                <w:color w:val="auto"/>
                <w:kern w:val="0"/>
                <w:sz w:val="21"/>
                <w:szCs w:val="21"/>
                <w:highlight w:val="none"/>
                <w:lang w:eastAsia="en-US"/>
              </w:rPr>
            </w:pPr>
          </w:p>
          <w:p w14:paraId="3CECCD70">
            <w:pPr>
              <w:kinsoku w:val="0"/>
              <w:autoSpaceDE w:val="0"/>
              <w:autoSpaceDN w:val="0"/>
              <w:adjustRightInd w:val="0"/>
              <w:snapToGrid w:val="0"/>
              <w:spacing w:before="68" w:line="221" w:lineRule="auto"/>
              <w:ind w:left="121"/>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kern w:val="0"/>
                <w:sz w:val="21"/>
                <w:szCs w:val="21"/>
                <w:highlight w:val="none"/>
                <w:lang w:val="en-US" w:eastAsia="en-US" w:bidi="ar-SA"/>
              </w:rPr>
              <w:t>否</w:t>
            </w:r>
          </w:p>
        </w:tc>
        <w:tc>
          <w:tcPr>
            <w:tcW w:w="1049" w:type="dxa"/>
            <w:tcBorders>
              <w:top w:val="single" w:color="000000" w:sz="6" w:space="0"/>
              <w:bottom w:val="single" w:color="000000" w:sz="6" w:space="0"/>
            </w:tcBorders>
            <w:vAlign w:val="top"/>
          </w:tcPr>
          <w:p w14:paraId="2BF05A5A">
            <w:pPr>
              <w:widowControl/>
              <w:kinsoku w:val="0"/>
              <w:autoSpaceDE w:val="0"/>
              <w:autoSpaceDN w:val="0"/>
              <w:adjustRightInd w:val="0"/>
              <w:snapToGrid w:val="0"/>
              <w:spacing w:line="253" w:lineRule="auto"/>
              <w:jc w:val="left"/>
              <w:textAlignment w:val="baseline"/>
              <w:rPr>
                <w:rFonts w:ascii="Arial" w:hAnsi="Arial" w:eastAsia="Arial" w:cs="Arial"/>
                <w:snapToGrid w:val="0"/>
                <w:color w:val="auto"/>
                <w:kern w:val="0"/>
                <w:sz w:val="21"/>
                <w:szCs w:val="21"/>
                <w:highlight w:val="none"/>
                <w:lang w:eastAsia="en-US"/>
              </w:rPr>
            </w:pPr>
          </w:p>
          <w:p w14:paraId="153F6EFD">
            <w:pPr>
              <w:widowControl/>
              <w:kinsoku w:val="0"/>
              <w:autoSpaceDE w:val="0"/>
              <w:autoSpaceDN w:val="0"/>
              <w:adjustRightInd w:val="0"/>
              <w:snapToGrid w:val="0"/>
              <w:spacing w:line="253" w:lineRule="auto"/>
              <w:jc w:val="left"/>
              <w:textAlignment w:val="baseline"/>
              <w:rPr>
                <w:rFonts w:ascii="Arial" w:hAnsi="Arial" w:eastAsia="Arial" w:cs="Arial"/>
                <w:snapToGrid w:val="0"/>
                <w:color w:val="auto"/>
                <w:kern w:val="0"/>
                <w:sz w:val="21"/>
                <w:szCs w:val="21"/>
                <w:highlight w:val="none"/>
                <w:lang w:eastAsia="en-US"/>
              </w:rPr>
            </w:pPr>
          </w:p>
          <w:p w14:paraId="56CAC64B">
            <w:pPr>
              <w:widowControl/>
              <w:kinsoku w:val="0"/>
              <w:autoSpaceDE w:val="0"/>
              <w:autoSpaceDN w:val="0"/>
              <w:adjustRightInd w:val="0"/>
              <w:snapToGrid w:val="0"/>
              <w:spacing w:line="253" w:lineRule="auto"/>
              <w:jc w:val="left"/>
              <w:textAlignment w:val="baseline"/>
              <w:rPr>
                <w:rFonts w:ascii="Arial" w:hAnsi="Arial" w:eastAsia="Arial" w:cs="Arial"/>
                <w:snapToGrid w:val="0"/>
                <w:color w:val="auto"/>
                <w:kern w:val="0"/>
                <w:sz w:val="21"/>
                <w:szCs w:val="21"/>
                <w:highlight w:val="none"/>
                <w:lang w:eastAsia="en-US"/>
              </w:rPr>
            </w:pPr>
          </w:p>
          <w:p w14:paraId="4857734D">
            <w:pPr>
              <w:kinsoku w:val="0"/>
              <w:autoSpaceDE w:val="0"/>
              <w:autoSpaceDN w:val="0"/>
              <w:adjustRightInd w:val="0"/>
              <w:snapToGrid w:val="0"/>
              <w:spacing w:before="68" w:line="221" w:lineRule="auto"/>
              <w:ind w:left="123"/>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4"/>
                <w:kern w:val="0"/>
                <w:sz w:val="21"/>
                <w:szCs w:val="21"/>
                <w:highlight w:val="none"/>
                <w:lang w:val="en-US" w:eastAsia="en-US" w:bidi="ar-SA"/>
              </w:rPr>
              <w:t>允许</w:t>
            </w:r>
          </w:p>
        </w:tc>
        <w:tc>
          <w:tcPr>
            <w:tcW w:w="717" w:type="dxa"/>
            <w:tcBorders>
              <w:top w:val="single" w:color="000000" w:sz="6" w:space="0"/>
              <w:bottom w:val="single" w:color="000000" w:sz="6" w:space="0"/>
            </w:tcBorders>
            <w:vAlign w:val="top"/>
          </w:tcPr>
          <w:p w14:paraId="6DB88737">
            <w:pPr>
              <w:widowControl/>
              <w:kinsoku w:val="0"/>
              <w:autoSpaceDE w:val="0"/>
              <w:autoSpaceDN w:val="0"/>
              <w:adjustRightInd w:val="0"/>
              <w:snapToGrid w:val="0"/>
              <w:spacing w:line="253" w:lineRule="auto"/>
              <w:jc w:val="left"/>
              <w:textAlignment w:val="baseline"/>
              <w:rPr>
                <w:rFonts w:ascii="Arial" w:hAnsi="Arial" w:eastAsia="Arial" w:cs="Arial"/>
                <w:snapToGrid w:val="0"/>
                <w:color w:val="auto"/>
                <w:kern w:val="0"/>
                <w:sz w:val="21"/>
                <w:szCs w:val="21"/>
                <w:highlight w:val="none"/>
                <w:lang w:eastAsia="en-US"/>
              </w:rPr>
            </w:pPr>
          </w:p>
          <w:p w14:paraId="302AF7F4">
            <w:pPr>
              <w:widowControl/>
              <w:kinsoku w:val="0"/>
              <w:autoSpaceDE w:val="0"/>
              <w:autoSpaceDN w:val="0"/>
              <w:adjustRightInd w:val="0"/>
              <w:snapToGrid w:val="0"/>
              <w:spacing w:line="253" w:lineRule="auto"/>
              <w:jc w:val="left"/>
              <w:textAlignment w:val="baseline"/>
              <w:rPr>
                <w:rFonts w:ascii="Arial" w:hAnsi="Arial" w:eastAsia="Arial" w:cs="Arial"/>
                <w:snapToGrid w:val="0"/>
                <w:color w:val="auto"/>
                <w:kern w:val="0"/>
                <w:sz w:val="21"/>
                <w:szCs w:val="21"/>
                <w:highlight w:val="none"/>
                <w:lang w:eastAsia="en-US"/>
              </w:rPr>
            </w:pPr>
          </w:p>
          <w:p w14:paraId="689DE95D">
            <w:pPr>
              <w:widowControl/>
              <w:kinsoku w:val="0"/>
              <w:autoSpaceDE w:val="0"/>
              <w:autoSpaceDN w:val="0"/>
              <w:adjustRightInd w:val="0"/>
              <w:snapToGrid w:val="0"/>
              <w:spacing w:line="253" w:lineRule="auto"/>
              <w:jc w:val="left"/>
              <w:textAlignment w:val="baseline"/>
              <w:rPr>
                <w:rFonts w:ascii="Arial" w:hAnsi="Arial" w:eastAsia="Arial" w:cs="Arial"/>
                <w:snapToGrid w:val="0"/>
                <w:color w:val="auto"/>
                <w:kern w:val="0"/>
                <w:sz w:val="21"/>
                <w:szCs w:val="21"/>
                <w:highlight w:val="none"/>
                <w:lang w:eastAsia="en-US"/>
              </w:rPr>
            </w:pPr>
          </w:p>
          <w:p w14:paraId="53056559">
            <w:pPr>
              <w:kinsoku w:val="0"/>
              <w:autoSpaceDE w:val="0"/>
              <w:autoSpaceDN w:val="0"/>
              <w:adjustRightInd w:val="0"/>
              <w:snapToGrid w:val="0"/>
              <w:spacing w:before="68" w:line="221" w:lineRule="auto"/>
              <w:ind w:left="124"/>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4"/>
                <w:kern w:val="0"/>
                <w:sz w:val="21"/>
                <w:szCs w:val="21"/>
                <w:highlight w:val="none"/>
                <w:lang w:val="en-US" w:eastAsia="en-US" w:bidi="ar-SA"/>
              </w:rPr>
              <w:t>允许</w:t>
            </w:r>
          </w:p>
        </w:tc>
        <w:tc>
          <w:tcPr>
            <w:tcW w:w="720" w:type="dxa"/>
            <w:tcBorders>
              <w:top w:val="single" w:color="000000" w:sz="6" w:space="0"/>
              <w:bottom w:val="single" w:color="000000" w:sz="6" w:space="0"/>
            </w:tcBorders>
            <w:vAlign w:val="top"/>
          </w:tcPr>
          <w:p w14:paraId="0DFF5299">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注册</w:t>
            </w:r>
          </w:p>
          <w:p w14:paraId="2A445C27">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证书</w:t>
            </w:r>
          </w:p>
          <w:p w14:paraId="26854F50">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的单</w:t>
            </w:r>
          </w:p>
          <w:p w14:paraId="245D0170">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位应</w:t>
            </w:r>
          </w:p>
          <w:p w14:paraId="25A803CE">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与投</w:t>
            </w:r>
          </w:p>
          <w:p w14:paraId="41E80145">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标人</w:t>
            </w:r>
          </w:p>
          <w:p w14:paraId="0C9D536F">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名称</w:t>
            </w:r>
          </w:p>
          <w:p w14:paraId="58771E11">
            <w:pPr>
              <w:widowControl/>
              <w:kinsoku w:val="0"/>
              <w:autoSpaceDE w:val="0"/>
              <w:autoSpaceDN w:val="0"/>
              <w:adjustRightInd w:val="0"/>
              <w:snapToGrid w:val="0"/>
              <w:spacing w:before="60" w:line="233" w:lineRule="auto"/>
              <w:ind w:left="106"/>
              <w:jc w:val="left"/>
              <w:textAlignment w:val="baseline"/>
              <w:rPr>
                <w:rFonts w:ascii="Times New Roman" w:hAnsi="Times New Roman" w:eastAsia="Times New Roman" w:cs="Times New Roman"/>
                <w:snapToGrid w:val="0"/>
                <w:color w:val="auto"/>
                <w:kern w:val="0"/>
                <w:sz w:val="21"/>
                <w:szCs w:val="21"/>
                <w:highlight w:val="none"/>
                <w:lang w:eastAsia="en-US"/>
              </w:rPr>
            </w:pPr>
            <w:r>
              <w:rPr>
                <w:rFonts w:hint="eastAsia" w:ascii="宋体" w:hAnsi="宋体" w:eastAsia="宋体" w:cs="宋体"/>
                <w:snapToGrid w:val="0"/>
                <w:color w:val="auto"/>
                <w:kern w:val="0"/>
                <w:sz w:val="21"/>
                <w:szCs w:val="21"/>
                <w:highlight w:val="none"/>
                <w:lang w:val="en-US" w:eastAsia="en-US" w:bidi="ar-SA"/>
              </w:rPr>
              <w:t>一致</w:t>
            </w:r>
          </w:p>
        </w:tc>
      </w:tr>
      <w:tr w14:paraId="2D0F33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28" w:type="dxa"/>
            <w:vAlign w:val="top"/>
          </w:tcPr>
          <w:p w14:paraId="0EA0D12D">
            <w:pPr>
              <w:widowControl/>
              <w:kinsoku w:val="0"/>
              <w:autoSpaceDE w:val="0"/>
              <w:autoSpaceDN w:val="0"/>
              <w:adjustRightInd w:val="0"/>
              <w:snapToGrid w:val="0"/>
              <w:spacing w:line="252" w:lineRule="auto"/>
              <w:jc w:val="left"/>
              <w:textAlignment w:val="baseline"/>
              <w:rPr>
                <w:rFonts w:ascii="Arial" w:hAnsi="Arial" w:eastAsia="Arial" w:cs="Arial"/>
                <w:snapToGrid w:val="0"/>
                <w:color w:val="auto"/>
                <w:kern w:val="0"/>
                <w:sz w:val="21"/>
                <w:szCs w:val="21"/>
                <w:highlight w:val="none"/>
                <w:lang w:eastAsia="en-US"/>
              </w:rPr>
            </w:pPr>
          </w:p>
          <w:p w14:paraId="79F47933">
            <w:pPr>
              <w:widowControl/>
              <w:kinsoku w:val="0"/>
              <w:autoSpaceDE w:val="0"/>
              <w:autoSpaceDN w:val="0"/>
              <w:adjustRightInd w:val="0"/>
              <w:snapToGrid w:val="0"/>
              <w:spacing w:line="253" w:lineRule="auto"/>
              <w:jc w:val="left"/>
              <w:textAlignment w:val="baseline"/>
              <w:rPr>
                <w:rFonts w:ascii="Arial" w:hAnsi="Arial" w:eastAsia="Arial" w:cs="Arial"/>
                <w:snapToGrid w:val="0"/>
                <w:color w:val="auto"/>
                <w:kern w:val="0"/>
                <w:sz w:val="21"/>
                <w:szCs w:val="21"/>
                <w:highlight w:val="none"/>
                <w:lang w:eastAsia="en-US"/>
              </w:rPr>
            </w:pPr>
          </w:p>
          <w:p w14:paraId="0DF519A7">
            <w:pPr>
              <w:kinsoku w:val="0"/>
              <w:autoSpaceDE w:val="0"/>
              <w:autoSpaceDN w:val="0"/>
              <w:adjustRightInd w:val="0"/>
              <w:snapToGrid w:val="0"/>
              <w:spacing w:before="69" w:line="243" w:lineRule="auto"/>
              <w:ind w:left="120" w:right="105" w:hanging="5"/>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8"/>
                <w:kern w:val="0"/>
                <w:sz w:val="21"/>
                <w:szCs w:val="21"/>
                <w:highlight w:val="none"/>
                <w:lang w:val="en-US" w:eastAsia="en-US" w:bidi="ar-SA"/>
              </w:rPr>
              <w:t>造价</w:t>
            </w:r>
            <w:r>
              <w:rPr>
                <w:rFonts w:ascii="宋体" w:hAnsi="宋体" w:eastAsia="宋体" w:cs="宋体"/>
                <w:snapToGrid w:val="0"/>
                <w:color w:val="auto"/>
                <w:spacing w:val="-3"/>
                <w:kern w:val="0"/>
                <w:sz w:val="21"/>
                <w:szCs w:val="21"/>
                <w:highlight w:val="none"/>
                <w:lang w:val="en-US" w:eastAsia="en-US" w:bidi="ar-SA"/>
              </w:rPr>
              <w:t>管理</w:t>
            </w:r>
          </w:p>
        </w:tc>
        <w:tc>
          <w:tcPr>
            <w:tcW w:w="1525" w:type="dxa"/>
            <w:vAlign w:val="top"/>
          </w:tcPr>
          <w:p w14:paraId="766050BA">
            <w:pPr>
              <w:kinsoku w:val="0"/>
              <w:autoSpaceDE w:val="0"/>
              <w:autoSpaceDN w:val="0"/>
              <w:adjustRightInd w:val="0"/>
              <w:snapToGrid w:val="0"/>
              <w:spacing w:before="169" w:line="240" w:lineRule="auto"/>
              <w:ind w:left="110" w:right="107" w:firstLine="19"/>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3"/>
                <w:kern w:val="0"/>
                <w:sz w:val="21"/>
                <w:szCs w:val="21"/>
                <w:highlight w:val="none"/>
                <w:lang w:val="en-US" w:eastAsia="en-US" w:bidi="ar-SA"/>
              </w:rPr>
              <w:t>□允许独立配</w:t>
            </w:r>
            <w:r>
              <w:rPr>
                <w:rFonts w:ascii="宋体" w:hAnsi="宋体" w:eastAsia="宋体" w:cs="宋体"/>
                <w:snapToGrid w:val="0"/>
                <w:color w:val="auto"/>
                <w:spacing w:val="6"/>
                <w:kern w:val="0"/>
                <w:sz w:val="21"/>
                <w:szCs w:val="21"/>
                <w:highlight w:val="none"/>
                <w:lang w:val="en-US" w:eastAsia="en-US" w:bidi="ar-SA"/>
              </w:rPr>
              <w:t>备人员及其他</w:t>
            </w:r>
            <w:r>
              <w:rPr>
                <w:rFonts w:ascii="宋体" w:hAnsi="宋体" w:eastAsia="宋体" w:cs="宋体"/>
                <w:snapToGrid w:val="0"/>
                <w:color w:val="auto"/>
                <w:spacing w:val="-2"/>
                <w:kern w:val="0"/>
                <w:sz w:val="21"/>
                <w:szCs w:val="21"/>
                <w:highlight w:val="none"/>
                <w:lang w:val="en-US" w:eastAsia="en-US" w:bidi="ar-SA"/>
              </w:rPr>
              <w:t>人员兼任</w:t>
            </w:r>
          </w:p>
          <w:p w14:paraId="156DCA48">
            <w:pPr>
              <w:kinsoku w:val="0"/>
              <w:autoSpaceDE w:val="0"/>
              <w:autoSpaceDN w:val="0"/>
              <w:adjustRightInd w:val="0"/>
              <w:snapToGrid w:val="0"/>
              <w:spacing w:before="1" w:line="235" w:lineRule="auto"/>
              <w:ind w:left="110" w:right="106" w:firstLine="6"/>
              <w:jc w:val="left"/>
              <w:textAlignment w:val="baseline"/>
              <w:rPr>
                <w:rFonts w:ascii="宋体" w:hAnsi="宋体" w:eastAsia="宋体" w:cs="宋体"/>
                <w:snapToGrid w:val="0"/>
                <w:color w:val="auto"/>
                <w:kern w:val="0"/>
                <w:sz w:val="21"/>
                <w:szCs w:val="21"/>
                <w:highlight w:val="none"/>
                <w:lang w:val="en-US" w:eastAsia="en-US" w:bidi="ar-SA"/>
              </w:rPr>
            </w:pPr>
            <w:r>
              <w:rPr>
                <w:rFonts w:ascii="MS Gothic" w:hAnsi="MS Gothic" w:eastAsia="MS Gothic" w:cs="MS Gothic"/>
                <w:snapToGrid w:val="0"/>
                <w:color w:val="auto"/>
                <w:kern w:val="0"/>
                <w:sz w:val="21"/>
                <w:szCs w:val="21"/>
                <w:highlight w:val="none"/>
                <w:lang w:val="en-US" w:eastAsia="en-US" w:bidi="ar-SA"/>
              </w:rPr>
              <w:t>☑</w:t>
            </w:r>
            <w:r>
              <w:rPr>
                <w:rFonts w:ascii="宋体" w:hAnsi="宋体" w:eastAsia="宋体" w:cs="宋体"/>
                <w:snapToGrid w:val="0"/>
                <w:color w:val="auto"/>
                <w:kern w:val="0"/>
                <w:sz w:val="21"/>
                <w:szCs w:val="21"/>
                <w:highlight w:val="none"/>
                <w:lang w:val="en-US" w:eastAsia="en-US" w:bidi="ar-SA"/>
              </w:rPr>
              <w:t>独立配备</w:t>
            </w:r>
            <w:r>
              <w:rPr>
                <w:rFonts w:ascii="宋体" w:hAnsi="宋体" w:eastAsia="宋体" w:cs="宋体"/>
                <w:snapToGrid w:val="0"/>
                <w:color w:val="auto"/>
                <w:spacing w:val="35"/>
                <w:kern w:val="0"/>
                <w:sz w:val="21"/>
                <w:szCs w:val="21"/>
                <w:highlight w:val="none"/>
                <w:lang w:val="en-US" w:eastAsia="en-US" w:bidi="ar-SA"/>
              </w:rPr>
              <w:t xml:space="preserve"> </w:t>
            </w:r>
            <w:r>
              <w:rPr>
                <w:rFonts w:ascii="Times New Roman" w:hAnsi="Times New Roman" w:eastAsia="Times New Roman" w:cs="Times New Roman"/>
                <w:snapToGrid w:val="0"/>
                <w:color w:val="auto"/>
                <w:kern w:val="0"/>
                <w:sz w:val="21"/>
                <w:szCs w:val="21"/>
                <w:highlight w:val="none"/>
                <w:lang w:val="en-US" w:eastAsia="en-US" w:bidi="ar-SA"/>
              </w:rPr>
              <w:t>1</w:t>
            </w:r>
            <w:r>
              <w:rPr>
                <w:rFonts w:ascii="宋体" w:hAnsi="宋体" w:eastAsia="宋体" w:cs="宋体"/>
                <w:snapToGrid w:val="0"/>
                <w:color w:val="auto"/>
                <w:kern w:val="0"/>
                <w:sz w:val="21"/>
                <w:szCs w:val="21"/>
                <w:highlight w:val="none"/>
                <w:lang w:val="en-US" w:eastAsia="en-US" w:bidi="ar-SA"/>
              </w:rPr>
              <w:t>人</w:t>
            </w:r>
          </w:p>
        </w:tc>
        <w:tc>
          <w:tcPr>
            <w:tcW w:w="3340" w:type="dxa"/>
            <w:tcBorders>
              <w:top w:val="single" w:color="000000" w:sz="6" w:space="0"/>
              <w:bottom w:val="single" w:color="000000" w:sz="6" w:space="0"/>
            </w:tcBorders>
            <w:vAlign w:val="top"/>
          </w:tcPr>
          <w:p w14:paraId="27772E43">
            <w:pPr>
              <w:kinsoku w:val="0"/>
              <w:autoSpaceDE w:val="0"/>
              <w:autoSpaceDN w:val="0"/>
              <w:adjustRightInd w:val="0"/>
              <w:snapToGrid w:val="0"/>
              <w:spacing w:before="93" w:line="221" w:lineRule="auto"/>
              <w:ind w:left="132"/>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7"/>
                <w:kern w:val="0"/>
                <w:sz w:val="21"/>
                <w:szCs w:val="21"/>
                <w:highlight w:val="none"/>
                <w:lang w:val="en-US" w:eastAsia="en-US" w:bidi="ar-SA"/>
              </w:rPr>
              <w:t>□无要求</w:t>
            </w:r>
          </w:p>
          <w:p w14:paraId="11513D1F">
            <w:pPr>
              <w:kinsoku w:val="0"/>
              <w:autoSpaceDE w:val="0"/>
              <w:autoSpaceDN w:val="0"/>
              <w:adjustRightInd w:val="0"/>
              <w:snapToGrid w:val="0"/>
              <w:spacing w:before="60" w:line="221" w:lineRule="auto"/>
              <w:ind w:left="118"/>
              <w:jc w:val="left"/>
              <w:textAlignment w:val="baseline"/>
              <w:rPr>
                <w:rFonts w:ascii="宋体" w:hAnsi="宋体" w:eastAsia="宋体" w:cs="宋体"/>
                <w:snapToGrid w:val="0"/>
                <w:color w:val="auto"/>
                <w:kern w:val="0"/>
                <w:sz w:val="21"/>
                <w:szCs w:val="21"/>
                <w:highlight w:val="none"/>
                <w:lang w:val="en-US" w:eastAsia="en-US" w:bidi="ar-SA"/>
              </w:rPr>
            </w:pPr>
            <w:r>
              <w:rPr>
                <w:rFonts w:ascii="MS Gothic" w:hAnsi="MS Gothic" w:eastAsia="MS Gothic" w:cs="MS Gothic"/>
                <w:snapToGrid w:val="0"/>
                <w:color w:val="auto"/>
                <w:spacing w:val="-2"/>
                <w:kern w:val="0"/>
                <w:sz w:val="21"/>
                <w:szCs w:val="21"/>
                <w:highlight w:val="none"/>
                <w:lang w:val="en-US" w:eastAsia="en-US" w:bidi="ar-SA"/>
              </w:rPr>
              <w:t>☑</w:t>
            </w:r>
            <w:r>
              <w:rPr>
                <w:rFonts w:ascii="宋体" w:hAnsi="宋体" w:eastAsia="宋体" w:cs="宋体"/>
                <w:snapToGrid w:val="0"/>
                <w:color w:val="auto"/>
                <w:spacing w:val="-2"/>
                <w:kern w:val="0"/>
                <w:sz w:val="21"/>
                <w:szCs w:val="21"/>
                <w:highlight w:val="none"/>
                <w:lang w:val="en-US" w:eastAsia="en-US" w:bidi="ar-SA"/>
              </w:rPr>
              <w:t>具备以下资质之一：</w:t>
            </w:r>
          </w:p>
          <w:p w14:paraId="45732540">
            <w:pPr>
              <w:kinsoku w:val="0"/>
              <w:autoSpaceDE w:val="0"/>
              <w:autoSpaceDN w:val="0"/>
              <w:adjustRightInd w:val="0"/>
              <w:snapToGrid w:val="0"/>
              <w:spacing w:before="60" w:line="265" w:lineRule="auto"/>
              <w:ind w:left="109" w:right="102"/>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3"/>
                <w:kern w:val="0"/>
                <w:sz w:val="21"/>
                <w:szCs w:val="21"/>
                <w:highlight w:val="none"/>
                <w:lang w:val="en-US" w:eastAsia="en-US" w:bidi="ar-SA"/>
              </w:rPr>
              <w:t>注册咨询工程师（投资）、注册建</w:t>
            </w:r>
            <w:r>
              <w:rPr>
                <w:rFonts w:ascii="宋体" w:hAnsi="宋体" w:eastAsia="宋体" w:cs="宋体"/>
                <w:snapToGrid w:val="0"/>
                <w:color w:val="auto"/>
                <w:spacing w:val="-2"/>
                <w:kern w:val="0"/>
                <w:sz w:val="21"/>
                <w:szCs w:val="21"/>
                <w:highlight w:val="none"/>
                <w:lang w:val="en-US" w:eastAsia="en-US" w:bidi="ar-SA"/>
              </w:rPr>
              <w:t>造师二级及以上、注册造价工程师</w:t>
            </w:r>
            <w:r>
              <w:rPr>
                <w:rFonts w:ascii="宋体" w:hAnsi="宋体" w:eastAsia="宋体" w:cs="宋体"/>
                <w:snapToGrid w:val="0"/>
                <w:color w:val="auto"/>
                <w:spacing w:val="-1"/>
                <w:kern w:val="0"/>
                <w:sz w:val="21"/>
                <w:szCs w:val="21"/>
                <w:highlight w:val="none"/>
                <w:lang w:val="en-US" w:eastAsia="en-US" w:bidi="ar-SA"/>
              </w:rPr>
              <w:t>二级及以上、注册监理工程师</w:t>
            </w:r>
          </w:p>
        </w:tc>
        <w:tc>
          <w:tcPr>
            <w:tcW w:w="909" w:type="dxa"/>
            <w:tcBorders>
              <w:top w:val="single" w:color="000000" w:sz="6" w:space="0"/>
              <w:bottom w:val="single" w:color="000000" w:sz="6" w:space="0"/>
            </w:tcBorders>
            <w:vAlign w:val="top"/>
          </w:tcPr>
          <w:p w14:paraId="3158BA13">
            <w:pPr>
              <w:kinsoku w:val="0"/>
              <w:autoSpaceDE w:val="0"/>
              <w:autoSpaceDN w:val="0"/>
              <w:adjustRightInd w:val="0"/>
              <w:snapToGrid w:val="0"/>
              <w:spacing w:before="171" w:line="239" w:lineRule="auto"/>
              <w:ind w:left="116" w:right="101" w:firstLine="19"/>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2"/>
                <w:kern w:val="0"/>
                <w:sz w:val="21"/>
                <w:szCs w:val="21"/>
                <w:highlight w:val="none"/>
                <w:lang w:val="en-US" w:eastAsia="en-US" w:bidi="ar-SA"/>
              </w:rPr>
              <w:t>□</w:t>
            </w:r>
            <w:r>
              <w:rPr>
                <w:rFonts w:ascii="宋体" w:hAnsi="宋体" w:eastAsia="宋体" w:cs="宋体"/>
                <w:snapToGrid w:val="0"/>
                <w:color w:val="auto"/>
                <w:spacing w:val="-64"/>
                <w:kern w:val="0"/>
                <w:sz w:val="21"/>
                <w:szCs w:val="21"/>
                <w:highlight w:val="none"/>
                <w:lang w:val="en-US" w:eastAsia="en-US" w:bidi="ar-SA"/>
              </w:rPr>
              <w:t xml:space="preserve"> </w:t>
            </w:r>
            <w:r>
              <w:rPr>
                <w:rFonts w:ascii="宋体" w:hAnsi="宋体" w:eastAsia="宋体" w:cs="宋体"/>
                <w:snapToGrid w:val="0"/>
                <w:color w:val="auto"/>
                <w:spacing w:val="-2"/>
                <w:kern w:val="0"/>
                <w:sz w:val="21"/>
                <w:szCs w:val="21"/>
                <w:highlight w:val="none"/>
                <w:lang w:val="en-US" w:eastAsia="en-US" w:bidi="ar-SA"/>
              </w:rPr>
              <w:t>无要</w:t>
            </w:r>
            <w:r>
              <w:rPr>
                <w:rFonts w:ascii="宋体" w:hAnsi="宋体" w:eastAsia="宋体" w:cs="宋体"/>
                <w:snapToGrid w:val="0"/>
                <w:color w:val="auto"/>
                <w:kern w:val="0"/>
                <w:sz w:val="21"/>
                <w:szCs w:val="21"/>
                <w:highlight w:val="none"/>
                <w:lang w:val="en-US" w:eastAsia="en-US" w:bidi="ar-SA"/>
              </w:rPr>
              <w:t>求</w:t>
            </w:r>
          </w:p>
          <w:p w14:paraId="2C8C7F67">
            <w:pPr>
              <w:kinsoku w:val="0"/>
              <w:autoSpaceDE w:val="0"/>
              <w:autoSpaceDN w:val="0"/>
              <w:adjustRightInd w:val="0"/>
              <w:snapToGrid w:val="0"/>
              <w:spacing w:line="222" w:lineRule="auto"/>
              <w:ind w:left="136"/>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9"/>
                <w:kern w:val="0"/>
                <w:sz w:val="21"/>
                <w:szCs w:val="21"/>
                <w:highlight w:val="none"/>
                <w:lang w:val="en-US" w:eastAsia="en-US" w:bidi="ar-SA"/>
              </w:rPr>
              <w:t>□初级</w:t>
            </w:r>
          </w:p>
          <w:p w14:paraId="2AF1C465">
            <w:pPr>
              <w:kinsoku w:val="0"/>
              <w:autoSpaceDE w:val="0"/>
              <w:autoSpaceDN w:val="0"/>
              <w:adjustRightInd w:val="0"/>
              <w:snapToGrid w:val="0"/>
              <w:spacing w:before="20" w:line="221" w:lineRule="auto"/>
              <w:ind w:left="123"/>
              <w:jc w:val="left"/>
              <w:textAlignment w:val="baseline"/>
              <w:rPr>
                <w:rFonts w:ascii="宋体" w:hAnsi="宋体" w:eastAsia="宋体" w:cs="宋体"/>
                <w:snapToGrid w:val="0"/>
                <w:color w:val="auto"/>
                <w:kern w:val="0"/>
                <w:sz w:val="21"/>
                <w:szCs w:val="21"/>
                <w:highlight w:val="none"/>
                <w:lang w:val="en-US" w:eastAsia="en-US" w:bidi="ar-SA"/>
              </w:rPr>
            </w:pPr>
            <w:r>
              <w:rPr>
                <w:rFonts w:ascii="MS Gothic" w:hAnsi="MS Gothic" w:eastAsia="MS Gothic" w:cs="MS Gothic"/>
                <w:snapToGrid w:val="0"/>
                <w:color w:val="auto"/>
                <w:spacing w:val="-3"/>
                <w:kern w:val="0"/>
                <w:sz w:val="21"/>
                <w:szCs w:val="21"/>
                <w:highlight w:val="none"/>
                <w:lang w:val="en-US" w:eastAsia="en-US" w:bidi="ar-SA"/>
              </w:rPr>
              <w:t>☑</w:t>
            </w:r>
            <w:r>
              <w:rPr>
                <w:rFonts w:ascii="MS Gothic" w:hAnsi="MS Gothic" w:eastAsia="MS Gothic" w:cs="MS Gothic"/>
                <w:snapToGrid w:val="0"/>
                <w:color w:val="auto"/>
                <w:spacing w:val="-48"/>
                <w:kern w:val="0"/>
                <w:sz w:val="21"/>
                <w:szCs w:val="21"/>
                <w:highlight w:val="none"/>
                <w:lang w:val="en-US" w:eastAsia="en-US" w:bidi="ar-SA"/>
              </w:rPr>
              <w:t xml:space="preserve"> </w:t>
            </w:r>
            <w:r>
              <w:rPr>
                <w:rFonts w:ascii="宋体" w:hAnsi="宋体" w:eastAsia="宋体" w:cs="宋体"/>
                <w:snapToGrid w:val="0"/>
                <w:color w:val="auto"/>
                <w:spacing w:val="-3"/>
                <w:kern w:val="0"/>
                <w:sz w:val="21"/>
                <w:szCs w:val="21"/>
                <w:highlight w:val="none"/>
                <w:lang w:val="en-US" w:eastAsia="en-US" w:bidi="ar-SA"/>
              </w:rPr>
              <w:t>中级</w:t>
            </w:r>
          </w:p>
          <w:p w14:paraId="03FEA567">
            <w:pPr>
              <w:kinsoku w:val="0"/>
              <w:autoSpaceDE w:val="0"/>
              <w:autoSpaceDN w:val="0"/>
              <w:adjustRightInd w:val="0"/>
              <w:snapToGrid w:val="0"/>
              <w:spacing w:before="19" w:line="223" w:lineRule="auto"/>
              <w:ind w:left="113"/>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1"/>
                <w:kern w:val="0"/>
                <w:sz w:val="21"/>
                <w:szCs w:val="21"/>
                <w:highlight w:val="none"/>
                <w:lang w:val="en-US" w:eastAsia="en-US" w:bidi="ar-SA"/>
              </w:rPr>
              <w:t>及以上</w:t>
            </w:r>
          </w:p>
        </w:tc>
        <w:tc>
          <w:tcPr>
            <w:tcW w:w="724" w:type="dxa"/>
            <w:tcBorders>
              <w:top w:val="single" w:color="000000" w:sz="6" w:space="0"/>
              <w:bottom w:val="single" w:color="000000" w:sz="6" w:space="0"/>
            </w:tcBorders>
            <w:vAlign w:val="top"/>
          </w:tcPr>
          <w:p w14:paraId="61FBD652">
            <w:pPr>
              <w:widowControl/>
              <w:kinsoku w:val="0"/>
              <w:autoSpaceDE w:val="0"/>
              <w:autoSpaceDN w:val="0"/>
              <w:adjustRightInd w:val="0"/>
              <w:snapToGrid w:val="0"/>
              <w:spacing w:line="321" w:lineRule="auto"/>
              <w:jc w:val="left"/>
              <w:textAlignment w:val="baseline"/>
              <w:rPr>
                <w:rFonts w:ascii="Arial" w:hAnsi="Arial" w:eastAsia="Arial" w:cs="Arial"/>
                <w:snapToGrid w:val="0"/>
                <w:color w:val="auto"/>
                <w:kern w:val="0"/>
                <w:sz w:val="21"/>
                <w:szCs w:val="21"/>
                <w:highlight w:val="none"/>
                <w:lang w:eastAsia="en-US"/>
              </w:rPr>
            </w:pPr>
          </w:p>
          <w:p w14:paraId="4F82E55A">
            <w:pPr>
              <w:widowControl/>
              <w:kinsoku w:val="0"/>
              <w:autoSpaceDE w:val="0"/>
              <w:autoSpaceDN w:val="0"/>
              <w:adjustRightInd w:val="0"/>
              <w:snapToGrid w:val="0"/>
              <w:spacing w:line="322" w:lineRule="auto"/>
              <w:jc w:val="left"/>
              <w:textAlignment w:val="baseline"/>
              <w:rPr>
                <w:rFonts w:ascii="Arial" w:hAnsi="Arial" w:eastAsia="Arial" w:cs="Arial"/>
                <w:snapToGrid w:val="0"/>
                <w:color w:val="auto"/>
                <w:kern w:val="0"/>
                <w:sz w:val="21"/>
                <w:szCs w:val="21"/>
                <w:highlight w:val="none"/>
                <w:lang w:eastAsia="en-US"/>
              </w:rPr>
            </w:pPr>
          </w:p>
          <w:p w14:paraId="14C10308">
            <w:pPr>
              <w:kinsoku w:val="0"/>
              <w:autoSpaceDE w:val="0"/>
              <w:autoSpaceDN w:val="0"/>
              <w:adjustRightInd w:val="0"/>
              <w:snapToGrid w:val="0"/>
              <w:spacing w:before="68" w:line="221" w:lineRule="auto"/>
              <w:ind w:left="121"/>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kern w:val="0"/>
                <w:sz w:val="21"/>
                <w:szCs w:val="21"/>
                <w:highlight w:val="none"/>
                <w:lang w:val="en-US" w:eastAsia="en-US" w:bidi="ar-SA"/>
              </w:rPr>
              <w:t>否</w:t>
            </w:r>
          </w:p>
        </w:tc>
        <w:tc>
          <w:tcPr>
            <w:tcW w:w="1049" w:type="dxa"/>
            <w:tcBorders>
              <w:top w:val="single" w:color="000000" w:sz="6" w:space="0"/>
              <w:bottom w:val="single" w:color="000000" w:sz="6" w:space="0"/>
            </w:tcBorders>
            <w:vAlign w:val="top"/>
          </w:tcPr>
          <w:p w14:paraId="1CBC2D57">
            <w:pPr>
              <w:widowControl/>
              <w:kinsoku w:val="0"/>
              <w:autoSpaceDE w:val="0"/>
              <w:autoSpaceDN w:val="0"/>
              <w:adjustRightInd w:val="0"/>
              <w:snapToGrid w:val="0"/>
              <w:spacing w:line="321" w:lineRule="auto"/>
              <w:jc w:val="left"/>
              <w:textAlignment w:val="baseline"/>
              <w:rPr>
                <w:rFonts w:ascii="Arial" w:hAnsi="Arial" w:eastAsia="Arial" w:cs="Arial"/>
                <w:snapToGrid w:val="0"/>
                <w:color w:val="auto"/>
                <w:kern w:val="0"/>
                <w:sz w:val="21"/>
                <w:szCs w:val="21"/>
                <w:highlight w:val="none"/>
                <w:lang w:eastAsia="en-US"/>
              </w:rPr>
            </w:pPr>
          </w:p>
          <w:p w14:paraId="0C7D2E23">
            <w:pPr>
              <w:widowControl/>
              <w:kinsoku w:val="0"/>
              <w:autoSpaceDE w:val="0"/>
              <w:autoSpaceDN w:val="0"/>
              <w:adjustRightInd w:val="0"/>
              <w:snapToGrid w:val="0"/>
              <w:spacing w:line="321" w:lineRule="auto"/>
              <w:jc w:val="left"/>
              <w:textAlignment w:val="baseline"/>
              <w:rPr>
                <w:rFonts w:ascii="Arial" w:hAnsi="Arial" w:eastAsia="Arial" w:cs="Arial"/>
                <w:snapToGrid w:val="0"/>
                <w:color w:val="auto"/>
                <w:kern w:val="0"/>
                <w:sz w:val="21"/>
                <w:szCs w:val="21"/>
                <w:highlight w:val="none"/>
                <w:lang w:eastAsia="en-US"/>
              </w:rPr>
            </w:pPr>
          </w:p>
          <w:p w14:paraId="2D0A1896">
            <w:pPr>
              <w:kinsoku w:val="0"/>
              <w:autoSpaceDE w:val="0"/>
              <w:autoSpaceDN w:val="0"/>
              <w:adjustRightInd w:val="0"/>
              <w:snapToGrid w:val="0"/>
              <w:spacing w:before="68" w:line="221" w:lineRule="auto"/>
              <w:ind w:left="123"/>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4"/>
                <w:kern w:val="0"/>
                <w:sz w:val="21"/>
                <w:szCs w:val="21"/>
                <w:highlight w:val="none"/>
                <w:lang w:val="en-US" w:eastAsia="en-US" w:bidi="ar-SA"/>
              </w:rPr>
              <w:t>允许</w:t>
            </w:r>
          </w:p>
        </w:tc>
        <w:tc>
          <w:tcPr>
            <w:tcW w:w="717" w:type="dxa"/>
            <w:tcBorders>
              <w:top w:val="single" w:color="000000" w:sz="6" w:space="0"/>
              <w:bottom w:val="single" w:color="000000" w:sz="6" w:space="0"/>
            </w:tcBorders>
            <w:vAlign w:val="top"/>
          </w:tcPr>
          <w:p w14:paraId="666D16D4">
            <w:pPr>
              <w:widowControl/>
              <w:kinsoku w:val="0"/>
              <w:autoSpaceDE w:val="0"/>
              <w:autoSpaceDN w:val="0"/>
              <w:adjustRightInd w:val="0"/>
              <w:snapToGrid w:val="0"/>
              <w:spacing w:line="321" w:lineRule="auto"/>
              <w:jc w:val="left"/>
              <w:textAlignment w:val="baseline"/>
              <w:rPr>
                <w:rFonts w:ascii="Arial" w:hAnsi="Arial" w:eastAsia="Arial" w:cs="Arial"/>
                <w:snapToGrid w:val="0"/>
                <w:color w:val="auto"/>
                <w:kern w:val="0"/>
                <w:sz w:val="21"/>
                <w:szCs w:val="21"/>
                <w:highlight w:val="none"/>
                <w:lang w:eastAsia="en-US"/>
              </w:rPr>
            </w:pPr>
          </w:p>
          <w:p w14:paraId="30AC1E08">
            <w:pPr>
              <w:widowControl/>
              <w:kinsoku w:val="0"/>
              <w:autoSpaceDE w:val="0"/>
              <w:autoSpaceDN w:val="0"/>
              <w:adjustRightInd w:val="0"/>
              <w:snapToGrid w:val="0"/>
              <w:spacing w:line="321" w:lineRule="auto"/>
              <w:jc w:val="left"/>
              <w:textAlignment w:val="baseline"/>
              <w:rPr>
                <w:rFonts w:ascii="Arial" w:hAnsi="Arial" w:eastAsia="Arial" w:cs="Arial"/>
                <w:snapToGrid w:val="0"/>
                <w:color w:val="auto"/>
                <w:kern w:val="0"/>
                <w:sz w:val="21"/>
                <w:szCs w:val="21"/>
                <w:highlight w:val="none"/>
                <w:lang w:eastAsia="en-US"/>
              </w:rPr>
            </w:pPr>
          </w:p>
          <w:p w14:paraId="08A7F949">
            <w:pPr>
              <w:kinsoku w:val="0"/>
              <w:autoSpaceDE w:val="0"/>
              <w:autoSpaceDN w:val="0"/>
              <w:adjustRightInd w:val="0"/>
              <w:snapToGrid w:val="0"/>
              <w:spacing w:before="68" w:line="221" w:lineRule="auto"/>
              <w:ind w:left="124"/>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4"/>
                <w:kern w:val="0"/>
                <w:sz w:val="21"/>
                <w:szCs w:val="21"/>
                <w:highlight w:val="none"/>
                <w:lang w:val="en-US" w:eastAsia="en-US" w:bidi="ar-SA"/>
              </w:rPr>
              <w:t>允许</w:t>
            </w:r>
          </w:p>
        </w:tc>
        <w:tc>
          <w:tcPr>
            <w:tcW w:w="720" w:type="dxa"/>
            <w:tcBorders>
              <w:top w:val="single" w:color="000000" w:sz="6" w:space="0"/>
              <w:bottom w:val="single" w:color="000000" w:sz="6" w:space="0"/>
            </w:tcBorders>
            <w:vAlign w:val="top"/>
          </w:tcPr>
          <w:p w14:paraId="1F6E5E15">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注册</w:t>
            </w:r>
          </w:p>
          <w:p w14:paraId="46A8B5F1">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证书</w:t>
            </w:r>
          </w:p>
          <w:p w14:paraId="64CEBDA9">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的单</w:t>
            </w:r>
          </w:p>
          <w:p w14:paraId="0AD8FDAE">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位应</w:t>
            </w:r>
          </w:p>
          <w:p w14:paraId="6B9AC55B">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与投</w:t>
            </w:r>
          </w:p>
          <w:p w14:paraId="30E7DCAA">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标人</w:t>
            </w:r>
          </w:p>
          <w:p w14:paraId="700A2955">
            <w:pPr>
              <w:kinsoku w:val="0"/>
              <w:autoSpaceDE w:val="0"/>
              <w:autoSpaceDN w:val="0"/>
              <w:adjustRightInd w:val="0"/>
              <w:snapToGrid w:val="0"/>
              <w:spacing w:before="68" w:line="240" w:lineRule="auto"/>
              <w:ind w:left="114" w:right="106" w:hanging="8"/>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名称</w:t>
            </w:r>
          </w:p>
          <w:p w14:paraId="513477E2">
            <w:pPr>
              <w:widowControl/>
              <w:kinsoku w:val="0"/>
              <w:autoSpaceDE w:val="0"/>
              <w:autoSpaceDN w:val="0"/>
              <w:adjustRightInd w:val="0"/>
              <w:snapToGrid w:val="0"/>
              <w:spacing w:before="61" w:line="233" w:lineRule="auto"/>
              <w:ind w:left="106"/>
              <w:jc w:val="left"/>
              <w:textAlignment w:val="baseline"/>
              <w:rPr>
                <w:rFonts w:ascii="Times New Roman" w:hAnsi="Times New Roman" w:eastAsia="Times New Roman" w:cs="Times New Roman"/>
                <w:snapToGrid w:val="0"/>
                <w:color w:val="auto"/>
                <w:kern w:val="0"/>
                <w:sz w:val="21"/>
                <w:szCs w:val="21"/>
                <w:highlight w:val="none"/>
                <w:lang w:eastAsia="en-US"/>
              </w:rPr>
            </w:pPr>
            <w:r>
              <w:rPr>
                <w:rFonts w:hint="eastAsia" w:ascii="宋体" w:hAnsi="宋体" w:eastAsia="宋体" w:cs="宋体"/>
                <w:snapToGrid w:val="0"/>
                <w:color w:val="auto"/>
                <w:kern w:val="0"/>
                <w:sz w:val="21"/>
                <w:szCs w:val="21"/>
                <w:highlight w:val="none"/>
                <w:lang w:val="en-US" w:eastAsia="en-US" w:bidi="ar-SA"/>
              </w:rPr>
              <w:t>一致</w:t>
            </w:r>
          </w:p>
        </w:tc>
      </w:tr>
      <w:tr w14:paraId="396D4C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5" w:hRule="atLeast"/>
        </w:trPr>
        <w:tc>
          <w:tcPr>
            <w:tcW w:w="828" w:type="dxa"/>
            <w:vAlign w:val="top"/>
          </w:tcPr>
          <w:p w14:paraId="44EC1163">
            <w:pPr>
              <w:kinsoku w:val="0"/>
              <w:autoSpaceDE w:val="0"/>
              <w:autoSpaceDN w:val="0"/>
              <w:adjustRightInd w:val="0"/>
              <w:snapToGrid w:val="0"/>
              <w:spacing w:before="276" w:line="240" w:lineRule="auto"/>
              <w:ind w:left="116" w:right="105"/>
              <w:jc w:val="both"/>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9"/>
                <w:kern w:val="0"/>
                <w:sz w:val="21"/>
                <w:szCs w:val="21"/>
                <w:highlight w:val="none"/>
                <w:lang w:val="en-US" w:eastAsia="en-US" w:bidi="ar-SA"/>
              </w:rPr>
              <w:t>招投</w:t>
            </w:r>
            <w:r>
              <w:rPr>
                <w:rFonts w:ascii="宋体" w:hAnsi="宋体" w:eastAsia="宋体" w:cs="宋体"/>
                <w:snapToGrid w:val="0"/>
                <w:color w:val="auto"/>
                <w:spacing w:val="-8"/>
                <w:kern w:val="0"/>
                <w:sz w:val="21"/>
                <w:szCs w:val="21"/>
                <w:highlight w:val="none"/>
                <w:lang w:val="en-US" w:eastAsia="en-US" w:bidi="ar-SA"/>
              </w:rPr>
              <w:t>标</w:t>
            </w:r>
            <w:r>
              <w:rPr>
                <w:rFonts w:ascii="宋体" w:hAnsi="宋体" w:eastAsia="宋体" w:cs="宋体"/>
                <w:snapToGrid w:val="0"/>
                <w:color w:val="auto"/>
                <w:spacing w:val="90"/>
                <w:kern w:val="0"/>
                <w:sz w:val="21"/>
                <w:szCs w:val="21"/>
                <w:highlight w:val="none"/>
                <w:lang w:val="en-US" w:eastAsia="en-US" w:bidi="ar-SA"/>
              </w:rPr>
              <w:t xml:space="preserve"> </w:t>
            </w:r>
            <w:r>
              <w:rPr>
                <w:rFonts w:ascii="宋体" w:hAnsi="宋体" w:eastAsia="宋体" w:cs="宋体"/>
                <w:snapToGrid w:val="0"/>
                <w:color w:val="auto"/>
                <w:spacing w:val="-8"/>
                <w:kern w:val="0"/>
                <w:sz w:val="21"/>
                <w:szCs w:val="21"/>
                <w:highlight w:val="none"/>
                <w:lang w:val="en-US" w:eastAsia="en-US" w:bidi="ar-SA"/>
              </w:rPr>
              <w:t>及</w:t>
            </w:r>
            <w:r>
              <w:rPr>
                <w:rFonts w:ascii="宋体" w:hAnsi="宋体" w:eastAsia="宋体" w:cs="宋体"/>
                <w:snapToGrid w:val="0"/>
                <w:color w:val="auto"/>
                <w:spacing w:val="-18"/>
                <w:kern w:val="0"/>
                <w:sz w:val="21"/>
                <w:szCs w:val="21"/>
                <w:highlight w:val="none"/>
                <w:lang w:val="en-US" w:eastAsia="en-US" w:bidi="ar-SA"/>
              </w:rPr>
              <w:t>合</w:t>
            </w:r>
            <w:r>
              <w:rPr>
                <w:rFonts w:ascii="宋体" w:hAnsi="宋体" w:eastAsia="宋体" w:cs="宋体"/>
                <w:snapToGrid w:val="0"/>
                <w:color w:val="auto"/>
                <w:spacing w:val="3"/>
                <w:kern w:val="0"/>
                <w:sz w:val="21"/>
                <w:szCs w:val="21"/>
                <w:highlight w:val="none"/>
                <w:lang w:val="en-US" w:eastAsia="en-US" w:bidi="ar-SA"/>
              </w:rPr>
              <w:t xml:space="preserve">  </w:t>
            </w:r>
            <w:r>
              <w:rPr>
                <w:rFonts w:ascii="宋体" w:hAnsi="宋体" w:eastAsia="宋体" w:cs="宋体"/>
                <w:snapToGrid w:val="0"/>
                <w:color w:val="auto"/>
                <w:spacing w:val="-18"/>
                <w:kern w:val="0"/>
                <w:sz w:val="21"/>
                <w:szCs w:val="21"/>
                <w:highlight w:val="none"/>
                <w:lang w:val="en-US" w:eastAsia="en-US" w:bidi="ar-SA"/>
              </w:rPr>
              <w:t>同</w:t>
            </w:r>
            <w:r>
              <w:rPr>
                <w:rFonts w:ascii="宋体" w:hAnsi="宋体" w:eastAsia="宋体" w:cs="宋体"/>
                <w:snapToGrid w:val="0"/>
                <w:color w:val="auto"/>
                <w:spacing w:val="-2"/>
                <w:kern w:val="0"/>
                <w:sz w:val="21"/>
                <w:szCs w:val="21"/>
                <w:highlight w:val="none"/>
                <w:lang w:val="en-US" w:eastAsia="en-US" w:bidi="ar-SA"/>
              </w:rPr>
              <w:t>管理</w:t>
            </w:r>
          </w:p>
        </w:tc>
        <w:tc>
          <w:tcPr>
            <w:tcW w:w="1525" w:type="dxa"/>
            <w:vAlign w:val="top"/>
          </w:tcPr>
          <w:p w14:paraId="09956F94">
            <w:pPr>
              <w:kinsoku w:val="0"/>
              <w:autoSpaceDE w:val="0"/>
              <w:autoSpaceDN w:val="0"/>
              <w:adjustRightInd w:val="0"/>
              <w:snapToGrid w:val="0"/>
              <w:spacing w:before="138" w:line="240" w:lineRule="auto"/>
              <w:ind w:left="110" w:right="107" w:firstLine="6"/>
              <w:jc w:val="both"/>
              <w:textAlignment w:val="baseline"/>
              <w:rPr>
                <w:rFonts w:ascii="宋体" w:hAnsi="宋体" w:eastAsia="宋体" w:cs="宋体"/>
                <w:snapToGrid w:val="0"/>
                <w:color w:val="auto"/>
                <w:kern w:val="0"/>
                <w:sz w:val="21"/>
                <w:szCs w:val="21"/>
                <w:highlight w:val="none"/>
                <w:lang w:val="en-US" w:eastAsia="en-US" w:bidi="ar-SA"/>
              </w:rPr>
            </w:pPr>
            <w:r>
              <w:rPr>
                <w:rFonts w:ascii="MS Gothic" w:hAnsi="MS Gothic" w:eastAsia="MS Gothic" w:cs="MS Gothic"/>
                <w:snapToGrid w:val="0"/>
                <w:color w:val="auto"/>
                <w:spacing w:val="5"/>
                <w:kern w:val="0"/>
                <w:sz w:val="21"/>
                <w:szCs w:val="21"/>
                <w:highlight w:val="none"/>
                <w:lang w:val="en-US" w:eastAsia="en-US" w:bidi="ar-SA"/>
              </w:rPr>
              <w:t>☑</w:t>
            </w:r>
            <w:r>
              <w:rPr>
                <w:rFonts w:ascii="宋体" w:hAnsi="宋体" w:eastAsia="宋体" w:cs="宋体"/>
                <w:snapToGrid w:val="0"/>
                <w:color w:val="auto"/>
                <w:spacing w:val="5"/>
                <w:kern w:val="0"/>
                <w:sz w:val="21"/>
                <w:szCs w:val="21"/>
                <w:highlight w:val="none"/>
                <w:lang w:val="en-US" w:eastAsia="en-US" w:bidi="ar-SA"/>
              </w:rPr>
              <w:t>允许独立配</w:t>
            </w:r>
            <w:r>
              <w:rPr>
                <w:rFonts w:ascii="宋体" w:hAnsi="宋体" w:eastAsia="宋体" w:cs="宋体"/>
                <w:snapToGrid w:val="0"/>
                <w:color w:val="auto"/>
                <w:spacing w:val="6"/>
                <w:kern w:val="0"/>
                <w:sz w:val="21"/>
                <w:szCs w:val="21"/>
                <w:highlight w:val="none"/>
                <w:lang w:val="en-US" w:eastAsia="en-US" w:bidi="ar-SA"/>
              </w:rPr>
              <w:t>备人员及其他</w:t>
            </w:r>
            <w:r>
              <w:rPr>
                <w:rFonts w:ascii="宋体" w:hAnsi="宋体" w:eastAsia="宋体" w:cs="宋体"/>
                <w:snapToGrid w:val="0"/>
                <w:color w:val="auto"/>
                <w:spacing w:val="-2"/>
                <w:kern w:val="0"/>
                <w:sz w:val="21"/>
                <w:szCs w:val="21"/>
                <w:highlight w:val="none"/>
                <w:lang w:val="en-US" w:eastAsia="en-US" w:bidi="ar-SA"/>
              </w:rPr>
              <w:t>人员兼任</w:t>
            </w:r>
          </w:p>
          <w:p w14:paraId="08C83AF8">
            <w:pPr>
              <w:kinsoku w:val="0"/>
              <w:autoSpaceDE w:val="0"/>
              <w:autoSpaceDN w:val="0"/>
              <w:adjustRightInd w:val="0"/>
              <w:snapToGrid w:val="0"/>
              <w:spacing w:before="1" w:line="235" w:lineRule="auto"/>
              <w:ind w:left="110" w:right="106" w:firstLine="19"/>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3"/>
                <w:kern w:val="0"/>
                <w:sz w:val="21"/>
                <w:szCs w:val="21"/>
                <w:highlight w:val="none"/>
                <w:lang w:val="en-US" w:eastAsia="en-US" w:bidi="ar-SA"/>
              </w:rPr>
              <w:t>□独立配备</w:t>
            </w:r>
            <w:r>
              <w:rPr>
                <w:rFonts w:ascii="宋体" w:hAnsi="宋体" w:eastAsia="宋体" w:cs="宋体"/>
                <w:snapToGrid w:val="0"/>
                <w:color w:val="auto"/>
                <w:spacing w:val="40"/>
                <w:kern w:val="0"/>
                <w:sz w:val="21"/>
                <w:szCs w:val="21"/>
                <w:highlight w:val="none"/>
                <w:lang w:val="en-US" w:eastAsia="en-US" w:bidi="ar-SA"/>
              </w:rPr>
              <w:t xml:space="preserve"> </w:t>
            </w:r>
            <w:r>
              <w:rPr>
                <w:rFonts w:ascii="Times New Roman" w:hAnsi="Times New Roman" w:eastAsia="Times New Roman" w:cs="Times New Roman"/>
                <w:snapToGrid w:val="0"/>
                <w:color w:val="auto"/>
                <w:spacing w:val="-3"/>
                <w:kern w:val="0"/>
                <w:sz w:val="21"/>
                <w:szCs w:val="21"/>
                <w:highlight w:val="none"/>
                <w:lang w:val="en-US" w:eastAsia="en-US" w:bidi="ar-SA"/>
              </w:rPr>
              <w:t>1</w:t>
            </w:r>
            <w:r>
              <w:rPr>
                <w:rFonts w:ascii="宋体" w:hAnsi="宋体" w:eastAsia="宋体" w:cs="宋体"/>
                <w:snapToGrid w:val="0"/>
                <w:color w:val="auto"/>
                <w:kern w:val="0"/>
                <w:sz w:val="21"/>
                <w:szCs w:val="21"/>
                <w:highlight w:val="none"/>
                <w:lang w:val="en-US" w:eastAsia="en-US" w:bidi="ar-SA"/>
              </w:rPr>
              <w:t>人</w:t>
            </w:r>
          </w:p>
        </w:tc>
        <w:tc>
          <w:tcPr>
            <w:tcW w:w="3340" w:type="dxa"/>
            <w:tcBorders>
              <w:top w:val="single" w:color="000000" w:sz="6" w:space="0"/>
              <w:bottom w:val="single" w:color="000000" w:sz="6" w:space="0"/>
            </w:tcBorders>
            <w:vAlign w:val="top"/>
          </w:tcPr>
          <w:p w14:paraId="6BFFBE24">
            <w:pPr>
              <w:kinsoku w:val="0"/>
              <w:autoSpaceDE w:val="0"/>
              <w:autoSpaceDN w:val="0"/>
              <w:adjustRightInd w:val="0"/>
              <w:snapToGrid w:val="0"/>
              <w:spacing w:before="62" w:line="221" w:lineRule="auto"/>
              <w:ind w:left="118"/>
              <w:jc w:val="left"/>
              <w:textAlignment w:val="baseline"/>
              <w:rPr>
                <w:rFonts w:ascii="宋体" w:hAnsi="宋体" w:eastAsia="宋体" w:cs="宋体"/>
                <w:snapToGrid w:val="0"/>
                <w:color w:val="auto"/>
                <w:kern w:val="0"/>
                <w:sz w:val="21"/>
                <w:szCs w:val="21"/>
                <w:highlight w:val="none"/>
                <w:lang w:val="en-US" w:eastAsia="en-US" w:bidi="ar-SA"/>
              </w:rPr>
            </w:pPr>
            <w:r>
              <w:rPr>
                <w:rFonts w:ascii="MS Gothic" w:hAnsi="MS Gothic" w:eastAsia="MS Gothic" w:cs="MS Gothic"/>
                <w:snapToGrid w:val="0"/>
                <w:color w:val="auto"/>
                <w:spacing w:val="-4"/>
                <w:kern w:val="0"/>
                <w:sz w:val="21"/>
                <w:szCs w:val="21"/>
                <w:highlight w:val="none"/>
                <w:lang w:val="en-US" w:eastAsia="en-US" w:bidi="ar-SA"/>
              </w:rPr>
              <w:t>☑</w:t>
            </w:r>
            <w:r>
              <w:rPr>
                <w:rFonts w:ascii="宋体" w:hAnsi="宋体" w:eastAsia="宋体" w:cs="宋体"/>
                <w:snapToGrid w:val="0"/>
                <w:color w:val="auto"/>
                <w:spacing w:val="-4"/>
                <w:kern w:val="0"/>
                <w:sz w:val="21"/>
                <w:szCs w:val="21"/>
                <w:highlight w:val="none"/>
                <w:lang w:val="en-US" w:eastAsia="en-US" w:bidi="ar-SA"/>
              </w:rPr>
              <w:t>无要求</w:t>
            </w:r>
          </w:p>
          <w:p w14:paraId="2791EAED">
            <w:pPr>
              <w:kinsoku w:val="0"/>
              <w:autoSpaceDE w:val="0"/>
              <w:autoSpaceDN w:val="0"/>
              <w:adjustRightInd w:val="0"/>
              <w:snapToGrid w:val="0"/>
              <w:spacing w:before="61" w:line="221" w:lineRule="auto"/>
              <w:ind w:left="132"/>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3"/>
                <w:kern w:val="0"/>
                <w:sz w:val="21"/>
                <w:szCs w:val="21"/>
                <w:highlight w:val="none"/>
                <w:lang w:val="en-US" w:eastAsia="en-US" w:bidi="ar-SA"/>
              </w:rPr>
              <w:t>□具备以下资质之一：</w:t>
            </w:r>
          </w:p>
          <w:p w14:paraId="7A0494F5">
            <w:pPr>
              <w:kinsoku w:val="0"/>
              <w:autoSpaceDE w:val="0"/>
              <w:autoSpaceDN w:val="0"/>
              <w:adjustRightInd w:val="0"/>
              <w:snapToGrid w:val="0"/>
              <w:spacing w:before="58" w:line="255" w:lineRule="auto"/>
              <w:ind w:left="109" w:right="102"/>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4"/>
                <w:kern w:val="0"/>
                <w:sz w:val="21"/>
                <w:szCs w:val="21"/>
                <w:highlight w:val="none"/>
                <w:lang w:val="en-US" w:eastAsia="en-US" w:bidi="ar-SA"/>
              </w:rPr>
              <w:t>注册咨询工程师（投资</w:t>
            </w:r>
            <w:r>
              <w:rPr>
                <w:rFonts w:ascii="宋体" w:hAnsi="宋体" w:eastAsia="宋体" w:cs="宋体"/>
                <w:snapToGrid w:val="0"/>
                <w:color w:val="auto"/>
                <w:spacing w:val="-42"/>
                <w:kern w:val="0"/>
                <w:sz w:val="21"/>
                <w:szCs w:val="21"/>
                <w:highlight w:val="none"/>
                <w:lang w:val="en-US" w:eastAsia="en-US" w:bidi="ar-SA"/>
              </w:rPr>
              <w:t>），</w:t>
            </w:r>
            <w:r>
              <w:rPr>
                <w:rFonts w:ascii="宋体" w:hAnsi="宋体" w:eastAsia="宋体" w:cs="宋体"/>
                <w:snapToGrid w:val="0"/>
                <w:color w:val="auto"/>
                <w:spacing w:val="4"/>
                <w:kern w:val="0"/>
                <w:sz w:val="21"/>
                <w:szCs w:val="21"/>
                <w:highlight w:val="none"/>
                <w:lang w:val="en-US" w:eastAsia="en-US" w:bidi="ar-SA"/>
              </w:rPr>
              <w:t>注册建</w:t>
            </w:r>
            <w:r>
              <w:rPr>
                <w:rFonts w:ascii="宋体" w:hAnsi="宋体" w:eastAsia="宋体" w:cs="宋体"/>
                <w:snapToGrid w:val="0"/>
                <w:color w:val="auto"/>
                <w:spacing w:val="-2"/>
                <w:kern w:val="0"/>
                <w:sz w:val="21"/>
                <w:szCs w:val="21"/>
                <w:highlight w:val="none"/>
                <w:lang w:val="en-US" w:eastAsia="en-US" w:bidi="ar-SA"/>
              </w:rPr>
              <w:t>造师二级及以上，注册造价工程师</w:t>
            </w:r>
            <w:r>
              <w:rPr>
                <w:rFonts w:ascii="宋体" w:hAnsi="宋体" w:eastAsia="宋体" w:cs="宋体"/>
                <w:snapToGrid w:val="0"/>
                <w:color w:val="auto"/>
                <w:spacing w:val="-1"/>
                <w:kern w:val="0"/>
                <w:sz w:val="21"/>
                <w:szCs w:val="21"/>
                <w:highlight w:val="none"/>
                <w:lang w:val="en-US" w:eastAsia="en-US" w:bidi="ar-SA"/>
              </w:rPr>
              <w:t>二级及以上、注册监理工程师</w:t>
            </w:r>
          </w:p>
        </w:tc>
        <w:tc>
          <w:tcPr>
            <w:tcW w:w="909" w:type="dxa"/>
            <w:tcBorders>
              <w:top w:val="single" w:color="000000" w:sz="6" w:space="0"/>
              <w:bottom w:val="single" w:color="000000" w:sz="6" w:space="0"/>
            </w:tcBorders>
            <w:vAlign w:val="top"/>
          </w:tcPr>
          <w:p w14:paraId="35E17482">
            <w:pPr>
              <w:widowControl/>
              <w:kinsoku w:val="0"/>
              <w:autoSpaceDE w:val="0"/>
              <w:autoSpaceDN w:val="0"/>
              <w:adjustRightInd w:val="0"/>
              <w:snapToGrid w:val="0"/>
              <w:spacing w:line="306" w:lineRule="auto"/>
              <w:jc w:val="left"/>
              <w:textAlignment w:val="baseline"/>
              <w:rPr>
                <w:rFonts w:ascii="Arial" w:hAnsi="Arial" w:eastAsia="Arial" w:cs="Arial"/>
                <w:snapToGrid w:val="0"/>
                <w:color w:val="auto"/>
                <w:kern w:val="0"/>
                <w:sz w:val="21"/>
                <w:szCs w:val="21"/>
                <w:highlight w:val="none"/>
                <w:lang w:eastAsia="en-US"/>
              </w:rPr>
            </w:pPr>
          </w:p>
          <w:p w14:paraId="448E127D">
            <w:pPr>
              <w:widowControl/>
              <w:kinsoku w:val="0"/>
              <w:autoSpaceDE w:val="0"/>
              <w:autoSpaceDN w:val="0"/>
              <w:adjustRightInd w:val="0"/>
              <w:snapToGrid w:val="0"/>
              <w:spacing w:line="306" w:lineRule="auto"/>
              <w:jc w:val="left"/>
              <w:textAlignment w:val="baseline"/>
              <w:rPr>
                <w:rFonts w:ascii="Arial" w:hAnsi="Arial" w:eastAsia="Arial" w:cs="Arial"/>
                <w:snapToGrid w:val="0"/>
                <w:color w:val="auto"/>
                <w:kern w:val="0"/>
                <w:sz w:val="21"/>
                <w:szCs w:val="21"/>
                <w:highlight w:val="none"/>
                <w:lang w:eastAsia="en-US"/>
              </w:rPr>
            </w:pPr>
          </w:p>
          <w:p w14:paraId="729305C0">
            <w:pPr>
              <w:kinsoku w:val="0"/>
              <w:autoSpaceDE w:val="0"/>
              <w:autoSpaceDN w:val="0"/>
              <w:adjustRightInd w:val="0"/>
              <w:snapToGrid w:val="0"/>
              <w:spacing w:before="68" w:line="221" w:lineRule="auto"/>
              <w:ind w:left="116"/>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2"/>
                <w:kern w:val="0"/>
                <w:sz w:val="21"/>
                <w:szCs w:val="21"/>
                <w:highlight w:val="none"/>
                <w:lang w:val="en-US" w:eastAsia="en-US" w:bidi="ar-SA"/>
              </w:rPr>
              <w:t>无要求</w:t>
            </w:r>
          </w:p>
        </w:tc>
        <w:tc>
          <w:tcPr>
            <w:tcW w:w="724" w:type="dxa"/>
            <w:tcBorders>
              <w:top w:val="single" w:color="000000" w:sz="6" w:space="0"/>
              <w:bottom w:val="single" w:color="000000" w:sz="6" w:space="0"/>
            </w:tcBorders>
            <w:vAlign w:val="top"/>
          </w:tcPr>
          <w:p w14:paraId="1FAE8EAC">
            <w:pPr>
              <w:widowControl/>
              <w:kinsoku w:val="0"/>
              <w:autoSpaceDE w:val="0"/>
              <w:autoSpaceDN w:val="0"/>
              <w:adjustRightInd w:val="0"/>
              <w:snapToGrid w:val="0"/>
              <w:spacing w:line="306" w:lineRule="auto"/>
              <w:jc w:val="left"/>
              <w:textAlignment w:val="baseline"/>
              <w:rPr>
                <w:rFonts w:ascii="Arial" w:hAnsi="Arial" w:eastAsia="Arial" w:cs="Arial"/>
                <w:snapToGrid w:val="0"/>
                <w:color w:val="auto"/>
                <w:kern w:val="0"/>
                <w:sz w:val="21"/>
                <w:szCs w:val="21"/>
                <w:highlight w:val="none"/>
                <w:lang w:eastAsia="en-US"/>
              </w:rPr>
            </w:pPr>
          </w:p>
          <w:p w14:paraId="77BB3840">
            <w:pPr>
              <w:widowControl/>
              <w:kinsoku w:val="0"/>
              <w:autoSpaceDE w:val="0"/>
              <w:autoSpaceDN w:val="0"/>
              <w:adjustRightInd w:val="0"/>
              <w:snapToGrid w:val="0"/>
              <w:spacing w:line="306" w:lineRule="auto"/>
              <w:jc w:val="left"/>
              <w:textAlignment w:val="baseline"/>
              <w:rPr>
                <w:rFonts w:ascii="Arial" w:hAnsi="Arial" w:eastAsia="Arial" w:cs="Arial"/>
                <w:snapToGrid w:val="0"/>
                <w:color w:val="auto"/>
                <w:kern w:val="0"/>
                <w:sz w:val="21"/>
                <w:szCs w:val="21"/>
                <w:highlight w:val="none"/>
                <w:lang w:eastAsia="en-US"/>
              </w:rPr>
            </w:pPr>
          </w:p>
          <w:p w14:paraId="6E63D7E1">
            <w:pPr>
              <w:kinsoku w:val="0"/>
              <w:autoSpaceDE w:val="0"/>
              <w:autoSpaceDN w:val="0"/>
              <w:adjustRightInd w:val="0"/>
              <w:snapToGrid w:val="0"/>
              <w:spacing w:before="68" w:line="221" w:lineRule="auto"/>
              <w:ind w:left="121"/>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kern w:val="0"/>
                <w:sz w:val="21"/>
                <w:szCs w:val="21"/>
                <w:highlight w:val="none"/>
                <w:lang w:val="en-US" w:eastAsia="en-US" w:bidi="ar-SA"/>
              </w:rPr>
              <w:t>否</w:t>
            </w:r>
          </w:p>
        </w:tc>
        <w:tc>
          <w:tcPr>
            <w:tcW w:w="1049" w:type="dxa"/>
            <w:tcBorders>
              <w:top w:val="single" w:color="000000" w:sz="6" w:space="0"/>
              <w:bottom w:val="single" w:color="000000" w:sz="6" w:space="0"/>
            </w:tcBorders>
            <w:vAlign w:val="top"/>
          </w:tcPr>
          <w:p w14:paraId="5D9ADE9F">
            <w:pPr>
              <w:widowControl/>
              <w:kinsoku w:val="0"/>
              <w:autoSpaceDE w:val="0"/>
              <w:autoSpaceDN w:val="0"/>
              <w:adjustRightInd w:val="0"/>
              <w:snapToGrid w:val="0"/>
              <w:spacing w:line="305" w:lineRule="auto"/>
              <w:jc w:val="left"/>
              <w:textAlignment w:val="baseline"/>
              <w:rPr>
                <w:rFonts w:ascii="Arial" w:hAnsi="Arial" w:eastAsia="Arial" w:cs="Arial"/>
                <w:snapToGrid w:val="0"/>
                <w:color w:val="auto"/>
                <w:kern w:val="0"/>
                <w:sz w:val="21"/>
                <w:szCs w:val="21"/>
                <w:highlight w:val="none"/>
                <w:lang w:eastAsia="en-US"/>
              </w:rPr>
            </w:pPr>
          </w:p>
          <w:p w14:paraId="26F34A6D">
            <w:pPr>
              <w:widowControl/>
              <w:kinsoku w:val="0"/>
              <w:autoSpaceDE w:val="0"/>
              <w:autoSpaceDN w:val="0"/>
              <w:adjustRightInd w:val="0"/>
              <w:snapToGrid w:val="0"/>
              <w:spacing w:line="306" w:lineRule="auto"/>
              <w:jc w:val="left"/>
              <w:textAlignment w:val="baseline"/>
              <w:rPr>
                <w:rFonts w:ascii="Arial" w:hAnsi="Arial" w:eastAsia="Arial" w:cs="Arial"/>
                <w:snapToGrid w:val="0"/>
                <w:color w:val="auto"/>
                <w:kern w:val="0"/>
                <w:sz w:val="21"/>
                <w:szCs w:val="21"/>
                <w:highlight w:val="none"/>
                <w:lang w:eastAsia="en-US"/>
              </w:rPr>
            </w:pPr>
          </w:p>
          <w:p w14:paraId="00AFFC90">
            <w:pPr>
              <w:kinsoku w:val="0"/>
              <w:autoSpaceDE w:val="0"/>
              <w:autoSpaceDN w:val="0"/>
              <w:adjustRightInd w:val="0"/>
              <w:snapToGrid w:val="0"/>
              <w:spacing w:before="68" w:line="221" w:lineRule="auto"/>
              <w:ind w:left="123"/>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4"/>
                <w:kern w:val="0"/>
                <w:sz w:val="21"/>
                <w:szCs w:val="21"/>
                <w:highlight w:val="none"/>
                <w:lang w:val="en-US" w:eastAsia="en-US" w:bidi="ar-SA"/>
              </w:rPr>
              <w:t>允许</w:t>
            </w:r>
          </w:p>
        </w:tc>
        <w:tc>
          <w:tcPr>
            <w:tcW w:w="717" w:type="dxa"/>
            <w:tcBorders>
              <w:top w:val="single" w:color="000000" w:sz="6" w:space="0"/>
              <w:bottom w:val="single" w:color="000000" w:sz="6" w:space="0"/>
            </w:tcBorders>
            <w:vAlign w:val="top"/>
          </w:tcPr>
          <w:p w14:paraId="3FD29C73">
            <w:pPr>
              <w:widowControl/>
              <w:kinsoku w:val="0"/>
              <w:autoSpaceDE w:val="0"/>
              <w:autoSpaceDN w:val="0"/>
              <w:adjustRightInd w:val="0"/>
              <w:snapToGrid w:val="0"/>
              <w:spacing w:line="305" w:lineRule="auto"/>
              <w:jc w:val="left"/>
              <w:textAlignment w:val="baseline"/>
              <w:rPr>
                <w:rFonts w:ascii="Arial" w:hAnsi="Arial" w:eastAsia="Arial" w:cs="Arial"/>
                <w:snapToGrid w:val="0"/>
                <w:color w:val="auto"/>
                <w:kern w:val="0"/>
                <w:sz w:val="21"/>
                <w:szCs w:val="21"/>
                <w:highlight w:val="none"/>
                <w:lang w:eastAsia="en-US"/>
              </w:rPr>
            </w:pPr>
          </w:p>
          <w:p w14:paraId="61769A0C">
            <w:pPr>
              <w:widowControl/>
              <w:kinsoku w:val="0"/>
              <w:autoSpaceDE w:val="0"/>
              <w:autoSpaceDN w:val="0"/>
              <w:adjustRightInd w:val="0"/>
              <w:snapToGrid w:val="0"/>
              <w:spacing w:line="306" w:lineRule="auto"/>
              <w:jc w:val="left"/>
              <w:textAlignment w:val="baseline"/>
              <w:rPr>
                <w:rFonts w:ascii="Arial" w:hAnsi="Arial" w:eastAsia="Arial" w:cs="Arial"/>
                <w:snapToGrid w:val="0"/>
                <w:color w:val="auto"/>
                <w:kern w:val="0"/>
                <w:sz w:val="21"/>
                <w:szCs w:val="21"/>
                <w:highlight w:val="none"/>
                <w:lang w:eastAsia="en-US"/>
              </w:rPr>
            </w:pPr>
          </w:p>
          <w:p w14:paraId="4A527223">
            <w:pPr>
              <w:kinsoku w:val="0"/>
              <w:autoSpaceDE w:val="0"/>
              <w:autoSpaceDN w:val="0"/>
              <w:adjustRightInd w:val="0"/>
              <w:snapToGrid w:val="0"/>
              <w:spacing w:before="68" w:line="221" w:lineRule="auto"/>
              <w:ind w:left="124"/>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4"/>
                <w:kern w:val="0"/>
                <w:sz w:val="21"/>
                <w:szCs w:val="21"/>
                <w:highlight w:val="none"/>
                <w:lang w:val="en-US" w:eastAsia="en-US" w:bidi="ar-SA"/>
              </w:rPr>
              <w:t>允许</w:t>
            </w:r>
          </w:p>
        </w:tc>
        <w:tc>
          <w:tcPr>
            <w:tcW w:w="720" w:type="dxa"/>
            <w:tcBorders>
              <w:top w:val="single" w:color="000000" w:sz="6" w:space="0"/>
              <w:bottom w:val="single" w:color="000000" w:sz="6" w:space="0"/>
            </w:tcBorders>
            <w:vAlign w:val="top"/>
          </w:tcPr>
          <w:p w14:paraId="07EB8285">
            <w:pPr>
              <w:widowControl/>
              <w:kinsoku w:val="0"/>
              <w:autoSpaceDE w:val="0"/>
              <w:autoSpaceDN w:val="0"/>
              <w:adjustRightInd w:val="0"/>
              <w:snapToGrid w:val="0"/>
              <w:spacing w:before="60" w:line="233" w:lineRule="auto"/>
              <w:ind w:left="106"/>
              <w:jc w:val="left"/>
              <w:textAlignment w:val="baseline"/>
              <w:rPr>
                <w:rFonts w:ascii="Times New Roman" w:hAnsi="Times New Roman" w:eastAsia="Times New Roman" w:cs="Times New Roman"/>
                <w:snapToGrid w:val="0"/>
                <w:color w:val="auto"/>
                <w:kern w:val="0"/>
                <w:sz w:val="21"/>
                <w:szCs w:val="21"/>
                <w:highlight w:val="none"/>
                <w:lang w:eastAsia="en-US"/>
              </w:rPr>
            </w:pPr>
          </w:p>
        </w:tc>
      </w:tr>
      <w:tr w14:paraId="427D1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7" w:hRule="atLeast"/>
        </w:trPr>
        <w:tc>
          <w:tcPr>
            <w:tcW w:w="828" w:type="dxa"/>
            <w:vAlign w:val="top"/>
          </w:tcPr>
          <w:p w14:paraId="71904BAF">
            <w:pPr>
              <w:kinsoku w:val="0"/>
              <w:autoSpaceDE w:val="0"/>
              <w:autoSpaceDN w:val="0"/>
              <w:adjustRightInd w:val="0"/>
              <w:snapToGrid w:val="0"/>
              <w:spacing w:before="176" w:line="221" w:lineRule="auto"/>
              <w:ind w:left="114"/>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3"/>
                <w:kern w:val="0"/>
                <w:sz w:val="21"/>
                <w:szCs w:val="21"/>
                <w:highlight w:val="none"/>
                <w:lang w:val="en-US" w:eastAsia="en-US" w:bidi="ar-SA"/>
              </w:rPr>
              <w:t>报建</w:t>
            </w:r>
            <w:r>
              <w:rPr>
                <w:rFonts w:ascii="宋体" w:hAnsi="宋体" w:eastAsia="宋体" w:cs="宋体"/>
                <w:snapToGrid w:val="0"/>
                <w:color w:val="auto"/>
                <w:spacing w:val="-4"/>
                <w:kern w:val="0"/>
                <w:sz w:val="21"/>
                <w:szCs w:val="21"/>
                <w:highlight w:val="none"/>
                <w:lang w:val="en-US" w:eastAsia="en-US" w:bidi="ar-SA"/>
              </w:rPr>
              <w:t>及</w:t>
            </w:r>
            <w:r>
              <w:rPr>
                <w:rFonts w:ascii="宋体" w:hAnsi="宋体" w:eastAsia="宋体" w:cs="宋体"/>
                <w:snapToGrid w:val="0"/>
                <w:color w:val="auto"/>
                <w:spacing w:val="92"/>
                <w:kern w:val="0"/>
                <w:sz w:val="21"/>
                <w:szCs w:val="21"/>
                <w:highlight w:val="none"/>
                <w:lang w:val="en-US" w:eastAsia="en-US" w:bidi="ar-SA"/>
              </w:rPr>
              <w:t xml:space="preserve"> </w:t>
            </w:r>
            <w:r>
              <w:rPr>
                <w:rFonts w:ascii="宋体" w:hAnsi="宋体" w:eastAsia="宋体" w:cs="宋体"/>
                <w:snapToGrid w:val="0"/>
                <w:color w:val="auto"/>
                <w:spacing w:val="-4"/>
                <w:kern w:val="0"/>
                <w:sz w:val="21"/>
                <w:szCs w:val="21"/>
                <w:highlight w:val="none"/>
                <w:lang w:val="en-US" w:eastAsia="en-US" w:bidi="ar-SA"/>
              </w:rPr>
              <w:t>档</w:t>
            </w:r>
            <w:r>
              <w:rPr>
                <w:rFonts w:ascii="宋体" w:hAnsi="宋体" w:eastAsia="宋体" w:cs="宋体"/>
                <w:snapToGrid w:val="0"/>
                <w:color w:val="auto"/>
                <w:spacing w:val="-8"/>
                <w:kern w:val="0"/>
                <w:sz w:val="21"/>
                <w:szCs w:val="21"/>
                <w:highlight w:val="none"/>
                <w:lang w:val="en-US" w:eastAsia="en-US" w:bidi="ar-SA"/>
              </w:rPr>
              <w:t>案管</w:t>
            </w:r>
            <w:r>
              <w:rPr>
                <w:rFonts w:ascii="宋体" w:hAnsi="宋体" w:eastAsia="宋体" w:cs="宋体"/>
                <w:snapToGrid w:val="0"/>
                <w:color w:val="auto"/>
                <w:kern w:val="0"/>
                <w:sz w:val="21"/>
                <w:szCs w:val="21"/>
                <w:highlight w:val="none"/>
                <w:lang w:val="en-US" w:eastAsia="en-US" w:bidi="ar-SA"/>
              </w:rPr>
              <w:t>理</w:t>
            </w:r>
          </w:p>
        </w:tc>
        <w:tc>
          <w:tcPr>
            <w:tcW w:w="1525" w:type="dxa"/>
            <w:vAlign w:val="top"/>
          </w:tcPr>
          <w:p w14:paraId="03976C27">
            <w:pPr>
              <w:kinsoku w:val="0"/>
              <w:autoSpaceDE w:val="0"/>
              <w:autoSpaceDN w:val="0"/>
              <w:adjustRightInd w:val="0"/>
              <w:snapToGrid w:val="0"/>
              <w:spacing w:before="39" w:line="240" w:lineRule="auto"/>
              <w:ind w:left="110" w:right="107" w:firstLine="19"/>
              <w:jc w:val="left"/>
              <w:textAlignment w:val="baseline"/>
              <w:rPr>
                <w:rFonts w:ascii="宋体" w:hAnsi="宋体" w:eastAsia="宋体" w:cs="宋体"/>
                <w:snapToGrid w:val="0"/>
                <w:color w:val="auto"/>
                <w:kern w:val="0"/>
                <w:sz w:val="21"/>
                <w:szCs w:val="21"/>
                <w:highlight w:val="none"/>
                <w:lang w:val="en-US" w:eastAsia="en-US" w:bidi="ar-SA"/>
              </w:rPr>
            </w:pPr>
            <w:r>
              <w:rPr>
                <w:rFonts w:hint="eastAsia" w:ascii="宋体" w:hAnsi="宋体" w:cs="宋体"/>
                <w:snapToGrid w:val="0"/>
                <w:color w:val="auto"/>
                <w:spacing w:val="3"/>
                <w:kern w:val="0"/>
                <w:sz w:val="21"/>
                <w:szCs w:val="21"/>
                <w:highlight w:val="none"/>
                <w:lang w:val="en-US" w:eastAsia="zh-CN" w:bidi="ar-SA"/>
              </w:rPr>
              <w:t>☑</w:t>
            </w:r>
            <w:r>
              <w:rPr>
                <w:rFonts w:ascii="宋体" w:hAnsi="宋体" w:eastAsia="宋体" w:cs="宋体"/>
                <w:snapToGrid w:val="0"/>
                <w:color w:val="auto"/>
                <w:spacing w:val="3"/>
                <w:kern w:val="0"/>
                <w:sz w:val="21"/>
                <w:szCs w:val="21"/>
                <w:highlight w:val="none"/>
                <w:lang w:val="en-US" w:eastAsia="en-US" w:bidi="ar-SA"/>
              </w:rPr>
              <w:t>允许独立配</w:t>
            </w:r>
            <w:r>
              <w:rPr>
                <w:rFonts w:ascii="宋体" w:hAnsi="宋体" w:eastAsia="宋体" w:cs="宋体"/>
                <w:snapToGrid w:val="0"/>
                <w:color w:val="auto"/>
                <w:spacing w:val="6"/>
                <w:kern w:val="0"/>
                <w:sz w:val="21"/>
                <w:szCs w:val="21"/>
                <w:highlight w:val="none"/>
                <w:lang w:val="en-US" w:eastAsia="en-US" w:bidi="ar-SA"/>
              </w:rPr>
              <w:t>备人员及其他</w:t>
            </w:r>
            <w:r>
              <w:rPr>
                <w:rFonts w:ascii="宋体" w:hAnsi="宋体" w:eastAsia="宋体" w:cs="宋体"/>
                <w:snapToGrid w:val="0"/>
                <w:color w:val="auto"/>
                <w:spacing w:val="-2"/>
                <w:kern w:val="0"/>
                <w:sz w:val="21"/>
                <w:szCs w:val="21"/>
                <w:highlight w:val="none"/>
                <w:lang w:val="en-US" w:eastAsia="en-US" w:bidi="ar-SA"/>
              </w:rPr>
              <w:t>人员兼任</w:t>
            </w:r>
          </w:p>
          <w:p w14:paraId="503BEA82">
            <w:pPr>
              <w:kinsoku w:val="0"/>
              <w:autoSpaceDE w:val="0"/>
              <w:autoSpaceDN w:val="0"/>
              <w:adjustRightInd w:val="0"/>
              <w:snapToGrid w:val="0"/>
              <w:spacing w:before="1" w:line="223" w:lineRule="auto"/>
              <w:ind w:left="110" w:right="106" w:firstLine="6"/>
              <w:jc w:val="left"/>
              <w:textAlignment w:val="baseline"/>
              <w:rPr>
                <w:rFonts w:ascii="宋体" w:hAnsi="宋体" w:eastAsia="宋体" w:cs="宋体"/>
                <w:snapToGrid w:val="0"/>
                <w:color w:val="auto"/>
                <w:kern w:val="0"/>
                <w:sz w:val="21"/>
                <w:szCs w:val="21"/>
                <w:highlight w:val="none"/>
                <w:lang w:val="en-US" w:eastAsia="en-US" w:bidi="ar-SA"/>
              </w:rPr>
            </w:pPr>
            <w:r>
              <w:rPr>
                <w:rFonts w:hint="eastAsia" w:ascii="MS Gothic" w:hAnsi="MS Gothic" w:eastAsia="宋体" w:cs="MS Gothic"/>
                <w:snapToGrid w:val="0"/>
                <w:color w:val="auto"/>
                <w:kern w:val="0"/>
                <w:sz w:val="21"/>
                <w:szCs w:val="21"/>
                <w:highlight w:val="none"/>
                <w:lang w:val="en-US" w:eastAsia="zh-CN" w:bidi="ar-SA"/>
              </w:rPr>
              <w:t>□</w:t>
            </w:r>
            <w:r>
              <w:rPr>
                <w:rFonts w:ascii="宋体" w:hAnsi="宋体" w:eastAsia="宋体" w:cs="宋体"/>
                <w:snapToGrid w:val="0"/>
                <w:color w:val="auto"/>
                <w:kern w:val="0"/>
                <w:sz w:val="21"/>
                <w:szCs w:val="21"/>
                <w:highlight w:val="none"/>
                <w:lang w:val="en-US" w:eastAsia="en-US" w:bidi="ar-SA"/>
              </w:rPr>
              <w:t>独立配备</w:t>
            </w:r>
            <w:r>
              <w:rPr>
                <w:rFonts w:ascii="宋体" w:hAnsi="宋体" w:eastAsia="宋体" w:cs="宋体"/>
                <w:snapToGrid w:val="0"/>
                <w:color w:val="auto"/>
                <w:spacing w:val="35"/>
                <w:kern w:val="0"/>
                <w:sz w:val="21"/>
                <w:szCs w:val="21"/>
                <w:highlight w:val="none"/>
                <w:lang w:val="en-US" w:eastAsia="en-US" w:bidi="ar-SA"/>
              </w:rPr>
              <w:t xml:space="preserve"> </w:t>
            </w:r>
            <w:r>
              <w:rPr>
                <w:rFonts w:ascii="Times New Roman" w:hAnsi="Times New Roman" w:eastAsia="Times New Roman" w:cs="Times New Roman"/>
                <w:snapToGrid w:val="0"/>
                <w:color w:val="auto"/>
                <w:kern w:val="0"/>
                <w:sz w:val="21"/>
                <w:szCs w:val="21"/>
                <w:highlight w:val="none"/>
                <w:lang w:val="en-US" w:eastAsia="en-US" w:bidi="ar-SA"/>
              </w:rPr>
              <w:t>1</w:t>
            </w:r>
            <w:r>
              <w:rPr>
                <w:rFonts w:ascii="宋体" w:hAnsi="宋体" w:eastAsia="宋体" w:cs="宋体"/>
                <w:snapToGrid w:val="0"/>
                <w:color w:val="auto"/>
                <w:kern w:val="0"/>
                <w:sz w:val="21"/>
                <w:szCs w:val="21"/>
                <w:highlight w:val="none"/>
                <w:lang w:val="en-US" w:eastAsia="en-US" w:bidi="ar-SA"/>
              </w:rPr>
              <w:t>人</w:t>
            </w:r>
          </w:p>
        </w:tc>
        <w:tc>
          <w:tcPr>
            <w:tcW w:w="3340" w:type="dxa"/>
            <w:tcBorders>
              <w:top w:val="single" w:color="000000" w:sz="6" w:space="0"/>
              <w:bottom w:val="single" w:color="000000" w:sz="6" w:space="0"/>
            </w:tcBorders>
            <w:vAlign w:val="top"/>
          </w:tcPr>
          <w:p w14:paraId="211F677A">
            <w:pPr>
              <w:widowControl/>
              <w:kinsoku w:val="0"/>
              <w:autoSpaceDE w:val="0"/>
              <w:autoSpaceDN w:val="0"/>
              <w:adjustRightInd w:val="0"/>
              <w:snapToGrid w:val="0"/>
              <w:spacing w:line="258" w:lineRule="auto"/>
              <w:jc w:val="left"/>
              <w:textAlignment w:val="baseline"/>
              <w:rPr>
                <w:rFonts w:ascii="Arial" w:hAnsi="Arial" w:eastAsia="Arial" w:cs="Arial"/>
                <w:snapToGrid w:val="0"/>
                <w:color w:val="auto"/>
                <w:kern w:val="0"/>
                <w:sz w:val="21"/>
                <w:szCs w:val="21"/>
                <w:highlight w:val="none"/>
                <w:lang w:eastAsia="en-US"/>
              </w:rPr>
            </w:pPr>
          </w:p>
          <w:p w14:paraId="2AC65774">
            <w:pPr>
              <w:widowControl/>
              <w:kinsoku w:val="0"/>
              <w:autoSpaceDE w:val="0"/>
              <w:autoSpaceDN w:val="0"/>
              <w:adjustRightInd w:val="0"/>
              <w:snapToGrid w:val="0"/>
              <w:spacing w:line="258" w:lineRule="auto"/>
              <w:jc w:val="left"/>
              <w:textAlignment w:val="baseline"/>
              <w:rPr>
                <w:rFonts w:ascii="Arial" w:hAnsi="Arial" w:eastAsia="Arial" w:cs="Arial"/>
                <w:snapToGrid w:val="0"/>
                <w:color w:val="auto"/>
                <w:kern w:val="0"/>
                <w:sz w:val="21"/>
                <w:szCs w:val="21"/>
                <w:highlight w:val="none"/>
                <w:lang w:eastAsia="en-US"/>
              </w:rPr>
            </w:pPr>
          </w:p>
          <w:p w14:paraId="1E5B1CF8">
            <w:pPr>
              <w:kinsoku w:val="0"/>
              <w:autoSpaceDE w:val="0"/>
              <w:autoSpaceDN w:val="0"/>
              <w:adjustRightInd w:val="0"/>
              <w:snapToGrid w:val="0"/>
              <w:spacing w:before="68" w:line="221" w:lineRule="auto"/>
              <w:ind w:left="112"/>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2"/>
                <w:kern w:val="0"/>
                <w:sz w:val="21"/>
                <w:szCs w:val="21"/>
                <w:highlight w:val="none"/>
                <w:lang w:val="en-US" w:eastAsia="en-US" w:bidi="ar-SA"/>
              </w:rPr>
              <w:t>无要求</w:t>
            </w:r>
          </w:p>
        </w:tc>
        <w:tc>
          <w:tcPr>
            <w:tcW w:w="909" w:type="dxa"/>
            <w:tcBorders>
              <w:top w:val="single" w:color="000000" w:sz="6" w:space="0"/>
              <w:bottom w:val="single" w:color="000000" w:sz="6" w:space="0"/>
            </w:tcBorders>
            <w:vAlign w:val="top"/>
          </w:tcPr>
          <w:p w14:paraId="65D607AE">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1"/>
                <w:szCs w:val="21"/>
                <w:highlight w:val="none"/>
                <w:lang w:eastAsia="en-US"/>
              </w:rPr>
            </w:pPr>
          </w:p>
          <w:p w14:paraId="5478EA84">
            <w:pPr>
              <w:widowControl/>
              <w:kinsoku w:val="0"/>
              <w:autoSpaceDE w:val="0"/>
              <w:autoSpaceDN w:val="0"/>
              <w:adjustRightInd w:val="0"/>
              <w:snapToGrid w:val="0"/>
              <w:spacing w:line="257" w:lineRule="auto"/>
              <w:jc w:val="left"/>
              <w:textAlignment w:val="baseline"/>
              <w:rPr>
                <w:rFonts w:ascii="Arial" w:hAnsi="Arial" w:eastAsia="Arial" w:cs="Arial"/>
                <w:snapToGrid w:val="0"/>
                <w:color w:val="auto"/>
                <w:kern w:val="0"/>
                <w:sz w:val="21"/>
                <w:szCs w:val="21"/>
                <w:highlight w:val="none"/>
                <w:lang w:eastAsia="en-US"/>
              </w:rPr>
            </w:pPr>
          </w:p>
          <w:p w14:paraId="3FD90DB5">
            <w:pPr>
              <w:kinsoku w:val="0"/>
              <w:autoSpaceDE w:val="0"/>
              <w:autoSpaceDN w:val="0"/>
              <w:adjustRightInd w:val="0"/>
              <w:snapToGrid w:val="0"/>
              <w:spacing w:before="68" w:line="221" w:lineRule="auto"/>
              <w:ind w:left="116"/>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2"/>
                <w:kern w:val="0"/>
                <w:sz w:val="21"/>
                <w:szCs w:val="21"/>
                <w:highlight w:val="none"/>
                <w:lang w:val="en-US" w:eastAsia="en-US" w:bidi="ar-SA"/>
              </w:rPr>
              <w:t>无要求</w:t>
            </w:r>
          </w:p>
        </w:tc>
        <w:tc>
          <w:tcPr>
            <w:tcW w:w="724" w:type="dxa"/>
            <w:tcBorders>
              <w:top w:val="single" w:color="000000" w:sz="6" w:space="0"/>
              <w:bottom w:val="single" w:color="000000" w:sz="6" w:space="0"/>
            </w:tcBorders>
            <w:vAlign w:val="top"/>
          </w:tcPr>
          <w:p w14:paraId="567BAD5C">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1"/>
                <w:szCs w:val="21"/>
                <w:highlight w:val="none"/>
                <w:lang w:eastAsia="en-US"/>
              </w:rPr>
            </w:pPr>
          </w:p>
          <w:p w14:paraId="40E1A10E">
            <w:pPr>
              <w:widowControl/>
              <w:kinsoku w:val="0"/>
              <w:autoSpaceDE w:val="0"/>
              <w:autoSpaceDN w:val="0"/>
              <w:adjustRightInd w:val="0"/>
              <w:snapToGrid w:val="0"/>
              <w:spacing w:line="257" w:lineRule="auto"/>
              <w:jc w:val="left"/>
              <w:textAlignment w:val="baseline"/>
              <w:rPr>
                <w:rFonts w:ascii="Arial" w:hAnsi="Arial" w:eastAsia="Arial" w:cs="Arial"/>
                <w:snapToGrid w:val="0"/>
                <w:color w:val="auto"/>
                <w:kern w:val="0"/>
                <w:sz w:val="21"/>
                <w:szCs w:val="21"/>
                <w:highlight w:val="none"/>
                <w:lang w:eastAsia="en-US"/>
              </w:rPr>
            </w:pPr>
          </w:p>
          <w:p w14:paraId="7E89ECC1">
            <w:pPr>
              <w:kinsoku w:val="0"/>
              <w:autoSpaceDE w:val="0"/>
              <w:autoSpaceDN w:val="0"/>
              <w:adjustRightInd w:val="0"/>
              <w:snapToGrid w:val="0"/>
              <w:spacing w:before="68" w:line="224" w:lineRule="auto"/>
              <w:ind w:left="118"/>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kern w:val="0"/>
                <w:sz w:val="21"/>
                <w:szCs w:val="21"/>
                <w:highlight w:val="none"/>
                <w:lang w:val="en-US" w:eastAsia="en-US" w:bidi="ar-SA"/>
              </w:rPr>
              <w:t>否</w:t>
            </w:r>
          </w:p>
        </w:tc>
        <w:tc>
          <w:tcPr>
            <w:tcW w:w="1049" w:type="dxa"/>
            <w:tcBorders>
              <w:top w:val="single" w:color="000000" w:sz="6" w:space="0"/>
              <w:bottom w:val="single" w:color="000000" w:sz="6" w:space="0"/>
            </w:tcBorders>
            <w:vAlign w:val="top"/>
          </w:tcPr>
          <w:p w14:paraId="7D750983">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1"/>
                <w:szCs w:val="21"/>
                <w:highlight w:val="none"/>
                <w:lang w:eastAsia="en-US"/>
              </w:rPr>
            </w:pPr>
          </w:p>
          <w:p w14:paraId="18494286">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1"/>
                <w:szCs w:val="21"/>
                <w:highlight w:val="none"/>
                <w:lang w:eastAsia="en-US"/>
              </w:rPr>
            </w:pPr>
          </w:p>
          <w:p w14:paraId="3D80D712">
            <w:pPr>
              <w:kinsoku w:val="0"/>
              <w:autoSpaceDE w:val="0"/>
              <w:autoSpaceDN w:val="0"/>
              <w:adjustRightInd w:val="0"/>
              <w:snapToGrid w:val="0"/>
              <w:spacing w:before="69" w:line="221" w:lineRule="auto"/>
              <w:ind w:left="119"/>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2"/>
                <w:kern w:val="0"/>
                <w:sz w:val="21"/>
                <w:szCs w:val="21"/>
                <w:highlight w:val="none"/>
                <w:lang w:val="en-US" w:eastAsia="en-US" w:bidi="ar-SA"/>
              </w:rPr>
              <w:t>不允许</w:t>
            </w:r>
          </w:p>
        </w:tc>
        <w:tc>
          <w:tcPr>
            <w:tcW w:w="717" w:type="dxa"/>
            <w:tcBorders>
              <w:top w:val="single" w:color="000000" w:sz="6" w:space="0"/>
              <w:bottom w:val="single" w:color="000000" w:sz="6" w:space="0"/>
            </w:tcBorders>
            <w:vAlign w:val="top"/>
          </w:tcPr>
          <w:p w14:paraId="571BBBC8">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1"/>
                <w:szCs w:val="21"/>
                <w:highlight w:val="none"/>
                <w:lang w:eastAsia="en-US"/>
              </w:rPr>
            </w:pPr>
          </w:p>
          <w:p w14:paraId="1B54D1C5">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1"/>
                <w:szCs w:val="21"/>
                <w:highlight w:val="none"/>
                <w:lang w:eastAsia="en-US"/>
              </w:rPr>
            </w:pPr>
          </w:p>
          <w:p w14:paraId="3CF29273">
            <w:pPr>
              <w:kinsoku w:val="0"/>
              <w:autoSpaceDE w:val="0"/>
              <w:autoSpaceDN w:val="0"/>
              <w:adjustRightInd w:val="0"/>
              <w:snapToGrid w:val="0"/>
              <w:spacing w:before="69" w:line="221" w:lineRule="auto"/>
              <w:ind w:left="124"/>
              <w:jc w:val="left"/>
              <w:textAlignment w:val="baseline"/>
              <w:rPr>
                <w:rFonts w:ascii="宋体" w:hAnsi="宋体" w:eastAsia="宋体" w:cs="宋体"/>
                <w:snapToGrid w:val="0"/>
                <w:color w:val="auto"/>
                <w:kern w:val="0"/>
                <w:sz w:val="21"/>
                <w:szCs w:val="21"/>
                <w:highlight w:val="none"/>
                <w:lang w:val="en-US" w:eastAsia="en-US" w:bidi="ar-SA"/>
              </w:rPr>
            </w:pPr>
            <w:r>
              <w:rPr>
                <w:rFonts w:ascii="宋体" w:hAnsi="宋体" w:eastAsia="宋体" w:cs="宋体"/>
                <w:snapToGrid w:val="0"/>
                <w:color w:val="auto"/>
                <w:spacing w:val="-4"/>
                <w:kern w:val="0"/>
                <w:sz w:val="21"/>
                <w:szCs w:val="21"/>
                <w:highlight w:val="none"/>
                <w:lang w:val="en-US" w:eastAsia="en-US" w:bidi="ar-SA"/>
              </w:rPr>
              <w:t>允许</w:t>
            </w:r>
          </w:p>
        </w:tc>
        <w:tc>
          <w:tcPr>
            <w:tcW w:w="720" w:type="dxa"/>
            <w:tcBorders>
              <w:top w:val="single" w:color="000000" w:sz="6" w:space="0"/>
              <w:bottom w:val="single" w:color="000000" w:sz="6" w:space="0"/>
            </w:tcBorders>
            <w:vAlign w:val="top"/>
          </w:tcPr>
          <w:p w14:paraId="773FC1A0">
            <w:pPr>
              <w:widowControl/>
              <w:kinsoku w:val="0"/>
              <w:autoSpaceDE w:val="0"/>
              <w:autoSpaceDN w:val="0"/>
              <w:adjustRightInd w:val="0"/>
              <w:snapToGrid w:val="0"/>
              <w:spacing w:before="60" w:line="233" w:lineRule="auto"/>
              <w:ind w:left="106"/>
              <w:jc w:val="left"/>
              <w:textAlignment w:val="baseline"/>
              <w:rPr>
                <w:rFonts w:ascii="Times New Roman" w:hAnsi="Times New Roman" w:eastAsia="Times New Roman" w:cs="Times New Roman"/>
                <w:snapToGrid w:val="0"/>
                <w:color w:val="auto"/>
                <w:kern w:val="0"/>
                <w:sz w:val="21"/>
                <w:szCs w:val="21"/>
                <w:highlight w:val="none"/>
                <w:lang w:eastAsia="en-US"/>
              </w:rPr>
            </w:pPr>
          </w:p>
        </w:tc>
      </w:tr>
    </w:tbl>
    <w:p w14:paraId="6B7D9C69">
      <w:pPr>
        <w:widowControl/>
        <w:kinsoku w:val="0"/>
        <w:autoSpaceDE w:val="0"/>
        <w:autoSpaceDN w:val="0"/>
        <w:adjustRightInd w:val="0"/>
        <w:snapToGrid w:val="0"/>
        <w:spacing w:before="51" w:line="225" w:lineRule="auto"/>
        <w:jc w:val="left"/>
        <w:textAlignment w:val="baseline"/>
        <w:rPr>
          <w:rFonts w:ascii="宋体" w:hAnsi="宋体" w:eastAsia="宋体" w:cs="宋体"/>
          <w:snapToGrid w:val="0"/>
          <w:color w:val="auto"/>
          <w:kern w:val="0"/>
          <w:sz w:val="21"/>
          <w:szCs w:val="21"/>
          <w:highlight w:val="none"/>
          <w:lang w:eastAsia="en-US"/>
        </w:rPr>
      </w:pPr>
      <w:r>
        <w:rPr>
          <w:rFonts w:ascii="宋体" w:hAnsi="宋体" w:eastAsia="宋体" w:cs="宋体"/>
          <w:snapToGrid w:val="0"/>
          <w:color w:val="auto"/>
          <w:spacing w:val="-14"/>
          <w:kern w:val="0"/>
          <w:sz w:val="21"/>
          <w:szCs w:val="21"/>
          <w:highlight w:val="none"/>
          <w:lang w:eastAsia="en-US"/>
        </w:rPr>
        <w:t>注：</w:t>
      </w:r>
      <w:r>
        <w:rPr>
          <w:rFonts w:ascii="Times New Roman" w:hAnsi="Times New Roman" w:eastAsia="Times New Roman" w:cs="Times New Roman"/>
          <w:snapToGrid w:val="0"/>
          <w:color w:val="auto"/>
          <w:spacing w:val="-1"/>
          <w:kern w:val="0"/>
          <w:sz w:val="21"/>
          <w:szCs w:val="21"/>
          <w:highlight w:val="none"/>
          <w:lang w:eastAsia="en-US"/>
        </w:rPr>
        <w:t>1.</w:t>
      </w:r>
      <w:r>
        <w:rPr>
          <w:rFonts w:ascii="宋体" w:hAnsi="宋体" w:eastAsia="宋体" w:cs="宋体"/>
          <w:snapToGrid w:val="0"/>
          <w:color w:val="auto"/>
          <w:spacing w:val="-1"/>
          <w:kern w:val="0"/>
          <w:sz w:val="21"/>
          <w:szCs w:val="21"/>
          <w:highlight w:val="none"/>
          <w:lang w:eastAsia="en-US"/>
        </w:rPr>
        <w:t>其他岗位是指代建团队中除代建项目经理岗位以外的</w:t>
      </w:r>
      <w:r>
        <w:rPr>
          <w:rFonts w:ascii="宋体" w:hAnsi="宋体" w:eastAsia="宋体" w:cs="宋体"/>
          <w:snapToGrid w:val="0"/>
          <w:color w:val="auto"/>
          <w:spacing w:val="-2"/>
          <w:kern w:val="0"/>
          <w:sz w:val="21"/>
          <w:szCs w:val="21"/>
          <w:highlight w:val="none"/>
          <w:lang w:eastAsia="en-US"/>
        </w:rPr>
        <w:t>其他岗位。</w:t>
      </w:r>
    </w:p>
    <w:p w14:paraId="366F3C19">
      <w:pPr>
        <w:widowControl/>
        <w:kinsoku w:val="0"/>
        <w:autoSpaceDE w:val="0"/>
        <w:autoSpaceDN w:val="0"/>
        <w:adjustRightInd w:val="0"/>
        <w:snapToGrid w:val="0"/>
        <w:spacing w:before="68" w:line="274" w:lineRule="auto"/>
        <w:ind w:firstLine="412" w:firstLineChars="200"/>
        <w:jc w:val="left"/>
        <w:textAlignment w:val="baseline"/>
        <w:rPr>
          <w:rFonts w:ascii="宋体" w:hAnsi="宋体" w:eastAsia="宋体" w:cs="宋体"/>
          <w:snapToGrid w:val="0"/>
          <w:color w:val="auto"/>
          <w:kern w:val="0"/>
          <w:sz w:val="21"/>
          <w:szCs w:val="21"/>
          <w:highlight w:val="none"/>
          <w:lang w:eastAsia="en-US"/>
        </w:rPr>
      </w:pPr>
      <w:r>
        <w:rPr>
          <w:rFonts w:ascii="Times New Roman" w:hAnsi="Times New Roman" w:eastAsia="Times New Roman" w:cs="Times New Roman"/>
          <w:snapToGrid w:val="0"/>
          <w:color w:val="auto"/>
          <w:spacing w:val="-2"/>
          <w:kern w:val="0"/>
          <w:sz w:val="21"/>
          <w:szCs w:val="21"/>
          <w:highlight w:val="none"/>
          <w:lang w:eastAsia="en-US"/>
        </w:rPr>
        <w:t>2.</w:t>
      </w:r>
      <w:r>
        <w:rPr>
          <w:rFonts w:ascii="宋体" w:hAnsi="宋体" w:eastAsia="宋体" w:cs="宋体"/>
          <w:snapToGrid w:val="0"/>
          <w:color w:val="auto"/>
          <w:spacing w:val="-2"/>
          <w:kern w:val="0"/>
          <w:sz w:val="21"/>
          <w:szCs w:val="21"/>
          <w:highlight w:val="none"/>
          <w:lang w:eastAsia="en-US"/>
        </w:rPr>
        <w:t>此表为代建团队人员配备的最低要求，投标人可根据自身情况和代建</w:t>
      </w:r>
      <w:r>
        <w:rPr>
          <w:rFonts w:ascii="宋体" w:hAnsi="宋体" w:eastAsia="宋体" w:cs="宋体"/>
          <w:snapToGrid w:val="0"/>
          <w:color w:val="auto"/>
          <w:spacing w:val="-3"/>
          <w:kern w:val="0"/>
          <w:sz w:val="21"/>
          <w:szCs w:val="21"/>
          <w:highlight w:val="none"/>
          <w:lang w:eastAsia="en-US"/>
        </w:rPr>
        <w:t>工作需要提出更有利</w:t>
      </w:r>
      <w:r>
        <w:rPr>
          <w:rFonts w:ascii="宋体" w:hAnsi="宋体" w:eastAsia="宋体" w:cs="宋体"/>
          <w:snapToGrid w:val="0"/>
          <w:color w:val="auto"/>
          <w:spacing w:val="-1"/>
          <w:kern w:val="0"/>
          <w:sz w:val="21"/>
          <w:szCs w:val="21"/>
          <w:highlight w:val="none"/>
          <w:lang w:eastAsia="en-US"/>
        </w:rPr>
        <w:t>于招标人的人员配备方案。表中</w:t>
      </w:r>
      <w:r>
        <w:rPr>
          <w:rFonts w:ascii="Times New Roman" w:hAnsi="Times New Roman" w:eastAsia="Times New Roman" w:cs="Times New Roman"/>
          <w:snapToGrid w:val="0"/>
          <w:color w:val="auto"/>
          <w:spacing w:val="-1"/>
          <w:kern w:val="0"/>
          <w:sz w:val="21"/>
          <w:szCs w:val="21"/>
          <w:highlight w:val="none"/>
          <w:lang w:eastAsia="en-US"/>
        </w:rPr>
        <w:t>“</w:t>
      </w:r>
      <w:r>
        <w:rPr>
          <w:rFonts w:ascii="宋体" w:hAnsi="宋体" w:eastAsia="宋体" w:cs="宋体"/>
          <w:snapToGrid w:val="0"/>
          <w:color w:val="auto"/>
          <w:spacing w:val="-1"/>
          <w:kern w:val="0"/>
          <w:sz w:val="21"/>
          <w:szCs w:val="21"/>
          <w:highlight w:val="none"/>
          <w:lang w:eastAsia="en-US"/>
        </w:rPr>
        <w:t>人数要求</w:t>
      </w:r>
      <w:r>
        <w:rPr>
          <w:rFonts w:ascii="Times New Roman" w:hAnsi="Times New Roman" w:eastAsia="Times New Roman" w:cs="Times New Roman"/>
          <w:snapToGrid w:val="0"/>
          <w:color w:val="auto"/>
          <w:spacing w:val="-1"/>
          <w:kern w:val="0"/>
          <w:sz w:val="21"/>
          <w:szCs w:val="21"/>
          <w:highlight w:val="none"/>
          <w:lang w:eastAsia="en-US"/>
        </w:rPr>
        <w:t>”</w:t>
      </w:r>
      <w:r>
        <w:rPr>
          <w:rFonts w:ascii="宋体" w:hAnsi="宋体" w:eastAsia="宋体" w:cs="宋体"/>
          <w:snapToGrid w:val="0"/>
          <w:color w:val="auto"/>
          <w:spacing w:val="-1"/>
          <w:kern w:val="0"/>
          <w:sz w:val="21"/>
          <w:szCs w:val="21"/>
          <w:highlight w:val="none"/>
          <w:lang w:eastAsia="en-US"/>
        </w:rPr>
        <w:t>为</w:t>
      </w:r>
      <w:r>
        <w:rPr>
          <w:rFonts w:ascii="Times New Roman" w:hAnsi="Times New Roman" w:eastAsia="Times New Roman" w:cs="Times New Roman"/>
          <w:snapToGrid w:val="0"/>
          <w:color w:val="auto"/>
          <w:spacing w:val="-1"/>
          <w:kern w:val="0"/>
          <w:sz w:val="21"/>
          <w:szCs w:val="21"/>
          <w:highlight w:val="none"/>
          <w:lang w:eastAsia="en-US"/>
        </w:rPr>
        <w:t>“</w:t>
      </w:r>
      <w:r>
        <w:rPr>
          <w:rFonts w:ascii="Times New Roman" w:hAnsi="Times New Roman" w:eastAsia="Times New Roman" w:cs="Times New Roman"/>
          <w:snapToGrid w:val="0"/>
          <w:color w:val="auto"/>
          <w:spacing w:val="-19"/>
          <w:kern w:val="0"/>
          <w:sz w:val="21"/>
          <w:szCs w:val="21"/>
          <w:highlight w:val="none"/>
          <w:lang w:eastAsia="en-US"/>
        </w:rPr>
        <w:t xml:space="preserve"> </w:t>
      </w:r>
      <w:r>
        <w:rPr>
          <w:rFonts w:ascii="宋体" w:hAnsi="宋体" w:eastAsia="宋体" w:cs="宋体"/>
          <w:snapToGrid w:val="0"/>
          <w:color w:val="auto"/>
          <w:spacing w:val="-1"/>
          <w:kern w:val="0"/>
          <w:sz w:val="21"/>
          <w:szCs w:val="21"/>
          <w:highlight w:val="none"/>
          <w:lang w:eastAsia="en-US"/>
        </w:rPr>
        <w:t>允许独立配备人员及其他人员兼任</w:t>
      </w:r>
      <w:r>
        <w:rPr>
          <w:rFonts w:ascii="Times New Roman" w:hAnsi="Times New Roman" w:eastAsia="Times New Roman" w:cs="Times New Roman"/>
          <w:snapToGrid w:val="0"/>
          <w:color w:val="auto"/>
          <w:spacing w:val="-1"/>
          <w:kern w:val="0"/>
          <w:sz w:val="21"/>
          <w:szCs w:val="21"/>
          <w:highlight w:val="none"/>
          <w:lang w:eastAsia="en-US"/>
        </w:rPr>
        <w:t>”</w:t>
      </w:r>
      <w:r>
        <w:rPr>
          <w:rFonts w:ascii="Times New Roman" w:hAnsi="Times New Roman" w:eastAsia="Times New Roman" w:cs="Times New Roman"/>
          <w:snapToGrid w:val="0"/>
          <w:color w:val="auto"/>
          <w:spacing w:val="-34"/>
          <w:kern w:val="0"/>
          <w:sz w:val="21"/>
          <w:szCs w:val="21"/>
          <w:highlight w:val="none"/>
          <w:lang w:eastAsia="en-US"/>
        </w:rPr>
        <w:t xml:space="preserve"> </w:t>
      </w:r>
      <w:r>
        <w:rPr>
          <w:rFonts w:ascii="宋体" w:hAnsi="宋体" w:eastAsia="宋体" w:cs="宋体"/>
          <w:snapToGrid w:val="0"/>
          <w:color w:val="auto"/>
          <w:spacing w:val="-1"/>
          <w:kern w:val="0"/>
          <w:sz w:val="21"/>
          <w:szCs w:val="21"/>
          <w:highlight w:val="none"/>
          <w:lang w:eastAsia="en-US"/>
        </w:rPr>
        <w:t>时，本项目独立配备人员可兼任团队其他岗位工作；投标人也可选用本单位其他人员担任，此时均允许该人承担本项目代建以外的工作。</w:t>
      </w:r>
    </w:p>
    <w:p w14:paraId="24DF6A82">
      <w:pPr>
        <w:widowControl/>
        <w:kinsoku w:val="0"/>
        <w:autoSpaceDE w:val="0"/>
        <w:autoSpaceDN w:val="0"/>
        <w:adjustRightInd w:val="0"/>
        <w:snapToGrid w:val="0"/>
        <w:spacing w:before="7" w:line="268" w:lineRule="auto"/>
        <w:ind w:right="2" w:firstLine="533"/>
        <w:jc w:val="left"/>
        <w:textAlignment w:val="baseline"/>
        <w:rPr>
          <w:rFonts w:ascii="宋体" w:hAnsi="宋体" w:eastAsia="宋体" w:cs="宋体"/>
          <w:snapToGrid w:val="0"/>
          <w:color w:val="auto"/>
          <w:kern w:val="0"/>
          <w:sz w:val="21"/>
          <w:szCs w:val="21"/>
          <w:highlight w:val="none"/>
          <w:lang w:eastAsia="en-US"/>
        </w:rPr>
      </w:pPr>
      <w:r>
        <w:rPr>
          <w:rFonts w:hint="eastAsia" w:eastAsia="宋体" w:cs="Times New Roman"/>
          <w:snapToGrid w:val="0"/>
          <w:color w:val="auto"/>
          <w:spacing w:val="-2"/>
          <w:kern w:val="0"/>
          <w:sz w:val="21"/>
          <w:szCs w:val="21"/>
          <w:highlight w:val="none"/>
          <w:lang w:val="en-US" w:eastAsia="zh-CN"/>
        </w:rPr>
        <w:t>3</w:t>
      </w:r>
      <w:r>
        <w:rPr>
          <w:rFonts w:ascii="Times New Roman" w:hAnsi="Times New Roman" w:eastAsia="Times New Roman" w:cs="Times New Roman"/>
          <w:snapToGrid w:val="0"/>
          <w:color w:val="auto"/>
          <w:spacing w:val="-2"/>
          <w:kern w:val="0"/>
          <w:sz w:val="21"/>
          <w:szCs w:val="21"/>
          <w:highlight w:val="none"/>
          <w:lang w:eastAsia="en-US"/>
        </w:rPr>
        <w:t>.</w:t>
      </w:r>
      <w:r>
        <w:rPr>
          <w:rFonts w:ascii="宋体" w:hAnsi="宋体" w:eastAsia="宋体" w:cs="宋体"/>
          <w:snapToGrid w:val="0"/>
          <w:color w:val="auto"/>
          <w:spacing w:val="-2"/>
          <w:kern w:val="0"/>
          <w:sz w:val="21"/>
          <w:szCs w:val="21"/>
          <w:highlight w:val="none"/>
          <w:lang w:eastAsia="en-US"/>
        </w:rPr>
        <w:t>投标人为房地产开发企业等，因政策原因项目团队人员</w:t>
      </w:r>
      <w:r>
        <w:rPr>
          <w:rFonts w:ascii="宋体" w:hAnsi="宋体" w:eastAsia="宋体" w:cs="宋体"/>
          <w:snapToGrid w:val="0"/>
          <w:color w:val="auto"/>
          <w:spacing w:val="-3"/>
          <w:kern w:val="0"/>
          <w:sz w:val="21"/>
          <w:szCs w:val="21"/>
          <w:highlight w:val="none"/>
          <w:lang w:eastAsia="en-US"/>
        </w:rPr>
        <w:t>执业证书不能注册（登记）的，项</w:t>
      </w:r>
      <w:r>
        <w:rPr>
          <w:rFonts w:ascii="宋体" w:hAnsi="宋体" w:eastAsia="宋体" w:cs="宋体"/>
          <w:snapToGrid w:val="0"/>
          <w:color w:val="auto"/>
          <w:spacing w:val="2"/>
          <w:kern w:val="0"/>
          <w:sz w:val="21"/>
          <w:szCs w:val="21"/>
          <w:highlight w:val="none"/>
          <w:lang w:eastAsia="en-US"/>
        </w:rPr>
        <w:t>目团队人员执业证书可不注册（登记</w:t>
      </w:r>
      <w:r>
        <w:rPr>
          <w:rFonts w:ascii="宋体" w:hAnsi="宋体" w:eastAsia="宋体" w:cs="宋体"/>
          <w:snapToGrid w:val="0"/>
          <w:color w:val="auto"/>
          <w:spacing w:val="-54"/>
          <w:w w:val="98"/>
          <w:kern w:val="0"/>
          <w:sz w:val="21"/>
          <w:szCs w:val="21"/>
          <w:highlight w:val="none"/>
          <w:lang w:eastAsia="en-US"/>
        </w:rPr>
        <w:t>），</w:t>
      </w:r>
      <w:r>
        <w:rPr>
          <w:rFonts w:ascii="宋体" w:hAnsi="宋体" w:eastAsia="宋体" w:cs="宋体"/>
          <w:snapToGrid w:val="0"/>
          <w:color w:val="auto"/>
          <w:spacing w:val="2"/>
          <w:kern w:val="0"/>
          <w:sz w:val="21"/>
          <w:szCs w:val="21"/>
          <w:highlight w:val="none"/>
          <w:lang w:eastAsia="en-US"/>
        </w:rPr>
        <w:t>但其执业证书不得在其他企业注册（登记）</w:t>
      </w:r>
      <w:r>
        <w:rPr>
          <w:rFonts w:ascii="宋体" w:hAnsi="宋体" w:eastAsia="宋体" w:cs="宋体"/>
          <w:snapToGrid w:val="0"/>
          <w:color w:val="auto"/>
          <w:spacing w:val="-3"/>
          <w:kern w:val="0"/>
          <w:sz w:val="21"/>
          <w:szCs w:val="21"/>
          <w:highlight w:val="none"/>
          <w:lang w:eastAsia="en-US"/>
        </w:rPr>
        <w:t>。</w:t>
      </w:r>
    </w:p>
    <w:p w14:paraId="1056BEF2">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p>
    <w:p w14:paraId="10ADF36E">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七、代建周期交付要求:</w:t>
      </w:r>
    </w:p>
    <w:p w14:paraId="00F006D4">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代建项目建成后，应当按照国家和省、市有关规定以及代建合同约定进行竣工验收，工程竣工验收合格后，方可交付使用。</w:t>
      </w:r>
    </w:p>
    <w:p w14:paraId="640EC239">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代建单位应当在竣工验收合格后3个月内协助建设单位向财政部门申请办理工程结算审批事</w:t>
      </w:r>
      <w:r>
        <w:rPr>
          <w:rFonts w:hint="eastAsia" w:ascii="宋体" w:hAnsi="宋体" w:cs="宋体"/>
          <w:b w:val="0"/>
          <w:bCs w:val="0"/>
          <w:color w:val="auto"/>
          <w:kern w:val="2"/>
          <w:sz w:val="24"/>
          <w:szCs w:val="24"/>
          <w:highlight w:val="none"/>
          <w:lang w:val="en-US" w:eastAsia="zh-CN" w:bidi="ar-SA"/>
        </w:rPr>
        <w:t>宜</w:t>
      </w:r>
      <w:r>
        <w:rPr>
          <w:rFonts w:hint="eastAsia" w:ascii="宋体" w:hAnsi="宋体" w:eastAsia="宋体" w:cs="宋体"/>
          <w:b w:val="0"/>
          <w:bCs w:val="0"/>
          <w:color w:val="auto"/>
          <w:kern w:val="2"/>
          <w:sz w:val="24"/>
          <w:szCs w:val="24"/>
          <w:highlight w:val="none"/>
          <w:lang w:val="en-US" w:eastAsia="zh-CN" w:bidi="ar-SA"/>
        </w:rPr>
        <w:t>。</w:t>
      </w:r>
    </w:p>
    <w:p w14:paraId="7018DCCA">
      <w:pPr>
        <w:adjustRightInd w:val="0"/>
        <w:snapToGrid w:val="0"/>
        <w:spacing w:line="360" w:lineRule="auto"/>
        <w:ind w:firstLine="480" w:firstLineChars="200"/>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八、结算方式</w:t>
      </w:r>
    </w:p>
    <w:p w14:paraId="20BD64F4">
      <w:pPr>
        <w:pStyle w:val="305"/>
        <w:spacing w:line="360" w:lineRule="auto"/>
        <w:rPr>
          <w:rFonts w:hint="eastAsia" w:ascii="宋体" w:hAnsi="宋体" w:eastAsia="宋体" w:cs="宋体"/>
          <w:b/>
          <w:bCs/>
          <w:color w:val="auto"/>
          <w:sz w:val="24"/>
          <w:szCs w:val="24"/>
          <w:highlight w:val="none"/>
          <w:lang w:eastAsia="zh-CN"/>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付款人：岳阳县卫生健康局</w:t>
      </w:r>
    </w:p>
    <w:p w14:paraId="73C19284">
      <w:pPr>
        <w:pStyle w:val="305"/>
        <w:spacing w:line="360" w:lineRule="auto"/>
        <w:rPr>
          <w:rFonts w:hint="default"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付款方式：</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①</w:t>
      </w:r>
      <w:r>
        <w:rPr>
          <w:rFonts w:hint="eastAsia" w:ascii="宋体" w:hAnsi="宋体" w:cs="宋体"/>
          <w:color w:val="auto"/>
          <w:sz w:val="24"/>
          <w:szCs w:val="24"/>
          <w:highlight w:val="none"/>
          <w:lang w:val="en-US" w:eastAsia="zh-CN"/>
        </w:rPr>
        <w:t>本项目代建费第一次拨款为项目正式开工且上级专项资金到位后付总额的30%，乙方向甲方提出书面支付申请和支付凭证，甲方在5个工作日内报请支付；</w:t>
      </w:r>
      <w:r>
        <w:rPr>
          <w:rFonts w:hint="eastAsia" w:ascii="宋体" w:hAnsi="宋体" w:eastAsia="宋体" w:cs="宋体"/>
          <w:color w:val="auto"/>
          <w:sz w:val="24"/>
          <w:szCs w:val="24"/>
          <w:highlight w:val="none"/>
          <w:lang w:val="en-US" w:eastAsia="zh-CN"/>
        </w:rPr>
        <w:t>②</w:t>
      </w:r>
      <w:r>
        <w:rPr>
          <w:rFonts w:hint="eastAsia" w:ascii="宋体" w:hAnsi="宋体" w:cs="宋体"/>
          <w:color w:val="auto"/>
          <w:sz w:val="24"/>
          <w:szCs w:val="24"/>
          <w:highlight w:val="none"/>
          <w:lang w:val="en-US" w:eastAsia="zh-CN"/>
        </w:rPr>
        <w:t>主体验收完成后，乙方向甲方提出书面支付申请和支付凭证，甲方在10个工作日内，报请支付依据批复的初步设计概算核定代建服务费总金额的40%，代建服务费总金额与暂定总金额有差额的，在本次支付中应按预付款情况予以扣减或补足，如扣减不足的，在下一个支付阶段予以扣减；</w:t>
      </w:r>
      <w:r>
        <w:rPr>
          <w:rFonts w:hint="eastAsia" w:ascii="宋体" w:hAnsi="宋体" w:eastAsia="宋体" w:cs="宋体"/>
          <w:color w:val="auto"/>
          <w:sz w:val="24"/>
          <w:szCs w:val="24"/>
          <w:highlight w:val="none"/>
          <w:lang w:val="en-US" w:eastAsia="zh-CN"/>
        </w:rPr>
        <w:t>③</w:t>
      </w:r>
      <w:r>
        <w:rPr>
          <w:rFonts w:hint="eastAsia" w:ascii="宋体" w:hAnsi="宋体" w:cs="宋体"/>
          <w:color w:val="auto"/>
          <w:sz w:val="24"/>
          <w:szCs w:val="24"/>
          <w:highlight w:val="none"/>
          <w:lang w:val="en-US" w:eastAsia="zh-CN"/>
        </w:rPr>
        <w:t>余款代建服务费总额的30%待代建范围內工程结算完成后的30日内付清。</w:t>
      </w:r>
    </w:p>
    <w:p w14:paraId="43FB57BE">
      <w:pPr>
        <w:pStyle w:val="305"/>
        <w:spacing w:line="360" w:lineRule="auto"/>
        <w:rPr>
          <w:rFonts w:hint="eastAsia" w:ascii="宋体" w:hAnsi="宋体" w:eastAsia="宋体" w:cs="宋体"/>
          <w:color w:val="auto"/>
          <w:sz w:val="21"/>
          <w:szCs w:val="21"/>
          <w:highlight w:val="none"/>
        </w:rPr>
      </w:pPr>
    </w:p>
    <w:p w14:paraId="4F59DAFC">
      <w:pPr>
        <w:pStyle w:val="305"/>
        <w:spacing w:line="360" w:lineRule="auto"/>
        <w:rPr>
          <w:rFonts w:hint="eastAsia" w:ascii="宋体" w:hAnsi="宋体" w:eastAsia="宋体" w:cs="宋体"/>
          <w:color w:val="auto"/>
          <w:sz w:val="21"/>
          <w:szCs w:val="21"/>
          <w:highlight w:val="none"/>
        </w:rPr>
      </w:pPr>
    </w:p>
    <w:p w14:paraId="12599051">
      <w:pPr>
        <w:pStyle w:val="305"/>
        <w:spacing w:line="360" w:lineRule="auto"/>
        <w:rPr>
          <w:rFonts w:hint="eastAsia" w:ascii="宋体" w:hAnsi="宋体" w:eastAsia="宋体" w:cs="宋体"/>
          <w:color w:val="auto"/>
          <w:sz w:val="21"/>
          <w:szCs w:val="21"/>
          <w:highlight w:val="none"/>
        </w:rPr>
      </w:pPr>
    </w:p>
    <w:p w14:paraId="4A8E2186">
      <w:pPr>
        <w:spacing w:before="156" w:beforeLines="50" w:line="360" w:lineRule="auto"/>
        <w:jc w:val="center"/>
        <w:rPr>
          <w:rFonts w:hint="eastAsia" w:ascii="宋体" w:hAnsi="宋体" w:cs="宋体"/>
          <w:b/>
          <w:bCs w:val="0"/>
          <w:color w:val="auto"/>
          <w:kern w:val="2"/>
          <w:sz w:val="32"/>
          <w:szCs w:val="32"/>
          <w:highlight w:val="none"/>
          <w:lang w:val="en-US" w:eastAsia="zh-CN" w:bidi="ar-SA"/>
        </w:rPr>
      </w:pPr>
      <w:r>
        <w:rPr>
          <w:rFonts w:hint="eastAsia" w:ascii="宋体" w:hAnsi="宋体" w:cs="宋体"/>
          <w:b/>
          <w:bCs w:val="0"/>
          <w:color w:val="auto"/>
          <w:kern w:val="2"/>
          <w:sz w:val="32"/>
          <w:szCs w:val="32"/>
          <w:highlight w:val="none"/>
          <w:lang w:val="en-US" w:eastAsia="zh-CN" w:bidi="ar-SA"/>
        </w:rPr>
        <w:t>第三节 商务要求</w:t>
      </w:r>
    </w:p>
    <w:p w14:paraId="7C6464B8">
      <w:pPr>
        <w:spacing w:before="156" w:beforeLines="50"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一、违约及赔偿责任</w:t>
      </w:r>
    </w:p>
    <w:p w14:paraId="19F5D8E4">
      <w:pPr>
        <w:spacing w:before="156" w:beforeLines="50"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1.在履行合同过程中发生的下列情况之一的，属中标人方违约：</w:t>
      </w:r>
    </w:p>
    <w:p w14:paraId="53DD69B7">
      <w:pPr>
        <w:spacing w:before="156" w:beforeLines="50"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1.1中标人将代建管理服务的任何部分转让或分包；</w:t>
      </w:r>
    </w:p>
    <w:p w14:paraId="218833C8">
      <w:pPr>
        <w:spacing w:before="156" w:beforeLines="50"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1.2中标人未按承诺及时配备代建项目管理团队人员，或未按约定程序擅自更换项目管理团队人员，或因中标人人员履职水平过低而只能撤换的；</w:t>
      </w:r>
    </w:p>
    <w:p w14:paraId="3586162A">
      <w:pPr>
        <w:spacing w:before="156" w:beforeLines="50"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1.3中标人指令不按政府有效文件确定的建设内容、规模、标准开展项目设计和建设的；</w:t>
      </w:r>
    </w:p>
    <w:p w14:paraId="21ED7740">
      <w:pPr>
        <w:spacing w:before="156" w:beforeLines="50"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1.4中标人未经代建主管部门同意，明确表示不履行或实质上已停止履行合同的；</w:t>
      </w:r>
    </w:p>
    <w:p w14:paraId="42B71096">
      <w:pPr>
        <w:spacing w:before="156" w:beforeLines="50"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1.5中标人在代建过程中的招标、采购、与第三方合同签订履行、代建项目资金财务管理、开工竣工管理、资料文件档案管理等代建管理行为不符合法律法规以及本合同约定的，或代建单位及相关人员因代建事项发生不廉洁行为或损害国家、社会公共利益的；</w:t>
      </w:r>
    </w:p>
    <w:p w14:paraId="4CA63342">
      <w:pPr>
        <w:spacing w:before="156" w:beforeLines="50"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1.6因中标人工作失职，未能保质保量及时完成合同约定的工作，造成代建周期延误或出现安全责任事故或工程质量不合格的；</w:t>
      </w:r>
    </w:p>
    <w:p w14:paraId="7B2A6625">
      <w:pPr>
        <w:spacing w:before="156" w:beforeLines="50"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1.7中标人在实体移交证书颁发前、各单位工程缺陷责任期和保修期内，未采取措施及时做好缺陷修复的；或在实体移交证书颁发后、单位工程缺陷责任期内，中标人未应招标人要求组织做好缺陷修复工作的。</w:t>
      </w:r>
    </w:p>
    <w:p w14:paraId="7CF4573F">
      <w:pPr>
        <w:spacing w:before="156" w:beforeLines="50"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1.8代建范围内的项目决算投资突破经批准的概算的；</w:t>
      </w:r>
    </w:p>
    <w:p w14:paraId="260080E5">
      <w:pPr>
        <w:spacing w:before="156" w:beforeLines="50"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1.9中标人不履行合同其他约定义务的情况。</w:t>
      </w:r>
    </w:p>
    <w:p w14:paraId="185D1D24">
      <w:pPr>
        <w:spacing w:before="156" w:beforeLines="50"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二、违约处理与赔偿责任</w:t>
      </w:r>
    </w:p>
    <w:p w14:paraId="5B7F7D1B">
      <w:pPr>
        <w:spacing w:before="156" w:beforeLines="50"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出现1.1.1.3违约情形的，招标人可根据实际情况报请代建主管部门核实后解除代建合同，或者书面要求中标人3日内改正到位并报请代建主管部门督促中标人整改，如按期改正到位，按相关条款罚收中标人违约金，整改不力的，解除代建合同。出现13.1.2违约情形的，招标人可书面要求中标人3日内改正到位并报请代建主管部门督促中标人整改，整改不力的，解除代建合同。</w:t>
      </w:r>
    </w:p>
    <w:p w14:paraId="6C5429CD">
      <w:pPr>
        <w:spacing w:before="156" w:beforeLines="50"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2.2出现1.4情形或中标人在代建管理中严重违法违纪被追究刑事责任、被责令停业、被吊销许可证或执照的或中标人在代建周期内相关招标采购活动中派人担任评委的，招标人报告代建主管部门后解除代建合同。</w:t>
      </w:r>
    </w:p>
    <w:p w14:paraId="23B52819">
      <w:pPr>
        <w:spacing w:before="156" w:beforeLines="50"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2.3中标人与第三方串通在代建过程中牟取不当利益或损害招标人利益、国家利益的，招标人应报告代建主管部门核实后解除代建合同。情节严重的，依法追究法律责任。</w:t>
      </w:r>
    </w:p>
    <w:p w14:paraId="66A2837E">
      <w:pPr>
        <w:spacing w:before="156" w:beforeLines="50"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2.4中标人违约致使项目投资增加或招标人经济损失的，所增加的项目投资额和造成的招标人直接经济损失需要代建单位赔偿；代建服务费不足的，代建单位从自有资金中赔偿。</w:t>
      </w:r>
    </w:p>
    <w:p w14:paraId="734E8CA0">
      <w:pPr>
        <w:spacing w:before="156" w:beforeLines="50"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2.5中标人违约导致代建周期延长，项目未能按合同约定的代建项目建设工期竣工时，中标人按合同专用条款约定的数额向招标人支付工期延误赔偿，金额按工期提前奖励对等确定。</w:t>
      </w:r>
    </w:p>
    <w:p w14:paraId="456741FB">
      <w:pPr>
        <w:spacing w:before="156" w:beforeLines="50"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2.6代建项目建设发生质量、安全事故中标人被认定承担责任时，中标人应按合同专用条款约定的数额向招标人支付赔偿金。因中标人责任发生较大以上安全责任事故的，招标人还可报告代建主管部门后解除代建合同。</w:t>
      </w:r>
    </w:p>
    <w:p w14:paraId="04CE7B85">
      <w:pPr>
        <w:spacing w:before="156" w:beforeLines="50"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2.7缺陷责任期内，中标人拒不履行缺陷修复有关义务的，按专用条款约定缴纳违约金。</w:t>
      </w:r>
    </w:p>
    <w:p w14:paraId="78FD7293">
      <w:pPr>
        <w:spacing w:before="156" w:beforeLines="50" w:line="360" w:lineRule="auto"/>
        <w:ind w:firstLine="48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kern w:val="2"/>
          <w:sz w:val="24"/>
          <w:szCs w:val="24"/>
          <w:highlight w:val="none"/>
          <w:lang w:val="en-US" w:eastAsia="zh-CN" w:bidi="ar-SA"/>
        </w:rPr>
        <w:t>2.8中标人违约金累计超过履约担保金额时，甲方可向代建主管部门报告后解除合同并要求中标人赔偿由此引起的损失。</w:t>
      </w:r>
    </w:p>
    <w:p w14:paraId="7DAF2BE0">
      <w:pPr>
        <w:numPr>
          <w:ilvl w:val="0"/>
          <w:numId w:val="0"/>
        </w:numPr>
        <w:spacing w:before="0" w:after="0" w:line="360" w:lineRule="auto"/>
        <w:ind w:left="0" w:leftChars="0" w:firstLine="0" w:firstLineChars="0"/>
        <w:jc w:val="center"/>
        <w:outlineLvl w:val="9"/>
        <w:rPr>
          <w:rFonts w:hint="eastAsia" w:ascii="宋体" w:hAnsi="宋体" w:eastAsia="宋体" w:cs="宋体"/>
          <w:b/>
          <w:color w:val="auto"/>
          <w:sz w:val="32"/>
          <w:szCs w:val="32"/>
          <w:highlight w:val="none"/>
        </w:rPr>
      </w:pPr>
      <w:bookmarkStart w:id="327" w:name="_Toc11879751"/>
      <w:bookmarkStart w:id="328" w:name="_Toc11879250"/>
      <w:bookmarkStart w:id="329" w:name="_Toc11879750"/>
      <w:r>
        <w:rPr>
          <w:rFonts w:hint="eastAsia" w:ascii="宋体" w:hAnsi="宋体" w:eastAsia="宋体" w:cs="宋体"/>
          <w:b/>
          <w:color w:val="auto"/>
          <w:sz w:val="32"/>
          <w:szCs w:val="32"/>
          <w:highlight w:val="none"/>
        </w:rPr>
        <w:t>第五章 响应文件组成</w:t>
      </w:r>
      <w:bookmarkEnd w:id="327"/>
      <w:bookmarkEnd w:id="328"/>
      <w:bookmarkEnd w:id="329"/>
    </w:p>
    <w:p w14:paraId="7CCDDCC2">
      <w:pPr>
        <w:spacing w:line="360" w:lineRule="auto"/>
        <w:rPr>
          <w:rFonts w:hint="eastAsia" w:ascii="宋体" w:hAnsi="宋体" w:eastAsia="宋体" w:cs="宋体"/>
          <w:color w:val="auto"/>
          <w:highlight w:val="none"/>
        </w:rPr>
      </w:pPr>
    </w:p>
    <w:p w14:paraId="13B48E0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供应商的响应文件应包含以下</w:t>
      </w:r>
      <w:r>
        <w:rPr>
          <w:rFonts w:hint="eastAsia" w:ascii="宋体" w:hAnsi="宋体" w:eastAsia="宋体" w:cs="宋体"/>
          <w:color w:val="auto"/>
          <w:szCs w:val="21"/>
          <w:highlight w:val="none"/>
          <w:lang w:eastAsia="zh-CN"/>
        </w:rPr>
        <w:t>九</w:t>
      </w:r>
      <w:r>
        <w:rPr>
          <w:rFonts w:hint="eastAsia" w:ascii="宋体" w:hAnsi="宋体" w:eastAsia="宋体" w:cs="宋体"/>
          <w:color w:val="auto"/>
          <w:szCs w:val="21"/>
          <w:highlight w:val="none"/>
        </w:rPr>
        <w:t>个部分：</w:t>
      </w:r>
    </w:p>
    <w:p w14:paraId="4668C684">
      <w:pPr>
        <w:spacing w:line="360" w:lineRule="auto"/>
        <w:rPr>
          <w:rFonts w:hint="eastAsia" w:ascii="宋体" w:hAnsi="宋体" w:eastAsia="宋体" w:cs="宋体"/>
          <w:b/>
          <w:color w:val="auto"/>
          <w:szCs w:val="21"/>
          <w:highlight w:val="none"/>
        </w:rPr>
      </w:pPr>
      <w:bookmarkStart w:id="330" w:name="_Toc11879251"/>
      <w:r>
        <w:rPr>
          <w:rFonts w:hint="eastAsia" w:ascii="宋体" w:hAnsi="宋体" w:eastAsia="宋体" w:cs="宋体"/>
          <w:b/>
          <w:color w:val="auto"/>
          <w:szCs w:val="21"/>
          <w:highlight w:val="none"/>
        </w:rPr>
        <w:t>一、磋商响应声明</w:t>
      </w:r>
      <w:bookmarkEnd w:id="330"/>
    </w:p>
    <w:p w14:paraId="0F3AF4F1">
      <w:pPr>
        <w:spacing w:line="360" w:lineRule="auto"/>
        <w:rPr>
          <w:rFonts w:hint="eastAsia" w:ascii="宋体" w:hAnsi="宋体" w:eastAsia="宋体" w:cs="宋体"/>
          <w:color w:val="auto"/>
          <w:szCs w:val="21"/>
          <w:highlight w:val="none"/>
        </w:rPr>
      </w:pPr>
      <w:bookmarkStart w:id="331" w:name="_Toc11879252"/>
      <w:r>
        <w:rPr>
          <w:rFonts w:hint="eastAsia" w:ascii="宋体" w:hAnsi="宋体" w:eastAsia="宋体" w:cs="宋体"/>
          <w:color w:val="auto"/>
          <w:szCs w:val="21"/>
          <w:highlight w:val="none"/>
        </w:rPr>
        <w:t>附件1：法定代表人身份证明(法定代表人参加磋商)</w:t>
      </w:r>
      <w:bookmarkEnd w:id="331"/>
    </w:p>
    <w:p w14:paraId="1173C590">
      <w:pPr>
        <w:spacing w:line="360" w:lineRule="auto"/>
        <w:rPr>
          <w:rFonts w:hint="eastAsia" w:ascii="宋体" w:hAnsi="宋体" w:eastAsia="宋体" w:cs="宋体"/>
          <w:color w:val="auto"/>
          <w:szCs w:val="21"/>
          <w:highlight w:val="none"/>
        </w:rPr>
      </w:pPr>
      <w:bookmarkStart w:id="332" w:name="_Toc11879253"/>
      <w:r>
        <w:rPr>
          <w:rFonts w:hint="eastAsia" w:ascii="宋体" w:hAnsi="宋体" w:eastAsia="宋体" w:cs="宋体"/>
          <w:color w:val="auto"/>
          <w:szCs w:val="21"/>
          <w:highlight w:val="none"/>
        </w:rPr>
        <w:t>附件2：法定代表人授权书(委托代理人参加磋商)</w:t>
      </w:r>
      <w:bookmarkEnd w:id="332"/>
    </w:p>
    <w:p w14:paraId="4B06F4A2">
      <w:pPr>
        <w:spacing w:line="360" w:lineRule="auto"/>
        <w:rPr>
          <w:rFonts w:hint="eastAsia" w:ascii="宋体" w:hAnsi="宋体" w:eastAsia="宋体" w:cs="宋体"/>
          <w:b/>
          <w:color w:val="auto"/>
          <w:szCs w:val="21"/>
          <w:highlight w:val="none"/>
        </w:rPr>
      </w:pPr>
      <w:bookmarkStart w:id="333" w:name="_Toc11879255"/>
      <w:r>
        <w:rPr>
          <w:rFonts w:hint="eastAsia" w:ascii="宋体" w:hAnsi="宋体" w:eastAsia="宋体" w:cs="宋体"/>
          <w:b/>
          <w:color w:val="auto"/>
          <w:szCs w:val="21"/>
          <w:highlight w:val="none"/>
        </w:rPr>
        <w:t>二、保证金</w:t>
      </w:r>
      <w:bookmarkEnd w:id="333"/>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lang w:val="en-US" w:eastAsia="zh-CN"/>
        </w:rPr>
        <w:t>本项目不需要提供</w:t>
      </w:r>
      <w:r>
        <w:rPr>
          <w:rFonts w:hint="eastAsia" w:ascii="宋体" w:hAnsi="宋体" w:eastAsia="宋体" w:cs="宋体"/>
          <w:b/>
          <w:color w:val="auto"/>
          <w:szCs w:val="21"/>
          <w:highlight w:val="none"/>
          <w:lang w:eastAsia="zh-CN"/>
        </w:rPr>
        <w:t>）</w:t>
      </w:r>
    </w:p>
    <w:p w14:paraId="15A555A1">
      <w:pPr>
        <w:spacing w:line="360" w:lineRule="auto"/>
        <w:rPr>
          <w:rFonts w:hint="eastAsia" w:ascii="宋体" w:hAnsi="宋体" w:eastAsia="宋体" w:cs="宋体"/>
          <w:b/>
          <w:color w:val="auto"/>
          <w:szCs w:val="21"/>
          <w:highlight w:val="none"/>
        </w:rPr>
      </w:pPr>
      <w:bookmarkStart w:id="334" w:name="_Toc11879257"/>
      <w:r>
        <w:rPr>
          <w:rFonts w:hint="eastAsia" w:ascii="宋体" w:hAnsi="宋体" w:eastAsia="宋体" w:cs="宋体"/>
          <w:b/>
          <w:color w:val="auto"/>
          <w:szCs w:val="21"/>
          <w:highlight w:val="none"/>
        </w:rPr>
        <w:t>三、供应商的资格证明材料</w:t>
      </w:r>
      <w:bookmarkEnd w:id="334"/>
    </w:p>
    <w:p w14:paraId="549258BF">
      <w:pPr>
        <w:spacing w:line="360" w:lineRule="auto"/>
        <w:rPr>
          <w:rFonts w:hint="eastAsia" w:ascii="宋体" w:hAnsi="宋体" w:eastAsia="宋体" w:cs="宋体"/>
          <w:color w:val="auto"/>
          <w:szCs w:val="21"/>
          <w:highlight w:val="none"/>
        </w:rPr>
      </w:pPr>
      <w:bookmarkStart w:id="335" w:name="_Toc11879258"/>
      <w:r>
        <w:rPr>
          <w:rFonts w:hint="eastAsia" w:ascii="宋体" w:hAnsi="宋体" w:eastAsia="宋体" w:cs="宋体"/>
          <w:color w:val="auto"/>
          <w:szCs w:val="21"/>
          <w:highlight w:val="none"/>
        </w:rPr>
        <w:t>附件</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：供应商基本情况表</w:t>
      </w:r>
      <w:bookmarkEnd w:id="335"/>
    </w:p>
    <w:p w14:paraId="558258D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磋商文件规定的基本资格条件证明资料</w:t>
      </w:r>
    </w:p>
    <w:p w14:paraId="6B374D48">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4-1：湖南省政府采购供应商</w:t>
      </w:r>
      <w:r>
        <w:rPr>
          <w:rFonts w:hint="eastAsia" w:ascii="宋体" w:hAnsi="宋体" w:eastAsia="宋体" w:cs="宋体"/>
          <w:color w:val="auto"/>
          <w:szCs w:val="21"/>
          <w:highlight w:val="none"/>
          <w:lang w:val="en-US" w:eastAsia="zh-CN"/>
        </w:rPr>
        <w:t>资格承诺函</w:t>
      </w:r>
    </w:p>
    <w:p w14:paraId="7543019C">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磋商文件规定的特定资格条件证明资料</w:t>
      </w:r>
    </w:p>
    <w:p w14:paraId="1C8AC5E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：其他说明</w:t>
      </w:r>
    </w:p>
    <w:p w14:paraId="4BDAB9BC">
      <w:pPr>
        <w:numPr>
          <w:ilvl w:val="0"/>
          <w:numId w:val="10"/>
        </w:numPr>
        <w:spacing w:line="360" w:lineRule="auto"/>
        <w:rPr>
          <w:rFonts w:hint="eastAsia" w:ascii="宋体" w:hAnsi="宋体" w:eastAsia="宋体" w:cs="宋体"/>
          <w:b/>
          <w:color w:val="auto"/>
          <w:highlight w:val="none"/>
        </w:rPr>
      </w:pPr>
      <w:bookmarkStart w:id="336" w:name="_Toc28942"/>
      <w:bookmarkStart w:id="337" w:name="_Toc11879261"/>
      <w:r>
        <w:rPr>
          <w:rFonts w:hint="eastAsia" w:ascii="宋体" w:hAnsi="宋体" w:eastAsia="宋体" w:cs="宋体"/>
          <w:b/>
          <w:color w:val="auto"/>
          <w:highlight w:val="none"/>
          <w:lang w:val="en-US" w:eastAsia="zh-CN"/>
        </w:rPr>
        <w:t>服务</w:t>
      </w:r>
      <w:r>
        <w:rPr>
          <w:rFonts w:hint="eastAsia" w:ascii="宋体" w:hAnsi="宋体" w:eastAsia="宋体" w:cs="宋体"/>
          <w:b/>
          <w:color w:val="auto"/>
          <w:highlight w:val="none"/>
        </w:rPr>
        <w:t>方案</w:t>
      </w:r>
      <w:bookmarkEnd w:id="336"/>
    </w:p>
    <w:p w14:paraId="517C74D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主要人员简历表</w:t>
      </w:r>
    </w:p>
    <w:bookmarkEnd w:id="337"/>
    <w:p w14:paraId="4C776EFD">
      <w:pPr>
        <w:spacing w:line="360" w:lineRule="auto"/>
        <w:rPr>
          <w:rFonts w:hint="eastAsia" w:ascii="宋体" w:hAnsi="宋体" w:eastAsia="宋体" w:cs="宋体"/>
          <w:b/>
          <w:color w:val="auto"/>
          <w:szCs w:val="21"/>
          <w:highlight w:val="none"/>
        </w:rPr>
      </w:pPr>
      <w:bookmarkStart w:id="338" w:name="_Toc11879263"/>
      <w:r>
        <w:rPr>
          <w:rFonts w:hint="eastAsia" w:ascii="宋体" w:hAnsi="宋体" w:eastAsia="宋体" w:cs="宋体"/>
          <w:b/>
          <w:color w:val="auto"/>
          <w:szCs w:val="21"/>
          <w:highlight w:val="none"/>
        </w:rPr>
        <w:t>五、技术/商务响应与偏离表</w:t>
      </w:r>
      <w:bookmarkEnd w:id="338"/>
    </w:p>
    <w:p w14:paraId="29720EBE">
      <w:pPr>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六、提供政府采购政策产品等证明材料</w:t>
      </w:r>
    </w:p>
    <w:p w14:paraId="4A56B35B">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：中小企业声明函</w:t>
      </w:r>
    </w:p>
    <w:p w14:paraId="5514187D">
      <w:pPr>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七、报价一览表及报价文件</w:t>
      </w:r>
    </w:p>
    <w:p w14:paraId="6B026470">
      <w:pPr>
        <w:spacing w:line="360" w:lineRule="auto"/>
        <w:rPr>
          <w:rFonts w:hint="eastAsia" w:ascii="宋体" w:hAnsi="宋体" w:eastAsia="宋体" w:cs="宋体"/>
          <w:color w:val="auto"/>
          <w:szCs w:val="21"/>
          <w:highlight w:val="none"/>
        </w:rPr>
      </w:pPr>
      <w:bookmarkStart w:id="339" w:name="_Toc11879264"/>
      <w:r>
        <w:rPr>
          <w:rFonts w:hint="eastAsia" w:ascii="宋体" w:hAnsi="宋体" w:eastAsia="宋体" w:cs="宋体"/>
          <w:color w:val="auto"/>
          <w:szCs w:val="21"/>
          <w:highlight w:val="none"/>
        </w:rPr>
        <w:t>附件</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：报价一览表</w:t>
      </w:r>
      <w:bookmarkEnd w:id="339"/>
    </w:p>
    <w:p w14:paraId="6D413D6B">
      <w:pPr>
        <w:spacing w:line="360" w:lineRule="auto"/>
        <w:rPr>
          <w:rFonts w:hint="eastAsia" w:ascii="宋体" w:hAnsi="宋体" w:eastAsia="宋体" w:cs="宋体"/>
          <w:color w:val="auto"/>
          <w:szCs w:val="21"/>
          <w:highlight w:val="none"/>
        </w:rPr>
      </w:pPr>
      <w:bookmarkStart w:id="340" w:name="_Toc11879265"/>
      <w:r>
        <w:rPr>
          <w:rFonts w:hint="eastAsia" w:ascii="宋体" w:hAnsi="宋体" w:eastAsia="宋体" w:cs="宋体"/>
          <w:color w:val="auto"/>
          <w:szCs w:val="21"/>
          <w:highlight w:val="none"/>
        </w:rPr>
        <w:t>附件</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：报价文件</w:t>
      </w:r>
      <w:bookmarkEnd w:id="340"/>
    </w:p>
    <w:p w14:paraId="1E604B2F">
      <w:pPr>
        <w:keepNext w:val="0"/>
        <w:keepLines w:val="0"/>
        <w:pageBreakBefore w:val="0"/>
        <w:widowControl w:val="0"/>
        <w:numPr>
          <w:ilvl w:val="0"/>
          <w:numId w:val="11"/>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供应商认为需提供的其它资料</w:t>
      </w:r>
    </w:p>
    <w:p w14:paraId="47A4CB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九、最后报价</w:t>
      </w:r>
    </w:p>
    <w:p w14:paraId="414F56F9">
      <w:pPr>
        <w:adjustRightInd w:val="0"/>
        <w:snapToGrid w:val="0"/>
        <w:spacing w:line="360" w:lineRule="auto"/>
        <w:rPr>
          <w:rFonts w:hint="eastAsia" w:ascii="宋体" w:hAnsi="宋体" w:eastAsia="宋体" w:cs="宋体"/>
          <w:color w:val="auto"/>
          <w:kern w:val="0"/>
          <w:szCs w:val="21"/>
          <w:highlight w:val="none"/>
        </w:rPr>
      </w:pPr>
    </w:p>
    <w:p w14:paraId="442B93D2">
      <w:pPr>
        <w:adjustRightInd w:val="0"/>
        <w:snapToGrid w:val="0"/>
        <w:spacing w:line="360" w:lineRule="auto"/>
        <w:rPr>
          <w:rFonts w:hint="eastAsia" w:ascii="宋体" w:hAnsi="宋体" w:eastAsia="宋体" w:cs="宋体"/>
          <w:color w:val="auto"/>
          <w:kern w:val="0"/>
          <w:szCs w:val="21"/>
          <w:highlight w:val="none"/>
        </w:rPr>
      </w:pPr>
    </w:p>
    <w:p w14:paraId="586C952C">
      <w:pPr>
        <w:adjustRightInd w:val="0"/>
        <w:snapToGrid w:val="0"/>
        <w:spacing w:line="360" w:lineRule="auto"/>
        <w:rPr>
          <w:rFonts w:hint="eastAsia" w:ascii="宋体" w:hAnsi="宋体" w:eastAsia="宋体" w:cs="宋体"/>
          <w:color w:val="auto"/>
          <w:kern w:val="0"/>
          <w:szCs w:val="21"/>
          <w:highlight w:val="none"/>
        </w:rPr>
      </w:pPr>
    </w:p>
    <w:p w14:paraId="66CBC085">
      <w:pPr>
        <w:adjustRightInd w:val="0"/>
        <w:snapToGrid w:val="0"/>
        <w:spacing w:line="360" w:lineRule="auto"/>
        <w:rPr>
          <w:rFonts w:hint="eastAsia" w:ascii="宋体" w:hAnsi="宋体" w:eastAsia="宋体" w:cs="宋体"/>
          <w:color w:val="auto"/>
          <w:kern w:val="0"/>
          <w:szCs w:val="21"/>
          <w:highlight w:val="none"/>
        </w:rPr>
      </w:pPr>
    </w:p>
    <w:p w14:paraId="22E528CE">
      <w:pPr>
        <w:adjustRightInd w:val="0"/>
        <w:snapToGrid w:val="0"/>
        <w:spacing w:line="360" w:lineRule="auto"/>
        <w:rPr>
          <w:rFonts w:hint="eastAsia" w:ascii="宋体" w:hAnsi="宋体" w:eastAsia="宋体" w:cs="宋体"/>
          <w:color w:val="auto"/>
          <w:kern w:val="0"/>
          <w:szCs w:val="21"/>
          <w:highlight w:val="none"/>
        </w:rPr>
      </w:pPr>
    </w:p>
    <w:p w14:paraId="2CA27151">
      <w:pPr>
        <w:adjustRightInd w:val="0"/>
        <w:snapToGrid w:val="0"/>
        <w:spacing w:line="360" w:lineRule="auto"/>
        <w:rPr>
          <w:rFonts w:hint="eastAsia" w:ascii="宋体" w:hAnsi="宋体" w:eastAsia="宋体" w:cs="宋体"/>
          <w:color w:val="auto"/>
          <w:kern w:val="0"/>
          <w:szCs w:val="21"/>
          <w:highlight w:val="none"/>
        </w:rPr>
      </w:pPr>
    </w:p>
    <w:p w14:paraId="5F9209C7">
      <w:pPr>
        <w:adjustRightInd w:val="0"/>
        <w:snapToGrid w:val="0"/>
        <w:spacing w:line="360" w:lineRule="auto"/>
        <w:rPr>
          <w:rFonts w:hint="eastAsia" w:ascii="宋体" w:hAnsi="宋体" w:eastAsia="宋体" w:cs="宋体"/>
          <w:color w:val="auto"/>
          <w:kern w:val="0"/>
          <w:szCs w:val="21"/>
          <w:highlight w:val="none"/>
        </w:rPr>
      </w:pPr>
    </w:p>
    <w:p w14:paraId="763CB08B">
      <w:pPr>
        <w:rPr>
          <w:rFonts w:hint="eastAsia" w:ascii="宋体" w:hAnsi="宋体" w:eastAsia="宋体" w:cs="宋体"/>
          <w:b/>
          <w:bCs/>
          <w:color w:val="auto"/>
          <w:sz w:val="72"/>
          <w:szCs w:val="72"/>
          <w:highlight w:val="none"/>
        </w:rPr>
      </w:pPr>
      <w:r>
        <w:rPr>
          <w:rFonts w:hint="eastAsia" w:ascii="宋体" w:hAnsi="宋体" w:eastAsia="宋体" w:cs="宋体"/>
          <w:color w:val="auto"/>
          <w:kern w:val="0"/>
          <w:szCs w:val="21"/>
          <w:highlight w:val="none"/>
        </w:rPr>
        <w:br w:type="page"/>
      </w:r>
    </w:p>
    <w:p w14:paraId="2A09CD88">
      <w:pPr>
        <w:pStyle w:val="23"/>
        <w:adjustRightInd w:val="0"/>
        <w:snapToGrid w:val="0"/>
        <w:spacing w:line="360" w:lineRule="auto"/>
        <w:jc w:val="both"/>
        <w:outlineLvl w:val="0"/>
        <w:rPr>
          <w:rFonts w:hint="eastAsia" w:ascii="宋体" w:hAnsi="宋体" w:eastAsia="宋体" w:cs="宋体"/>
          <w:b/>
          <w:bCs/>
          <w:color w:val="auto"/>
          <w:sz w:val="72"/>
          <w:szCs w:val="72"/>
          <w:highlight w:val="none"/>
        </w:rPr>
      </w:pPr>
      <w:bookmarkStart w:id="341" w:name="_Toc17206"/>
      <w:bookmarkStart w:id="342" w:name="_Toc2073"/>
      <w:bookmarkStart w:id="343" w:name="_Toc12780"/>
    </w:p>
    <w:p w14:paraId="667A2F32">
      <w:pPr>
        <w:pStyle w:val="23"/>
        <w:adjustRightInd w:val="0"/>
        <w:snapToGrid w:val="0"/>
        <w:spacing w:line="360" w:lineRule="auto"/>
        <w:jc w:val="center"/>
        <w:outlineLvl w:val="0"/>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政府采购</w:t>
      </w:r>
      <w:bookmarkEnd w:id="341"/>
      <w:bookmarkEnd w:id="342"/>
      <w:bookmarkEnd w:id="343"/>
    </w:p>
    <w:p w14:paraId="7F26667E">
      <w:pPr>
        <w:adjustRightInd w:val="0"/>
        <w:snapToGrid w:val="0"/>
        <w:spacing w:line="360" w:lineRule="auto"/>
        <w:jc w:val="center"/>
        <w:outlineLvl w:val="0"/>
        <w:rPr>
          <w:rFonts w:hint="eastAsia" w:ascii="宋体" w:hAnsi="宋体" w:eastAsia="宋体" w:cs="宋体"/>
          <w:b/>
          <w:bCs/>
          <w:color w:val="auto"/>
          <w:sz w:val="84"/>
          <w:szCs w:val="84"/>
          <w:highlight w:val="none"/>
        </w:rPr>
      </w:pPr>
      <w:bookmarkStart w:id="344" w:name="_Toc19368"/>
      <w:bookmarkStart w:id="345" w:name="_Toc14509"/>
      <w:bookmarkStart w:id="346" w:name="_Toc22520"/>
      <w:r>
        <w:rPr>
          <w:rFonts w:hint="eastAsia" w:ascii="宋体" w:hAnsi="宋体" w:eastAsia="宋体" w:cs="宋体"/>
          <w:b/>
          <w:bCs/>
          <w:color w:val="auto"/>
          <w:sz w:val="84"/>
          <w:szCs w:val="84"/>
          <w:highlight w:val="none"/>
        </w:rPr>
        <w:t>响 应 文 件</w:t>
      </w:r>
      <w:bookmarkEnd w:id="344"/>
      <w:bookmarkEnd w:id="345"/>
      <w:bookmarkEnd w:id="346"/>
    </w:p>
    <w:p w14:paraId="49C99846">
      <w:pPr>
        <w:adjustRightInd w:val="0"/>
        <w:snapToGrid w:val="0"/>
        <w:spacing w:line="360" w:lineRule="auto"/>
        <w:rPr>
          <w:rFonts w:hint="eastAsia" w:ascii="宋体" w:hAnsi="宋体" w:eastAsia="宋体" w:cs="宋体"/>
          <w:b/>
          <w:color w:val="auto"/>
          <w:sz w:val="32"/>
          <w:szCs w:val="32"/>
          <w:highlight w:val="none"/>
        </w:rPr>
      </w:pPr>
    </w:p>
    <w:p w14:paraId="4C725C43">
      <w:pPr>
        <w:adjustRightInd w:val="0"/>
        <w:snapToGrid w:val="0"/>
        <w:spacing w:line="360" w:lineRule="auto"/>
        <w:rPr>
          <w:rFonts w:hint="eastAsia" w:ascii="宋体" w:hAnsi="宋体" w:eastAsia="宋体" w:cs="宋体"/>
          <w:b/>
          <w:color w:val="auto"/>
          <w:sz w:val="30"/>
          <w:szCs w:val="30"/>
          <w:highlight w:val="none"/>
        </w:rPr>
      </w:pPr>
    </w:p>
    <w:p w14:paraId="42621905">
      <w:pPr>
        <w:pStyle w:val="23"/>
        <w:adjustRightInd w:val="0"/>
        <w:snapToGrid w:val="0"/>
        <w:spacing w:line="360" w:lineRule="auto"/>
        <w:ind w:left="1898" w:leftChars="904" w:firstLine="0" w:firstLineChars="0"/>
        <w:jc w:val="left"/>
        <w:outlineLvl w:val="0"/>
        <w:rPr>
          <w:rFonts w:hint="eastAsia" w:ascii="宋体" w:hAnsi="宋体" w:eastAsia="宋体" w:cs="宋体"/>
          <w:b/>
          <w:bCs/>
          <w:color w:val="auto"/>
          <w:sz w:val="30"/>
          <w:szCs w:val="30"/>
          <w:highlight w:val="none"/>
          <w:u w:val="single"/>
          <w:lang w:val="en-US" w:eastAsia="zh-CN"/>
        </w:rPr>
      </w:pPr>
      <w:bookmarkStart w:id="347" w:name="_Toc5580"/>
      <w:bookmarkStart w:id="348" w:name="_Toc16001"/>
      <w:bookmarkStart w:id="349" w:name="_Toc2266"/>
      <w:r>
        <w:rPr>
          <w:rFonts w:hint="eastAsia" w:ascii="宋体" w:hAnsi="宋体" w:eastAsia="宋体" w:cs="宋体"/>
          <w:b/>
          <w:bCs/>
          <w:color w:val="auto"/>
          <w:sz w:val="30"/>
          <w:szCs w:val="30"/>
          <w:highlight w:val="none"/>
        </w:rPr>
        <w:t>采购项目名称</w:t>
      </w:r>
      <w:bookmarkEnd w:id="347"/>
      <w:bookmarkEnd w:id="348"/>
      <w:r>
        <w:rPr>
          <w:rFonts w:hint="eastAsia" w:ascii="宋体" w:hAnsi="宋体" w:eastAsia="宋体" w:cs="宋体"/>
          <w:b/>
          <w:bCs/>
          <w:color w:val="auto"/>
          <w:sz w:val="30"/>
          <w:szCs w:val="30"/>
          <w:highlight w:val="none"/>
          <w:lang w:eastAsia="zh-CN"/>
        </w:rPr>
        <w:t>：</w:t>
      </w:r>
      <w:bookmarkEnd w:id="349"/>
      <w:bookmarkStart w:id="350" w:name="_Toc5608"/>
      <w:bookmarkStart w:id="351" w:name="_Toc25482"/>
      <w:bookmarkStart w:id="352" w:name="_Toc16838"/>
      <w:r>
        <w:rPr>
          <w:rFonts w:hint="eastAsia" w:ascii="宋体" w:hAnsi="宋体" w:eastAsia="宋体" w:cs="宋体"/>
          <w:b/>
          <w:bCs/>
          <w:color w:val="auto"/>
          <w:sz w:val="30"/>
          <w:szCs w:val="30"/>
          <w:highlight w:val="none"/>
          <w:u w:val="single"/>
          <w:lang w:val="en-US" w:eastAsia="zh-CN"/>
        </w:rPr>
        <w:t xml:space="preserve">                        </w:t>
      </w:r>
    </w:p>
    <w:p w14:paraId="5577F8F1">
      <w:pPr>
        <w:pStyle w:val="23"/>
        <w:adjustRightInd w:val="0"/>
        <w:snapToGrid w:val="0"/>
        <w:spacing w:line="360" w:lineRule="auto"/>
        <w:ind w:left="1898" w:leftChars="904" w:firstLine="0" w:firstLineChars="0"/>
        <w:jc w:val="left"/>
        <w:outlineLvl w:val="0"/>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采   购   人</w:t>
      </w:r>
      <w:bookmarkEnd w:id="350"/>
      <w:bookmarkEnd w:id="351"/>
      <w:r>
        <w:rPr>
          <w:rFonts w:hint="eastAsia" w:ascii="宋体" w:hAnsi="宋体" w:eastAsia="宋体" w:cs="宋体"/>
          <w:b/>
          <w:bCs/>
          <w:color w:val="auto"/>
          <w:sz w:val="30"/>
          <w:szCs w:val="30"/>
          <w:highlight w:val="none"/>
          <w:lang w:eastAsia="zh-CN"/>
        </w:rPr>
        <w:t>：</w:t>
      </w:r>
      <w:bookmarkEnd w:id="352"/>
      <w:r>
        <w:rPr>
          <w:rFonts w:hint="eastAsia" w:ascii="宋体" w:hAnsi="宋体" w:eastAsia="宋体" w:cs="宋体"/>
          <w:b/>
          <w:bCs/>
          <w:color w:val="auto"/>
          <w:sz w:val="30"/>
          <w:szCs w:val="30"/>
          <w:highlight w:val="none"/>
          <w:u w:val="single"/>
        </w:rPr>
        <w:t xml:space="preserve">                     </w:t>
      </w:r>
      <w:r>
        <w:rPr>
          <w:rFonts w:hint="eastAsia" w:ascii="宋体" w:hAnsi="宋体" w:eastAsia="宋体" w:cs="宋体"/>
          <w:b/>
          <w:bCs/>
          <w:color w:val="auto"/>
          <w:sz w:val="30"/>
          <w:szCs w:val="30"/>
          <w:highlight w:val="none"/>
          <w:u w:val="single"/>
          <w:lang w:val="en-US" w:eastAsia="zh-CN"/>
        </w:rPr>
        <w:t xml:space="preserve"> </w:t>
      </w:r>
      <w:r>
        <w:rPr>
          <w:rFonts w:hint="eastAsia" w:ascii="宋体" w:hAnsi="宋体" w:eastAsia="宋体" w:cs="宋体"/>
          <w:b/>
          <w:bCs/>
          <w:color w:val="auto"/>
          <w:sz w:val="30"/>
          <w:szCs w:val="30"/>
          <w:highlight w:val="none"/>
          <w:u w:val="single"/>
        </w:rPr>
        <w:t xml:space="preserve">  </w:t>
      </w:r>
    </w:p>
    <w:p w14:paraId="3E2D293E">
      <w:pPr>
        <w:pStyle w:val="23"/>
        <w:adjustRightInd w:val="0"/>
        <w:snapToGrid w:val="0"/>
        <w:spacing w:line="360" w:lineRule="auto"/>
        <w:ind w:left="1898" w:leftChars="904" w:firstLine="0" w:firstLineChars="0"/>
        <w:jc w:val="left"/>
        <w:outlineLvl w:val="0"/>
        <w:rPr>
          <w:rFonts w:hint="eastAsia" w:ascii="宋体" w:hAnsi="宋体" w:eastAsia="宋体" w:cs="宋体"/>
          <w:b/>
          <w:bCs/>
          <w:color w:val="auto"/>
          <w:sz w:val="30"/>
          <w:szCs w:val="30"/>
          <w:highlight w:val="none"/>
          <w:u w:val="single"/>
          <w:lang w:val="en-US" w:eastAsia="zh-CN"/>
        </w:rPr>
      </w:pPr>
      <w:bookmarkStart w:id="353" w:name="_Toc27932"/>
      <w:r>
        <w:rPr>
          <w:rFonts w:hint="eastAsia" w:hAnsi="宋体" w:cs="Courier New"/>
          <w:b/>
          <w:bCs/>
          <w:color w:val="auto"/>
          <w:kern w:val="2"/>
          <w:sz w:val="32"/>
          <w:szCs w:val="32"/>
          <w:highlight w:val="none"/>
          <w:lang w:val="en-US" w:eastAsia="zh-CN" w:bidi="ar-SA"/>
        </w:rPr>
        <w:t>采购计划编号</w:t>
      </w:r>
      <w:r>
        <w:rPr>
          <w:rFonts w:hint="eastAsia" w:ascii="宋体" w:hAnsi="宋体" w:eastAsia="宋体" w:cs="宋体"/>
          <w:b/>
          <w:bCs/>
          <w:color w:val="auto"/>
          <w:sz w:val="30"/>
          <w:szCs w:val="30"/>
          <w:highlight w:val="none"/>
          <w:lang w:eastAsia="zh-CN"/>
        </w:rPr>
        <w:t>：</w:t>
      </w:r>
      <w:bookmarkEnd w:id="353"/>
      <w:r>
        <w:rPr>
          <w:rFonts w:hint="eastAsia" w:ascii="宋体" w:hAnsi="宋体" w:eastAsia="宋体" w:cs="宋体"/>
          <w:b/>
          <w:bCs/>
          <w:color w:val="auto"/>
          <w:sz w:val="30"/>
          <w:szCs w:val="30"/>
          <w:highlight w:val="none"/>
          <w:lang w:val="en-US" w:eastAsia="zh-CN"/>
        </w:rPr>
        <w:t xml:space="preserve"> </w:t>
      </w:r>
      <w:r>
        <w:rPr>
          <w:rFonts w:hint="eastAsia" w:ascii="宋体" w:hAnsi="宋体" w:eastAsia="宋体" w:cs="宋体"/>
          <w:b/>
          <w:bCs/>
          <w:color w:val="auto"/>
          <w:sz w:val="30"/>
          <w:szCs w:val="30"/>
          <w:highlight w:val="none"/>
          <w:u w:val="single"/>
        </w:rPr>
        <w:t xml:space="preserve">                  </w:t>
      </w:r>
      <w:r>
        <w:rPr>
          <w:rFonts w:hint="eastAsia" w:ascii="宋体" w:hAnsi="宋体" w:eastAsia="宋体" w:cs="宋体"/>
          <w:b/>
          <w:bCs/>
          <w:color w:val="auto"/>
          <w:sz w:val="30"/>
          <w:szCs w:val="30"/>
          <w:highlight w:val="none"/>
          <w:u w:val="single"/>
          <w:lang w:val="en-US" w:eastAsia="zh-CN"/>
        </w:rPr>
        <w:t xml:space="preserve"> </w:t>
      </w:r>
    </w:p>
    <w:p w14:paraId="331CFEB8">
      <w:pPr>
        <w:pStyle w:val="23"/>
        <w:adjustRightInd w:val="0"/>
        <w:snapToGrid w:val="0"/>
        <w:spacing w:line="360" w:lineRule="auto"/>
        <w:ind w:left="1898" w:leftChars="904" w:firstLine="0" w:firstLineChars="0"/>
        <w:jc w:val="left"/>
        <w:outlineLvl w:val="0"/>
        <w:rPr>
          <w:rFonts w:hint="eastAsia" w:ascii="宋体" w:hAnsi="宋体" w:eastAsia="宋体" w:cs="宋体"/>
          <w:b/>
          <w:bCs/>
          <w:color w:val="auto"/>
          <w:sz w:val="30"/>
          <w:szCs w:val="30"/>
          <w:highlight w:val="none"/>
          <w:u w:val="single"/>
        </w:rPr>
      </w:pPr>
      <w:bookmarkStart w:id="354" w:name="_Toc12666"/>
      <w:r>
        <w:rPr>
          <w:rFonts w:hint="eastAsia" w:ascii="宋体" w:hAnsi="宋体" w:eastAsia="宋体" w:cs="Courier New"/>
          <w:b/>
          <w:bCs/>
          <w:color w:val="auto"/>
          <w:kern w:val="2"/>
          <w:sz w:val="32"/>
          <w:szCs w:val="32"/>
          <w:highlight w:val="none"/>
          <w:lang w:val="en-US" w:eastAsia="zh-CN" w:bidi="ar-SA"/>
        </w:rPr>
        <w:t>采购项目编号</w:t>
      </w:r>
      <w:r>
        <w:rPr>
          <w:rFonts w:hint="eastAsia" w:ascii="宋体" w:hAnsi="宋体" w:eastAsia="宋体" w:cs="宋体"/>
          <w:b/>
          <w:bCs/>
          <w:color w:val="auto"/>
          <w:sz w:val="30"/>
          <w:szCs w:val="30"/>
          <w:highlight w:val="none"/>
          <w:lang w:eastAsia="zh-CN"/>
        </w:rPr>
        <w:t>：</w:t>
      </w:r>
      <w:bookmarkEnd w:id="354"/>
      <w:r>
        <w:rPr>
          <w:rFonts w:hint="eastAsia" w:ascii="宋体" w:hAnsi="宋体" w:eastAsia="宋体" w:cs="宋体"/>
          <w:b/>
          <w:bCs/>
          <w:color w:val="auto"/>
          <w:sz w:val="30"/>
          <w:szCs w:val="30"/>
          <w:highlight w:val="none"/>
          <w:u w:val="single"/>
        </w:rPr>
        <w:t xml:space="preserve">                    </w:t>
      </w:r>
      <w:r>
        <w:rPr>
          <w:rFonts w:hint="eastAsia" w:ascii="宋体" w:hAnsi="宋体" w:eastAsia="宋体" w:cs="宋体"/>
          <w:b/>
          <w:bCs/>
          <w:color w:val="auto"/>
          <w:sz w:val="30"/>
          <w:szCs w:val="30"/>
          <w:highlight w:val="none"/>
          <w:u w:val="single"/>
          <w:lang w:val="en-US" w:eastAsia="zh-CN"/>
        </w:rPr>
        <w:t xml:space="preserve"> </w:t>
      </w:r>
      <w:r>
        <w:rPr>
          <w:rFonts w:hint="eastAsia" w:ascii="宋体" w:hAnsi="宋体" w:eastAsia="宋体" w:cs="宋体"/>
          <w:b/>
          <w:bCs/>
          <w:color w:val="auto"/>
          <w:sz w:val="30"/>
          <w:szCs w:val="30"/>
          <w:highlight w:val="none"/>
          <w:u w:val="single"/>
        </w:rPr>
        <w:t xml:space="preserve">   </w:t>
      </w:r>
    </w:p>
    <w:p w14:paraId="26ACE660">
      <w:pPr>
        <w:adjustRightInd w:val="0"/>
        <w:snapToGrid w:val="0"/>
        <w:spacing w:line="360" w:lineRule="auto"/>
        <w:rPr>
          <w:rFonts w:hint="eastAsia" w:ascii="宋体" w:hAnsi="宋体" w:eastAsia="宋体" w:cs="宋体"/>
          <w:color w:val="auto"/>
          <w:sz w:val="30"/>
          <w:szCs w:val="30"/>
          <w:highlight w:val="none"/>
        </w:rPr>
      </w:pPr>
    </w:p>
    <w:p w14:paraId="4F47F896">
      <w:pPr>
        <w:adjustRightInd w:val="0"/>
        <w:snapToGrid w:val="0"/>
        <w:rPr>
          <w:rFonts w:hint="eastAsia" w:ascii="宋体" w:hAnsi="宋体" w:eastAsia="宋体" w:cs="宋体"/>
          <w:color w:val="auto"/>
          <w:sz w:val="30"/>
          <w:szCs w:val="30"/>
          <w:highlight w:val="none"/>
        </w:rPr>
      </w:pPr>
    </w:p>
    <w:p w14:paraId="35727B32">
      <w:pPr>
        <w:adjustRightInd w:val="0"/>
        <w:snapToGrid w:val="0"/>
        <w:spacing w:line="360" w:lineRule="auto"/>
        <w:rPr>
          <w:rFonts w:hint="eastAsia" w:ascii="宋体" w:hAnsi="宋体" w:eastAsia="宋体" w:cs="宋体"/>
          <w:color w:val="auto"/>
          <w:sz w:val="30"/>
          <w:szCs w:val="30"/>
          <w:highlight w:val="none"/>
        </w:rPr>
      </w:pPr>
    </w:p>
    <w:p w14:paraId="08B18210">
      <w:pPr>
        <w:adjustRightInd w:val="0"/>
        <w:snapToGrid w:val="0"/>
        <w:spacing w:line="360" w:lineRule="auto"/>
        <w:rPr>
          <w:rFonts w:hint="eastAsia" w:ascii="宋体" w:hAnsi="宋体" w:eastAsia="宋体" w:cs="宋体"/>
          <w:color w:val="auto"/>
          <w:sz w:val="30"/>
          <w:szCs w:val="30"/>
          <w:highlight w:val="none"/>
        </w:rPr>
      </w:pPr>
    </w:p>
    <w:p w14:paraId="57690027">
      <w:pPr>
        <w:adjustRightInd w:val="0"/>
        <w:snapToGrid w:val="0"/>
        <w:spacing w:line="360" w:lineRule="auto"/>
        <w:rPr>
          <w:rFonts w:hint="eastAsia" w:ascii="宋体" w:hAnsi="宋体" w:eastAsia="宋体" w:cs="宋体"/>
          <w:color w:val="auto"/>
          <w:sz w:val="30"/>
          <w:szCs w:val="30"/>
          <w:highlight w:val="none"/>
        </w:rPr>
      </w:pPr>
    </w:p>
    <w:p w14:paraId="388AE23E">
      <w:pPr>
        <w:adjustRightInd w:val="0"/>
        <w:snapToGrid w:val="0"/>
        <w:spacing w:line="360" w:lineRule="auto"/>
        <w:ind w:firstLine="1992" w:firstLineChars="620"/>
        <w:outlineLvl w:val="0"/>
        <w:rPr>
          <w:rFonts w:hint="eastAsia" w:ascii="宋体" w:hAnsi="宋体" w:eastAsia="宋体" w:cs="宋体"/>
          <w:b/>
          <w:bCs/>
          <w:color w:val="auto"/>
          <w:sz w:val="32"/>
          <w:szCs w:val="32"/>
          <w:highlight w:val="none"/>
          <w:u w:val="single"/>
          <w:lang w:eastAsia="zh-CN"/>
        </w:rPr>
      </w:pPr>
      <w:bookmarkStart w:id="355" w:name="_Toc7693"/>
      <w:bookmarkStart w:id="356" w:name="_Toc12115"/>
      <w:bookmarkStart w:id="357" w:name="_Toc30510"/>
      <w:r>
        <w:rPr>
          <w:rFonts w:hint="eastAsia" w:ascii="宋体" w:hAnsi="宋体" w:eastAsia="宋体" w:cs="宋体"/>
          <w:b/>
          <w:bCs/>
          <w:color w:val="auto"/>
          <w:sz w:val="32"/>
          <w:szCs w:val="32"/>
          <w:highlight w:val="none"/>
        </w:rPr>
        <w:t>供应商</w:t>
      </w:r>
      <w:bookmarkEnd w:id="355"/>
      <w:bookmarkEnd w:id="356"/>
      <w:r>
        <w:rPr>
          <w:rFonts w:hint="eastAsia" w:ascii="宋体" w:hAnsi="宋体" w:eastAsia="宋体" w:cs="宋体"/>
          <w:b/>
          <w:bCs/>
          <w:color w:val="auto"/>
          <w:sz w:val="32"/>
          <w:szCs w:val="32"/>
          <w:highlight w:val="none"/>
          <w:lang w:eastAsia="zh-CN"/>
        </w:rPr>
        <w:t>：</w:t>
      </w:r>
      <w:bookmarkEnd w:id="357"/>
      <w:r>
        <w:rPr>
          <w:rFonts w:hint="eastAsia" w:ascii="宋体" w:hAnsi="宋体" w:eastAsia="宋体" w:cs="宋体"/>
          <w:b/>
          <w:bCs/>
          <w:color w:val="auto"/>
          <w:sz w:val="30"/>
          <w:szCs w:val="30"/>
          <w:highlight w:val="none"/>
          <w:u w:val="single"/>
        </w:rPr>
        <w:t xml:space="preserve">                       </w:t>
      </w:r>
    </w:p>
    <w:p w14:paraId="067EB721">
      <w:pPr>
        <w:jc w:val="both"/>
        <w:outlineLvl w:val="9"/>
        <w:rPr>
          <w:rFonts w:hint="eastAsia" w:ascii="宋体" w:hAnsi="宋体" w:eastAsia="宋体" w:cs="宋体"/>
          <w:b/>
          <w:bCs/>
          <w:color w:val="auto"/>
          <w:sz w:val="32"/>
          <w:szCs w:val="32"/>
          <w:highlight w:val="none"/>
        </w:rPr>
      </w:pPr>
      <w:bookmarkStart w:id="358" w:name="_Toc6698"/>
      <w:bookmarkStart w:id="359" w:name="_Toc11755"/>
    </w:p>
    <w:p w14:paraId="767D8FCC">
      <w:pPr>
        <w:jc w:val="center"/>
        <w:outlineLvl w:val="0"/>
        <w:rPr>
          <w:rFonts w:hint="eastAsia" w:ascii="宋体" w:hAnsi="宋体" w:eastAsia="宋体" w:cs="宋体"/>
          <w:b/>
          <w:bCs/>
          <w:color w:val="auto"/>
          <w:sz w:val="32"/>
          <w:szCs w:val="32"/>
          <w:highlight w:val="none"/>
        </w:rPr>
      </w:pPr>
      <w:bookmarkStart w:id="360" w:name="_Toc31704"/>
      <w:r>
        <w:rPr>
          <w:rFonts w:hint="eastAsia" w:ascii="宋体" w:hAnsi="宋体" w:eastAsia="宋体" w:cs="宋体"/>
          <w:b/>
          <w:bCs/>
          <w:color w:val="auto"/>
          <w:sz w:val="32"/>
          <w:szCs w:val="32"/>
          <w:highlight w:val="none"/>
        </w:rPr>
        <w:t>年  月  日</w:t>
      </w:r>
      <w:bookmarkEnd w:id="358"/>
      <w:bookmarkEnd w:id="359"/>
      <w:bookmarkEnd w:id="360"/>
    </w:p>
    <w:p w14:paraId="287D8BB9">
      <w:pPr>
        <w:adjustRightInd w:val="0"/>
        <w:snapToGrid w:val="0"/>
        <w:spacing w:line="360" w:lineRule="auto"/>
        <w:rPr>
          <w:rFonts w:hint="eastAsia" w:ascii="宋体" w:hAnsi="宋体" w:eastAsia="宋体" w:cs="宋体"/>
          <w:b/>
          <w:bCs/>
          <w:color w:val="auto"/>
          <w:kern w:val="0"/>
          <w:szCs w:val="21"/>
          <w:highlight w:val="none"/>
        </w:rPr>
      </w:pPr>
    </w:p>
    <w:p w14:paraId="1EA0A84E">
      <w:pPr>
        <w:pStyle w:val="31"/>
        <w:rPr>
          <w:rFonts w:hint="eastAsia" w:ascii="宋体" w:hAnsi="宋体" w:eastAsia="宋体" w:cs="宋体"/>
          <w:color w:val="auto"/>
          <w:highlight w:val="none"/>
        </w:rPr>
      </w:pPr>
    </w:p>
    <w:p w14:paraId="21CF7136">
      <w:pPr>
        <w:pStyle w:val="62"/>
        <w:rPr>
          <w:rFonts w:hint="eastAsia" w:ascii="宋体" w:hAnsi="宋体" w:eastAsia="宋体" w:cs="宋体"/>
          <w:color w:val="auto"/>
          <w:kern w:val="0"/>
          <w:szCs w:val="21"/>
          <w:highlight w:val="none"/>
        </w:rPr>
      </w:pPr>
    </w:p>
    <w:p w14:paraId="7599FBB6">
      <w:pPr>
        <w:pStyle w:val="62"/>
        <w:rPr>
          <w:rFonts w:hint="eastAsia" w:ascii="宋体" w:hAnsi="宋体" w:eastAsia="宋体" w:cs="宋体"/>
          <w:color w:val="auto"/>
          <w:kern w:val="0"/>
          <w:szCs w:val="21"/>
          <w:highlight w:val="none"/>
        </w:rPr>
      </w:pPr>
    </w:p>
    <w:p w14:paraId="0A9FBE90">
      <w:pPr>
        <w:pStyle w:val="62"/>
        <w:rPr>
          <w:rFonts w:hint="eastAsia" w:ascii="宋体" w:hAnsi="宋体" w:eastAsia="宋体" w:cs="宋体"/>
          <w:color w:val="auto"/>
          <w:kern w:val="0"/>
          <w:szCs w:val="21"/>
          <w:highlight w:val="none"/>
        </w:rPr>
      </w:pPr>
    </w:p>
    <w:p w14:paraId="133BF299">
      <w:pPr>
        <w:pStyle w:val="62"/>
        <w:rPr>
          <w:rFonts w:hint="eastAsia" w:ascii="宋体" w:hAnsi="宋体" w:eastAsia="宋体" w:cs="宋体"/>
          <w:color w:val="auto"/>
          <w:kern w:val="0"/>
          <w:szCs w:val="21"/>
          <w:highlight w:val="none"/>
        </w:rPr>
      </w:pPr>
    </w:p>
    <w:p w14:paraId="0511E8E1">
      <w:pPr>
        <w:pStyle w:val="62"/>
        <w:rPr>
          <w:rFonts w:hint="eastAsia" w:ascii="宋体" w:hAnsi="宋体" w:eastAsia="宋体" w:cs="宋体"/>
          <w:color w:val="auto"/>
          <w:kern w:val="0"/>
          <w:szCs w:val="21"/>
          <w:highlight w:val="none"/>
        </w:rPr>
      </w:pPr>
    </w:p>
    <w:p w14:paraId="3238D688">
      <w:pPr>
        <w:rPr>
          <w:rFonts w:hint="eastAsia" w:ascii="宋体" w:hAnsi="宋体" w:eastAsia="宋体" w:cs="宋体"/>
          <w:b/>
          <w:bCs/>
          <w:color w:val="auto"/>
          <w:highlight w:val="none"/>
        </w:rPr>
      </w:pPr>
    </w:p>
    <w:p w14:paraId="2AA3A3C0">
      <w:pPr>
        <w:rPr>
          <w:rFonts w:hint="eastAsia" w:ascii="宋体" w:hAnsi="宋体" w:eastAsia="宋体" w:cs="宋体"/>
          <w:b/>
          <w:bCs/>
          <w:color w:val="auto"/>
          <w:highlight w:val="none"/>
        </w:rPr>
      </w:pPr>
      <w:r>
        <w:rPr>
          <w:rFonts w:hint="eastAsia" w:ascii="宋体" w:hAnsi="宋体" w:eastAsia="宋体" w:cs="宋体"/>
          <w:b/>
          <w:bCs/>
          <w:color w:val="auto"/>
          <w:highlight w:val="none"/>
        </w:rPr>
        <w:t>索引表 符合性审查索引表</w:t>
      </w:r>
    </w:p>
    <w:p w14:paraId="644ADFCF">
      <w:pPr>
        <w:adjustRightInd w:val="0"/>
        <w:spacing w:beforeLines="50" w:line="360" w:lineRule="auto"/>
        <w:jc w:val="center"/>
        <w:outlineLvl w:val="1"/>
        <w:rPr>
          <w:rFonts w:hint="eastAsia" w:ascii="宋体" w:hAnsi="宋体" w:eastAsia="宋体" w:cs="宋体"/>
          <w:b/>
          <w:color w:val="auto"/>
          <w:sz w:val="28"/>
          <w:szCs w:val="28"/>
          <w:highlight w:val="none"/>
        </w:rPr>
      </w:pPr>
      <w:bookmarkStart w:id="361" w:name="_Toc6460"/>
      <w:bookmarkStart w:id="362" w:name="_Toc10201"/>
      <w:r>
        <w:rPr>
          <w:rFonts w:hint="eastAsia" w:ascii="宋体" w:hAnsi="宋体" w:eastAsia="宋体" w:cs="宋体"/>
          <w:b/>
          <w:color w:val="auto"/>
          <w:sz w:val="28"/>
          <w:szCs w:val="28"/>
          <w:highlight w:val="none"/>
        </w:rPr>
        <w:t>符合性审查索引表</w:t>
      </w:r>
      <w:bookmarkEnd w:id="361"/>
      <w:bookmarkEnd w:id="362"/>
    </w:p>
    <w:tbl>
      <w:tblPr>
        <w:tblStyle w:val="43"/>
        <w:tblW w:w="90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124A1F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center"/>
          </w:tcPr>
          <w:p w14:paraId="76F9CAB7">
            <w:pPr>
              <w:adjustRightInd w:val="0"/>
              <w:snapToGrid w:val="0"/>
              <w:spacing w:beforeLines="50"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序号</w:t>
            </w:r>
          </w:p>
        </w:tc>
        <w:tc>
          <w:tcPr>
            <w:tcW w:w="1871" w:type="dxa"/>
            <w:tcBorders>
              <w:right w:val="single" w:color="auto" w:sz="4" w:space="0"/>
            </w:tcBorders>
            <w:noWrap w:val="0"/>
            <w:vAlign w:val="center"/>
          </w:tcPr>
          <w:p w14:paraId="398CF3F2">
            <w:pPr>
              <w:adjustRightInd w:val="0"/>
              <w:snapToGrid w:val="0"/>
              <w:spacing w:beforeLines="50" w:line="360" w:lineRule="auto"/>
              <w:jc w:val="center"/>
              <w:rPr>
                <w:rFonts w:hint="eastAsia" w:ascii="宋体" w:hAnsi="宋体" w:eastAsia="宋体" w:cs="宋体"/>
                <w:b/>
                <w:color w:val="auto"/>
                <w:kern w:val="0"/>
                <w:sz w:val="20"/>
                <w:szCs w:val="21"/>
                <w:highlight w:val="none"/>
              </w:rPr>
            </w:pPr>
            <w:r>
              <w:rPr>
                <w:rFonts w:hint="eastAsia" w:ascii="宋体" w:hAnsi="宋体" w:eastAsia="宋体" w:cs="宋体"/>
                <w:b/>
                <w:color w:val="auto"/>
                <w:kern w:val="0"/>
                <w:sz w:val="20"/>
                <w:szCs w:val="21"/>
                <w:highlight w:val="none"/>
                <w:lang w:eastAsia="zh-CN"/>
              </w:rPr>
              <w:t>磋商</w:t>
            </w:r>
            <w:r>
              <w:rPr>
                <w:rFonts w:hint="eastAsia" w:ascii="宋体" w:hAnsi="宋体" w:eastAsia="宋体" w:cs="宋体"/>
                <w:b/>
                <w:color w:val="auto"/>
                <w:kern w:val="0"/>
                <w:sz w:val="20"/>
                <w:szCs w:val="21"/>
                <w:highlight w:val="none"/>
              </w:rPr>
              <w:t>文件条款号</w:t>
            </w:r>
          </w:p>
        </w:tc>
        <w:tc>
          <w:tcPr>
            <w:tcW w:w="2410" w:type="dxa"/>
            <w:tcBorders>
              <w:left w:val="single" w:color="auto" w:sz="4" w:space="0"/>
            </w:tcBorders>
            <w:noWrap w:val="0"/>
            <w:vAlign w:val="center"/>
          </w:tcPr>
          <w:p w14:paraId="3D27234A">
            <w:pPr>
              <w:adjustRightInd w:val="0"/>
              <w:snapToGrid w:val="0"/>
              <w:spacing w:beforeLines="50" w:line="360" w:lineRule="auto"/>
              <w:jc w:val="center"/>
              <w:rPr>
                <w:rFonts w:hint="eastAsia" w:ascii="宋体" w:hAnsi="宋体" w:eastAsia="宋体" w:cs="宋体"/>
                <w:b/>
                <w:color w:val="auto"/>
                <w:kern w:val="0"/>
                <w:sz w:val="20"/>
                <w:szCs w:val="21"/>
                <w:highlight w:val="none"/>
              </w:rPr>
            </w:pPr>
            <w:r>
              <w:rPr>
                <w:rFonts w:hint="eastAsia" w:ascii="宋体" w:hAnsi="宋体" w:eastAsia="宋体" w:cs="宋体"/>
                <w:b/>
                <w:color w:val="auto"/>
                <w:kern w:val="0"/>
                <w:szCs w:val="21"/>
                <w:highlight w:val="none"/>
              </w:rPr>
              <w:t>审查内容及标准</w:t>
            </w:r>
          </w:p>
        </w:tc>
        <w:tc>
          <w:tcPr>
            <w:tcW w:w="2268" w:type="dxa"/>
            <w:noWrap w:val="0"/>
            <w:vAlign w:val="center"/>
          </w:tcPr>
          <w:p w14:paraId="1BECEFEE">
            <w:pPr>
              <w:adjustRightInd w:val="0"/>
              <w:snapToGrid w:val="0"/>
              <w:spacing w:beforeLines="50"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响应文件及证明材料</w:t>
            </w:r>
          </w:p>
        </w:tc>
        <w:tc>
          <w:tcPr>
            <w:tcW w:w="1722" w:type="dxa"/>
            <w:noWrap w:val="0"/>
            <w:vAlign w:val="center"/>
          </w:tcPr>
          <w:p w14:paraId="69A0E5F9">
            <w:pPr>
              <w:adjustRightInd w:val="0"/>
              <w:snapToGrid w:val="0"/>
              <w:spacing w:beforeLines="50" w:line="360" w:lineRule="auto"/>
              <w:jc w:val="center"/>
              <w:rPr>
                <w:rFonts w:hint="eastAsia" w:ascii="宋体" w:hAnsi="宋体" w:eastAsia="宋体" w:cs="宋体"/>
                <w:b/>
                <w:color w:val="auto"/>
                <w:kern w:val="0"/>
                <w:sz w:val="20"/>
                <w:szCs w:val="21"/>
                <w:highlight w:val="none"/>
              </w:rPr>
            </w:pPr>
            <w:r>
              <w:rPr>
                <w:rFonts w:hint="eastAsia" w:ascii="宋体" w:hAnsi="宋体" w:eastAsia="宋体" w:cs="宋体"/>
                <w:b/>
                <w:color w:val="auto"/>
                <w:kern w:val="0"/>
                <w:szCs w:val="21"/>
                <w:highlight w:val="none"/>
              </w:rPr>
              <w:t>响应文件对应内容的册及页码</w:t>
            </w:r>
          </w:p>
        </w:tc>
      </w:tr>
      <w:tr w14:paraId="366085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7408E090">
            <w:pPr>
              <w:adjustRightInd w:val="0"/>
              <w:snapToGrid w:val="0"/>
              <w:spacing w:beforeLines="50" w:line="360" w:lineRule="auto"/>
              <w:jc w:val="center"/>
              <w:rPr>
                <w:rFonts w:hint="eastAsia" w:ascii="宋体" w:hAnsi="宋体" w:eastAsia="宋体" w:cs="宋体"/>
                <w:color w:val="auto"/>
                <w:kern w:val="0"/>
                <w:szCs w:val="21"/>
                <w:highlight w:val="none"/>
              </w:rPr>
            </w:pPr>
          </w:p>
        </w:tc>
        <w:tc>
          <w:tcPr>
            <w:tcW w:w="1871" w:type="dxa"/>
            <w:tcBorders>
              <w:right w:val="single" w:color="auto" w:sz="4" w:space="0"/>
            </w:tcBorders>
            <w:noWrap w:val="0"/>
            <w:vAlign w:val="top"/>
          </w:tcPr>
          <w:p w14:paraId="2052193B">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410" w:type="dxa"/>
            <w:tcBorders>
              <w:left w:val="single" w:color="auto" w:sz="4" w:space="0"/>
            </w:tcBorders>
            <w:noWrap w:val="0"/>
            <w:vAlign w:val="top"/>
          </w:tcPr>
          <w:p w14:paraId="03292249">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268" w:type="dxa"/>
            <w:noWrap w:val="0"/>
            <w:vAlign w:val="top"/>
          </w:tcPr>
          <w:p w14:paraId="78F9BEDD">
            <w:pPr>
              <w:adjustRightInd w:val="0"/>
              <w:snapToGrid w:val="0"/>
              <w:spacing w:beforeLines="50" w:line="360" w:lineRule="auto"/>
              <w:jc w:val="center"/>
              <w:rPr>
                <w:rFonts w:hint="eastAsia" w:ascii="宋体" w:hAnsi="宋体" w:eastAsia="宋体" w:cs="宋体"/>
                <w:color w:val="auto"/>
                <w:kern w:val="0"/>
                <w:szCs w:val="21"/>
                <w:highlight w:val="none"/>
              </w:rPr>
            </w:pPr>
          </w:p>
        </w:tc>
        <w:tc>
          <w:tcPr>
            <w:tcW w:w="1722" w:type="dxa"/>
            <w:noWrap w:val="0"/>
            <w:vAlign w:val="top"/>
          </w:tcPr>
          <w:p w14:paraId="2D8ADA3F">
            <w:pPr>
              <w:adjustRightInd w:val="0"/>
              <w:snapToGrid w:val="0"/>
              <w:spacing w:beforeLines="50" w:line="360" w:lineRule="auto"/>
              <w:jc w:val="center"/>
              <w:rPr>
                <w:rFonts w:hint="eastAsia" w:ascii="宋体" w:hAnsi="宋体" w:eastAsia="宋体" w:cs="宋体"/>
                <w:color w:val="auto"/>
                <w:kern w:val="0"/>
                <w:sz w:val="20"/>
                <w:szCs w:val="21"/>
                <w:highlight w:val="none"/>
              </w:rPr>
            </w:pPr>
          </w:p>
        </w:tc>
      </w:tr>
      <w:tr w14:paraId="4B788E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4BDA75B6">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1871" w:type="dxa"/>
            <w:tcBorders>
              <w:right w:val="single" w:color="auto" w:sz="4" w:space="0"/>
            </w:tcBorders>
            <w:noWrap w:val="0"/>
            <w:vAlign w:val="top"/>
          </w:tcPr>
          <w:p w14:paraId="0C316CAB">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410" w:type="dxa"/>
            <w:tcBorders>
              <w:left w:val="single" w:color="auto" w:sz="4" w:space="0"/>
            </w:tcBorders>
            <w:noWrap w:val="0"/>
            <w:vAlign w:val="top"/>
          </w:tcPr>
          <w:p w14:paraId="0A2D1564">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268" w:type="dxa"/>
            <w:noWrap w:val="0"/>
            <w:vAlign w:val="top"/>
          </w:tcPr>
          <w:p w14:paraId="7CB55035">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1722" w:type="dxa"/>
            <w:noWrap w:val="0"/>
            <w:vAlign w:val="top"/>
          </w:tcPr>
          <w:p w14:paraId="68313252">
            <w:pPr>
              <w:adjustRightInd w:val="0"/>
              <w:snapToGrid w:val="0"/>
              <w:spacing w:beforeLines="50" w:line="360" w:lineRule="auto"/>
              <w:jc w:val="center"/>
              <w:rPr>
                <w:rFonts w:hint="eastAsia" w:ascii="宋体" w:hAnsi="宋体" w:eastAsia="宋体" w:cs="宋体"/>
                <w:color w:val="auto"/>
                <w:kern w:val="0"/>
                <w:sz w:val="20"/>
                <w:szCs w:val="21"/>
                <w:highlight w:val="none"/>
              </w:rPr>
            </w:pPr>
          </w:p>
        </w:tc>
      </w:tr>
      <w:tr w14:paraId="519806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09EC0B64">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1871" w:type="dxa"/>
            <w:tcBorders>
              <w:right w:val="single" w:color="auto" w:sz="4" w:space="0"/>
            </w:tcBorders>
            <w:noWrap w:val="0"/>
            <w:vAlign w:val="top"/>
          </w:tcPr>
          <w:p w14:paraId="7FF5FECB">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410" w:type="dxa"/>
            <w:tcBorders>
              <w:left w:val="single" w:color="auto" w:sz="4" w:space="0"/>
            </w:tcBorders>
            <w:noWrap w:val="0"/>
            <w:vAlign w:val="top"/>
          </w:tcPr>
          <w:p w14:paraId="0973526E">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268" w:type="dxa"/>
            <w:noWrap w:val="0"/>
            <w:vAlign w:val="top"/>
          </w:tcPr>
          <w:p w14:paraId="61D83C5A">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1722" w:type="dxa"/>
            <w:noWrap w:val="0"/>
            <w:vAlign w:val="top"/>
          </w:tcPr>
          <w:p w14:paraId="324C9967">
            <w:pPr>
              <w:adjustRightInd w:val="0"/>
              <w:snapToGrid w:val="0"/>
              <w:spacing w:beforeLines="50" w:line="360" w:lineRule="auto"/>
              <w:jc w:val="center"/>
              <w:rPr>
                <w:rFonts w:hint="eastAsia" w:ascii="宋体" w:hAnsi="宋体" w:eastAsia="宋体" w:cs="宋体"/>
                <w:color w:val="auto"/>
                <w:kern w:val="0"/>
                <w:sz w:val="20"/>
                <w:szCs w:val="21"/>
                <w:highlight w:val="none"/>
              </w:rPr>
            </w:pPr>
          </w:p>
        </w:tc>
      </w:tr>
      <w:tr w14:paraId="4DA77C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05CF4212">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1871" w:type="dxa"/>
            <w:tcBorders>
              <w:right w:val="single" w:color="auto" w:sz="4" w:space="0"/>
            </w:tcBorders>
            <w:noWrap w:val="0"/>
            <w:vAlign w:val="top"/>
          </w:tcPr>
          <w:p w14:paraId="503DB895">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410" w:type="dxa"/>
            <w:tcBorders>
              <w:left w:val="single" w:color="auto" w:sz="4" w:space="0"/>
            </w:tcBorders>
            <w:noWrap w:val="0"/>
            <w:vAlign w:val="top"/>
          </w:tcPr>
          <w:p w14:paraId="55FB2AA9">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268" w:type="dxa"/>
            <w:noWrap w:val="0"/>
            <w:vAlign w:val="top"/>
          </w:tcPr>
          <w:p w14:paraId="4D8AA897">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1722" w:type="dxa"/>
            <w:noWrap w:val="0"/>
            <w:vAlign w:val="top"/>
          </w:tcPr>
          <w:p w14:paraId="6B16D874">
            <w:pPr>
              <w:adjustRightInd w:val="0"/>
              <w:snapToGrid w:val="0"/>
              <w:spacing w:beforeLines="50" w:line="360" w:lineRule="auto"/>
              <w:jc w:val="center"/>
              <w:rPr>
                <w:rFonts w:hint="eastAsia" w:ascii="宋体" w:hAnsi="宋体" w:eastAsia="宋体" w:cs="宋体"/>
                <w:color w:val="auto"/>
                <w:kern w:val="0"/>
                <w:sz w:val="20"/>
                <w:szCs w:val="21"/>
                <w:highlight w:val="none"/>
              </w:rPr>
            </w:pPr>
          </w:p>
        </w:tc>
      </w:tr>
      <w:tr w14:paraId="4CAA96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52B559F0">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1871" w:type="dxa"/>
            <w:tcBorders>
              <w:right w:val="single" w:color="auto" w:sz="4" w:space="0"/>
            </w:tcBorders>
            <w:noWrap w:val="0"/>
            <w:vAlign w:val="top"/>
          </w:tcPr>
          <w:p w14:paraId="7CB5B97F">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410" w:type="dxa"/>
            <w:tcBorders>
              <w:left w:val="single" w:color="auto" w:sz="4" w:space="0"/>
            </w:tcBorders>
            <w:noWrap w:val="0"/>
            <w:vAlign w:val="top"/>
          </w:tcPr>
          <w:p w14:paraId="6A9F93F8">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268" w:type="dxa"/>
            <w:noWrap w:val="0"/>
            <w:vAlign w:val="top"/>
          </w:tcPr>
          <w:p w14:paraId="591E3222">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1722" w:type="dxa"/>
            <w:noWrap w:val="0"/>
            <w:vAlign w:val="top"/>
          </w:tcPr>
          <w:p w14:paraId="76D67990">
            <w:pPr>
              <w:adjustRightInd w:val="0"/>
              <w:snapToGrid w:val="0"/>
              <w:spacing w:beforeLines="50" w:line="360" w:lineRule="auto"/>
              <w:jc w:val="center"/>
              <w:rPr>
                <w:rFonts w:hint="eastAsia" w:ascii="宋体" w:hAnsi="宋体" w:eastAsia="宋体" w:cs="宋体"/>
                <w:color w:val="auto"/>
                <w:kern w:val="0"/>
                <w:sz w:val="20"/>
                <w:szCs w:val="21"/>
                <w:highlight w:val="none"/>
              </w:rPr>
            </w:pPr>
          </w:p>
        </w:tc>
      </w:tr>
      <w:tr w14:paraId="30FF66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73B5BEC3">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1871" w:type="dxa"/>
            <w:tcBorders>
              <w:right w:val="single" w:color="auto" w:sz="4" w:space="0"/>
            </w:tcBorders>
            <w:noWrap w:val="0"/>
            <w:vAlign w:val="top"/>
          </w:tcPr>
          <w:p w14:paraId="0FBD24C3">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410" w:type="dxa"/>
            <w:tcBorders>
              <w:left w:val="single" w:color="auto" w:sz="4" w:space="0"/>
            </w:tcBorders>
            <w:noWrap w:val="0"/>
            <w:vAlign w:val="top"/>
          </w:tcPr>
          <w:p w14:paraId="2F578BE7">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268" w:type="dxa"/>
            <w:noWrap w:val="0"/>
            <w:vAlign w:val="top"/>
          </w:tcPr>
          <w:p w14:paraId="7582B2A9">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1722" w:type="dxa"/>
            <w:noWrap w:val="0"/>
            <w:vAlign w:val="top"/>
          </w:tcPr>
          <w:p w14:paraId="7761CEC1">
            <w:pPr>
              <w:adjustRightInd w:val="0"/>
              <w:snapToGrid w:val="0"/>
              <w:spacing w:beforeLines="50" w:line="360" w:lineRule="auto"/>
              <w:jc w:val="center"/>
              <w:rPr>
                <w:rFonts w:hint="eastAsia" w:ascii="宋体" w:hAnsi="宋体" w:eastAsia="宋体" w:cs="宋体"/>
                <w:color w:val="auto"/>
                <w:kern w:val="0"/>
                <w:sz w:val="20"/>
                <w:szCs w:val="21"/>
                <w:highlight w:val="none"/>
              </w:rPr>
            </w:pPr>
          </w:p>
        </w:tc>
      </w:tr>
      <w:tr w14:paraId="02CABD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4F049B8F">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1871" w:type="dxa"/>
            <w:tcBorders>
              <w:right w:val="single" w:color="auto" w:sz="4" w:space="0"/>
            </w:tcBorders>
            <w:noWrap w:val="0"/>
            <w:vAlign w:val="top"/>
          </w:tcPr>
          <w:p w14:paraId="20ECFF87">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410" w:type="dxa"/>
            <w:tcBorders>
              <w:left w:val="single" w:color="auto" w:sz="4" w:space="0"/>
            </w:tcBorders>
            <w:noWrap w:val="0"/>
            <w:vAlign w:val="top"/>
          </w:tcPr>
          <w:p w14:paraId="355D5023">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268" w:type="dxa"/>
            <w:noWrap w:val="0"/>
            <w:vAlign w:val="top"/>
          </w:tcPr>
          <w:p w14:paraId="31D00D05">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1722" w:type="dxa"/>
            <w:noWrap w:val="0"/>
            <w:vAlign w:val="top"/>
          </w:tcPr>
          <w:p w14:paraId="6ED0BA8D">
            <w:pPr>
              <w:adjustRightInd w:val="0"/>
              <w:snapToGrid w:val="0"/>
              <w:spacing w:beforeLines="50" w:line="360" w:lineRule="auto"/>
              <w:jc w:val="center"/>
              <w:rPr>
                <w:rFonts w:hint="eastAsia" w:ascii="宋体" w:hAnsi="宋体" w:eastAsia="宋体" w:cs="宋体"/>
                <w:color w:val="auto"/>
                <w:kern w:val="0"/>
                <w:sz w:val="20"/>
                <w:szCs w:val="21"/>
                <w:highlight w:val="none"/>
              </w:rPr>
            </w:pPr>
          </w:p>
        </w:tc>
      </w:tr>
      <w:tr w14:paraId="4E23AE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05000985">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1871" w:type="dxa"/>
            <w:tcBorders>
              <w:right w:val="single" w:color="auto" w:sz="4" w:space="0"/>
            </w:tcBorders>
            <w:noWrap w:val="0"/>
            <w:vAlign w:val="top"/>
          </w:tcPr>
          <w:p w14:paraId="088F6724">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410" w:type="dxa"/>
            <w:tcBorders>
              <w:left w:val="single" w:color="auto" w:sz="4" w:space="0"/>
            </w:tcBorders>
            <w:noWrap w:val="0"/>
            <w:vAlign w:val="top"/>
          </w:tcPr>
          <w:p w14:paraId="12682735">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268" w:type="dxa"/>
            <w:noWrap w:val="0"/>
            <w:vAlign w:val="top"/>
          </w:tcPr>
          <w:p w14:paraId="507DF0B2">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1722" w:type="dxa"/>
            <w:noWrap w:val="0"/>
            <w:vAlign w:val="top"/>
          </w:tcPr>
          <w:p w14:paraId="7BD1A0F5">
            <w:pPr>
              <w:adjustRightInd w:val="0"/>
              <w:snapToGrid w:val="0"/>
              <w:spacing w:beforeLines="50" w:line="360" w:lineRule="auto"/>
              <w:jc w:val="center"/>
              <w:rPr>
                <w:rFonts w:hint="eastAsia" w:ascii="宋体" w:hAnsi="宋体" w:eastAsia="宋体" w:cs="宋体"/>
                <w:color w:val="auto"/>
                <w:kern w:val="0"/>
                <w:sz w:val="20"/>
                <w:szCs w:val="21"/>
                <w:highlight w:val="none"/>
              </w:rPr>
            </w:pPr>
          </w:p>
        </w:tc>
      </w:tr>
      <w:tr w14:paraId="214778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4F2160F5">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1871" w:type="dxa"/>
            <w:tcBorders>
              <w:right w:val="single" w:color="auto" w:sz="4" w:space="0"/>
            </w:tcBorders>
            <w:noWrap w:val="0"/>
            <w:vAlign w:val="top"/>
          </w:tcPr>
          <w:p w14:paraId="342B084E">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410" w:type="dxa"/>
            <w:tcBorders>
              <w:left w:val="single" w:color="auto" w:sz="4" w:space="0"/>
            </w:tcBorders>
            <w:noWrap w:val="0"/>
            <w:vAlign w:val="top"/>
          </w:tcPr>
          <w:p w14:paraId="7AAC40CF">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268" w:type="dxa"/>
            <w:noWrap w:val="0"/>
            <w:vAlign w:val="top"/>
          </w:tcPr>
          <w:p w14:paraId="76AB5A65">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1722" w:type="dxa"/>
            <w:noWrap w:val="0"/>
            <w:vAlign w:val="top"/>
          </w:tcPr>
          <w:p w14:paraId="45E0F7C0">
            <w:pPr>
              <w:adjustRightInd w:val="0"/>
              <w:snapToGrid w:val="0"/>
              <w:spacing w:beforeLines="50" w:line="360" w:lineRule="auto"/>
              <w:jc w:val="center"/>
              <w:rPr>
                <w:rFonts w:hint="eastAsia" w:ascii="宋体" w:hAnsi="宋体" w:eastAsia="宋体" w:cs="宋体"/>
                <w:color w:val="auto"/>
                <w:kern w:val="0"/>
                <w:sz w:val="20"/>
                <w:szCs w:val="21"/>
                <w:highlight w:val="none"/>
              </w:rPr>
            </w:pPr>
          </w:p>
        </w:tc>
      </w:tr>
      <w:tr w14:paraId="1F65ED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0B3F8744">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1871" w:type="dxa"/>
            <w:tcBorders>
              <w:right w:val="single" w:color="auto" w:sz="4" w:space="0"/>
            </w:tcBorders>
            <w:noWrap w:val="0"/>
            <w:vAlign w:val="top"/>
          </w:tcPr>
          <w:p w14:paraId="1B63DA37">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410" w:type="dxa"/>
            <w:tcBorders>
              <w:left w:val="single" w:color="auto" w:sz="4" w:space="0"/>
            </w:tcBorders>
            <w:noWrap w:val="0"/>
            <w:vAlign w:val="top"/>
          </w:tcPr>
          <w:p w14:paraId="74530313">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268" w:type="dxa"/>
            <w:noWrap w:val="0"/>
            <w:vAlign w:val="top"/>
          </w:tcPr>
          <w:p w14:paraId="7374355A">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1722" w:type="dxa"/>
            <w:noWrap w:val="0"/>
            <w:vAlign w:val="top"/>
          </w:tcPr>
          <w:p w14:paraId="779F928C">
            <w:pPr>
              <w:adjustRightInd w:val="0"/>
              <w:snapToGrid w:val="0"/>
              <w:spacing w:beforeLines="50" w:line="360" w:lineRule="auto"/>
              <w:jc w:val="center"/>
              <w:rPr>
                <w:rFonts w:hint="eastAsia" w:ascii="宋体" w:hAnsi="宋体" w:eastAsia="宋体" w:cs="宋体"/>
                <w:color w:val="auto"/>
                <w:kern w:val="0"/>
                <w:sz w:val="20"/>
                <w:szCs w:val="21"/>
                <w:highlight w:val="none"/>
              </w:rPr>
            </w:pPr>
          </w:p>
        </w:tc>
      </w:tr>
      <w:tr w14:paraId="56D434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789" w:type="dxa"/>
            <w:noWrap w:val="0"/>
            <w:vAlign w:val="top"/>
          </w:tcPr>
          <w:p w14:paraId="192820DB">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1871" w:type="dxa"/>
            <w:tcBorders>
              <w:right w:val="single" w:color="auto" w:sz="4" w:space="0"/>
            </w:tcBorders>
            <w:noWrap w:val="0"/>
            <w:vAlign w:val="top"/>
          </w:tcPr>
          <w:p w14:paraId="16F6A514">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410" w:type="dxa"/>
            <w:tcBorders>
              <w:left w:val="single" w:color="auto" w:sz="4" w:space="0"/>
            </w:tcBorders>
            <w:noWrap w:val="0"/>
            <w:vAlign w:val="top"/>
          </w:tcPr>
          <w:p w14:paraId="06D47DA8">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2268" w:type="dxa"/>
            <w:noWrap w:val="0"/>
            <w:vAlign w:val="top"/>
          </w:tcPr>
          <w:p w14:paraId="7CAC81B3">
            <w:pPr>
              <w:adjustRightInd w:val="0"/>
              <w:snapToGrid w:val="0"/>
              <w:spacing w:beforeLines="50" w:line="360" w:lineRule="auto"/>
              <w:jc w:val="center"/>
              <w:rPr>
                <w:rFonts w:hint="eastAsia" w:ascii="宋体" w:hAnsi="宋体" w:eastAsia="宋体" w:cs="宋体"/>
                <w:color w:val="auto"/>
                <w:kern w:val="0"/>
                <w:sz w:val="20"/>
                <w:szCs w:val="21"/>
                <w:highlight w:val="none"/>
              </w:rPr>
            </w:pPr>
          </w:p>
        </w:tc>
        <w:tc>
          <w:tcPr>
            <w:tcW w:w="1722" w:type="dxa"/>
            <w:noWrap w:val="0"/>
            <w:vAlign w:val="top"/>
          </w:tcPr>
          <w:p w14:paraId="28ADF52F">
            <w:pPr>
              <w:adjustRightInd w:val="0"/>
              <w:snapToGrid w:val="0"/>
              <w:spacing w:beforeLines="50" w:line="360" w:lineRule="auto"/>
              <w:jc w:val="center"/>
              <w:rPr>
                <w:rFonts w:hint="eastAsia" w:ascii="宋体" w:hAnsi="宋体" w:eastAsia="宋体" w:cs="宋体"/>
                <w:color w:val="auto"/>
                <w:kern w:val="0"/>
                <w:sz w:val="20"/>
                <w:szCs w:val="21"/>
                <w:highlight w:val="none"/>
              </w:rPr>
            </w:pPr>
          </w:p>
        </w:tc>
      </w:tr>
    </w:tbl>
    <w:p w14:paraId="6D496BB3">
      <w:pPr>
        <w:pStyle w:val="7"/>
        <w:rPr>
          <w:rFonts w:hint="eastAsia" w:ascii="宋体" w:hAnsi="宋体" w:eastAsia="宋体" w:cs="宋体"/>
          <w:color w:val="auto"/>
          <w:highlight w:val="none"/>
        </w:rPr>
      </w:pPr>
    </w:p>
    <w:p w14:paraId="7A77D3B9">
      <w:pPr>
        <w:rPr>
          <w:rFonts w:hint="eastAsia" w:ascii="宋体" w:hAnsi="宋体" w:eastAsia="宋体" w:cs="宋体"/>
          <w:color w:val="auto"/>
          <w:highlight w:val="none"/>
        </w:rPr>
      </w:pPr>
    </w:p>
    <w:p w14:paraId="6DF47938">
      <w:pPr>
        <w:pStyle w:val="7"/>
        <w:rPr>
          <w:rFonts w:hint="eastAsia" w:ascii="宋体" w:hAnsi="宋体" w:eastAsia="宋体" w:cs="宋体"/>
          <w:color w:val="auto"/>
          <w:highlight w:val="none"/>
        </w:rPr>
      </w:pPr>
    </w:p>
    <w:p w14:paraId="6041E204">
      <w:pPr>
        <w:rPr>
          <w:rFonts w:hint="eastAsia" w:ascii="宋体" w:hAnsi="宋体" w:eastAsia="宋体" w:cs="宋体"/>
          <w:color w:val="auto"/>
          <w:highlight w:val="none"/>
        </w:rPr>
      </w:pPr>
    </w:p>
    <w:p w14:paraId="0B424702">
      <w:pPr>
        <w:pStyle w:val="7"/>
        <w:rPr>
          <w:rFonts w:hint="eastAsia" w:ascii="宋体" w:hAnsi="宋体" w:eastAsia="宋体" w:cs="宋体"/>
          <w:color w:val="auto"/>
          <w:highlight w:val="none"/>
        </w:rPr>
      </w:pPr>
    </w:p>
    <w:p w14:paraId="14B382E4">
      <w:pPr>
        <w:rPr>
          <w:rFonts w:hint="eastAsia" w:ascii="宋体" w:hAnsi="宋体" w:eastAsia="宋体" w:cs="宋体"/>
          <w:color w:val="auto"/>
          <w:highlight w:val="none"/>
        </w:rPr>
      </w:pPr>
    </w:p>
    <w:p w14:paraId="530D90E8">
      <w:pPr>
        <w:pStyle w:val="7"/>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    </w:t>
      </w:r>
    </w:p>
    <w:p w14:paraId="46888335">
      <w:pPr>
        <w:rPr>
          <w:rFonts w:hint="eastAsia" w:ascii="宋体" w:hAnsi="宋体" w:eastAsia="宋体" w:cs="宋体"/>
          <w:color w:val="auto"/>
          <w:highlight w:val="none"/>
          <w:lang w:val="en-US" w:eastAsia="zh-CN"/>
        </w:rPr>
      </w:pPr>
    </w:p>
    <w:p w14:paraId="27555378">
      <w:pPr>
        <w:rPr>
          <w:rFonts w:hint="eastAsia" w:ascii="宋体" w:hAnsi="宋体" w:eastAsia="宋体" w:cs="宋体"/>
          <w:color w:val="auto"/>
          <w:highlight w:val="none"/>
          <w:lang w:val="en-US" w:eastAsia="zh-CN"/>
        </w:rPr>
      </w:pPr>
    </w:p>
    <w:p w14:paraId="689A7D54">
      <w:pPr>
        <w:rPr>
          <w:rFonts w:hint="eastAsia" w:ascii="宋体" w:hAnsi="宋体" w:eastAsia="宋体" w:cs="宋体"/>
          <w:color w:val="auto"/>
          <w:highlight w:val="none"/>
        </w:rPr>
      </w:pPr>
    </w:p>
    <w:p w14:paraId="2F9B30F2">
      <w:pPr>
        <w:pStyle w:val="7"/>
        <w:rPr>
          <w:rFonts w:hint="eastAsia" w:ascii="宋体" w:hAnsi="宋体" w:eastAsia="宋体" w:cs="宋体"/>
          <w:color w:val="auto"/>
          <w:highlight w:val="none"/>
        </w:rPr>
      </w:pPr>
    </w:p>
    <w:p w14:paraId="6B2165A0">
      <w:pPr>
        <w:rPr>
          <w:rFonts w:hint="eastAsia" w:ascii="宋体" w:hAnsi="宋体" w:eastAsia="宋体" w:cs="宋体"/>
          <w:color w:val="auto"/>
          <w:highlight w:val="none"/>
        </w:rPr>
      </w:pPr>
    </w:p>
    <w:p w14:paraId="2FA042D1">
      <w:pPr>
        <w:pStyle w:val="62"/>
        <w:rPr>
          <w:rFonts w:hint="eastAsia" w:ascii="宋体" w:hAnsi="宋体" w:eastAsia="宋体" w:cs="宋体"/>
          <w:color w:val="auto"/>
          <w:highlight w:val="none"/>
        </w:rPr>
      </w:pPr>
    </w:p>
    <w:p w14:paraId="7ED1B65C">
      <w:pPr>
        <w:pStyle w:val="62"/>
        <w:rPr>
          <w:rFonts w:hint="eastAsia" w:ascii="宋体" w:hAnsi="宋体" w:eastAsia="宋体" w:cs="宋体"/>
          <w:color w:val="auto"/>
          <w:highlight w:val="none"/>
        </w:rPr>
      </w:pPr>
    </w:p>
    <w:p w14:paraId="76A1B026">
      <w:pPr>
        <w:spacing w:line="360" w:lineRule="auto"/>
        <w:jc w:val="both"/>
        <w:outlineLvl w:val="1"/>
        <w:rPr>
          <w:rFonts w:hint="eastAsia" w:ascii="宋体" w:hAnsi="宋体" w:eastAsia="宋体" w:cs="宋体"/>
          <w:b/>
          <w:color w:val="auto"/>
          <w:sz w:val="32"/>
          <w:szCs w:val="32"/>
          <w:highlight w:val="none"/>
        </w:rPr>
      </w:pPr>
      <w:bookmarkStart w:id="363" w:name="_Toc11879752"/>
    </w:p>
    <w:p w14:paraId="260552CB">
      <w:pPr>
        <w:spacing w:line="360" w:lineRule="auto"/>
        <w:jc w:val="center"/>
        <w:outlineLvl w:val="1"/>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一、磋商响应声明</w:t>
      </w:r>
      <w:bookmarkEnd w:id="363"/>
    </w:p>
    <w:p w14:paraId="53EF03DD">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(采购人或采购代理机构)：</w:t>
      </w:r>
    </w:p>
    <w:p w14:paraId="21626076">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我方已仔细研究了</w:t>
      </w:r>
      <w:r>
        <w:rPr>
          <w:rFonts w:hint="eastAsia" w:ascii="宋体" w:hAnsi="宋体" w:eastAsia="宋体" w:cs="宋体"/>
          <w:color w:val="auto"/>
          <w:szCs w:val="21"/>
          <w:highlight w:val="none"/>
          <w:u w:val="single"/>
        </w:rPr>
        <w:t xml:space="preserve">                 </w:t>
      </w:r>
      <w:r>
        <w:rPr>
          <w:rFonts w:hint="eastAsia" w:ascii="宋体" w:hAnsi="宋体" w:eastAsia="宋体" w:cs="宋体"/>
          <w:i w:val="0"/>
          <w:iCs w:val="0"/>
          <w:color w:val="auto"/>
          <w:szCs w:val="21"/>
          <w:highlight w:val="none"/>
          <w:u w:val="none"/>
        </w:rPr>
        <w:t>(</w:t>
      </w:r>
      <w:r>
        <w:rPr>
          <w:rFonts w:hint="eastAsia" w:ascii="宋体" w:hAnsi="宋体" w:eastAsia="宋体" w:cs="宋体"/>
          <w:color w:val="auto"/>
          <w:szCs w:val="21"/>
          <w:highlight w:val="none"/>
        </w:rPr>
        <w:t>项目名称)的竞争性磋商文件（</w:t>
      </w:r>
      <w:r>
        <w:rPr>
          <w:rFonts w:hint="eastAsia" w:ascii="宋体" w:hAnsi="宋体" w:cs="宋体"/>
          <w:color w:val="auto"/>
          <w:szCs w:val="21"/>
          <w:highlight w:val="none"/>
          <w:lang w:eastAsia="zh-CN"/>
        </w:rPr>
        <w:t>采购计划编号</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cs="宋体"/>
          <w:color w:val="auto"/>
          <w:szCs w:val="21"/>
          <w:highlight w:val="none"/>
          <w:lang w:eastAsia="zh-CN"/>
        </w:rPr>
        <w:t>采购项目编号</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）的全部内容，</w:t>
      </w:r>
      <w:r>
        <w:rPr>
          <w:rFonts w:hint="eastAsia" w:ascii="宋体" w:hAnsi="宋体" w:eastAsia="宋体" w:cs="宋体"/>
          <w:color w:val="auto"/>
          <w:highlight w:val="none"/>
        </w:rPr>
        <w:t>知悉参加竞争性磋商的风险，我方承诺接受磋商文件的全部条款且无任何异议。</w:t>
      </w:r>
    </w:p>
    <w:p w14:paraId="4B0FC044">
      <w:pPr>
        <w:pStyle w:val="23"/>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一、我方同意在磋商文件中规定的提交首次响应文件截止时间起</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日内(响应文件有效期)遵守本响应文件中的承诺且在此期限期满之前均具有法律约束力。</w:t>
      </w:r>
    </w:p>
    <w:p w14:paraId="7CE3376C">
      <w:pPr>
        <w:pStyle w:val="23"/>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二、我方提交响应文件正本一份和副本一式</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份，并保证响应文件提供的数据和资料全部内容真实、合法、准确和完整，我们对此负责，并愿承担由此引起的法律责任。</w:t>
      </w:r>
    </w:p>
    <w:p w14:paraId="15B0282F">
      <w:pPr>
        <w:pStyle w:val="23"/>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三、我方愿意向贵方提供任何与本项采购有关的数据、情况和技术资料。若贵方需要，我方愿意提供我方作出的一切承诺的证明资料。</w:t>
      </w:r>
    </w:p>
    <w:p w14:paraId="7BFCF8D7">
      <w:pPr>
        <w:pStyle w:val="23"/>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四、我方愿意按磋商文件规定和磋商小组要求重新提交响应文件和最后报价。</w:t>
      </w:r>
    </w:p>
    <w:p w14:paraId="62322BE3">
      <w:pPr>
        <w:pStyle w:val="23"/>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五、我方承诺遵守《中华人民共和国政府采购法》的有关规定，保证在获得成交资格后，按照磋商文件确定的事项签订政府采购合同，履行双方所签订的合同，并承担合同规定的责任和义务。</w:t>
      </w:r>
    </w:p>
    <w:p w14:paraId="20E54DBD">
      <w:pPr>
        <w:pStyle w:val="23"/>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六、我方在此声明： </w:t>
      </w:r>
    </w:p>
    <w:p w14:paraId="09AA9972">
      <w:pPr>
        <w:pStyle w:val="23"/>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（一）我方与采购人或采购代理机构不存在隶属关系或者其他利害关系。</w:t>
      </w:r>
    </w:p>
    <w:p w14:paraId="182D9370">
      <w:pPr>
        <w:pStyle w:val="23"/>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（二）我方与参加本项目的其他供应商不存在直接控股、管理关系，或者与其他供应商法定代表人（或者负责人）为同一人。</w:t>
      </w:r>
    </w:p>
    <w:p w14:paraId="252ED265">
      <w:pPr>
        <w:pStyle w:val="23"/>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（三）我方未为本项目前期准备提供设计或咨询服务。</w:t>
      </w:r>
    </w:p>
    <w:p w14:paraId="4F3B3033">
      <w:pPr>
        <w:pStyle w:val="23"/>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（四）我方承诺（承诺期：成立三年以上的，为提交首次响应文件截止时间前三年内；成立不足三年的，为实际时间）：</w:t>
      </w:r>
    </w:p>
    <w:p w14:paraId="21361FA2">
      <w:pPr>
        <w:pStyle w:val="23"/>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1、我方依法缴纳了各项税费及各项社会保障资金，没有偷税、漏税及欠缴行为。</w:t>
      </w:r>
    </w:p>
    <w:p w14:paraId="4F40D998">
      <w:pPr>
        <w:pStyle w:val="23"/>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2、我方在经营活动中没有存在下列重大违法记录：</w:t>
      </w:r>
    </w:p>
    <w:p w14:paraId="27B44F95">
      <w:pPr>
        <w:pStyle w:val="23"/>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(1)受到刑事处罚；</w:t>
      </w:r>
    </w:p>
    <w:p w14:paraId="61F37797">
      <w:pPr>
        <w:pStyle w:val="23"/>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(2)受到三万元以上的罚款、责令停产停业、在一至三年内禁止参加政府采购活动、暂扣或者吊销许可证、暂扣或者吊销执照的行政处罚。</w:t>
      </w:r>
    </w:p>
    <w:p w14:paraId="0CABFA56">
      <w:pPr>
        <w:adjustRightInd w:val="0"/>
        <w:snapToGrid w:val="0"/>
        <w:spacing w:line="360" w:lineRule="auto"/>
        <w:ind w:right="24"/>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附件1：</w:t>
      </w:r>
      <w:r>
        <w:rPr>
          <w:rFonts w:hint="eastAsia" w:ascii="宋体" w:hAnsi="宋体" w:eastAsia="宋体" w:cs="宋体"/>
          <w:color w:val="auto"/>
          <w:szCs w:val="21"/>
          <w:highlight w:val="none"/>
        </w:rPr>
        <w:t>法定代表人身份证明</w:t>
      </w:r>
    </w:p>
    <w:p w14:paraId="4C959574">
      <w:pPr>
        <w:adjustRightInd w:val="0"/>
        <w:snapToGrid w:val="0"/>
        <w:spacing w:line="360" w:lineRule="auto"/>
        <w:ind w:right="24"/>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附件2</w:t>
      </w:r>
      <w:r>
        <w:rPr>
          <w:rFonts w:hint="eastAsia" w:ascii="宋体" w:hAnsi="宋体" w:eastAsia="宋体" w:cs="宋体"/>
          <w:color w:val="auto"/>
          <w:szCs w:val="21"/>
          <w:highlight w:val="none"/>
        </w:rPr>
        <w:t>：法定代表人授权书</w:t>
      </w:r>
    </w:p>
    <w:p w14:paraId="4B89820D">
      <w:pPr>
        <w:pStyle w:val="23"/>
        <w:adjustRightInd w:val="0"/>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供应商名称(盖单位章)：</w:t>
      </w:r>
    </w:p>
    <w:p w14:paraId="06DF7CC0">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 (签字)：</w:t>
      </w:r>
      <w:r>
        <w:rPr>
          <w:rFonts w:hint="eastAsia" w:ascii="宋体" w:hAnsi="宋体" w:eastAsia="宋体" w:cs="宋体"/>
          <w:color w:val="auto"/>
          <w:szCs w:val="21"/>
          <w:highlight w:val="none"/>
          <w:u w:val="single"/>
        </w:rPr>
        <w:t xml:space="preserve">            </w:t>
      </w:r>
    </w:p>
    <w:p w14:paraId="6BE296A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     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25AB8632">
      <w:pPr>
        <w:adjustRightInd w:val="0"/>
        <w:snapToGrid w:val="0"/>
        <w:spacing w:line="360" w:lineRule="auto"/>
        <w:ind w:right="24"/>
        <w:rPr>
          <w:rFonts w:hint="eastAsia" w:ascii="宋体" w:hAnsi="宋体" w:eastAsia="宋体" w:cs="宋体"/>
          <w:bCs/>
          <w:color w:val="auto"/>
          <w:sz w:val="30"/>
          <w:szCs w:val="30"/>
          <w:highlight w:val="none"/>
        </w:rPr>
        <w:sectPr>
          <w:footerReference r:id="rId5" w:type="default"/>
          <w:pgSz w:w="11906" w:h="16838"/>
          <w:pgMar w:top="1134" w:right="1134" w:bottom="1134" w:left="1134" w:header="851" w:footer="992" w:gutter="0"/>
          <w:pgNumType w:fmt="decimal"/>
          <w:cols w:space="720" w:num="1"/>
          <w:docGrid w:linePitch="312" w:charSpace="0"/>
        </w:sectPr>
      </w:pPr>
    </w:p>
    <w:p w14:paraId="39B0D6A6">
      <w:pPr>
        <w:adjustRightInd w:val="0"/>
        <w:snapToGrid w:val="0"/>
        <w:spacing w:line="360" w:lineRule="auto"/>
        <w:ind w:right="24"/>
        <w:rPr>
          <w:rFonts w:hint="eastAsia" w:ascii="宋体" w:hAnsi="宋体" w:eastAsia="宋体" w:cs="宋体"/>
          <w:b/>
          <w:bCs w:val="0"/>
          <w:color w:val="auto"/>
          <w:sz w:val="30"/>
          <w:szCs w:val="30"/>
          <w:highlight w:val="none"/>
        </w:rPr>
      </w:pPr>
      <w:r>
        <w:rPr>
          <w:rFonts w:hint="eastAsia" w:ascii="宋体" w:hAnsi="宋体" w:eastAsia="宋体" w:cs="宋体"/>
          <w:b/>
          <w:bCs w:val="0"/>
          <w:color w:val="auto"/>
          <w:sz w:val="30"/>
          <w:szCs w:val="30"/>
          <w:highlight w:val="none"/>
        </w:rPr>
        <w:t>附件1</w:t>
      </w:r>
    </w:p>
    <w:p w14:paraId="5BC0771D">
      <w:pPr>
        <w:spacing w:line="360" w:lineRule="auto"/>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法定代表人身份证明</w:t>
      </w:r>
    </w:p>
    <w:p w14:paraId="50A6D1DE">
      <w:pPr>
        <w:pStyle w:val="42"/>
        <w:spacing w:after="240"/>
        <w:ind w:left="0" w:leftChars="0" w:firstLine="0" w:firstLineChars="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（法定代表人参加磋商）</w:t>
      </w:r>
    </w:p>
    <w:p w14:paraId="7BC03135">
      <w:pPr>
        <w:autoSpaceDE w:val="0"/>
        <w:autoSpaceDN w:val="0"/>
        <w:adjustRightInd w:val="0"/>
        <w:snapToGri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供应商</w:t>
      </w:r>
      <w:r>
        <w:rPr>
          <w:rFonts w:hint="eastAsia" w:ascii="宋体" w:hAnsi="宋体" w:eastAsia="宋体" w:cs="宋体"/>
          <w:color w:val="auto"/>
          <w:kern w:val="0"/>
          <w:szCs w:val="21"/>
          <w:highlight w:val="none"/>
        </w:rPr>
        <w:t>名称：</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w:t>
      </w:r>
    </w:p>
    <w:p w14:paraId="3968373D">
      <w:pPr>
        <w:autoSpaceDE w:val="0"/>
        <w:autoSpaceDN w:val="0"/>
        <w:adjustRightInd w:val="0"/>
        <w:snapToGri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注册号：</w:t>
      </w:r>
      <w:r>
        <w:rPr>
          <w:rFonts w:hint="eastAsia" w:ascii="宋体" w:hAnsi="宋体" w:eastAsia="宋体" w:cs="宋体"/>
          <w:color w:val="auto"/>
          <w:kern w:val="0"/>
          <w:szCs w:val="21"/>
          <w:highlight w:val="none"/>
          <w:u w:val="single"/>
        </w:rPr>
        <w:t xml:space="preserve">                  </w:t>
      </w:r>
    </w:p>
    <w:p w14:paraId="1548F5F4">
      <w:pPr>
        <w:autoSpaceDE w:val="0"/>
        <w:autoSpaceDN w:val="0"/>
        <w:adjustRightInd w:val="0"/>
        <w:snapToGri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注册地址：</w:t>
      </w:r>
      <w:r>
        <w:rPr>
          <w:rFonts w:hint="eastAsia" w:ascii="宋体" w:hAnsi="宋体" w:eastAsia="宋体" w:cs="宋体"/>
          <w:color w:val="auto"/>
          <w:kern w:val="0"/>
          <w:szCs w:val="21"/>
          <w:highlight w:val="none"/>
          <w:u w:val="single"/>
        </w:rPr>
        <w:t xml:space="preserve">                                    </w:t>
      </w:r>
    </w:p>
    <w:p w14:paraId="081EFD3F">
      <w:pPr>
        <w:autoSpaceDE w:val="0"/>
        <w:autoSpaceDN w:val="0"/>
        <w:adjustRightInd w:val="0"/>
        <w:snapToGri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成立时间：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年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日</w:t>
      </w:r>
    </w:p>
    <w:p w14:paraId="44D2D5F5">
      <w:pPr>
        <w:autoSpaceDE w:val="0"/>
        <w:autoSpaceDN w:val="0"/>
        <w:adjustRightInd w:val="0"/>
        <w:snapToGrid w:val="0"/>
        <w:spacing w:line="360" w:lineRule="auto"/>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经营期限：</w:t>
      </w:r>
      <w:r>
        <w:rPr>
          <w:rFonts w:hint="eastAsia" w:ascii="宋体" w:hAnsi="宋体" w:eastAsia="宋体" w:cs="宋体"/>
          <w:color w:val="auto"/>
          <w:kern w:val="0"/>
          <w:szCs w:val="21"/>
          <w:highlight w:val="none"/>
          <w:u w:val="single"/>
        </w:rPr>
        <w:t xml:space="preserve">                  </w:t>
      </w:r>
    </w:p>
    <w:p w14:paraId="6E143804">
      <w:pPr>
        <w:autoSpaceDE w:val="0"/>
        <w:autoSpaceDN w:val="0"/>
        <w:adjustRightInd w:val="0"/>
        <w:snapToGrid w:val="0"/>
        <w:spacing w:line="360" w:lineRule="auto"/>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经营范围：主营：</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；兼营：</w:t>
      </w:r>
      <w:r>
        <w:rPr>
          <w:rFonts w:hint="eastAsia" w:ascii="宋体" w:hAnsi="宋体" w:eastAsia="宋体" w:cs="宋体"/>
          <w:color w:val="auto"/>
          <w:kern w:val="0"/>
          <w:szCs w:val="21"/>
          <w:highlight w:val="none"/>
          <w:u w:val="single"/>
        </w:rPr>
        <w:t xml:space="preserve">              </w:t>
      </w:r>
    </w:p>
    <w:p w14:paraId="547B65BF">
      <w:pPr>
        <w:autoSpaceDE w:val="0"/>
        <w:autoSpaceDN w:val="0"/>
        <w:adjustRightInd w:val="0"/>
        <w:snapToGri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姓名：</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性别：</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年龄：</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系</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r>
        <w:rPr>
          <w:rFonts w:hint="eastAsia" w:ascii="宋体" w:hAnsi="宋体" w:eastAsia="宋体" w:cs="宋体"/>
          <w:color w:val="auto"/>
          <w:szCs w:val="21"/>
          <w:highlight w:val="none"/>
        </w:rPr>
        <w:t>供应商</w:t>
      </w:r>
      <w:r>
        <w:rPr>
          <w:rFonts w:hint="eastAsia" w:ascii="宋体" w:hAnsi="宋体" w:eastAsia="宋体" w:cs="宋体"/>
          <w:color w:val="auto"/>
          <w:kern w:val="0"/>
          <w:szCs w:val="21"/>
          <w:highlight w:val="none"/>
        </w:rPr>
        <w:t>名称）的法定代表人。</w:t>
      </w:r>
    </w:p>
    <w:p w14:paraId="4C701E00">
      <w:pPr>
        <w:autoSpaceDE w:val="0"/>
        <w:autoSpaceDN w:val="0"/>
        <w:adjustRightInd w:val="0"/>
        <w:snapToGri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特此证明。</w:t>
      </w:r>
    </w:p>
    <w:p w14:paraId="7600EE4C">
      <w:pPr>
        <w:autoSpaceDE w:val="0"/>
        <w:autoSpaceDN w:val="0"/>
        <w:adjustRightInd w:val="0"/>
        <w:snapToGri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附：法定代表人身份证复印件</w:t>
      </w:r>
    </w:p>
    <w:tbl>
      <w:tblPr>
        <w:tblStyle w:val="43"/>
        <w:tblW w:w="864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3"/>
        <w:gridCol w:w="4324"/>
      </w:tblGrid>
      <w:tr w14:paraId="3DBDF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4323" w:type="dxa"/>
            <w:vAlign w:val="center"/>
          </w:tcPr>
          <w:p w14:paraId="3ED291EF">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身份证（正面）</w:t>
            </w:r>
          </w:p>
        </w:tc>
        <w:tc>
          <w:tcPr>
            <w:tcW w:w="4324" w:type="dxa"/>
            <w:vAlign w:val="center"/>
          </w:tcPr>
          <w:p w14:paraId="30E1474F">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身份证（反面）</w:t>
            </w:r>
          </w:p>
        </w:tc>
      </w:tr>
    </w:tbl>
    <w:p w14:paraId="5FAAFD91">
      <w:pPr>
        <w:snapToGrid w:val="0"/>
        <w:spacing w:line="360" w:lineRule="auto"/>
        <w:rPr>
          <w:rFonts w:hint="eastAsia" w:ascii="宋体" w:hAnsi="宋体" w:eastAsia="宋体" w:cs="宋体"/>
          <w:color w:val="auto"/>
          <w:szCs w:val="21"/>
          <w:highlight w:val="none"/>
        </w:rPr>
      </w:pPr>
    </w:p>
    <w:p w14:paraId="6743C204">
      <w:pPr>
        <w:adjustRightInd w:val="0"/>
        <w:snapToGrid w:val="0"/>
        <w:spacing w:line="360" w:lineRule="auto"/>
        <w:rPr>
          <w:rFonts w:hint="eastAsia" w:ascii="宋体" w:hAnsi="宋体" w:eastAsia="宋体" w:cs="宋体"/>
          <w:color w:val="auto"/>
          <w:szCs w:val="21"/>
          <w:highlight w:val="none"/>
        </w:rPr>
      </w:pPr>
    </w:p>
    <w:p w14:paraId="3E6D34D9">
      <w:pPr>
        <w:pStyle w:val="62"/>
        <w:rPr>
          <w:rFonts w:hint="eastAsia" w:ascii="宋体" w:hAnsi="宋体" w:eastAsia="宋体" w:cs="宋体"/>
          <w:color w:val="auto"/>
          <w:szCs w:val="21"/>
          <w:highlight w:val="none"/>
        </w:rPr>
      </w:pPr>
    </w:p>
    <w:p w14:paraId="718C8F4D">
      <w:pPr>
        <w:pStyle w:val="62"/>
        <w:rPr>
          <w:rFonts w:hint="eastAsia" w:ascii="宋体" w:hAnsi="宋体" w:eastAsia="宋体" w:cs="宋体"/>
          <w:color w:val="auto"/>
          <w:szCs w:val="21"/>
          <w:highlight w:val="none"/>
        </w:rPr>
      </w:pPr>
    </w:p>
    <w:p w14:paraId="3E01C621">
      <w:pPr>
        <w:adjustRightInd w:val="0"/>
        <w:snapToGrid w:val="0"/>
        <w:spacing w:line="360" w:lineRule="auto"/>
        <w:ind w:right="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供应商名称（盖单位章）：</w:t>
      </w:r>
    </w:p>
    <w:p w14:paraId="5529C64B">
      <w:pPr>
        <w:adjustRightInd w:val="0"/>
        <w:snapToGrid w:val="0"/>
        <w:spacing w:line="360" w:lineRule="auto"/>
        <w:ind w:right="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日      </w:t>
      </w:r>
    </w:p>
    <w:p w14:paraId="1E117827">
      <w:pPr>
        <w:adjustRightInd w:val="0"/>
        <w:snapToGrid w:val="0"/>
        <w:spacing w:before="120" w:beforeLines="50" w:line="360" w:lineRule="auto"/>
        <w:rPr>
          <w:rFonts w:hint="eastAsia" w:ascii="宋体" w:hAnsi="宋体" w:eastAsia="宋体" w:cs="宋体"/>
          <w:color w:val="auto"/>
          <w:szCs w:val="21"/>
          <w:highlight w:val="none"/>
        </w:rPr>
      </w:pPr>
    </w:p>
    <w:p w14:paraId="13EFBAF7">
      <w:pPr>
        <w:adjustRightInd w:val="0"/>
        <w:snapToGrid w:val="0"/>
        <w:spacing w:before="120" w:beforeLines="50" w:line="360" w:lineRule="auto"/>
        <w:rPr>
          <w:rFonts w:hint="eastAsia" w:ascii="宋体" w:hAnsi="宋体" w:eastAsia="宋体" w:cs="宋体"/>
          <w:color w:val="auto"/>
          <w:szCs w:val="21"/>
          <w:highlight w:val="none"/>
        </w:rPr>
      </w:pPr>
    </w:p>
    <w:p w14:paraId="052780E9">
      <w:pPr>
        <w:adjustRightInd w:val="0"/>
        <w:snapToGrid w:val="0"/>
        <w:spacing w:before="120" w:beforeLines="50" w:line="360" w:lineRule="auto"/>
        <w:rPr>
          <w:rFonts w:hint="eastAsia" w:ascii="宋体" w:hAnsi="宋体" w:eastAsia="宋体" w:cs="宋体"/>
          <w:bCs/>
          <w:color w:val="auto"/>
          <w:sz w:val="30"/>
          <w:szCs w:val="30"/>
          <w:highlight w:val="none"/>
        </w:rPr>
      </w:pPr>
    </w:p>
    <w:p w14:paraId="0508DD76">
      <w:pPr>
        <w:adjustRightInd w:val="0"/>
        <w:snapToGrid w:val="0"/>
        <w:spacing w:before="120" w:beforeLines="50" w:line="360" w:lineRule="auto"/>
        <w:rPr>
          <w:rFonts w:hint="eastAsia" w:ascii="宋体" w:hAnsi="宋体" w:eastAsia="宋体" w:cs="宋体"/>
          <w:bCs/>
          <w:color w:val="auto"/>
          <w:sz w:val="30"/>
          <w:szCs w:val="30"/>
          <w:highlight w:val="none"/>
        </w:rPr>
      </w:pPr>
      <w:r>
        <w:rPr>
          <w:rFonts w:hint="eastAsia" w:ascii="宋体" w:hAnsi="宋体" w:eastAsia="宋体" w:cs="宋体"/>
          <w:b/>
          <w:color w:val="auto"/>
          <w:szCs w:val="21"/>
          <w:highlight w:val="none"/>
        </w:rPr>
        <w:t>★本法定代表人身份证明须单独另备一份及法定代表人身份证</w:t>
      </w:r>
      <w:r>
        <w:rPr>
          <w:rFonts w:hint="eastAsia" w:ascii="宋体" w:hAnsi="宋体" w:eastAsia="宋体" w:cs="宋体"/>
          <w:b/>
          <w:color w:val="auto"/>
          <w:szCs w:val="21"/>
          <w:highlight w:val="none"/>
          <w:lang w:eastAsia="zh-CN"/>
        </w:rPr>
        <w:t>明</w:t>
      </w:r>
      <w:r>
        <w:rPr>
          <w:rFonts w:hint="eastAsia" w:ascii="宋体" w:hAnsi="宋体" w:eastAsia="宋体" w:cs="宋体"/>
          <w:b/>
          <w:color w:val="auto"/>
          <w:szCs w:val="21"/>
          <w:highlight w:val="none"/>
        </w:rPr>
        <w:t>原件开标现场查验。</w:t>
      </w:r>
    </w:p>
    <w:p w14:paraId="296A639A">
      <w:pPr>
        <w:adjustRightInd w:val="0"/>
        <w:snapToGrid w:val="0"/>
        <w:spacing w:before="120" w:beforeLines="50" w:line="360" w:lineRule="auto"/>
        <w:rPr>
          <w:rFonts w:hint="eastAsia" w:ascii="宋体" w:hAnsi="宋体" w:eastAsia="宋体" w:cs="宋体"/>
          <w:bCs/>
          <w:color w:val="auto"/>
          <w:sz w:val="30"/>
          <w:szCs w:val="30"/>
          <w:highlight w:val="none"/>
        </w:rPr>
      </w:pPr>
    </w:p>
    <w:p w14:paraId="0BD2D786">
      <w:pPr>
        <w:adjustRightInd w:val="0"/>
        <w:snapToGrid w:val="0"/>
        <w:spacing w:before="120" w:beforeLines="50" w:line="360" w:lineRule="auto"/>
        <w:rPr>
          <w:rFonts w:hint="eastAsia" w:ascii="宋体" w:hAnsi="宋体" w:eastAsia="宋体" w:cs="宋体"/>
          <w:bCs/>
          <w:color w:val="auto"/>
          <w:sz w:val="30"/>
          <w:szCs w:val="30"/>
          <w:highlight w:val="none"/>
        </w:rPr>
      </w:pPr>
    </w:p>
    <w:p w14:paraId="5A968E75">
      <w:pPr>
        <w:adjustRightInd w:val="0"/>
        <w:snapToGrid w:val="0"/>
        <w:spacing w:before="120" w:beforeLines="50" w:line="360" w:lineRule="auto"/>
        <w:rPr>
          <w:rFonts w:hint="eastAsia" w:ascii="宋体" w:hAnsi="宋体" w:eastAsia="宋体" w:cs="宋体"/>
          <w:bCs/>
          <w:color w:val="auto"/>
          <w:sz w:val="30"/>
          <w:szCs w:val="30"/>
          <w:highlight w:val="none"/>
        </w:rPr>
      </w:pPr>
    </w:p>
    <w:p w14:paraId="6DA40773">
      <w:pPr>
        <w:adjustRightInd w:val="0"/>
        <w:snapToGrid w:val="0"/>
        <w:spacing w:before="120" w:beforeLines="50" w:line="360" w:lineRule="auto"/>
        <w:rPr>
          <w:rFonts w:hint="eastAsia" w:ascii="宋体" w:hAnsi="宋体" w:eastAsia="宋体" w:cs="宋体"/>
          <w:bCs/>
          <w:color w:val="auto"/>
          <w:sz w:val="30"/>
          <w:szCs w:val="30"/>
          <w:highlight w:val="none"/>
        </w:rPr>
      </w:pPr>
    </w:p>
    <w:p w14:paraId="1E43B23D">
      <w:pPr>
        <w:adjustRightInd w:val="0"/>
        <w:snapToGrid w:val="0"/>
        <w:spacing w:before="120" w:beforeLines="50" w:line="360" w:lineRule="auto"/>
        <w:rPr>
          <w:rFonts w:hint="eastAsia" w:ascii="宋体" w:hAnsi="宋体" w:eastAsia="宋体" w:cs="宋体"/>
          <w:b/>
          <w:bCs w:val="0"/>
          <w:color w:val="auto"/>
          <w:sz w:val="30"/>
          <w:szCs w:val="30"/>
          <w:highlight w:val="none"/>
        </w:rPr>
      </w:pPr>
      <w:r>
        <w:rPr>
          <w:rFonts w:hint="eastAsia" w:ascii="宋体" w:hAnsi="宋体" w:eastAsia="宋体" w:cs="宋体"/>
          <w:b/>
          <w:bCs w:val="0"/>
          <w:color w:val="auto"/>
          <w:sz w:val="30"/>
          <w:szCs w:val="30"/>
          <w:highlight w:val="none"/>
        </w:rPr>
        <w:t>附件2</w:t>
      </w:r>
    </w:p>
    <w:p w14:paraId="7B4397A0">
      <w:pPr>
        <w:spacing w:line="360" w:lineRule="auto"/>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法定代表人授权委托书</w:t>
      </w:r>
    </w:p>
    <w:p w14:paraId="4FE37F15">
      <w:pPr>
        <w:pStyle w:val="42"/>
        <w:spacing w:after="240"/>
        <w:ind w:left="0" w:leftChars="0" w:firstLine="0" w:firstLineChars="0"/>
        <w:jc w:val="center"/>
        <w:rPr>
          <w:rFonts w:hint="eastAsia" w:ascii="宋体" w:hAnsi="宋体" w:eastAsia="宋体" w:cs="宋体"/>
          <w:color w:val="auto"/>
          <w:highlight w:val="none"/>
          <w:lang w:val="en-US" w:eastAsia="zh-CN"/>
        </w:rPr>
      </w:pPr>
      <w:r>
        <w:rPr>
          <w:rFonts w:hint="eastAsia" w:ascii="宋体" w:hAnsi="宋体" w:eastAsia="宋体" w:cs="宋体"/>
          <w:color w:val="auto"/>
          <w:sz w:val="21"/>
          <w:szCs w:val="21"/>
          <w:highlight w:val="none"/>
        </w:rPr>
        <w:t>(委托代理人参加磋商)</w:t>
      </w:r>
    </w:p>
    <w:p w14:paraId="3B3760E9">
      <w:pPr>
        <w:autoSpaceDE w:val="0"/>
        <w:autoSpaceDN w:val="0"/>
        <w:adjustRightInd w:val="0"/>
        <w:snapToGrid w:val="0"/>
        <w:spacing w:before="120" w:beforeLines="50"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（姓名、职务）系</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w:t>
      </w:r>
      <w:r>
        <w:rPr>
          <w:rFonts w:hint="eastAsia" w:ascii="宋体" w:hAnsi="宋体" w:eastAsia="宋体" w:cs="宋体"/>
          <w:color w:val="auto"/>
          <w:szCs w:val="21"/>
          <w:highlight w:val="none"/>
        </w:rPr>
        <w:t>供应商</w:t>
      </w:r>
      <w:r>
        <w:rPr>
          <w:rFonts w:hint="eastAsia" w:ascii="宋体" w:hAnsi="宋体" w:eastAsia="宋体" w:cs="宋体"/>
          <w:color w:val="auto"/>
          <w:kern w:val="0"/>
          <w:szCs w:val="21"/>
          <w:highlight w:val="none"/>
        </w:rPr>
        <w:t>名称）的法定代表人，现授权</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（姓名、职务）为我方代理人。代理人根据授权，以我方名义：(1)签署、澄清、补正、修改、撤回、提交</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（项目名称、</w:t>
      </w:r>
      <w:r>
        <w:rPr>
          <w:rFonts w:hint="eastAsia" w:ascii="宋体" w:hAnsi="宋体" w:cs="宋体"/>
          <w:color w:val="auto"/>
          <w:szCs w:val="21"/>
          <w:highlight w:val="none"/>
          <w:lang w:eastAsia="zh-CN"/>
        </w:rPr>
        <w:t>采购计划编号</w:t>
      </w:r>
      <w:r>
        <w:rPr>
          <w:rFonts w:hint="eastAsia" w:ascii="宋体" w:hAnsi="宋体" w:eastAsia="宋体" w:cs="宋体"/>
          <w:color w:val="auto"/>
          <w:kern w:val="0"/>
          <w:szCs w:val="21"/>
          <w:highlight w:val="none"/>
        </w:rPr>
        <w:t>、采购代理机构编号）响应文件；(2)签署并重新提交响应文件及最后报价；(3)签订合同和处理有关事宜，其法律后果由我方承担。</w:t>
      </w:r>
    </w:p>
    <w:p w14:paraId="517FFF23">
      <w:pPr>
        <w:autoSpaceDE w:val="0"/>
        <w:autoSpaceDN w:val="0"/>
        <w:adjustRightInd w:val="0"/>
        <w:snapToGrid w:val="0"/>
        <w:spacing w:before="120" w:beforeLines="50"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委托期限：</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w:t>
      </w:r>
    </w:p>
    <w:p w14:paraId="59028F35">
      <w:pPr>
        <w:spacing w:line="360" w:lineRule="auto"/>
        <w:ind w:firstLine="435"/>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代理人无转委托权。</w:t>
      </w:r>
    </w:p>
    <w:p w14:paraId="4E698194">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本授权书于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日签字生效，特此声明。</w:t>
      </w:r>
    </w:p>
    <w:p w14:paraId="3D9D66AA">
      <w:pPr>
        <w:adjustRightInd w:val="0"/>
        <w:snapToGrid w:val="0"/>
        <w:spacing w:before="120" w:beforeLines="50"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附：委托代理人身份证复印件（双面）及法定代表人身份证明(附件1，原件)</w:t>
      </w:r>
    </w:p>
    <w:tbl>
      <w:tblPr>
        <w:tblStyle w:val="43"/>
        <w:tblW w:w="864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3"/>
        <w:gridCol w:w="4324"/>
      </w:tblGrid>
      <w:tr w14:paraId="5916C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4323" w:type="dxa"/>
            <w:vAlign w:val="center"/>
          </w:tcPr>
          <w:p w14:paraId="71665787">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身份证（正面）</w:t>
            </w:r>
          </w:p>
        </w:tc>
        <w:tc>
          <w:tcPr>
            <w:tcW w:w="4324" w:type="dxa"/>
            <w:vAlign w:val="center"/>
          </w:tcPr>
          <w:p w14:paraId="72F80619">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身份证（反面）</w:t>
            </w:r>
          </w:p>
        </w:tc>
      </w:tr>
      <w:tr w14:paraId="1648A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4323" w:type="dxa"/>
            <w:vAlign w:val="center"/>
          </w:tcPr>
          <w:p w14:paraId="463B34AC">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身份证（正面）</w:t>
            </w:r>
          </w:p>
        </w:tc>
        <w:tc>
          <w:tcPr>
            <w:tcW w:w="4324" w:type="dxa"/>
            <w:vAlign w:val="center"/>
          </w:tcPr>
          <w:p w14:paraId="0F836629">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身份证（反面）</w:t>
            </w:r>
          </w:p>
        </w:tc>
      </w:tr>
    </w:tbl>
    <w:p w14:paraId="2EC0DF4F">
      <w:pPr>
        <w:adjustRightInd w:val="0"/>
        <w:snapToGrid w:val="0"/>
        <w:spacing w:before="120" w:beforeLines="50" w:line="360" w:lineRule="auto"/>
        <w:ind w:firstLine="420" w:firstLineChars="200"/>
        <w:rPr>
          <w:rFonts w:hint="eastAsia" w:ascii="宋体" w:hAnsi="宋体" w:eastAsia="宋体" w:cs="宋体"/>
          <w:color w:val="auto"/>
          <w:szCs w:val="21"/>
          <w:highlight w:val="none"/>
        </w:rPr>
      </w:pPr>
    </w:p>
    <w:p w14:paraId="1438B511">
      <w:pPr>
        <w:adjustRightInd w:val="0"/>
        <w:snapToGrid w:val="0"/>
        <w:spacing w:line="360" w:lineRule="auto"/>
        <w:ind w:right="420"/>
        <w:rPr>
          <w:rFonts w:hint="eastAsia" w:ascii="宋体" w:hAnsi="宋体" w:eastAsia="宋体" w:cs="宋体"/>
          <w:color w:val="auto"/>
          <w:szCs w:val="21"/>
          <w:highlight w:val="none"/>
        </w:rPr>
      </w:pPr>
    </w:p>
    <w:p w14:paraId="3F87C91A">
      <w:pPr>
        <w:adjustRightInd w:val="0"/>
        <w:snapToGrid w:val="0"/>
        <w:spacing w:line="360" w:lineRule="auto"/>
        <w:ind w:right="420"/>
        <w:rPr>
          <w:rFonts w:hint="eastAsia" w:ascii="宋体" w:hAnsi="宋体" w:eastAsia="宋体" w:cs="宋体"/>
          <w:color w:val="auto"/>
          <w:szCs w:val="21"/>
          <w:highlight w:val="none"/>
        </w:rPr>
      </w:pPr>
    </w:p>
    <w:p w14:paraId="5C946542">
      <w:pPr>
        <w:pStyle w:val="62"/>
        <w:rPr>
          <w:rFonts w:hint="eastAsia" w:ascii="宋体" w:hAnsi="宋体" w:eastAsia="宋体" w:cs="宋体"/>
          <w:color w:val="auto"/>
          <w:szCs w:val="21"/>
          <w:highlight w:val="none"/>
        </w:rPr>
      </w:pPr>
    </w:p>
    <w:p w14:paraId="53993C90">
      <w:pPr>
        <w:pStyle w:val="62"/>
        <w:rPr>
          <w:rFonts w:hint="eastAsia" w:ascii="宋体" w:hAnsi="宋体" w:eastAsia="宋体" w:cs="宋体"/>
          <w:color w:val="auto"/>
          <w:szCs w:val="21"/>
          <w:highlight w:val="none"/>
        </w:rPr>
      </w:pPr>
    </w:p>
    <w:p w14:paraId="2722B1AB">
      <w:pPr>
        <w:adjustRightInd w:val="0"/>
        <w:snapToGrid w:val="0"/>
        <w:spacing w:line="360" w:lineRule="auto"/>
        <w:ind w:right="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法定代表人（签字）：</w:t>
      </w:r>
      <w:r>
        <w:rPr>
          <w:rFonts w:hint="eastAsia" w:ascii="宋体" w:hAnsi="宋体" w:eastAsia="宋体" w:cs="宋体"/>
          <w:color w:val="auto"/>
          <w:szCs w:val="21"/>
          <w:highlight w:val="none"/>
          <w:u w:val="single"/>
        </w:rPr>
        <w:t xml:space="preserve">                     </w:t>
      </w:r>
    </w:p>
    <w:p w14:paraId="4A9C4739">
      <w:pPr>
        <w:adjustRightInd w:val="0"/>
        <w:snapToGrid w:val="0"/>
        <w:spacing w:line="360" w:lineRule="auto"/>
        <w:ind w:right="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委托代理人（签字）：</w:t>
      </w:r>
      <w:r>
        <w:rPr>
          <w:rFonts w:hint="eastAsia" w:ascii="宋体" w:hAnsi="宋体" w:eastAsia="宋体" w:cs="宋体"/>
          <w:color w:val="auto"/>
          <w:szCs w:val="21"/>
          <w:highlight w:val="none"/>
          <w:u w:val="single"/>
        </w:rPr>
        <w:t xml:space="preserve">                     </w:t>
      </w:r>
    </w:p>
    <w:p w14:paraId="014D5B9A">
      <w:pPr>
        <w:adjustRightInd w:val="0"/>
        <w:snapToGrid w:val="0"/>
        <w:spacing w:line="360" w:lineRule="auto"/>
        <w:ind w:right="24"/>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5EAF1FFD">
      <w:pPr>
        <w:adjustRightInd w:val="0"/>
        <w:snapToGrid w:val="0"/>
        <w:spacing w:line="360" w:lineRule="auto"/>
        <w:rPr>
          <w:rFonts w:hint="eastAsia" w:ascii="宋体" w:hAnsi="宋体" w:eastAsia="宋体" w:cs="宋体"/>
          <w:color w:val="auto"/>
          <w:kern w:val="0"/>
          <w:szCs w:val="21"/>
          <w:highlight w:val="none"/>
        </w:rPr>
      </w:pPr>
    </w:p>
    <w:p w14:paraId="377D11D9">
      <w:pPr>
        <w:adjustRightInd w:val="0"/>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b/>
          <w:color w:val="auto"/>
          <w:szCs w:val="21"/>
          <w:highlight w:val="none"/>
        </w:rPr>
        <w:t>★本授权委托书须单独另备一份及委托代理人身份证原件，并附法定代表人身份证明开标现场查验。</w:t>
      </w:r>
    </w:p>
    <w:p w14:paraId="7643981D">
      <w:pPr>
        <w:adjustRightInd w:val="0"/>
        <w:snapToGrid w:val="0"/>
        <w:spacing w:line="360" w:lineRule="auto"/>
        <w:rPr>
          <w:rFonts w:hint="eastAsia" w:ascii="宋体" w:hAnsi="宋体" w:eastAsia="宋体" w:cs="宋体"/>
          <w:color w:val="auto"/>
          <w:kern w:val="0"/>
          <w:szCs w:val="21"/>
          <w:highlight w:val="none"/>
        </w:rPr>
      </w:pPr>
    </w:p>
    <w:p w14:paraId="056955A5">
      <w:pPr>
        <w:adjustRightInd w:val="0"/>
        <w:snapToGrid w:val="0"/>
        <w:spacing w:line="360" w:lineRule="auto"/>
        <w:rPr>
          <w:rFonts w:hint="eastAsia" w:ascii="宋体" w:hAnsi="宋体" w:eastAsia="宋体" w:cs="宋体"/>
          <w:color w:val="auto"/>
          <w:kern w:val="0"/>
          <w:szCs w:val="21"/>
          <w:highlight w:val="none"/>
        </w:rPr>
      </w:pPr>
    </w:p>
    <w:p w14:paraId="0BF7699C">
      <w:pPr>
        <w:spacing w:line="360" w:lineRule="auto"/>
        <w:jc w:val="both"/>
        <w:outlineLvl w:val="1"/>
        <w:rPr>
          <w:rFonts w:hint="eastAsia" w:ascii="宋体" w:hAnsi="宋体" w:eastAsia="宋体" w:cs="宋体"/>
          <w:b/>
          <w:color w:val="auto"/>
          <w:sz w:val="32"/>
          <w:szCs w:val="32"/>
          <w:highlight w:val="none"/>
        </w:rPr>
      </w:pPr>
    </w:p>
    <w:p w14:paraId="197A5F7B">
      <w:pPr>
        <w:spacing w:line="360" w:lineRule="auto"/>
        <w:jc w:val="center"/>
        <w:outlineLvl w:val="1"/>
        <w:rPr>
          <w:rFonts w:hint="eastAsia" w:ascii="宋体" w:hAnsi="宋体" w:eastAsia="宋体" w:cs="宋体"/>
          <w:b/>
          <w:color w:val="auto"/>
          <w:sz w:val="32"/>
          <w:szCs w:val="32"/>
          <w:highlight w:val="none"/>
        </w:rPr>
      </w:pPr>
      <w:bookmarkStart w:id="364" w:name="_Toc11879753"/>
    </w:p>
    <w:p w14:paraId="11125700">
      <w:pPr>
        <w:spacing w:line="360" w:lineRule="auto"/>
        <w:jc w:val="center"/>
        <w:outlineLvl w:val="1"/>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二、磋商保证金缴纳证明材料</w:t>
      </w:r>
      <w:bookmarkEnd w:id="364"/>
    </w:p>
    <w:p w14:paraId="6093CE72">
      <w:pPr>
        <w:pStyle w:val="23"/>
        <w:adjustRightInd w:val="0"/>
        <w:snapToGrid w:val="0"/>
        <w:spacing w:before="120" w:beforeLines="50" w:line="360" w:lineRule="auto"/>
        <w:rPr>
          <w:rFonts w:hint="eastAsia" w:ascii="宋体" w:hAnsi="宋体" w:eastAsia="宋体" w:cs="宋体"/>
          <w:color w:val="auto"/>
          <w:highlight w:val="none"/>
        </w:rPr>
      </w:pPr>
    </w:p>
    <w:p w14:paraId="0F36F5BD">
      <w:pPr>
        <w:adjustRightInd w:val="0"/>
        <w:snapToGrid w:val="0"/>
        <w:spacing w:beforeLines="50" w:line="360" w:lineRule="auto"/>
        <w:ind w:firstLine="562" w:firstLineChars="200"/>
        <w:jc w:val="center"/>
        <w:rPr>
          <w:rFonts w:hint="eastAsia" w:ascii="宋体" w:hAnsi="宋体" w:eastAsia="宋体" w:cs="宋体"/>
          <w:color w:val="auto"/>
          <w:sz w:val="28"/>
          <w:szCs w:val="28"/>
          <w:highlight w:val="none"/>
          <w:lang w:eastAsia="zh-CN"/>
        </w:rPr>
      </w:pPr>
      <w:r>
        <w:rPr>
          <w:rFonts w:hint="eastAsia" w:ascii="宋体" w:hAnsi="宋体" w:eastAsia="宋体" w:cs="宋体"/>
          <w:b/>
          <w:color w:val="auto"/>
          <w:sz w:val="28"/>
          <w:szCs w:val="28"/>
          <w:highlight w:val="none"/>
          <w:lang w:eastAsia="zh-CN"/>
        </w:rPr>
        <w:t>（本项目不要求）</w:t>
      </w:r>
    </w:p>
    <w:p w14:paraId="1BE5EE35">
      <w:pPr>
        <w:spacing w:line="360" w:lineRule="auto"/>
        <w:rPr>
          <w:rFonts w:hint="eastAsia" w:ascii="宋体" w:hAnsi="宋体" w:eastAsia="宋体" w:cs="宋体"/>
          <w:color w:val="auto"/>
          <w:sz w:val="32"/>
          <w:szCs w:val="32"/>
          <w:highlight w:val="none"/>
        </w:rPr>
      </w:pPr>
    </w:p>
    <w:p w14:paraId="5EBB8569">
      <w:pPr>
        <w:spacing w:line="360" w:lineRule="auto"/>
        <w:rPr>
          <w:rFonts w:hint="eastAsia" w:ascii="宋体" w:hAnsi="宋体" w:eastAsia="宋体" w:cs="宋体"/>
          <w:color w:val="auto"/>
          <w:sz w:val="32"/>
          <w:szCs w:val="32"/>
          <w:highlight w:val="none"/>
        </w:rPr>
      </w:pPr>
    </w:p>
    <w:p w14:paraId="1537B146">
      <w:pPr>
        <w:spacing w:line="360" w:lineRule="auto"/>
        <w:rPr>
          <w:rFonts w:hint="eastAsia" w:ascii="宋体" w:hAnsi="宋体" w:eastAsia="宋体" w:cs="宋体"/>
          <w:color w:val="auto"/>
          <w:sz w:val="32"/>
          <w:szCs w:val="32"/>
          <w:highlight w:val="none"/>
        </w:rPr>
      </w:pPr>
    </w:p>
    <w:p w14:paraId="47650B2A">
      <w:pPr>
        <w:spacing w:line="360" w:lineRule="auto"/>
        <w:rPr>
          <w:rFonts w:hint="eastAsia" w:ascii="宋体" w:hAnsi="宋体" w:eastAsia="宋体" w:cs="宋体"/>
          <w:color w:val="auto"/>
          <w:sz w:val="32"/>
          <w:szCs w:val="32"/>
          <w:highlight w:val="none"/>
        </w:rPr>
      </w:pPr>
    </w:p>
    <w:p w14:paraId="5E2203B9">
      <w:pPr>
        <w:spacing w:line="360" w:lineRule="auto"/>
        <w:rPr>
          <w:rFonts w:hint="eastAsia" w:ascii="宋体" w:hAnsi="宋体" w:eastAsia="宋体" w:cs="宋体"/>
          <w:color w:val="auto"/>
          <w:sz w:val="32"/>
          <w:szCs w:val="32"/>
          <w:highlight w:val="none"/>
        </w:rPr>
      </w:pPr>
    </w:p>
    <w:p w14:paraId="51337F31">
      <w:pPr>
        <w:spacing w:line="360" w:lineRule="auto"/>
        <w:rPr>
          <w:rFonts w:hint="eastAsia" w:ascii="宋体" w:hAnsi="宋体" w:eastAsia="宋体" w:cs="宋体"/>
          <w:color w:val="auto"/>
          <w:sz w:val="32"/>
          <w:szCs w:val="32"/>
          <w:highlight w:val="none"/>
        </w:rPr>
      </w:pPr>
    </w:p>
    <w:p w14:paraId="3A21CDCB">
      <w:pPr>
        <w:spacing w:line="360" w:lineRule="auto"/>
        <w:rPr>
          <w:rFonts w:hint="eastAsia" w:ascii="宋体" w:hAnsi="宋体" w:eastAsia="宋体" w:cs="宋体"/>
          <w:color w:val="auto"/>
          <w:sz w:val="32"/>
          <w:szCs w:val="32"/>
          <w:highlight w:val="none"/>
        </w:rPr>
      </w:pPr>
    </w:p>
    <w:p w14:paraId="562A3E3C">
      <w:pPr>
        <w:spacing w:line="360" w:lineRule="auto"/>
        <w:rPr>
          <w:rFonts w:hint="eastAsia" w:ascii="宋体" w:hAnsi="宋体" w:eastAsia="宋体" w:cs="宋体"/>
          <w:color w:val="auto"/>
          <w:sz w:val="32"/>
          <w:szCs w:val="32"/>
          <w:highlight w:val="none"/>
        </w:rPr>
      </w:pPr>
    </w:p>
    <w:p w14:paraId="0222ABDB">
      <w:pPr>
        <w:spacing w:line="360" w:lineRule="auto"/>
        <w:jc w:val="center"/>
        <w:outlineLvl w:val="1"/>
        <w:rPr>
          <w:rFonts w:hint="eastAsia" w:ascii="宋体" w:hAnsi="宋体" w:eastAsia="宋体" w:cs="宋体"/>
          <w:b/>
          <w:bCs/>
          <w:color w:val="auto"/>
          <w:sz w:val="32"/>
          <w:szCs w:val="32"/>
          <w:highlight w:val="none"/>
        </w:rPr>
      </w:pPr>
      <w:r>
        <w:rPr>
          <w:rFonts w:hint="eastAsia" w:ascii="宋体" w:hAnsi="宋体" w:eastAsia="宋体" w:cs="宋体"/>
          <w:b/>
          <w:color w:val="auto"/>
          <w:sz w:val="32"/>
          <w:szCs w:val="32"/>
          <w:highlight w:val="none"/>
        </w:rPr>
        <w:br w:type="page"/>
      </w:r>
      <w:bookmarkStart w:id="365" w:name="_Toc11879755"/>
      <w:r>
        <w:rPr>
          <w:rFonts w:hint="eastAsia" w:ascii="宋体" w:hAnsi="宋体" w:eastAsia="宋体" w:cs="宋体"/>
          <w:b/>
          <w:color w:val="auto"/>
          <w:sz w:val="32"/>
          <w:szCs w:val="32"/>
          <w:highlight w:val="none"/>
        </w:rPr>
        <w:t>三、供应商的资格证明资料</w:t>
      </w:r>
      <w:bookmarkEnd w:id="365"/>
    </w:p>
    <w:p w14:paraId="13321F8D">
      <w:pPr>
        <w:spacing w:line="360" w:lineRule="auto"/>
        <w:rPr>
          <w:rFonts w:hint="eastAsia" w:ascii="宋体" w:hAnsi="宋体" w:eastAsia="宋体" w:cs="宋体"/>
          <w:b/>
          <w:color w:val="auto"/>
          <w:sz w:val="30"/>
          <w:szCs w:val="30"/>
          <w:highlight w:val="none"/>
        </w:rPr>
      </w:pPr>
      <w:r>
        <w:rPr>
          <w:rFonts w:hint="eastAsia" w:ascii="宋体" w:hAnsi="宋体" w:eastAsia="宋体" w:cs="宋体"/>
          <w:b/>
          <w:bCs w:val="0"/>
          <w:color w:val="auto"/>
          <w:sz w:val="30"/>
          <w:szCs w:val="30"/>
          <w:highlight w:val="none"/>
        </w:rPr>
        <w:t>附件</w:t>
      </w:r>
      <w:r>
        <w:rPr>
          <w:rFonts w:hint="eastAsia" w:ascii="宋体" w:hAnsi="宋体" w:eastAsia="宋体" w:cs="宋体"/>
          <w:b/>
          <w:bCs w:val="0"/>
          <w:color w:val="auto"/>
          <w:sz w:val="30"/>
          <w:szCs w:val="30"/>
          <w:highlight w:val="none"/>
          <w:lang w:val="en-US" w:eastAsia="zh-CN"/>
        </w:rPr>
        <w:t>3</w:t>
      </w:r>
      <w:r>
        <w:rPr>
          <w:rFonts w:hint="eastAsia" w:ascii="宋体" w:hAnsi="宋体" w:eastAsia="宋体" w:cs="宋体"/>
          <w:b/>
          <w:bCs w:val="0"/>
          <w:color w:val="auto"/>
          <w:sz w:val="30"/>
          <w:szCs w:val="30"/>
          <w:highlight w:val="none"/>
        </w:rPr>
        <w:t xml:space="preserve">      </w:t>
      </w:r>
      <w:r>
        <w:rPr>
          <w:rFonts w:hint="eastAsia" w:ascii="宋体" w:hAnsi="宋体" w:eastAsia="宋体" w:cs="宋体"/>
          <w:b/>
          <w:color w:val="auto"/>
          <w:sz w:val="30"/>
          <w:szCs w:val="30"/>
          <w:highlight w:val="none"/>
        </w:rPr>
        <w:t xml:space="preserve">       </w:t>
      </w:r>
      <w:r>
        <w:rPr>
          <w:rFonts w:hint="eastAsia" w:ascii="宋体" w:hAnsi="宋体" w:eastAsia="宋体" w:cs="宋体"/>
          <w:b/>
          <w:color w:val="auto"/>
          <w:sz w:val="32"/>
          <w:szCs w:val="32"/>
          <w:highlight w:val="none"/>
        </w:rPr>
        <w:t xml:space="preserve">   供应商基本情况表</w:t>
      </w:r>
    </w:p>
    <w:p w14:paraId="2F8FFA1E">
      <w:pPr>
        <w:spacing w:line="360" w:lineRule="auto"/>
        <w:rPr>
          <w:rFonts w:hint="eastAsia" w:ascii="宋体" w:hAnsi="宋体" w:eastAsia="宋体" w:cs="宋体"/>
          <w:color w:val="auto"/>
          <w:sz w:val="30"/>
          <w:szCs w:val="30"/>
          <w:highlight w:val="none"/>
        </w:rPr>
      </w:pPr>
    </w:p>
    <w:p w14:paraId="2B371253">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盖供应商单位章</w:t>
      </w:r>
    </w:p>
    <w:tbl>
      <w:tblPr>
        <w:tblStyle w:val="43"/>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9"/>
        <w:gridCol w:w="546"/>
        <w:gridCol w:w="367"/>
        <w:gridCol w:w="1159"/>
        <w:gridCol w:w="861"/>
        <w:gridCol w:w="599"/>
        <w:gridCol w:w="297"/>
        <w:gridCol w:w="1099"/>
        <w:gridCol w:w="1347"/>
        <w:gridCol w:w="1937"/>
      </w:tblGrid>
      <w:tr w14:paraId="63C80C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642" w:type="dxa"/>
            <w:gridSpan w:val="3"/>
            <w:tcBorders>
              <w:top w:val="double" w:color="auto" w:sz="4" w:space="0"/>
              <w:left w:val="double" w:color="auto" w:sz="4" w:space="0"/>
              <w:bottom w:val="single" w:color="auto" w:sz="6" w:space="0"/>
              <w:right w:val="single" w:color="auto" w:sz="6" w:space="0"/>
            </w:tcBorders>
            <w:noWrap w:val="0"/>
            <w:vAlign w:val="center"/>
          </w:tcPr>
          <w:p w14:paraId="6EA960D9">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w:t>
            </w:r>
          </w:p>
        </w:tc>
        <w:tc>
          <w:tcPr>
            <w:tcW w:w="7299" w:type="dxa"/>
            <w:gridSpan w:val="7"/>
            <w:tcBorders>
              <w:top w:val="double" w:color="auto" w:sz="4" w:space="0"/>
              <w:left w:val="single" w:color="auto" w:sz="6" w:space="0"/>
              <w:bottom w:val="single" w:color="auto" w:sz="6" w:space="0"/>
              <w:right w:val="double" w:color="auto" w:sz="4" w:space="0"/>
            </w:tcBorders>
            <w:noWrap w:val="0"/>
            <w:vAlign w:val="center"/>
          </w:tcPr>
          <w:p w14:paraId="0B56E368">
            <w:pPr>
              <w:topLinePunct/>
              <w:spacing w:line="360" w:lineRule="auto"/>
              <w:jc w:val="center"/>
              <w:rPr>
                <w:rFonts w:hint="eastAsia" w:ascii="宋体" w:hAnsi="宋体" w:eastAsia="宋体" w:cs="宋体"/>
                <w:color w:val="auto"/>
                <w:szCs w:val="21"/>
                <w:highlight w:val="none"/>
              </w:rPr>
            </w:pPr>
          </w:p>
        </w:tc>
      </w:tr>
      <w:tr w14:paraId="17E6EB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14:paraId="7D878BCF">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14:paraId="0A81E45B">
            <w:pPr>
              <w:topLinePunct/>
              <w:spacing w:line="360" w:lineRule="auto"/>
              <w:jc w:val="center"/>
              <w:rPr>
                <w:rFonts w:hint="eastAsia" w:ascii="宋体" w:hAnsi="宋体" w:eastAsia="宋体" w:cs="宋体"/>
                <w:color w:val="auto"/>
                <w:szCs w:val="21"/>
                <w:highlight w:val="none"/>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14:paraId="11F26473">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p>
        </w:tc>
        <w:tc>
          <w:tcPr>
            <w:tcW w:w="1937" w:type="dxa"/>
            <w:tcBorders>
              <w:top w:val="single" w:color="auto" w:sz="6" w:space="0"/>
              <w:left w:val="single" w:color="auto" w:sz="6" w:space="0"/>
              <w:bottom w:val="single" w:color="auto" w:sz="6" w:space="0"/>
              <w:right w:val="double" w:color="auto" w:sz="4" w:space="0"/>
            </w:tcBorders>
            <w:noWrap w:val="0"/>
            <w:vAlign w:val="center"/>
          </w:tcPr>
          <w:p w14:paraId="5BF7BDA1">
            <w:pPr>
              <w:topLinePunct/>
              <w:spacing w:line="360" w:lineRule="auto"/>
              <w:jc w:val="center"/>
              <w:rPr>
                <w:rFonts w:hint="eastAsia" w:ascii="宋体" w:hAnsi="宋体" w:eastAsia="宋体" w:cs="宋体"/>
                <w:color w:val="auto"/>
                <w:szCs w:val="21"/>
                <w:highlight w:val="none"/>
              </w:rPr>
            </w:pPr>
          </w:p>
        </w:tc>
      </w:tr>
      <w:tr w14:paraId="103E73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14:paraId="661EEACC">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委托代理人</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14:paraId="57FF6913">
            <w:pPr>
              <w:topLinePunct/>
              <w:spacing w:line="360" w:lineRule="auto"/>
              <w:jc w:val="center"/>
              <w:rPr>
                <w:rFonts w:hint="eastAsia" w:ascii="宋体" w:hAnsi="宋体" w:eastAsia="宋体" w:cs="宋体"/>
                <w:color w:val="auto"/>
                <w:szCs w:val="21"/>
                <w:highlight w:val="none"/>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14:paraId="38C07CAD">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电子邮箱</w:t>
            </w:r>
          </w:p>
        </w:tc>
        <w:tc>
          <w:tcPr>
            <w:tcW w:w="1937" w:type="dxa"/>
            <w:tcBorders>
              <w:top w:val="single" w:color="auto" w:sz="6" w:space="0"/>
              <w:left w:val="single" w:color="auto" w:sz="6" w:space="0"/>
              <w:bottom w:val="single" w:color="auto" w:sz="6" w:space="0"/>
              <w:right w:val="double" w:color="auto" w:sz="4" w:space="0"/>
            </w:tcBorders>
            <w:noWrap w:val="0"/>
            <w:vAlign w:val="center"/>
          </w:tcPr>
          <w:p w14:paraId="3C4F0D7B">
            <w:pPr>
              <w:topLinePunct/>
              <w:spacing w:line="360" w:lineRule="auto"/>
              <w:jc w:val="center"/>
              <w:rPr>
                <w:rFonts w:hint="eastAsia" w:ascii="宋体" w:hAnsi="宋体" w:eastAsia="宋体" w:cs="宋体"/>
                <w:color w:val="auto"/>
                <w:szCs w:val="21"/>
                <w:highlight w:val="none"/>
              </w:rPr>
            </w:pPr>
          </w:p>
        </w:tc>
      </w:tr>
      <w:tr w14:paraId="46D5DB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14:paraId="250D522A">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上年营业收入</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14:paraId="5B9D2D3A">
            <w:pPr>
              <w:topLinePunct/>
              <w:spacing w:line="360" w:lineRule="auto"/>
              <w:jc w:val="center"/>
              <w:rPr>
                <w:rFonts w:hint="eastAsia" w:ascii="宋体" w:hAnsi="宋体" w:eastAsia="宋体" w:cs="宋体"/>
                <w:color w:val="auto"/>
                <w:szCs w:val="21"/>
                <w:highlight w:val="none"/>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14:paraId="2F28C82D">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员工总人数</w:t>
            </w:r>
          </w:p>
        </w:tc>
        <w:tc>
          <w:tcPr>
            <w:tcW w:w="1937" w:type="dxa"/>
            <w:tcBorders>
              <w:top w:val="single" w:color="auto" w:sz="6" w:space="0"/>
              <w:left w:val="single" w:color="auto" w:sz="6" w:space="0"/>
              <w:bottom w:val="single" w:color="auto" w:sz="6" w:space="0"/>
              <w:right w:val="double" w:color="auto" w:sz="4" w:space="0"/>
            </w:tcBorders>
            <w:noWrap w:val="0"/>
            <w:vAlign w:val="center"/>
          </w:tcPr>
          <w:p w14:paraId="080D4489">
            <w:pPr>
              <w:topLinePunct/>
              <w:spacing w:line="360" w:lineRule="auto"/>
              <w:jc w:val="center"/>
              <w:rPr>
                <w:rFonts w:hint="eastAsia" w:ascii="宋体" w:hAnsi="宋体" w:eastAsia="宋体" w:cs="宋体"/>
                <w:color w:val="auto"/>
                <w:szCs w:val="21"/>
                <w:highlight w:val="none"/>
              </w:rPr>
            </w:pPr>
          </w:p>
        </w:tc>
      </w:tr>
      <w:tr w14:paraId="364B7A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restart"/>
            <w:tcBorders>
              <w:top w:val="single" w:color="auto" w:sz="6" w:space="0"/>
              <w:left w:val="double" w:color="auto" w:sz="4" w:space="0"/>
              <w:bottom w:val="single" w:color="auto" w:sz="6" w:space="0"/>
              <w:right w:val="single" w:color="auto" w:sz="6" w:space="0"/>
            </w:tcBorders>
            <w:noWrap w:val="0"/>
            <w:vAlign w:val="center"/>
          </w:tcPr>
          <w:p w14:paraId="684843EF">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营业执照</w:t>
            </w: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72BA53F7">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注册号码</w:t>
            </w:r>
          </w:p>
        </w:tc>
        <w:tc>
          <w:tcPr>
            <w:tcW w:w="1460" w:type="dxa"/>
            <w:gridSpan w:val="2"/>
            <w:tcBorders>
              <w:top w:val="single" w:color="auto" w:sz="6" w:space="0"/>
              <w:left w:val="single" w:color="auto" w:sz="6" w:space="0"/>
              <w:bottom w:val="single" w:color="auto" w:sz="6" w:space="0"/>
              <w:right w:val="single" w:color="auto" w:sz="6" w:space="0"/>
            </w:tcBorders>
            <w:noWrap w:val="0"/>
            <w:vAlign w:val="center"/>
          </w:tcPr>
          <w:p w14:paraId="34DF13EB">
            <w:pPr>
              <w:topLinePunct/>
              <w:spacing w:line="360" w:lineRule="auto"/>
              <w:jc w:val="center"/>
              <w:rPr>
                <w:rFonts w:hint="eastAsia" w:ascii="宋体" w:hAnsi="宋体" w:eastAsia="宋体" w:cs="宋体"/>
                <w:color w:val="auto"/>
                <w:szCs w:val="21"/>
                <w:highlight w:val="none"/>
              </w:rPr>
            </w:pPr>
          </w:p>
        </w:tc>
        <w:tc>
          <w:tcPr>
            <w:tcW w:w="1396" w:type="dxa"/>
            <w:gridSpan w:val="2"/>
            <w:tcBorders>
              <w:top w:val="single" w:color="auto" w:sz="6" w:space="0"/>
              <w:left w:val="single" w:color="auto" w:sz="6" w:space="0"/>
              <w:bottom w:val="single" w:color="auto" w:sz="6" w:space="0"/>
              <w:right w:val="single" w:color="auto" w:sz="6" w:space="0"/>
            </w:tcBorders>
            <w:noWrap w:val="0"/>
            <w:vAlign w:val="center"/>
          </w:tcPr>
          <w:p w14:paraId="3F804FC5">
            <w:pPr>
              <w:topLinePunct/>
              <w:spacing w:line="360" w:lineRule="auto"/>
              <w:ind w:firstLine="105" w:firstLineChar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注册地址</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4E5D14E1">
            <w:pPr>
              <w:topLinePunct/>
              <w:spacing w:line="360" w:lineRule="auto"/>
              <w:ind w:firstLine="105" w:firstLineChars="50"/>
              <w:jc w:val="center"/>
              <w:rPr>
                <w:rFonts w:hint="eastAsia" w:ascii="宋体" w:hAnsi="宋体" w:eastAsia="宋体" w:cs="宋体"/>
                <w:color w:val="auto"/>
                <w:szCs w:val="21"/>
                <w:highlight w:val="none"/>
              </w:rPr>
            </w:pPr>
          </w:p>
        </w:tc>
      </w:tr>
      <w:tr w14:paraId="19B8FD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14:paraId="6F8043BF">
            <w:pPr>
              <w:topLinePunct/>
              <w:spacing w:line="360" w:lineRule="auto"/>
              <w:jc w:val="center"/>
              <w:rPr>
                <w:rFonts w:hint="eastAsia" w:ascii="宋体" w:hAnsi="宋体" w:eastAsia="宋体" w:cs="宋体"/>
                <w:color w:val="auto"/>
                <w:szCs w:val="21"/>
                <w:highlight w:val="none"/>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7CDA7377">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发证机关</w:t>
            </w:r>
          </w:p>
        </w:tc>
        <w:tc>
          <w:tcPr>
            <w:tcW w:w="1460" w:type="dxa"/>
            <w:gridSpan w:val="2"/>
            <w:tcBorders>
              <w:top w:val="single" w:color="auto" w:sz="6" w:space="0"/>
              <w:left w:val="single" w:color="auto" w:sz="6" w:space="0"/>
              <w:bottom w:val="single" w:color="auto" w:sz="6" w:space="0"/>
              <w:right w:val="single" w:color="auto" w:sz="6" w:space="0"/>
            </w:tcBorders>
            <w:noWrap w:val="0"/>
            <w:vAlign w:val="center"/>
          </w:tcPr>
          <w:p w14:paraId="5EF64236">
            <w:pPr>
              <w:topLinePunct/>
              <w:spacing w:line="360" w:lineRule="auto"/>
              <w:jc w:val="center"/>
              <w:rPr>
                <w:rFonts w:hint="eastAsia" w:ascii="宋体" w:hAnsi="宋体" w:eastAsia="宋体" w:cs="宋体"/>
                <w:color w:val="auto"/>
                <w:szCs w:val="21"/>
                <w:highlight w:val="none"/>
              </w:rPr>
            </w:pPr>
          </w:p>
        </w:tc>
        <w:tc>
          <w:tcPr>
            <w:tcW w:w="1396" w:type="dxa"/>
            <w:gridSpan w:val="2"/>
            <w:tcBorders>
              <w:top w:val="single" w:color="auto" w:sz="6" w:space="0"/>
              <w:left w:val="single" w:color="auto" w:sz="6" w:space="0"/>
              <w:bottom w:val="single" w:color="auto" w:sz="6" w:space="0"/>
              <w:right w:val="single" w:color="auto" w:sz="6" w:space="0"/>
            </w:tcBorders>
            <w:noWrap w:val="0"/>
            <w:vAlign w:val="center"/>
          </w:tcPr>
          <w:p w14:paraId="435403F9">
            <w:pPr>
              <w:topLinePunct/>
              <w:spacing w:line="360" w:lineRule="auto"/>
              <w:ind w:firstLine="105" w:firstLineChar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发证日期</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273F12C1">
            <w:pPr>
              <w:topLinePunct/>
              <w:spacing w:line="360" w:lineRule="auto"/>
              <w:ind w:firstLine="105" w:firstLineChars="50"/>
              <w:jc w:val="center"/>
              <w:rPr>
                <w:rFonts w:hint="eastAsia" w:ascii="宋体" w:hAnsi="宋体" w:eastAsia="宋体" w:cs="宋体"/>
                <w:color w:val="auto"/>
                <w:szCs w:val="21"/>
                <w:highlight w:val="none"/>
              </w:rPr>
            </w:pPr>
          </w:p>
        </w:tc>
      </w:tr>
      <w:tr w14:paraId="72D994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14:paraId="40DAB841">
            <w:pPr>
              <w:topLinePunct/>
              <w:spacing w:line="360" w:lineRule="auto"/>
              <w:jc w:val="center"/>
              <w:rPr>
                <w:rFonts w:hint="eastAsia" w:ascii="宋体" w:hAnsi="宋体" w:eastAsia="宋体" w:cs="宋体"/>
                <w:color w:val="auto"/>
                <w:szCs w:val="21"/>
                <w:highlight w:val="none"/>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5CB8EDE8">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营业范围（主营）</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196F353F">
            <w:pPr>
              <w:topLinePunct/>
              <w:spacing w:line="360" w:lineRule="auto"/>
              <w:ind w:firstLine="105" w:firstLineChars="50"/>
              <w:jc w:val="center"/>
              <w:rPr>
                <w:rFonts w:hint="eastAsia" w:ascii="宋体" w:hAnsi="宋体" w:eastAsia="宋体" w:cs="宋体"/>
                <w:color w:val="auto"/>
                <w:szCs w:val="21"/>
                <w:highlight w:val="none"/>
              </w:rPr>
            </w:pPr>
          </w:p>
        </w:tc>
      </w:tr>
      <w:tr w14:paraId="07AE00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14:paraId="5F80E5A4">
            <w:pPr>
              <w:topLinePunct/>
              <w:spacing w:line="360" w:lineRule="auto"/>
              <w:jc w:val="center"/>
              <w:rPr>
                <w:rFonts w:hint="eastAsia" w:ascii="宋体" w:hAnsi="宋体" w:eastAsia="宋体" w:cs="宋体"/>
                <w:color w:val="auto"/>
                <w:szCs w:val="21"/>
                <w:highlight w:val="none"/>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4F077B91">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营业范围（兼营）</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35FC49A3">
            <w:pPr>
              <w:topLinePunct/>
              <w:spacing w:line="360" w:lineRule="auto"/>
              <w:ind w:firstLine="105" w:firstLineChars="50"/>
              <w:jc w:val="center"/>
              <w:rPr>
                <w:rFonts w:hint="eastAsia" w:ascii="宋体" w:hAnsi="宋体" w:eastAsia="宋体" w:cs="宋体"/>
                <w:color w:val="auto"/>
                <w:szCs w:val="21"/>
                <w:highlight w:val="none"/>
              </w:rPr>
            </w:pPr>
          </w:p>
        </w:tc>
      </w:tr>
      <w:tr w14:paraId="7E95F2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1" w:hRule="atLeast"/>
        </w:trPr>
        <w:tc>
          <w:tcPr>
            <w:tcW w:w="2801" w:type="dxa"/>
            <w:gridSpan w:val="4"/>
            <w:tcBorders>
              <w:top w:val="single" w:color="auto" w:sz="6" w:space="0"/>
              <w:left w:val="double" w:color="auto" w:sz="4" w:space="0"/>
              <w:bottom w:val="single" w:color="auto" w:sz="6" w:space="0"/>
              <w:right w:val="single" w:color="auto" w:sz="6" w:space="0"/>
            </w:tcBorders>
            <w:noWrap w:val="0"/>
            <w:vAlign w:val="center"/>
          </w:tcPr>
          <w:p w14:paraId="331FC4AA">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基本账户开户行及账号</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3919B85C">
            <w:pPr>
              <w:topLinePunct/>
              <w:spacing w:line="360" w:lineRule="auto"/>
              <w:jc w:val="center"/>
              <w:rPr>
                <w:rFonts w:hint="eastAsia" w:ascii="宋体" w:hAnsi="宋体" w:eastAsia="宋体" w:cs="宋体"/>
                <w:color w:val="auto"/>
                <w:szCs w:val="21"/>
                <w:highlight w:val="none"/>
              </w:rPr>
            </w:pPr>
          </w:p>
        </w:tc>
      </w:tr>
      <w:tr w14:paraId="0855DF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1" w:hRule="atLeast"/>
        </w:trPr>
        <w:tc>
          <w:tcPr>
            <w:tcW w:w="2801" w:type="dxa"/>
            <w:gridSpan w:val="4"/>
            <w:tcBorders>
              <w:top w:val="single" w:color="auto" w:sz="6" w:space="0"/>
              <w:left w:val="double" w:color="auto" w:sz="4" w:space="0"/>
              <w:bottom w:val="single" w:color="auto" w:sz="6" w:space="0"/>
              <w:right w:val="single" w:color="auto" w:sz="6" w:space="0"/>
            </w:tcBorders>
            <w:noWrap w:val="0"/>
            <w:vAlign w:val="center"/>
          </w:tcPr>
          <w:p w14:paraId="19128B3B">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税务登记机关</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498D698C">
            <w:pPr>
              <w:topLinePunct/>
              <w:spacing w:line="360" w:lineRule="auto"/>
              <w:jc w:val="center"/>
              <w:rPr>
                <w:rFonts w:hint="eastAsia" w:ascii="宋体" w:hAnsi="宋体" w:eastAsia="宋体" w:cs="宋体"/>
                <w:color w:val="auto"/>
                <w:szCs w:val="21"/>
                <w:highlight w:val="none"/>
              </w:rPr>
            </w:pPr>
          </w:p>
        </w:tc>
      </w:tr>
      <w:tr w14:paraId="058BA3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0"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614E1BBF">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资质名称</w:t>
            </w: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6B98E2BD">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等级</w:t>
            </w:r>
          </w:p>
        </w:tc>
        <w:tc>
          <w:tcPr>
            <w:tcW w:w="1099" w:type="dxa"/>
            <w:tcBorders>
              <w:top w:val="single" w:color="auto" w:sz="6" w:space="0"/>
              <w:left w:val="single" w:color="auto" w:sz="6" w:space="0"/>
              <w:bottom w:val="single" w:color="auto" w:sz="6" w:space="0"/>
              <w:right w:val="single" w:color="auto" w:sz="6" w:space="0"/>
            </w:tcBorders>
            <w:noWrap w:val="0"/>
            <w:vAlign w:val="center"/>
          </w:tcPr>
          <w:p w14:paraId="7452A5E5">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发证机关</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6D0F3507">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有效期</w:t>
            </w:r>
          </w:p>
        </w:tc>
      </w:tr>
      <w:tr w14:paraId="4E3FD2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5BF86B75">
            <w:pPr>
              <w:topLinePunct/>
              <w:spacing w:line="360" w:lineRule="auto"/>
              <w:jc w:val="center"/>
              <w:rPr>
                <w:rFonts w:hint="eastAsia" w:ascii="宋体" w:hAnsi="宋体" w:eastAsia="宋体" w:cs="宋体"/>
                <w:color w:val="auto"/>
                <w:szCs w:val="21"/>
                <w:highlight w:val="none"/>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121BB921">
            <w:pPr>
              <w:topLinePunct/>
              <w:spacing w:line="360" w:lineRule="auto"/>
              <w:jc w:val="center"/>
              <w:rPr>
                <w:rFonts w:hint="eastAsia" w:ascii="宋体" w:hAnsi="宋体" w:eastAsia="宋体" w:cs="宋体"/>
                <w:color w:val="auto"/>
                <w:szCs w:val="21"/>
                <w:highlight w:val="none"/>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3FDA1C2C">
            <w:pPr>
              <w:topLinePunct/>
              <w:spacing w:line="360" w:lineRule="auto"/>
              <w:jc w:val="center"/>
              <w:rPr>
                <w:rFonts w:hint="eastAsia" w:ascii="宋体" w:hAnsi="宋体" w:eastAsia="宋体" w:cs="宋体"/>
                <w:color w:val="auto"/>
                <w:szCs w:val="21"/>
                <w:highlight w:val="none"/>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7994BBE8">
            <w:pPr>
              <w:topLinePunct/>
              <w:spacing w:line="360" w:lineRule="auto"/>
              <w:jc w:val="center"/>
              <w:rPr>
                <w:rFonts w:hint="eastAsia" w:ascii="宋体" w:hAnsi="宋体" w:eastAsia="宋体" w:cs="宋体"/>
                <w:color w:val="auto"/>
                <w:szCs w:val="21"/>
                <w:highlight w:val="none"/>
              </w:rPr>
            </w:pPr>
          </w:p>
        </w:tc>
      </w:tr>
      <w:tr w14:paraId="518A79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05A98EBE">
            <w:pPr>
              <w:topLinePunct/>
              <w:spacing w:line="360" w:lineRule="auto"/>
              <w:jc w:val="center"/>
              <w:rPr>
                <w:rFonts w:hint="eastAsia" w:ascii="宋体" w:hAnsi="宋体" w:eastAsia="宋体" w:cs="宋体"/>
                <w:color w:val="auto"/>
                <w:szCs w:val="21"/>
                <w:highlight w:val="none"/>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0290B956">
            <w:pPr>
              <w:topLinePunct/>
              <w:spacing w:line="360" w:lineRule="auto"/>
              <w:jc w:val="center"/>
              <w:rPr>
                <w:rFonts w:hint="eastAsia" w:ascii="宋体" w:hAnsi="宋体" w:eastAsia="宋体" w:cs="宋体"/>
                <w:color w:val="auto"/>
                <w:szCs w:val="21"/>
                <w:highlight w:val="none"/>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3C3377F8">
            <w:pPr>
              <w:topLinePunct/>
              <w:spacing w:line="360" w:lineRule="auto"/>
              <w:jc w:val="center"/>
              <w:rPr>
                <w:rFonts w:hint="eastAsia" w:ascii="宋体" w:hAnsi="宋体" w:eastAsia="宋体" w:cs="宋体"/>
                <w:color w:val="auto"/>
                <w:szCs w:val="21"/>
                <w:highlight w:val="none"/>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70E9FE4B">
            <w:pPr>
              <w:topLinePunct/>
              <w:spacing w:line="360" w:lineRule="auto"/>
              <w:jc w:val="center"/>
              <w:rPr>
                <w:rFonts w:hint="eastAsia" w:ascii="宋体" w:hAnsi="宋体" w:eastAsia="宋体" w:cs="宋体"/>
                <w:color w:val="auto"/>
                <w:szCs w:val="21"/>
                <w:highlight w:val="none"/>
              </w:rPr>
            </w:pPr>
          </w:p>
        </w:tc>
      </w:tr>
      <w:tr w14:paraId="60CA33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640FCAF2">
            <w:pPr>
              <w:topLinePunct/>
              <w:spacing w:line="360" w:lineRule="auto"/>
              <w:jc w:val="center"/>
              <w:rPr>
                <w:rFonts w:hint="eastAsia" w:ascii="宋体" w:hAnsi="宋体" w:eastAsia="宋体" w:cs="宋体"/>
                <w:color w:val="auto"/>
                <w:szCs w:val="21"/>
                <w:highlight w:val="none"/>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77ECC2DB">
            <w:pPr>
              <w:topLinePunct/>
              <w:spacing w:line="360" w:lineRule="auto"/>
              <w:jc w:val="center"/>
              <w:rPr>
                <w:rFonts w:hint="eastAsia" w:ascii="宋体" w:hAnsi="宋体" w:eastAsia="宋体" w:cs="宋体"/>
                <w:color w:val="auto"/>
                <w:szCs w:val="21"/>
                <w:highlight w:val="none"/>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4B778E7A">
            <w:pPr>
              <w:topLinePunct/>
              <w:spacing w:line="360" w:lineRule="auto"/>
              <w:jc w:val="center"/>
              <w:rPr>
                <w:rFonts w:hint="eastAsia" w:ascii="宋体" w:hAnsi="宋体" w:eastAsia="宋体" w:cs="宋体"/>
                <w:color w:val="auto"/>
                <w:szCs w:val="21"/>
                <w:highlight w:val="none"/>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29C54D03">
            <w:pPr>
              <w:topLinePunct/>
              <w:spacing w:line="360" w:lineRule="auto"/>
              <w:jc w:val="center"/>
              <w:rPr>
                <w:rFonts w:hint="eastAsia" w:ascii="宋体" w:hAnsi="宋体" w:eastAsia="宋体" w:cs="宋体"/>
                <w:color w:val="auto"/>
                <w:szCs w:val="21"/>
                <w:highlight w:val="none"/>
              </w:rPr>
            </w:pPr>
          </w:p>
        </w:tc>
      </w:tr>
      <w:tr w14:paraId="4DC2D5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64B5BD7B">
            <w:pPr>
              <w:topLinePunct/>
              <w:spacing w:line="360" w:lineRule="auto"/>
              <w:jc w:val="center"/>
              <w:rPr>
                <w:rFonts w:hint="eastAsia" w:ascii="宋体" w:hAnsi="宋体" w:eastAsia="宋体" w:cs="宋体"/>
                <w:color w:val="auto"/>
                <w:szCs w:val="21"/>
                <w:highlight w:val="none"/>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1A3990E4">
            <w:pPr>
              <w:topLinePunct/>
              <w:spacing w:line="360" w:lineRule="auto"/>
              <w:jc w:val="center"/>
              <w:rPr>
                <w:rFonts w:hint="eastAsia" w:ascii="宋体" w:hAnsi="宋体" w:eastAsia="宋体" w:cs="宋体"/>
                <w:color w:val="auto"/>
                <w:szCs w:val="21"/>
                <w:highlight w:val="none"/>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0165D322">
            <w:pPr>
              <w:topLinePunct/>
              <w:spacing w:line="360" w:lineRule="auto"/>
              <w:jc w:val="center"/>
              <w:rPr>
                <w:rFonts w:hint="eastAsia" w:ascii="宋体" w:hAnsi="宋体" w:eastAsia="宋体" w:cs="宋体"/>
                <w:color w:val="auto"/>
                <w:szCs w:val="21"/>
                <w:highlight w:val="none"/>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5B829EB0">
            <w:pPr>
              <w:topLinePunct/>
              <w:spacing w:line="360" w:lineRule="auto"/>
              <w:jc w:val="center"/>
              <w:rPr>
                <w:rFonts w:hint="eastAsia" w:ascii="宋体" w:hAnsi="宋体" w:eastAsia="宋体" w:cs="宋体"/>
                <w:color w:val="auto"/>
                <w:szCs w:val="21"/>
                <w:highlight w:val="none"/>
              </w:rPr>
            </w:pPr>
          </w:p>
        </w:tc>
      </w:tr>
      <w:tr w14:paraId="5A60EC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78" w:hRule="atLeast"/>
        </w:trPr>
        <w:tc>
          <w:tcPr>
            <w:tcW w:w="1275" w:type="dxa"/>
            <w:gridSpan w:val="2"/>
            <w:tcBorders>
              <w:top w:val="single" w:color="auto" w:sz="6" w:space="0"/>
              <w:left w:val="double" w:color="auto" w:sz="4" w:space="0"/>
              <w:bottom w:val="double" w:color="auto" w:sz="4" w:space="0"/>
              <w:right w:val="single" w:color="auto" w:sz="6" w:space="0"/>
            </w:tcBorders>
            <w:noWrap w:val="0"/>
            <w:vAlign w:val="center"/>
          </w:tcPr>
          <w:p w14:paraId="53BF1447">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c>
          <w:tcPr>
            <w:tcW w:w="7666" w:type="dxa"/>
            <w:gridSpan w:val="8"/>
            <w:tcBorders>
              <w:top w:val="single" w:color="auto" w:sz="6" w:space="0"/>
              <w:left w:val="single" w:color="auto" w:sz="6" w:space="0"/>
              <w:bottom w:val="double" w:color="auto" w:sz="4" w:space="0"/>
              <w:right w:val="double" w:color="auto" w:sz="4" w:space="0"/>
            </w:tcBorders>
            <w:noWrap w:val="0"/>
            <w:vAlign w:val="center"/>
          </w:tcPr>
          <w:p w14:paraId="2E423ED3">
            <w:pPr>
              <w:topLinePunct/>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后附《营业执照》（副本）复印件，</w:t>
            </w:r>
            <w:r>
              <w:rPr>
                <w:rFonts w:hint="eastAsia" w:ascii="宋体" w:hAnsi="宋体" w:eastAsia="宋体" w:cs="宋体"/>
                <w:b/>
                <w:color w:val="auto"/>
                <w:szCs w:val="21"/>
                <w:highlight w:val="none"/>
              </w:rPr>
              <w:t>其他资料按第二章第3.1款或第四章要求提供。</w:t>
            </w:r>
          </w:p>
        </w:tc>
      </w:tr>
    </w:tbl>
    <w:p w14:paraId="6278D10A">
      <w:pPr>
        <w:spacing w:line="360" w:lineRule="auto"/>
        <w:rPr>
          <w:rFonts w:hint="eastAsia" w:ascii="宋体" w:hAnsi="宋体" w:eastAsia="宋体" w:cs="宋体"/>
          <w:color w:val="auto"/>
          <w:sz w:val="30"/>
          <w:szCs w:val="30"/>
          <w:highlight w:val="none"/>
        </w:rPr>
        <w:sectPr>
          <w:pgSz w:w="11906" w:h="16838"/>
          <w:pgMar w:top="1134" w:right="1361" w:bottom="1134" w:left="1361" w:header="851" w:footer="992" w:gutter="0"/>
          <w:pgNumType w:fmt="decimal"/>
          <w:cols w:space="720" w:num="1"/>
          <w:docGrid w:linePitch="312" w:charSpace="0"/>
        </w:sectPr>
      </w:pPr>
    </w:p>
    <w:p w14:paraId="7268E390">
      <w:pPr>
        <w:spacing w:line="480" w:lineRule="exact"/>
        <w:outlineLvl w:val="0"/>
        <w:rPr>
          <w:rFonts w:hint="eastAsia" w:ascii="宋体" w:hAnsi="宋体" w:eastAsia="宋体" w:cs="宋体"/>
          <w:b/>
          <w:bCs/>
          <w:color w:val="auto"/>
          <w:sz w:val="30"/>
          <w:szCs w:val="30"/>
          <w:highlight w:val="none"/>
          <w:lang w:val="en-US" w:eastAsia="zh-CN"/>
        </w:rPr>
      </w:pPr>
      <w:bookmarkStart w:id="366" w:name="_Toc993"/>
      <w:r>
        <w:rPr>
          <w:rFonts w:hint="eastAsia" w:ascii="宋体" w:hAnsi="宋体" w:eastAsia="宋体" w:cs="宋体"/>
          <w:b/>
          <w:bCs/>
          <w:color w:val="auto"/>
          <w:sz w:val="30"/>
          <w:szCs w:val="30"/>
          <w:highlight w:val="none"/>
        </w:rPr>
        <w:t>附件</w:t>
      </w:r>
      <w:bookmarkEnd w:id="366"/>
      <w:r>
        <w:rPr>
          <w:rFonts w:hint="eastAsia" w:ascii="宋体" w:hAnsi="宋体" w:eastAsia="宋体" w:cs="宋体"/>
          <w:b/>
          <w:bCs/>
          <w:color w:val="auto"/>
          <w:sz w:val="30"/>
          <w:szCs w:val="30"/>
          <w:highlight w:val="none"/>
          <w:lang w:val="en-US" w:eastAsia="zh-CN"/>
        </w:rPr>
        <w:t>4</w:t>
      </w:r>
    </w:p>
    <w:p w14:paraId="05E71DFD">
      <w:pPr>
        <w:spacing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磋商文件规定的基本资格条件证明资料</w:t>
      </w:r>
    </w:p>
    <w:p w14:paraId="314BC511">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highlight w:val="none"/>
        </w:rPr>
        <w:t>符合《中华人民共和国政府采购法》第二十二条规定的供应商条件，并</w:t>
      </w:r>
      <w:r>
        <w:rPr>
          <w:rFonts w:hint="eastAsia" w:ascii="宋体" w:hAnsi="宋体" w:eastAsia="宋体" w:cs="宋体"/>
          <w:color w:val="auto"/>
          <w:sz w:val="21"/>
          <w:szCs w:val="21"/>
          <w:highlight w:val="none"/>
        </w:rPr>
        <w:t>提供第二章磋商须知第3.1款供应商</w:t>
      </w:r>
      <w:r>
        <w:rPr>
          <w:rFonts w:hint="eastAsia" w:ascii="宋体" w:hAnsi="宋体" w:eastAsia="宋体" w:cs="宋体"/>
          <w:color w:val="auto"/>
          <w:sz w:val="21"/>
          <w:szCs w:val="21"/>
          <w:highlight w:val="none"/>
          <w:lang w:eastAsia="zh-CN"/>
        </w:rPr>
        <w:t>基本</w:t>
      </w:r>
      <w:r>
        <w:rPr>
          <w:rFonts w:hint="eastAsia" w:ascii="宋体" w:hAnsi="宋体" w:eastAsia="宋体" w:cs="宋体"/>
          <w:color w:val="auto"/>
          <w:sz w:val="21"/>
          <w:szCs w:val="21"/>
          <w:highlight w:val="none"/>
        </w:rPr>
        <w:t>资格条件证明资料的复印件。</w:t>
      </w:r>
    </w:p>
    <w:p w14:paraId="5CA36BE7">
      <w:pPr>
        <w:adjustRightInd w:val="0"/>
        <w:snapToGrid w:val="0"/>
        <w:spacing w:line="360" w:lineRule="auto"/>
        <w:jc w:val="center"/>
        <w:rPr>
          <w:rFonts w:hint="eastAsia" w:ascii="宋体" w:hAnsi="宋体" w:eastAsia="宋体" w:cs="宋体"/>
          <w:b/>
          <w:color w:val="auto"/>
          <w:sz w:val="32"/>
          <w:szCs w:val="32"/>
          <w:highlight w:val="none"/>
        </w:rPr>
      </w:pPr>
    </w:p>
    <w:p w14:paraId="20E8D889">
      <w:pPr>
        <w:spacing w:line="480" w:lineRule="exact"/>
        <w:outlineLvl w:val="0"/>
        <w:rPr>
          <w:rFonts w:hint="eastAsia" w:ascii="宋体" w:hAnsi="宋体" w:eastAsia="宋体" w:cs="宋体"/>
          <w:color w:val="auto"/>
          <w:sz w:val="30"/>
          <w:szCs w:val="30"/>
          <w:highlight w:val="none"/>
          <w:lang w:val="en-US" w:eastAsia="zh-CN"/>
        </w:rPr>
      </w:pPr>
      <w:r>
        <w:rPr>
          <w:rFonts w:hint="eastAsia" w:ascii="宋体" w:hAnsi="宋体" w:eastAsia="宋体" w:cs="宋体"/>
          <w:b/>
          <w:color w:val="auto"/>
          <w:sz w:val="32"/>
          <w:szCs w:val="32"/>
          <w:highlight w:val="none"/>
        </w:rPr>
        <w:br w:type="page"/>
      </w:r>
      <w:bookmarkStart w:id="367" w:name="_Toc11879756"/>
      <w:r>
        <w:rPr>
          <w:rFonts w:hint="eastAsia" w:ascii="宋体" w:hAnsi="宋体" w:eastAsia="宋体" w:cs="宋体"/>
          <w:b/>
          <w:bCs/>
          <w:color w:val="auto"/>
          <w:sz w:val="30"/>
          <w:szCs w:val="30"/>
          <w:highlight w:val="none"/>
        </w:rPr>
        <w:t>附件</w:t>
      </w:r>
      <w:r>
        <w:rPr>
          <w:rFonts w:hint="eastAsia" w:ascii="宋体" w:hAnsi="宋体" w:eastAsia="宋体" w:cs="宋体"/>
          <w:b/>
          <w:bCs/>
          <w:color w:val="auto"/>
          <w:sz w:val="30"/>
          <w:szCs w:val="30"/>
          <w:highlight w:val="none"/>
          <w:lang w:val="en-US" w:eastAsia="zh-CN"/>
        </w:rPr>
        <w:t>4-1</w:t>
      </w:r>
    </w:p>
    <w:p w14:paraId="301609FF">
      <w:pPr>
        <w:tabs>
          <w:tab w:val="left" w:pos="1680"/>
        </w:tabs>
        <w:adjustRightInd w:val="0"/>
        <w:snapToGrid w:val="0"/>
        <w:spacing w:line="360" w:lineRule="auto"/>
        <w:jc w:val="center"/>
        <w:rPr>
          <w:rFonts w:hint="eastAsia" w:ascii="宋体" w:hAnsi="宋体" w:eastAsia="宋体" w:cs="宋体"/>
          <w:b/>
          <w:color w:val="auto"/>
          <w:sz w:val="30"/>
          <w:szCs w:val="30"/>
          <w:highlight w:val="none"/>
          <w:lang w:val="en-US" w:eastAsia="zh-CN"/>
        </w:rPr>
      </w:pPr>
      <w:r>
        <w:rPr>
          <w:rFonts w:hint="eastAsia" w:ascii="宋体" w:hAnsi="宋体" w:eastAsia="宋体" w:cs="宋体"/>
          <w:b/>
          <w:color w:val="auto"/>
          <w:sz w:val="30"/>
          <w:szCs w:val="30"/>
          <w:highlight w:val="none"/>
          <w:lang w:val="en-US" w:eastAsia="zh-CN"/>
        </w:rPr>
        <w:t>湖南省政府采购供应商资格承诺函</w:t>
      </w:r>
    </w:p>
    <w:p w14:paraId="2B3B0959">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3E148D64">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按照《政府采购促进中小企业发展管理办法》（财库〔2020〕46号），本公司企业规模为：大型</w:t>
      </w:r>
      <w:r>
        <w:rPr>
          <w:rFonts w:hint="eastAsia" w:ascii="宋体" w:hAnsi="宋体" w:eastAsia="宋体" w:cs="宋体"/>
          <w:color w:val="auto"/>
          <w:kern w:val="0"/>
          <w:sz w:val="21"/>
          <w:szCs w:val="21"/>
          <w:highlight w:val="none"/>
          <w:lang w:val="en-US" w:eastAsia="zh-CN" w:bidi="ar"/>
        </w:rPr>
        <w:sym w:font="Wingdings 2" w:char="00A3"/>
      </w:r>
      <w:r>
        <w:rPr>
          <w:rFonts w:hint="eastAsia" w:ascii="宋体" w:hAnsi="宋体" w:eastAsia="宋体" w:cs="宋体"/>
          <w:color w:val="auto"/>
          <w:kern w:val="0"/>
          <w:sz w:val="21"/>
          <w:szCs w:val="21"/>
          <w:highlight w:val="none"/>
          <w:lang w:val="en-US" w:eastAsia="zh-CN" w:bidi="ar"/>
        </w:rPr>
        <w:t xml:space="preserve"> 中型</w:t>
      </w:r>
      <w:r>
        <w:rPr>
          <w:rFonts w:hint="eastAsia" w:ascii="宋体" w:hAnsi="宋体" w:eastAsia="宋体" w:cs="宋体"/>
          <w:color w:val="auto"/>
          <w:kern w:val="0"/>
          <w:sz w:val="21"/>
          <w:szCs w:val="21"/>
          <w:highlight w:val="none"/>
          <w:lang w:val="en-US" w:eastAsia="zh-CN" w:bidi="ar"/>
        </w:rPr>
        <w:sym w:font="Wingdings 2" w:char="00A3"/>
      </w:r>
      <w:r>
        <w:rPr>
          <w:rFonts w:hint="eastAsia" w:ascii="宋体" w:hAnsi="宋体" w:eastAsia="宋体" w:cs="宋体"/>
          <w:color w:val="auto"/>
          <w:kern w:val="0"/>
          <w:sz w:val="21"/>
          <w:szCs w:val="21"/>
          <w:highlight w:val="none"/>
          <w:lang w:val="en-US" w:eastAsia="zh-CN" w:bidi="ar"/>
        </w:rPr>
        <w:t xml:space="preserve"> 小型</w:t>
      </w:r>
      <w:r>
        <w:rPr>
          <w:rFonts w:hint="eastAsia" w:ascii="宋体" w:hAnsi="宋体" w:eastAsia="宋体" w:cs="宋体"/>
          <w:color w:val="auto"/>
          <w:kern w:val="0"/>
          <w:sz w:val="21"/>
          <w:szCs w:val="21"/>
          <w:highlight w:val="none"/>
          <w:lang w:val="en-US" w:eastAsia="zh-CN" w:bidi="ar"/>
        </w:rPr>
        <w:sym w:font="Wingdings 2" w:char="00A3"/>
      </w:r>
      <w:r>
        <w:rPr>
          <w:rFonts w:hint="eastAsia" w:ascii="宋体" w:hAnsi="宋体" w:eastAsia="宋体" w:cs="宋体"/>
          <w:color w:val="auto"/>
          <w:kern w:val="0"/>
          <w:sz w:val="21"/>
          <w:szCs w:val="21"/>
          <w:highlight w:val="none"/>
          <w:lang w:val="en-US" w:eastAsia="zh-CN" w:bidi="ar"/>
        </w:rPr>
        <w:t xml:space="preserve"> 微型</w:t>
      </w:r>
      <w:r>
        <w:rPr>
          <w:rFonts w:hint="eastAsia" w:ascii="宋体" w:hAnsi="宋体" w:eastAsia="宋体" w:cs="宋体"/>
          <w:color w:val="auto"/>
          <w:kern w:val="0"/>
          <w:sz w:val="21"/>
          <w:szCs w:val="21"/>
          <w:highlight w:val="none"/>
          <w:lang w:val="en-US" w:eastAsia="zh-CN" w:bidi="ar"/>
        </w:rPr>
        <w:sym w:font="Wingdings 2" w:char="00A3"/>
      </w:r>
      <w:r>
        <w:rPr>
          <w:rFonts w:hint="eastAsia" w:ascii="宋体" w:hAnsi="宋体" w:eastAsia="宋体" w:cs="宋体"/>
          <w:color w:val="auto"/>
          <w:kern w:val="0"/>
          <w:sz w:val="21"/>
          <w:szCs w:val="21"/>
          <w:highlight w:val="none"/>
          <w:lang w:val="en-US" w:eastAsia="zh-CN" w:bidi="ar"/>
        </w:rPr>
        <w:t xml:space="preserve"> </w:t>
      </w:r>
    </w:p>
    <w:p w14:paraId="5DEA6042">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sym w:font="Wingdings 2" w:char="00A3"/>
      </w:r>
      <w:r>
        <w:rPr>
          <w:rFonts w:hint="eastAsia" w:ascii="宋体" w:hAnsi="宋体" w:eastAsia="宋体" w:cs="宋体"/>
          <w:color w:val="auto"/>
          <w:kern w:val="0"/>
          <w:sz w:val="21"/>
          <w:szCs w:val="21"/>
          <w:highlight w:val="none"/>
          <w:lang w:val="en-US" w:eastAsia="zh-CN" w:bidi="ar"/>
        </w:rPr>
        <w:t>本公司自愿入驻湖南省政府采购电子卖场，遵守《湖南省政府采购电子卖场管理办法》（湘财购〔2019〕27号），如违反承诺，同意金融机构将增信保证划缴国库（非电子卖场采购活动项目不需勾选）。</w:t>
      </w:r>
    </w:p>
    <w:p w14:paraId="594FE114">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200"/>
        <w:jc w:val="righ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公司（单位）名称（盖章）</w:t>
      </w:r>
    </w:p>
    <w:p w14:paraId="5A1B0BF8">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200"/>
        <w:jc w:val="righ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年</w:t>
      </w:r>
      <w:r>
        <w:rPr>
          <w:rFonts w:hint="eastAsia" w:ascii="宋体" w:hAnsi="宋体" w:eastAsia="宋体" w:cs="宋体"/>
          <w:i/>
          <w:iCs/>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月</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日</w:t>
      </w:r>
    </w:p>
    <w:p w14:paraId="0C744F8B">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200"/>
        <w:jc w:val="both"/>
        <w:textAlignment w:val="auto"/>
        <w:rPr>
          <w:rFonts w:hint="eastAsia" w:ascii="宋体" w:hAnsi="宋体" w:eastAsia="宋体" w:cs="宋体"/>
          <w:color w:val="auto"/>
          <w:kern w:val="0"/>
          <w:sz w:val="21"/>
          <w:szCs w:val="21"/>
          <w:highlight w:val="none"/>
          <w:lang w:val="en-US" w:eastAsia="zh-CN" w:bidi="ar"/>
        </w:rPr>
      </w:pPr>
    </w:p>
    <w:p w14:paraId="4433A677">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200"/>
        <w:jc w:val="both"/>
        <w:textAlignment w:val="auto"/>
        <w:rPr>
          <w:rFonts w:hint="eastAsia" w:ascii="宋体" w:hAnsi="宋体" w:eastAsia="宋体" w:cs="宋体"/>
          <w:color w:val="auto"/>
          <w:kern w:val="0"/>
          <w:sz w:val="21"/>
          <w:szCs w:val="21"/>
          <w:highlight w:val="none"/>
          <w:lang w:val="en-US" w:eastAsia="zh-CN" w:bidi="ar"/>
        </w:rPr>
      </w:pPr>
    </w:p>
    <w:p w14:paraId="437133E0">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机构代码、注册登记机构、日期、有效期、注册资本、地址、经济行业、经济性质</w:t>
      </w:r>
    </w:p>
    <w:p w14:paraId="3749D265">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法定代表人（负责人）姓名（签字）、身份证号、手机号：</w:t>
      </w:r>
    </w:p>
    <w:p w14:paraId="054835EA">
      <w:pPr>
        <w:keepNext w:val="0"/>
        <w:keepLines w:val="0"/>
        <w:pageBreakBefore w:val="0"/>
        <w:widowControl/>
        <w:kinsoku/>
        <w:wordWrap/>
        <w:overflowPunct/>
        <w:topLinePunct w:val="0"/>
        <w:autoSpaceDE/>
        <w:autoSpaceDN/>
        <w:bidi w:val="0"/>
        <w:adjustRightInd/>
        <w:snapToGrid/>
        <w:spacing w:line="480" w:lineRule="auto"/>
        <w:ind w:firstLine="420" w:firstLineChars="200"/>
        <w:jc w:val="both"/>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授权代表人姓名（签字）、身份证号、手机号：</w:t>
      </w:r>
    </w:p>
    <w:p w14:paraId="400A4F4B">
      <w:pPr>
        <w:spacing w:line="360" w:lineRule="auto"/>
        <w:jc w:val="center"/>
        <w:outlineLvl w:val="1"/>
        <w:rPr>
          <w:rFonts w:hint="eastAsia" w:ascii="宋体" w:hAnsi="宋体" w:eastAsia="宋体" w:cs="宋体"/>
          <w:b/>
          <w:color w:val="auto"/>
          <w:sz w:val="32"/>
          <w:szCs w:val="32"/>
          <w:highlight w:val="none"/>
        </w:rPr>
      </w:pPr>
    </w:p>
    <w:p w14:paraId="34B795C3">
      <w:pPr>
        <w:spacing w:line="360" w:lineRule="auto"/>
        <w:jc w:val="center"/>
        <w:outlineLvl w:val="1"/>
        <w:rPr>
          <w:rFonts w:hint="eastAsia" w:ascii="宋体" w:hAnsi="宋体" w:eastAsia="宋体" w:cs="宋体"/>
          <w:b/>
          <w:color w:val="auto"/>
          <w:sz w:val="32"/>
          <w:szCs w:val="32"/>
          <w:highlight w:val="none"/>
        </w:rPr>
      </w:pPr>
    </w:p>
    <w:p w14:paraId="4138CC03">
      <w:pPr>
        <w:spacing w:line="360" w:lineRule="auto"/>
        <w:jc w:val="center"/>
        <w:outlineLvl w:val="1"/>
        <w:rPr>
          <w:rFonts w:hint="eastAsia" w:ascii="宋体" w:hAnsi="宋体" w:eastAsia="宋体" w:cs="宋体"/>
          <w:b/>
          <w:color w:val="auto"/>
          <w:sz w:val="32"/>
          <w:szCs w:val="32"/>
          <w:highlight w:val="none"/>
        </w:rPr>
      </w:pPr>
    </w:p>
    <w:p w14:paraId="23A715D7">
      <w:pPr>
        <w:spacing w:line="360" w:lineRule="auto"/>
        <w:jc w:val="center"/>
        <w:outlineLvl w:val="1"/>
        <w:rPr>
          <w:rFonts w:hint="eastAsia" w:ascii="宋体" w:hAnsi="宋体" w:eastAsia="宋体" w:cs="宋体"/>
          <w:b/>
          <w:color w:val="auto"/>
          <w:sz w:val="32"/>
          <w:szCs w:val="32"/>
          <w:highlight w:val="none"/>
        </w:rPr>
      </w:pPr>
    </w:p>
    <w:p w14:paraId="2527CFD1">
      <w:pPr>
        <w:spacing w:line="360" w:lineRule="auto"/>
        <w:jc w:val="center"/>
        <w:outlineLvl w:val="1"/>
        <w:rPr>
          <w:rFonts w:hint="eastAsia" w:ascii="宋体" w:hAnsi="宋体" w:eastAsia="宋体" w:cs="宋体"/>
          <w:b/>
          <w:color w:val="auto"/>
          <w:sz w:val="32"/>
          <w:szCs w:val="32"/>
          <w:highlight w:val="none"/>
        </w:rPr>
      </w:pPr>
    </w:p>
    <w:p w14:paraId="1E5C5EB7">
      <w:pPr>
        <w:spacing w:line="360" w:lineRule="auto"/>
        <w:jc w:val="center"/>
        <w:outlineLvl w:val="1"/>
        <w:rPr>
          <w:rFonts w:hint="eastAsia" w:ascii="宋体" w:hAnsi="宋体" w:eastAsia="宋体" w:cs="宋体"/>
          <w:b/>
          <w:color w:val="auto"/>
          <w:sz w:val="32"/>
          <w:szCs w:val="32"/>
          <w:highlight w:val="none"/>
        </w:rPr>
      </w:pPr>
    </w:p>
    <w:p w14:paraId="5008C8BE">
      <w:pPr>
        <w:spacing w:line="360" w:lineRule="auto"/>
        <w:jc w:val="center"/>
        <w:outlineLvl w:val="1"/>
        <w:rPr>
          <w:rFonts w:hint="eastAsia" w:ascii="宋体" w:hAnsi="宋体" w:eastAsia="宋体" w:cs="宋体"/>
          <w:b/>
          <w:color w:val="auto"/>
          <w:sz w:val="32"/>
          <w:szCs w:val="32"/>
          <w:highlight w:val="none"/>
        </w:rPr>
      </w:pPr>
    </w:p>
    <w:p w14:paraId="2F3BB49A">
      <w:pPr>
        <w:spacing w:line="480" w:lineRule="exact"/>
        <w:outlineLvl w:val="0"/>
        <w:rPr>
          <w:rFonts w:hint="eastAsia" w:ascii="宋体" w:hAnsi="宋体" w:eastAsia="宋体" w:cs="宋体"/>
          <w:color w:val="auto"/>
          <w:sz w:val="30"/>
          <w:szCs w:val="30"/>
          <w:highlight w:val="none"/>
        </w:rPr>
      </w:pPr>
    </w:p>
    <w:p w14:paraId="16278CCA">
      <w:pPr>
        <w:spacing w:line="480" w:lineRule="exact"/>
        <w:outlineLvl w:val="0"/>
        <w:rPr>
          <w:rFonts w:hint="eastAsia" w:ascii="宋体" w:hAnsi="宋体" w:eastAsia="宋体" w:cs="宋体"/>
          <w:b/>
          <w:bCs/>
          <w:color w:val="auto"/>
          <w:sz w:val="30"/>
          <w:szCs w:val="30"/>
          <w:highlight w:val="none"/>
        </w:rPr>
      </w:pPr>
    </w:p>
    <w:p w14:paraId="1342EEF7">
      <w:pPr>
        <w:spacing w:line="480" w:lineRule="exact"/>
        <w:outlineLvl w:val="0"/>
        <w:rPr>
          <w:rFonts w:hint="eastAsia" w:ascii="宋体" w:hAnsi="宋体" w:eastAsia="宋体" w:cs="宋体"/>
          <w:b/>
          <w:bCs/>
          <w:color w:val="auto"/>
          <w:sz w:val="30"/>
          <w:szCs w:val="30"/>
          <w:highlight w:val="none"/>
          <w:lang w:val="en-US" w:eastAsia="zh-CN"/>
        </w:rPr>
      </w:pPr>
      <w:r>
        <w:rPr>
          <w:rFonts w:hint="eastAsia" w:ascii="宋体" w:hAnsi="宋体" w:eastAsia="宋体" w:cs="宋体"/>
          <w:b/>
          <w:bCs/>
          <w:color w:val="auto"/>
          <w:sz w:val="30"/>
          <w:szCs w:val="30"/>
          <w:highlight w:val="none"/>
        </w:rPr>
        <w:t>附件</w:t>
      </w:r>
      <w:r>
        <w:rPr>
          <w:rFonts w:hint="eastAsia" w:ascii="宋体" w:hAnsi="宋体" w:eastAsia="宋体" w:cs="宋体"/>
          <w:b/>
          <w:bCs/>
          <w:color w:val="auto"/>
          <w:sz w:val="30"/>
          <w:szCs w:val="30"/>
          <w:highlight w:val="none"/>
          <w:lang w:val="en-US" w:eastAsia="zh-CN"/>
        </w:rPr>
        <w:t>5</w:t>
      </w:r>
    </w:p>
    <w:p w14:paraId="548AADC3">
      <w:pPr>
        <w:spacing w:line="480" w:lineRule="exact"/>
        <w:jc w:val="center"/>
        <w:outlineLvl w:val="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磋商文件规定的特定资格条件证明资料</w:t>
      </w:r>
    </w:p>
    <w:p w14:paraId="66EB47FF">
      <w:pPr>
        <w:spacing w:line="480" w:lineRule="exact"/>
        <w:rPr>
          <w:rFonts w:hint="eastAsia" w:ascii="宋体" w:hAnsi="宋体" w:eastAsia="宋体" w:cs="宋体"/>
          <w:color w:val="auto"/>
          <w:sz w:val="21"/>
          <w:szCs w:val="21"/>
          <w:highlight w:val="none"/>
        </w:rPr>
      </w:pPr>
    </w:p>
    <w:p w14:paraId="5A8D0598">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备注：提供第二章磋商须知第3.1款供应商特定资格条件证明资料的复印件。</w:t>
      </w:r>
    </w:p>
    <w:p w14:paraId="1F4B8264">
      <w:pPr>
        <w:spacing w:line="480" w:lineRule="exact"/>
        <w:outlineLvl w:val="0"/>
        <w:rPr>
          <w:rFonts w:hint="eastAsia" w:ascii="宋体" w:hAnsi="宋体" w:eastAsia="宋体" w:cs="宋体"/>
          <w:color w:val="auto"/>
          <w:sz w:val="30"/>
          <w:szCs w:val="30"/>
          <w:highlight w:val="none"/>
        </w:rPr>
      </w:pPr>
    </w:p>
    <w:p w14:paraId="1C1A4FDC">
      <w:pPr>
        <w:spacing w:line="480" w:lineRule="exact"/>
        <w:outlineLvl w:val="0"/>
        <w:rPr>
          <w:rFonts w:hint="eastAsia" w:ascii="宋体" w:hAnsi="宋体" w:eastAsia="宋体" w:cs="宋体"/>
          <w:color w:val="auto"/>
          <w:sz w:val="30"/>
          <w:szCs w:val="30"/>
          <w:highlight w:val="none"/>
        </w:rPr>
      </w:pPr>
    </w:p>
    <w:p w14:paraId="614F68FE">
      <w:pPr>
        <w:spacing w:line="480" w:lineRule="exact"/>
        <w:outlineLvl w:val="0"/>
        <w:rPr>
          <w:rFonts w:hint="eastAsia" w:ascii="宋体" w:hAnsi="宋体" w:eastAsia="宋体" w:cs="宋体"/>
          <w:color w:val="auto"/>
          <w:sz w:val="30"/>
          <w:szCs w:val="30"/>
          <w:highlight w:val="none"/>
        </w:rPr>
      </w:pPr>
    </w:p>
    <w:p w14:paraId="062113D4">
      <w:pPr>
        <w:spacing w:line="480" w:lineRule="exact"/>
        <w:outlineLvl w:val="0"/>
        <w:rPr>
          <w:rFonts w:hint="eastAsia" w:ascii="宋体" w:hAnsi="宋体" w:eastAsia="宋体" w:cs="宋体"/>
          <w:color w:val="auto"/>
          <w:sz w:val="30"/>
          <w:szCs w:val="30"/>
          <w:highlight w:val="none"/>
        </w:rPr>
      </w:pPr>
    </w:p>
    <w:p w14:paraId="2DE49D38">
      <w:pPr>
        <w:spacing w:line="480" w:lineRule="exact"/>
        <w:outlineLvl w:val="0"/>
        <w:rPr>
          <w:rFonts w:hint="eastAsia" w:ascii="宋体" w:hAnsi="宋体" w:eastAsia="宋体" w:cs="宋体"/>
          <w:color w:val="auto"/>
          <w:sz w:val="30"/>
          <w:szCs w:val="30"/>
          <w:highlight w:val="none"/>
        </w:rPr>
      </w:pPr>
    </w:p>
    <w:p w14:paraId="2462AF4B">
      <w:pPr>
        <w:spacing w:line="480" w:lineRule="exact"/>
        <w:outlineLvl w:val="0"/>
        <w:rPr>
          <w:rFonts w:hint="eastAsia" w:ascii="宋体" w:hAnsi="宋体" w:eastAsia="宋体" w:cs="宋体"/>
          <w:color w:val="auto"/>
          <w:sz w:val="30"/>
          <w:szCs w:val="30"/>
          <w:highlight w:val="none"/>
        </w:rPr>
      </w:pPr>
    </w:p>
    <w:p w14:paraId="710BA239">
      <w:pPr>
        <w:spacing w:line="480" w:lineRule="exact"/>
        <w:outlineLvl w:val="0"/>
        <w:rPr>
          <w:rFonts w:hint="eastAsia" w:ascii="宋体" w:hAnsi="宋体" w:eastAsia="宋体" w:cs="宋体"/>
          <w:color w:val="auto"/>
          <w:sz w:val="30"/>
          <w:szCs w:val="30"/>
          <w:highlight w:val="none"/>
        </w:rPr>
      </w:pPr>
    </w:p>
    <w:p w14:paraId="10FCDCC1">
      <w:pPr>
        <w:spacing w:line="480" w:lineRule="exact"/>
        <w:outlineLvl w:val="0"/>
        <w:rPr>
          <w:rFonts w:hint="eastAsia" w:ascii="宋体" w:hAnsi="宋体" w:eastAsia="宋体" w:cs="宋体"/>
          <w:color w:val="auto"/>
          <w:sz w:val="30"/>
          <w:szCs w:val="30"/>
          <w:highlight w:val="none"/>
        </w:rPr>
      </w:pPr>
    </w:p>
    <w:p w14:paraId="634866BF">
      <w:pPr>
        <w:spacing w:line="480" w:lineRule="exact"/>
        <w:outlineLvl w:val="0"/>
        <w:rPr>
          <w:rFonts w:hint="eastAsia" w:ascii="宋体" w:hAnsi="宋体" w:eastAsia="宋体" w:cs="宋体"/>
          <w:color w:val="auto"/>
          <w:sz w:val="30"/>
          <w:szCs w:val="30"/>
          <w:highlight w:val="none"/>
        </w:rPr>
      </w:pPr>
    </w:p>
    <w:p w14:paraId="3A58C11B">
      <w:pPr>
        <w:spacing w:line="480" w:lineRule="exact"/>
        <w:outlineLvl w:val="0"/>
        <w:rPr>
          <w:rFonts w:hint="eastAsia" w:ascii="宋体" w:hAnsi="宋体" w:eastAsia="宋体" w:cs="宋体"/>
          <w:color w:val="auto"/>
          <w:sz w:val="30"/>
          <w:szCs w:val="30"/>
          <w:highlight w:val="none"/>
        </w:rPr>
      </w:pPr>
    </w:p>
    <w:p w14:paraId="2588667D">
      <w:pPr>
        <w:spacing w:line="480" w:lineRule="exact"/>
        <w:outlineLvl w:val="0"/>
        <w:rPr>
          <w:rFonts w:hint="eastAsia" w:ascii="宋体" w:hAnsi="宋体" w:eastAsia="宋体" w:cs="宋体"/>
          <w:color w:val="auto"/>
          <w:sz w:val="30"/>
          <w:szCs w:val="30"/>
          <w:highlight w:val="none"/>
        </w:rPr>
      </w:pPr>
    </w:p>
    <w:p w14:paraId="774A9D44">
      <w:pPr>
        <w:spacing w:line="480" w:lineRule="exact"/>
        <w:outlineLvl w:val="0"/>
        <w:rPr>
          <w:rFonts w:hint="eastAsia" w:ascii="宋体" w:hAnsi="宋体" w:eastAsia="宋体" w:cs="宋体"/>
          <w:color w:val="auto"/>
          <w:sz w:val="30"/>
          <w:szCs w:val="30"/>
          <w:highlight w:val="none"/>
        </w:rPr>
      </w:pPr>
    </w:p>
    <w:p w14:paraId="17661462">
      <w:pPr>
        <w:spacing w:line="480" w:lineRule="exact"/>
        <w:outlineLvl w:val="0"/>
        <w:rPr>
          <w:rFonts w:hint="eastAsia" w:ascii="宋体" w:hAnsi="宋体" w:eastAsia="宋体" w:cs="宋体"/>
          <w:color w:val="auto"/>
          <w:sz w:val="30"/>
          <w:szCs w:val="30"/>
          <w:highlight w:val="none"/>
        </w:rPr>
      </w:pPr>
    </w:p>
    <w:p w14:paraId="40391FD1">
      <w:pPr>
        <w:spacing w:line="480" w:lineRule="exact"/>
        <w:outlineLvl w:val="0"/>
        <w:rPr>
          <w:rFonts w:hint="eastAsia" w:ascii="宋体" w:hAnsi="宋体" w:eastAsia="宋体" w:cs="宋体"/>
          <w:color w:val="auto"/>
          <w:sz w:val="30"/>
          <w:szCs w:val="30"/>
          <w:highlight w:val="none"/>
        </w:rPr>
      </w:pPr>
    </w:p>
    <w:p w14:paraId="7958560B">
      <w:pPr>
        <w:spacing w:line="480" w:lineRule="exact"/>
        <w:outlineLvl w:val="0"/>
        <w:rPr>
          <w:rFonts w:hint="eastAsia" w:ascii="宋体" w:hAnsi="宋体" w:eastAsia="宋体" w:cs="宋体"/>
          <w:color w:val="auto"/>
          <w:sz w:val="30"/>
          <w:szCs w:val="30"/>
          <w:highlight w:val="none"/>
        </w:rPr>
      </w:pPr>
    </w:p>
    <w:p w14:paraId="202281D1">
      <w:pPr>
        <w:spacing w:line="480" w:lineRule="exact"/>
        <w:outlineLvl w:val="0"/>
        <w:rPr>
          <w:rFonts w:hint="eastAsia" w:ascii="宋体" w:hAnsi="宋体" w:eastAsia="宋体" w:cs="宋体"/>
          <w:color w:val="auto"/>
          <w:sz w:val="30"/>
          <w:szCs w:val="30"/>
          <w:highlight w:val="none"/>
        </w:rPr>
      </w:pPr>
    </w:p>
    <w:p w14:paraId="1A3E49AE">
      <w:pPr>
        <w:spacing w:line="480" w:lineRule="exact"/>
        <w:outlineLvl w:val="0"/>
        <w:rPr>
          <w:rFonts w:hint="eastAsia" w:ascii="宋体" w:hAnsi="宋体" w:eastAsia="宋体" w:cs="宋体"/>
          <w:color w:val="auto"/>
          <w:sz w:val="30"/>
          <w:szCs w:val="30"/>
          <w:highlight w:val="none"/>
        </w:rPr>
      </w:pPr>
    </w:p>
    <w:p w14:paraId="23CD7D8A">
      <w:pPr>
        <w:spacing w:line="480" w:lineRule="exact"/>
        <w:outlineLvl w:val="0"/>
        <w:rPr>
          <w:rFonts w:hint="eastAsia" w:ascii="宋体" w:hAnsi="宋体" w:eastAsia="宋体" w:cs="宋体"/>
          <w:color w:val="auto"/>
          <w:sz w:val="30"/>
          <w:szCs w:val="30"/>
          <w:highlight w:val="none"/>
        </w:rPr>
      </w:pPr>
    </w:p>
    <w:p w14:paraId="3A315A15">
      <w:pPr>
        <w:spacing w:line="480" w:lineRule="exact"/>
        <w:outlineLvl w:val="0"/>
        <w:rPr>
          <w:rFonts w:hint="eastAsia" w:ascii="宋体" w:hAnsi="宋体" w:eastAsia="宋体" w:cs="宋体"/>
          <w:color w:val="auto"/>
          <w:sz w:val="30"/>
          <w:szCs w:val="30"/>
          <w:highlight w:val="none"/>
        </w:rPr>
      </w:pPr>
    </w:p>
    <w:p w14:paraId="0F3A8951">
      <w:pPr>
        <w:spacing w:line="480" w:lineRule="exact"/>
        <w:outlineLvl w:val="0"/>
        <w:rPr>
          <w:rFonts w:hint="eastAsia" w:ascii="宋体" w:hAnsi="宋体" w:eastAsia="宋体" w:cs="宋体"/>
          <w:color w:val="auto"/>
          <w:sz w:val="30"/>
          <w:szCs w:val="30"/>
          <w:highlight w:val="none"/>
        </w:rPr>
      </w:pPr>
    </w:p>
    <w:p w14:paraId="0B161608">
      <w:pPr>
        <w:spacing w:line="480" w:lineRule="exact"/>
        <w:outlineLvl w:val="0"/>
        <w:rPr>
          <w:rFonts w:hint="eastAsia" w:ascii="宋体" w:hAnsi="宋体" w:eastAsia="宋体" w:cs="宋体"/>
          <w:color w:val="auto"/>
          <w:sz w:val="30"/>
          <w:szCs w:val="30"/>
          <w:highlight w:val="none"/>
        </w:rPr>
      </w:pPr>
    </w:p>
    <w:p w14:paraId="7F04543C">
      <w:pPr>
        <w:spacing w:line="480" w:lineRule="exact"/>
        <w:outlineLvl w:val="0"/>
        <w:rPr>
          <w:rFonts w:hint="eastAsia" w:ascii="宋体" w:hAnsi="宋体" w:eastAsia="宋体" w:cs="宋体"/>
          <w:color w:val="auto"/>
          <w:sz w:val="30"/>
          <w:szCs w:val="30"/>
          <w:highlight w:val="none"/>
        </w:rPr>
      </w:pPr>
    </w:p>
    <w:p w14:paraId="3A1D63A0">
      <w:pPr>
        <w:spacing w:line="480" w:lineRule="exact"/>
        <w:outlineLvl w:val="0"/>
        <w:rPr>
          <w:rFonts w:hint="eastAsia" w:ascii="宋体" w:hAnsi="宋体" w:eastAsia="宋体" w:cs="宋体"/>
          <w:color w:val="auto"/>
          <w:sz w:val="30"/>
          <w:szCs w:val="30"/>
          <w:highlight w:val="none"/>
        </w:rPr>
      </w:pPr>
    </w:p>
    <w:p w14:paraId="0BDC448A">
      <w:pPr>
        <w:spacing w:line="480" w:lineRule="exact"/>
        <w:outlineLvl w:val="0"/>
        <w:rPr>
          <w:rFonts w:hint="eastAsia" w:ascii="宋体" w:hAnsi="宋体" w:eastAsia="宋体" w:cs="宋体"/>
          <w:color w:val="auto"/>
          <w:sz w:val="30"/>
          <w:szCs w:val="30"/>
          <w:highlight w:val="none"/>
        </w:rPr>
      </w:pPr>
    </w:p>
    <w:p w14:paraId="4B079AA9">
      <w:pPr>
        <w:spacing w:line="480" w:lineRule="exact"/>
        <w:outlineLvl w:val="0"/>
        <w:rPr>
          <w:rFonts w:hint="eastAsia" w:ascii="宋体" w:hAnsi="宋体" w:eastAsia="宋体" w:cs="宋体"/>
          <w:color w:val="auto"/>
          <w:sz w:val="30"/>
          <w:szCs w:val="30"/>
          <w:highlight w:val="none"/>
        </w:rPr>
      </w:pPr>
    </w:p>
    <w:p w14:paraId="56D1BED8">
      <w:pPr>
        <w:spacing w:line="480" w:lineRule="exact"/>
        <w:outlineLvl w:val="0"/>
        <w:rPr>
          <w:rFonts w:hint="eastAsia" w:ascii="宋体" w:hAnsi="宋体" w:eastAsia="宋体" w:cs="宋体"/>
          <w:color w:val="auto"/>
          <w:sz w:val="30"/>
          <w:szCs w:val="30"/>
          <w:highlight w:val="none"/>
        </w:rPr>
      </w:pPr>
    </w:p>
    <w:p w14:paraId="43574F6E">
      <w:pPr>
        <w:spacing w:line="480" w:lineRule="exact"/>
        <w:outlineLvl w:val="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附件</w:t>
      </w:r>
      <w:r>
        <w:rPr>
          <w:rFonts w:hint="eastAsia" w:ascii="宋体" w:hAnsi="宋体" w:eastAsia="宋体" w:cs="宋体"/>
          <w:b/>
          <w:bCs/>
          <w:color w:val="auto"/>
          <w:sz w:val="30"/>
          <w:szCs w:val="30"/>
          <w:highlight w:val="none"/>
          <w:lang w:val="en-US" w:eastAsia="zh-CN"/>
        </w:rPr>
        <w:t>6</w:t>
      </w:r>
      <w:r>
        <w:rPr>
          <w:rFonts w:hint="eastAsia" w:ascii="宋体" w:hAnsi="宋体" w:eastAsia="宋体" w:cs="宋体"/>
          <w:b/>
          <w:bCs/>
          <w:color w:val="auto"/>
          <w:sz w:val="30"/>
          <w:szCs w:val="30"/>
          <w:highlight w:val="none"/>
        </w:rPr>
        <w:t xml:space="preserve"> </w:t>
      </w:r>
    </w:p>
    <w:p w14:paraId="06C6CAC1">
      <w:pPr>
        <w:spacing w:line="480" w:lineRule="exact"/>
        <w:jc w:val="center"/>
        <w:outlineLvl w:val="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其他证明资料或说明</w:t>
      </w:r>
    </w:p>
    <w:p w14:paraId="59DE1269">
      <w:pPr>
        <w:adjustRightInd w:val="0"/>
        <w:snapToGrid w:val="0"/>
        <w:spacing w:line="360" w:lineRule="auto"/>
        <w:rPr>
          <w:rFonts w:hint="eastAsia" w:ascii="宋体" w:hAnsi="宋体" w:eastAsia="宋体" w:cs="宋体"/>
          <w:color w:val="auto"/>
          <w:szCs w:val="21"/>
          <w:highlight w:val="none"/>
        </w:rPr>
      </w:pPr>
    </w:p>
    <w:p w14:paraId="4B7286A7">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提供磋商文件或评分标准需要提供的相关证明文件复印件</w:t>
      </w:r>
      <w:r>
        <w:rPr>
          <w:rFonts w:hint="eastAsia" w:ascii="宋体" w:hAnsi="宋体" w:eastAsia="宋体" w:cs="宋体"/>
          <w:color w:val="auto"/>
          <w:szCs w:val="21"/>
          <w:highlight w:val="none"/>
          <w:lang w:eastAsia="zh-CN"/>
        </w:rPr>
        <w:t>。</w:t>
      </w:r>
    </w:p>
    <w:p w14:paraId="7921D4C9">
      <w:pPr>
        <w:pStyle w:val="7"/>
        <w:rPr>
          <w:rFonts w:hint="eastAsia" w:ascii="宋体" w:hAnsi="宋体" w:eastAsia="宋体" w:cs="宋体"/>
          <w:color w:val="auto"/>
          <w:highlight w:val="none"/>
        </w:rPr>
      </w:pPr>
    </w:p>
    <w:p w14:paraId="5F593E37">
      <w:pPr>
        <w:spacing w:line="360" w:lineRule="auto"/>
        <w:jc w:val="center"/>
        <w:outlineLvl w:val="1"/>
        <w:rPr>
          <w:rFonts w:hint="eastAsia" w:ascii="宋体" w:hAnsi="宋体" w:eastAsia="宋体" w:cs="宋体"/>
          <w:b/>
          <w:color w:val="auto"/>
          <w:sz w:val="32"/>
          <w:szCs w:val="32"/>
          <w:highlight w:val="none"/>
        </w:rPr>
      </w:pPr>
    </w:p>
    <w:p w14:paraId="39A95DF8">
      <w:pPr>
        <w:spacing w:line="360" w:lineRule="auto"/>
        <w:jc w:val="center"/>
        <w:outlineLvl w:val="1"/>
        <w:rPr>
          <w:rFonts w:hint="eastAsia" w:ascii="宋体" w:hAnsi="宋体" w:eastAsia="宋体" w:cs="宋体"/>
          <w:b/>
          <w:color w:val="auto"/>
          <w:sz w:val="32"/>
          <w:szCs w:val="32"/>
          <w:highlight w:val="none"/>
        </w:rPr>
      </w:pPr>
    </w:p>
    <w:p w14:paraId="6EB76F59">
      <w:pPr>
        <w:spacing w:line="360" w:lineRule="auto"/>
        <w:jc w:val="center"/>
        <w:outlineLvl w:val="1"/>
        <w:rPr>
          <w:rFonts w:hint="eastAsia" w:ascii="宋体" w:hAnsi="宋体" w:eastAsia="宋体" w:cs="宋体"/>
          <w:b/>
          <w:color w:val="auto"/>
          <w:sz w:val="32"/>
          <w:szCs w:val="32"/>
          <w:highlight w:val="none"/>
        </w:rPr>
      </w:pPr>
    </w:p>
    <w:p w14:paraId="1F9EA9CA">
      <w:pPr>
        <w:spacing w:line="360" w:lineRule="auto"/>
        <w:jc w:val="center"/>
        <w:outlineLvl w:val="1"/>
        <w:rPr>
          <w:rFonts w:hint="eastAsia" w:ascii="宋体" w:hAnsi="宋体" w:eastAsia="宋体" w:cs="宋体"/>
          <w:b/>
          <w:color w:val="auto"/>
          <w:sz w:val="32"/>
          <w:szCs w:val="32"/>
          <w:highlight w:val="none"/>
        </w:rPr>
      </w:pPr>
    </w:p>
    <w:p w14:paraId="0B40D4BB">
      <w:pPr>
        <w:spacing w:line="360" w:lineRule="auto"/>
        <w:jc w:val="center"/>
        <w:outlineLvl w:val="1"/>
        <w:rPr>
          <w:rFonts w:hint="eastAsia" w:ascii="宋体" w:hAnsi="宋体" w:eastAsia="宋体" w:cs="宋体"/>
          <w:b/>
          <w:color w:val="auto"/>
          <w:sz w:val="32"/>
          <w:szCs w:val="32"/>
          <w:highlight w:val="none"/>
        </w:rPr>
      </w:pPr>
    </w:p>
    <w:p w14:paraId="5605E5CD">
      <w:pPr>
        <w:spacing w:line="360" w:lineRule="auto"/>
        <w:jc w:val="center"/>
        <w:outlineLvl w:val="1"/>
        <w:rPr>
          <w:rFonts w:hint="eastAsia" w:ascii="宋体" w:hAnsi="宋体" w:eastAsia="宋体" w:cs="宋体"/>
          <w:b/>
          <w:color w:val="auto"/>
          <w:sz w:val="32"/>
          <w:szCs w:val="32"/>
          <w:highlight w:val="none"/>
        </w:rPr>
      </w:pPr>
    </w:p>
    <w:p w14:paraId="7BB75110">
      <w:pPr>
        <w:spacing w:line="360" w:lineRule="auto"/>
        <w:jc w:val="center"/>
        <w:outlineLvl w:val="1"/>
        <w:rPr>
          <w:rFonts w:hint="eastAsia" w:ascii="宋体" w:hAnsi="宋体" w:eastAsia="宋体" w:cs="宋体"/>
          <w:b/>
          <w:color w:val="auto"/>
          <w:sz w:val="32"/>
          <w:szCs w:val="32"/>
          <w:highlight w:val="none"/>
        </w:rPr>
      </w:pPr>
    </w:p>
    <w:p w14:paraId="5B5C24F5">
      <w:pPr>
        <w:spacing w:line="360" w:lineRule="auto"/>
        <w:jc w:val="center"/>
        <w:outlineLvl w:val="1"/>
        <w:rPr>
          <w:rFonts w:hint="eastAsia" w:ascii="宋体" w:hAnsi="宋体" w:eastAsia="宋体" w:cs="宋体"/>
          <w:b/>
          <w:color w:val="auto"/>
          <w:sz w:val="32"/>
          <w:szCs w:val="32"/>
          <w:highlight w:val="none"/>
        </w:rPr>
      </w:pPr>
    </w:p>
    <w:p w14:paraId="4717F31B">
      <w:pPr>
        <w:spacing w:line="360" w:lineRule="auto"/>
        <w:jc w:val="center"/>
        <w:outlineLvl w:val="1"/>
        <w:rPr>
          <w:rFonts w:hint="eastAsia" w:ascii="宋体" w:hAnsi="宋体" w:eastAsia="宋体" w:cs="宋体"/>
          <w:b/>
          <w:color w:val="auto"/>
          <w:sz w:val="32"/>
          <w:szCs w:val="32"/>
          <w:highlight w:val="none"/>
        </w:rPr>
      </w:pPr>
    </w:p>
    <w:p w14:paraId="507A97C3">
      <w:pPr>
        <w:spacing w:line="360" w:lineRule="auto"/>
        <w:jc w:val="center"/>
        <w:outlineLvl w:val="1"/>
        <w:rPr>
          <w:rFonts w:hint="eastAsia" w:ascii="宋体" w:hAnsi="宋体" w:eastAsia="宋体" w:cs="宋体"/>
          <w:b/>
          <w:color w:val="auto"/>
          <w:sz w:val="32"/>
          <w:szCs w:val="32"/>
          <w:highlight w:val="none"/>
        </w:rPr>
      </w:pPr>
    </w:p>
    <w:p w14:paraId="0CC82BDF">
      <w:pPr>
        <w:spacing w:line="360" w:lineRule="auto"/>
        <w:jc w:val="center"/>
        <w:outlineLvl w:val="1"/>
        <w:rPr>
          <w:rFonts w:hint="eastAsia" w:ascii="宋体" w:hAnsi="宋体" w:eastAsia="宋体" w:cs="宋体"/>
          <w:b/>
          <w:color w:val="auto"/>
          <w:sz w:val="32"/>
          <w:szCs w:val="32"/>
          <w:highlight w:val="none"/>
        </w:rPr>
      </w:pPr>
    </w:p>
    <w:p w14:paraId="378AE040">
      <w:pPr>
        <w:spacing w:line="360" w:lineRule="auto"/>
        <w:jc w:val="center"/>
        <w:outlineLvl w:val="1"/>
        <w:rPr>
          <w:rFonts w:hint="eastAsia" w:ascii="宋体" w:hAnsi="宋体" w:eastAsia="宋体" w:cs="宋体"/>
          <w:b/>
          <w:color w:val="auto"/>
          <w:sz w:val="32"/>
          <w:szCs w:val="32"/>
          <w:highlight w:val="none"/>
        </w:rPr>
      </w:pPr>
    </w:p>
    <w:p w14:paraId="33DF319F">
      <w:pPr>
        <w:spacing w:line="360" w:lineRule="auto"/>
        <w:jc w:val="center"/>
        <w:outlineLvl w:val="1"/>
        <w:rPr>
          <w:rFonts w:hint="eastAsia" w:ascii="宋体" w:hAnsi="宋体" w:eastAsia="宋体" w:cs="宋体"/>
          <w:b/>
          <w:color w:val="auto"/>
          <w:sz w:val="32"/>
          <w:szCs w:val="32"/>
          <w:highlight w:val="none"/>
        </w:rPr>
      </w:pPr>
    </w:p>
    <w:p w14:paraId="26CDF5B8">
      <w:pPr>
        <w:spacing w:line="360" w:lineRule="auto"/>
        <w:jc w:val="center"/>
        <w:outlineLvl w:val="1"/>
        <w:rPr>
          <w:rFonts w:hint="eastAsia" w:ascii="宋体" w:hAnsi="宋体" w:eastAsia="宋体" w:cs="宋体"/>
          <w:b/>
          <w:color w:val="auto"/>
          <w:sz w:val="32"/>
          <w:szCs w:val="32"/>
          <w:highlight w:val="none"/>
        </w:rPr>
      </w:pPr>
    </w:p>
    <w:p w14:paraId="21E3DF6B">
      <w:pPr>
        <w:spacing w:line="360" w:lineRule="auto"/>
        <w:jc w:val="center"/>
        <w:outlineLvl w:val="1"/>
        <w:rPr>
          <w:rFonts w:hint="eastAsia" w:ascii="宋体" w:hAnsi="宋体" w:eastAsia="宋体" w:cs="宋体"/>
          <w:b/>
          <w:color w:val="auto"/>
          <w:sz w:val="32"/>
          <w:szCs w:val="32"/>
          <w:highlight w:val="none"/>
        </w:rPr>
      </w:pPr>
    </w:p>
    <w:p w14:paraId="208E5826">
      <w:pPr>
        <w:spacing w:line="360" w:lineRule="auto"/>
        <w:jc w:val="center"/>
        <w:outlineLvl w:val="1"/>
        <w:rPr>
          <w:rFonts w:hint="eastAsia" w:ascii="宋体" w:hAnsi="宋体" w:eastAsia="宋体" w:cs="宋体"/>
          <w:b/>
          <w:color w:val="auto"/>
          <w:sz w:val="32"/>
          <w:szCs w:val="32"/>
          <w:highlight w:val="none"/>
        </w:rPr>
      </w:pPr>
    </w:p>
    <w:p w14:paraId="78DB68C8">
      <w:pPr>
        <w:spacing w:line="360" w:lineRule="auto"/>
        <w:jc w:val="center"/>
        <w:outlineLvl w:val="1"/>
        <w:rPr>
          <w:rFonts w:hint="eastAsia" w:ascii="宋体" w:hAnsi="宋体" w:eastAsia="宋体" w:cs="宋体"/>
          <w:b/>
          <w:color w:val="auto"/>
          <w:sz w:val="32"/>
          <w:szCs w:val="32"/>
          <w:highlight w:val="none"/>
        </w:rPr>
      </w:pPr>
    </w:p>
    <w:p w14:paraId="1E006217">
      <w:pPr>
        <w:spacing w:line="360" w:lineRule="auto"/>
        <w:jc w:val="center"/>
        <w:outlineLvl w:val="1"/>
        <w:rPr>
          <w:rFonts w:hint="eastAsia" w:ascii="宋体" w:hAnsi="宋体" w:eastAsia="宋体" w:cs="宋体"/>
          <w:b/>
          <w:color w:val="auto"/>
          <w:sz w:val="32"/>
          <w:szCs w:val="32"/>
          <w:highlight w:val="none"/>
        </w:rPr>
      </w:pPr>
    </w:p>
    <w:p w14:paraId="7A469ED4">
      <w:pPr>
        <w:spacing w:line="360" w:lineRule="auto"/>
        <w:jc w:val="both"/>
        <w:outlineLvl w:val="1"/>
        <w:rPr>
          <w:rFonts w:hint="eastAsia" w:ascii="宋体" w:hAnsi="宋体" w:eastAsia="宋体" w:cs="宋体"/>
          <w:b/>
          <w:color w:val="auto"/>
          <w:sz w:val="32"/>
          <w:szCs w:val="32"/>
          <w:highlight w:val="none"/>
        </w:rPr>
      </w:pPr>
    </w:p>
    <w:bookmarkEnd w:id="367"/>
    <w:p w14:paraId="1FF60867">
      <w:pPr>
        <w:tabs>
          <w:tab w:val="left" w:pos="1680"/>
        </w:tabs>
        <w:adjustRightInd w:val="0"/>
        <w:snapToGrid w:val="0"/>
        <w:spacing w:line="360" w:lineRule="auto"/>
        <w:jc w:val="both"/>
        <w:rPr>
          <w:rFonts w:hint="eastAsia" w:ascii="宋体" w:hAnsi="宋体" w:eastAsia="宋体" w:cs="宋体"/>
          <w:b/>
          <w:color w:val="auto"/>
          <w:sz w:val="30"/>
          <w:szCs w:val="30"/>
          <w:highlight w:val="none"/>
          <w:lang w:val="en-US" w:eastAsia="zh-CN"/>
        </w:rPr>
      </w:pPr>
    </w:p>
    <w:p w14:paraId="0C5D68DC">
      <w:pPr>
        <w:tabs>
          <w:tab w:val="left" w:pos="1680"/>
        </w:tabs>
        <w:adjustRightInd w:val="0"/>
        <w:snapToGrid w:val="0"/>
        <w:spacing w:line="360" w:lineRule="auto"/>
        <w:jc w:val="center"/>
        <w:rPr>
          <w:rFonts w:hint="eastAsia" w:ascii="宋体" w:hAnsi="宋体" w:eastAsia="宋体" w:cs="宋体"/>
          <w:b/>
          <w:color w:val="auto"/>
          <w:sz w:val="30"/>
          <w:szCs w:val="30"/>
          <w:highlight w:val="none"/>
          <w:lang w:val="en-US" w:eastAsia="zh-CN"/>
        </w:rPr>
      </w:pPr>
      <w:r>
        <w:rPr>
          <w:rFonts w:hint="eastAsia" w:ascii="宋体" w:hAnsi="宋体" w:eastAsia="宋体" w:cs="宋体"/>
          <w:b/>
          <w:color w:val="auto"/>
          <w:sz w:val="30"/>
          <w:szCs w:val="30"/>
          <w:highlight w:val="none"/>
          <w:lang w:val="en-US" w:eastAsia="zh-CN"/>
        </w:rPr>
        <w:t>四、服务方案</w:t>
      </w:r>
    </w:p>
    <w:p w14:paraId="3BE7E313">
      <w:pPr>
        <w:adjustRightInd w:val="0"/>
        <w:snapToGrid w:val="0"/>
        <w:spacing w:line="480" w:lineRule="auto"/>
        <w:ind w:firstLine="420"/>
        <w:rPr>
          <w:rFonts w:hint="eastAsia" w:ascii="宋体" w:hAnsi="宋体" w:eastAsia="宋体" w:cs="宋体"/>
          <w:color w:val="auto"/>
          <w:sz w:val="21"/>
          <w:szCs w:val="21"/>
          <w:highlight w:val="none"/>
          <w:lang w:val="en-US" w:eastAsia="zh-CN"/>
        </w:rPr>
      </w:pPr>
    </w:p>
    <w:p w14:paraId="2EA7891F">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1、技术方案应包括但不限于：</w:t>
      </w:r>
    </w:p>
    <w:p w14:paraId="6FC9073F">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（1）项目整体服务实施方案；</w:t>
      </w:r>
    </w:p>
    <w:p w14:paraId="2DD716EC">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（2）安全、环境保护与职业健康管理方案；</w:t>
      </w:r>
    </w:p>
    <w:p w14:paraId="4EA6009B">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（3）项目管理方案；</w:t>
      </w:r>
    </w:p>
    <w:p w14:paraId="6F2FF825">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（4）项目管理团队及合理化建议。</w:t>
      </w:r>
    </w:p>
    <w:p w14:paraId="267B875C">
      <w:pPr>
        <w:adjustRightInd w:val="0"/>
        <w:snapToGrid w:val="0"/>
        <w:spacing w:line="480" w:lineRule="auto"/>
        <w:ind w:firstLine="420"/>
        <w:rPr>
          <w:rFonts w:hint="eastAsia" w:ascii="宋体" w:hAnsi="宋体" w:eastAsia="宋体" w:cs="宋体"/>
          <w:color w:val="auto"/>
          <w:sz w:val="21"/>
          <w:szCs w:val="21"/>
          <w:highlight w:val="none"/>
          <w:lang w:val="en-US" w:eastAsia="zh-CN"/>
        </w:rPr>
      </w:pPr>
    </w:p>
    <w:p w14:paraId="71DA1905">
      <w:pPr>
        <w:adjustRightInd w:val="0"/>
        <w:snapToGrid w:val="0"/>
        <w:spacing w:line="480" w:lineRule="auto"/>
        <w:rPr>
          <w:rFonts w:hint="eastAsia" w:ascii="宋体" w:hAnsi="宋体" w:eastAsia="宋体" w:cs="宋体"/>
          <w:color w:val="auto"/>
          <w:sz w:val="21"/>
          <w:szCs w:val="21"/>
          <w:highlight w:val="none"/>
          <w:lang w:val="en-US" w:eastAsia="zh-CN"/>
        </w:rPr>
      </w:pPr>
    </w:p>
    <w:p w14:paraId="4340FD94">
      <w:pPr>
        <w:adjustRightInd w:val="0"/>
        <w:snapToGrid w:val="0"/>
        <w:spacing w:line="480" w:lineRule="auto"/>
        <w:ind w:firstLine="42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注：格式自拟。</w:t>
      </w:r>
    </w:p>
    <w:p w14:paraId="1EC2BC25">
      <w:pPr>
        <w:adjustRightInd w:val="0"/>
        <w:snapToGrid w:val="0"/>
        <w:spacing w:line="360" w:lineRule="auto"/>
        <w:rPr>
          <w:rFonts w:hint="eastAsia" w:ascii="宋体" w:hAnsi="宋体" w:eastAsia="宋体" w:cs="宋体"/>
          <w:color w:val="auto"/>
          <w:kern w:val="0"/>
          <w:szCs w:val="21"/>
          <w:highlight w:val="none"/>
        </w:rPr>
      </w:pPr>
    </w:p>
    <w:p w14:paraId="70905FC4">
      <w:pPr>
        <w:adjustRightInd w:val="0"/>
        <w:snapToGrid w:val="0"/>
        <w:spacing w:line="360" w:lineRule="auto"/>
        <w:rPr>
          <w:rFonts w:hint="eastAsia" w:ascii="宋体" w:hAnsi="宋体" w:eastAsia="宋体" w:cs="宋体"/>
          <w:color w:val="auto"/>
          <w:kern w:val="0"/>
          <w:szCs w:val="21"/>
          <w:highlight w:val="none"/>
        </w:rPr>
      </w:pPr>
    </w:p>
    <w:p w14:paraId="5A06044A">
      <w:pPr>
        <w:adjustRightInd w:val="0"/>
        <w:snapToGrid w:val="0"/>
        <w:spacing w:line="360" w:lineRule="auto"/>
        <w:rPr>
          <w:rFonts w:hint="eastAsia" w:ascii="宋体" w:hAnsi="宋体" w:eastAsia="宋体" w:cs="宋体"/>
          <w:color w:val="auto"/>
          <w:kern w:val="0"/>
          <w:szCs w:val="21"/>
          <w:highlight w:val="none"/>
        </w:rPr>
      </w:pPr>
    </w:p>
    <w:p w14:paraId="653C5664">
      <w:pPr>
        <w:adjustRightInd w:val="0"/>
        <w:snapToGrid w:val="0"/>
        <w:spacing w:line="360" w:lineRule="auto"/>
        <w:rPr>
          <w:rFonts w:hint="eastAsia" w:ascii="宋体" w:hAnsi="宋体" w:eastAsia="宋体" w:cs="宋体"/>
          <w:color w:val="auto"/>
          <w:kern w:val="0"/>
          <w:szCs w:val="21"/>
          <w:highlight w:val="none"/>
        </w:rPr>
      </w:pPr>
    </w:p>
    <w:p w14:paraId="10DBF95C">
      <w:pPr>
        <w:adjustRightInd w:val="0"/>
        <w:snapToGrid w:val="0"/>
        <w:spacing w:line="360" w:lineRule="auto"/>
        <w:rPr>
          <w:rFonts w:hint="eastAsia" w:ascii="宋体" w:hAnsi="宋体" w:eastAsia="宋体" w:cs="宋体"/>
          <w:color w:val="auto"/>
          <w:kern w:val="0"/>
          <w:szCs w:val="21"/>
          <w:highlight w:val="none"/>
        </w:rPr>
      </w:pPr>
    </w:p>
    <w:p w14:paraId="61FA1A8A">
      <w:pPr>
        <w:adjustRightInd w:val="0"/>
        <w:snapToGrid w:val="0"/>
        <w:spacing w:line="360" w:lineRule="auto"/>
        <w:rPr>
          <w:rFonts w:hint="eastAsia" w:ascii="宋体" w:hAnsi="宋体" w:eastAsia="宋体" w:cs="宋体"/>
          <w:color w:val="auto"/>
          <w:kern w:val="0"/>
          <w:szCs w:val="21"/>
          <w:highlight w:val="none"/>
        </w:rPr>
      </w:pPr>
    </w:p>
    <w:p w14:paraId="11FA101A">
      <w:pPr>
        <w:pStyle w:val="62"/>
        <w:rPr>
          <w:rFonts w:hint="eastAsia" w:ascii="宋体" w:hAnsi="宋体" w:eastAsia="宋体" w:cs="宋体"/>
          <w:color w:val="auto"/>
          <w:kern w:val="0"/>
          <w:szCs w:val="21"/>
          <w:highlight w:val="none"/>
        </w:rPr>
      </w:pPr>
    </w:p>
    <w:p w14:paraId="26C4F758">
      <w:pPr>
        <w:pStyle w:val="62"/>
        <w:rPr>
          <w:rFonts w:hint="eastAsia" w:ascii="宋体" w:hAnsi="宋体" w:eastAsia="宋体" w:cs="宋体"/>
          <w:color w:val="auto"/>
          <w:kern w:val="0"/>
          <w:szCs w:val="21"/>
          <w:highlight w:val="none"/>
        </w:rPr>
      </w:pPr>
    </w:p>
    <w:p w14:paraId="5ABC7AA9">
      <w:pPr>
        <w:pStyle w:val="62"/>
        <w:rPr>
          <w:rFonts w:hint="eastAsia" w:ascii="宋体" w:hAnsi="宋体" w:eastAsia="宋体" w:cs="宋体"/>
          <w:color w:val="auto"/>
          <w:kern w:val="0"/>
          <w:szCs w:val="21"/>
          <w:highlight w:val="none"/>
        </w:rPr>
      </w:pPr>
    </w:p>
    <w:p w14:paraId="5C7E3561">
      <w:pPr>
        <w:pStyle w:val="62"/>
        <w:rPr>
          <w:rFonts w:hint="eastAsia" w:ascii="宋体" w:hAnsi="宋体" w:eastAsia="宋体" w:cs="宋体"/>
          <w:color w:val="auto"/>
          <w:kern w:val="0"/>
          <w:szCs w:val="21"/>
          <w:highlight w:val="none"/>
        </w:rPr>
      </w:pPr>
    </w:p>
    <w:p w14:paraId="583F5961">
      <w:pPr>
        <w:pStyle w:val="62"/>
        <w:rPr>
          <w:rFonts w:hint="eastAsia" w:ascii="宋体" w:hAnsi="宋体" w:eastAsia="宋体" w:cs="宋体"/>
          <w:color w:val="auto"/>
          <w:kern w:val="0"/>
          <w:szCs w:val="21"/>
          <w:highlight w:val="none"/>
        </w:rPr>
      </w:pPr>
    </w:p>
    <w:p w14:paraId="3BE0076B">
      <w:pPr>
        <w:pStyle w:val="62"/>
        <w:rPr>
          <w:rFonts w:hint="eastAsia" w:ascii="宋体" w:hAnsi="宋体" w:eastAsia="宋体" w:cs="宋体"/>
          <w:color w:val="auto"/>
          <w:kern w:val="0"/>
          <w:szCs w:val="21"/>
          <w:highlight w:val="none"/>
        </w:rPr>
      </w:pPr>
    </w:p>
    <w:p w14:paraId="46FEED03">
      <w:pPr>
        <w:pStyle w:val="62"/>
        <w:rPr>
          <w:rFonts w:hint="eastAsia" w:ascii="宋体" w:hAnsi="宋体" w:eastAsia="宋体" w:cs="宋体"/>
          <w:color w:val="auto"/>
          <w:kern w:val="0"/>
          <w:szCs w:val="21"/>
          <w:highlight w:val="none"/>
        </w:rPr>
      </w:pPr>
    </w:p>
    <w:p w14:paraId="50147CBD">
      <w:pPr>
        <w:pStyle w:val="62"/>
        <w:rPr>
          <w:rFonts w:hint="eastAsia" w:ascii="宋体" w:hAnsi="宋体" w:eastAsia="宋体" w:cs="宋体"/>
          <w:color w:val="auto"/>
          <w:kern w:val="0"/>
          <w:szCs w:val="21"/>
          <w:highlight w:val="none"/>
        </w:rPr>
      </w:pPr>
    </w:p>
    <w:p w14:paraId="0326AE01">
      <w:pPr>
        <w:pStyle w:val="62"/>
        <w:rPr>
          <w:rFonts w:hint="eastAsia" w:ascii="宋体" w:hAnsi="宋体" w:eastAsia="宋体" w:cs="宋体"/>
          <w:color w:val="auto"/>
          <w:kern w:val="0"/>
          <w:szCs w:val="21"/>
          <w:highlight w:val="none"/>
        </w:rPr>
      </w:pPr>
    </w:p>
    <w:p w14:paraId="54EC9B7A">
      <w:pPr>
        <w:pStyle w:val="62"/>
        <w:rPr>
          <w:rFonts w:hint="eastAsia" w:ascii="宋体" w:hAnsi="宋体" w:eastAsia="宋体" w:cs="宋体"/>
          <w:color w:val="auto"/>
          <w:kern w:val="0"/>
          <w:szCs w:val="21"/>
          <w:highlight w:val="none"/>
        </w:rPr>
      </w:pPr>
    </w:p>
    <w:p w14:paraId="01FD5B1D">
      <w:pPr>
        <w:pStyle w:val="62"/>
        <w:rPr>
          <w:rFonts w:hint="eastAsia" w:ascii="宋体" w:hAnsi="宋体" w:eastAsia="宋体" w:cs="宋体"/>
          <w:color w:val="auto"/>
          <w:kern w:val="0"/>
          <w:szCs w:val="21"/>
          <w:highlight w:val="none"/>
        </w:rPr>
      </w:pPr>
    </w:p>
    <w:p w14:paraId="59FA7A30">
      <w:pPr>
        <w:pStyle w:val="62"/>
        <w:rPr>
          <w:rFonts w:hint="eastAsia" w:ascii="宋体" w:hAnsi="宋体" w:eastAsia="宋体" w:cs="宋体"/>
          <w:color w:val="auto"/>
          <w:kern w:val="0"/>
          <w:szCs w:val="21"/>
          <w:highlight w:val="none"/>
        </w:rPr>
      </w:pPr>
    </w:p>
    <w:p w14:paraId="22485EF5">
      <w:pPr>
        <w:pStyle w:val="62"/>
        <w:rPr>
          <w:rFonts w:hint="eastAsia" w:ascii="宋体" w:hAnsi="宋体" w:eastAsia="宋体" w:cs="宋体"/>
          <w:color w:val="auto"/>
          <w:kern w:val="0"/>
          <w:szCs w:val="21"/>
          <w:highlight w:val="none"/>
        </w:rPr>
      </w:pPr>
    </w:p>
    <w:p w14:paraId="3E92F1A0">
      <w:pPr>
        <w:pStyle w:val="62"/>
        <w:rPr>
          <w:rFonts w:hint="eastAsia" w:ascii="宋体" w:hAnsi="宋体" w:eastAsia="宋体" w:cs="宋体"/>
          <w:color w:val="auto"/>
          <w:kern w:val="0"/>
          <w:szCs w:val="21"/>
          <w:highlight w:val="none"/>
        </w:rPr>
      </w:pPr>
    </w:p>
    <w:p w14:paraId="2C86120B">
      <w:pPr>
        <w:pStyle w:val="62"/>
        <w:rPr>
          <w:rFonts w:hint="eastAsia" w:ascii="宋体" w:hAnsi="宋体" w:eastAsia="宋体" w:cs="宋体"/>
          <w:color w:val="auto"/>
          <w:kern w:val="0"/>
          <w:szCs w:val="21"/>
          <w:highlight w:val="none"/>
        </w:rPr>
      </w:pPr>
    </w:p>
    <w:p w14:paraId="63261A4D">
      <w:pPr>
        <w:pStyle w:val="62"/>
        <w:rPr>
          <w:rFonts w:hint="eastAsia" w:ascii="宋体" w:hAnsi="宋体" w:eastAsia="宋体" w:cs="宋体"/>
          <w:color w:val="auto"/>
          <w:kern w:val="0"/>
          <w:szCs w:val="21"/>
          <w:highlight w:val="none"/>
        </w:rPr>
      </w:pPr>
    </w:p>
    <w:p w14:paraId="46E7E862">
      <w:pPr>
        <w:pStyle w:val="62"/>
        <w:rPr>
          <w:rFonts w:hint="eastAsia" w:ascii="宋体" w:hAnsi="宋体" w:eastAsia="宋体" w:cs="宋体"/>
          <w:color w:val="auto"/>
          <w:kern w:val="0"/>
          <w:szCs w:val="21"/>
          <w:highlight w:val="none"/>
        </w:rPr>
      </w:pPr>
    </w:p>
    <w:p w14:paraId="040B71B4">
      <w:pPr>
        <w:pStyle w:val="62"/>
        <w:rPr>
          <w:rFonts w:hint="eastAsia" w:ascii="宋体" w:hAnsi="宋体" w:eastAsia="宋体" w:cs="宋体"/>
          <w:color w:val="auto"/>
          <w:kern w:val="0"/>
          <w:szCs w:val="21"/>
          <w:highlight w:val="none"/>
        </w:rPr>
      </w:pPr>
    </w:p>
    <w:p w14:paraId="75BB5839">
      <w:pPr>
        <w:pStyle w:val="62"/>
        <w:rPr>
          <w:rFonts w:hint="eastAsia" w:ascii="宋体" w:hAnsi="宋体" w:eastAsia="宋体" w:cs="宋体"/>
          <w:color w:val="auto"/>
          <w:kern w:val="0"/>
          <w:szCs w:val="21"/>
          <w:highlight w:val="none"/>
        </w:rPr>
      </w:pPr>
    </w:p>
    <w:p w14:paraId="18EEDD2A">
      <w:pPr>
        <w:pStyle w:val="62"/>
        <w:rPr>
          <w:rFonts w:hint="eastAsia" w:ascii="宋体" w:hAnsi="宋体" w:eastAsia="宋体" w:cs="宋体"/>
          <w:color w:val="auto"/>
          <w:kern w:val="0"/>
          <w:szCs w:val="21"/>
          <w:highlight w:val="none"/>
        </w:rPr>
      </w:pPr>
    </w:p>
    <w:p w14:paraId="54AAD8F9">
      <w:pPr>
        <w:pStyle w:val="62"/>
        <w:rPr>
          <w:rFonts w:hint="eastAsia" w:ascii="宋体" w:hAnsi="宋体" w:eastAsia="宋体" w:cs="宋体"/>
          <w:color w:val="auto"/>
          <w:kern w:val="0"/>
          <w:szCs w:val="21"/>
          <w:highlight w:val="none"/>
        </w:rPr>
      </w:pPr>
    </w:p>
    <w:p w14:paraId="51A2408A">
      <w:pPr>
        <w:pStyle w:val="62"/>
        <w:rPr>
          <w:rFonts w:hint="eastAsia" w:ascii="宋体" w:hAnsi="宋体" w:eastAsia="宋体" w:cs="宋体"/>
          <w:color w:val="auto"/>
          <w:kern w:val="0"/>
          <w:szCs w:val="21"/>
          <w:highlight w:val="none"/>
        </w:rPr>
      </w:pPr>
    </w:p>
    <w:p w14:paraId="15752B94">
      <w:pPr>
        <w:pStyle w:val="62"/>
        <w:rPr>
          <w:rFonts w:hint="eastAsia" w:ascii="宋体" w:hAnsi="宋体" w:eastAsia="宋体" w:cs="宋体"/>
          <w:color w:val="auto"/>
          <w:kern w:val="0"/>
          <w:szCs w:val="21"/>
          <w:highlight w:val="none"/>
        </w:rPr>
      </w:pPr>
    </w:p>
    <w:p w14:paraId="66B5C7A3">
      <w:pPr>
        <w:pStyle w:val="62"/>
        <w:rPr>
          <w:rFonts w:hint="eastAsia" w:ascii="宋体" w:hAnsi="宋体" w:eastAsia="宋体" w:cs="宋体"/>
          <w:color w:val="auto"/>
          <w:kern w:val="0"/>
          <w:szCs w:val="21"/>
          <w:highlight w:val="none"/>
        </w:rPr>
      </w:pPr>
    </w:p>
    <w:p w14:paraId="15CE12CB">
      <w:pPr>
        <w:pStyle w:val="62"/>
        <w:rPr>
          <w:rFonts w:hint="eastAsia" w:ascii="宋体" w:hAnsi="宋体" w:eastAsia="宋体" w:cs="宋体"/>
          <w:color w:val="auto"/>
          <w:kern w:val="0"/>
          <w:szCs w:val="21"/>
          <w:highlight w:val="none"/>
        </w:rPr>
      </w:pPr>
    </w:p>
    <w:p w14:paraId="2381AD8F">
      <w:pPr>
        <w:spacing w:line="360" w:lineRule="atLeast"/>
        <w:outlineLvl w:val="0"/>
        <w:rPr>
          <w:rFonts w:hint="eastAsia" w:ascii="宋体" w:hAnsi="宋体" w:eastAsia="宋体" w:cs="宋体"/>
          <w:color w:val="auto"/>
          <w:sz w:val="30"/>
          <w:szCs w:val="30"/>
          <w:highlight w:val="none"/>
        </w:rPr>
      </w:pPr>
    </w:p>
    <w:p w14:paraId="5B00934F">
      <w:pPr>
        <w:spacing w:line="360" w:lineRule="atLeast"/>
        <w:outlineLvl w:val="0"/>
        <w:rPr>
          <w:rFonts w:hint="eastAsia" w:ascii="宋体" w:hAnsi="宋体" w:eastAsia="宋体" w:cs="宋体"/>
          <w:b/>
          <w:bCs/>
          <w:color w:val="auto"/>
          <w:sz w:val="30"/>
          <w:szCs w:val="30"/>
          <w:highlight w:val="none"/>
          <w:lang w:val="en-US" w:eastAsia="zh-CN"/>
        </w:rPr>
      </w:pPr>
      <w:r>
        <w:rPr>
          <w:rFonts w:hint="eastAsia" w:ascii="宋体" w:hAnsi="宋体" w:eastAsia="宋体" w:cs="宋体"/>
          <w:b/>
          <w:bCs/>
          <w:color w:val="auto"/>
          <w:sz w:val="30"/>
          <w:szCs w:val="30"/>
          <w:highlight w:val="none"/>
        </w:rPr>
        <w:t>附件</w:t>
      </w:r>
      <w:r>
        <w:rPr>
          <w:rFonts w:hint="eastAsia" w:ascii="宋体" w:hAnsi="宋体" w:eastAsia="宋体" w:cs="宋体"/>
          <w:b/>
          <w:bCs/>
          <w:color w:val="auto"/>
          <w:sz w:val="30"/>
          <w:szCs w:val="30"/>
          <w:highlight w:val="none"/>
          <w:lang w:val="en-US" w:eastAsia="zh-CN"/>
        </w:rPr>
        <w:t>7</w:t>
      </w:r>
    </w:p>
    <w:p w14:paraId="309C403D">
      <w:pPr>
        <w:spacing w:line="360" w:lineRule="atLeast"/>
        <w:outlineLvl w:val="0"/>
        <w:rPr>
          <w:rFonts w:hint="eastAsia" w:ascii="宋体" w:hAnsi="宋体" w:eastAsia="宋体" w:cs="宋体"/>
          <w:color w:val="auto"/>
          <w:sz w:val="30"/>
          <w:szCs w:val="30"/>
          <w:highlight w:val="none"/>
        </w:rPr>
      </w:pPr>
    </w:p>
    <w:p w14:paraId="03EE5167">
      <w:pPr>
        <w:spacing w:line="360" w:lineRule="atLeast"/>
        <w:jc w:val="center"/>
        <w:outlineLvl w:val="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主要人员简历表</w:t>
      </w:r>
    </w:p>
    <w:p w14:paraId="491FEAA9">
      <w:pPr>
        <w:spacing w:line="360" w:lineRule="atLeast"/>
        <w:jc w:val="center"/>
        <w:rPr>
          <w:rFonts w:hint="eastAsia" w:ascii="宋体" w:hAnsi="宋体" w:eastAsia="宋体" w:cs="宋体"/>
          <w:color w:val="auto"/>
          <w:sz w:val="28"/>
          <w:szCs w:val="28"/>
          <w:highlight w:val="none"/>
        </w:rPr>
      </w:pPr>
    </w:p>
    <w:tbl>
      <w:tblPr>
        <w:tblStyle w:val="43"/>
        <w:tblW w:w="850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32"/>
        <w:gridCol w:w="2468"/>
        <w:gridCol w:w="396"/>
        <w:gridCol w:w="1404"/>
        <w:gridCol w:w="540"/>
        <w:gridCol w:w="1663"/>
      </w:tblGrid>
      <w:tr w14:paraId="04D09E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jc w:val="center"/>
        </w:trPr>
        <w:tc>
          <w:tcPr>
            <w:tcW w:w="2032" w:type="dxa"/>
            <w:vAlign w:val="center"/>
          </w:tcPr>
          <w:p w14:paraId="2761B170">
            <w:pPr>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rPr>
              <w:t>姓名</w:t>
            </w:r>
          </w:p>
        </w:tc>
        <w:tc>
          <w:tcPr>
            <w:tcW w:w="2468" w:type="dxa"/>
            <w:vAlign w:val="center"/>
          </w:tcPr>
          <w:p w14:paraId="5132325E">
            <w:pPr>
              <w:spacing w:line="360" w:lineRule="atLeast"/>
              <w:jc w:val="center"/>
              <w:rPr>
                <w:rFonts w:hint="eastAsia" w:ascii="宋体" w:hAnsi="宋体" w:eastAsia="宋体" w:cs="宋体"/>
                <w:color w:val="auto"/>
                <w:highlight w:val="none"/>
              </w:rPr>
            </w:pPr>
          </w:p>
        </w:tc>
        <w:tc>
          <w:tcPr>
            <w:tcW w:w="2340" w:type="dxa"/>
            <w:gridSpan w:val="3"/>
            <w:vAlign w:val="center"/>
          </w:tcPr>
          <w:p w14:paraId="35E15DD2">
            <w:pPr>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rPr>
              <w:t>性别</w:t>
            </w:r>
          </w:p>
        </w:tc>
        <w:tc>
          <w:tcPr>
            <w:tcW w:w="1663" w:type="dxa"/>
            <w:vAlign w:val="center"/>
          </w:tcPr>
          <w:p w14:paraId="572827E5">
            <w:pPr>
              <w:spacing w:line="360" w:lineRule="atLeast"/>
              <w:jc w:val="center"/>
              <w:rPr>
                <w:rFonts w:hint="eastAsia" w:ascii="宋体" w:hAnsi="宋体" w:eastAsia="宋体" w:cs="宋体"/>
                <w:color w:val="auto"/>
                <w:highlight w:val="none"/>
              </w:rPr>
            </w:pPr>
          </w:p>
        </w:tc>
      </w:tr>
      <w:tr w14:paraId="75EEE2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jc w:val="center"/>
        </w:trPr>
        <w:tc>
          <w:tcPr>
            <w:tcW w:w="2032" w:type="dxa"/>
            <w:vAlign w:val="center"/>
          </w:tcPr>
          <w:p w14:paraId="4C3CC665">
            <w:pPr>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rPr>
              <w:t>职务</w:t>
            </w:r>
          </w:p>
        </w:tc>
        <w:tc>
          <w:tcPr>
            <w:tcW w:w="2468" w:type="dxa"/>
            <w:vAlign w:val="center"/>
          </w:tcPr>
          <w:p w14:paraId="34311574">
            <w:pPr>
              <w:spacing w:line="360" w:lineRule="atLeast"/>
              <w:jc w:val="center"/>
              <w:rPr>
                <w:rFonts w:hint="eastAsia" w:ascii="宋体" w:hAnsi="宋体" w:eastAsia="宋体" w:cs="宋体"/>
                <w:color w:val="auto"/>
                <w:highlight w:val="none"/>
              </w:rPr>
            </w:pPr>
          </w:p>
        </w:tc>
        <w:tc>
          <w:tcPr>
            <w:tcW w:w="2340" w:type="dxa"/>
            <w:gridSpan w:val="3"/>
            <w:vAlign w:val="center"/>
          </w:tcPr>
          <w:p w14:paraId="161BF9FB">
            <w:pPr>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rPr>
              <w:t>职称</w:t>
            </w:r>
          </w:p>
        </w:tc>
        <w:tc>
          <w:tcPr>
            <w:tcW w:w="1663" w:type="dxa"/>
            <w:vAlign w:val="center"/>
          </w:tcPr>
          <w:p w14:paraId="766F1890">
            <w:pPr>
              <w:spacing w:line="360" w:lineRule="atLeast"/>
              <w:jc w:val="center"/>
              <w:rPr>
                <w:rFonts w:hint="eastAsia" w:ascii="宋体" w:hAnsi="宋体" w:eastAsia="宋体" w:cs="宋体"/>
                <w:color w:val="auto"/>
                <w:highlight w:val="none"/>
              </w:rPr>
            </w:pPr>
          </w:p>
        </w:tc>
      </w:tr>
      <w:tr w14:paraId="78A150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jc w:val="center"/>
        </w:trPr>
        <w:tc>
          <w:tcPr>
            <w:tcW w:w="2032" w:type="dxa"/>
            <w:vAlign w:val="center"/>
          </w:tcPr>
          <w:p w14:paraId="6854F314">
            <w:pPr>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rPr>
              <w:t>毕业学校、专业</w:t>
            </w:r>
          </w:p>
        </w:tc>
        <w:tc>
          <w:tcPr>
            <w:tcW w:w="6471" w:type="dxa"/>
            <w:gridSpan w:val="5"/>
            <w:vAlign w:val="center"/>
          </w:tcPr>
          <w:p w14:paraId="055DD84A">
            <w:pPr>
              <w:spacing w:line="360" w:lineRule="atLeast"/>
              <w:jc w:val="center"/>
              <w:rPr>
                <w:rFonts w:hint="eastAsia" w:ascii="宋体" w:hAnsi="宋体" w:eastAsia="宋体" w:cs="宋体"/>
                <w:color w:val="auto"/>
                <w:highlight w:val="none"/>
              </w:rPr>
            </w:pPr>
          </w:p>
        </w:tc>
      </w:tr>
      <w:tr w14:paraId="7C9948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vAlign w:val="center"/>
          </w:tcPr>
          <w:p w14:paraId="631DD9F1">
            <w:pPr>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rPr>
              <w:t>身份证号</w:t>
            </w:r>
          </w:p>
        </w:tc>
        <w:tc>
          <w:tcPr>
            <w:tcW w:w="2468" w:type="dxa"/>
            <w:vAlign w:val="center"/>
          </w:tcPr>
          <w:p w14:paraId="472A7CF8">
            <w:pPr>
              <w:spacing w:line="360" w:lineRule="atLeast"/>
              <w:jc w:val="center"/>
              <w:rPr>
                <w:rFonts w:hint="eastAsia" w:ascii="宋体" w:hAnsi="宋体" w:eastAsia="宋体" w:cs="宋体"/>
                <w:color w:val="auto"/>
                <w:highlight w:val="none"/>
              </w:rPr>
            </w:pPr>
          </w:p>
        </w:tc>
        <w:tc>
          <w:tcPr>
            <w:tcW w:w="2340" w:type="dxa"/>
            <w:gridSpan w:val="3"/>
            <w:vAlign w:val="center"/>
          </w:tcPr>
          <w:p w14:paraId="57B3B7B7">
            <w:pPr>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rPr>
              <w:t>拟在本合同任职</w:t>
            </w:r>
          </w:p>
        </w:tc>
        <w:tc>
          <w:tcPr>
            <w:tcW w:w="1663" w:type="dxa"/>
            <w:vAlign w:val="center"/>
          </w:tcPr>
          <w:p w14:paraId="4296563B">
            <w:pPr>
              <w:spacing w:line="360" w:lineRule="atLeast"/>
              <w:ind w:right="-105" w:rightChars="-50"/>
              <w:jc w:val="center"/>
              <w:rPr>
                <w:rFonts w:hint="eastAsia" w:ascii="宋体" w:hAnsi="宋体" w:eastAsia="宋体" w:cs="宋体"/>
                <w:color w:val="auto"/>
                <w:highlight w:val="none"/>
              </w:rPr>
            </w:pPr>
          </w:p>
        </w:tc>
      </w:tr>
      <w:tr w14:paraId="3A1639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vAlign w:val="center"/>
          </w:tcPr>
          <w:p w14:paraId="610B3DF2">
            <w:pPr>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rPr>
              <w:t>执业资格证</w:t>
            </w:r>
          </w:p>
        </w:tc>
        <w:tc>
          <w:tcPr>
            <w:tcW w:w="2468" w:type="dxa"/>
            <w:vAlign w:val="center"/>
          </w:tcPr>
          <w:p w14:paraId="7A0D7E1E">
            <w:pPr>
              <w:spacing w:line="360" w:lineRule="atLeast"/>
              <w:jc w:val="center"/>
              <w:rPr>
                <w:rFonts w:hint="eastAsia" w:ascii="宋体" w:hAnsi="宋体" w:eastAsia="宋体" w:cs="宋体"/>
                <w:color w:val="auto"/>
                <w:highlight w:val="none"/>
              </w:rPr>
            </w:pPr>
          </w:p>
        </w:tc>
        <w:tc>
          <w:tcPr>
            <w:tcW w:w="2340" w:type="dxa"/>
            <w:gridSpan w:val="3"/>
            <w:vAlign w:val="center"/>
          </w:tcPr>
          <w:p w14:paraId="4245F81C">
            <w:pPr>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rPr>
              <w:t>执业资格证书号</w:t>
            </w:r>
          </w:p>
        </w:tc>
        <w:tc>
          <w:tcPr>
            <w:tcW w:w="1663" w:type="dxa"/>
            <w:vAlign w:val="center"/>
          </w:tcPr>
          <w:p w14:paraId="013F7569">
            <w:pPr>
              <w:rPr>
                <w:rFonts w:hint="eastAsia" w:ascii="宋体" w:hAnsi="宋体" w:eastAsia="宋体" w:cs="宋体"/>
                <w:color w:val="auto"/>
                <w:highlight w:val="none"/>
              </w:rPr>
            </w:pPr>
          </w:p>
        </w:tc>
      </w:tr>
      <w:tr w14:paraId="55831F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8503" w:type="dxa"/>
            <w:gridSpan w:val="6"/>
            <w:vAlign w:val="center"/>
          </w:tcPr>
          <w:p w14:paraId="3C88B8CB">
            <w:pPr>
              <w:spacing w:line="360" w:lineRule="atLeast"/>
              <w:rPr>
                <w:rFonts w:hint="eastAsia" w:ascii="宋体" w:hAnsi="宋体" w:eastAsia="宋体" w:cs="宋体"/>
                <w:color w:val="auto"/>
                <w:highlight w:val="none"/>
              </w:rPr>
            </w:pPr>
            <w:r>
              <w:rPr>
                <w:rFonts w:hint="eastAsia" w:ascii="宋体" w:hAnsi="宋体" w:eastAsia="宋体" w:cs="宋体"/>
                <w:color w:val="auto"/>
                <w:highlight w:val="none"/>
              </w:rPr>
              <w:t>近三年承担项目情况</w:t>
            </w:r>
          </w:p>
        </w:tc>
      </w:tr>
      <w:tr w14:paraId="72F466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5C00BFD7">
            <w:pPr>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rPr>
              <w:t>时间</w:t>
            </w:r>
          </w:p>
        </w:tc>
        <w:tc>
          <w:tcPr>
            <w:tcW w:w="2864" w:type="dxa"/>
            <w:gridSpan w:val="2"/>
            <w:vAlign w:val="center"/>
          </w:tcPr>
          <w:p w14:paraId="7AE86FDA">
            <w:pPr>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rPr>
              <w:t>类似项目名称</w:t>
            </w:r>
          </w:p>
        </w:tc>
        <w:tc>
          <w:tcPr>
            <w:tcW w:w="1404" w:type="dxa"/>
            <w:vAlign w:val="center"/>
          </w:tcPr>
          <w:p w14:paraId="3A69D773">
            <w:pPr>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rPr>
              <w:t>担任职务</w:t>
            </w:r>
          </w:p>
        </w:tc>
        <w:tc>
          <w:tcPr>
            <w:tcW w:w="2203" w:type="dxa"/>
            <w:gridSpan w:val="2"/>
            <w:vAlign w:val="center"/>
          </w:tcPr>
          <w:p w14:paraId="0C0CD3E0">
            <w:pPr>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rPr>
              <w:t>项目单位名称及电话</w:t>
            </w:r>
          </w:p>
        </w:tc>
      </w:tr>
      <w:tr w14:paraId="344018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67F4FA04">
            <w:pPr>
              <w:spacing w:line="360" w:lineRule="atLeast"/>
              <w:jc w:val="center"/>
              <w:rPr>
                <w:rFonts w:hint="eastAsia" w:ascii="宋体" w:hAnsi="宋体" w:eastAsia="宋体" w:cs="宋体"/>
                <w:color w:val="auto"/>
                <w:highlight w:val="none"/>
              </w:rPr>
            </w:pPr>
          </w:p>
        </w:tc>
        <w:tc>
          <w:tcPr>
            <w:tcW w:w="2864" w:type="dxa"/>
            <w:gridSpan w:val="2"/>
            <w:vAlign w:val="center"/>
          </w:tcPr>
          <w:p w14:paraId="007AF5EC">
            <w:pPr>
              <w:spacing w:line="360" w:lineRule="atLeast"/>
              <w:jc w:val="center"/>
              <w:rPr>
                <w:rFonts w:hint="eastAsia" w:ascii="宋体" w:hAnsi="宋体" w:eastAsia="宋体" w:cs="宋体"/>
                <w:color w:val="auto"/>
                <w:highlight w:val="none"/>
              </w:rPr>
            </w:pPr>
          </w:p>
        </w:tc>
        <w:tc>
          <w:tcPr>
            <w:tcW w:w="1404" w:type="dxa"/>
            <w:vAlign w:val="center"/>
          </w:tcPr>
          <w:p w14:paraId="0E089DBF">
            <w:pPr>
              <w:spacing w:line="360" w:lineRule="atLeast"/>
              <w:jc w:val="center"/>
              <w:rPr>
                <w:rFonts w:hint="eastAsia" w:ascii="宋体" w:hAnsi="宋体" w:eastAsia="宋体" w:cs="宋体"/>
                <w:color w:val="auto"/>
                <w:highlight w:val="none"/>
              </w:rPr>
            </w:pPr>
          </w:p>
        </w:tc>
        <w:tc>
          <w:tcPr>
            <w:tcW w:w="2203" w:type="dxa"/>
            <w:gridSpan w:val="2"/>
            <w:vAlign w:val="center"/>
          </w:tcPr>
          <w:p w14:paraId="01780E28">
            <w:pPr>
              <w:spacing w:line="360" w:lineRule="atLeast"/>
              <w:jc w:val="center"/>
              <w:rPr>
                <w:rFonts w:hint="eastAsia" w:ascii="宋体" w:hAnsi="宋体" w:eastAsia="宋体" w:cs="宋体"/>
                <w:color w:val="auto"/>
                <w:highlight w:val="none"/>
              </w:rPr>
            </w:pPr>
          </w:p>
        </w:tc>
      </w:tr>
      <w:tr w14:paraId="5509B6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17A3A086">
            <w:pPr>
              <w:spacing w:line="360" w:lineRule="atLeast"/>
              <w:jc w:val="center"/>
              <w:rPr>
                <w:rFonts w:hint="eastAsia" w:ascii="宋体" w:hAnsi="宋体" w:eastAsia="宋体" w:cs="宋体"/>
                <w:color w:val="auto"/>
                <w:highlight w:val="none"/>
              </w:rPr>
            </w:pPr>
          </w:p>
        </w:tc>
        <w:tc>
          <w:tcPr>
            <w:tcW w:w="2864" w:type="dxa"/>
            <w:gridSpan w:val="2"/>
            <w:vAlign w:val="center"/>
          </w:tcPr>
          <w:p w14:paraId="4C90CFE3">
            <w:pPr>
              <w:spacing w:line="360" w:lineRule="atLeast"/>
              <w:jc w:val="center"/>
              <w:rPr>
                <w:rFonts w:hint="eastAsia" w:ascii="宋体" w:hAnsi="宋体" w:eastAsia="宋体" w:cs="宋体"/>
                <w:color w:val="auto"/>
                <w:highlight w:val="none"/>
              </w:rPr>
            </w:pPr>
          </w:p>
        </w:tc>
        <w:tc>
          <w:tcPr>
            <w:tcW w:w="1404" w:type="dxa"/>
            <w:vAlign w:val="center"/>
          </w:tcPr>
          <w:p w14:paraId="3E960029">
            <w:pPr>
              <w:spacing w:line="360" w:lineRule="atLeast"/>
              <w:jc w:val="center"/>
              <w:rPr>
                <w:rFonts w:hint="eastAsia" w:ascii="宋体" w:hAnsi="宋体" w:eastAsia="宋体" w:cs="宋体"/>
                <w:color w:val="auto"/>
                <w:highlight w:val="none"/>
              </w:rPr>
            </w:pPr>
          </w:p>
        </w:tc>
        <w:tc>
          <w:tcPr>
            <w:tcW w:w="2203" w:type="dxa"/>
            <w:gridSpan w:val="2"/>
            <w:vAlign w:val="center"/>
          </w:tcPr>
          <w:p w14:paraId="63CE6242">
            <w:pPr>
              <w:spacing w:line="360" w:lineRule="atLeast"/>
              <w:jc w:val="center"/>
              <w:rPr>
                <w:rFonts w:hint="eastAsia" w:ascii="宋体" w:hAnsi="宋体" w:eastAsia="宋体" w:cs="宋体"/>
                <w:color w:val="auto"/>
                <w:highlight w:val="none"/>
              </w:rPr>
            </w:pPr>
          </w:p>
        </w:tc>
      </w:tr>
      <w:tr w14:paraId="209C0D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2C341ACB">
            <w:pPr>
              <w:spacing w:line="360" w:lineRule="atLeast"/>
              <w:jc w:val="center"/>
              <w:rPr>
                <w:rFonts w:hint="eastAsia" w:ascii="宋体" w:hAnsi="宋体" w:eastAsia="宋体" w:cs="宋体"/>
                <w:color w:val="auto"/>
                <w:highlight w:val="none"/>
              </w:rPr>
            </w:pPr>
          </w:p>
        </w:tc>
        <w:tc>
          <w:tcPr>
            <w:tcW w:w="2864" w:type="dxa"/>
            <w:gridSpan w:val="2"/>
            <w:vAlign w:val="center"/>
          </w:tcPr>
          <w:p w14:paraId="6D90CD3E">
            <w:pPr>
              <w:spacing w:line="360" w:lineRule="atLeast"/>
              <w:jc w:val="center"/>
              <w:rPr>
                <w:rFonts w:hint="eastAsia" w:ascii="宋体" w:hAnsi="宋体" w:eastAsia="宋体" w:cs="宋体"/>
                <w:color w:val="auto"/>
                <w:highlight w:val="none"/>
              </w:rPr>
            </w:pPr>
          </w:p>
        </w:tc>
        <w:tc>
          <w:tcPr>
            <w:tcW w:w="1404" w:type="dxa"/>
            <w:vAlign w:val="center"/>
          </w:tcPr>
          <w:p w14:paraId="2A5E7F08">
            <w:pPr>
              <w:spacing w:line="360" w:lineRule="atLeast"/>
              <w:jc w:val="center"/>
              <w:rPr>
                <w:rFonts w:hint="eastAsia" w:ascii="宋体" w:hAnsi="宋体" w:eastAsia="宋体" w:cs="宋体"/>
                <w:color w:val="auto"/>
                <w:highlight w:val="none"/>
              </w:rPr>
            </w:pPr>
          </w:p>
        </w:tc>
        <w:tc>
          <w:tcPr>
            <w:tcW w:w="2203" w:type="dxa"/>
            <w:gridSpan w:val="2"/>
            <w:vAlign w:val="center"/>
          </w:tcPr>
          <w:p w14:paraId="51304411">
            <w:pPr>
              <w:spacing w:line="360" w:lineRule="atLeast"/>
              <w:jc w:val="center"/>
              <w:rPr>
                <w:rFonts w:hint="eastAsia" w:ascii="宋体" w:hAnsi="宋体" w:eastAsia="宋体" w:cs="宋体"/>
                <w:color w:val="auto"/>
                <w:highlight w:val="none"/>
              </w:rPr>
            </w:pPr>
          </w:p>
        </w:tc>
      </w:tr>
      <w:tr w14:paraId="61DADE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39AECE16">
            <w:pPr>
              <w:spacing w:line="360" w:lineRule="atLeast"/>
              <w:jc w:val="center"/>
              <w:rPr>
                <w:rFonts w:hint="eastAsia" w:ascii="宋体" w:hAnsi="宋体" w:eastAsia="宋体" w:cs="宋体"/>
                <w:color w:val="auto"/>
                <w:highlight w:val="none"/>
              </w:rPr>
            </w:pPr>
          </w:p>
        </w:tc>
        <w:tc>
          <w:tcPr>
            <w:tcW w:w="2864" w:type="dxa"/>
            <w:gridSpan w:val="2"/>
            <w:vAlign w:val="center"/>
          </w:tcPr>
          <w:p w14:paraId="7BBDD6B6">
            <w:pPr>
              <w:spacing w:line="360" w:lineRule="atLeast"/>
              <w:jc w:val="center"/>
              <w:rPr>
                <w:rFonts w:hint="eastAsia" w:ascii="宋体" w:hAnsi="宋体" w:eastAsia="宋体" w:cs="宋体"/>
                <w:color w:val="auto"/>
                <w:highlight w:val="none"/>
              </w:rPr>
            </w:pPr>
          </w:p>
        </w:tc>
        <w:tc>
          <w:tcPr>
            <w:tcW w:w="1404" w:type="dxa"/>
            <w:vAlign w:val="center"/>
          </w:tcPr>
          <w:p w14:paraId="5736EC7E">
            <w:pPr>
              <w:spacing w:line="360" w:lineRule="atLeast"/>
              <w:jc w:val="center"/>
              <w:rPr>
                <w:rFonts w:hint="eastAsia" w:ascii="宋体" w:hAnsi="宋体" w:eastAsia="宋体" w:cs="宋体"/>
                <w:color w:val="auto"/>
                <w:highlight w:val="none"/>
              </w:rPr>
            </w:pPr>
          </w:p>
        </w:tc>
        <w:tc>
          <w:tcPr>
            <w:tcW w:w="2203" w:type="dxa"/>
            <w:gridSpan w:val="2"/>
            <w:vAlign w:val="center"/>
          </w:tcPr>
          <w:p w14:paraId="24B7BCD7">
            <w:pPr>
              <w:spacing w:line="360" w:lineRule="atLeast"/>
              <w:jc w:val="center"/>
              <w:rPr>
                <w:rFonts w:hint="eastAsia" w:ascii="宋体" w:hAnsi="宋体" w:eastAsia="宋体" w:cs="宋体"/>
                <w:color w:val="auto"/>
                <w:highlight w:val="none"/>
              </w:rPr>
            </w:pPr>
          </w:p>
        </w:tc>
      </w:tr>
      <w:tr w14:paraId="1016BA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08D8E900">
            <w:pPr>
              <w:spacing w:line="360" w:lineRule="atLeast"/>
              <w:jc w:val="center"/>
              <w:rPr>
                <w:rFonts w:hint="eastAsia" w:ascii="宋体" w:hAnsi="宋体" w:eastAsia="宋体" w:cs="宋体"/>
                <w:color w:val="auto"/>
                <w:highlight w:val="none"/>
              </w:rPr>
            </w:pPr>
          </w:p>
        </w:tc>
        <w:tc>
          <w:tcPr>
            <w:tcW w:w="2864" w:type="dxa"/>
            <w:gridSpan w:val="2"/>
            <w:vAlign w:val="center"/>
          </w:tcPr>
          <w:p w14:paraId="6965DEE3">
            <w:pPr>
              <w:spacing w:line="360" w:lineRule="atLeast"/>
              <w:jc w:val="center"/>
              <w:rPr>
                <w:rFonts w:hint="eastAsia" w:ascii="宋体" w:hAnsi="宋体" w:eastAsia="宋体" w:cs="宋体"/>
                <w:color w:val="auto"/>
                <w:highlight w:val="none"/>
              </w:rPr>
            </w:pPr>
          </w:p>
        </w:tc>
        <w:tc>
          <w:tcPr>
            <w:tcW w:w="1404" w:type="dxa"/>
            <w:vAlign w:val="center"/>
          </w:tcPr>
          <w:p w14:paraId="2490CC34">
            <w:pPr>
              <w:spacing w:line="360" w:lineRule="atLeast"/>
              <w:jc w:val="center"/>
              <w:rPr>
                <w:rFonts w:hint="eastAsia" w:ascii="宋体" w:hAnsi="宋体" w:eastAsia="宋体" w:cs="宋体"/>
                <w:color w:val="auto"/>
                <w:highlight w:val="none"/>
              </w:rPr>
            </w:pPr>
          </w:p>
        </w:tc>
        <w:tc>
          <w:tcPr>
            <w:tcW w:w="2203" w:type="dxa"/>
            <w:gridSpan w:val="2"/>
            <w:vAlign w:val="center"/>
          </w:tcPr>
          <w:p w14:paraId="3AAFAE88">
            <w:pPr>
              <w:spacing w:line="360" w:lineRule="atLeast"/>
              <w:jc w:val="center"/>
              <w:rPr>
                <w:rFonts w:hint="eastAsia" w:ascii="宋体" w:hAnsi="宋体" w:eastAsia="宋体" w:cs="宋体"/>
                <w:color w:val="auto"/>
                <w:highlight w:val="none"/>
              </w:rPr>
            </w:pPr>
          </w:p>
        </w:tc>
      </w:tr>
      <w:tr w14:paraId="12606B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335365B5">
            <w:pPr>
              <w:spacing w:line="360" w:lineRule="atLeast"/>
              <w:jc w:val="center"/>
              <w:rPr>
                <w:rFonts w:hint="eastAsia" w:ascii="宋体" w:hAnsi="宋体" w:eastAsia="宋体" w:cs="宋体"/>
                <w:color w:val="auto"/>
                <w:highlight w:val="none"/>
              </w:rPr>
            </w:pPr>
          </w:p>
        </w:tc>
        <w:tc>
          <w:tcPr>
            <w:tcW w:w="2864" w:type="dxa"/>
            <w:gridSpan w:val="2"/>
            <w:vAlign w:val="center"/>
          </w:tcPr>
          <w:p w14:paraId="352AA30D">
            <w:pPr>
              <w:spacing w:line="360" w:lineRule="atLeast"/>
              <w:jc w:val="center"/>
              <w:rPr>
                <w:rFonts w:hint="eastAsia" w:ascii="宋体" w:hAnsi="宋体" w:eastAsia="宋体" w:cs="宋体"/>
                <w:color w:val="auto"/>
                <w:highlight w:val="none"/>
              </w:rPr>
            </w:pPr>
          </w:p>
        </w:tc>
        <w:tc>
          <w:tcPr>
            <w:tcW w:w="1404" w:type="dxa"/>
            <w:vAlign w:val="center"/>
          </w:tcPr>
          <w:p w14:paraId="13150553">
            <w:pPr>
              <w:spacing w:line="360" w:lineRule="atLeast"/>
              <w:jc w:val="center"/>
              <w:rPr>
                <w:rFonts w:hint="eastAsia" w:ascii="宋体" w:hAnsi="宋体" w:eastAsia="宋体" w:cs="宋体"/>
                <w:color w:val="auto"/>
                <w:highlight w:val="none"/>
              </w:rPr>
            </w:pPr>
          </w:p>
        </w:tc>
        <w:tc>
          <w:tcPr>
            <w:tcW w:w="2203" w:type="dxa"/>
            <w:gridSpan w:val="2"/>
            <w:vAlign w:val="center"/>
          </w:tcPr>
          <w:p w14:paraId="223F2FAA">
            <w:pPr>
              <w:spacing w:line="360" w:lineRule="atLeast"/>
              <w:jc w:val="center"/>
              <w:rPr>
                <w:rFonts w:hint="eastAsia" w:ascii="宋体" w:hAnsi="宋体" w:eastAsia="宋体" w:cs="宋体"/>
                <w:color w:val="auto"/>
                <w:highlight w:val="none"/>
              </w:rPr>
            </w:pPr>
          </w:p>
        </w:tc>
      </w:tr>
      <w:tr w14:paraId="6826EF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3A429DC6">
            <w:pPr>
              <w:spacing w:line="360" w:lineRule="atLeast"/>
              <w:jc w:val="center"/>
              <w:rPr>
                <w:rFonts w:hint="eastAsia" w:ascii="宋体" w:hAnsi="宋体" w:eastAsia="宋体" w:cs="宋体"/>
                <w:color w:val="auto"/>
                <w:highlight w:val="none"/>
              </w:rPr>
            </w:pPr>
          </w:p>
        </w:tc>
        <w:tc>
          <w:tcPr>
            <w:tcW w:w="2864" w:type="dxa"/>
            <w:gridSpan w:val="2"/>
            <w:vAlign w:val="center"/>
          </w:tcPr>
          <w:p w14:paraId="2EC7B80A">
            <w:pPr>
              <w:spacing w:line="360" w:lineRule="atLeast"/>
              <w:jc w:val="center"/>
              <w:rPr>
                <w:rFonts w:hint="eastAsia" w:ascii="宋体" w:hAnsi="宋体" w:eastAsia="宋体" w:cs="宋体"/>
                <w:color w:val="auto"/>
                <w:highlight w:val="none"/>
              </w:rPr>
            </w:pPr>
          </w:p>
        </w:tc>
        <w:tc>
          <w:tcPr>
            <w:tcW w:w="1404" w:type="dxa"/>
            <w:vAlign w:val="center"/>
          </w:tcPr>
          <w:p w14:paraId="4238F983">
            <w:pPr>
              <w:spacing w:line="360" w:lineRule="atLeast"/>
              <w:jc w:val="center"/>
              <w:rPr>
                <w:rFonts w:hint="eastAsia" w:ascii="宋体" w:hAnsi="宋体" w:eastAsia="宋体" w:cs="宋体"/>
                <w:color w:val="auto"/>
                <w:highlight w:val="none"/>
              </w:rPr>
            </w:pPr>
          </w:p>
        </w:tc>
        <w:tc>
          <w:tcPr>
            <w:tcW w:w="2203" w:type="dxa"/>
            <w:gridSpan w:val="2"/>
            <w:vAlign w:val="center"/>
          </w:tcPr>
          <w:p w14:paraId="655F0C83">
            <w:pPr>
              <w:spacing w:line="360" w:lineRule="atLeast"/>
              <w:jc w:val="center"/>
              <w:rPr>
                <w:rFonts w:hint="eastAsia" w:ascii="宋体" w:hAnsi="宋体" w:eastAsia="宋体" w:cs="宋体"/>
                <w:color w:val="auto"/>
                <w:highlight w:val="none"/>
              </w:rPr>
            </w:pPr>
          </w:p>
        </w:tc>
      </w:tr>
      <w:tr w14:paraId="4C9D8A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5B7CD222">
            <w:pPr>
              <w:spacing w:line="360" w:lineRule="atLeast"/>
              <w:jc w:val="center"/>
              <w:rPr>
                <w:rFonts w:hint="eastAsia" w:ascii="宋体" w:hAnsi="宋体" w:eastAsia="宋体" w:cs="宋体"/>
                <w:color w:val="auto"/>
                <w:highlight w:val="none"/>
              </w:rPr>
            </w:pPr>
          </w:p>
        </w:tc>
        <w:tc>
          <w:tcPr>
            <w:tcW w:w="2864" w:type="dxa"/>
            <w:gridSpan w:val="2"/>
            <w:vAlign w:val="center"/>
          </w:tcPr>
          <w:p w14:paraId="55F0C935">
            <w:pPr>
              <w:spacing w:line="360" w:lineRule="atLeast"/>
              <w:jc w:val="center"/>
              <w:rPr>
                <w:rFonts w:hint="eastAsia" w:ascii="宋体" w:hAnsi="宋体" w:eastAsia="宋体" w:cs="宋体"/>
                <w:color w:val="auto"/>
                <w:highlight w:val="none"/>
              </w:rPr>
            </w:pPr>
          </w:p>
        </w:tc>
        <w:tc>
          <w:tcPr>
            <w:tcW w:w="1404" w:type="dxa"/>
            <w:vAlign w:val="center"/>
          </w:tcPr>
          <w:p w14:paraId="5E3D12A7">
            <w:pPr>
              <w:spacing w:line="360" w:lineRule="atLeast"/>
              <w:jc w:val="center"/>
              <w:rPr>
                <w:rFonts w:hint="eastAsia" w:ascii="宋体" w:hAnsi="宋体" w:eastAsia="宋体" w:cs="宋体"/>
                <w:color w:val="auto"/>
                <w:highlight w:val="none"/>
              </w:rPr>
            </w:pPr>
          </w:p>
        </w:tc>
        <w:tc>
          <w:tcPr>
            <w:tcW w:w="2203" w:type="dxa"/>
            <w:gridSpan w:val="2"/>
            <w:vAlign w:val="center"/>
          </w:tcPr>
          <w:p w14:paraId="722DF9A9">
            <w:pPr>
              <w:spacing w:line="360" w:lineRule="atLeast"/>
              <w:jc w:val="center"/>
              <w:rPr>
                <w:rFonts w:hint="eastAsia" w:ascii="宋体" w:hAnsi="宋体" w:eastAsia="宋体" w:cs="宋体"/>
                <w:color w:val="auto"/>
                <w:highlight w:val="none"/>
              </w:rPr>
            </w:pPr>
          </w:p>
        </w:tc>
      </w:tr>
      <w:tr w14:paraId="264BFA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7EBA4611">
            <w:pPr>
              <w:spacing w:line="360" w:lineRule="atLeast"/>
              <w:jc w:val="center"/>
              <w:rPr>
                <w:rFonts w:hint="eastAsia" w:ascii="宋体" w:hAnsi="宋体" w:eastAsia="宋体" w:cs="宋体"/>
                <w:color w:val="auto"/>
                <w:highlight w:val="none"/>
              </w:rPr>
            </w:pPr>
          </w:p>
        </w:tc>
        <w:tc>
          <w:tcPr>
            <w:tcW w:w="2864" w:type="dxa"/>
            <w:gridSpan w:val="2"/>
            <w:vAlign w:val="center"/>
          </w:tcPr>
          <w:p w14:paraId="5E78AF70">
            <w:pPr>
              <w:spacing w:line="360" w:lineRule="atLeast"/>
              <w:jc w:val="center"/>
              <w:rPr>
                <w:rFonts w:hint="eastAsia" w:ascii="宋体" w:hAnsi="宋体" w:eastAsia="宋体" w:cs="宋体"/>
                <w:color w:val="auto"/>
                <w:highlight w:val="none"/>
              </w:rPr>
            </w:pPr>
          </w:p>
        </w:tc>
        <w:tc>
          <w:tcPr>
            <w:tcW w:w="1404" w:type="dxa"/>
            <w:vAlign w:val="center"/>
          </w:tcPr>
          <w:p w14:paraId="077AF605">
            <w:pPr>
              <w:spacing w:line="360" w:lineRule="atLeast"/>
              <w:jc w:val="center"/>
              <w:rPr>
                <w:rFonts w:hint="eastAsia" w:ascii="宋体" w:hAnsi="宋体" w:eastAsia="宋体" w:cs="宋体"/>
                <w:color w:val="auto"/>
                <w:highlight w:val="none"/>
              </w:rPr>
            </w:pPr>
          </w:p>
        </w:tc>
        <w:tc>
          <w:tcPr>
            <w:tcW w:w="2203" w:type="dxa"/>
            <w:gridSpan w:val="2"/>
            <w:vAlign w:val="center"/>
          </w:tcPr>
          <w:p w14:paraId="5C28E7E0">
            <w:pPr>
              <w:spacing w:line="360" w:lineRule="atLeast"/>
              <w:jc w:val="center"/>
              <w:rPr>
                <w:rFonts w:hint="eastAsia" w:ascii="宋体" w:hAnsi="宋体" w:eastAsia="宋体" w:cs="宋体"/>
                <w:color w:val="auto"/>
                <w:highlight w:val="none"/>
              </w:rPr>
            </w:pPr>
          </w:p>
        </w:tc>
      </w:tr>
    </w:tbl>
    <w:p w14:paraId="68619F23">
      <w:pPr>
        <w:rPr>
          <w:rFonts w:hint="eastAsia" w:ascii="宋体" w:hAnsi="宋体" w:eastAsia="宋体" w:cs="宋体"/>
          <w:color w:val="auto"/>
          <w:szCs w:val="21"/>
          <w:highlight w:val="none"/>
        </w:rPr>
      </w:pPr>
    </w:p>
    <w:p w14:paraId="7965EAF0">
      <w:pPr>
        <w:rPr>
          <w:rFonts w:hint="eastAsia" w:ascii="宋体" w:hAnsi="宋体" w:eastAsia="宋体" w:cs="宋体"/>
          <w:color w:val="auto"/>
          <w:szCs w:val="21"/>
          <w:highlight w:val="none"/>
        </w:rPr>
      </w:pPr>
    </w:p>
    <w:p w14:paraId="2DFBA571">
      <w:pPr>
        <w:pStyle w:val="25"/>
        <w:adjustRightInd w:val="0"/>
        <w:snapToGrid w:val="0"/>
        <w:spacing w:line="360" w:lineRule="auto"/>
        <w:outlineLvl w:val="0"/>
        <w:rPr>
          <w:rFonts w:hint="eastAsia" w:ascii="宋体" w:hAnsi="宋体" w:eastAsia="宋体" w:cs="宋体"/>
          <w:bCs/>
          <w:color w:val="auto"/>
          <w:sz w:val="21"/>
          <w:szCs w:val="21"/>
          <w:highlight w:val="none"/>
        </w:rPr>
      </w:pPr>
      <w:bookmarkStart w:id="368" w:name="_Toc15007"/>
      <w:r>
        <w:rPr>
          <w:rFonts w:hint="eastAsia" w:ascii="宋体" w:hAnsi="宋体" w:eastAsia="宋体" w:cs="宋体"/>
          <w:color w:val="auto"/>
          <w:sz w:val="21"/>
          <w:szCs w:val="21"/>
          <w:highlight w:val="none"/>
        </w:rPr>
        <w:t>供应商名称：</w:t>
      </w:r>
      <w:bookmarkEnd w:id="368"/>
    </w:p>
    <w:p w14:paraId="07C3A600">
      <w:pPr>
        <w:adjustRightInd w:val="0"/>
        <w:snapToGrid w:val="0"/>
        <w:spacing w:line="360" w:lineRule="auto"/>
        <w:outlineLvl w:val="0"/>
        <w:rPr>
          <w:rFonts w:hint="eastAsia" w:ascii="宋体" w:hAnsi="宋体" w:eastAsia="宋体" w:cs="宋体"/>
          <w:color w:val="auto"/>
          <w:szCs w:val="21"/>
          <w:highlight w:val="none"/>
          <w:lang w:val="en-US" w:eastAsia="zh-CN"/>
        </w:rPr>
      </w:pPr>
      <w:bookmarkStart w:id="369" w:name="_Toc18384"/>
      <w:r>
        <w:rPr>
          <w:rFonts w:hint="eastAsia" w:ascii="宋体" w:hAnsi="宋体" w:eastAsia="宋体" w:cs="宋体"/>
          <w:color w:val="auto"/>
          <w:szCs w:val="21"/>
          <w:highlight w:val="none"/>
        </w:rPr>
        <w:t>法定代表人或其委托代理人(签字)：</w:t>
      </w:r>
      <w:r>
        <w:rPr>
          <w:rFonts w:hint="eastAsia" w:ascii="宋体" w:hAnsi="宋体" w:eastAsia="宋体" w:cs="宋体"/>
          <w:color w:val="auto"/>
          <w:szCs w:val="21"/>
          <w:highlight w:val="none"/>
          <w:u w:val="single"/>
          <w:lang w:val="en-US" w:eastAsia="zh-CN"/>
        </w:rPr>
        <w:t xml:space="preserve">      </w:t>
      </w:r>
      <w:bookmarkEnd w:id="369"/>
      <w:r>
        <w:rPr>
          <w:rFonts w:hint="eastAsia" w:ascii="宋体" w:hAnsi="宋体" w:eastAsia="宋体" w:cs="宋体"/>
          <w:color w:val="auto"/>
          <w:szCs w:val="21"/>
          <w:highlight w:val="none"/>
          <w:u w:val="single"/>
          <w:lang w:val="en-US" w:eastAsia="zh-CN"/>
        </w:rPr>
        <w:t xml:space="preserve">        </w:t>
      </w:r>
    </w:p>
    <w:p w14:paraId="1AA006A4">
      <w:pPr>
        <w:spacing w:line="360" w:lineRule="exact"/>
        <w:rPr>
          <w:rFonts w:hint="eastAsia" w:ascii="宋体" w:hAnsi="宋体" w:eastAsia="宋体" w:cs="宋体"/>
          <w:color w:val="auto"/>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1AD8E4E8">
      <w:pPr>
        <w:pStyle w:val="62"/>
        <w:rPr>
          <w:rFonts w:hint="eastAsia" w:ascii="宋体" w:hAnsi="宋体" w:eastAsia="宋体" w:cs="宋体"/>
          <w:color w:val="auto"/>
          <w:kern w:val="0"/>
          <w:szCs w:val="21"/>
          <w:highlight w:val="none"/>
        </w:rPr>
      </w:pPr>
    </w:p>
    <w:p w14:paraId="3E80A114">
      <w:pPr>
        <w:pStyle w:val="62"/>
        <w:rPr>
          <w:rFonts w:hint="eastAsia" w:ascii="宋体" w:hAnsi="宋体" w:eastAsia="宋体" w:cs="宋体"/>
          <w:color w:val="auto"/>
          <w:kern w:val="0"/>
          <w:szCs w:val="21"/>
          <w:highlight w:val="none"/>
        </w:rPr>
      </w:pPr>
    </w:p>
    <w:p w14:paraId="23B49379">
      <w:pPr>
        <w:pStyle w:val="62"/>
        <w:rPr>
          <w:rFonts w:hint="eastAsia" w:ascii="宋体" w:hAnsi="宋体" w:eastAsia="宋体" w:cs="宋体"/>
          <w:color w:val="auto"/>
          <w:kern w:val="0"/>
          <w:szCs w:val="21"/>
          <w:highlight w:val="none"/>
        </w:rPr>
      </w:pPr>
    </w:p>
    <w:p w14:paraId="3CA8B920">
      <w:pPr>
        <w:pStyle w:val="62"/>
        <w:rPr>
          <w:rFonts w:hint="eastAsia" w:ascii="宋体" w:hAnsi="宋体" w:eastAsia="宋体" w:cs="宋体"/>
          <w:color w:val="auto"/>
          <w:kern w:val="0"/>
          <w:szCs w:val="21"/>
          <w:highlight w:val="none"/>
        </w:rPr>
      </w:pPr>
    </w:p>
    <w:p w14:paraId="3E60BDE0">
      <w:pPr>
        <w:pStyle w:val="62"/>
        <w:rPr>
          <w:rFonts w:hint="eastAsia" w:ascii="宋体" w:hAnsi="宋体" w:eastAsia="宋体" w:cs="宋体"/>
          <w:color w:val="auto"/>
          <w:kern w:val="0"/>
          <w:szCs w:val="21"/>
          <w:highlight w:val="none"/>
        </w:rPr>
      </w:pPr>
    </w:p>
    <w:p w14:paraId="557057F3">
      <w:pPr>
        <w:pStyle w:val="62"/>
        <w:rPr>
          <w:rFonts w:hint="eastAsia" w:ascii="宋体" w:hAnsi="宋体" w:eastAsia="宋体" w:cs="宋体"/>
          <w:color w:val="auto"/>
          <w:kern w:val="0"/>
          <w:szCs w:val="21"/>
          <w:highlight w:val="none"/>
        </w:rPr>
      </w:pPr>
    </w:p>
    <w:p w14:paraId="4A9ABF22">
      <w:pPr>
        <w:pStyle w:val="62"/>
        <w:rPr>
          <w:rFonts w:hint="eastAsia" w:ascii="宋体" w:hAnsi="宋体" w:eastAsia="宋体" w:cs="宋体"/>
          <w:color w:val="auto"/>
          <w:kern w:val="0"/>
          <w:szCs w:val="21"/>
          <w:highlight w:val="none"/>
        </w:rPr>
      </w:pPr>
    </w:p>
    <w:p w14:paraId="35BD9545">
      <w:pPr>
        <w:pStyle w:val="62"/>
        <w:rPr>
          <w:rFonts w:hint="eastAsia" w:ascii="宋体" w:hAnsi="宋体" w:eastAsia="宋体" w:cs="宋体"/>
          <w:color w:val="auto"/>
          <w:kern w:val="0"/>
          <w:szCs w:val="21"/>
          <w:highlight w:val="none"/>
        </w:rPr>
      </w:pPr>
    </w:p>
    <w:p w14:paraId="16815888">
      <w:pPr>
        <w:spacing w:line="360" w:lineRule="auto"/>
        <w:jc w:val="center"/>
        <w:outlineLvl w:val="1"/>
        <w:rPr>
          <w:rFonts w:hint="eastAsia" w:ascii="宋体" w:hAnsi="宋体" w:eastAsia="宋体" w:cs="宋体"/>
          <w:b/>
          <w:color w:val="auto"/>
          <w:sz w:val="32"/>
          <w:szCs w:val="32"/>
          <w:highlight w:val="none"/>
        </w:rPr>
      </w:pPr>
      <w:bookmarkStart w:id="370" w:name="_Toc11879757"/>
      <w:r>
        <w:rPr>
          <w:rFonts w:hint="eastAsia" w:ascii="宋体" w:hAnsi="宋体" w:eastAsia="宋体" w:cs="宋体"/>
          <w:b/>
          <w:color w:val="auto"/>
          <w:sz w:val="32"/>
          <w:szCs w:val="32"/>
          <w:highlight w:val="none"/>
        </w:rPr>
        <w:t>五、技术/商务响应与偏离表</w:t>
      </w:r>
      <w:bookmarkEnd w:id="370"/>
    </w:p>
    <w:p w14:paraId="5926C736">
      <w:pPr>
        <w:adjustRightInd w:val="0"/>
        <w:snapToGrid w:val="0"/>
        <w:spacing w:line="360" w:lineRule="auto"/>
        <w:ind w:left="-88" w:leftChars="-42" w:firstLine="315" w:firstLineChars="150"/>
        <w:rPr>
          <w:rFonts w:hint="eastAsia" w:ascii="宋体" w:hAnsi="宋体" w:eastAsia="宋体" w:cs="宋体"/>
          <w:color w:val="auto"/>
          <w:szCs w:val="21"/>
          <w:highlight w:val="none"/>
          <w:u w:val="single"/>
        </w:rPr>
      </w:pPr>
    </w:p>
    <w:tbl>
      <w:tblPr>
        <w:tblStyle w:val="43"/>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517"/>
        <w:gridCol w:w="1119"/>
      </w:tblGrid>
      <w:tr w14:paraId="0E2BD6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noWrap w:val="0"/>
            <w:vAlign w:val="center"/>
          </w:tcPr>
          <w:p w14:paraId="003E549D">
            <w:pPr>
              <w:adjustRightInd w:val="0"/>
              <w:snapToGrid w:val="0"/>
              <w:spacing w:line="360" w:lineRule="auto"/>
              <w:ind w:left="-88" w:leftChars="-42"/>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序号</w:t>
            </w:r>
          </w:p>
        </w:tc>
        <w:tc>
          <w:tcPr>
            <w:tcW w:w="1685" w:type="dxa"/>
            <w:noWrap w:val="0"/>
            <w:vAlign w:val="center"/>
          </w:tcPr>
          <w:p w14:paraId="75E6C146">
            <w:pPr>
              <w:adjustRightInd w:val="0"/>
              <w:snapToGrid w:val="0"/>
              <w:spacing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磋商文件条目号</w:t>
            </w:r>
          </w:p>
        </w:tc>
        <w:tc>
          <w:tcPr>
            <w:tcW w:w="1948" w:type="dxa"/>
            <w:noWrap w:val="0"/>
            <w:vAlign w:val="center"/>
          </w:tcPr>
          <w:p w14:paraId="13D2E62A">
            <w:pPr>
              <w:adjustRightInd w:val="0"/>
              <w:snapToGrid w:val="0"/>
              <w:spacing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采购规格/商务条款</w:t>
            </w:r>
          </w:p>
        </w:tc>
        <w:tc>
          <w:tcPr>
            <w:tcW w:w="2600" w:type="dxa"/>
            <w:noWrap w:val="0"/>
            <w:vAlign w:val="center"/>
          </w:tcPr>
          <w:p w14:paraId="05873ED2">
            <w:pPr>
              <w:adjustRightInd w:val="0"/>
              <w:snapToGrid w:val="0"/>
              <w:spacing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响应文件的规格/商务条款</w:t>
            </w:r>
          </w:p>
        </w:tc>
        <w:tc>
          <w:tcPr>
            <w:tcW w:w="1517" w:type="dxa"/>
            <w:noWrap w:val="0"/>
            <w:vAlign w:val="center"/>
          </w:tcPr>
          <w:p w14:paraId="6DDD0E38">
            <w:pPr>
              <w:adjustRightInd w:val="0"/>
              <w:snapToGrid w:val="0"/>
              <w:spacing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响应与偏离</w:t>
            </w:r>
          </w:p>
        </w:tc>
        <w:tc>
          <w:tcPr>
            <w:tcW w:w="1119" w:type="dxa"/>
            <w:noWrap w:val="0"/>
            <w:vAlign w:val="center"/>
          </w:tcPr>
          <w:p w14:paraId="54277B5A">
            <w:pPr>
              <w:adjustRightInd w:val="0"/>
              <w:snapToGrid w:val="0"/>
              <w:spacing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tc>
      </w:tr>
      <w:tr w14:paraId="05602F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EE1448B">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685" w:type="dxa"/>
            <w:noWrap w:val="0"/>
            <w:vAlign w:val="center"/>
          </w:tcPr>
          <w:p w14:paraId="2A1EF444">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948" w:type="dxa"/>
            <w:noWrap w:val="0"/>
            <w:vAlign w:val="center"/>
          </w:tcPr>
          <w:p w14:paraId="593C9878">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600" w:type="dxa"/>
            <w:noWrap w:val="0"/>
            <w:vAlign w:val="center"/>
          </w:tcPr>
          <w:p w14:paraId="5454C19A">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517" w:type="dxa"/>
            <w:noWrap w:val="0"/>
            <w:vAlign w:val="center"/>
          </w:tcPr>
          <w:p w14:paraId="1EB77894">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119" w:type="dxa"/>
            <w:noWrap w:val="0"/>
            <w:vAlign w:val="center"/>
          </w:tcPr>
          <w:p w14:paraId="266165AC">
            <w:pPr>
              <w:adjustRightInd w:val="0"/>
              <w:snapToGrid w:val="0"/>
              <w:spacing w:line="360" w:lineRule="auto"/>
              <w:ind w:left="-88" w:leftChars="-42"/>
              <w:jc w:val="center"/>
              <w:rPr>
                <w:rFonts w:hint="eastAsia" w:ascii="宋体" w:hAnsi="宋体" w:eastAsia="宋体" w:cs="宋体"/>
                <w:color w:val="auto"/>
                <w:szCs w:val="21"/>
                <w:highlight w:val="none"/>
              </w:rPr>
            </w:pPr>
          </w:p>
        </w:tc>
      </w:tr>
      <w:tr w14:paraId="6B4306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14A94745">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685" w:type="dxa"/>
            <w:noWrap w:val="0"/>
            <w:vAlign w:val="center"/>
          </w:tcPr>
          <w:p w14:paraId="5B4527AF">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948" w:type="dxa"/>
            <w:noWrap w:val="0"/>
            <w:vAlign w:val="center"/>
          </w:tcPr>
          <w:p w14:paraId="7683A4A6">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600" w:type="dxa"/>
            <w:noWrap w:val="0"/>
            <w:vAlign w:val="center"/>
          </w:tcPr>
          <w:p w14:paraId="449A9BD3">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517" w:type="dxa"/>
            <w:noWrap w:val="0"/>
            <w:vAlign w:val="center"/>
          </w:tcPr>
          <w:p w14:paraId="4C74D5EB">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119" w:type="dxa"/>
            <w:noWrap w:val="0"/>
            <w:vAlign w:val="center"/>
          </w:tcPr>
          <w:p w14:paraId="0E9C99B6">
            <w:pPr>
              <w:adjustRightInd w:val="0"/>
              <w:snapToGrid w:val="0"/>
              <w:spacing w:line="360" w:lineRule="auto"/>
              <w:ind w:left="-88" w:leftChars="-42"/>
              <w:jc w:val="center"/>
              <w:rPr>
                <w:rFonts w:hint="eastAsia" w:ascii="宋体" w:hAnsi="宋体" w:eastAsia="宋体" w:cs="宋体"/>
                <w:color w:val="auto"/>
                <w:szCs w:val="21"/>
                <w:highlight w:val="none"/>
              </w:rPr>
            </w:pPr>
          </w:p>
        </w:tc>
      </w:tr>
      <w:tr w14:paraId="33A0F8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616AE5A">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685" w:type="dxa"/>
            <w:noWrap w:val="0"/>
            <w:vAlign w:val="center"/>
          </w:tcPr>
          <w:p w14:paraId="2A0E88E4">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948" w:type="dxa"/>
            <w:noWrap w:val="0"/>
            <w:vAlign w:val="center"/>
          </w:tcPr>
          <w:p w14:paraId="76C48314">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600" w:type="dxa"/>
            <w:noWrap w:val="0"/>
            <w:vAlign w:val="center"/>
          </w:tcPr>
          <w:p w14:paraId="50A2363F">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517" w:type="dxa"/>
            <w:noWrap w:val="0"/>
            <w:vAlign w:val="center"/>
          </w:tcPr>
          <w:p w14:paraId="47B3A6DC">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119" w:type="dxa"/>
            <w:noWrap w:val="0"/>
            <w:vAlign w:val="center"/>
          </w:tcPr>
          <w:p w14:paraId="569C5C36">
            <w:pPr>
              <w:adjustRightInd w:val="0"/>
              <w:snapToGrid w:val="0"/>
              <w:spacing w:line="360" w:lineRule="auto"/>
              <w:ind w:left="-88" w:leftChars="-42"/>
              <w:jc w:val="center"/>
              <w:rPr>
                <w:rFonts w:hint="eastAsia" w:ascii="宋体" w:hAnsi="宋体" w:eastAsia="宋体" w:cs="宋体"/>
                <w:color w:val="auto"/>
                <w:szCs w:val="21"/>
                <w:highlight w:val="none"/>
              </w:rPr>
            </w:pPr>
          </w:p>
        </w:tc>
      </w:tr>
      <w:tr w14:paraId="39FDAC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D3AB0DF">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685" w:type="dxa"/>
            <w:noWrap w:val="0"/>
            <w:vAlign w:val="center"/>
          </w:tcPr>
          <w:p w14:paraId="6E3607B4">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948" w:type="dxa"/>
            <w:noWrap w:val="0"/>
            <w:vAlign w:val="center"/>
          </w:tcPr>
          <w:p w14:paraId="470219EE">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600" w:type="dxa"/>
            <w:noWrap w:val="0"/>
            <w:vAlign w:val="center"/>
          </w:tcPr>
          <w:p w14:paraId="4D2C4C25">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517" w:type="dxa"/>
            <w:noWrap w:val="0"/>
            <w:vAlign w:val="center"/>
          </w:tcPr>
          <w:p w14:paraId="1E06E636">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119" w:type="dxa"/>
            <w:noWrap w:val="0"/>
            <w:vAlign w:val="center"/>
          </w:tcPr>
          <w:p w14:paraId="7644A44F">
            <w:pPr>
              <w:adjustRightInd w:val="0"/>
              <w:snapToGrid w:val="0"/>
              <w:spacing w:line="360" w:lineRule="auto"/>
              <w:ind w:left="-88" w:leftChars="-42"/>
              <w:jc w:val="center"/>
              <w:rPr>
                <w:rFonts w:hint="eastAsia" w:ascii="宋体" w:hAnsi="宋体" w:eastAsia="宋体" w:cs="宋体"/>
                <w:color w:val="auto"/>
                <w:szCs w:val="21"/>
                <w:highlight w:val="none"/>
              </w:rPr>
            </w:pPr>
          </w:p>
        </w:tc>
      </w:tr>
      <w:tr w14:paraId="332CD0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48F3F62D">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685" w:type="dxa"/>
            <w:noWrap w:val="0"/>
            <w:vAlign w:val="center"/>
          </w:tcPr>
          <w:p w14:paraId="4DD89701">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948" w:type="dxa"/>
            <w:noWrap w:val="0"/>
            <w:vAlign w:val="center"/>
          </w:tcPr>
          <w:p w14:paraId="6A5BC57C">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600" w:type="dxa"/>
            <w:noWrap w:val="0"/>
            <w:vAlign w:val="center"/>
          </w:tcPr>
          <w:p w14:paraId="786F07EB">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517" w:type="dxa"/>
            <w:noWrap w:val="0"/>
            <w:vAlign w:val="center"/>
          </w:tcPr>
          <w:p w14:paraId="534909FE">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119" w:type="dxa"/>
            <w:noWrap w:val="0"/>
            <w:vAlign w:val="center"/>
          </w:tcPr>
          <w:p w14:paraId="61CBDD8B">
            <w:pPr>
              <w:adjustRightInd w:val="0"/>
              <w:snapToGrid w:val="0"/>
              <w:spacing w:line="360" w:lineRule="auto"/>
              <w:ind w:left="-88" w:leftChars="-42"/>
              <w:jc w:val="center"/>
              <w:rPr>
                <w:rFonts w:hint="eastAsia" w:ascii="宋体" w:hAnsi="宋体" w:eastAsia="宋体" w:cs="宋体"/>
                <w:color w:val="auto"/>
                <w:szCs w:val="21"/>
                <w:highlight w:val="none"/>
              </w:rPr>
            </w:pPr>
          </w:p>
        </w:tc>
      </w:tr>
      <w:tr w14:paraId="2DDFB8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9C98E1C">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685" w:type="dxa"/>
            <w:noWrap w:val="0"/>
            <w:vAlign w:val="center"/>
          </w:tcPr>
          <w:p w14:paraId="3DB2B8DD">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948" w:type="dxa"/>
            <w:noWrap w:val="0"/>
            <w:vAlign w:val="center"/>
          </w:tcPr>
          <w:p w14:paraId="1D853AF8">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600" w:type="dxa"/>
            <w:noWrap w:val="0"/>
            <w:vAlign w:val="center"/>
          </w:tcPr>
          <w:p w14:paraId="69D1D788">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517" w:type="dxa"/>
            <w:noWrap w:val="0"/>
            <w:vAlign w:val="center"/>
          </w:tcPr>
          <w:p w14:paraId="79DF739D">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119" w:type="dxa"/>
            <w:noWrap w:val="0"/>
            <w:vAlign w:val="center"/>
          </w:tcPr>
          <w:p w14:paraId="45D1A239">
            <w:pPr>
              <w:adjustRightInd w:val="0"/>
              <w:snapToGrid w:val="0"/>
              <w:spacing w:line="360" w:lineRule="auto"/>
              <w:ind w:left="-88" w:leftChars="-42"/>
              <w:jc w:val="center"/>
              <w:rPr>
                <w:rFonts w:hint="eastAsia" w:ascii="宋体" w:hAnsi="宋体" w:eastAsia="宋体" w:cs="宋体"/>
                <w:color w:val="auto"/>
                <w:szCs w:val="21"/>
                <w:highlight w:val="none"/>
              </w:rPr>
            </w:pPr>
          </w:p>
        </w:tc>
      </w:tr>
      <w:tr w14:paraId="7B0E2A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5B5D2B2C">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685" w:type="dxa"/>
            <w:noWrap w:val="0"/>
            <w:vAlign w:val="center"/>
          </w:tcPr>
          <w:p w14:paraId="016620F1">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948" w:type="dxa"/>
            <w:noWrap w:val="0"/>
            <w:vAlign w:val="center"/>
          </w:tcPr>
          <w:p w14:paraId="4A3C2338">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600" w:type="dxa"/>
            <w:noWrap w:val="0"/>
            <w:vAlign w:val="center"/>
          </w:tcPr>
          <w:p w14:paraId="46A079C0">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517" w:type="dxa"/>
            <w:noWrap w:val="0"/>
            <w:vAlign w:val="center"/>
          </w:tcPr>
          <w:p w14:paraId="3E25AA98">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119" w:type="dxa"/>
            <w:noWrap w:val="0"/>
            <w:vAlign w:val="center"/>
          </w:tcPr>
          <w:p w14:paraId="1E8A88DD">
            <w:pPr>
              <w:adjustRightInd w:val="0"/>
              <w:snapToGrid w:val="0"/>
              <w:spacing w:line="360" w:lineRule="auto"/>
              <w:ind w:left="-88" w:leftChars="-42"/>
              <w:jc w:val="center"/>
              <w:rPr>
                <w:rFonts w:hint="eastAsia" w:ascii="宋体" w:hAnsi="宋体" w:eastAsia="宋体" w:cs="宋体"/>
                <w:color w:val="auto"/>
                <w:szCs w:val="21"/>
                <w:highlight w:val="none"/>
              </w:rPr>
            </w:pPr>
          </w:p>
        </w:tc>
      </w:tr>
      <w:tr w14:paraId="2E5A19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003FFF34">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685" w:type="dxa"/>
            <w:noWrap w:val="0"/>
            <w:vAlign w:val="center"/>
          </w:tcPr>
          <w:p w14:paraId="66804331">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948" w:type="dxa"/>
            <w:noWrap w:val="0"/>
            <w:vAlign w:val="center"/>
          </w:tcPr>
          <w:p w14:paraId="618A8B78">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600" w:type="dxa"/>
            <w:noWrap w:val="0"/>
            <w:vAlign w:val="center"/>
          </w:tcPr>
          <w:p w14:paraId="3067A9FF">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517" w:type="dxa"/>
            <w:noWrap w:val="0"/>
            <w:vAlign w:val="center"/>
          </w:tcPr>
          <w:p w14:paraId="3ACA35C7">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119" w:type="dxa"/>
            <w:noWrap w:val="0"/>
            <w:vAlign w:val="center"/>
          </w:tcPr>
          <w:p w14:paraId="1988402A">
            <w:pPr>
              <w:adjustRightInd w:val="0"/>
              <w:snapToGrid w:val="0"/>
              <w:spacing w:line="360" w:lineRule="auto"/>
              <w:ind w:left="-88" w:leftChars="-42"/>
              <w:jc w:val="center"/>
              <w:rPr>
                <w:rFonts w:hint="eastAsia" w:ascii="宋体" w:hAnsi="宋体" w:eastAsia="宋体" w:cs="宋体"/>
                <w:color w:val="auto"/>
                <w:szCs w:val="21"/>
                <w:highlight w:val="none"/>
              </w:rPr>
            </w:pPr>
          </w:p>
        </w:tc>
      </w:tr>
      <w:tr w14:paraId="5AC0B2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C6AF4C9">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685" w:type="dxa"/>
            <w:noWrap w:val="0"/>
            <w:vAlign w:val="center"/>
          </w:tcPr>
          <w:p w14:paraId="2BFB6611">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948" w:type="dxa"/>
            <w:noWrap w:val="0"/>
            <w:vAlign w:val="center"/>
          </w:tcPr>
          <w:p w14:paraId="0E42E790">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600" w:type="dxa"/>
            <w:noWrap w:val="0"/>
            <w:vAlign w:val="center"/>
          </w:tcPr>
          <w:p w14:paraId="1F5DC2BD">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517" w:type="dxa"/>
            <w:noWrap w:val="0"/>
            <w:vAlign w:val="center"/>
          </w:tcPr>
          <w:p w14:paraId="61B8858E">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119" w:type="dxa"/>
            <w:noWrap w:val="0"/>
            <w:vAlign w:val="center"/>
          </w:tcPr>
          <w:p w14:paraId="37E10D74">
            <w:pPr>
              <w:adjustRightInd w:val="0"/>
              <w:snapToGrid w:val="0"/>
              <w:spacing w:line="360" w:lineRule="auto"/>
              <w:ind w:left="-88" w:leftChars="-42"/>
              <w:jc w:val="center"/>
              <w:rPr>
                <w:rFonts w:hint="eastAsia" w:ascii="宋体" w:hAnsi="宋体" w:eastAsia="宋体" w:cs="宋体"/>
                <w:color w:val="auto"/>
                <w:szCs w:val="21"/>
                <w:highlight w:val="none"/>
              </w:rPr>
            </w:pPr>
          </w:p>
        </w:tc>
      </w:tr>
    </w:tbl>
    <w:p w14:paraId="0B5A677D">
      <w:pPr>
        <w:adjustRightInd w:val="0"/>
        <w:snapToGrid w:val="0"/>
        <w:spacing w:line="360" w:lineRule="auto"/>
        <w:ind w:left="-88" w:leftChars="-42"/>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说明：1、“响应与偏离”应注明“响应”或“偏离”。</w:t>
      </w:r>
    </w:p>
    <w:p w14:paraId="4EA4F06A">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 xml:space="preserve">     </w:t>
      </w:r>
      <w:r>
        <w:rPr>
          <w:rFonts w:hint="eastAsia" w:ascii="宋体" w:hAnsi="宋体" w:eastAsia="宋体" w:cs="宋体"/>
          <w:color w:val="auto"/>
          <w:szCs w:val="21"/>
          <w:highlight w:val="none"/>
        </w:rPr>
        <w:t>2、属磋商文件规定可能变动的内容在“说明”栏中注明。</w:t>
      </w:r>
    </w:p>
    <w:p w14:paraId="7418CF43">
      <w:pPr>
        <w:pStyle w:val="25"/>
        <w:adjustRightInd w:val="0"/>
        <w:snapToGrid w:val="0"/>
        <w:spacing w:line="360" w:lineRule="auto"/>
        <w:outlineLvl w:val="0"/>
        <w:rPr>
          <w:rFonts w:hint="eastAsia" w:ascii="宋体" w:hAnsi="宋体" w:eastAsia="宋体" w:cs="宋体"/>
          <w:color w:val="auto"/>
          <w:sz w:val="21"/>
          <w:szCs w:val="21"/>
          <w:highlight w:val="none"/>
        </w:rPr>
      </w:pPr>
    </w:p>
    <w:p w14:paraId="52F23B3F">
      <w:pPr>
        <w:pStyle w:val="23"/>
        <w:adjustRightInd w:val="0"/>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供应商名称(盖单位章)：</w:t>
      </w:r>
    </w:p>
    <w:p w14:paraId="555EAF5E">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 (签字)：</w:t>
      </w:r>
      <w:r>
        <w:rPr>
          <w:rFonts w:hint="eastAsia" w:ascii="宋体" w:hAnsi="宋体" w:eastAsia="宋体" w:cs="宋体"/>
          <w:color w:val="auto"/>
          <w:szCs w:val="21"/>
          <w:highlight w:val="none"/>
          <w:u w:val="single"/>
        </w:rPr>
        <w:t xml:space="preserve">            </w:t>
      </w:r>
    </w:p>
    <w:p w14:paraId="7C78D5F3">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     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706731EF">
      <w:pPr>
        <w:adjustRightInd w:val="0"/>
        <w:snapToGrid w:val="0"/>
        <w:spacing w:line="360" w:lineRule="auto"/>
        <w:rPr>
          <w:rFonts w:hint="eastAsia" w:ascii="宋体" w:hAnsi="宋体" w:eastAsia="宋体" w:cs="宋体"/>
          <w:color w:val="auto"/>
          <w:szCs w:val="21"/>
          <w:highlight w:val="none"/>
        </w:rPr>
      </w:pPr>
    </w:p>
    <w:p w14:paraId="3C44B1CC">
      <w:pPr>
        <w:spacing w:line="360" w:lineRule="auto"/>
        <w:jc w:val="center"/>
        <w:outlineLvl w:val="1"/>
        <w:rPr>
          <w:rFonts w:hint="eastAsia" w:ascii="宋体" w:hAnsi="宋体" w:eastAsia="宋体" w:cs="宋体"/>
          <w:b/>
          <w:color w:val="auto"/>
          <w:sz w:val="32"/>
          <w:szCs w:val="32"/>
          <w:highlight w:val="none"/>
        </w:rPr>
      </w:pPr>
      <w:r>
        <w:rPr>
          <w:rFonts w:hint="eastAsia" w:ascii="宋体" w:hAnsi="宋体" w:eastAsia="宋体" w:cs="宋体"/>
          <w:color w:val="auto"/>
          <w:highlight w:val="none"/>
        </w:rPr>
        <w:br w:type="page"/>
      </w:r>
      <w:bookmarkStart w:id="371" w:name="_Toc11879758"/>
      <w:r>
        <w:rPr>
          <w:rFonts w:hint="eastAsia" w:ascii="宋体" w:hAnsi="宋体" w:eastAsia="宋体" w:cs="宋体"/>
          <w:b/>
          <w:color w:val="auto"/>
          <w:sz w:val="32"/>
          <w:szCs w:val="32"/>
          <w:highlight w:val="none"/>
        </w:rPr>
        <w:t>六、提供政府采购政策产品等证明材料</w:t>
      </w:r>
      <w:bookmarkEnd w:id="371"/>
    </w:p>
    <w:p w14:paraId="288126D3">
      <w:pPr>
        <w:widowControl/>
        <w:adjustRightInd w:val="0"/>
        <w:snapToGrid w:val="0"/>
        <w:spacing w:line="360" w:lineRule="auto"/>
        <w:jc w:val="center"/>
        <w:rPr>
          <w:rFonts w:hint="eastAsia" w:ascii="宋体" w:hAnsi="宋体" w:eastAsia="宋体" w:cs="宋体"/>
          <w:color w:val="auto"/>
          <w:sz w:val="32"/>
          <w:szCs w:val="32"/>
          <w:highlight w:val="none"/>
        </w:rPr>
      </w:pPr>
    </w:p>
    <w:p w14:paraId="5219EDF4">
      <w:pPr>
        <w:pStyle w:val="3"/>
        <w:jc w:val="both"/>
        <w:rPr>
          <w:rFonts w:hint="eastAsia" w:ascii="宋体" w:hAnsi="宋体" w:eastAsia="宋体" w:cs="宋体"/>
          <w:b/>
          <w:color w:val="auto"/>
          <w:spacing w:val="6"/>
          <w:kern w:val="0"/>
          <w:sz w:val="30"/>
          <w:szCs w:val="30"/>
          <w:highlight w:val="none"/>
        </w:rPr>
      </w:pPr>
      <w:r>
        <w:rPr>
          <w:rFonts w:hint="eastAsia" w:ascii="宋体" w:hAnsi="宋体" w:eastAsia="宋体" w:cs="宋体"/>
          <w:color w:val="auto"/>
          <w:sz w:val="32"/>
          <w:szCs w:val="32"/>
          <w:highlight w:val="none"/>
        </w:rPr>
        <w:t>附件</w:t>
      </w:r>
      <w:r>
        <w:rPr>
          <w:rFonts w:hint="eastAsia" w:ascii="宋体" w:hAnsi="宋体" w:eastAsia="宋体" w:cs="宋体"/>
          <w:color w:val="auto"/>
          <w:sz w:val="32"/>
          <w:szCs w:val="32"/>
          <w:highlight w:val="none"/>
          <w:lang w:val="en-US" w:eastAsia="zh-CN"/>
        </w:rPr>
        <w:t xml:space="preserve">8   </w:t>
      </w:r>
      <w:r>
        <w:rPr>
          <w:rFonts w:hint="eastAsia" w:ascii="宋体" w:hAnsi="宋体" w:eastAsia="宋体" w:cs="宋体"/>
          <w:b/>
          <w:bCs w:val="0"/>
          <w:color w:val="auto"/>
          <w:kern w:val="2"/>
          <w:sz w:val="32"/>
          <w:szCs w:val="32"/>
          <w:highlight w:val="none"/>
          <w:lang w:val="en-US" w:eastAsia="zh-CN" w:bidi="ar-SA"/>
        </w:rPr>
        <w:t>提供政府采购政策产品等证明材料</w:t>
      </w:r>
      <w:r>
        <w:rPr>
          <w:rFonts w:hint="eastAsia" w:ascii="宋体" w:hAnsi="宋体" w:eastAsia="宋体" w:cs="宋体"/>
          <w:b/>
          <w:bCs/>
          <w:color w:val="auto"/>
          <w:spacing w:val="6"/>
          <w:kern w:val="0"/>
          <w:sz w:val="30"/>
          <w:szCs w:val="30"/>
          <w:highlight w:val="none"/>
        </w:rPr>
        <w:t>中小企业声明函</w:t>
      </w:r>
    </w:p>
    <w:p w14:paraId="0F71EECB">
      <w:pPr>
        <w:widowControl/>
        <w:adjustRightInd w:val="0"/>
        <w:snapToGrid w:val="0"/>
        <w:spacing w:line="360" w:lineRule="auto"/>
        <w:ind w:firstLine="444" w:firstLineChars="200"/>
        <w:jc w:val="left"/>
        <w:rPr>
          <w:rFonts w:hint="eastAsia" w:ascii="宋体" w:hAnsi="宋体" w:eastAsia="宋体" w:cs="宋体"/>
          <w:color w:val="auto"/>
          <w:spacing w:val="6"/>
          <w:kern w:val="0"/>
          <w:szCs w:val="21"/>
          <w:highlight w:val="none"/>
        </w:rPr>
      </w:pPr>
    </w:p>
    <w:p w14:paraId="61E4787B">
      <w:pPr>
        <w:widowControl/>
        <w:adjustRightInd w:val="0"/>
        <w:snapToGrid w:val="0"/>
        <w:spacing w:line="360" w:lineRule="auto"/>
        <w:ind w:firstLine="444" w:firstLineChars="200"/>
        <w:jc w:val="left"/>
        <w:rPr>
          <w:rFonts w:hint="eastAsia" w:ascii="宋体" w:hAnsi="宋体" w:eastAsia="宋体" w:cs="宋体"/>
          <w:color w:val="auto"/>
          <w:spacing w:val="6"/>
          <w:kern w:val="0"/>
          <w:szCs w:val="21"/>
          <w:highlight w:val="none"/>
        </w:rPr>
      </w:pPr>
      <w:r>
        <w:rPr>
          <w:rFonts w:hint="eastAsia" w:ascii="宋体" w:hAnsi="宋体" w:eastAsia="宋体" w:cs="宋体"/>
          <w:color w:val="auto"/>
          <w:spacing w:val="6"/>
          <w:kern w:val="0"/>
          <w:szCs w:val="21"/>
          <w:highlight w:val="none"/>
        </w:rPr>
        <w:t xml:space="preserve">    本公司（联合体）郑重声明，根据《政府采购促进中小企业发展管理办法》（财库﹝2020﹞46 号）的规定，本公司（联合体）参加 </w:t>
      </w:r>
      <w:r>
        <w:rPr>
          <w:rFonts w:hint="eastAsia" w:ascii="宋体" w:hAnsi="宋体" w:eastAsia="宋体" w:cs="宋体"/>
          <w:color w:val="auto"/>
          <w:spacing w:val="6"/>
          <w:kern w:val="0"/>
          <w:szCs w:val="21"/>
          <w:highlight w:val="none"/>
          <w:u w:val="single"/>
        </w:rPr>
        <w:t>（单位名称）</w:t>
      </w:r>
      <w:r>
        <w:rPr>
          <w:rFonts w:hint="eastAsia" w:ascii="宋体" w:hAnsi="宋体" w:eastAsia="宋体" w:cs="宋体"/>
          <w:color w:val="auto"/>
          <w:spacing w:val="6"/>
          <w:kern w:val="0"/>
          <w:szCs w:val="21"/>
          <w:highlight w:val="none"/>
        </w:rPr>
        <w:t xml:space="preserve"> 的</w:t>
      </w:r>
      <w:r>
        <w:rPr>
          <w:rFonts w:hint="eastAsia" w:ascii="宋体" w:hAnsi="宋体" w:eastAsia="宋体" w:cs="宋体"/>
          <w:color w:val="auto"/>
          <w:spacing w:val="6"/>
          <w:kern w:val="0"/>
          <w:szCs w:val="21"/>
          <w:highlight w:val="none"/>
          <w:u w:val="single"/>
        </w:rPr>
        <w:t xml:space="preserve"> （项目名称） </w:t>
      </w:r>
      <w:r>
        <w:rPr>
          <w:rFonts w:hint="eastAsia" w:ascii="宋体" w:hAnsi="宋体" w:eastAsia="宋体" w:cs="宋体"/>
          <w:color w:val="auto"/>
          <w:spacing w:val="6"/>
          <w:kern w:val="0"/>
          <w:szCs w:val="21"/>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63BE2015">
      <w:pPr>
        <w:widowControl/>
        <w:adjustRightInd w:val="0"/>
        <w:snapToGrid w:val="0"/>
        <w:spacing w:line="360" w:lineRule="auto"/>
        <w:ind w:firstLine="444" w:firstLineChars="200"/>
        <w:jc w:val="left"/>
        <w:rPr>
          <w:rFonts w:hint="eastAsia" w:ascii="宋体" w:hAnsi="宋体" w:eastAsia="宋体" w:cs="宋体"/>
          <w:color w:val="auto"/>
          <w:spacing w:val="6"/>
          <w:kern w:val="0"/>
          <w:szCs w:val="21"/>
          <w:highlight w:val="none"/>
        </w:rPr>
      </w:pPr>
      <w:r>
        <w:rPr>
          <w:rFonts w:hint="eastAsia" w:ascii="宋体" w:hAnsi="宋体" w:eastAsia="宋体" w:cs="宋体"/>
          <w:color w:val="auto"/>
          <w:spacing w:val="6"/>
          <w:kern w:val="0"/>
          <w:szCs w:val="21"/>
          <w:highlight w:val="none"/>
        </w:rPr>
        <w:t>1.</w:t>
      </w:r>
      <w:r>
        <w:rPr>
          <w:rFonts w:hint="eastAsia" w:ascii="宋体" w:hAnsi="宋体" w:cs="宋体"/>
          <w:color w:val="auto"/>
          <w:spacing w:val="6"/>
          <w:kern w:val="0"/>
          <w:szCs w:val="21"/>
          <w:highlight w:val="none"/>
          <w:u w:val="single"/>
          <w:lang w:eastAsia="zh-CN"/>
        </w:rPr>
        <w:t>岳阳县第五人民医院整体搬迁建设项目（一期）代建服务项目</w:t>
      </w:r>
      <w:r>
        <w:rPr>
          <w:rFonts w:hint="eastAsia" w:ascii="宋体" w:hAnsi="宋体" w:eastAsia="宋体" w:cs="宋体"/>
          <w:color w:val="auto"/>
          <w:spacing w:val="6"/>
          <w:kern w:val="0"/>
          <w:szCs w:val="21"/>
          <w:highlight w:val="none"/>
        </w:rPr>
        <w:t xml:space="preserve"> ，属于</w:t>
      </w:r>
      <w:r>
        <w:rPr>
          <w:rFonts w:hint="eastAsia" w:ascii="宋体" w:hAnsi="宋体" w:eastAsia="宋体" w:cs="宋体"/>
          <w:color w:val="auto"/>
          <w:spacing w:val="6"/>
          <w:kern w:val="0"/>
          <w:szCs w:val="21"/>
          <w:highlight w:val="none"/>
          <w:u w:val="single"/>
        </w:rPr>
        <w:t xml:space="preserve"> 其他未列明行业（采购文件中明确的所属行业） </w:t>
      </w:r>
      <w:r>
        <w:rPr>
          <w:rFonts w:hint="eastAsia" w:ascii="宋体" w:hAnsi="宋体" w:eastAsia="宋体" w:cs="宋体"/>
          <w:color w:val="auto"/>
          <w:spacing w:val="6"/>
          <w:kern w:val="0"/>
          <w:szCs w:val="21"/>
          <w:highlight w:val="none"/>
        </w:rPr>
        <w:t>；承建（承接）企业为</w:t>
      </w:r>
      <w:r>
        <w:rPr>
          <w:rFonts w:hint="eastAsia" w:ascii="宋体" w:hAnsi="宋体" w:eastAsia="宋体" w:cs="宋体"/>
          <w:color w:val="auto"/>
          <w:spacing w:val="6"/>
          <w:kern w:val="0"/>
          <w:szCs w:val="21"/>
          <w:highlight w:val="none"/>
          <w:u w:val="single"/>
        </w:rPr>
        <w:t xml:space="preserve"> （企业名称） </w:t>
      </w:r>
      <w:r>
        <w:rPr>
          <w:rFonts w:hint="eastAsia" w:ascii="宋体" w:hAnsi="宋体" w:eastAsia="宋体" w:cs="宋体"/>
          <w:color w:val="auto"/>
          <w:spacing w:val="6"/>
          <w:kern w:val="0"/>
          <w:szCs w:val="21"/>
          <w:highlight w:val="none"/>
        </w:rPr>
        <w:t>，从业人员人，营业收入为万元，资产总额为万元，属于</w:t>
      </w:r>
      <w:r>
        <w:rPr>
          <w:rFonts w:hint="eastAsia" w:ascii="宋体" w:hAnsi="宋体" w:eastAsia="宋体" w:cs="宋体"/>
          <w:color w:val="auto"/>
          <w:spacing w:val="6"/>
          <w:kern w:val="0"/>
          <w:szCs w:val="21"/>
          <w:highlight w:val="none"/>
          <w:u w:val="single"/>
        </w:rPr>
        <w:t xml:space="preserve"> （中型企业、小型企业、微型企业） </w:t>
      </w:r>
      <w:r>
        <w:rPr>
          <w:rFonts w:hint="eastAsia" w:ascii="宋体" w:hAnsi="宋体" w:eastAsia="宋体" w:cs="宋体"/>
          <w:color w:val="auto"/>
          <w:spacing w:val="6"/>
          <w:kern w:val="0"/>
          <w:szCs w:val="21"/>
          <w:highlight w:val="none"/>
        </w:rPr>
        <w:t>；</w:t>
      </w:r>
    </w:p>
    <w:p w14:paraId="05812625">
      <w:pPr>
        <w:widowControl/>
        <w:adjustRightInd w:val="0"/>
        <w:snapToGrid w:val="0"/>
        <w:spacing w:line="360" w:lineRule="auto"/>
        <w:ind w:firstLine="444" w:firstLineChars="200"/>
        <w:jc w:val="left"/>
        <w:rPr>
          <w:rFonts w:hint="eastAsia" w:ascii="宋体" w:hAnsi="宋体" w:eastAsia="宋体" w:cs="宋体"/>
          <w:color w:val="auto"/>
          <w:spacing w:val="6"/>
          <w:kern w:val="0"/>
          <w:szCs w:val="21"/>
          <w:highlight w:val="none"/>
        </w:rPr>
      </w:pPr>
      <w:r>
        <w:rPr>
          <w:rFonts w:hint="eastAsia" w:ascii="宋体" w:hAnsi="宋体" w:eastAsia="宋体" w:cs="宋体"/>
          <w:color w:val="auto"/>
          <w:spacing w:val="6"/>
          <w:kern w:val="0"/>
          <w:szCs w:val="21"/>
          <w:highlight w:val="none"/>
        </w:rPr>
        <w:t>2.</w:t>
      </w:r>
      <w:r>
        <w:rPr>
          <w:rFonts w:hint="eastAsia" w:ascii="宋体" w:hAnsi="宋体" w:eastAsia="宋体" w:cs="宋体"/>
          <w:color w:val="auto"/>
          <w:spacing w:val="6"/>
          <w:kern w:val="0"/>
          <w:szCs w:val="21"/>
          <w:highlight w:val="none"/>
          <w:u w:val="single"/>
          <w:lang w:eastAsia="zh-CN"/>
        </w:rPr>
        <w:t>（标的名称）</w:t>
      </w:r>
      <w:r>
        <w:rPr>
          <w:rFonts w:hint="eastAsia" w:ascii="宋体" w:hAnsi="宋体" w:eastAsia="宋体" w:cs="宋体"/>
          <w:color w:val="auto"/>
          <w:spacing w:val="6"/>
          <w:kern w:val="0"/>
          <w:szCs w:val="21"/>
          <w:highlight w:val="none"/>
        </w:rPr>
        <w:t>，属于</w:t>
      </w:r>
      <w:r>
        <w:rPr>
          <w:rFonts w:hint="eastAsia" w:ascii="宋体" w:hAnsi="宋体" w:eastAsia="宋体" w:cs="宋体"/>
          <w:color w:val="auto"/>
          <w:spacing w:val="6"/>
          <w:kern w:val="0"/>
          <w:szCs w:val="21"/>
          <w:highlight w:val="none"/>
          <w:u w:val="single"/>
        </w:rPr>
        <w:t>（采购文件中明确的所属行业）</w:t>
      </w:r>
      <w:r>
        <w:rPr>
          <w:rFonts w:hint="eastAsia" w:ascii="宋体" w:hAnsi="宋体" w:eastAsia="宋体" w:cs="宋体"/>
          <w:color w:val="auto"/>
          <w:spacing w:val="6"/>
          <w:kern w:val="0"/>
          <w:szCs w:val="21"/>
          <w:highlight w:val="none"/>
        </w:rPr>
        <w:t>；承建（承接）企业为</w:t>
      </w:r>
      <w:r>
        <w:rPr>
          <w:rFonts w:hint="eastAsia" w:ascii="宋体" w:hAnsi="宋体" w:eastAsia="宋体" w:cs="宋体"/>
          <w:color w:val="auto"/>
          <w:spacing w:val="6"/>
          <w:kern w:val="0"/>
          <w:szCs w:val="21"/>
          <w:highlight w:val="none"/>
          <w:u w:val="single"/>
        </w:rPr>
        <w:t>（企业名称）</w:t>
      </w:r>
      <w:r>
        <w:rPr>
          <w:rFonts w:hint="eastAsia" w:ascii="宋体" w:hAnsi="宋体" w:eastAsia="宋体" w:cs="宋体"/>
          <w:color w:val="auto"/>
          <w:spacing w:val="6"/>
          <w:kern w:val="0"/>
          <w:szCs w:val="21"/>
          <w:highlight w:val="none"/>
        </w:rPr>
        <w:t xml:space="preserve"> ，从业人员人，营业收入为万元，资产总额为万元，属于</w:t>
      </w:r>
      <w:r>
        <w:rPr>
          <w:rFonts w:hint="eastAsia" w:ascii="宋体" w:hAnsi="宋体" w:eastAsia="宋体" w:cs="宋体"/>
          <w:color w:val="auto"/>
          <w:spacing w:val="6"/>
          <w:kern w:val="0"/>
          <w:szCs w:val="21"/>
          <w:highlight w:val="none"/>
          <w:u w:val="single"/>
        </w:rPr>
        <w:t>（中型企业、小型企业、微型企业）</w:t>
      </w:r>
      <w:r>
        <w:rPr>
          <w:rFonts w:hint="eastAsia" w:ascii="宋体" w:hAnsi="宋体" w:eastAsia="宋体" w:cs="宋体"/>
          <w:color w:val="auto"/>
          <w:spacing w:val="6"/>
          <w:kern w:val="0"/>
          <w:szCs w:val="21"/>
          <w:highlight w:val="none"/>
        </w:rPr>
        <w:t>；</w:t>
      </w:r>
    </w:p>
    <w:p w14:paraId="1CBB26C2">
      <w:pPr>
        <w:widowControl/>
        <w:adjustRightInd w:val="0"/>
        <w:snapToGrid w:val="0"/>
        <w:spacing w:line="360" w:lineRule="auto"/>
        <w:ind w:firstLine="444" w:firstLineChars="200"/>
        <w:jc w:val="left"/>
        <w:rPr>
          <w:rFonts w:hint="eastAsia" w:ascii="宋体" w:hAnsi="宋体" w:eastAsia="宋体" w:cs="宋体"/>
          <w:color w:val="auto"/>
          <w:spacing w:val="6"/>
          <w:kern w:val="0"/>
          <w:szCs w:val="21"/>
          <w:highlight w:val="none"/>
        </w:rPr>
      </w:pPr>
      <w:r>
        <w:rPr>
          <w:rFonts w:hint="eastAsia" w:ascii="宋体" w:hAnsi="宋体" w:eastAsia="宋体" w:cs="宋体"/>
          <w:color w:val="auto"/>
          <w:spacing w:val="6"/>
          <w:kern w:val="0"/>
          <w:szCs w:val="21"/>
          <w:highlight w:val="none"/>
        </w:rPr>
        <w:t>……</w:t>
      </w:r>
    </w:p>
    <w:p w14:paraId="0D9536B4">
      <w:pPr>
        <w:widowControl/>
        <w:adjustRightInd w:val="0"/>
        <w:snapToGrid w:val="0"/>
        <w:spacing w:line="360" w:lineRule="auto"/>
        <w:ind w:firstLine="444" w:firstLineChars="200"/>
        <w:jc w:val="left"/>
        <w:rPr>
          <w:rFonts w:hint="eastAsia" w:ascii="宋体" w:hAnsi="宋体" w:eastAsia="宋体" w:cs="宋体"/>
          <w:color w:val="auto"/>
          <w:spacing w:val="6"/>
          <w:kern w:val="0"/>
          <w:szCs w:val="21"/>
          <w:highlight w:val="none"/>
        </w:rPr>
      </w:pPr>
      <w:r>
        <w:rPr>
          <w:rFonts w:hint="eastAsia" w:ascii="宋体" w:hAnsi="宋体" w:eastAsia="宋体" w:cs="宋体"/>
          <w:color w:val="auto"/>
          <w:spacing w:val="6"/>
          <w:kern w:val="0"/>
          <w:szCs w:val="21"/>
          <w:highlight w:val="none"/>
        </w:rPr>
        <w:t>以上企业，不属于大企业的分支机构，不存在控股股东为大企业的情形，也不存在与大企业的负责人为同一人的情形。</w:t>
      </w:r>
    </w:p>
    <w:p w14:paraId="3109FF0E">
      <w:pPr>
        <w:widowControl/>
        <w:adjustRightInd w:val="0"/>
        <w:snapToGrid w:val="0"/>
        <w:spacing w:line="360" w:lineRule="auto"/>
        <w:ind w:firstLine="444" w:firstLineChars="200"/>
        <w:jc w:val="left"/>
        <w:rPr>
          <w:rFonts w:hint="eastAsia" w:ascii="宋体" w:hAnsi="宋体" w:eastAsia="宋体" w:cs="宋体"/>
          <w:color w:val="auto"/>
          <w:spacing w:val="6"/>
          <w:kern w:val="0"/>
          <w:szCs w:val="21"/>
          <w:highlight w:val="none"/>
        </w:rPr>
      </w:pPr>
      <w:r>
        <w:rPr>
          <w:rFonts w:hint="eastAsia" w:ascii="宋体" w:hAnsi="宋体" w:eastAsia="宋体" w:cs="宋体"/>
          <w:color w:val="auto"/>
          <w:spacing w:val="6"/>
          <w:kern w:val="0"/>
          <w:szCs w:val="21"/>
          <w:highlight w:val="none"/>
        </w:rPr>
        <w:t>本企业对上述声明内容的真实性负责。如有虚假，将依法承担相应责任。</w:t>
      </w:r>
    </w:p>
    <w:p w14:paraId="2457740E">
      <w:pPr>
        <w:widowControl/>
        <w:adjustRightInd w:val="0"/>
        <w:snapToGrid w:val="0"/>
        <w:spacing w:line="360" w:lineRule="auto"/>
        <w:ind w:firstLine="444" w:firstLineChars="200"/>
        <w:jc w:val="left"/>
        <w:rPr>
          <w:rFonts w:hint="eastAsia" w:ascii="宋体" w:hAnsi="宋体" w:eastAsia="宋体" w:cs="宋体"/>
          <w:color w:val="auto"/>
          <w:spacing w:val="6"/>
          <w:kern w:val="0"/>
          <w:szCs w:val="21"/>
          <w:highlight w:val="none"/>
        </w:rPr>
      </w:pPr>
    </w:p>
    <w:p w14:paraId="53020064">
      <w:pPr>
        <w:widowControl/>
        <w:adjustRightInd w:val="0"/>
        <w:snapToGrid w:val="0"/>
        <w:spacing w:line="360" w:lineRule="auto"/>
        <w:ind w:firstLine="444" w:firstLineChars="200"/>
        <w:jc w:val="left"/>
        <w:rPr>
          <w:rFonts w:hint="eastAsia" w:ascii="宋体" w:hAnsi="宋体" w:eastAsia="宋体" w:cs="宋体"/>
          <w:color w:val="auto"/>
          <w:spacing w:val="6"/>
          <w:kern w:val="0"/>
          <w:szCs w:val="21"/>
          <w:highlight w:val="none"/>
        </w:rPr>
      </w:pPr>
    </w:p>
    <w:p w14:paraId="0F8C69C7">
      <w:pPr>
        <w:widowControl/>
        <w:adjustRightInd w:val="0"/>
        <w:snapToGrid w:val="0"/>
        <w:spacing w:line="360" w:lineRule="auto"/>
        <w:ind w:firstLine="444" w:firstLineChars="200"/>
        <w:jc w:val="left"/>
        <w:rPr>
          <w:rFonts w:hint="eastAsia" w:ascii="宋体" w:hAnsi="宋体" w:eastAsia="宋体" w:cs="宋体"/>
          <w:color w:val="auto"/>
          <w:spacing w:val="6"/>
          <w:kern w:val="0"/>
          <w:szCs w:val="21"/>
          <w:highlight w:val="none"/>
        </w:rPr>
      </w:pPr>
    </w:p>
    <w:p w14:paraId="43715C56">
      <w:pPr>
        <w:widowControl/>
        <w:adjustRightInd w:val="0"/>
        <w:snapToGrid w:val="0"/>
        <w:spacing w:line="360" w:lineRule="auto"/>
        <w:ind w:firstLine="444" w:firstLineChars="200"/>
        <w:jc w:val="right"/>
        <w:rPr>
          <w:rFonts w:hint="eastAsia" w:ascii="宋体" w:hAnsi="宋体" w:eastAsia="宋体" w:cs="宋体"/>
          <w:color w:val="auto"/>
          <w:spacing w:val="6"/>
          <w:kern w:val="0"/>
          <w:szCs w:val="21"/>
          <w:highlight w:val="none"/>
          <w:u w:val="single"/>
        </w:rPr>
      </w:pPr>
      <w:r>
        <w:rPr>
          <w:rFonts w:hint="eastAsia" w:ascii="宋体" w:hAnsi="宋体" w:eastAsia="宋体" w:cs="宋体"/>
          <w:color w:val="auto"/>
          <w:spacing w:val="6"/>
          <w:kern w:val="0"/>
          <w:szCs w:val="21"/>
          <w:highlight w:val="none"/>
        </w:rPr>
        <w:t xml:space="preserve">                      供应商名称（盖单位公章）：</w:t>
      </w:r>
    </w:p>
    <w:p w14:paraId="32569459">
      <w:pPr>
        <w:spacing w:line="360" w:lineRule="auto"/>
        <w:jc w:val="right"/>
        <w:rPr>
          <w:rFonts w:hint="eastAsia" w:ascii="宋体" w:hAnsi="宋体" w:eastAsia="宋体" w:cs="宋体"/>
          <w:color w:val="auto"/>
          <w:highlight w:val="none"/>
        </w:rPr>
      </w:pPr>
      <w:r>
        <w:rPr>
          <w:rFonts w:hint="eastAsia" w:ascii="宋体" w:hAnsi="宋体" w:eastAsia="宋体" w:cs="宋体"/>
          <w:color w:val="auto"/>
          <w:spacing w:val="6"/>
          <w:kern w:val="0"/>
          <w:szCs w:val="21"/>
          <w:highlight w:val="none"/>
        </w:rPr>
        <w:t xml:space="preserve">                                          日 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highlight w:val="none"/>
        </w:rPr>
        <w:t>日</w:t>
      </w:r>
    </w:p>
    <w:p w14:paraId="6173E10B">
      <w:pPr>
        <w:adjustRightInd w:val="0"/>
        <w:snapToGrid w:val="0"/>
        <w:spacing w:before="50" w:line="360" w:lineRule="auto"/>
        <w:jc w:val="center"/>
        <w:rPr>
          <w:rFonts w:hint="eastAsia" w:ascii="宋体" w:hAnsi="宋体" w:eastAsia="宋体" w:cs="宋体"/>
          <w:b/>
          <w:color w:val="auto"/>
          <w:sz w:val="28"/>
          <w:szCs w:val="28"/>
          <w:highlight w:val="none"/>
        </w:rPr>
      </w:pPr>
    </w:p>
    <w:p w14:paraId="6498F3D4">
      <w:pPr>
        <w:spacing w:line="360" w:lineRule="auto"/>
        <w:jc w:val="center"/>
        <w:outlineLvl w:val="1"/>
        <w:rPr>
          <w:rFonts w:hint="eastAsia" w:ascii="宋体" w:hAnsi="宋体" w:eastAsia="宋体" w:cs="宋体"/>
          <w:b/>
          <w:bCs/>
          <w:color w:val="auto"/>
          <w:sz w:val="32"/>
          <w:szCs w:val="32"/>
          <w:highlight w:val="none"/>
        </w:rPr>
      </w:pPr>
    </w:p>
    <w:p w14:paraId="78A8ACF8">
      <w:pPr>
        <w:spacing w:line="360" w:lineRule="auto"/>
        <w:jc w:val="center"/>
        <w:outlineLvl w:val="1"/>
        <w:rPr>
          <w:rFonts w:hint="eastAsia" w:ascii="宋体" w:hAnsi="宋体" w:eastAsia="宋体" w:cs="宋体"/>
          <w:b/>
          <w:bCs/>
          <w:color w:val="auto"/>
          <w:sz w:val="32"/>
          <w:szCs w:val="32"/>
          <w:highlight w:val="none"/>
        </w:rPr>
      </w:pPr>
    </w:p>
    <w:p w14:paraId="6AE87924">
      <w:pPr>
        <w:spacing w:line="360" w:lineRule="auto"/>
        <w:jc w:val="center"/>
        <w:outlineLvl w:val="1"/>
        <w:rPr>
          <w:rFonts w:hint="eastAsia" w:ascii="宋体" w:hAnsi="宋体" w:eastAsia="宋体" w:cs="宋体"/>
          <w:b/>
          <w:bCs/>
          <w:color w:val="auto"/>
          <w:sz w:val="32"/>
          <w:szCs w:val="32"/>
          <w:highlight w:val="none"/>
        </w:rPr>
      </w:pPr>
    </w:p>
    <w:p w14:paraId="49F49731">
      <w:pPr>
        <w:spacing w:line="360" w:lineRule="auto"/>
        <w:jc w:val="center"/>
        <w:outlineLvl w:val="1"/>
        <w:rPr>
          <w:rFonts w:hint="eastAsia" w:ascii="宋体" w:hAnsi="宋体" w:eastAsia="宋体" w:cs="宋体"/>
          <w:b/>
          <w:bCs/>
          <w:color w:val="auto"/>
          <w:sz w:val="32"/>
          <w:szCs w:val="32"/>
          <w:highlight w:val="none"/>
        </w:rPr>
      </w:pPr>
    </w:p>
    <w:p w14:paraId="70D76443">
      <w:pPr>
        <w:adjustRightInd w:val="0"/>
        <w:snapToGrid w:val="0"/>
        <w:spacing w:line="360" w:lineRule="auto"/>
        <w:jc w:val="both"/>
        <w:rPr>
          <w:rFonts w:hint="eastAsia" w:ascii="宋体" w:hAnsi="宋体" w:eastAsia="宋体" w:cs="宋体"/>
          <w:b/>
          <w:color w:val="auto"/>
          <w:spacing w:val="6"/>
          <w:sz w:val="28"/>
          <w:szCs w:val="28"/>
          <w:highlight w:val="none"/>
        </w:rPr>
      </w:pPr>
    </w:p>
    <w:p w14:paraId="7F77FF11">
      <w:pPr>
        <w:pStyle w:val="62"/>
        <w:ind w:left="0" w:leftChars="0" w:firstLine="0" w:firstLineChars="0"/>
        <w:rPr>
          <w:rFonts w:hint="eastAsia" w:ascii="宋体" w:hAnsi="宋体" w:eastAsia="宋体" w:cs="宋体"/>
          <w:b/>
          <w:color w:val="auto"/>
          <w:spacing w:val="6"/>
          <w:sz w:val="28"/>
          <w:szCs w:val="28"/>
          <w:highlight w:val="none"/>
        </w:rPr>
      </w:pPr>
    </w:p>
    <w:p w14:paraId="4DBEF65E">
      <w:pPr>
        <w:adjustRightInd w:val="0"/>
        <w:snapToGrid w:val="0"/>
        <w:spacing w:line="360" w:lineRule="auto"/>
        <w:jc w:val="center"/>
        <w:rPr>
          <w:rFonts w:hint="eastAsia" w:ascii="宋体" w:hAnsi="宋体" w:eastAsia="宋体" w:cs="宋体"/>
          <w:b/>
          <w:color w:val="auto"/>
          <w:spacing w:val="6"/>
          <w:sz w:val="28"/>
          <w:szCs w:val="28"/>
          <w:highlight w:val="none"/>
        </w:rPr>
      </w:pPr>
      <w:r>
        <w:rPr>
          <w:rFonts w:hint="eastAsia" w:ascii="宋体" w:hAnsi="宋体" w:eastAsia="宋体" w:cs="宋体"/>
          <w:b/>
          <w:color w:val="auto"/>
          <w:spacing w:val="6"/>
          <w:sz w:val="28"/>
          <w:szCs w:val="28"/>
          <w:highlight w:val="none"/>
        </w:rPr>
        <w:t>残疾人福利性单位声明函</w:t>
      </w:r>
    </w:p>
    <w:p w14:paraId="5E525A46">
      <w:pPr>
        <w:adjustRightInd w:val="0"/>
        <w:snapToGrid w:val="0"/>
        <w:spacing w:line="360" w:lineRule="auto"/>
        <w:jc w:val="center"/>
        <w:rPr>
          <w:rFonts w:hint="eastAsia" w:ascii="宋体" w:hAnsi="宋体" w:eastAsia="宋体" w:cs="宋体"/>
          <w:b/>
          <w:color w:val="auto"/>
          <w:spacing w:val="6"/>
          <w:szCs w:val="21"/>
          <w:highlight w:val="none"/>
        </w:rPr>
      </w:pPr>
      <w:r>
        <w:rPr>
          <w:rFonts w:hint="eastAsia" w:ascii="宋体" w:hAnsi="宋体" w:eastAsia="宋体" w:cs="宋体"/>
          <w:b/>
          <w:color w:val="auto"/>
          <w:spacing w:val="6"/>
          <w:szCs w:val="21"/>
          <w:highlight w:val="none"/>
        </w:rPr>
        <w:t>(不属于残疾人福利性单位的无需填写)</w:t>
      </w:r>
    </w:p>
    <w:p w14:paraId="1133BAE5">
      <w:pPr>
        <w:adjustRightInd w:val="0"/>
        <w:snapToGrid w:val="0"/>
        <w:spacing w:line="360" w:lineRule="auto"/>
        <w:ind w:firstLine="444" w:firstLineChars="200"/>
        <w:rPr>
          <w:rFonts w:hint="eastAsia" w:ascii="宋体" w:hAnsi="宋体" w:eastAsia="宋体" w:cs="宋体"/>
          <w:color w:val="auto"/>
          <w:spacing w:val="6"/>
          <w:szCs w:val="21"/>
          <w:highlight w:val="none"/>
        </w:rPr>
      </w:pPr>
    </w:p>
    <w:p w14:paraId="195A6E3C">
      <w:pPr>
        <w:adjustRightInd w:val="0"/>
        <w:snapToGrid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本单位郑重声明，根据《财政部 民政部 中国残疾人联合会关于促进残疾人就业政府采购政策的通知》（财库</w:t>
      </w:r>
      <w:r>
        <w:rPr>
          <w:rFonts w:hint="eastAsia" w:ascii="宋体" w:hAnsi="宋体" w:eastAsia="宋体" w:cs="宋体"/>
          <w:color w:val="auto"/>
          <w:szCs w:val="21"/>
          <w:highlight w:val="none"/>
        </w:rPr>
        <w:t>〔2017〕141</w:t>
      </w:r>
      <w:r>
        <w:rPr>
          <w:rFonts w:hint="eastAsia" w:ascii="宋体" w:hAnsi="宋体" w:eastAsia="宋体" w:cs="宋体"/>
          <w:color w:val="auto"/>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05BD1CA">
      <w:pPr>
        <w:adjustRightInd w:val="0"/>
        <w:snapToGrid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本单位对上述声明的真实性负责。如有虚假，将依法承担相应责任。</w:t>
      </w:r>
    </w:p>
    <w:p w14:paraId="50C81C69">
      <w:pPr>
        <w:adjustRightInd w:val="0"/>
        <w:snapToGrid w:val="0"/>
        <w:spacing w:line="360" w:lineRule="auto"/>
        <w:ind w:firstLine="444" w:firstLineChars="200"/>
        <w:rPr>
          <w:rFonts w:hint="eastAsia" w:ascii="宋体" w:hAnsi="宋体" w:eastAsia="宋体" w:cs="宋体"/>
          <w:color w:val="auto"/>
          <w:spacing w:val="6"/>
          <w:szCs w:val="21"/>
          <w:highlight w:val="none"/>
        </w:rPr>
      </w:pPr>
    </w:p>
    <w:p w14:paraId="18FB5DDD">
      <w:pPr>
        <w:adjustRightInd w:val="0"/>
        <w:snapToGrid w:val="0"/>
        <w:spacing w:line="360" w:lineRule="auto"/>
        <w:ind w:firstLine="444" w:firstLineChars="200"/>
        <w:rPr>
          <w:rFonts w:hint="eastAsia" w:ascii="宋体" w:hAnsi="宋体" w:eastAsia="宋体" w:cs="宋体"/>
          <w:color w:val="auto"/>
          <w:spacing w:val="6"/>
          <w:szCs w:val="21"/>
          <w:highlight w:val="none"/>
        </w:rPr>
      </w:pPr>
    </w:p>
    <w:p w14:paraId="756828F6">
      <w:pPr>
        <w:tabs>
          <w:tab w:val="left" w:pos="4860"/>
        </w:tabs>
        <w:adjustRightInd w:val="0"/>
        <w:snapToGrid w:val="0"/>
        <w:spacing w:line="360" w:lineRule="auto"/>
        <w:ind w:right="1560" w:firstLine="444" w:firstLineChars="200"/>
        <w:jc w:val="center"/>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 xml:space="preserve">               单位名称（盖章）：</w:t>
      </w:r>
    </w:p>
    <w:p w14:paraId="537E2F5E">
      <w:pPr>
        <w:tabs>
          <w:tab w:val="left" w:pos="4860"/>
        </w:tabs>
        <w:adjustRightInd w:val="0"/>
        <w:snapToGrid w:val="0"/>
        <w:spacing w:line="360" w:lineRule="auto"/>
        <w:ind w:right="1560" w:firstLine="444" w:firstLineChars="200"/>
        <w:jc w:val="center"/>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 xml:space="preserve">       日  期：</w:t>
      </w:r>
    </w:p>
    <w:p w14:paraId="33A1EEAD">
      <w:pPr>
        <w:widowControl/>
        <w:adjustRightInd w:val="0"/>
        <w:snapToGrid w:val="0"/>
        <w:spacing w:line="360" w:lineRule="auto"/>
        <w:jc w:val="left"/>
        <w:rPr>
          <w:rFonts w:hint="eastAsia" w:ascii="宋体" w:hAnsi="宋体" w:eastAsia="宋体" w:cs="宋体"/>
          <w:color w:val="auto"/>
          <w:kern w:val="0"/>
          <w:szCs w:val="21"/>
          <w:highlight w:val="none"/>
        </w:rPr>
      </w:pPr>
    </w:p>
    <w:p w14:paraId="5F8612DF">
      <w:pPr>
        <w:keepNext/>
        <w:keepLines/>
        <w:spacing w:before="260" w:after="260" w:line="416" w:lineRule="auto"/>
        <w:outlineLvl w:val="2"/>
        <w:rPr>
          <w:rFonts w:hint="eastAsia" w:ascii="宋体" w:hAnsi="宋体" w:eastAsia="宋体" w:cs="宋体"/>
          <w:b/>
          <w:bCs/>
          <w:color w:val="auto"/>
          <w:szCs w:val="21"/>
          <w:highlight w:val="none"/>
        </w:rPr>
      </w:pPr>
    </w:p>
    <w:p w14:paraId="644AD2CB">
      <w:pPr>
        <w:adjustRightInd w:val="0"/>
        <w:snapToGrid w:val="0"/>
        <w:spacing w:line="360" w:lineRule="auto"/>
        <w:jc w:val="center"/>
        <w:rPr>
          <w:rFonts w:hint="eastAsia" w:ascii="宋体" w:hAnsi="宋体" w:eastAsia="宋体" w:cs="宋体"/>
          <w:b/>
          <w:color w:val="auto"/>
          <w:sz w:val="28"/>
          <w:szCs w:val="28"/>
          <w:highlight w:val="none"/>
        </w:rPr>
      </w:pPr>
    </w:p>
    <w:p w14:paraId="368C3D3F">
      <w:pPr>
        <w:adjustRightInd w:val="0"/>
        <w:snapToGrid w:val="0"/>
        <w:spacing w:line="360" w:lineRule="auto"/>
        <w:jc w:val="center"/>
        <w:rPr>
          <w:rFonts w:hint="eastAsia" w:ascii="宋体" w:hAnsi="宋体" w:eastAsia="宋体" w:cs="宋体"/>
          <w:b/>
          <w:color w:val="auto"/>
          <w:sz w:val="28"/>
          <w:szCs w:val="28"/>
          <w:highlight w:val="none"/>
        </w:rPr>
      </w:pPr>
    </w:p>
    <w:p w14:paraId="28824D77">
      <w:pPr>
        <w:adjustRightInd w:val="0"/>
        <w:snapToGrid w:val="0"/>
        <w:spacing w:line="360" w:lineRule="auto"/>
        <w:jc w:val="center"/>
        <w:rPr>
          <w:rFonts w:hint="eastAsia" w:ascii="宋体" w:hAnsi="宋体" w:eastAsia="宋体" w:cs="宋体"/>
          <w:b/>
          <w:color w:val="auto"/>
          <w:sz w:val="28"/>
          <w:szCs w:val="28"/>
          <w:highlight w:val="none"/>
        </w:rPr>
      </w:pPr>
    </w:p>
    <w:p w14:paraId="4E454444">
      <w:pPr>
        <w:adjustRightInd w:val="0"/>
        <w:snapToGrid w:val="0"/>
        <w:spacing w:line="360" w:lineRule="auto"/>
        <w:jc w:val="center"/>
        <w:rPr>
          <w:rFonts w:hint="eastAsia" w:ascii="宋体" w:hAnsi="宋体" w:eastAsia="宋体" w:cs="宋体"/>
          <w:b/>
          <w:color w:val="auto"/>
          <w:sz w:val="28"/>
          <w:szCs w:val="28"/>
          <w:highlight w:val="none"/>
        </w:rPr>
      </w:pPr>
    </w:p>
    <w:p w14:paraId="3079172D">
      <w:pPr>
        <w:adjustRightInd w:val="0"/>
        <w:snapToGrid w:val="0"/>
        <w:spacing w:line="360" w:lineRule="auto"/>
        <w:jc w:val="center"/>
        <w:rPr>
          <w:rFonts w:hint="eastAsia" w:ascii="宋体" w:hAnsi="宋体" w:eastAsia="宋体" w:cs="宋体"/>
          <w:b/>
          <w:color w:val="auto"/>
          <w:sz w:val="28"/>
          <w:szCs w:val="28"/>
          <w:highlight w:val="none"/>
        </w:rPr>
      </w:pPr>
    </w:p>
    <w:p w14:paraId="19B3F8CF">
      <w:pPr>
        <w:adjustRightInd w:val="0"/>
        <w:snapToGrid w:val="0"/>
        <w:spacing w:line="360" w:lineRule="auto"/>
        <w:jc w:val="center"/>
        <w:rPr>
          <w:rFonts w:hint="eastAsia" w:ascii="宋体" w:hAnsi="宋体" w:eastAsia="宋体" w:cs="宋体"/>
          <w:b/>
          <w:color w:val="auto"/>
          <w:sz w:val="28"/>
          <w:szCs w:val="28"/>
          <w:highlight w:val="none"/>
        </w:rPr>
      </w:pPr>
    </w:p>
    <w:p w14:paraId="6E9BE8FD">
      <w:pPr>
        <w:adjustRightInd w:val="0"/>
        <w:snapToGrid w:val="0"/>
        <w:spacing w:line="360" w:lineRule="auto"/>
        <w:jc w:val="center"/>
        <w:rPr>
          <w:rFonts w:hint="eastAsia" w:ascii="宋体" w:hAnsi="宋体" w:eastAsia="宋体" w:cs="宋体"/>
          <w:b/>
          <w:color w:val="auto"/>
          <w:sz w:val="28"/>
          <w:szCs w:val="28"/>
          <w:highlight w:val="none"/>
        </w:rPr>
      </w:pPr>
    </w:p>
    <w:p w14:paraId="57E71F34">
      <w:pPr>
        <w:adjustRightInd w:val="0"/>
        <w:snapToGrid w:val="0"/>
        <w:spacing w:line="360" w:lineRule="auto"/>
        <w:jc w:val="center"/>
        <w:rPr>
          <w:rFonts w:hint="eastAsia" w:ascii="宋体" w:hAnsi="宋体" w:eastAsia="宋体" w:cs="宋体"/>
          <w:b/>
          <w:color w:val="auto"/>
          <w:sz w:val="28"/>
          <w:szCs w:val="28"/>
          <w:highlight w:val="none"/>
        </w:rPr>
      </w:pPr>
    </w:p>
    <w:p w14:paraId="40B9204B">
      <w:pPr>
        <w:adjustRightInd w:val="0"/>
        <w:snapToGrid w:val="0"/>
        <w:spacing w:line="360" w:lineRule="auto"/>
        <w:jc w:val="center"/>
        <w:rPr>
          <w:rFonts w:hint="eastAsia" w:ascii="宋体" w:hAnsi="宋体" w:eastAsia="宋体" w:cs="宋体"/>
          <w:b/>
          <w:color w:val="auto"/>
          <w:sz w:val="28"/>
          <w:szCs w:val="28"/>
          <w:highlight w:val="none"/>
        </w:rPr>
      </w:pPr>
    </w:p>
    <w:p w14:paraId="3ACF4FE7">
      <w:pPr>
        <w:adjustRightInd w:val="0"/>
        <w:snapToGrid w:val="0"/>
        <w:spacing w:line="360" w:lineRule="auto"/>
        <w:jc w:val="center"/>
        <w:rPr>
          <w:rFonts w:hint="eastAsia" w:ascii="宋体" w:hAnsi="宋体" w:eastAsia="宋体" w:cs="宋体"/>
          <w:b/>
          <w:color w:val="auto"/>
          <w:sz w:val="28"/>
          <w:szCs w:val="28"/>
          <w:highlight w:val="none"/>
        </w:rPr>
      </w:pPr>
    </w:p>
    <w:p w14:paraId="70EC6E98">
      <w:pPr>
        <w:adjustRightInd w:val="0"/>
        <w:snapToGrid w:val="0"/>
        <w:spacing w:line="360" w:lineRule="auto"/>
        <w:jc w:val="center"/>
        <w:rPr>
          <w:rFonts w:hint="eastAsia" w:ascii="宋体" w:hAnsi="宋体" w:eastAsia="宋体" w:cs="宋体"/>
          <w:b/>
          <w:color w:val="auto"/>
          <w:sz w:val="28"/>
          <w:szCs w:val="28"/>
          <w:highlight w:val="none"/>
        </w:rPr>
      </w:pPr>
    </w:p>
    <w:p w14:paraId="4A71C711">
      <w:pPr>
        <w:adjustRightInd w:val="0"/>
        <w:snapToGrid w:val="0"/>
        <w:spacing w:line="360" w:lineRule="auto"/>
        <w:jc w:val="center"/>
        <w:rPr>
          <w:rFonts w:hint="eastAsia" w:ascii="宋体" w:hAnsi="宋体" w:eastAsia="宋体" w:cs="宋体"/>
          <w:b/>
          <w:color w:val="auto"/>
          <w:sz w:val="28"/>
          <w:szCs w:val="28"/>
          <w:highlight w:val="none"/>
        </w:rPr>
      </w:pPr>
    </w:p>
    <w:p w14:paraId="117DC817">
      <w:pPr>
        <w:adjustRightInd w:val="0"/>
        <w:snapToGrid w:val="0"/>
        <w:spacing w:line="360" w:lineRule="auto"/>
        <w:jc w:val="center"/>
        <w:rPr>
          <w:rFonts w:hint="eastAsia" w:ascii="宋体" w:hAnsi="宋体" w:eastAsia="宋体" w:cs="宋体"/>
          <w:b/>
          <w:color w:val="auto"/>
          <w:sz w:val="28"/>
          <w:szCs w:val="28"/>
          <w:highlight w:val="none"/>
        </w:rPr>
      </w:pPr>
    </w:p>
    <w:p w14:paraId="6C058F61">
      <w:pPr>
        <w:adjustRightInd w:val="0"/>
        <w:snapToGrid w:val="0"/>
        <w:spacing w:line="360" w:lineRule="auto"/>
        <w:jc w:val="center"/>
        <w:rPr>
          <w:rFonts w:hint="eastAsia" w:ascii="宋体" w:hAnsi="宋体" w:eastAsia="宋体" w:cs="宋体"/>
          <w:b/>
          <w:color w:val="auto"/>
          <w:sz w:val="28"/>
          <w:szCs w:val="28"/>
          <w:highlight w:val="none"/>
        </w:rPr>
      </w:pPr>
    </w:p>
    <w:p w14:paraId="27326B04">
      <w:pPr>
        <w:adjustRightInd w:val="0"/>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监狱企业证明资料</w:t>
      </w:r>
    </w:p>
    <w:p w14:paraId="5348028F">
      <w:pPr>
        <w:adjustRightInd w:val="0"/>
        <w:snapToGrid w:val="0"/>
        <w:spacing w:line="360" w:lineRule="auto"/>
        <w:jc w:val="center"/>
        <w:rPr>
          <w:rFonts w:hint="eastAsia" w:ascii="宋体" w:hAnsi="宋体" w:eastAsia="宋体" w:cs="宋体"/>
          <w:b/>
          <w:color w:val="auto"/>
          <w:spacing w:val="6"/>
          <w:szCs w:val="21"/>
          <w:highlight w:val="none"/>
        </w:rPr>
      </w:pPr>
      <w:r>
        <w:rPr>
          <w:rFonts w:hint="eastAsia" w:ascii="宋体" w:hAnsi="宋体" w:eastAsia="宋体" w:cs="宋体"/>
          <w:b/>
          <w:color w:val="auto"/>
          <w:spacing w:val="6"/>
          <w:szCs w:val="21"/>
          <w:highlight w:val="none"/>
        </w:rPr>
        <w:t>(不属于监狱企业的无需提供)</w:t>
      </w:r>
    </w:p>
    <w:p w14:paraId="14CB11A4">
      <w:pPr>
        <w:adjustRightInd w:val="0"/>
        <w:snapToGrid w:val="0"/>
        <w:spacing w:line="360" w:lineRule="auto"/>
        <w:rPr>
          <w:rFonts w:hint="eastAsia" w:ascii="宋体" w:hAnsi="宋体" w:eastAsia="宋体" w:cs="宋体"/>
          <w:color w:val="auto"/>
          <w:szCs w:val="21"/>
          <w:highlight w:val="none"/>
        </w:rPr>
      </w:pPr>
    </w:p>
    <w:p w14:paraId="53DB91F2">
      <w:pPr>
        <w:adjustRightInd w:val="0"/>
        <w:snapToGrid w:val="0"/>
        <w:spacing w:line="360" w:lineRule="auto"/>
        <w:ind w:firstLine="444" w:firstLineChars="200"/>
        <w:rPr>
          <w:rFonts w:hint="eastAsia" w:ascii="宋体" w:hAnsi="宋体" w:eastAsia="宋体" w:cs="宋体"/>
          <w:color w:val="auto"/>
          <w:szCs w:val="21"/>
          <w:highlight w:val="none"/>
        </w:rPr>
      </w:pPr>
      <w:r>
        <w:rPr>
          <w:rFonts w:hint="eastAsia" w:ascii="宋体" w:hAnsi="宋体" w:eastAsia="宋体" w:cs="宋体"/>
          <w:bCs/>
          <w:color w:val="auto"/>
          <w:spacing w:val="6"/>
          <w:kern w:val="0"/>
          <w:szCs w:val="21"/>
          <w:highlight w:val="none"/>
        </w:rPr>
        <w:t>备注：</w:t>
      </w:r>
      <w:r>
        <w:rPr>
          <w:rFonts w:hint="eastAsia" w:ascii="宋体" w:hAnsi="宋体" w:eastAsia="宋体" w:cs="宋体"/>
          <w:color w:val="auto"/>
          <w:szCs w:val="21"/>
          <w:highlight w:val="none"/>
        </w:rPr>
        <w:t>按</w:t>
      </w:r>
      <w:r>
        <w:rPr>
          <w:rFonts w:hint="eastAsia" w:ascii="宋体" w:hAnsi="宋体" w:eastAsia="宋体" w:cs="宋体"/>
          <w:color w:val="auto"/>
          <w:spacing w:val="6"/>
          <w:szCs w:val="21"/>
          <w:highlight w:val="none"/>
        </w:rPr>
        <w:t>《</w:t>
      </w:r>
      <w:r>
        <w:rPr>
          <w:rFonts w:hint="eastAsia" w:ascii="宋体" w:hAnsi="宋体" w:eastAsia="宋体" w:cs="宋体"/>
          <w:color w:val="auto"/>
          <w:szCs w:val="21"/>
          <w:highlight w:val="none"/>
        </w:rPr>
        <w:t>财政部</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司法部关于政府采购支持监狱企业发展有关问题的通知</w:t>
      </w:r>
      <w:r>
        <w:rPr>
          <w:rFonts w:hint="eastAsia" w:ascii="宋体" w:hAnsi="宋体" w:eastAsia="宋体" w:cs="宋体"/>
          <w:color w:val="auto"/>
          <w:spacing w:val="6"/>
          <w:szCs w:val="21"/>
          <w:highlight w:val="none"/>
        </w:rPr>
        <w:t>》</w:t>
      </w:r>
      <w:r>
        <w:rPr>
          <w:rFonts w:hint="eastAsia" w:ascii="宋体" w:hAnsi="宋体" w:eastAsia="宋体" w:cs="宋体"/>
          <w:color w:val="auto"/>
          <w:szCs w:val="21"/>
          <w:highlight w:val="none"/>
        </w:rPr>
        <w:t>(财库〔2014〕68号)文件规定提供证明文件（复印件）。</w:t>
      </w:r>
    </w:p>
    <w:p w14:paraId="6B0CEC22">
      <w:pPr>
        <w:adjustRightInd w:val="0"/>
        <w:snapToGrid w:val="0"/>
        <w:spacing w:before="50" w:line="360" w:lineRule="auto"/>
        <w:jc w:val="both"/>
        <w:rPr>
          <w:rFonts w:hint="eastAsia" w:ascii="宋体" w:hAnsi="宋体" w:eastAsia="宋体" w:cs="宋体"/>
          <w:b/>
          <w:bCs/>
          <w:color w:val="auto"/>
          <w:sz w:val="28"/>
          <w:szCs w:val="28"/>
          <w:highlight w:val="none"/>
        </w:rPr>
        <w:sectPr>
          <w:pgSz w:w="11906" w:h="16838"/>
          <w:pgMar w:top="1021" w:right="1474" w:bottom="1191" w:left="1474" w:header="510" w:footer="624" w:gutter="0"/>
          <w:pgNumType w:fmt="decimal"/>
          <w:cols w:space="720" w:num="1"/>
          <w:docGrid w:linePitch="312" w:charSpace="0"/>
        </w:sectPr>
      </w:pPr>
    </w:p>
    <w:p w14:paraId="1B36E554">
      <w:pPr>
        <w:adjustRightInd w:val="0"/>
        <w:snapToGrid w:val="0"/>
        <w:spacing w:line="360" w:lineRule="auto"/>
        <w:ind w:right="420"/>
        <w:jc w:val="center"/>
        <w:outlineLvl w:val="2"/>
        <w:rPr>
          <w:rFonts w:hint="eastAsia" w:ascii="宋体" w:hAnsi="宋体" w:eastAsia="宋体" w:cs="宋体"/>
          <w:b/>
          <w:bCs/>
          <w:color w:val="auto"/>
          <w:sz w:val="28"/>
          <w:szCs w:val="28"/>
          <w:highlight w:val="none"/>
        </w:rPr>
      </w:pPr>
      <w:bookmarkStart w:id="372" w:name="_Toc28981"/>
      <w:bookmarkStart w:id="373" w:name="_Toc80861940"/>
      <w:r>
        <w:rPr>
          <w:rFonts w:hint="eastAsia" w:ascii="宋体" w:hAnsi="宋体" w:eastAsia="宋体" w:cs="宋体"/>
          <w:b/>
          <w:bCs/>
          <w:color w:val="auto"/>
          <w:sz w:val="28"/>
          <w:szCs w:val="28"/>
          <w:highlight w:val="none"/>
        </w:rPr>
        <w:t>提供节能产品、环境标志产品清单</w:t>
      </w:r>
      <w:bookmarkEnd w:id="372"/>
      <w:bookmarkEnd w:id="373"/>
    </w:p>
    <w:p w14:paraId="110B6BE6">
      <w:pPr>
        <w:adjustRightInd w:val="0"/>
        <w:snapToGrid w:val="0"/>
        <w:spacing w:before="50"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采购代理机构编号: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tbl>
      <w:tblPr>
        <w:tblStyle w:val="43"/>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709"/>
        <w:gridCol w:w="850"/>
        <w:gridCol w:w="993"/>
        <w:gridCol w:w="1984"/>
        <w:gridCol w:w="1843"/>
      </w:tblGrid>
      <w:tr w14:paraId="5D0474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8789" w:type="dxa"/>
            <w:gridSpan w:val="7"/>
            <w:noWrap w:val="0"/>
            <w:vAlign w:val="center"/>
          </w:tcPr>
          <w:p w14:paraId="5A2FE6F6">
            <w:pPr>
              <w:widowControl/>
              <w:spacing w:line="320" w:lineRule="exact"/>
              <w:jc w:val="center"/>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本公司对本表的真实性负责。如有虚假，将依法承担相应责任。</w:t>
            </w:r>
          </w:p>
        </w:tc>
      </w:tr>
      <w:tr w14:paraId="75862E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noWrap w:val="0"/>
            <w:vAlign w:val="center"/>
          </w:tcPr>
          <w:p w14:paraId="13E5B825">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p>
        </w:tc>
        <w:tc>
          <w:tcPr>
            <w:tcW w:w="1739" w:type="dxa"/>
            <w:noWrap w:val="0"/>
            <w:vAlign w:val="center"/>
          </w:tcPr>
          <w:p w14:paraId="32A08FD1">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p>
        </w:tc>
        <w:tc>
          <w:tcPr>
            <w:tcW w:w="709" w:type="dxa"/>
            <w:noWrap w:val="0"/>
            <w:vAlign w:val="center"/>
          </w:tcPr>
          <w:p w14:paraId="5FDAE892">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p>
        </w:tc>
        <w:tc>
          <w:tcPr>
            <w:tcW w:w="850" w:type="dxa"/>
            <w:noWrap w:val="0"/>
            <w:vAlign w:val="center"/>
          </w:tcPr>
          <w:p w14:paraId="5ACCC50F">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p>
        </w:tc>
        <w:tc>
          <w:tcPr>
            <w:tcW w:w="993" w:type="dxa"/>
            <w:noWrap w:val="0"/>
            <w:vAlign w:val="center"/>
          </w:tcPr>
          <w:p w14:paraId="3A556F87">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w:t>
            </w:r>
          </w:p>
        </w:tc>
        <w:tc>
          <w:tcPr>
            <w:tcW w:w="1984" w:type="dxa"/>
            <w:noWrap w:val="0"/>
            <w:vAlign w:val="center"/>
          </w:tcPr>
          <w:p w14:paraId="5C960121">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w:t>
            </w:r>
          </w:p>
        </w:tc>
        <w:tc>
          <w:tcPr>
            <w:tcW w:w="1843" w:type="dxa"/>
            <w:noWrap w:val="0"/>
            <w:vAlign w:val="center"/>
          </w:tcPr>
          <w:p w14:paraId="002AEDDA">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w:t>
            </w:r>
          </w:p>
        </w:tc>
      </w:tr>
      <w:tr w14:paraId="4E4FB6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noWrap w:val="0"/>
            <w:vAlign w:val="center"/>
          </w:tcPr>
          <w:p w14:paraId="7F7CBA03">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序号</w:t>
            </w:r>
          </w:p>
        </w:tc>
        <w:tc>
          <w:tcPr>
            <w:tcW w:w="1739" w:type="dxa"/>
            <w:noWrap w:val="0"/>
            <w:vAlign w:val="center"/>
          </w:tcPr>
          <w:p w14:paraId="600CCBD7">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货物名称</w:t>
            </w:r>
          </w:p>
        </w:tc>
        <w:tc>
          <w:tcPr>
            <w:tcW w:w="709" w:type="dxa"/>
            <w:noWrap w:val="0"/>
            <w:vAlign w:val="center"/>
          </w:tcPr>
          <w:p w14:paraId="28434045">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数量</w:t>
            </w:r>
          </w:p>
        </w:tc>
        <w:tc>
          <w:tcPr>
            <w:tcW w:w="850" w:type="dxa"/>
            <w:noWrap w:val="0"/>
            <w:vAlign w:val="center"/>
          </w:tcPr>
          <w:p w14:paraId="1E8A8093">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单价</w:t>
            </w:r>
          </w:p>
        </w:tc>
        <w:tc>
          <w:tcPr>
            <w:tcW w:w="993" w:type="dxa"/>
            <w:noWrap w:val="0"/>
            <w:vAlign w:val="center"/>
          </w:tcPr>
          <w:p w14:paraId="225EB047">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总额</w:t>
            </w:r>
          </w:p>
        </w:tc>
        <w:tc>
          <w:tcPr>
            <w:tcW w:w="1984" w:type="dxa"/>
            <w:noWrap w:val="0"/>
            <w:vAlign w:val="center"/>
          </w:tcPr>
          <w:p w14:paraId="280DA625">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货物制造商名称</w:t>
            </w:r>
          </w:p>
        </w:tc>
        <w:tc>
          <w:tcPr>
            <w:tcW w:w="1843" w:type="dxa"/>
            <w:noWrap w:val="0"/>
            <w:vAlign w:val="center"/>
          </w:tcPr>
          <w:p w14:paraId="38558C53">
            <w:pPr>
              <w:widowControl/>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政策功能编码</w:t>
            </w:r>
          </w:p>
        </w:tc>
      </w:tr>
      <w:tr w14:paraId="38B713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noWrap w:val="0"/>
            <w:vAlign w:val="center"/>
          </w:tcPr>
          <w:p w14:paraId="1B8160C2">
            <w:pPr>
              <w:spacing w:line="32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节能产品</w:t>
            </w:r>
          </w:p>
        </w:tc>
      </w:tr>
      <w:tr w14:paraId="650025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47D40617">
            <w:pPr>
              <w:spacing w:line="320" w:lineRule="exact"/>
              <w:jc w:val="center"/>
              <w:rPr>
                <w:rFonts w:hint="eastAsia" w:ascii="宋体" w:hAnsi="宋体" w:eastAsia="宋体" w:cs="宋体"/>
                <w:b/>
                <w:color w:val="auto"/>
                <w:szCs w:val="21"/>
                <w:highlight w:val="none"/>
              </w:rPr>
            </w:pPr>
          </w:p>
        </w:tc>
        <w:tc>
          <w:tcPr>
            <w:tcW w:w="1739" w:type="dxa"/>
            <w:noWrap w:val="0"/>
            <w:vAlign w:val="center"/>
          </w:tcPr>
          <w:p w14:paraId="3B304C46">
            <w:pPr>
              <w:spacing w:line="320" w:lineRule="exact"/>
              <w:jc w:val="center"/>
              <w:rPr>
                <w:rFonts w:hint="eastAsia" w:ascii="宋体" w:hAnsi="宋体" w:eastAsia="宋体" w:cs="宋体"/>
                <w:b/>
                <w:color w:val="auto"/>
                <w:szCs w:val="21"/>
                <w:highlight w:val="none"/>
              </w:rPr>
            </w:pPr>
          </w:p>
        </w:tc>
        <w:tc>
          <w:tcPr>
            <w:tcW w:w="709" w:type="dxa"/>
            <w:noWrap w:val="0"/>
            <w:vAlign w:val="center"/>
          </w:tcPr>
          <w:p w14:paraId="58445EB7">
            <w:pPr>
              <w:spacing w:line="320" w:lineRule="exact"/>
              <w:jc w:val="center"/>
              <w:rPr>
                <w:rFonts w:hint="eastAsia" w:ascii="宋体" w:hAnsi="宋体" w:eastAsia="宋体" w:cs="宋体"/>
                <w:b/>
                <w:color w:val="auto"/>
                <w:szCs w:val="21"/>
                <w:highlight w:val="none"/>
              </w:rPr>
            </w:pPr>
          </w:p>
        </w:tc>
        <w:tc>
          <w:tcPr>
            <w:tcW w:w="850" w:type="dxa"/>
            <w:noWrap w:val="0"/>
            <w:vAlign w:val="center"/>
          </w:tcPr>
          <w:p w14:paraId="5DF69E31">
            <w:pPr>
              <w:spacing w:line="320" w:lineRule="exact"/>
              <w:jc w:val="center"/>
              <w:rPr>
                <w:rFonts w:hint="eastAsia" w:ascii="宋体" w:hAnsi="宋体" w:eastAsia="宋体" w:cs="宋体"/>
                <w:b/>
                <w:color w:val="auto"/>
                <w:szCs w:val="21"/>
                <w:highlight w:val="none"/>
              </w:rPr>
            </w:pPr>
          </w:p>
        </w:tc>
        <w:tc>
          <w:tcPr>
            <w:tcW w:w="993" w:type="dxa"/>
            <w:noWrap w:val="0"/>
            <w:vAlign w:val="center"/>
          </w:tcPr>
          <w:p w14:paraId="3EDD8E6D">
            <w:pPr>
              <w:spacing w:line="320" w:lineRule="exact"/>
              <w:jc w:val="center"/>
              <w:rPr>
                <w:rFonts w:hint="eastAsia" w:ascii="宋体" w:hAnsi="宋体" w:eastAsia="宋体" w:cs="宋体"/>
                <w:b/>
                <w:color w:val="auto"/>
                <w:szCs w:val="21"/>
                <w:highlight w:val="none"/>
              </w:rPr>
            </w:pPr>
          </w:p>
        </w:tc>
        <w:tc>
          <w:tcPr>
            <w:tcW w:w="1984" w:type="dxa"/>
            <w:noWrap w:val="0"/>
            <w:vAlign w:val="center"/>
          </w:tcPr>
          <w:p w14:paraId="17006646">
            <w:pPr>
              <w:spacing w:line="320" w:lineRule="exact"/>
              <w:jc w:val="center"/>
              <w:rPr>
                <w:rFonts w:hint="eastAsia" w:ascii="宋体" w:hAnsi="宋体" w:eastAsia="宋体" w:cs="宋体"/>
                <w:b/>
                <w:color w:val="auto"/>
                <w:szCs w:val="21"/>
                <w:highlight w:val="none"/>
              </w:rPr>
            </w:pPr>
          </w:p>
        </w:tc>
        <w:tc>
          <w:tcPr>
            <w:tcW w:w="1843" w:type="dxa"/>
            <w:noWrap w:val="0"/>
            <w:vAlign w:val="center"/>
          </w:tcPr>
          <w:p w14:paraId="7F6D7009">
            <w:pPr>
              <w:spacing w:line="320" w:lineRule="exact"/>
              <w:jc w:val="center"/>
              <w:rPr>
                <w:rFonts w:hint="eastAsia" w:ascii="宋体" w:hAnsi="宋体" w:eastAsia="宋体" w:cs="宋体"/>
                <w:b/>
                <w:color w:val="auto"/>
                <w:szCs w:val="21"/>
                <w:highlight w:val="none"/>
              </w:rPr>
            </w:pPr>
          </w:p>
        </w:tc>
      </w:tr>
      <w:tr w14:paraId="56BF6B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6FFB96AA">
            <w:pPr>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小计</w:t>
            </w:r>
          </w:p>
        </w:tc>
        <w:tc>
          <w:tcPr>
            <w:tcW w:w="1739" w:type="dxa"/>
            <w:noWrap w:val="0"/>
            <w:vAlign w:val="center"/>
          </w:tcPr>
          <w:p w14:paraId="5460591B">
            <w:pPr>
              <w:spacing w:line="320" w:lineRule="exact"/>
              <w:jc w:val="center"/>
              <w:rPr>
                <w:rFonts w:hint="eastAsia" w:ascii="宋体" w:hAnsi="宋体" w:eastAsia="宋体" w:cs="宋体"/>
                <w:color w:val="auto"/>
                <w:szCs w:val="21"/>
                <w:highlight w:val="none"/>
              </w:rPr>
            </w:pPr>
          </w:p>
        </w:tc>
        <w:tc>
          <w:tcPr>
            <w:tcW w:w="709" w:type="dxa"/>
            <w:noWrap w:val="0"/>
            <w:vAlign w:val="center"/>
          </w:tcPr>
          <w:p w14:paraId="598F70DC">
            <w:pPr>
              <w:spacing w:line="320" w:lineRule="exact"/>
              <w:jc w:val="center"/>
              <w:rPr>
                <w:rFonts w:hint="eastAsia" w:ascii="宋体" w:hAnsi="宋体" w:eastAsia="宋体" w:cs="宋体"/>
                <w:color w:val="auto"/>
                <w:szCs w:val="21"/>
                <w:highlight w:val="none"/>
              </w:rPr>
            </w:pPr>
          </w:p>
        </w:tc>
        <w:tc>
          <w:tcPr>
            <w:tcW w:w="850" w:type="dxa"/>
            <w:noWrap w:val="0"/>
            <w:vAlign w:val="center"/>
          </w:tcPr>
          <w:p w14:paraId="0809EC13">
            <w:pPr>
              <w:spacing w:line="320" w:lineRule="exact"/>
              <w:jc w:val="center"/>
              <w:rPr>
                <w:rFonts w:hint="eastAsia" w:ascii="宋体" w:hAnsi="宋体" w:eastAsia="宋体" w:cs="宋体"/>
                <w:color w:val="auto"/>
                <w:szCs w:val="21"/>
                <w:highlight w:val="none"/>
              </w:rPr>
            </w:pPr>
          </w:p>
        </w:tc>
        <w:tc>
          <w:tcPr>
            <w:tcW w:w="993" w:type="dxa"/>
            <w:noWrap w:val="0"/>
            <w:vAlign w:val="center"/>
          </w:tcPr>
          <w:p w14:paraId="7ED9365B">
            <w:pPr>
              <w:spacing w:line="320" w:lineRule="exact"/>
              <w:jc w:val="center"/>
              <w:rPr>
                <w:rFonts w:hint="eastAsia" w:ascii="宋体" w:hAnsi="宋体" w:eastAsia="宋体" w:cs="宋体"/>
                <w:color w:val="auto"/>
                <w:szCs w:val="21"/>
                <w:highlight w:val="none"/>
              </w:rPr>
            </w:pPr>
          </w:p>
        </w:tc>
        <w:tc>
          <w:tcPr>
            <w:tcW w:w="1984" w:type="dxa"/>
            <w:noWrap w:val="0"/>
            <w:vAlign w:val="center"/>
          </w:tcPr>
          <w:p w14:paraId="00D5FEF3">
            <w:pPr>
              <w:spacing w:line="320" w:lineRule="exact"/>
              <w:jc w:val="center"/>
              <w:rPr>
                <w:rFonts w:hint="eastAsia" w:ascii="宋体" w:hAnsi="宋体" w:eastAsia="宋体" w:cs="宋体"/>
                <w:color w:val="auto"/>
                <w:szCs w:val="21"/>
                <w:highlight w:val="none"/>
              </w:rPr>
            </w:pPr>
          </w:p>
        </w:tc>
        <w:tc>
          <w:tcPr>
            <w:tcW w:w="1843" w:type="dxa"/>
            <w:noWrap w:val="0"/>
            <w:vAlign w:val="center"/>
          </w:tcPr>
          <w:p w14:paraId="36D7ADE0">
            <w:pPr>
              <w:spacing w:line="320" w:lineRule="exact"/>
              <w:jc w:val="center"/>
              <w:rPr>
                <w:rFonts w:hint="eastAsia" w:ascii="宋体" w:hAnsi="宋体" w:eastAsia="宋体" w:cs="宋体"/>
                <w:color w:val="auto"/>
                <w:szCs w:val="21"/>
                <w:highlight w:val="none"/>
              </w:rPr>
            </w:pPr>
          </w:p>
        </w:tc>
      </w:tr>
      <w:tr w14:paraId="4A774D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noWrap w:val="0"/>
            <w:vAlign w:val="center"/>
          </w:tcPr>
          <w:p w14:paraId="51A8F566">
            <w:pPr>
              <w:spacing w:line="32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环境标志产品</w:t>
            </w:r>
          </w:p>
        </w:tc>
      </w:tr>
      <w:tr w14:paraId="13FC2A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3A28D1EE">
            <w:pPr>
              <w:spacing w:line="320" w:lineRule="exact"/>
              <w:jc w:val="center"/>
              <w:rPr>
                <w:rFonts w:hint="eastAsia" w:ascii="宋体" w:hAnsi="宋体" w:eastAsia="宋体" w:cs="宋体"/>
                <w:b/>
                <w:color w:val="auto"/>
                <w:szCs w:val="21"/>
                <w:highlight w:val="none"/>
              </w:rPr>
            </w:pPr>
          </w:p>
        </w:tc>
        <w:tc>
          <w:tcPr>
            <w:tcW w:w="1739" w:type="dxa"/>
            <w:noWrap w:val="0"/>
            <w:vAlign w:val="center"/>
          </w:tcPr>
          <w:p w14:paraId="28F5F51D">
            <w:pPr>
              <w:spacing w:line="320" w:lineRule="exact"/>
              <w:jc w:val="center"/>
              <w:rPr>
                <w:rFonts w:hint="eastAsia" w:ascii="宋体" w:hAnsi="宋体" w:eastAsia="宋体" w:cs="宋体"/>
                <w:b/>
                <w:color w:val="auto"/>
                <w:szCs w:val="21"/>
                <w:highlight w:val="none"/>
              </w:rPr>
            </w:pPr>
          </w:p>
        </w:tc>
        <w:tc>
          <w:tcPr>
            <w:tcW w:w="709" w:type="dxa"/>
            <w:noWrap w:val="0"/>
            <w:vAlign w:val="center"/>
          </w:tcPr>
          <w:p w14:paraId="72B0D097">
            <w:pPr>
              <w:spacing w:line="320" w:lineRule="exact"/>
              <w:jc w:val="center"/>
              <w:rPr>
                <w:rFonts w:hint="eastAsia" w:ascii="宋体" w:hAnsi="宋体" w:eastAsia="宋体" w:cs="宋体"/>
                <w:b/>
                <w:color w:val="auto"/>
                <w:szCs w:val="21"/>
                <w:highlight w:val="none"/>
              </w:rPr>
            </w:pPr>
          </w:p>
        </w:tc>
        <w:tc>
          <w:tcPr>
            <w:tcW w:w="850" w:type="dxa"/>
            <w:noWrap w:val="0"/>
            <w:vAlign w:val="center"/>
          </w:tcPr>
          <w:p w14:paraId="1CA074BB">
            <w:pPr>
              <w:spacing w:line="320" w:lineRule="exact"/>
              <w:jc w:val="center"/>
              <w:rPr>
                <w:rFonts w:hint="eastAsia" w:ascii="宋体" w:hAnsi="宋体" w:eastAsia="宋体" w:cs="宋体"/>
                <w:b/>
                <w:color w:val="auto"/>
                <w:szCs w:val="21"/>
                <w:highlight w:val="none"/>
              </w:rPr>
            </w:pPr>
          </w:p>
        </w:tc>
        <w:tc>
          <w:tcPr>
            <w:tcW w:w="993" w:type="dxa"/>
            <w:noWrap w:val="0"/>
            <w:vAlign w:val="center"/>
          </w:tcPr>
          <w:p w14:paraId="1E560D22">
            <w:pPr>
              <w:spacing w:line="320" w:lineRule="exact"/>
              <w:jc w:val="center"/>
              <w:rPr>
                <w:rFonts w:hint="eastAsia" w:ascii="宋体" w:hAnsi="宋体" w:eastAsia="宋体" w:cs="宋体"/>
                <w:b/>
                <w:color w:val="auto"/>
                <w:szCs w:val="21"/>
                <w:highlight w:val="none"/>
              </w:rPr>
            </w:pPr>
          </w:p>
        </w:tc>
        <w:tc>
          <w:tcPr>
            <w:tcW w:w="1984" w:type="dxa"/>
            <w:noWrap w:val="0"/>
            <w:vAlign w:val="center"/>
          </w:tcPr>
          <w:p w14:paraId="525D7496">
            <w:pPr>
              <w:spacing w:line="320" w:lineRule="exact"/>
              <w:jc w:val="center"/>
              <w:rPr>
                <w:rFonts w:hint="eastAsia" w:ascii="宋体" w:hAnsi="宋体" w:eastAsia="宋体" w:cs="宋体"/>
                <w:b/>
                <w:color w:val="auto"/>
                <w:szCs w:val="21"/>
                <w:highlight w:val="none"/>
              </w:rPr>
            </w:pPr>
          </w:p>
        </w:tc>
        <w:tc>
          <w:tcPr>
            <w:tcW w:w="1843" w:type="dxa"/>
            <w:noWrap w:val="0"/>
            <w:vAlign w:val="center"/>
          </w:tcPr>
          <w:p w14:paraId="64ED47EE">
            <w:pPr>
              <w:spacing w:line="320" w:lineRule="exact"/>
              <w:jc w:val="center"/>
              <w:rPr>
                <w:rFonts w:hint="eastAsia" w:ascii="宋体" w:hAnsi="宋体" w:eastAsia="宋体" w:cs="宋体"/>
                <w:b/>
                <w:color w:val="auto"/>
                <w:szCs w:val="21"/>
                <w:highlight w:val="none"/>
              </w:rPr>
            </w:pPr>
          </w:p>
        </w:tc>
      </w:tr>
      <w:tr w14:paraId="5A5C9B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5C64348D">
            <w:pPr>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小计</w:t>
            </w:r>
          </w:p>
        </w:tc>
        <w:tc>
          <w:tcPr>
            <w:tcW w:w="1739" w:type="dxa"/>
            <w:noWrap w:val="0"/>
            <w:vAlign w:val="center"/>
          </w:tcPr>
          <w:p w14:paraId="7DCF308D">
            <w:pPr>
              <w:spacing w:line="320" w:lineRule="exact"/>
              <w:jc w:val="center"/>
              <w:rPr>
                <w:rFonts w:hint="eastAsia" w:ascii="宋体" w:hAnsi="宋体" w:eastAsia="宋体" w:cs="宋体"/>
                <w:color w:val="auto"/>
                <w:szCs w:val="21"/>
                <w:highlight w:val="none"/>
              </w:rPr>
            </w:pPr>
          </w:p>
        </w:tc>
        <w:tc>
          <w:tcPr>
            <w:tcW w:w="709" w:type="dxa"/>
            <w:noWrap w:val="0"/>
            <w:vAlign w:val="center"/>
          </w:tcPr>
          <w:p w14:paraId="117FC704">
            <w:pPr>
              <w:spacing w:line="320" w:lineRule="exact"/>
              <w:jc w:val="center"/>
              <w:rPr>
                <w:rFonts w:hint="eastAsia" w:ascii="宋体" w:hAnsi="宋体" w:eastAsia="宋体" w:cs="宋体"/>
                <w:color w:val="auto"/>
                <w:szCs w:val="21"/>
                <w:highlight w:val="none"/>
              </w:rPr>
            </w:pPr>
          </w:p>
        </w:tc>
        <w:tc>
          <w:tcPr>
            <w:tcW w:w="850" w:type="dxa"/>
            <w:noWrap w:val="0"/>
            <w:vAlign w:val="center"/>
          </w:tcPr>
          <w:p w14:paraId="7176A949">
            <w:pPr>
              <w:spacing w:line="320" w:lineRule="exact"/>
              <w:jc w:val="center"/>
              <w:rPr>
                <w:rFonts w:hint="eastAsia" w:ascii="宋体" w:hAnsi="宋体" w:eastAsia="宋体" w:cs="宋体"/>
                <w:color w:val="auto"/>
                <w:szCs w:val="21"/>
                <w:highlight w:val="none"/>
              </w:rPr>
            </w:pPr>
          </w:p>
        </w:tc>
        <w:tc>
          <w:tcPr>
            <w:tcW w:w="993" w:type="dxa"/>
            <w:noWrap w:val="0"/>
            <w:vAlign w:val="center"/>
          </w:tcPr>
          <w:p w14:paraId="3CBD90FD">
            <w:pPr>
              <w:spacing w:line="320" w:lineRule="exact"/>
              <w:jc w:val="center"/>
              <w:rPr>
                <w:rFonts w:hint="eastAsia" w:ascii="宋体" w:hAnsi="宋体" w:eastAsia="宋体" w:cs="宋体"/>
                <w:color w:val="auto"/>
                <w:szCs w:val="21"/>
                <w:highlight w:val="none"/>
              </w:rPr>
            </w:pPr>
          </w:p>
        </w:tc>
        <w:tc>
          <w:tcPr>
            <w:tcW w:w="1984" w:type="dxa"/>
            <w:noWrap w:val="0"/>
            <w:vAlign w:val="center"/>
          </w:tcPr>
          <w:p w14:paraId="0ABBFB58">
            <w:pPr>
              <w:spacing w:line="320" w:lineRule="exact"/>
              <w:jc w:val="center"/>
              <w:rPr>
                <w:rFonts w:hint="eastAsia" w:ascii="宋体" w:hAnsi="宋体" w:eastAsia="宋体" w:cs="宋体"/>
                <w:color w:val="auto"/>
                <w:szCs w:val="21"/>
                <w:highlight w:val="none"/>
              </w:rPr>
            </w:pPr>
          </w:p>
        </w:tc>
        <w:tc>
          <w:tcPr>
            <w:tcW w:w="1843" w:type="dxa"/>
            <w:noWrap w:val="0"/>
            <w:vAlign w:val="center"/>
          </w:tcPr>
          <w:p w14:paraId="4F5A377E">
            <w:pPr>
              <w:spacing w:line="320" w:lineRule="exact"/>
              <w:jc w:val="center"/>
              <w:rPr>
                <w:rFonts w:hint="eastAsia" w:ascii="宋体" w:hAnsi="宋体" w:eastAsia="宋体" w:cs="宋体"/>
                <w:color w:val="auto"/>
                <w:szCs w:val="21"/>
                <w:highlight w:val="none"/>
              </w:rPr>
            </w:pPr>
          </w:p>
        </w:tc>
      </w:tr>
    </w:tbl>
    <w:p w14:paraId="79247347">
      <w:pPr>
        <w:adjustRightInd w:val="0"/>
        <w:snapToGrid w:val="0"/>
        <w:spacing w:before="120" w:beforeLines="50" w:after="120" w:afterLines="50" w:line="3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r>
        <w:rPr>
          <w:rFonts w:hint="eastAsia" w:ascii="宋体" w:hAnsi="宋体" w:eastAsia="宋体" w:cs="宋体"/>
          <w:bCs/>
          <w:color w:val="auto"/>
          <w:szCs w:val="21"/>
          <w:highlight w:val="none"/>
        </w:rPr>
        <w:t>1、</w:t>
      </w:r>
      <w:r>
        <w:rPr>
          <w:rFonts w:hint="eastAsia" w:ascii="宋体" w:hAnsi="宋体" w:eastAsia="宋体" w:cs="宋体"/>
          <w:color w:val="auto"/>
          <w:szCs w:val="21"/>
          <w:highlight w:val="none"/>
        </w:rPr>
        <w:t>本表用于计算节能产品、环境标志产品应享受的政策功能加分。</w:t>
      </w:r>
    </w:p>
    <w:p w14:paraId="51EA0604">
      <w:pPr>
        <w:adjustRightInd w:val="0"/>
        <w:snapToGrid w:val="0"/>
        <w:spacing w:before="120" w:beforeLines="50" w:after="120" w:afterLines="50" w:line="320" w:lineRule="exact"/>
        <w:ind w:firstLine="630" w:firstLineChars="3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2、栏目7“政策功能编码”是指货物的中国环境标志认证证书编号、节能标志认证证书号、编号(货物同时属于节能产品、环境标志产品的，只填写一种)。</w:t>
      </w:r>
    </w:p>
    <w:p w14:paraId="14416224">
      <w:pPr>
        <w:adjustRightInd w:val="0"/>
        <w:snapToGrid w:val="0"/>
        <w:spacing w:before="120" w:beforeLines="50" w:after="120" w:afterLines="50" w:line="320" w:lineRule="exact"/>
        <w:ind w:firstLine="630" w:firstLineChars="3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3、栏目4“单价”为综合单价，包含货物所有隐含的内容，如运输费、保险费、管理费和利润等。</w:t>
      </w:r>
    </w:p>
    <w:p w14:paraId="2BC12C27">
      <w:pPr>
        <w:adjustRightInd w:val="0"/>
        <w:snapToGrid w:val="0"/>
        <w:spacing w:before="120" w:beforeLines="50" w:after="120" w:afterLines="50" w:line="320" w:lineRule="exact"/>
        <w:ind w:firstLine="630" w:firstLineChars="3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4、未按上述要求提供、</w:t>
      </w:r>
      <w:r>
        <w:rPr>
          <w:rFonts w:hint="eastAsia" w:ascii="宋体" w:hAnsi="宋体" w:eastAsia="宋体" w:cs="宋体"/>
          <w:color w:val="auto"/>
          <w:szCs w:val="21"/>
          <w:highlight w:val="none"/>
        </w:rPr>
        <w:t>填写，或者提供的内容不真实的，</w:t>
      </w:r>
      <w:r>
        <w:rPr>
          <w:rFonts w:hint="eastAsia" w:ascii="宋体" w:hAnsi="宋体" w:eastAsia="宋体" w:cs="宋体"/>
          <w:bCs/>
          <w:color w:val="auto"/>
          <w:szCs w:val="21"/>
          <w:highlight w:val="none"/>
        </w:rPr>
        <w:t>评审时本表所有优惠不予以考虑。</w:t>
      </w:r>
    </w:p>
    <w:p w14:paraId="4B61A399">
      <w:pPr>
        <w:adjustRightInd w:val="0"/>
        <w:snapToGrid w:val="0"/>
        <w:spacing w:line="360" w:lineRule="auto"/>
        <w:ind w:firstLine="630" w:firstLineChars="300"/>
        <w:rPr>
          <w:rFonts w:hint="eastAsia" w:ascii="宋体" w:hAnsi="宋体" w:eastAsia="宋体" w:cs="宋体"/>
          <w:bCs/>
          <w:color w:val="auto"/>
          <w:szCs w:val="21"/>
          <w:highlight w:val="none"/>
        </w:rPr>
      </w:pPr>
    </w:p>
    <w:p w14:paraId="6095CE93">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供应商名称（单位章）：</w:t>
      </w:r>
    </w:p>
    <w:p w14:paraId="4119BD0C">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法定代表人或其委托代理人（签字）：</w:t>
      </w:r>
      <w:r>
        <w:rPr>
          <w:rFonts w:hint="eastAsia" w:ascii="宋体" w:hAnsi="宋体" w:eastAsia="宋体" w:cs="宋体"/>
          <w:color w:val="auto"/>
          <w:szCs w:val="21"/>
          <w:highlight w:val="none"/>
          <w:u w:val="single"/>
        </w:rPr>
        <w:t xml:space="preserve">       </w:t>
      </w:r>
    </w:p>
    <w:p w14:paraId="36BCFCE0">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6A59097F">
      <w:pPr>
        <w:adjustRightInd w:val="0"/>
        <w:snapToGrid w:val="0"/>
        <w:spacing w:line="360" w:lineRule="auto"/>
        <w:ind w:firstLine="422" w:firstLineChars="200"/>
        <w:rPr>
          <w:rFonts w:hint="eastAsia" w:ascii="宋体" w:hAnsi="宋体" w:eastAsia="宋体" w:cs="宋体"/>
          <w:b/>
          <w:color w:val="auto"/>
          <w:szCs w:val="21"/>
          <w:highlight w:val="none"/>
        </w:rPr>
      </w:pPr>
    </w:p>
    <w:p w14:paraId="59F7266C">
      <w:pPr>
        <w:bidi w:val="0"/>
        <w:jc w:val="center"/>
        <w:rPr>
          <w:rFonts w:hint="eastAsia" w:ascii="宋体" w:hAnsi="宋体" w:eastAsia="宋体" w:cs="宋体"/>
          <w:b/>
          <w:color w:val="auto"/>
          <w:sz w:val="32"/>
          <w:szCs w:val="32"/>
          <w:highlight w:val="none"/>
        </w:rPr>
      </w:pPr>
      <w:r>
        <w:rPr>
          <w:rFonts w:hint="eastAsia" w:ascii="宋体" w:hAnsi="宋体" w:eastAsia="宋体" w:cs="宋体"/>
          <w:b/>
          <w:bCs/>
          <w:color w:val="auto"/>
          <w:sz w:val="32"/>
          <w:szCs w:val="32"/>
          <w:highlight w:val="none"/>
        </w:rPr>
        <w:br w:type="page"/>
      </w:r>
      <w:bookmarkStart w:id="374" w:name="_Toc11879759"/>
      <w:r>
        <w:rPr>
          <w:rFonts w:hint="eastAsia" w:ascii="宋体" w:hAnsi="宋体" w:eastAsia="宋体" w:cs="宋体"/>
          <w:b/>
          <w:color w:val="auto"/>
          <w:sz w:val="32"/>
          <w:szCs w:val="32"/>
          <w:highlight w:val="none"/>
        </w:rPr>
        <w:t>七、报价一览表及报价文件</w:t>
      </w:r>
      <w:bookmarkEnd w:id="374"/>
    </w:p>
    <w:p w14:paraId="7EBBF850">
      <w:pPr>
        <w:pStyle w:val="4"/>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8"/>
          <w:szCs w:val="28"/>
          <w:highlight w:val="none"/>
        </w:rPr>
        <w:t>附件</w:t>
      </w:r>
      <w:r>
        <w:rPr>
          <w:rFonts w:hint="eastAsia" w:ascii="宋体" w:hAnsi="宋体" w:eastAsia="宋体" w:cs="宋体"/>
          <w:color w:val="auto"/>
          <w:sz w:val="28"/>
          <w:szCs w:val="28"/>
          <w:highlight w:val="none"/>
          <w:lang w:val="en-US" w:eastAsia="zh-CN"/>
        </w:rPr>
        <w:t>9</w:t>
      </w:r>
    </w:p>
    <w:p w14:paraId="046C5486">
      <w:pPr>
        <w:tabs>
          <w:tab w:val="left" w:pos="3600"/>
        </w:tabs>
        <w:adjustRightInd w:val="0"/>
        <w:snapToGrid w:val="0"/>
        <w:jc w:val="center"/>
        <w:rPr>
          <w:rFonts w:hint="eastAsia" w:ascii="宋体" w:hAnsi="宋体" w:eastAsia="宋体" w:cs="宋体"/>
          <w:b/>
          <w:bCs w:val="0"/>
          <w:color w:val="auto"/>
          <w:spacing w:val="6"/>
          <w:kern w:val="0"/>
          <w:sz w:val="30"/>
          <w:szCs w:val="30"/>
          <w:highlight w:val="none"/>
        </w:rPr>
      </w:pPr>
      <w:r>
        <w:rPr>
          <w:rFonts w:hint="eastAsia" w:ascii="宋体" w:hAnsi="宋体" w:eastAsia="宋体" w:cs="宋体"/>
          <w:b/>
          <w:bCs w:val="0"/>
          <w:color w:val="auto"/>
          <w:spacing w:val="6"/>
          <w:kern w:val="0"/>
          <w:sz w:val="30"/>
          <w:szCs w:val="30"/>
          <w:highlight w:val="none"/>
        </w:rPr>
        <w:t>报价一览表</w:t>
      </w:r>
    </w:p>
    <w:tbl>
      <w:tblPr>
        <w:tblStyle w:val="43"/>
        <w:tblpPr w:leftFromText="180" w:rightFromText="180" w:vertAnchor="text" w:horzAnchor="page" w:tblpX="1487" w:tblpY="412"/>
        <w:tblOverlap w:val="never"/>
        <w:tblW w:w="0" w:type="auto"/>
        <w:tblInd w:w="0" w:type="dxa"/>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Layout w:type="fixed"/>
        <w:tblCellMar>
          <w:top w:w="0" w:type="dxa"/>
          <w:left w:w="108" w:type="dxa"/>
          <w:bottom w:w="0" w:type="dxa"/>
          <w:right w:w="108" w:type="dxa"/>
        </w:tblCellMar>
      </w:tblPr>
      <w:tblGrid>
        <w:gridCol w:w="2346"/>
        <w:gridCol w:w="2699"/>
        <w:gridCol w:w="2034"/>
        <w:gridCol w:w="1841"/>
      </w:tblGrid>
      <w:tr w14:paraId="64B24851">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vMerge w:val="restart"/>
            <w:tcBorders>
              <w:top w:val="double" w:color="auto" w:sz="4" w:space="0"/>
              <w:left w:val="double" w:color="auto" w:sz="4" w:space="0"/>
              <w:bottom w:val="single" w:color="auto" w:sz="4" w:space="0"/>
              <w:right w:val="single" w:color="auto" w:sz="4" w:space="0"/>
            </w:tcBorders>
            <w:noWrap w:val="0"/>
            <w:vAlign w:val="center"/>
          </w:tcPr>
          <w:p w14:paraId="7E34F31D">
            <w:pPr>
              <w:ind w:right="23" w:rightChars="11"/>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tc>
        <w:tc>
          <w:tcPr>
            <w:tcW w:w="2699" w:type="dxa"/>
            <w:vMerge w:val="restart"/>
            <w:tcBorders>
              <w:top w:val="double" w:color="auto" w:sz="4" w:space="0"/>
              <w:left w:val="single" w:color="auto" w:sz="4" w:space="0"/>
              <w:bottom w:val="single" w:color="auto" w:sz="4" w:space="0"/>
              <w:right w:val="single" w:color="auto" w:sz="4" w:space="0"/>
            </w:tcBorders>
            <w:noWrap w:val="0"/>
            <w:vAlign w:val="center"/>
          </w:tcPr>
          <w:p w14:paraId="25DDBF87">
            <w:pPr>
              <w:ind w:right="23" w:rightChars="11"/>
              <w:jc w:val="center"/>
              <w:rPr>
                <w:rFonts w:hint="eastAsia" w:ascii="宋体" w:hAnsi="宋体" w:eastAsia="宋体" w:cs="宋体"/>
                <w:color w:val="auto"/>
                <w:szCs w:val="21"/>
                <w:highlight w:val="none"/>
              </w:rPr>
            </w:pPr>
          </w:p>
        </w:tc>
        <w:tc>
          <w:tcPr>
            <w:tcW w:w="2034" w:type="dxa"/>
            <w:tcBorders>
              <w:top w:val="double" w:color="auto" w:sz="4" w:space="0"/>
              <w:left w:val="single" w:color="auto" w:sz="4" w:space="0"/>
              <w:bottom w:val="single" w:color="auto" w:sz="4" w:space="0"/>
              <w:right w:val="single" w:color="auto" w:sz="4" w:space="0"/>
            </w:tcBorders>
            <w:noWrap w:val="0"/>
            <w:vAlign w:val="center"/>
          </w:tcPr>
          <w:p w14:paraId="1BF8EBA0">
            <w:pPr>
              <w:ind w:right="23" w:rightChars="11"/>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采购计划编号</w:t>
            </w:r>
          </w:p>
        </w:tc>
        <w:tc>
          <w:tcPr>
            <w:tcW w:w="1841" w:type="dxa"/>
            <w:tcBorders>
              <w:top w:val="double" w:color="auto" w:sz="4" w:space="0"/>
              <w:left w:val="single" w:color="auto" w:sz="4" w:space="0"/>
              <w:bottom w:val="single" w:color="auto" w:sz="4" w:space="0"/>
              <w:right w:val="double" w:color="auto" w:sz="4" w:space="0"/>
            </w:tcBorders>
            <w:noWrap w:val="0"/>
            <w:vAlign w:val="center"/>
          </w:tcPr>
          <w:p w14:paraId="41B1C6BC">
            <w:pPr>
              <w:ind w:right="23" w:rightChars="11"/>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 </w:t>
            </w:r>
          </w:p>
        </w:tc>
      </w:tr>
      <w:tr w14:paraId="7A3EA537">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vMerge w:val="continue"/>
            <w:tcBorders>
              <w:top w:val="single" w:color="auto" w:sz="4" w:space="0"/>
              <w:left w:val="double" w:color="auto" w:sz="4" w:space="0"/>
              <w:bottom w:val="single" w:color="auto" w:sz="4" w:space="0"/>
              <w:right w:val="single" w:color="auto" w:sz="4" w:space="0"/>
            </w:tcBorders>
            <w:noWrap w:val="0"/>
            <w:vAlign w:val="center"/>
          </w:tcPr>
          <w:p w14:paraId="40DECC14">
            <w:pPr>
              <w:ind w:right="23" w:rightChars="11"/>
              <w:jc w:val="center"/>
              <w:rPr>
                <w:rFonts w:hint="eastAsia" w:ascii="宋体" w:hAnsi="宋体" w:eastAsia="宋体" w:cs="宋体"/>
                <w:color w:val="auto"/>
                <w:szCs w:val="21"/>
                <w:highlight w:val="none"/>
              </w:rPr>
            </w:pPr>
          </w:p>
        </w:tc>
        <w:tc>
          <w:tcPr>
            <w:tcW w:w="2699" w:type="dxa"/>
            <w:vMerge w:val="continue"/>
            <w:tcBorders>
              <w:top w:val="single" w:color="auto" w:sz="4" w:space="0"/>
              <w:left w:val="single" w:color="auto" w:sz="4" w:space="0"/>
              <w:bottom w:val="single" w:color="auto" w:sz="4" w:space="0"/>
              <w:right w:val="single" w:color="auto" w:sz="4" w:space="0"/>
            </w:tcBorders>
            <w:noWrap w:val="0"/>
            <w:vAlign w:val="center"/>
          </w:tcPr>
          <w:p w14:paraId="03DDC275">
            <w:pPr>
              <w:ind w:right="23" w:rightChars="11"/>
              <w:jc w:val="center"/>
              <w:rPr>
                <w:rFonts w:hint="eastAsia" w:ascii="宋体" w:hAnsi="宋体" w:eastAsia="宋体" w:cs="宋体"/>
                <w:color w:val="auto"/>
                <w:szCs w:val="21"/>
                <w:highlight w:val="none"/>
              </w:rPr>
            </w:pPr>
          </w:p>
        </w:tc>
        <w:tc>
          <w:tcPr>
            <w:tcW w:w="2034" w:type="dxa"/>
            <w:tcBorders>
              <w:top w:val="single" w:color="auto" w:sz="4" w:space="0"/>
              <w:left w:val="single" w:color="auto" w:sz="4" w:space="0"/>
              <w:bottom w:val="single" w:color="auto" w:sz="4" w:space="0"/>
              <w:right w:val="single" w:color="auto" w:sz="4" w:space="0"/>
            </w:tcBorders>
            <w:noWrap w:val="0"/>
            <w:vAlign w:val="center"/>
          </w:tcPr>
          <w:p w14:paraId="5E1A8A4D">
            <w:pPr>
              <w:ind w:right="23" w:rightChars="11"/>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采购项目编号</w:t>
            </w:r>
          </w:p>
        </w:tc>
        <w:tc>
          <w:tcPr>
            <w:tcW w:w="1841" w:type="dxa"/>
            <w:tcBorders>
              <w:top w:val="single" w:color="auto" w:sz="4" w:space="0"/>
              <w:left w:val="single" w:color="auto" w:sz="4" w:space="0"/>
              <w:bottom w:val="single" w:color="auto" w:sz="4" w:space="0"/>
              <w:right w:val="double" w:color="auto" w:sz="4" w:space="0"/>
            </w:tcBorders>
            <w:noWrap w:val="0"/>
            <w:vAlign w:val="center"/>
          </w:tcPr>
          <w:p w14:paraId="13D9A89E">
            <w:pPr>
              <w:ind w:right="23" w:rightChars="11"/>
              <w:jc w:val="center"/>
              <w:rPr>
                <w:rFonts w:hint="eastAsia" w:ascii="宋体" w:hAnsi="宋体" w:eastAsia="宋体" w:cs="宋体"/>
                <w:color w:val="auto"/>
                <w:szCs w:val="21"/>
                <w:highlight w:val="none"/>
              </w:rPr>
            </w:pPr>
          </w:p>
        </w:tc>
      </w:tr>
      <w:tr w14:paraId="508A492F">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1BAB92BF">
            <w:pPr>
              <w:ind w:right="23" w:rightChars="11"/>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品目代码</w:t>
            </w:r>
          </w:p>
        </w:tc>
        <w:tc>
          <w:tcPr>
            <w:tcW w:w="6574" w:type="dxa"/>
            <w:gridSpan w:val="3"/>
            <w:tcBorders>
              <w:top w:val="single" w:color="auto" w:sz="4" w:space="0"/>
              <w:left w:val="single" w:color="auto" w:sz="4" w:space="0"/>
              <w:bottom w:val="single" w:color="auto" w:sz="4" w:space="0"/>
              <w:right w:val="double" w:color="auto" w:sz="4" w:space="0"/>
            </w:tcBorders>
            <w:shd w:val="clear" w:color="auto" w:fill="auto"/>
            <w:noWrap w:val="0"/>
            <w:vAlign w:val="center"/>
          </w:tcPr>
          <w:p w14:paraId="7933D529">
            <w:pPr>
              <w:widowControl/>
              <w:spacing w:line="300" w:lineRule="exact"/>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2"/>
                <w:sz w:val="21"/>
                <w:szCs w:val="21"/>
                <w:highlight w:val="none"/>
                <w:lang w:val="en-US" w:eastAsia="zh-CN" w:bidi="ar-SA"/>
              </w:rPr>
              <w:t>C99000000-其他服务</w:t>
            </w:r>
            <w:r>
              <w:rPr>
                <w:rFonts w:hint="eastAsia" w:ascii="宋体" w:hAnsi="宋体" w:cs="宋体"/>
                <w:color w:val="auto"/>
                <w:szCs w:val="21"/>
                <w:highlight w:val="none"/>
                <w:lang w:val="en-US" w:eastAsia="zh-CN"/>
              </w:rPr>
              <w:t xml:space="preserve">  </w:t>
            </w:r>
          </w:p>
        </w:tc>
      </w:tr>
      <w:tr w14:paraId="688874DD">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66"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64C54CB4">
            <w:pPr>
              <w:ind w:right="23" w:rightChars="11"/>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报价</w:t>
            </w:r>
          </w:p>
        </w:tc>
        <w:tc>
          <w:tcPr>
            <w:tcW w:w="6574" w:type="dxa"/>
            <w:gridSpan w:val="3"/>
            <w:tcBorders>
              <w:top w:val="single" w:color="auto" w:sz="4" w:space="0"/>
              <w:left w:val="single" w:color="auto" w:sz="4" w:space="0"/>
              <w:bottom w:val="single" w:color="auto" w:sz="4" w:space="0"/>
              <w:right w:val="double" w:color="auto" w:sz="4" w:space="0"/>
            </w:tcBorders>
            <w:noWrap w:val="0"/>
            <w:vAlign w:val="bottom"/>
          </w:tcPr>
          <w:p w14:paraId="5EC0EEDD">
            <w:pPr>
              <w:spacing w:line="360" w:lineRule="auto"/>
              <w:ind w:right="23" w:rightChars="11"/>
              <w:rPr>
                <w:rFonts w:hint="eastAsia" w:ascii="宋体" w:hAnsi="宋体" w:eastAsia="宋体" w:cs="宋体"/>
                <w:color w:val="auto"/>
                <w:szCs w:val="21"/>
                <w:highlight w:val="none"/>
              </w:rPr>
            </w:pPr>
            <w:r>
              <w:rPr>
                <w:rFonts w:hint="eastAsia" w:ascii="宋体" w:hAnsi="宋体" w:eastAsia="宋体" w:cs="宋体"/>
                <w:color w:val="auto"/>
                <w:szCs w:val="21"/>
                <w:highlight w:val="none"/>
              </w:rPr>
              <w:t>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元人民币整</w:t>
            </w:r>
          </w:p>
          <w:p w14:paraId="61EDA9BD">
            <w:pPr>
              <w:spacing w:line="360" w:lineRule="auto"/>
              <w:ind w:right="23" w:rightChars="11"/>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元人民币整</w:t>
            </w:r>
          </w:p>
        </w:tc>
      </w:tr>
      <w:tr w14:paraId="497086B5">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48DA182B">
            <w:pPr>
              <w:ind w:right="23" w:rightChars="11"/>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服务</w:t>
            </w:r>
            <w:r>
              <w:rPr>
                <w:rFonts w:hint="eastAsia" w:ascii="宋体" w:hAnsi="宋体" w:eastAsia="宋体" w:cs="宋体"/>
                <w:color w:val="auto"/>
                <w:szCs w:val="21"/>
                <w:highlight w:val="none"/>
              </w:rPr>
              <w:t>期</w:t>
            </w:r>
            <w:r>
              <w:rPr>
                <w:rFonts w:hint="eastAsia" w:ascii="宋体" w:hAnsi="宋体" w:eastAsia="宋体" w:cs="宋体"/>
                <w:color w:val="auto"/>
                <w:szCs w:val="21"/>
                <w:highlight w:val="none"/>
                <w:lang w:eastAsia="zh-CN"/>
              </w:rPr>
              <w:t>限</w:t>
            </w:r>
          </w:p>
        </w:tc>
        <w:tc>
          <w:tcPr>
            <w:tcW w:w="6574" w:type="dxa"/>
            <w:gridSpan w:val="3"/>
            <w:tcBorders>
              <w:top w:val="single" w:color="auto" w:sz="4" w:space="0"/>
              <w:left w:val="single" w:color="auto" w:sz="4" w:space="0"/>
              <w:bottom w:val="single" w:color="auto" w:sz="4" w:space="0"/>
              <w:right w:val="double" w:color="auto" w:sz="4" w:space="0"/>
            </w:tcBorders>
            <w:noWrap w:val="0"/>
            <w:vAlign w:val="center"/>
          </w:tcPr>
          <w:p w14:paraId="4189B34B">
            <w:pPr>
              <w:ind w:right="23" w:rightChars="11"/>
              <w:jc w:val="center"/>
              <w:rPr>
                <w:rFonts w:hint="eastAsia" w:ascii="宋体" w:hAnsi="宋体" w:eastAsia="宋体" w:cs="宋体"/>
                <w:color w:val="auto"/>
                <w:szCs w:val="21"/>
                <w:highlight w:val="none"/>
                <w:lang w:val="en-US" w:eastAsia="zh-CN"/>
              </w:rPr>
            </w:pPr>
          </w:p>
        </w:tc>
      </w:tr>
      <w:tr w14:paraId="1AB2F500">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double" w:color="auto" w:sz="4" w:space="0"/>
              <w:right w:val="single" w:color="auto" w:sz="4" w:space="0"/>
            </w:tcBorders>
            <w:noWrap w:val="0"/>
            <w:vAlign w:val="center"/>
          </w:tcPr>
          <w:p w14:paraId="52CDF471">
            <w:pPr>
              <w:ind w:right="23" w:rightChars="11"/>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项目负责人</w:t>
            </w:r>
          </w:p>
        </w:tc>
        <w:tc>
          <w:tcPr>
            <w:tcW w:w="6574" w:type="dxa"/>
            <w:gridSpan w:val="3"/>
            <w:tcBorders>
              <w:top w:val="single" w:color="auto" w:sz="4" w:space="0"/>
              <w:left w:val="single" w:color="auto" w:sz="4" w:space="0"/>
              <w:bottom w:val="double" w:color="auto" w:sz="4" w:space="0"/>
              <w:right w:val="double" w:color="auto" w:sz="4" w:space="0"/>
            </w:tcBorders>
            <w:noWrap w:val="0"/>
            <w:vAlign w:val="center"/>
          </w:tcPr>
          <w:p w14:paraId="27594A51">
            <w:pPr>
              <w:ind w:right="23" w:rightChars="11"/>
              <w:jc w:val="center"/>
              <w:rPr>
                <w:rFonts w:hint="eastAsia" w:ascii="宋体" w:hAnsi="宋体" w:eastAsia="宋体" w:cs="宋体"/>
                <w:color w:val="auto"/>
                <w:szCs w:val="21"/>
                <w:highlight w:val="none"/>
              </w:rPr>
            </w:pPr>
          </w:p>
        </w:tc>
      </w:tr>
    </w:tbl>
    <w:p w14:paraId="5EED7422">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00" w:firstLineChars="200"/>
        <w:textAlignment w:val="auto"/>
        <w:rPr>
          <w:rFonts w:hint="eastAsia" w:ascii="宋体" w:hAnsi="宋体" w:eastAsia="宋体" w:cs="宋体"/>
          <w:color w:val="auto"/>
          <w:sz w:val="20"/>
          <w:szCs w:val="21"/>
          <w:highlight w:val="none"/>
        </w:rPr>
      </w:pPr>
      <w:r>
        <w:rPr>
          <w:rFonts w:hint="eastAsia" w:ascii="宋体" w:hAnsi="宋体" w:eastAsia="宋体" w:cs="宋体"/>
          <w:color w:val="auto"/>
          <w:sz w:val="20"/>
          <w:szCs w:val="21"/>
          <w:highlight w:val="none"/>
        </w:rPr>
        <w:t>说明：“品目代码”栏按《政府采购品目分类目录》规定填写，如B0303拆除工程。</w:t>
      </w:r>
    </w:p>
    <w:p w14:paraId="407F09A2">
      <w:pPr>
        <w:adjustRightInd w:val="0"/>
        <w:snapToGrid w:val="0"/>
        <w:spacing w:line="360" w:lineRule="auto"/>
        <w:rPr>
          <w:rFonts w:hint="eastAsia" w:ascii="宋体" w:hAnsi="宋体" w:eastAsia="宋体" w:cs="宋体"/>
          <w:color w:val="auto"/>
          <w:sz w:val="20"/>
          <w:highlight w:val="none"/>
        </w:rPr>
      </w:pPr>
    </w:p>
    <w:p w14:paraId="5B5FCB09">
      <w:pPr>
        <w:adjustRightInd w:val="0"/>
        <w:snapToGrid w:val="0"/>
        <w:spacing w:line="360" w:lineRule="auto"/>
        <w:rPr>
          <w:rFonts w:hint="eastAsia" w:ascii="宋体" w:hAnsi="宋体" w:eastAsia="宋体" w:cs="宋体"/>
          <w:color w:val="auto"/>
          <w:sz w:val="20"/>
          <w:highlight w:val="none"/>
        </w:rPr>
      </w:pPr>
    </w:p>
    <w:p w14:paraId="22851E41">
      <w:pPr>
        <w:pStyle w:val="25"/>
        <w:adjustRightInd w:val="0"/>
        <w:snapToGrid w:val="0"/>
        <w:spacing w:line="480" w:lineRule="auto"/>
        <w:outlineLvl w:val="0"/>
        <w:rPr>
          <w:rFonts w:hint="eastAsia" w:ascii="宋体" w:hAnsi="宋体" w:eastAsia="宋体" w:cs="宋体"/>
          <w:color w:val="auto"/>
          <w:sz w:val="21"/>
          <w:szCs w:val="21"/>
          <w:highlight w:val="none"/>
        </w:rPr>
      </w:pPr>
      <w:bookmarkStart w:id="375" w:name="_Toc15460"/>
      <w:r>
        <w:rPr>
          <w:rFonts w:hint="eastAsia" w:ascii="宋体" w:hAnsi="宋体" w:eastAsia="宋体" w:cs="宋体"/>
          <w:color w:val="auto"/>
          <w:sz w:val="21"/>
          <w:szCs w:val="21"/>
          <w:highlight w:val="none"/>
        </w:rPr>
        <w:t>供应商（盖单位章）：</w:t>
      </w:r>
      <w:bookmarkEnd w:id="375"/>
    </w:p>
    <w:p w14:paraId="2CFB03A5">
      <w:pPr>
        <w:pStyle w:val="25"/>
        <w:adjustRightInd w:val="0"/>
        <w:snapToGrid w:val="0"/>
        <w:spacing w:line="480" w:lineRule="auto"/>
        <w:outlineLvl w:val="0"/>
        <w:rPr>
          <w:rFonts w:hint="eastAsia" w:ascii="宋体" w:hAnsi="宋体" w:eastAsia="宋体" w:cs="宋体"/>
          <w:color w:val="auto"/>
          <w:sz w:val="21"/>
          <w:szCs w:val="21"/>
          <w:highlight w:val="none"/>
          <w:u w:val="single"/>
        </w:rPr>
      </w:pPr>
      <w:bookmarkStart w:id="376" w:name="_Toc1862"/>
      <w:r>
        <w:rPr>
          <w:rFonts w:hint="eastAsia" w:ascii="宋体" w:hAnsi="宋体" w:eastAsia="宋体" w:cs="宋体"/>
          <w:color w:val="auto"/>
          <w:sz w:val="21"/>
          <w:szCs w:val="21"/>
          <w:highlight w:val="none"/>
        </w:rPr>
        <w:t>法定代表人或其委托代理人签字：</w:t>
      </w:r>
      <w:bookmarkEnd w:id="376"/>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p>
    <w:p w14:paraId="7D135373">
      <w:pPr>
        <w:spacing w:line="360" w:lineRule="auto"/>
        <w:rPr>
          <w:rFonts w:hint="eastAsia" w:ascii="宋体" w:hAnsi="宋体" w:eastAsia="宋体" w:cs="宋体"/>
          <w:color w:val="auto"/>
          <w:highlight w:val="none"/>
        </w:rPr>
      </w:pPr>
      <w:r>
        <w:rPr>
          <w:rFonts w:hint="eastAsia" w:ascii="宋体" w:hAnsi="宋体" w:eastAsia="宋体" w:cs="宋体"/>
          <w:color w:val="auto"/>
          <w:spacing w:val="6"/>
          <w:kern w:val="0"/>
          <w:szCs w:val="21"/>
          <w:highlight w:val="none"/>
        </w:rPr>
        <w:t>日  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highlight w:val="none"/>
        </w:rPr>
        <w:t>日</w:t>
      </w:r>
    </w:p>
    <w:p w14:paraId="2B700823">
      <w:pPr>
        <w:adjustRightInd w:val="0"/>
        <w:snapToGrid w:val="0"/>
        <w:jc w:val="both"/>
        <w:outlineLvl w:val="0"/>
        <w:rPr>
          <w:rFonts w:hint="eastAsia" w:ascii="宋体" w:hAnsi="宋体" w:eastAsia="宋体" w:cs="宋体"/>
          <w:bCs/>
          <w:color w:val="auto"/>
          <w:sz w:val="28"/>
          <w:szCs w:val="28"/>
          <w:highlight w:val="none"/>
        </w:rPr>
      </w:pPr>
      <w:r>
        <w:rPr>
          <w:rFonts w:hint="eastAsia" w:ascii="宋体" w:hAnsi="宋体" w:eastAsia="宋体" w:cs="宋体"/>
          <w:b/>
          <w:color w:val="auto"/>
          <w:highlight w:val="none"/>
        </w:rPr>
        <w:br w:type="page"/>
      </w:r>
      <w:r>
        <w:rPr>
          <w:rFonts w:hint="eastAsia" w:ascii="宋体" w:hAnsi="宋体" w:eastAsia="宋体" w:cs="宋体"/>
          <w:b/>
          <w:bCs/>
          <w:color w:val="auto"/>
          <w:kern w:val="2"/>
          <w:sz w:val="28"/>
          <w:szCs w:val="28"/>
          <w:highlight w:val="none"/>
          <w:lang w:val="en-US" w:eastAsia="zh-CN" w:bidi="ar-SA"/>
        </w:rPr>
        <w:t>附件10</w:t>
      </w:r>
      <w:r>
        <w:rPr>
          <w:rFonts w:hint="eastAsia" w:ascii="宋体" w:hAnsi="宋体" w:eastAsia="宋体" w:cs="宋体"/>
          <w:b/>
          <w:bCs/>
          <w:color w:val="auto"/>
          <w:sz w:val="28"/>
          <w:szCs w:val="28"/>
          <w:highlight w:val="none"/>
        </w:rPr>
        <w:t xml:space="preserve">   </w:t>
      </w:r>
      <w:bookmarkStart w:id="377" w:name="_Toc29902"/>
      <w:bookmarkStart w:id="378" w:name="_Toc11879760"/>
    </w:p>
    <w:p w14:paraId="4BF3FEAF">
      <w:pPr>
        <w:tabs>
          <w:tab w:val="left" w:pos="3600"/>
        </w:tabs>
        <w:adjustRightInd w:val="0"/>
        <w:snapToGrid w:val="0"/>
        <w:jc w:val="center"/>
        <w:rPr>
          <w:rFonts w:hint="eastAsia" w:ascii="宋体" w:hAnsi="宋体" w:eastAsia="宋体" w:cs="宋体"/>
          <w:b/>
          <w:bCs w:val="0"/>
          <w:color w:val="auto"/>
          <w:spacing w:val="6"/>
          <w:kern w:val="0"/>
          <w:sz w:val="30"/>
          <w:szCs w:val="30"/>
          <w:highlight w:val="none"/>
        </w:rPr>
      </w:pPr>
      <w:r>
        <w:rPr>
          <w:rFonts w:hint="eastAsia" w:ascii="宋体" w:hAnsi="宋体" w:eastAsia="宋体" w:cs="宋体"/>
          <w:b/>
          <w:bCs w:val="0"/>
          <w:color w:val="auto"/>
          <w:spacing w:val="6"/>
          <w:kern w:val="0"/>
          <w:sz w:val="30"/>
          <w:szCs w:val="30"/>
          <w:highlight w:val="none"/>
        </w:rPr>
        <w:t>分项价格表</w:t>
      </w:r>
      <w:bookmarkEnd w:id="377"/>
    </w:p>
    <w:p w14:paraId="49E372EB">
      <w:pPr>
        <w:adjustRightInd w:val="0"/>
        <w:snapToGrid w:val="0"/>
        <w:jc w:val="both"/>
        <w:rPr>
          <w:rFonts w:hint="eastAsia" w:ascii="宋体" w:hAnsi="宋体" w:eastAsia="宋体" w:cs="宋体"/>
          <w:b/>
          <w:bCs/>
          <w:color w:val="auto"/>
          <w:sz w:val="22"/>
          <w:szCs w:val="22"/>
          <w:highlight w:val="none"/>
          <w:lang w:val="en-US" w:eastAsia="zh-CN"/>
        </w:rPr>
      </w:pPr>
    </w:p>
    <w:p w14:paraId="6D388896">
      <w:pPr>
        <w:widowControl/>
        <w:kinsoku w:val="0"/>
        <w:autoSpaceDE w:val="0"/>
        <w:autoSpaceDN w:val="0"/>
        <w:adjustRightInd w:val="0"/>
        <w:snapToGrid w:val="0"/>
        <w:spacing w:before="203" w:line="227" w:lineRule="auto"/>
        <w:ind w:left="20"/>
        <w:jc w:val="left"/>
        <w:textAlignment w:val="baseline"/>
        <w:rPr>
          <w:rFonts w:ascii="宋体" w:hAnsi="宋体" w:eastAsia="宋体" w:cs="宋体"/>
          <w:snapToGrid w:val="0"/>
          <w:color w:val="auto"/>
          <w:kern w:val="0"/>
          <w:sz w:val="20"/>
          <w:szCs w:val="20"/>
          <w:highlight w:val="none"/>
          <w:lang w:eastAsia="en-US"/>
        </w:rPr>
      </w:pPr>
      <w:r>
        <w:rPr>
          <w:rFonts w:hint="eastAsia" w:ascii="宋体" w:hAnsi="宋体" w:eastAsia="宋体" w:cs="宋体"/>
          <w:snapToGrid w:val="0"/>
          <w:color w:val="auto"/>
          <w:spacing w:val="4"/>
          <w:kern w:val="0"/>
          <w:sz w:val="20"/>
          <w:szCs w:val="20"/>
          <w:highlight w:val="none"/>
          <w:lang w:eastAsia="zh-CN"/>
        </w:rPr>
        <w:t>采购项目编号</w:t>
      </w:r>
      <w:r>
        <w:rPr>
          <w:rFonts w:ascii="宋体" w:hAnsi="宋体" w:eastAsia="宋体" w:cs="宋体"/>
          <w:snapToGrid w:val="0"/>
          <w:color w:val="auto"/>
          <w:spacing w:val="4"/>
          <w:kern w:val="0"/>
          <w:sz w:val="20"/>
          <w:szCs w:val="20"/>
          <w:highlight w:val="none"/>
          <w:lang w:eastAsia="en-US"/>
        </w:rPr>
        <w:t>：</w:t>
      </w:r>
      <w:r>
        <w:rPr>
          <w:rFonts w:ascii="宋体" w:hAnsi="宋体" w:eastAsia="宋体" w:cs="宋体"/>
          <w:snapToGrid w:val="0"/>
          <w:color w:val="auto"/>
          <w:spacing w:val="4"/>
          <w:kern w:val="0"/>
          <w:sz w:val="20"/>
          <w:szCs w:val="20"/>
          <w:highlight w:val="none"/>
          <w:u w:val="single" w:color="auto"/>
          <w:lang w:eastAsia="en-US"/>
        </w:rPr>
        <w:t xml:space="preserve">             </w:t>
      </w:r>
      <w:r>
        <w:rPr>
          <w:rFonts w:ascii="宋体" w:hAnsi="宋体" w:eastAsia="宋体" w:cs="宋体"/>
          <w:snapToGrid w:val="0"/>
          <w:color w:val="auto"/>
          <w:spacing w:val="4"/>
          <w:kern w:val="0"/>
          <w:sz w:val="20"/>
          <w:szCs w:val="20"/>
          <w:highlight w:val="none"/>
          <w:lang w:eastAsia="en-US"/>
        </w:rPr>
        <w:t xml:space="preserve">                       项目名称：</w:t>
      </w:r>
      <w:r>
        <w:rPr>
          <w:rFonts w:ascii="宋体" w:hAnsi="宋体" w:eastAsia="宋体" w:cs="宋体"/>
          <w:snapToGrid w:val="0"/>
          <w:color w:val="auto"/>
          <w:spacing w:val="4"/>
          <w:kern w:val="0"/>
          <w:sz w:val="20"/>
          <w:szCs w:val="20"/>
          <w:highlight w:val="none"/>
          <w:u w:val="single" w:color="auto"/>
          <w:lang w:eastAsia="en-US"/>
        </w:rPr>
        <w:t xml:space="preserve">                </w:t>
      </w:r>
    </w:p>
    <w:p w14:paraId="20FF8506">
      <w:pPr>
        <w:widowControl/>
        <w:kinsoku w:val="0"/>
        <w:autoSpaceDE w:val="0"/>
        <w:autoSpaceDN w:val="0"/>
        <w:adjustRightInd w:val="0"/>
        <w:snapToGrid w:val="0"/>
        <w:spacing w:before="162" w:line="229" w:lineRule="auto"/>
        <w:ind w:left="21"/>
        <w:jc w:val="left"/>
        <w:textAlignment w:val="baseline"/>
        <w:rPr>
          <w:rFonts w:ascii="宋体" w:hAnsi="宋体" w:eastAsia="宋体" w:cs="宋体"/>
          <w:snapToGrid w:val="0"/>
          <w:color w:val="auto"/>
          <w:kern w:val="0"/>
          <w:sz w:val="20"/>
          <w:szCs w:val="20"/>
          <w:highlight w:val="none"/>
          <w:lang w:eastAsia="en-US"/>
        </w:rPr>
      </w:pPr>
      <w:r>
        <w:rPr>
          <w:rFonts w:ascii="宋体" w:hAnsi="宋体" w:eastAsia="宋体" w:cs="宋体"/>
          <w:snapToGrid w:val="0"/>
          <w:color w:val="auto"/>
          <w:spacing w:val="5"/>
          <w:kern w:val="0"/>
          <w:sz w:val="20"/>
          <w:szCs w:val="20"/>
          <w:highlight w:val="none"/>
          <w:lang w:eastAsia="en-US"/>
        </w:rPr>
        <w:t>包号：</w:t>
      </w:r>
      <w:r>
        <w:rPr>
          <w:rFonts w:ascii="宋体" w:hAnsi="宋体" w:eastAsia="宋体" w:cs="宋体"/>
          <w:snapToGrid w:val="0"/>
          <w:color w:val="auto"/>
          <w:spacing w:val="5"/>
          <w:kern w:val="0"/>
          <w:sz w:val="20"/>
          <w:szCs w:val="20"/>
          <w:highlight w:val="none"/>
          <w:u w:val="single" w:color="auto"/>
          <w:lang w:eastAsia="en-US"/>
        </w:rPr>
        <w:t xml:space="preserve">                      </w:t>
      </w:r>
      <w:r>
        <w:rPr>
          <w:rFonts w:ascii="宋体" w:hAnsi="宋体" w:eastAsia="宋体" w:cs="宋体"/>
          <w:snapToGrid w:val="0"/>
          <w:color w:val="auto"/>
          <w:spacing w:val="1"/>
          <w:kern w:val="0"/>
          <w:sz w:val="20"/>
          <w:szCs w:val="20"/>
          <w:highlight w:val="none"/>
          <w:lang w:eastAsia="en-US"/>
        </w:rPr>
        <w:t xml:space="preserve">                       </w:t>
      </w:r>
      <w:r>
        <w:rPr>
          <w:rFonts w:ascii="宋体" w:hAnsi="宋体" w:eastAsia="宋体" w:cs="宋体"/>
          <w:snapToGrid w:val="0"/>
          <w:color w:val="auto"/>
          <w:spacing w:val="5"/>
          <w:kern w:val="0"/>
          <w:sz w:val="20"/>
          <w:szCs w:val="20"/>
          <w:highlight w:val="none"/>
          <w:lang w:eastAsia="en-US"/>
        </w:rPr>
        <w:t>包名称：</w:t>
      </w:r>
      <w:r>
        <w:rPr>
          <w:rFonts w:ascii="宋体" w:hAnsi="宋体" w:eastAsia="宋体" w:cs="宋体"/>
          <w:snapToGrid w:val="0"/>
          <w:color w:val="auto"/>
          <w:kern w:val="0"/>
          <w:sz w:val="20"/>
          <w:szCs w:val="20"/>
          <w:highlight w:val="none"/>
          <w:u w:val="single" w:color="auto"/>
          <w:lang w:eastAsia="en-US"/>
        </w:rPr>
        <w:t xml:space="preserve">                  </w:t>
      </w:r>
    </w:p>
    <w:p w14:paraId="7D9D6D3B">
      <w:pPr>
        <w:adjustRightInd w:val="0"/>
        <w:snapToGrid w:val="0"/>
        <w:jc w:val="both"/>
        <w:rPr>
          <w:rFonts w:hint="eastAsia" w:ascii="宋体" w:hAnsi="宋体" w:eastAsia="宋体" w:cs="宋体"/>
          <w:b/>
          <w:bCs/>
          <w:color w:val="auto"/>
          <w:sz w:val="22"/>
          <w:szCs w:val="22"/>
          <w:highlight w:val="none"/>
          <w:lang w:val="en-US" w:eastAsia="zh-CN"/>
        </w:rPr>
      </w:pPr>
    </w:p>
    <w:p w14:paraId="5D5BBCE9">
      <w:pPr>
        <w:adjustRightInd w:val="0"/>
        <w:snapToGrid w:val="0"/>
        <w:jc w:val="both"/>
        <w:rPr>
          <w:rFonts w:hint="eastAsia" w:ascii="宋体" w:hAnsi="宋体" w:eastAsia="宋体" w:cs="宋体"/>
          <w:b/>
          <w:bCs/>
          <w:color w:val="auto"/>
          <w:sz w:val="22"/>
          <w:szCs w:val="22"/>
          <w:highlight w:val="none"/>
          <w:lang w:val="en-US" w:eastAsia="zh-CN"/>
        </w:rPr>
      </w:pPr>
    </w:p>
    <w:tbl>
      <w:tblPr>
        <w:tblStyle w:val="304"/>
        <w:tblW w:w="90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94"/>
        <w:gridCol w:w="3669"/>
        <w:gridCol w:w="1065"/>
        <w:gridCol w:w="783"/>
        <w:gridCol w:w="1265"/>
        <w:gridCol w:w="998"/>
      </w:tblGrid>
      <w:tr w14:paraId="68CE1E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294" w:type="dxa"/>
            <w:vMerge w:val="restart"/>
            <w:tcBorders>
              <w:bottom w:val="nil"/>
            </w:tcBorders>
            <w:vAlign w:val="top"/>
          </w:tcPr>
          <w:p w14:paraId="3C963C08">
            <w:pPr>
              <w:widowControl/>
              <w:kinsoku w:val="0"/>
              <w:autoSpaceDE w:val="0"/>
              <w:autoSpaceDN w:val="0"/>
              <w:adjustRightInd w:val="0"/>
              <w:snapToGrid w:val="0"/>
              <w:spacing w:line="411" w:lineRule="auto"/>
              <w:jc w:val="left"/>
              <w:textAlignment w:val="baseline"/>
              <w:rPr>
                <w:rFonts w:ascii="Arial" w:hAnsi="Arial" w:eastAsia="Arial" w:cs="Arial"/>
                <w:snapToGrid w:val="0"/>
                <w:color w:val="auto"/>
                <w:kern w:val="0"/>
                <w:sz w:val="21"/>
                <w:szCs w:val="21"/>
                <w:highlight w:val="none"/>
                <w:lang w:eastAsia="en-US"/>
              </w:rPr>
            </w:pPr>
          </w:p>
          <w:p w14:paraId="1E9BBAE7">
            <w:pPr>
              <w:kinsoku w:val="0"/>
              <w:autoSpaceDE w:val="0"/>
              <w:autoSpaceDN w:val="0"/>
              <w:adjustRightInd w:val="0"/>
              <w:snapToGrid w:val="0"/>
              <w:spacing w:before="65" w:line="228" w:lineRule="auto"/>
              <w:ind w:left="255"/>
              <w:jc w:val="left"/>
              <w:textAlignment w:val="baseline"/>
              <w:rPr>
                <w:rFonts w:ascii="宋体" w:hAnsi="宋体" w:eastAsia="宋体" w:cs="宋体"/>
                <w:snapToGrid w:val="0"/>
                <w:color w:val="auto"/>
                <w:kern w:val="0"/>
                <w:sz w:val="20"/>
                <w:szCs w:val="20"/>
                <w:highlight w:val="none"/>
                <w:lang w:val="en-US" w:eastAsia="en-US" w:bidi="ar-SA"/>
              </w:rPr>
            </w:pPr>
            <w:r>
              <w:rPr>
                <w:rFonts w:ascii="宋体" w:hAnsi="宋体" w:eastAsia="宋体" w:cs="宋体"/>
                <w:snapToGrid w:val="0"/>
                <w:color w:val="auto"/>
                <w:spacing w:val="6"/>
                <w:kern w:val="0"/>
                <w:sz w:val="20"/>
                <w:szCs w:val="20"/>
                <w:highlight w:val="none"/>
                <w:lang w:val="en-US" w:eastAsia="en-US" w:bidi="ar-SA"/>
              </w:rPr>
              <w:t>项目名称</w:t>
            </w:r>
          </w:p>
        </w:tc>
        <w:tc>
          <w:tcPr>
            <w:tcW w:w="3669" w:type="dxa"/>
            <w:vMerge w:val="restart"/>
            <w:tcBorders>
              <w:bottom w:val="nil"/>
            </w:tcBorders>
            <w:vAlign w:val="top"/>
          </w:tcPr>
          <w:p w14:paraId="1CB9B4A7">
            <w:pPr>
              <w:widowControl/>
              <w:kinsoku w:val="0"/>
              <w:autoSpaceDE w:val="0"/>
              <w:autoSpaceDN w:val="0"/>
              <w:adjustRightInd w:val="0"/>
              <w:snapToGrid w:val="0"/>
              <w:spacing w:line="410" w:lineRule="auto"/>
              <w:jc w:val="left"/>
              <w:textAlignment w:val="baseline"/>
              <w:rPr>
                <w:rFonts w:ascii="Arial" w:hAnsi="Arial" w:eastAsia="Arial" w:cs="Arial"/>
                <w:snapToGrid w:val="0"/>
                <w:color w:val="auto"/>
                <w:kern w:val="0"/>
                <w:sz w:val="21"/>
                <w:szCs w:val="21"/>
                <w:highlight w:val="none"/>
                <w:lang w:eastAsia="en-US"/>
              </w:rPr>
            </w:pPr>
          </w:p>
          <w:p w14:paraId="4B565736">
            <w:pPr>
              <w:kinsoku w:val="0"/>
              <w:autoSpaceDE w:val="0"/>
              <w:autoSpaceDN w:val="0"/>
              <w:adjustRightInd w:val="0"/>
              <w:snapToGrid w:val="0"/>
              <w:spacing w:before="65" w:line="228" w:lineRule="auto"/>
              <w:ind w:left="1427"/>
              <w:jc w:val="left"/>
              <w:textAlignment w:val="baseline"/>
              <w:rPr>
                <w:rFonts w:ascii="宋体" w:hAnsi="宋体" w:eastAsia="宋体" w:cs="宋体"/>
                <w:snapToGrid w:val="0"/>
                <w:color w:val="auto"/>
                <w:kern w:val="0"/>
                <w:sz w:val="20"/>
                <w:szCs w:val="20"/>
                <w:highlight w:val="none"/>
                <w:lang w:val="en-US" w:eastAsia="en-US" w:bidi="ar-SA"/>
              </w:rPr>
            </w:pPr>
            <w:r>
              <w:rPr>
                <w:rFonts w:ascii="宋体" w:hAnsi="宋体" w:eastAsia="宋体" w:cs="宋体"/>
                <w:snapToGrid w:val="0"/>
                <w:color w:val="auto"/>
                <w:spacing w:val="7"/>
                <w:kern w:val="0"/>
                <w:sz w:val="20"/>
                <w:szCs w:val="20"/>
                <w:highlight w:val="none"/>
                <w:lang w:val="en-US" w:eastAsia="en-US" w:bidi="ar-SA"/>
              </w:rPr>
              <w:t>服务要求</w:t>
            </w:r>
          </w:p>
        </w:tc>
        <w:tc>
          <w:tcPr>
            <w:tcW w:w="1065" w:type="dxa"/>
            <w:vMerge w:val="restart"/>
            <w:tcBorders>
              <w:bottom w:val="nil"/>
            </w:tcBorders>
            <w:vAlign w:val="top"/>
          </w:tcPr>
          <w:p w14:paraId="4AF1104F">
            <w:pPr>
              <w:widowControl/>
              <w:kinsoku w:val="0"/>
              <w:autoSpaceDE w:val="0"/>
              <w:autoSpaceDN w:val="0"/>
              <w:adjustRightInd w:val="0"/>
              <w:snapToGrid w:val="0"/>
              <w:spacing w:line="410" w:lineRule="auto"/>
              <w:jc w:val="left"/>
              <w:textAlignment w:val="baseline"/>
              <w:rPr>
                <w:rFonts w:ascii="Arial" w:hAnsi="Arial" w:eastAsia="Arial" w:cs="Arial"/>
                <w:snapToGrid w:val="0"/>
                <w:color w:val="auto"/>
                <w:kern w:val="0"/>
                <w:sz w:val="21"/>
                <w:szCs w:val="21"/>
                <w:highlight w:val="none"/>
                <w:lang w:eastAsia="en-US"/>
              </w:rPr>
            </w:pPr>
          </w:p>
          <w:p w14:paraId="53F55DF3">
            <w:pPr>
              <w:kinsoku w:val="0"/>
              <w:autoSpaceDE w:val="0"/>
              <w:autoSpaceDN w:val="0"/>
              <w:adjustRightInd w:val="0"/>
              <w:snapToGrid w:val="0"/>
              <w:spacing w:before="65" w:line="228" w:lineRule="auto"/>
              <w:ind w:left="76"/>
              <w:jc w:val="left"/>
              <w:textAlignment w:val="baseline"/>
              <w:rPr>
                <w:rFonts w:ascii="宋体" w:hAnsi="宋体" w:eastAsia="宋体" w:cs="宋体"/>
                <w:snapToGrid w:val="0"/>
                <w:color w:val="auto"/>
                <w:kern w:val="0"/>
                <w:sz w:val="20"/>
                <w:szCs w:val="20"/>
                <w:highlight w:val="none"/>
                <w:lang w:val="en-US" w:eastAsia="en-US" w:bidi="ar-SA"/>
              </w:rPr>
            </w:pPr>
            <w:r>
              <w:rPr>
                <w:rFonts w:ascii="宋体" w:hAnsi="宋体" w:eastAsia="宋体" w:cs="宋体"/>
                <w:snapToGrid w:val="0"/>
                <w:color w:val="auto"/>
                <w:spacing w:val="6"/>
                <w:kern w:val="0"/>
                <w:sz w:val="20"/>
                <w:szCs w:val="20"/>
                <w:highlight w:val="none"/>
                <w:lang w:val="en-US" w:eastAsia="en-US" w:bidi="ar-SA"/>
              </w:rPr>
              <w:t>数量/单位</w:t>
            </w:r>
          </w:p>
        </w:tc>
        <w:tc>
          <w:tcPr>
            <w:tcW w:w="2048" w:type="dxa"/>
            <w:gridSpan w:val="2"/>
            <w:vAlign w:val="top"/>
          </w:tcPr>
          <w:p w14:paraId="7D232A63">
            <w:pPr>
              <w:kinsoku w:val="0"/>
              <w:autoSpaceDE w:val="0"/>
              <w:autoSpaceDN w:val="0"/>
              <w:adjustRightInd w:val="0"/>
              <w:snapToGrid w:val="0"/>
              <w:spacing w:before="55" w:line="228" w:lineRule="auto"/>
              <w:ind w:left="518"/>
              <w:jc w:val="left"/>
              <w:textAlignment w:val="baseline"/>
              <w:rPr>
                <w:rFonts w:ascii="宋体" w:hAnsi="宋体" w:eastAsia="宋体" w:cs="宋体"/>
                <w:snapToGrid w:val="0"/>
                <w:color w:val="auto"/>
                <w:kern w:val="0"/>
                <w:sz w:val="20"/>
                <w:szCs w:val="20"/>
                <w:highlight w:val="none"/>
                <w:lang w:val="en-US" w:eastAsia="en-US" w:bidi="ar-SA"/>
              </w:rPr>
            </w:pPr>
            <w:r>
              <w:rPr>
                <w:rFonts w:ascii="宋体" w:hAnsi="宋体" w:eastAsia="宋体" w:cs="宋体"/>
                <w:snapToGrid w:val="0"/>
                <w:color w:val="auto"/>
                <w:spacing w:val="5"/>
                <w:kern w:val="0"/>
                <w:sz w:val="20"/>
                <w:szCs w:val="20"/>
                <w:highlight w:val="none"/>
                <w:lang w:val="en-US" w:eastAsia="en-US" w:bidi="ar-SA"/>
              </w:rPr>
              <w:t>金额（元）</w:t>
            </w:r>
          </w:p>
        </w:tc>
        <w:tc>
          <w:tcPr>
            <w:tcW w:w="998" w:type="dxa"/>
            <w:vMerge w:val="restart"/>
            <w:tcBorders>
              <w:bottom w:val="nil"/>
            </w:tcBorders>
            <w:vAlign w:val="top"/>
          </w:tcPr>
          <w:p w14:paraId="1DD0E25C">
            <w:pPr>
              <w:widowControl/>
              <w:kinsoku w:val="0"/>
              <w:autoSpaceDE w:val="0"/>
              <w:autoSpaceDN w:val="0"/>
              <w:adjustRightInd w:val="0"/>
              <w:snapToGrid w:val="0"/>
              <w:spacing w:line="410" w:lineRule="auto"/>
              <w:jc w:val="left"/>
              <w:textAlignment w:val="baseline"/>
              <w:rPr>
                <w:rFonts w:ascii="Arial" w:hAnsi="Arial" w:eastAsia="Arial" w:cs="Arial"/>
                <w:snapToGrid w:val="0"/>
                <w:color w:val="auto"/>
                <w:kern w:val="0"/>
                <w:sz w:val="21"/>
                <w:szCs w:val="21"/>
                <w:highlight w:val="none"/>
                <w:lang w:eastAsia="en-US"/>
              </w:rPr>
            </w:pPr>
          </w:p>
          <w:p w14:paraId="1292E23C">
            <w:pPr>
              <w:kinsoku w:val="0"/>
              <w:autoSpaceDE w:val="0"/>
              <w:autoSpaceDN w:val="0"/>
              <w:adjustRightInd w:val="0"/>
              <w:snapToGrid w:val="0"/>
              <w:spacing w:before="65" w:line="229" w:lineRule="auto"/>
              <w:ind w:left="403"/>
              <w:jc w:val="left"/>
              <w:textAlignment w:val="baseline"/>
              <w:rPr>
                <w:rFonts w:ascii="宋体" w:hAnsi="宋体" w:eastAsia="宋体" w:cs="宋体"/>
                <w:snapToGrid w:val="0"/>
                <w:color w:val="auto"/>
                <w:kern w:val="0"/>
                <w:sz w:val="20"/>
                <w:szCs w:val="20"/>
                <w:highlight w:val="none"/>
                <w:lang w:val="en-US" w:eastAsia="en-US" w:bidi="ar-SA"/>
              </w:rPr>
            </w:pPr>
            <w:r>
              <w:rPr>
                <w:rFonts w:ascii="宋体" w:hAnsi="宋体" w:eastAsia="宋体" w:cs="宋体"/>
                <w:snapToGrid w:val="0"/>
                <w:color w:val="auto"/>
                <w:spacing w:val="3"/>
                <w:kern w:val="0"/>
                <w:sz w:val="20"/>
                <w:szCs w:val="20"/>
                <w:highlight w:val="none"/>
                <w:lang w:val="en-US" w:eastAsia="en-US" w:bidi="ar-SA"/>
              </w:rPr>
              <w:t>备注</w:t>
            </w:r>
          </w:p>
        </w:tc>
      </w:tr>
      <w:tr w14:paraId="4E777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6" w:hRule="atLeast"/>
        </w:trPr>
        <w:tc>
          <w:tcPr>
            <w:tcW w:w="1294" w:type="dxa"/>
            <w:vMerge w:val="continue"/>
            <w:tcBorders>
              <w:top w:val="nil"/>
            </w:tcBorders>
            <w:vAlign w:val="top"/>
          </w:tcPr>
          <w:p w14:paraId="27738D50">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3669" w:type="dxa"/>
            <w:vMerge w:val="continue"/>
            <w:tcBorders>
              <w:top w:val="nil"/>
            </w:tcBorders>
            <w:vAlign w:val="top"/>
          </w:tcPr>
          <w:p w14:paraId="50B8E54F">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065" w:type="dxa"/>
            <w:vMerge w:val="continue"/>
            <w:tcBorders>
              <w:top w:val="nil"/>
            </w:tcBorders>
            <w:vAlign w:val="top"/>
          </w:tcPr>
          <w:p w14:paraId="5F7E8A2E">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783" w:type="dxa"/>
            <w:vAlign w:val="top"/>
          </w:tcPr>
          <w:p w14:paraId="4F9ED3BA">
            <w:pPr>
              <w:kinsoku w:val="0"/>
              <w:autoSpaceDE w:val="0"/>
              <w:autoSpaceDN w:val="0"/>
              <w:adjustRightInd w:val="0"/>
              <w:snapToGrid w:val="0"/>
              <w:spacing w:before="258" w:line="226" w:lineRule="auto"/>
              <w:ind w:left="199"/>
              <w:jc w:val="left"/>
              <w:textAlignment w:val="baseline"/>
              <w:rPr>
                <w:rFonts w:ascii="宋体" w:hAnsi="宋体" w:eastAsia="宋体" w:cs="宋体"/>
                <w:snapToGrid w:val="0"/>
                <w:color w:val="auto"/>
                <w:kern w:val="0"/>
                <w:sz w:val="20"/>
                <w:szCs w:val="20"/>
                <w:highlight w:val="none"/>
                <w:lang w:val="en-US" w:eastAsia="en-US" w:bidi="ar-SA"/>
              </w:rPr>
            </w:pPr>
            <w:r>
              <w:rPr>
                <w:rFonts w:ascii="宋体" w:hAnsi="宋体" w:eastAsia="宋体" w:cs="宋体"/>
                <w:snapToGrid w:val="0"/>
                <w:color w:val="auto"/>
                <w:spacing w:val="3"/>
                <w:kern w:val="0"/>
                <w:sz w:val="20"/>
                <w:szCs w:val="20"/>
                <w:highlight w:val="none"/>
                <w:lang w:val="en-US" w:eastAsia="en-US" w:bidi="ar-SA"/>
              </w:rPr>
              <w:t>单价</w:t>
            </w:r>
          </w:p>
        </w:tc>
        <w:tc>
          <w:tcPr>
            <w:tcW w:w="1265" w:type="dxa"/>
            <w:vAlign w:val="top"/>
          </w:tcPr>
          <w:p w14:paraId="61256E77">
            <w:pPr>
              <w:kinsoku w:val="0"/>
              <w:autoSpaceDE w:val="0"/>
              <w:autoSpaceDN w:val="0"/>
              <w:adjustRightInd w:val="0"/>
              <w:snapToGrid w:val="0"/>
              <w:spacing w:before="258" w:line="229" w:lineRule="auto"/>
              <w:ind w:left="447"/>
              <w:jc w:val="left"/>
              <w:textAlignment w:val="baseline"/>
              <w:rPr>
                <w:rFonts w:ascii="宋体" w:hAnsi="宋体" w:eastAsia="宋体" w:cs="宋体"/>
                <w:snapToGrid w:val="0"/>
                <w:color w:val="auto"/>
                <w:kern w:val="0"/>
                <w:sz w:val="20"/>
                <w:szCs w:val="20"/>
                <w:highlight w:val="none"/>
                <w:lang w:val="en-US" w:eastAsia="en-US" w:bidi="ar-SA"/>
              </w:rPr>
            </w:pPr>
            <w:r>
              <w:rPr>
                <w:rFonts w:ascii="宋体" w:hAnsi="宋体" w:eastAsia="宋体" w:cs="宋体"/>
                <w:snapToGrid w:val="0"/>
                <w:color w:val="auto"/>
                <w:spacing w:val="2"/>
                <w:kern w:val="0"/>
                <w:sz w:val="20"/>
                <w:szCs w:val="20"/>
                <w:highlight w:val="none"/>
                <w:lang w:val="en-US" w:eastAsia="en-US" w:bidi="ar-SA"/>
              </w:rPr>
              <w:t>小计</w:t>
            </w:r>
          </w:p>
        </w:tc>
        <w:tc>
          <w:tcPr>
            <w:tcW w:w="998" w:type="dxa"/>
            <w:vMerge w:val="continue"/>
            <w:tcBorders>
              <w:top w:val="nil"/>
            </w:tcBorders>
            <w:vAlign w:val="top"/>
          </w:tcPr>
          <w:p w14:paraId="58E2D2AB">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r>
      <w:tr w14:paraId="45CA6C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1294" w:type="dxa"/>
            <w:vAlign w:val="top"/>
          </w:tcPr>
          <w:p w14:paraId="291C6236">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3669" w:type="dxa"/>
            <w:vAlign w:val="top"/>
          </w:tcPr>
          <w:p w14:paraId="7972AC06">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065" w:type="dxa"/>
            <w:vAlign w:val="top"/>
          </w:tcPr>
          <w:p w14:paraId="5D6BA431">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783" w:type="dxa"/>
            <w:vAlign w:val="top"/>
          </w:tcPr>
          <w:p w14:paraId="3252A0C6">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265" w:type="dxa"/>
            <w:vAlign w:val="top"/>
          </w:tcPr>
          <w:p w14:paraId="537701A5">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998" w:type="dxa"/>
            <w:vAlign w:val="top"/>
          </w:tcPr>
          <w:p w14:paraId="083FD8D8">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r>
      <w:tr w14:paraId="02289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294" w:type="dxa"/>
            <w:vAlign w:val="top"/>
          </w:tcPr>
          <w:p w14:paraId="7ED81D02">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3669" w:type="dxa"/>
            <w:vAlign w:val="top"/>
          </w:tcPr>
          <w:p w14:paraId="52D238DF">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065" w:type="dxa"/>
            <w:vAlign w:val="top"/>
          </w:tcPr>
          <w:p w14:paraId="4CE1968C">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783" w:type="dxa"/>
            <w:vAlign w:val="top"/>
          </w:tcPr>
          <w:p w14:paraId="742C0931">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265" w:type="dxa"/>
            <w:vAlign w:val="top"/>
          </w:tcPr>
          <w:p w14:paraId="46E00228">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998" w:type="dxa"/>
            <w:vAlign w:val="top"/>
          </w:tcPr>
          <w:p w14:paraId="145E8D5E">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r>
      <w:tr w14:paraId="4F96DC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trPr>
        <w:tc>
          <w:tcPr>
            <w:tcW w:w="1294" w:type="dxa"/>
            <w:vAlign w:val="top"/>
          </w:tcPr>
          <w:p w14:paraId="42EFC909">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3669" w:type="dxa"/>
            <w:vAlign w:val="top"/>
          </w:tcPr>
          <w:p w14:paraId="2F1E1F39">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065" w:type="dxa"/>
            <w:vAlign w:val="top"/>
          </w:tcPr>
          <w:p w14:paraId="38281E34">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783" w:type="dxa"/>
            <w:vAlign w:val="top"/>
          </w:tcPr>
          <w:p w14:paraId="61B9EBEA">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1265" w:type="dxa"/>
            <w:vAlign w:val="top"/>
          </w:tcPr>
          <w:p w14:paraId="4D58D54E">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c>
          <w:tcPr>
            <w:tcW w:w="998" w:type="dxa"/>
            <w:vAlign w:val="top"/>
          </w:tcPr>
          <w:p w14:paraId="5241BFD4">
            <w:pPr>
              <w:widowControl/>
              <w:kinsoku w:val="0"/>
              <w:autoSpaceDE w:val="0"/>
              <w:autoSpaceDN w:val="0"/>
              <w:adjustRightInd w:val="0"/>
              <w:snapToGrid w:val="0"/>
              <w:spacing w:line="240" w:lineRule="auto"/>
              <w:jc w:val="left"/>
              <w:textAlignment w:val="baseline"/>
              <w:rPr>
                <w:rFonts w:ascii="Arial" w:hAnsi="Arial" w:eastAsia="Arial" w:cs="Arial"/>
                <w:snapToGrid w:val="0"/>
                <w:color w:val="auto"/>
                <w:kern w:val="0"/>
                <w:sz w:val="21"/>
                <w:szCs w:val="21"/>
                <w:highlight w:val="none"/>
                <w:lang w:eastAsia="en-US"/>
              </w:rPr>
            </w:pPr>
          </w:p>
        </w:tc>
      </w:tr>
    </w:tbl>
    <w:p w14:paraId="7BD4B976">
      <w:pPr>
        <w:pStyle w:val="30"/>
        <w:ind w:left="0" w:leftChars="0"/>
        <w:rPr>
          <w:rFonts w:hint="eastAsia" w:ascii="宋体" w:hAnsi="宋体" w:eastAsia="宋体" w:cs="宋体"/>
          <w:color w:val="auto"/>
          <w:highlight w:val="none"/>
        </w:rPr>
      </w:pPr>
    </w:p>
    <w:p w14:paraId="2EB08855">
      <w:pPr>
        <w:widowControl/>
        <w:kinsoku w:val="0"/>
        <w:autoSpaceDE w:val="0"/>
        <w:autoSpaceDN w:val="0"/>
        <w:adjustRightInd w:val="0"/>
        <w:snapToGrid w:val="0"/>
        <w:spacing w:line="240" w:lineRule="auto"/>
        <w:ind w:left="0" w:firstLine="0" w:firstLineChars="0"/>
        <w:jc w:val="left"/>
        <w:textAlignment w:val="baseline"/>
        <w:rPr>
          <w:rFonts w:ascii="宋体" w:hAnsi="宋体" w:eastAsia="宋体" w:cs="宋体"/>
          <w:snapToGrid w:val="0"/>
          <w:color w:val="auto"/>
          <w:kern w:val="0"/>
          <w:sz w:val="20"/>
          <w:szCs w:val="20"/>
          <w:highlight w:val="none"/>
          <w:lang w:eastAsia="en-US"/>
        </w:rPr>
      </w:pPr>
      <w:r>
        <w:rPr>
          <w:rFonts w:ascii="宋体" w:hAnsi="宋体" w:eastAsia="宋体" w:cs="宋体"/>
          <w:snapToGrid w:val="0"/>
          <w:color w:val="auto"/>
          <w:spacing w:val="6"/>
          <w:kern w:val="0"/>
          <w:sz w:val="20"/>
          <w:szCs w:val="20"/>
          <w:highlight w:val="none"/>
          <w:lang w:eastAsia="en-US"/>
        </w:rPr>
        <w:t>（1）不得填写“免费</w:t>
      </w:r>
      <w:r>
        <w:rPr>
          <w:rFonts w:ascii="宋体" w:hAnsi="宋体" w:eastAsia="宋体" w:cs="宋体"/>
          <w:snapToGrid w:val="0"/>
          <w:color w:val="auto"/>
          <w:spacing w:val="-59"/>
          <w:kern w:val="0"/>
          <w:sz w:val="20"/>
          <w:szCs w:val="20"/>
          <w:highlight w:val="none"/>
          <w:lang w:eastAsia="en-US"/>
        </w:rPr>
        <w:t xml:space="preserve"> </w:t>
      </w:r>
      <w:r>
        <w:rPr>
          <w:rFonts w:ascii="宋体" w:hAnsi="宋体" w:eastAsia="宋体" w:cs="宋体"/>
          <w:snapToGrid w:val="0"/>
          <w:color w:val="auto"/>
          <w:spacing w:val="6"/>
          <w:kern w:val="0"/>
          <w:sz w:val="20"/>
          <w:szCs w:val="20"/>
          <w:highlight w:val="none"/>
          <w:lang w:eastAsia="en-US"/>
        </w:rPr>
        <w:t>”或“赠予</w:t>
      </w:r>
      <w:r>
        <w:rPr>
          <w:rFonts w:ascii="宋体" w:hAnsi="宋体" w:eastAsia="宋体" w:cs="宋体"/>
          <w:snapToGrid w:val="0"/>
          <w:color w:val="auto"/>
          <w:spacing w:val="-70"/>
          <w:kern w:val="0"/>
          <w:sz w:val="20"/>
          <w:szCs w:val="20"/>
          <w:highlight w:val="none"/>
          <w:lang w:eastAsia="en-US"/>
        </w:rPr>
        <w:t xml:space="preserve"> </w:t>
      </w:r>
      <w:r>
        <w:rPr>
          <w:rFonts w:ascii="宋体" w:hAnsi="宋体" w:eastAsia="宋体" w:cs="宋体"/>
          <w:snapToGrid w:val="0"/>
          <w:color w:val="auto"/>
          <w:spacing w:val="6"/>
          <w:kern w:val="0"/>
          <w:sz w:val="20"/>
          <w:szCs w:val="20"/>
          <w:highlight w:val="none"/>
          <w:lang w:eastAsia="en-US"/>
        </w:rPr>
        <w:t>”，也不得进行“零</w:t>
      </w:r>
      <w:r>
        <w:rPr>
          <w:rFonts w:ascii="宋体" w:hAnsi="宋体" w:eastAsia="宋体" w:cs="宋体"/>
          <w:snapToGrid w:val="0"/>
          <w:color w:val="auto"/>
          <w:spacing w:val="-72"/>
          <w:kern w:val="0"/>
          <w:sz w:val="20"/>
          <w:szCs w:val="20"/>
          <w:highlight w:val="none"/>
          <w:lang w:eastAsia="en-US"/>
        </w:rPr>
        <w:t xml:space="preserve"> </w:t>
      </w:r>
      <w:r>
        <w:rPr>
          <w:rFonts w:ascii="宋体" w:hAnsi="宋体" w:eastAsia="宋体" w:cs="宋体"/>
          <w:snapToGrid w:val="0"/>
          <w:color w:val="auto"/>
          <w:spacing w:val="6"/>
          <w:kern w:val="0"/>
          <w:sz w:val="20"/>
          <w:szCs w:val="20"/>
          <w:highlight w:val="none"/>
          <w:lang w:eastAsia="en-US"/>
        </w:rPr>
        <w:t>”报价，否则</w:t>
      </w:r>
      <w:r>
        <w:rPr>
          <w:rFonts w:ascii="宋体" w:hAnsi="宋体" w:eastAsia="宋体" w:cs="宋体"/>
          <w:b/>
          <w:bCs/>
          <w:snapToGrid w:val="0"/>
          <w:color w:val="auto"/>
          <w:spacing w:val="6"/>
          <w:kern w:val="0"/>
          <w:sz w:val="20"/>
          <w:szCs w:val="20"/>
          <w:highlight w:val="none"/>
          <w:lang w:eastAsia="en-US"/>
        </w:rPr>
        <w:t>响应无效</w:t>
      </w:r>
      <w:r>
        <w:rPr>
          <w:rFonts w:ascii="宋体" w:hAnsi="宋体" w:eastAsia="宋体" w:cs="宋体"/>
          <w:snapToGrid w:val="0"/>
          <w:color w:val="auto"/>
          <w:spacing w:val="6"/>
          <w:kern w:val="0"/>
          <w:sz w:val="20"/>
          <w:szCs w:val="20"/>
          <w:highlight w:val="none"/>
          <w:lang w:eastAsia="en-US"/>
        </w:rPr>
        <w:t>。</w:t>
      </w:r>
    </w:p>
    <w:p w14:paraId="1069F807">
      <w:pPr>
        <w:adjustRightInd w:val="0"/>
        <w:snapToGrid w:val="0"/>
        <w:spacing w:line="240" w:lineRule="auto"/>
        <w:ind w:left="0" w:firstLine="0" w:firstLineChars="0"/>
        <w:rPr>
          <w:rFonts w:hint="eastAsia" w:ascii="宋体" w:hAnsi="宋体" w:eastAsia="宋体" w:cs="宋体"/>
          <w:color w:val="auto"/>
          <w:szCs w:val="21"/>
          <w:highlight w:val="none"/>
        </w:rPr>
      </w:pPr>
      <w:r>
        <w:rPr>
          <w:rFonts w:ascii="宋体" w:hAnsi="宋体" w:eastAsia="宋体" w:cs="宋体"/>
          <w:color w:val="auto"/>
          <w:spacing w:val="8"/>
          <w:sz w:val="20"/>
          <w:szCs w:val="20"/>
          <w:highlight w:val="none"/>
        </w:rPr>
        <w:t>（2）报价不能超过最高限价，否则</w:t>
      </w:r>
      <w:r>
        <w:rPr>
          <w:rFonts w:ascii="宋体" w:hAnsi="宋体" w:eastAsia="宋体" w:cs="宋体"/>
          <w:b/>
          <w:bCs/>
          <w:color w:val="auto"/>
          <w:spacing w:val="8"/>
          <w:sz w:val="20"/>
          <w:szCs w:val="20"/>
          <w:highlight w:val="none"/>
        </w:rPr>
        <w:t>响应无效</w:t>
      </w:r>
      <w:r>
        <w:rPr>
          <w:rFonts w:ascii="宋体" w:hAnsi="宋体" w:eastAsia="宋体" w:cs="宋体"/>
          <w:color w:val="auto"/>
          <w:spacing w:val="8"/>
          <w:sz w:val="20"/>
          <w:szCs w:val="20"/>
          <w:highlight w:val="none"/>
        </w:rPr>
        <w:t>。</w:t>
      </w:r>
    </w:p>
    <w:p w14:paraId="33797E2A">
      <w:pPr>
        <w:widowControl w:val="0"/>
        <w:adjustRightInd w:val="0"/>
        <w:snapToGrid w:val="0"/>
        <w:spacing w:line="480" w:lineRule="auto"/>
        <w:jc w:val="both"/>
        <w:outlineLvl w:val="0"/>
        <w:rPr>
          <w:rFonts w:hint="eastAsia" w:ascii="宋体" w:hAnsi="宋体" w:eastAsia="宋体" w:cs="宋体"/>
          <w:color w:val="auto"/>
          <w:kern w:val="2"/>
          <w:sz w:val="21"/>
          <w:szCs w:val="21"/>
          <w:highlight w:val="none"/>
          <w:lang w:val="en-US" w:eastAsia="zh-CN" w:bidi="ar-SA"/>
        </w:rPr>
      </w:pPr>
    </w:p>
    <w:p w14:paraId="7A631805">
      <w:pPr>
        <w:widowControl w:val="0"/>
        <w:adjustRightInd w:val="0"/>
        <w:snapToGrid w:val="0"/>
        <w:spacing w:line="480" w:lineRule="auto"/>
        <w:jc w:val="both"/>
        <w:outlineLvl w:val="0"/>
        <w:rPr>
          <w:rFonts w:hint="eastAsia" w:ascii="宋体" w:hAnsi="宋体" w:eastAsia="宋体" w:cs="宋体"/>
          <w:color w:val="auto"/>
          <w:kern w:val="2"/>
          <w:sz w:val="21"/>
          <w:szCs w:val="21"/>
          <w:highlight w:val="none"/>
          <w:lang w:val="en-US" w:eastAsia="zh-CN" w:bidi="ar-SA"/>
        </w:rPr>
      </w:pPr>
    </w:p>
    <w:p w14:paraId="7FC94ADB">
      <w:pPr>
        <w:widowControl w:val="0"/>
        <w:adjustRightInd w:val="0"/>
        <w:snapToGrid w:val="0"/>
        <w:spacing w:line="480" w:lineRule="auto"/>
        <w:jc w:val="both"/>
        <w:outlineLvl w:val="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供应商（盖单位章）：</w:t>
      </w:r>
    </w:p>
    <w:p w14:paraId="25E56E65">
      <w:pPr>
        <w:widowControl w:val="0"/>
        <w:adjustRightInd w:val="0"/>
        <w:snapToGrid w:val="0"/>
        <w:spacing w:line="480" w:lineRule="auto"/>
        <w:jc w:val="both"/>
        <w:outlineLvl w:val="0"/>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 xml:space="preserve">法定代表人或其委托代理人签字： </w:t>
      </w:r>
      <w:r>
        <w:rPr>
          <w:rFonts w:hint="eastAsia" w:ascii="宋体" w:hAnsi="宋体" w:eastAsia="宋体" w:cs="宋体"/>
          <w:color w:val="auto"/>
          <w:kern w:val="2"/>
          <w:sz w:val="21"/>
          <w:szCs w:val="21"/>
          <w:highlight w:val="none"/>
          <w:u w:val="single"/>
          <w:lang w:val="en-US" w:eastAsia="zh-CN" w:bidi="ar-SA"/>
        </w:rPr>
        <w:t xml:space="preserve">      </w:t>
      </w:r>
    </w:p>
    <w:p w14:paraId="0189DA64">
      <w:pPr>
        <w:spacing w:line="360" w:lineRule="auto"/>
        <w:rPr>
          <w:rFonts w:hint="eastAsia" w:ascii="宋体" w:hAnsi="宋体" w:eastAsia="宋体" w:cs="宋体"/>
          <w:color w:val="auto"/>
          <w:highlight w:val="none"/>
        </w:rPr>
      </w:pPr>
      <w:r>
        <w:rPr>
          <w:rFonts w:hint="eastAsia" w:ascii="宋体" w:hAnsi="宋体" w:eastAsia="宋体" w:cs="宋体"/>
          <w:color w:val="auto"/>
          <w:spacing w:val="6"/>
          <w:kern w:val="0"/>
          <w:szCs w:val="21"/>
          <w:highlight w:val="none"/>
        </w:rPr>
        <w:t>日  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highlight w:val="none"/>
        </w:rPr>
        <w:t>日</w:t>
      </w:r>
    </w:p>
    <w:p w14:paraId="582165BD">
      <w:pPr>
        <w:spacing w:line="360" w:lineRule="auto"/>
        <w:jc w:val="center"/>
        <w:outlineLvl w:val="1"/>
        <w:rPr>
          <w:rFonts w:hint="eastAsia" w:ascii="宋体" w:hAnsi="宋体" w:eastAsia="宋体" w:cs="宋体"/>
          <w:b/>
          <w:color w:val="auto"/>
          <w:sz w:val="32"/>
          <w:szCs w:val="32"/>
          <w:highlight w:val="none"/>
        </w:rPr>
      </w:pPr>
    </w:p>
    <w:p w14:paraId="3A1FD0B3">
      <w:pPr>
        <w:spacing w:line="360" w:lineRule="auto"/>
        <w:jc w:val="center"/>
        <w:outlineLvl w:val="1"/>
        <w:rPr>
          <w:rFonts w:hint="eastAsia" w:ascii="宋体" w:hAnsi="宋体" w:eastAsia="宋体" w:cs="宋体"/>
          <w:b/>
          <w:color w:val="auto"/>
          <w:sz w:val="32"/>
          <w:szCs w:val="32"/>
          <w:highlight w:val="none"/>
        </w:rPr>
      </w:pPr>
    </w:p>
    <w:p w14:paraId="51B82F1D">
      <w:pPr>
        <w:spacing w:line="360" w:lineRule="auto"/>
        <w:jc w:val="center"/>
        <w:outlineLvl w:val="1"/>
        <w:rPr>
          <w:rFonts w:hint="eastAsia" w:ascii="宋体" w:hAnsi="宋体" w:eastAsia="宋体" w:cs="宋体"/>
          <w:b/>
          <w:color w:val="auto"/>
          <w:sz w:val="32"/>
          <w:szCs w:val="32"/>
          <w:highlight w:val="none"/>
        </w:rPr>
      </w:pPr>
    </w:p>
    <w:p w14:paraId="16CDD98F">
      <w:pPr>
        <w:spacing w:line="360" w:lineRule="auto"/>
        <w:jc w:val="center"/>
        <w:outlineLvl w:val="1"/>
        <w:rPr>
          <w:rFonts w:hint="eastAsia" w:ascii="宋体" w:hAnsi="宋体" w:eastAsia="宋体" w:cs="宋体"/>
          <w:b/>
          <w:color w:val="auto"/>
          <w:sz w:val="32"/>
          <w:szCs w:val="32"/>
          <w:highlight w:val="none"/>
        </w:rPr>
      </w:pPr>
    </w:p>
    <w:p w14:paraId="30393619">
      <w:pPr>
        <w:spacing w:line="360" w:lineRule="auto"/>
        <w:jc w:val="center"/>
        <w:outlineLvl w:val="1"/>
        <w:rPr>
          <w:rFonts w:hint="eastAsia" w:ascii="宋体" w:hAnsi="宋体" w:eastAsia="宋体" w:cs="宋体"/>
          <w:b/>
          <w:color w:val="auto"/>
          <w:sz w:val="32"/>
          <w:szCs w:val="32"/>
          <w:highlight w:val="none"/>
        </w:rPr>
      </w:pPr>
    </w:p>
    <w:p w14:paraId="7EAA9765">
      <w:pPr>
        <w:spacing w:line="360" w:lineRule="auto"/>
        <w:jc w:val="center"/>
        <w:outlineLvl w:val="1"/>
        <w:rPr>
          <w:rFonts w:hint="eastAsia" w:ascii="宋体" w:hAnsi="宋体" w:eastAsia="宋体" w:cs="宋体"/>
          <w:b/>
          <w:color w:val="auto"/>
          <w:sz w:val="32"/>
          <w:szCs w:val="32"/>
          <w:highlight w:val="none"/>
        </w:rPr>
      </w:pPr>
    </w:p>
    <w:p w14:paraId="5043681E">
      <w:pPr>
        <w:spacing w:line="360" w:lineRule="auto"/>
        <w:jc w:val="center"/>
        <w:outlineLvl w:val="1"/>
        <w:rPr>
          <w:rFonts w:hint="eastAsia" w:ascii="宋体" w:hAnsi="宋体" w:eastAsia="宋体" w:cs="宋体"/>
          <w:b/>
          <w:color w:val="auto"/>
          <w:sz w:val="32"/>
          <w:szCs w:val="32"/>
          <w:highlight w:val="none"/>
        </w:rPr>
      </w:pPr>
    </w:p>
    <w:p w14:paraId="65D5DA6A">
      <w:pPr>
        <w:spacing w:line="360" w:lineRule="auto"/>
        <w:jc w:val="center"/>
        <w:outlineLvl w:val="1"/>
        <w:rPr>
          <w:rFonts w:hint="eastAsia" w:ascii="宋体" w:hAnsi="宋体" w:eastAsia="宋体" w:cs="宋体"/>
          <w:b/>
          <w:color w:val="auto"/>
          <w:sz w:val="32"/>
          <w:szCs w:val="32"/>
          <w:highlight w:val="none"/>
        </w:rPr>
      </w:pPr>
    </w:p>
    <w:p w14:paraId="7D5AC7DB">
      <w:pPr>
        <w:spacing w:line="360" w:lineRule="auto"/>
        <w:jc w:val="center"/>
        <w:outlineLvl w:val="1"/>
        <w:rPr>
          <w:rFonts w:hint="eastAsia" w:ascii="宋体" w:hAnsi="宋体" w:eastAsia="宋体" w:cs="宋体"/>
          <w:b/>
          <w:color w:val="auto"/>
          <w:sz w:val="32"/>
          <w:szCs w:val="32"/>
          <w:highlight w:val="none"/>
        </w:rPr>
      </w:pPr>
    </w:p>
    <w:p w14:paraId="7EA3B2E4">
      <w:pPr>
        <w:numPr>
          <w:ilvl w:val="0"/>
          <w:numId w:val="0"/>
        </w:numPr>
        <w:spacing w:line="360" w:lineRule="auto"/>
        <w:jc w:val="center"/>
        <w:outlineLvl w:val="1"/>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eastAsia="zh-CN"/>
        </w:rPr>
        <w:t>八、</w:t>
      </w:r>
      <w:r>
        <w:rPr>
          <w:rFonts w:hint="eastAsia" w:ascii="宋体" w:hAnsi="宋体" w:eastAsia="宋体" w:cs="宋体"/>
          <w:b/>
          <w:color w:val="auto"/>
          <w:sz w:val="32"/>
          <w:szCs w:val="32"/>
          <w:highlight w:val="none"/>
        </w:rPr>
        <w:t>供应商认为需要提供的其它资料</w:t>
      </w:r>
      <w:bookmarkEnd w:id="378"/>
    </w:p>
    <w:p w14:paraId="3226E4FE">
      <w:pPr>
        <w:adjustRightInd w:val="0"/>
        <w:snapToGrid w:val="0"/>
        <w:spacing w:beforeLines="50" w:line="360" w:lineRule="auto"/>
        <w:rPr>
          <w:rFonts w:hint="eastAsia" w:ascii="宋体" w:hAnsi="宋体" w:eastAsia="宋体" w:cs="宋体"/>
          <w:color w:val="auto"/>
          <w:highlight w:val="none"/>
        </w:rPr>
      </w:pPr>
      <w:r>
        <w:rPr>
          <w:rFonts w:hint="eastAsia" w:ascii="宋体" w:hAnsi="宋体" w:eastAsia="宋体" w:cs="宋体"/>
          <w:color w:val="auto"/>
          <w:highlight w:val="none"/>
        </w:rPr>
        <w:t>备注：</w:t>
      </w:r>
      <w:r>
        <w:rPr>
          <w:rFonts w:hint="eastAsia" w:ascii="宋体" w:hAnsi="宋体" w:eastAsia="宋体" w:cs="宋体"/>
          <w:color w:val="auto"/>
          <w:highlight w:val="none"/>
          <w:lang w:val="en-US" w:eastAsia="zh-CN"/>
        </w:rPr>
        <w:t>供应商</w:t>
      </w:r>
      <w:r>
        <w:rPr>
          <w:rFonts w:hint="eastAsia" w:ascii="宋体" w:hAnsi="宋体" w:eastAsia="宋体" w:cs="宋体"/>
          <w:color w:val="auto"/>
          <w:highlight w:val="none"/>
        </w:rPr>
        <w:t>认为需提供的其他资料</w:t>
      </w:r>
    </w:p>
    <w:p w14:paraId="6BAE8237">
      <w:pPr>
        <w:adjustRightInd w:val="0"/>
        <w:snapToGrid w:val="0"/>
        <w:spacing w:line="360" w:lineRule="auto"/>
        <w:ind w:left="-88" w:leftChars="-42"/>
        <w:jc w:val="both"/>
        <w:rPr>
          <w:rFonts w:hint="eastAsia" w:ascii="宋体" w:hAnsi="宋体" w:eastAsia="宋体" w:cs="宋体"/>
          <w:color w:val="auto"/>
          <w:sz w:val="28"/>
          <w:szCs w:val="28"/>
          <w:highlight w:val="none"/>
        </w:rPr>
      </w:pPr>
    </w:p>
    <w:p w14:paraId="1662ACB4">
      <w:pPr>
        <w:spacing w:line="360" w:lineRule="auto"/>
        <w:jc w:val="center"/>
        <w:outlineLvl w:val="1"/>
        <w:rPr>
          <w:rFonts w:hint="eastAsia" w:ascii="宋体" w:hAnsi="宋体" w:eastAsia="宋体" w:cs="宋体"/>
          <w:b/>
          <w:color w:val="auto"/>
          <w:sz w:val="32"/>
          <w:szCs w:val="32"/>
          <w:highlight w:val="none"/>
        </w:rPr>
      </w:pPr>
      <w:bookmarkStart w:id="379" w:name="_Toc11879761"/>
      <w:r>
        <w:rPr>
          <w:rFonts w:hint="eastAsia" w:ascii="宋体" w:hAnsi="宋体" w:eastAsia="宋体" w:cs="宋体"/>
          <w:b/>
          <w:color w:val="auto"/>
          <w:sz w:val="32"/>
          <w:szCs w:val="32"/>
          <w:highlight w:val="none"/>
        </w:rPr>
        <w:br w:type="page"/>
      </w:r>
      <w:r>
        <w:rPr>
          <w:rFonts w:hint="eastAsia" w:ascii="宋体" w:hAnsi="宋体" w:eastAsia="宋体" w:cs="宋体"/>
          <w:b/>
          <w:color w:val="auto"/>
          <w:sz w:val="32"/>
          <w:szCs w:val="32"/>
          <w:highlight w:val="none"/>
          <w:lang w:eastAsia="zh-CN"/>
        </w:rPr>
        <w:t>九</w:t>
      </w:r>
      <w:r>
        <w:rPr>
          <w:rFonts w:hint="eastAsia" w:ascii="宋体" w:hAnsi="宋体" w:eastAsia="宋体" w:cs="宋体"/>
          <w:b/>
          <w:color w:val="auto"/>
          <w:sz w:val="32"/>
          <w:szCs w:val="32"/>
          <w:highlight w:val="none"/>
        </w:rPr>
        <w:t>、最后报价</w:t>
      </w:r>
      <w:bookmarkEnd w:id="379"/>
    </w:p>
    <w:p w14:paraId="5093A5DD">
      <w:pPr>
        <w:spacing w:line="360" w:lineRule="auto"/>
        <w:jc w:val="center"/>
        <w:rPr>
          <w:rFonts w:hint="eastAsia" w:ascii="宋体" w:hAnsi="宋体" w:eastAsia="宋体" w:cs="宋体"/>
          <w:b/>
          <w:color w:val="auto"/>
          <w:szCs w:val="21"/>
          <w:highlight w:val="none"/>
        </w:rPr>
      </w:pPr>
    </w:p>
    <w:p w14:paraId="37638317">
      <w:pPr>
        <w:spacing w:line="360" w:lineRule="auto"/>
        <w:jc w:val="center"/>
        <w:rPr>
          <w:rFonts w:hint="eastAsia" w:ascii="宋体" w:hAnsi="宋体" w:eastAsia="宋体" w:cs="宋体"/>
          <w:b/>
          <w:color w:val="auto"/>
          <w:szCs w:val="21"/>
          <w:highlight w:val="none"/>
        </w:rPr>
      </w:pPr>
    </w:p>
    <w:p w14:paraId="4685C8B9">
      <w:pPr>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报价表</w:t>
      </w:r>
    </w:p>
    <w:p w14:paraId="2CE1E6D7">
      <w:pPr>
        <w:adjustRightInd w:val="0"/>
        <w:snapToGrid w:val="0"/>
        <w:spacing w:line="360" w:lineRule="auto"/>
        <w:ind w:left="-88" w:leftChars="-42"/>
        <w:jc w:val="center"/>
        <w:rPr>
          <w:rFonts w:hint="eastAsia" w:ascii="宋体" w:hAnsi="宋体" w:eastAsia="宋体" w:cs="宋体"/>
          <w:color w:val="auto"/>
          <w:sz w:val="24"/>
          <w:highlight w:val="none"/>
        </w:rPr>
      </w:pPr>
    </w:p>
    <w:p w14:paraId="0F0F4FAC">
      <w:pPr>
        <w:adjustRightInd w:val="0"/>
        <w:snapToGrid w:val="0"/>
        <w:spacing w:before="120" w:beforeLines="50" w:line="360" w:lineRule="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采购项目编号</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项目名称：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68C9D77A">
      <w:pPr>
        <w:adjustRightInd w:val="0"/>
        <w:snapToGrid w:val="0"/>
        <w:spacing w:before="120" w:beforeLines="50"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包号：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包名称：</w:t>
      </w:r>
      <w:r>
        <w:rPr>
          <w:rFonts w:hint="eastAsia" w:ascii="宋体" w:hAnsi="宋体" w:eastAsia="宋体" w:cs="宋体"/>
          <w:color w:val="auto"/>
          <w:szCs w:val="21"/>
          <w:highlight w:val="none"/>
          <w:u w:val="single"/>
        </w:rPr>
        <w:t xml:space="preserve">                   </w:t>
      </w:r>
    </w:p>
    <w:tbl>
      <w:tblPr>
        <w:tblStyle w:val="43"/>
        <w:tblpPr w:leftFromText="180" w:rightFromText="180" w:vertAnchor="text" w:horzAnchor="page" w:tblpX="1487" w:tblpY="412"/>
        <w:tblOverlap w:val="never"/>
        <w:tblW w:w="8920" w:type="dxa"/>
        <w:tblInd w:w="0" w:type="dxa"/>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Layout w:type="fixed"/>
        <w:tblCellMar>
          <w:top w:w="0" w:type="dxa"/>
          <w:left w:w="108" w:type="dxa"/>
          <w:bottom w:w="0" w:type="dxa"/>
          <w:right w:w="108" w:type="dxa"/>
        </w:tblCellMar>
      </w:tblPr>
      <w:tblGrid>
        <w:gridCol w:w="2346"/>
        <w:gridCol w:w="2699"/>
        <w:gridCol w:w="2034"/>
        <w:gridCol w:w="1841"/>
      </w:tblGrid>
      <w:tr w14:paraId="68B540AA">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vMerge w:val="restart"/>
            <w:tcBorders>
              <w:top w:val="double" w:color="auto" w:sz="4" w:space="0"/>
              <w:left w:val="double" w:color="auto" w:sz="4" w:space="0"/>
              <w:bottom w:val="single" w:color="auto" w:sz="4" w:space="0"/>
              <w:right w:val="single" w:color="auto" w:sz="4" w:space="0"/>
            </w:tcBorders>
            <w:noWrap w:val="0"/>
            <w:vAlign w:val="center"/>
          </w:tcPr>
          <w:p w14:paraId="163E8BAA">
            <w:pPr>
              <w:ind w:right="23" w:rightChars="11"/>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tc>
        <w:tc>
          <w:tcPr>
            <w:tcW w:w="2699" w:type="dxa"/>
            <w:vMerge w:val="restart"/>
            <w:tcBorders>
              <w:top w:val="double" w:color="auto" w:sz="4" w:space="0"/>
              <w:left w:val="single" w:color="auto" w:sz="4" w:space="0"/>
              <w:bottom w:val="single" w:color="auto" w:sz="4" w:space="0"/>
              <w:right w:val="single" w:color="auto" w:sz="4" w:space="0"/>
            </w:tcBorders>
            <w:noWrap w:val="0"/>
            <w:vAlign w:val="center"/>
          </w:tcPr>
          <w:p w14:paraId="2BC83A03">
            <w:pPr>
              <w:ind w:right="23" w:rightChars="11"/>
              <w:jc w:val="center"/>
              <w:rPr>
                <w:rFonts w:hint="eastAsia" w:ascii="宋体" w:hAnsi="宋体" w:eastAsia="宋体" w:cs="宋体"/>
                <w:color w:val="auto"/>
                <w:szCs w:val="21"/>
                <w:highlight w:val="none"/>
              </w:rPr>
            </w:pPr>
          </w:p>
        </w:tc>
        <w:tc>
          <w:tcPr>
            <w:tcW w:w="2034" w:type="dxa"/>
            <w:tcBorders>
              <w:top w:val="double" w:color="auto" w:sz="4" w:space="0"/>
              <w:left w:val="single" w:color="auto" w:sz="4" w:space="0"/>
              <w:bottom w:val="single" w:color="auto" w:sz="4" w:space="0"/>
              <w:right w:val="single" w:color="auto" w:sz="4" w:space="0"/>
            </w:tcBorders>
            <w:noWrap w:val="0"/>
            <w:vAlign w:val="center"/>
          </w:tcPr>
          <w:p w14:paraId="74CA802E">
            <w:pPr>
              <w:ind w:right="23" w:rightChars="11"/>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采购计划编号</w:t>
            </w:r>
          </w:p>
        </w:tc>
        <w:tc>
          <w:tcPr>
            <w:tcW w:w="1841" w:type="dxa"/>
            <w:tcBorders>
              <w:top w:val="double" w:color="auto" w:sz="4" w:space="0"/>
              <w:left w:val="single" w:color="auto" w:sz="4" w:space="0"/>
              <w:bottom w:val="single" w:color="auto" w:sz="4" w:space="0"/>
              <w:right w:val="double" w:color="auto" w:sz="4" w:space="0"/>
            </w:tcBorders>
            <w:noWrap w:val="0"/>
            <w:vAlign w:val="center"/>
          </w:tcPr>
          <w:p w14:paraId="30D0032A">
            <w:pPr>
              <w:ind w:right="23" w:rightChars="11"/>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 </w:t>
            </w:r>
          </w:p>
        </w:tc>
      </w:tr>
      <w:tr w14:paraId="02196089">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vMerge w:val="continue"/>
            <w:tcBorders>
              <w:top w:val="single" w:color="auto" w:sz="4" w:space="0"/>
              <w:left w:val="double" w:color="auto" w:sz="4" w:space="0"/>
              <w:bottom w:val="single" w:color="auto" w:sz="4" w:space="0"/>
              <w:right w:val="single" w:color="auto" w:sz="4" w:space="0"/>
            </w:tcBorders>
            <w:noWrap w:val="0"/>
            <w:vAlign w:val="center"/>
          </w:tcPr>
          <w:p w14:paraId="5AD9E6AD">
            <w:pPr>
              <w:ind w:right="23" w:rightChars="11"/>
              <w:jc w:val="center"/>
              <w:rPr>
                <w:rFonts w:hint="eastAsia" w:ascii="宋体" w:hAnsi="宋体" w:eastAsia="宋体" w:cs="宋体"/>
                <w:color w:val="auto"/>
                <w:szCs w:val="21"/>
                <w:highlight w:val="none"/>
              </w:rPr>
            </w:pPr>
          </w:p>
        </w:tc>
        <w:tc>
          <w:tcPr>
            <w:tcW w:w="2699" w:type="dxa"/>
            <w:vMerge w:val="continue"/>
            <w:tcBorders>
              <w:top w:val="single" w:color="auto" w:sz="4" w:space="0"/>
              <w:left w:val="single" w:color="auto" w:sz="4" w:space="0"/>
              <w:bottom w:val="single" w:color="auto" w:sz="4" w:space="0"/>
              <w:right w:val="single" w:color="auto" w:sz="4" w:space="0"/>
            </w:tcBorders>
            <w:noWrap w:val="0"/>
            <w:vAlign w:val="center"/>
          </w:tcPr>
          <w:p w14:paraId="05F3387E">
            <w:pPr>
              <w:ind w:right="23" w:rightChars="11"/>
              <w:jc w:val="center"/>
              <w:rPr>
                <w:rFonts w:hint="eastAsia" w:ascii="宋体" w:hAnsi="宋体" w:eastAsia="宋体" w:cs="宋体"/>
                <w:color w:val="auto"/>
                <w:szCs w:val="21"/>
                <w:highlight w:val="none"/>
              </w:rPr>
            </w:pPr>
          </w:p>
        </w:tc>
        <w:tc>
          <w:tcPr>
            <w:tcW w:w="2034" w:type="dxa"/>
            <w:tcBorders>
              <w:top w:val="single" w:color="auto" w:sz="4" w:space="0"/>
              <w:left w:val="single" w:color="auto" w:sz="4" w:space="0"/>
              <w:bottom w:val="single" w:color="auto" w:sz="4" w:space="0"/>
              <w:right w:val="single" w:color="auto" w:sz="4" w:space="0"/>
            </w:tcBorders>
            <w:noWrap w:val="0"/>
            <w:vAlign w:val="center"/>
          </w:tcPr>
          <w:p w14:paraId="51A2E693">
            <w:pPr>
              <w:ind w:right="23" w:rightChars="11"/>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采购项目编号</w:t>
            </w:r>
          </w:p>
        </w:tc>
        <w:tc>
          <w:tcPr>
            <w:tcW w:w="1841" w:type="dxa"/>
            <w:tcBorders>
              <w:top w:val="single" w:color="auto" w:sz="4" w:space="0"/>
              <w:left w:val="single" w:color="auto" w:sz="4" w:space="0"/>
              <w:bottom w:val="single" w:color="auto" w:sz="4" w:space="0"/>
              <w:right w:val="double" w:color="auto" w:sz="4" w:space="0"/>
            </w:tcBorders>
            <w:noWrap w:val="0"/>
            <w:vAlign w:val="center"/>
          </w:tcPr>
          <w:p w14:paraId="68EBB8F5">
            <w:pPr>
              <w:ind w:right="23" w:rightChars="11"/>
              <w:jc w:val="center"/>
              <w:rPr>
                <w:rFonts w:hint="eastAsia" w:ascii="宋体" w:hAnsi="宋体" w:eastAsia="宋体" w:cs="宋体"/>
                <w:color w:val="auto"/>
                <w:szCs w:val="21"/>
                <w:highlight w:val="none"/>
              </w:rPr>
            </w:pPr>
          </w:p>
        </w:tc>
      </w:tr>
      <w:tr w14:paraId="30704A38">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top"/>
          </w:tcPr>
          <w:p w14:paraId="3EFDC138">
            <w:pPr>
              <w:pStyle w:val="307"/>
              <w:spacing w:before="6" w:line="216" w:lineRule="auto"/>
              <w:ind w:left="375" w:leftChars="0" w:firstLine="210" w:firstLineChars="100"/>
              <w:jc w:val="left"/>
              <w:outlineLvl w:val="0"/>
              <w:rPr>
                <w:rFonts w:hint="eastAsia" w:ascii="宋体" w:hAnsi="宋体" w:eastAsia="宋体" w:cs="宋体"/>
                <w:color w:val="auto"/>
                <w:kern w:val="2"/>
                <w:sz w:val="21"/>
                <w:szCs w:val="21"/>
                <w:highlight w:val="none"/>
                <w:lang w:val="en-US" w:eastAsia="zh-CN" w:bidi="ar-SA"/>
              </w:rPr>
            </w:pPr>
          </w:p>
          <w:p w14:paraId="1C2229E3">
            <w:pPr>
              <w:pStyle w:val="307"/>
              <w:spacing w:before="6" w:line="216" w:lineRule="auto"/>
              <w:ind w:left="375" w:leftChars="0" w:firstLine="210" w:firstLineChars="100"/>
              <w:jc w:val="left"/>
              <w:outlineLvl w:val="0"/>
              <w:rPr>
                <w:rFonts w:hint="eastAsia" w:ascii="宋体" w:hAnsi="宋体" w:eastAsia="宋体" w:cs="宋体"/>
                <w:color w:val="auto"/>
                <w:szCs w:val="21"/>
                <w:highlight w:val="none"/>
              </w:rPr>
            </w:pPr>
            <w:r>
              <w:rPr>
                <w:rFonts w:hint="eastAsia" w:ascii="宋体" w:hAnsi="宋体" w:eastAsia="宋体" w:cs="宋体"/>
                <w:color w:val="auto"/>
                <w:kern w:val="2"/>
                <w:sz w:val="21"/>
                <w:szCs w:val="21"/>
                <w:highlight w:val="none"/>
                <w:lang w:val="en-US" w:eastAsia="zh-CN" w:bidi="ar-SA"/>
              </w:rPr>
              <w:t>品目代码</w:t>
            </w:r>
          </w:p>
        </w:tc>
        <w:tc>
          <w:tcPr>
            <w:tcW w:w="6574" w:type="dxa"/>
            <w:gridSpan w:val="3"/>
            <w:tcBorders>
              <w:top w:val="single" w:color="auto" w:sz="4" w:space="0"/>
              <w:left w:val="single" w:color="auto" w:sz="4" w:space="0"/>
              <w:bottom w:val="single" w:color="auto" w:sz="4" w:space="0"/>
              <w:right w:val="double" w:color="auto" w:sz="4" w:space="0"/>
            </w:tcBorders>
            <w:shd w:val="clear" w:color="auto" w:fill="auto"/>
            <w:noWrap w:val="0"/>
            <w:vAlign w:val="center"/>
          </w:tcPr>
          <w:p w14:paraId="35EC356A">
            <w:pPr>
              <w:pStyle w:val="307"/>
              <w:spacing w:before="17" w:line="205" w:lineRule="auto"/>
              <w:jc w:val="center"/>
              <w:outlineLvl w:val="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2"/>
                <w:sz w:val="21"/>
                <w:szCs w:val="21"/>
                <w:highlight w:val="none"/>
                <w:lang w:val="en-US" w:eastAsia="zh-CN" w:bidi="ar-SA"/>
              </w:rPr>
              <w:t>C99000000-其他服务</w:t>
            </w:r>
          </w:p>
        </w:tc>
      </w:tr>
      <w:tr w14:paraId="4FB3A51A">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66"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260692F3">
            <w:pPr>
              <w:ind w:right="23" w:rightChars="11"/>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报价</w:t>
            </w:r>
          </w:p>
        </w:tc>
        <w:tc>
          <w:tcPr>
            <w:tcW w:w="6574" w:type="dxa"/>
            <w:gridSpan w:val="3"/>
            <w:tcBorders>
              <w:top w:val="single" w:color="auto" w:sz="4" w:space="0"/>
              <w:left w:val="single" w:color="auto" w:sz="4" w:space="0"/>
              <w:bottom w:val="single" w:color="auto" w:sz="4" w:space="0"/>
              <w:right w:val="double" w:color="auto" w:sz="4" w:space="0"/>
            </w:tcBorders>
            <w:noWrap w:val="0"/>
            <w:vAlign w:val="bottom"/>
          </w:tcPr>
          <w:p w14:paraId="600315A9">
            <w:pPr>
              <w:spacing w:line="360" w:lineRule="auto"/>
              <w:ind w:right="23" w:rightChars="11"/>
              <w:rPr>
                <w:rFonts w:hint="eastAsia" w:ascii="宋体" w:hAnsi="宋体" w:eastAsia="宋体" w:cs="宋体"/>
                <w:color w:val="auto"/>
                <w:szCs w:val="21"/>
                <w:highlight w:val="none"/>
              </w:rPr>
            </w:pPr>
            <w:r>
              <w:rPr>
                <w:rFonts w:hint="eastAsia" w:ascii="宋体" w:hAnsi="宋体" w:eastAsia="宋体" w:cs="宋体"/>
                <w:color w:val="auto"/>
                <w:szCs w:val="21"/>
                <w:highlight w:val="none"/>
              </w:rPr>
              <w:t>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元人民币整</w:t>
            </w:r>
          </w:p>
          <w:p w14:paraId="53B1E52E">
            <w:pPr>
              <w:spacing w:line="360" w:lineRule="auto"/>
              <w:ind w:right="23" w:rightChars="11"/>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元人民币整</w:t>
            </w:r>
          </w:p>
        </w:tc>
      </w:tr>
      <w:tr w14:paraId="63F0C38E">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49A62657">
            <w:pPr>
              <w:ind w:right="23" w:rightChars="11"/>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服务</w:t>
            </w:r>
            <w:r>
              <w:rPr>
                <w:rFonts w:hint="eastAsia" w:ascii="宋体" w:hAnsi="宋体" w:eastAsia="宋体" w:cs="宋体"/>
                <w:color w:val="auto"/>
                <w:szCs w:val="21"/>
                <w:highlight w:val="none"/>
              </w:rPr>
              <w:t>期</w:t>
            </w:r>
            <w:r>
              <w:rPr>
                <w:rFonts w:hint="eastAsia" w:ascii="宋体" w:hAnsi="宋体" w:eastAsia="宋体" w:cs="宋体"/>
                <w:color w:val="auto"/>
                <w:szCs w:val="21"/>
                <w:highlight w:val="none"/>
                <w:lang w:eastAsia="zh-CN"/>
              </w:rPr>
              <w:t>限</w:t>
            </w:r>
          </w:p>
        </w:tc>
        <w:tc>
          <w:tcPr>
            <w:tcW w:w="6574" w:type="dxa"/>
            <w:gridSpan w:val="3"/>
            <w:tcBorders>
              <w:top w:val="single" w:color="auto" w:sz="4" w:space="0"/>
              <w:left w:val="single" w:color="auto" w:sz="4" w:space="0"/>
              <w:bottom w:val="single" w:color="auto" w:sz="4" w:space="0"/>
              <w:right w:val="double" w:color="auto" w:sz="4" w:space="0"/>
            </w:tcBorders>
            <w:noWrap w:val="0"/>
            <w:vAlign w:val="center"/>
          </w:tcPr>
          <w:p w14:paraId="2B00AE77">
            <w:pPr>
              <w:ind w:right="23" w:rightChars="11"/>
              <w:jc w:val="center"/>
              <w:rPr>
                <w:rFonts w:hint="eastAsia" w:ascii="宋体" w:hAnsi="宋体" w:eastAsia="宋体" w:cs="宋体"/>
                <w:color w:val="auto"/>
                <w:szCs w:val="21"/>
                <w:highlight w:val="none"/>
                <w:lang w:val="en-US" w:eastAsia="zh-CN"/>
              </w:rPr>
            </w:pPr>
          </w:p>
        </w:tc>
      </w:tr>
      <w:tr w14:paraId="212667A7">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double" w:color="auto" w:sz="4" w:space="0"/>
              <w:right w:val="single" w:color="auto" w:sz="4" w:space="0"/>
            </w:tcBorders>
            <w:noWrap w:val="0"/>
            <w:vAlign w:val="center"/>
          </w:tcPr>
          <w:p w14:paraId="157DAC6A">
            <w:pPr>
              <w:ind w:right="23" w:rightChars="11"/>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项目负责人</w:t>
            </w:r>
          </w:p>
        </w:tc>
        <w:tc>
          <w:tcPr>
            <w:tcW w:w="6574" w:type="dxa"/>
            <w:gridSpan w:val="3"/>
            <w:tcBorders>
              <w:top w:val="single" w:color="auto" w:sz="4" w:space="0"/>
              <w:left w:val="single" w:color="auto" w:sz="4" w:space="0"/>
              <w:bottom w:val="double" w:color="auto" w:sz="4" w:space="0"/>
              <w:right w:val="double" w:color="auto" w:sz="4" w:space="0"/>
            </w:tcBorders>
            <w:noWrap w:val="0"/>
            <w:vAlign w:val="center"/>
          </w:tcPr>
          <w:p w14:paraId="69FDCC1F">
            <w:pPr>
              <w:ind w:right="23" w:rightChars="11"/>
              <w:jc w:val="center"/>
              <w:rPr>
                <w:rFonts w:hint="eastAsia" w:ascii="宋体" w:hAnsi="宋体" w:eastAsia="宋体" w:cs="宋体"/>
                <w:color w:val="auto"/>
                <w:szCs w:val="21"/>
                <w:highlight w:val="none"/>
              </w:rPr>
            </w:pPr>
          </w:p>
        </w:tc>
      </w:tr>
    </w:tbl>
    <w:p w14:paraId="2242D475">
      <w:pPr>
        <w:adjustRightInd w:val="0"/>
        <w:snapToGrid w:val="0"/>
        <w:spacing w:line="360" w:lineRule="auto"/>
        <w:rPr>
          <w:rFonts w:hint="eastAsia" w:ascii="宋体" w:hAnsi="宋体" w:eastAsia="宋体" w:cs="宋体"/>
          <w:color w:val="auto"/>
          <w:sz w:val="20"/>
          <w:szCs w:val="21"/>
          <w:highlight w:val="none"/>
        </w:rPr>
      </w:pPr>
    </w:p>
    <w:p w14:paraId="4E84C887">
      <w:pPr>
        <w:adjustRightInd w:val="0"/>
        <w:snapToGrid w:val="0"/>
        <w:spacing w:line="360" w:lineRule="auto"/>
        <w:rPr>
          <w:rFonts w:hint="eastAsia" w:ascii="宋体" w:hAnsi="宋体" w:eastAsia="宋体" w:cs="宋体"/>
          <w:color w:val="auto"/>
          <w:sz w:val="20"/>
          <w:szCs w:val="21"/>
          <w:highlight w:val="none"/>
        </w:rPr>
      </w:pPr>
    </w:p>
    <w:p w14:paraId="2E036285">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 w:val="20"/>
          <w:szCs w:val="21"/>
          <w:highlight w:val="none"/>
        </w:rPr>
        <w:t>说明：“品目代码”栏按《政府采购品目分类目录》规定填写，如B0303拆除工程。</w:t>
      </w:r>
    </w:p>
    <w:p w14:paraId="713372C5">
      <w:pPr>
        <w:adjustRightInd w:val="0"/>
        <w:snapToGrid w:val="0"/>
        <w:spacing w:line="360" w:lineRule="auto"/>
        <w:rPr>
          <w:rFonts w:hint="eastAsia" w:ascii="宋体" w:hAnsi="宋体" w:eastAsia="宋体" w:cs="宋体"/>
          <w:color w:val="auto"/>
          <w:szCs w:val="21"/>
          <w:highlight w:val="none"/>
        </w:rPr>
      </w:pPr>
    </w:p>
    <w:p w14:paraId="15C3D6E0">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供应商名称（盖单位公章）：</w:t>
      </w:r>
    </w:p>
    <w:p w14:paraId="7B062C6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或其授权的代理人（签字或印章）：</w:t>
      </w:r>
      <w:r>
        <w:rPr>
          <w:rFonts w:hint="eastAsia" w:ascii="宋体" w:hAnsi="宋体" w:eastAsia="宋体" w:cs="宋体"/>
          <w:color w:val="auto"/>
          <w:szCs w:val="21"/>
          <w:highlight w:val="none"/>
          <w:u w:val="single"/>
        </w:rPr>
        <w:t xml:space="preserve">                </w:t>
      </w:r>
    </w:p>
    <w:p w14:paraId="4E9AB2C0">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34FA3CEA">
      <w:pPr>
        <w:rPr>
          <w:rFonts w:hint="eastAsia" w:ascii="宋体" w:hAnsi="宋体" w:eastAsia="宋体" w:cs="宋体"/>
          <w:b/>
          <w:bCs/>
          <w:color w:val="auto"/>
          <w:highlight w:val="none"/>
          <w:lang w:eastAsia="zh-CN"/>
        </w:rPr>
      </w:pPr>
    </w:p>
    <w:p w14:paraId="657A6FC7">
      <w:pPr>
        <w:rPr>
          <w:rFonts w:hint="eastAsia" w:ascii="宋体" w:hAnsi="宋体" w:eastAsia="宋体" w:cs="宋体"/>
          <w:b/>
          <w:bCs/>
          <w:color w:val="auto"/>
          <w:highlight w:val="none"/>
          <w:lang w:eastAsia="zh-CN"/>
        </w:rPr>
      </w:pPr>
    </w:p>
    <w:p w14:paraId="4507857E">
      <w:pPr>
        <w:spacing w:line="360" w:lineRule="auto"/>
        <w:ind w:firstLine="182" w:firstLineChars="100"/>
        <w:rPr>
          <w:rFonts w:hint="eastAsia" w:ascii="宋体" w:hAnsi="宋体" w:eastAsia="宋体" w:cs="宋体"/>
          <w:color w:val="auto"/>
          <w:spacing w:val="-14"/>
          <w:szCs w:val="21"/>
          <w:highlight w:val="none"/>
        </w:rPr>
      </w:pPr>
    </w:p>
    <w:p w14:paraId="12F74AE9">
      <w:pPr>
        <w:pStyle w:val="62"/>
        <w:rPr>
          <w:rFonts w:hint="eastAsia" w:ascii="宋体" w:hAnsi="宋体" w:eastAsia="宋体" w:cs="宋体"/>
          <w:color w:val="auto"/>
          <w:szCs w:val="21"/>
          <w:highlight w:val="none"/>
        </w:rPr>
      </w:pPr>
    </w:p>
    <w:p w14:paraId="7F48922D">
      <w:pPr>
        <w:pStyle w:val="62"/>
        <w:ind w:left="0" w:leftChars="0" w:firstLine="0" w:firstLineChars="0"/>
        <w:rPr>
          <w:rFonts w:hint="eastAsia" w:ascii="宋体" w:hAnsi="宋体" w:eastAsia="宋体" w:cs="宋体"/>
          <w:color w:val="auto"/>
          <w:szCs w:val="21"/>
          <w:highlight w:val="none"/>
        </w:rPr>
      </w:pPr>
    </w:p>
    <w:p w14:paraId="5F915B28">
      <w:pPr>
        <w:pStyle w:val="62"/>
        <w:rPr>
          <w:rFonts w:hint="eastAsia" w:ascii="宋体" w:hAnsi="宋体" w:eastAsia="宋体" w:cs="宋体"/>
          <w:color w:val="auto"/>
          <w:szCs w:val="21"/>
          <w:highlight w:val="none"/>
        </w:rPr>
      </w:pPr>
    </w:p>
    <w:p w14:paraId="580B5F98">
      <w:pPr>
        <w:pStyle w:val="62"/>
        <w:rPr>
          <w:rFonts w:hint="eastAsia" w:ascii="宋体" w:hAnsi="宋体" w:eastAsia="宋体" w:cs="宋体"/>
          <w:color w:val="auto"/>
          <w:szCs w:val="21"/>
          <w:highlight w:val="none"/>
        </w:rPr>
      </w:pPr>
    </w:p>
    <w:p w14:paraId="3D3C9FC0">
      <w:pPr>
        <w:adjustRightInd w:val="0"/>
        <w:snapToGrid w:val="0"/>
        <w:spacing w:line="360" w:lineRule="auto"/>
        <w:ind w:left="-88" w:leftChars="-42" w:firstLine="527" w:firstLineChars="250"/>
        <w:rPr>
          <w:rFonts w:hint="eastAsia" w:ascii="宋体" w:hAnsi="宋体" w:eastAsia="宋体" w:cs="宋体"/>
          <w:color w:val="auto"/>
          <w:szCs w:val="21"/>
          <w:highlight w:val="none"/>
        </w:rPr>
      </w:pPr>
      <w:r>
        <w:rPr>
          <w:rFonts w:hint="eastAsia" w:ascii="宋体" w:hAnsi="宋体" w:eastAsia="宋体" w:cs="宋体"/>
          <w:b/>
          <w:bCs/>
          <w:color w:val="auto"/>
          <w:kern w:val="0"/>
          <w:szCs w:val="21"/>
          <w:highlight w:val="none"/>
          <w:lang w:val="en-US" w:eastAsia="zh-CN"/>
        </w:rPr>
        <w:t>说明</w:t>
      </w:r>
      <w:r>
        <w:rPr>
          <w:rFonts w:hint="eastAsia" w:ascii="宋体" w:hAnsi="宋体" w:eastAsia="宋体" w:cs="宋体"/>
          <w:b/>
          <w:bCs/>
          <w:color w:val="auto"/>
          <w:kern w:val="0"/>
          <w:szCs w:val="21"/>
          <w:highlight w:val="none"/>
        </w:rPr>
        <w:t>：最后报价</w:t>
      </w:r>
      <w:r>
        <w:rPr>
          <w:rFonts w:hint="eastAsia" w:ascii="宋体" w:hAnsi="宋体" w:eastAsia="宋体" w:cs="宋体"/>
          <w:b/>
          <w:bCs/>
          <w:color w:val="auto"/>
          <w:kern w:val="0"/>
          <w:szCs w:val="21"/>
          <w:highlight w:val="none"/>
          <w:lang w:val="en-US" w:eastAsia="zh-CN"/>
        </w:rPr>
        <w:t>相关内容和</w:t>
      </w:r>
      <w:r>
        <w:rPr>
          <w:rFonts w:hint="eastAsia" w:ascii="宋体" w:hAnsi="宋体" w:eastAsia="宋体" w:cs="宋体"/>
          <w:b/>
          <w:bCs/>
          <w:color w:val="auto"/>
          <w:kern w:val="0"/>
          <w:szCs w:val="21"/>
          <w:highlight w:val="none"/>
        </w:rPr>
        <w:t>表格不得装订在响应文件中，供应商需单独准备，谈判现场进行最后报价</w:t>
      </w:r>
      <w:r>
        <w:rPr>
          <w:rFonts w:hint="eastAsia" w:ascii="宋体" w:hAnsi="宋体" w:eastAsia="宋体" w:cs="宋体"/>
          <w:color w:val="auto"/>
          <w:kern w:val="0"/>
          <w:szCs w:val="21"/>
          <w:highlight w:val="none"/>
        </w:rPr>
        <w:t>。</w:t>
      </w:r>
    </w:p>
    <w:sectPr>
      <w:headerReference r:id="rId8" w:type="first"/>
      <w:headerReference r:id="rId6" w:type="default"/>
      <w:headerReference r:id="rId7" w:type="even"/>
      <w:footerReference r:id="rId9" w:type="even"/>
      <w:pgSz w:w="11906" w:h="16838"/>
      <w:pgMar w:top="1134" w:right="1417" w:bottom="1134" w:left="1417" w:header="851" w:footer="85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BE9BDA7-205A-4C8C-8EDC-D516D3EA1787}"/>
  </w:font>
  <w:font w:name="Arial">
    <w:panose1 w:val="020B0604020202020204"/>
    <w:charset w:val="01"/>
    <w:family w:val="swiss"/>
    <w:pitch w:val="default"/>
    <w:sig w:usb0="E0002EFF" w:usb1="C000785B" w:usb2="00000009" w:usb3="00000000" w:csb0="400001FF" w:csb1="FFFF0000"/>
    <w:embedRegular r:id="rId2" w:fontKey="{EFF1EFCE-630F-4CCF-B40A-4F58B7B171BB}"/>
  </w:font>
  <w:font w:name="黑体">
    <w:panose1 w:val="02010609060101010101"/>
    <w:charset w:val="86"/>
    <w:family w:val="auto"/>
    <w:pitch w:val="default"/>
    <w:sig w:usb0="800002BF" w:usb1="38CF7CFA" w:usb2="00000016" w:usb3="00000000" w:csb0="00040001" w:csb1="00000000"/>
    <w:embedRegular r:id="rId3" w:fontKey="{7DCD2A3C-1B8F-4A9E-A2C2-64928098A040}"/>
  </w:font>
  <w:font w:name="Courier New">
    <w:panose1 w:val="02070309020205020404"/>
    <w:charset w:val="01"/>
    <w:family w:val="modern"/>
    <w:pitch w:val="default"/>
    <w:sig w:usb0="E0002EFF" w:usb1="C0007843" w:usb2="00000009" w:usb3="00000000" w:csb0="400001FF" w:csb1="FFFF0000"/>
    <w:embedRegular r:id="rId4" w:fontKey="{C1CBB90A-4811-43F8-A7BE-03639ADB0A4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MS Sans Serif">
    <w:altName w:val="Courier New"/>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8" w:usb3="00000000" w:csb0="000001F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Wingdings 2">
    <w:altName w:val="Wingdings"/>
    <w:panose1 w:val="05020102010507070707"/>
    <w:charset w:val="02"/>
    <w:family w:val="auto"/>
    <w:pitch w:val="default"/>
    <w:sig w:usb0="00000000" w:usb1="00000000" w:usb2="00000000" w:usb3="00000000" w:csb0="80000000" w:csb1="00000000"/>
    <w:embedRegular r:id="rId5" w:fontKey="{9BC27513-80B0-415F-A4CF-83F0457B1556}"/>
  </w:font>
  <w:font w:name="汉仪书宋二KW">
    <w:altName w:val="宋体"/>
    <w:panose1 w:val="00000000000000000000"/>
    <w:charset w:val="00"/>
    <w:family w:val="auto"/>
    <w:pitch w:val="default"/>
    <w:sig w:usb0="00000000" w:usb1="00000000" w:usb2="00000000" w:usb3="00000000" w:csb0="00000000" w:csb1="00000000"/>
    <w:embedRegular r:id="rId6" w:fontKey="{B3EFD537-CB07-42B3-95CD-E134B4DABC72}"/>
  </w:font>
  <w:font w:name="MS Gothic">
    <w:panose1 w:val="020B0609070205080204"/>
    <w:charset w:val="86"/>
    <w:family w:val="auto"/>
    <w:pitch w:val="default"/>
    <w:sig w:usb0="E00002FF" w:usb1="6AC7FDFB" w:usb2="08000012" w:usb3="00000000" w:csb0="4002009F" w:csb1="DFD70000"/>
    <w:embedRegular r:id="rId7" w:fontKey="{98B65A58-D19C-402C-84CE-701B9220FC9F}"/>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A68E3">
    <w:pPr>
      <w:pStyle w:val="28"/>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48AB32">
                          <w:pPr>
                            <w:pStyle w:val="2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348AB32">
                    <w:pPr>
                      <w:pStyle w:val="28"/>
                    </w:pPr>
                    <w:r>
                      <w:fldChar w:fldCharType="begin"/>
                    </w:r>
                    <w:r>
                      <w:instrText xml:space="preserve"> PAGE  \* MERGEFORMAT </w:instrText>
                    </w:r>
                    <w:r>
                      <w:fldChar w:fldCharType="separate"/>
                    </w:r>
                    <w:r>
                      <w:t>2</w:t>
                    </w:r>
                    <w:r>
                      <w:fldChar w:fldCharType="end"/>
                    </w:r>
                  </w:p>
                </w:txbxContent>
              </v:textbox>
            </v:shape>
          </w:pict>
        </mc:Fallback>
      </mc:AlternateContent>
    </w:r>
  </w:p>
  <w:p w14:paraId="1268E08B">
    <w:pPr>
      <w:pStyle w:val="28"/>
      <w:ind w:right="24"/>
      <w:jc w:val="center"/>
      <w:rPr>
        <w:sz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383C6">
    <w:pPr>
      <w:widowControl/>
      <w:kinsoku w:val="0"/>
      <w:autoSpaceDE w:val="0"/>
      <w:autoSpaceDN w:val="0"/>
      <w:adjustRightInd w:val="0"/>
      <w:snapToGrid w:val="0"/>
      <w:spacing w:line="213" w:lineRule="auto"/>
      <w:ind w:left="36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2954FA">
                          <w:pPr>
                            <w:pStyle w:val="28"/>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A2954FA">
                    <w:pPr>
                      <w:pStyle w:val="28"/>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5B5D4">
    <w:pPr>
      <w:pStyle w:val="28"/>
      <w:framePr w:wrap="around" w:vAnchor="text" w:hAnchor="margin" w:xAlign="right" w:y="1"/>
      <w:rPr>
        <w:rStyle w:val="47"/>
      </w:rPr>
    </w:pPr>
    <w:r>
      <w:fldChar w:fldCharType="begin"/>
    </w:r>
    <w:r>
      <w:rPr>
        <w:rStyle w:val="47"/>
      </w:rPr>
      <w:instrText xml:space="preserve">PAGE  </w:instrText>
    </w:r>
    <w:r>
      <w:fldChar w:fldCharType="end"/>
    </w:r>
  </w:p>
  <w:p w14:paraId="23FC3E51">
    <w:pPr>
      <w:pStyle w:val="28"/>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9B0F6">
    <w:pPr>
      <w:pStyle w:val="29"/>
      <w:pBdr>
        <w:bottom w:val="none" w:color="auto" w:sz="0" w:space="1"/>
      </w:pBdr>
      <w:ind w:left="8100" w:hanging="8100" w:hangingChars="4500"/>
      <w:jc w:val="left"/>
      <w:rPr>
        <w:rFonts w:hint="default"/>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17E7D">
    <w:pPr>
      <w:pStyle w:val="29"/>
      <w:pBdr>
        <w:bottom w:val="none" w:color="auto" w:sz="0" w:space="1"/>
      </w:pBdr>
      <w:tabs>
        <w:tab w:val="left" w:pos="3278"/>
      </w:tabs>
      <w:jc w:val="left"/>
      <w:rPr>
        <w:rFonts w:hint="eastAsia" w:eastAsia="宋体"/>
        <w:lang w:eastAsia="zh-CN"/>
      </w:rPr>
    </w:pPr>
    <w:r>
      <w:rPr>
        <w:rFonts w:hint="eastAsia"/>
        <w:lang w:eastAsia="zh-CN"/>
      </w:rPr>
      <w:tab/>
    </w:r>
    <w:r>
      <w:rPr>
        <w:rFonts w:hint="eastAsia"/>
        <w:lang w:eastAsia="zh-CN"/>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041B5">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8AE80">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3DE86F"/>
    <w:multiLevelType w:val="singleLevel"/>
    <w:tmpl w:val="D83DE86F"/>
    <w:lvl w:ilvl="0" w:tentative="0">
      <w:start w:val="4"/>
      <w:numFmt w:val="chineseCounting"/>
      <w:suff w:val="nothing"/>
      <w:lvlText w:val="%1、"/>
      <w:lvlJc w:val="left"/>
      <w:rPr>
        <w:rFonts w:hint="eastAsia"/>
      </w:rPr>
    </w:lvl>
  </w:abstractNum>
  <w:abstractNum w:abstractNumId="1">
    <w:nsid w:val="00000033"/>
    <w:multiLevelType w:val="multilevel"/>
    <w:tmpl w:val="00000033"/>
    <w:lvl w:ilvl="0" w:tentative="0">
      <w:start w:val="1"/>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
    <w:nsid w:val="00000043"/>
    <w:multiLevelType w:val="multilevel"/>
    <w:tmpl w:val="00000043"/>
    <w:lvl w:ilvl="0" w:tentative="0">
      <w:start w:val="2"/>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b w:val="0"/>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
    <w:nsid w:val="0613246D"/>
    <w:multiLevelType w:val="multilevel"/>
    <w:tmpl w:val="0613246D"/>
    <w:lvl w:ilvl="0" w:tentative="0">
      <w:start w:val="1"/>
      <w:numFmt w:val="decimal"/>
      <w:lvlText w:val="%1. "/>
      <w:lvlJc w:val="left"/>
      <w:pPr>
        <w:tabs>
          <w:tab w:val="left" w:pos="0"/>
        </w:tabs>
        <w:ind w:left="0" w:firstLine="0"/>
      </w:pPr>
      <w:rPr>
        <w:rFonts w:hint="eastAsia" w:ascii="宋体" w:hAnsi="宋体" w:eastAsia="宋体"/>
        <w:b/>
        <w:sz w:val="24"/>
        <w:szCs w:val="24"/>
      </w:rPr>
    </w:lvl>
    <w:lvl w:ilvl="1" w:tentative="0">
      <w:start w:val="1"/>
      <w:numFmt w:val="decimal"/>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CFFD3F9"/>
    <w:multiLevelType w:val="singleLevel"/>
    <w:tmpl w:val="2CFFD3F9"/>
    <w:lvl w:ilvl="0" w:tentative="0">
      <w:start w:val="1"/>
      <w:numFmt w:val="chineseCounting"/>
      <w:suff w:val="space"/>
      <w:lvlText w:val="第%1节"/>
      <w:lvlJc w:val="left"/>
      <w:rPr>
        <w:rFonts w:hint="eastAsia"/>
      </w:rPr>
    </w:lvl>
  </w:abstractNum>
  <w:abstractNum w:abstractNumId="5">
    <w:nsid w:val="45D21466"/>
    <w:multiLevelType w:val="singleLevel"/>
    <w:tmpl w:val="45D21466"/>
    <w:lvl w:ilvl="0" w:tentative="0">
      <w:start w:val="1"/>
      <w:numFmt w:val="chineseCounting"/>
      <w:suff w:val="space"/>
      <w:lvlText w:val="第%1章"/>
      <w:lvlJc w:val="left"/>
      <w:rPr>
        <w:rFonts w:hint="eastAsia"/>
      </w:rPr>
    </w:lvl>
  </w:abstractNum>
  <w:abstractNum w:abstractNumId="6">
    <w:nsid w:val="56551428"/>
    <w:multiLevelType w:val="singleLevel"/>
    <w:tmpl w:val="56551428"/>
    <w:lvl w:ilvl="0" w:tentative="0">
      <w:start w:val="1"/>
      <w:numFmt w:val="decimal"/>
      <w:suff w:val="nothing"/>
      <w:lvlText w:val="（%1）"/>
      <w:lvlJc w:val="left"/>
    </w:lvl>
  </w:abstractNum>
  <w:abstractNum w:abstractNumId="7">
    <w:nsid w:val="61390DFD"/>
    <w:multiLevelType w:val="multilevel"/>
    <w:tmpl w:val="61390DFD"/>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66824A60"/>
    <w:multiLevelType w:val="singleLevel"/>
    <w:tmpl w:val="66824A60"/>
    <w:lvl w:ilvl="0" w:tentative="0">
      <w:start w:val="8"/>
      <w:numFmt w:val="chineseCounting"/>
      <w:suff w:val="nothing"/>
      <w:lvlText w:val="%1、"/>
      <w:lvlJc w:val="left"/>
      <w:rPr>
        <w:rFonts w:hint="eastAsia"/>
      </w:rPr>
    </w:lvl>
  </w:abstractNum>
  <w:abstractNum w:abstractNumId="9">
    <w:nsid w:val="76B95A5E"/>
    <w:multiLevelType w:val="multilevel"/>
    <w:tmpl w:val="76B95A5E"/>
    <w:lvl w:ilvl="0" w:tentative="0">
      <w:start w:val="1"/>
      <w:numFmt w:val="decimal"/>
      <w:lvlText w:val="%1. "/>
      <w:lvlJc w:val="left"/>
      <w:pPr>
        <w:tabs>
          <w:tab w:val="left" w:pos="0"/>
        </w:tabs>
        <w:ind w:left="0" w:firstLine="0"/>
      </w:pPr>
      <w:rPr>
        <w:rFonts w:hint="default" w:ascii="微软雅黑" w:hAnsi="微软雅黑" w:eastAsia="微软雅黑"/>
        <w:b w:val="0"/>
        <w:sz w:val="24"/>
        <w:szCs w:val="24"/>
      </w:rPr>
    </w:lvl>
    <w:lvl w:ilvl="1" w:tentative="0">
      <w:start w:val="1"/>
      <w:numFmt w:val="decimal"/>
      <w:lvlText w:val="表%2 "/>
      <w:lvlJc w:val="left"/>
      <w:pPr>
        <w:tabs>
          <w:tab w:val="left" w:pos="0"/>
        </w:tabs>
        <w:ind w:left="3570" w:firstLine="0"/>
      </w:pPr>
      <w:rPr>
        <w:rFonts w:hint="default"/>
        <w:b w:val="0"/>
        <w:sz w:val="21"/>
        <w:szCs w:val="21"/>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7A45A081"/>
    <w:multiLevelType w:val="singleLevel"/>
    <w:tmpl w:val="7A45A081"/>
    <w:lvl w:ilvl="0" w:tentative="0">
      <w:start w:val="1"/>
      <w:numFmt w:val="decimal"/>
      <w:lvlText w:val="%1."/>
      <w:lvlJc w:val="left"/>
      <w:pPr>
        <w:tabs>
          <w:tab w:val="left" w:pos="312"/>
        </w:tabs>
      </w:pPr>
    </w:lvl>
  </w:abstractNum>
  <w:num w:numId="1">
    <w:abstractNumId w:val="5"/>
  </w:num>
  <w:num w:numId="2">
    <w:abstractNumId w:val="7"/>
  </w:num>
  <w:num w:numId="3">
    <w:abstractNumId w:val="10"/>
  </w:num>
  <w:num w:numId="4">
    <w:abstractNumId w:val="3"/>
  </w:num>
  <w:num w:numId="5">
    <w:abstractNumId w:val="1"/>
  </w:num>
  <w:num w:numId="6">
    <w:abstractNumId w:val="2"/>
  </w:num>
  <w:num w:numId="7">
    <w:abstractNumId w:val="9"/>
  </w:num>
  <w:num w:numId="8">
    <w:abstractNumId w:val="6"/>
  </w:num>
  <w:num w:numId="9">
    <w:abstractNumId w:val="4"/>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lMzMwZDhmNWQwNTE4YjM4MGEyMmNlNWYxYTFjNmMifQ=="/>
  </w:docVars>
  <w:rsids>
    <w:rsidRoot w:val="00496D5A"/>
    <w:rsid w:val="000068E8"/>
    <w:rsid w:val="000156E2"/>
    <w:rsid w:val="00024344"/>
    <w:rsid w:val="00025986"/>
    <w:rsid w:val="00026B4C"/>
    <w:rsid w:val="00026FD7"/>
    <w:rsid w:val="00027406"/>
    <w:rsid w:val="0002779F"/>
    <w:rsid w:val="00027D5B"/>
    <w:rsid w:val="000313EC"/>
    <w:rsid w:val="00034641"/>
    <w:rsid w:val="00037E98"/>
    <w:rsid w:val="00040D86"/>
    <w:rsid w:val="000441C7"/>
    <w:rsid w:val="00051E2A"/>
    <w:rsid w:val="00053DE3"/>
    <w:rsid w:val="000543A5"/>
    <w:rsid w:val="0005545F"/>
    <w:rsid w:val="0005576E"/>
    <w:rsid w:val="00061270"/>
    <w:rsid w:val="000640EC"/>
    <w:rsid w:val="000641A5"/>
    <w:rsid w:val="000677F7"/>
    <w:rsid w:val="00074FCC"/>
    <w:rsid w:val="000818D8"/>
    <w:rsid w:val="00081FA6"/>
    <w:rsid w:val="00086A97"/>
    <w:rsid w:val="000952E7"/>
    <w:rsid w:val="000A106E"/>
    <w:rsid w:val="000A2941"/>
    <w:rsid w:val="000A3C67"/>
    <w:rsid w:val="000A3E58"/>
    <w:rsid w:val="000A453E"/>
    <w:rsid w:val="000A604E"/>
    <w:rsid w:val="000A6FEC"/>
    <w:rsid w:val="000B422C"/>
    <w:rsid w:val="000B6963"/>
    <w:rsid w:val="000C0D96"/>
    <w:rsid w:val="000C2B71"/>
    <w:rsid w:val="000C3661"/>
    <w:rsid w:val="000C5109"/>
    <w:rsid w:val="000C5BDA"/>
    <w:rsid w:val="000D5749"/>
    <w:rsid w:val="000D5DBD"/>
    <w:rsid w:val="000E0A9C"/>
    <w:rsid w:val="000E1E33"/>
    <w:rsid w:val="000E430C"/>
    <w:rsid w:val="000F23B9"/>
    <w:rsid w:val="00100878"/>
    <w:rsid w:val="00106CB3"/>
    <w:rsid w:val="00107232"/>
    <w:rsid w:val="0011494C"/>
    <w:rsid w:val="00124A24"/>
    <w:rsid w:val="001256EF"/>
    <w:rsid w:val="00127819"/>
    <w:rsid w:val="001324C6"/>
    <w:rsid w:val="001344E3"/>
    <w:rsid w:val="001364C1"/>
    <w:rsid w:val="001416D5"/>
    <w:rsid w:val="0014690F"/>
    <w:rsid w:val="00147E27"/>
    <w:rsid w:val="00154ED0"/>
    <w:rsid w:val="00160437"/>
    <w:rsid w:val="00161540"/>
    <w:rsid w:val="001652A3"/>
    <w:rsid w:val="00167D4D"/>
    <w:rsid w:val="00167E36"/>
    <w:rsid w:val="0017108F"/>
    <w:rsid w:val="00172007"/>
    <w:rsid w:val="00172683"/>
    <w:rsid w:val="00172AC1"/>
    <w:rsid w:val="00174093"/>
    <w:rsid w:val="00174AD2"/>
    <w:rsid w:val="0017639C"/>
    <w:rsid w:val="0018787D"/>
    <w:rsid w:val="00190F87"/>
    <w:rsid w:val="00194E27"/>
    <w:rsid w:val="00197DB3"/>
    <w:rsid w:val="001A0051"/>
    <w:rsid w:val="001A27C7"/>
    <w:rsid w:val="001B229F"/>
    <w:rsid w:val="001B56C9"/>
    <w:rsid w:val="001B6E2A"/>
    <w:rsid w:val="001B7F3D"/>
    <w:rsid w:val="001C30E6"/>
    <w:rsid w:val="001C598A"/>
    <w:rsid w:val="001C6863"/>
    <w:rsid w:val="001C7DB0"/>
    <w:rsid w:val="001C7EEC"/>
    <w:rsid w:val="001D1504"/>
    <w:rsid w:val="001D23F4"/>
    <w:rsid w:val="001D6192"/>
    <w:rsid w:val="001E0938"/>
    <w:rsid w:val="001E0AF2"/>
    <w:rsid w:val="001F0C84"/>
    <w:rsid w:val="001F16F1"/>
    <w:rsid w:val="001F3061"/>
    <w:rsid w:val="00200EA4"/>
    <w:rsid w:val="002017B9"/>
    <w:rsid w:val="002037B4"/>
    <w:rsid w:val="002037DB"/>
    <w:rsid w:val="00205190"/>
    <w:rsid w:val="002068C3"/>
    <w:rsid w:val="00206968"/>
    <w:rsid w:val="00206FCE"/>
    <w:rsid w:val="00207162"/>
    <w:rsid w:val="0021071E"/>
    <w:rsid w:val="00211C0E"/>
    <w:rsid w:val="002131F5"/>
    <w:rsid w:val="0021675C"/>
    <w:rsid w:val="002223E0"/>
    <w:rsid w:val="00223AAF"/>
    <w:rsid w:val="00226977"/>
    <w:rsid w:val="002270C6"/>
    <w:rsid w:val="0023455F"/>
    <w:rsid w:val="00234E98"/>
    <w:rsid w:val="002355BB"/>
    <w:rsid w:val="00242EFF"/>
    <w:rsid w:val="00243709"/>
    <w:rsid w:val="00245A92"/>
    <w:rsid w:val="002502DD"/>
    <w:rsid w:val="002516D9"/>
    <w:rsid w:val="00263CE9"/>
    <w:rsid w:val="00266E91"/>
    <w:rsid w:val="00275C72"/>
    <w:rsid w:val="00281493"/>
    <w:rsid w:val="00285665"/>
    <w:rsid w:val="002859F6"/>
    <w:rsid w:val="00290F35"/>
    <w:rsid w:val="00291C33"/>
    <w:rsid w:val="002942E2"/>
    <w:rsid w:val="00294C1C"/>
    <w:rsid w:val="00295E49"/>
    <w:rsid w:val="002A03CB"/>
    <w:rsid w:val="002A3811"/>
    <w:rsid w:val="002A41F5"/>
    <w:rsid w:val="002A6ED0"/>
    <w:rsid w:val="002B4521"/>
    <w:rsid w:val="002B5F66"/>
    <w:rsid w:val="002B7325"/>
    <w:rsid w:val="002C6F9E"/>
    <w:rsid w:val="002D54FC"/>
    <w:rsid w:val="002E2AB7"/>
    <w:rsid w:val="002E2BB7"/>
    <w:rsid w:val="002E356B"/>
    <w:rsid w:val="002E6042"/>
    <w:rsid w:val="002F0EFC"/>
    <w:rsid w:val="002F42D5"/>
    <w:rsid w:val="00301B5A"/>
    <w:rsid w:val="00301C35"/>
    <w:rsid w:val="00303D82"/>
    <w:rsid w:val="00306838"/>
    <w:rsid w:val="003072D6"/>
    <w:rsid w:val="00311078"/>
    <w:rsid w:val="003136E5"/>
    <w:rsid w:val="00313BC8"/>
    <w:rsid w:val="0031417B"/>
    <w:rsid w:val="00314A1F"/>
    <w:rsid w:val="00317CD3"/>
    <w:rsid w:val="00321C75"/>
    <w:rsid w:val="003303DC"/>
    <w:rsid w:val="00331A2E"/>
    <w:rsid w:val="00332937"/>
    <w:rsid w:val="003333D7"/>
    <w:rsid w:val="00333943"/>
    <w:rsid w:val="00340105"/>
    <w:rsid w:val="003412D4"/>
    <w:rsid w:val="00342089"/>
    <w:rsid w:val="0034572F"/>
    <w:rsid w:val="003469A3"/>
    <w:rsid w:val="003469E4"/>
    <w:rsid w:val="0035131B"/>
    <w:rsid w:val="0035182C"/>
    <w:rsid w:val="0035281C"/>
    <w:rsid w:val="0035331E"/>
    <w:rsid w:val="00354DFB"/>
    <w:rsid w:val="003610D2"/>
    <w:rsid w:val="0037058A"/>
    <w:rsid w:val="003718A4"/>
    <w:rsid w:val="00374E53"/>
    <w:rsid w:val="00376191"/>
    <w:rsid w:val="00391379"/>
    <w:rsid w:val="003914B4"/>
    <w:rsid w:val="00391A73"/>
    <w:rsid w:val="003948FD"/>
    <w:rsid w:val="003A3946"/>
    <w:rsid w:val="003A6117"/>
    <w:rsid w:val="003A6337"/>
    <w:rsid w:val="003B0AFE"/>
    <w:rsid w:val="003B1744"/>
    <w:rsid w:val="003B3B6E"/>
    <w:rsid w:val="003B6A76"/>
    <w:rsid w:val="003B780B"/>
    <w:rsid w:val="003C3A5C"/>
    <w:rsid w:val="003C3EAB"/>
    <w:rsid w:val="003C6100"/>
    <w:rsid w:val="003C7959"/>
    <w:rsid w:val="003D1521"/>
    <w:rsid w:val="003E1735"/>
    <w:rsid w:val="003E18E1"/>
    <w:rsid w:val="003E1EFA"/>
    <w:rsid w:val="003E476A"/>
    <w:rsid w:val="003E7B33"/>
    <w:rsid w:val="003F472F"/>
    <w:rsid w:val="003F4843"/>
    <w:rsid w:val="003F4E1C"/>
    <w:rsid w:val="003F6A20"/>
    <w:rsid w:val="003F7D02"/>
    <w:rsid w:val="004032B6"/>
    <w:rsid w:val="004056E1"/>
    <w:rsid w:val="00410033"/>
    <w:rsid w:val="0041158C"/>
    <w:rsid w:val="004117F0"/>
    <w:rsid w:val="00411C9F"/>
    <w:rsid w:val="00424C1B"/>
    <w:rsid w:val="00430191"/>
    <w:rsid w:val="00431725"/>
    <w:rsid w:val="00432850"/>
    <w:rsid w:val="004409B2"/>
    <w:rsid w:val="00441209"/>
    <w:rsid w:val="00461050"/>
    <w:rsid w:val="00467750"/>
    <w:rsid w:val="00470434"/>
    <w:rsid w:val="004836CC"/>
    <w:rsid w:val="00483D0A"/>
    <w:rsid w:val="00485D13"/>
    <w:rsid w:val="0048677F"/>
    <w:rsid w:val="0049529F"/>
    <w:rsid w:val="00496D5A"/>
    <w:rsid w:val="004A0502"/>
    <w:rsid w:val="004A5608"/>
    <w:rsid w:val="004A7B3D"/>
    <w:rsid w:val="004B706A"/>
    <w:rsid w:val="004B7380"/>
    <w:rsid w:val="004C1041"/>
    <w:rsid w:val="004C3E5A"/>
    <w:rsid w:val="004C3F73"/>
    <w:rsid w:val="004D1DC5"/>
    <w:rsid w:val="004D7496"/>
    <w:rsid w:val="004F118B"/>
    <w:rsid w:val="004F46DF"/>
    <w:rsid w:val="00504192"/>
    <w:rsid w:val="00504385"/>
    <w:rsid w:val="00510AFD"/>
    <w:rsid w:val="00515059"/>
    <w:rsid w:val="00522A24"/>
    <w:rsid w:val="0052705B"/>
    <w:rsid w:val="005277A2"/>
    <w:rsid w:val="00530025"/>
    <w:rsid w:val="00531F5A"/>
    <w:rsid w:val="005325DA"/>
    <w:rsid w:val="005327B1"/>
    <w:rsid w:val="00533709"/>
    <w:rsid w:val="00546417"/>
    <w:rsid w:val="005465D5"/>
    <w:rsid w:val="00550A9E"/>
    <w:rsid w:val="00550DB2"/>
    <w:rsid w:val="00553640"/>
    <w:rsid w:val="00554044"/>
    <w:rsid w:val="00554C89"/>
    <w:rsid w:val="005553D2"/>
    <w:rsid w:val="0056199A"/>
    <w:rsid w:val="00563F1D"/>
    <w:rsid w:val="00566DDF"/>
    <w:rsid w:val="00575F19"/>
    <w:rsid w:val="005770DF"/>
    <w:rsid w:val="00582329"/>
    <w:rsid w:val="00583097"/>
    <w:rsid w:val="00586507"/>
    <w:rsid w:val="00596362"/>
    <w:rsid w:val="00596918"/>
    <w:rsid w:val="005A22A2"/>
    <w:rsid w:val="005A2A0F"/>
    <w:rsid w:val="005A30B0"/>
    <w:rsid w:val="005A3897"/>
    <w:rsid w:val="005A3DAE"/>
    <w:rsid w:val="005B1A4E"/>
    <w:rsid w:val="005B38E7"/>
    <w:rsid w:val="005B6E25"/>
    <w:rsid w:val="005C02DC"/>
    <w:rsid w:val="005C23A1"/>
    <w:rsid w:val="005D3F38"/>
    <w:rsid w:val="005D7ECA"/>
    <w:rsid w:val="005F23F3"/>
    <w:rsid w:val="005F5575"/>
    <w:rsid w:val="00601F43"/>
    <w:rsid w:val="00604017"/>
    <w:rsid w:val="00604E9B"/>
    <w:rsid w:val="00605A59"/>
    <w:rsid w:val="00612E59"/>
    <w:rsid w:val="00615D25"/>
    <w:rsid w:val="00621D98"/>
    <w:rsid w:val="00621E4F"/>
    <w:rsid w:val="006246A7"/>
    <w:rsid w:val="0063170F"/>
    <w:rsid w:val="006328FF"/>
    <w:rsid w:val="00633421"/>
    <w:rsid w:val="006342B2"/>
    <w:rsid w:val="0063686A"/>
    <w:rsid w:val="00636A24"/>
    <w:rsid w:val="0064250B"/>
    <w:rsid w:val="00644B32"/>
    <w:rsid w:val="00645991"/>
    <w:rsid w:val="00650AFD"/>
    <w:rsid w:val="0065196E"/>
    <w:rsid w:val="00654F84"/>
    <w:rsid w:val="006564CF"/>
    <w:rsid w:val="00657A04"/>
    <w:rsid w:val="00657A60"/>
    <w:rsid w:val="00657D26"/>
    <w:rsid w:val="00660C14"/>
    <w:rsid w:val="00661880"/>
    <w:rsid w:val="006627D5"/>
    <w:rsid w:val="00672F09"/>
    <w:rsid w:val="00673AC8"/>
    <w:rsid w:val="006751BE"/>
    <w:rsid w:val="00677930"/>
    <w:rsid w:val="006814A3"/>
    <w:rsid w:val="006825DC"/>
    <w:rsid w:val="00682EB1"/>
    <w:rsid w:val="00687880"/>
    <w:rsid w:val="00687C90"/>
    <w:rsid w:val="006931C3"/>
    <w:rsid w:val="00693615"/>
    <w:rsid w:val="00693CB4"/>
    <w:rsid w:val="00695533"/>
    <w:rsid w:val="006956F6"/>
    <w:rsid w:val="006A1FCD"/>
    <w:rsid w:val="006A4B81"/>
    <w:rsid w:val="006A4B90"/>
    <w:rsid w:val="006B0A67"/>
    <w:rsid w:val="006B1413"/>
    <w:rsid w:val="006B3C60"/>
    <w:rsid w:val="006B44F2"/>
    <w:rsid w:val="006C1E31"/>
    <w:rsid w:val="006C5BCC"/>
    <w:rsid w:val="006C6DB0"/>
    <w:rsid w:val="006D1534"/>
    <w:rsid w:val="006D2B6F"/>
    <w:rsid w:val="006D7616"/>
    <w:rsid w:val="006E5B3A"/>
    <w:rsid w:val="006E7389"/>
    <w:rsid w:val="006F1452"/>
    <w:rsid w:val="006F6654"/>
    <w:rsid w:val="00705812"/>
    <w:rsid w:val="00710092"/>
    <w:rsid w:val="0071222D"/>
    <w:rsid w:val="007145A9"/>
    <w:rsid w:val="007145D1"/>
    <w:rsid w:val="007145DE"/>
    <w:rsid w:val="00715886"/>
    <w:rsid w:val="00717D50"/>
    <w:rsid w:val="007219A5"/>
    <w:rsid w:val="0072365F"/>
    <w:rsid w:val="00725169"/>
    <w:rsid w:val="007251E1"/>
    <w:rsid w:val="00725B82"/>
    <w:rsid w:val="0073041D"/>
    <w:rsid w:val="007352B2"/>
    <w:rsid w:val="007410F1"/>
    <w:rsid w:val="00741768"/>
    <w:rsid w:val="00742EE2"/>
    <w:rsid w:val="0074301E"/>
    <w:rsid w:val="00743BF5"/>
    <w:rsid w:val="00745F3E"/>
    <w:rsid w:val="0075074F"/>
    <w:rsid w:val="00752992"/>
    <w:rsid w:val="00752E7E"/>
    <w:rsid w:val="00754BFA"/>
    <w:rsid w:val="00754D46"/>
    <w:rsid w:val="007576C6"/>
    <w:rsid w:val="00761A98"/>
    <w:rsid w:val="00761C2B"/>
    <w:rsid w:val="007629E5"/>
    <w:rsid w:val="00763F0D"/>
    <w:rsid w:val="00767A67"/>
    <w:rsid w:val="0077024A"/>
    <w:rsid w:val="007708C1"/>
    <w:rsid w:val="00771233"/>
    <w:rsid w:val="007749B5"/>
    <w:rsid w:val="00776B96"/>
    <w:rsid w:val="007856CC"/>
    <w:rsid w:val="00786EE8"/>
    <w:rsid w:val="007874A1"/>
    <w:rsid w:val="007933A4"/>
    <w:rsid w:val="00793F05"/>
    <w:rsid w:val="007940D5"/>
    <w:rsid w:val="00794207"/>
    <w:rsid w:val="007970D6"/>
    <w:rsid w:val="007A06A8"/>
    <w:rsid w:val="007A2780"/>
    <w:rsid w:val="007A49E7"/>
    <w:rsid w:val="007A6607"/>
    <w:rsid w:val="007A6E15"/>
    <w:rsid w:val="007A780F"/>
    <w:rsid w:val="007B0B37"/>
    <w:rsid w:val="007B11B1"/>
    <w:rsid w:val="007C01D7"/>
    <w:rsid w:val="007C0604"/>
    <w:rsid w:val="007C0A90"/>
    <w:rsid w:val="007C504D"/>
    <w:rsid w:val="007D3370"/>
    <w:rsid w:val="007D5CFE"/>
    <w:rsid w:val="007D6AEC"/>
    <w:rsid w:val="007E077B"/>
    <w:rsid w:val="007E397C"/>
    <w:rsid w:val="007E5C36"/>
    <w:rsid w:val="007E6419"/>
    <w:rsid w:val="007E6442"/>
    <w:rsid w:val="007E72DD"/>
    <w:rsid w:val="007F34A8"/>
    <w:rsid w:val="007F769F"/>
    <w:rsid w:val="00800C3F"/>
    <w:rsid w:val="00801BA0"/>
    <w:rsid w:val="00803C70"/>
    <w:rsid w:val="00805DF3"/>
    <w:rsid w:val="00805FC3"/>
    <w:rsid w:val="00807CE3"/>
    <w:rsid w:val="008109A2"/>
    <w:rsid w:val="00814BE3"/>
    <w:rsid w:val="00817C22"/>
    <w:rsid w:val="00820B50"/>
    <w:rsid w:val="008262E8"/>
    <w:rsid w:val="00833F9F"/>
    <w:rsid w:val="008358F5"/>
    <w:rsid w:val="00842ACB"/>
    <w:rsid w:val="00845C9E"/>
    <w:rsid w:val="0084709D"/>
    <w:rsid w:val="008471EF"/>
    <w:rsid w:val="008572CB"/>
    <w:rsid w:val="00861C90"/>
    <w:rsid w:val="00862398"/>
    <w:rsid w:val="008632AC"/>
    <w:rsid w:val="008708E7"/>
    <w:rsid w:val="00870E11"/>
    <w:rsid w:val="008717C0"/>
    <w:rsid w:val="00880173"/>
    <w:rsid w:val="008827A6"/>
    <w:rsid w:val="008842E6"/>
    <w:rsid w:val="00887271"/>
    <w:rsid w:val="00892124"/>
    <w:rsid w:val="00893F57"/>
    <w:rsid w:val="00894431"/>
    <w:rsid w:val="00895459"/>
    <w:rsid w:val="00897135"/>
    <w:rsid w:val="008A393D"/>
    <w:rsid w:val="008A4DF5"/>
    <w:rsid w:val="008A5693"/>
    <w:rsid w:val="008A7CC6"/>
    <w:rsid w:val="008B6DC9"/>
    <w:rsid w:val="008C1F03"/>
    <w:rsid w:val="008C4CBB"/>
    <w:rsid w:val="008C53E1"/>
    <w:rsid w:val="008C594B"/>
    <w:rsid w:val="008D0766"/>
    <w:rsid w:val="008D4FD6"/>
    <w:rsid w:val="008E0FD8"/>
    <w:rsid w:val="008E5CC4"/>
    <w:rsid w:val="008F07F0"/>
    <w:rsid w:val="008F0AD3"/>
    <w:rsid w:val="008F4153"/>
    <w:rsid w:val="008F588B"/>
    <w:rsid w:val="009023F0"/>
    <w:rsid w:val="00902444"/>
    <w:rsid w:val="00905608"/>
    <w:rsid w:val="00907F19"/>
    <w:rsid w:val="00910209"/>
    <w:rsid w:val="009115DA"/>
    <w:rsid w:val="00914B0C"/>
    <w:rsid w:val="0091715B"/>
    <w:rsid w:val="009214D1"/>
    <w:rsid w:val="00925C23"/>
    <w:rsid w:val="00927AE0"/>
    <w:rsid w:val="00930BEB"/>
    <w:rsid w:val="00935D10"/>
    <w:rsid w:val="00945FD8"/>
    <w:rsid w:val="00951516"/>
    <w:rsid w:val="009523FD"/>
    <w:rsid w:val="009532D2"/>
    <w:rsid w:val="00955E56"/>
    <w:rsid w:val="009562F0"/>
    <w:rsid w:val="00956526"/>
    <w:rsid w:val="00956A8A"/>
    <w:rsid w:val="00957320"/>
    <w:rsid w:val="0096673F"/>
    <w:rsid w:val="00976258"/>
    <w:rsid w:val="00981256"/>
    <w:rsid w:val="00981E41"/>
    <w:rsid w:val="00984D12"/>
    <w:rsid w:val="009864CB"/>
    <w:rsid w:val="009874F9"/>
    <w:rsid w:val="00990C90"/>
    <w:rsid w:val="009914BD"/>
    <w:rsid w:val="0099340D"/>
    <w:rsid w:val="009A09AA"/>
    <w:rsid w:val="009A13E7"/>
    <w:rsid w:val="009A5828"/>
    <w:rsid w:val="009A590C"/>
    <w:rsid w:val="009A5BF8"/>
    <w:rsid w:val="009A7277"/>
    <w:rsid w:val="009A751B"/>
    <w:rsid w:val="009B0B87"/>
    <w:rsid w:val="009B1053"/>
    <w:rsid w:val="009B1107"/>
    <w:rsid w:val="009B129A"/>
    <w:rsid w:val="009B4D48"/>
    <w:rsid w:val="009B630B"/>
    <w:rsid w:val="009C0915"/>
    <w:rsid w:val="009C1C6C"/>
    <w:rsid w:val="009C2C09"/>
    <w:rsid w:val="009C50E0"/>
    <w:rsid w:val="009D52D1"/>
    <w:rsid w:val="009E51AA"/>
    <w:rsid w:val="009F2A1B"/>
    <w:rsid w:val="009F2B85"/>
    <w:rsid w:val="009F3049"/>
    <w:rsid w:val="009F588C"/>
    <w:rsid w:val="009F6488"/>
    <w:rsid w:val="009F64B9"/>
    <w:rsid w:val="00A026F0"/>
    <w:rsid w:val="00A125C0"/>
    <w:rsid w:val="00A16084"/>
    <w:rsid w:val="00A2224E"/>
    <w:rsid w:val="00A23A01"/>
    <w:rsid w:val="00A27EAB"/>
    <w:rsid w:val="00A316DA"/>
    <w:rsid w:val="00A332E1"/>
    <w:rsid w:val="00A375C1"/>
    <w:rsid w:val="00A40014"/>
    <w:rsid w:val="00A40CB1"/>
    <w:rsid w:val="00A410E0"/>
    <w:rsid w:val="00A415A6"/>
    <w:rsid w:val="00A42E55"/>
    <w:rsid w:val="00A4405F"/>
    <w:rsid w:val="00A4454A"/>
    <w:rsid w:val="00A44C72"/>
    <w:rsid w:val="00A4677E"/>
    <w:rsid w:val="00A47F15"/>
    <w:rsid w:val="00A62BE8"/>
    <w:rsid w:val="00A64DD9"/>
    <w:rsid w:val="00A72A46"/>
    <w:rsid w:val="00A72AC3"/>
    <w:rsid w:val="00A73333"/>
    <w:rsid w:val="00A74A2F"/>
    <w:rsid w:val="00A84EB2"/>
    <w:rsid w:val="00A91454"/>
    <w:rsid w:val="00A952D4"/>
    <w:rsid w:val="00A97BF2"/>
    <w:rsid w:val="00AA1061"/>
    <w:rsid w:val="00AA232A"/>
    <w:rsid w:val="00AA3B30"/>
    <w:rsid w:val="00AA5262"/>
    <w:rsid w:val="00AA5C6A"/>
    <w:rsid w:val="00AB10B3"/>
    <w:rsid w:val="00AB22F3"/>
    <w:rsid w:val="00AB2BAE"/>
    <w:rsid w:val="00AB2C4F"/>
    <w:rsid w:val="00AB6907"/>
    <w:rsid w:val="00AB7D38"/>
    <w:rsid w:val="00AC06D6"/>
    <w:rsid w:val="00AC3E7C"/>
    <w:rsid w:val="00AC542B"/>
    <w:rsid w:val="00AC7D43"/>
    <w:rsid w:val="00AC7D59"/>
    <w:rsid w:val="00AD0E2F"/>
    <w:rsid w:val="00AD7E06"/>
    <w:rsid w:val="00AE77E6"/>
    <w:rsid w:val="00AE7FA6"/>
    <w:rsid w:val="00AF1EBD"/>
    <w:rsid w:val="00AF4888"/>
    <w:rsid w:val="00B02AF2"/>
    <w:rsid w:val="00B04FE9"/>
    <w:rsid w:val="00B10E7A"/>
    <w:rsid w:val="00B11E3E"/>
    <w:rsid w:val="00B14BD2"/>
    <w:rsid w:val="00B15ACE"/>
    <w:rsid w:val="00B17CED"/>
    <w:rsid w:val="00B2386B"/>
    <w:rsid w:val="00B2517F"/>
    <w:rsid w:val="00B26B9C"/>
    <w:rsid w:val="00B273FE"/>
    <w:rsid w:val="00B27FE7"/>
    <w:rsid w:val="00B3052D"/>
    <w:rsid w:val="00B308C9"/>
    <w:rsid w:val="00B30C84"/>
    <w:rsid w:val="00B3336F"/>
    <w:rsid w:val="00B34456"/>
    <w:rsid w:val="00B369DC"/>
    <w:rsid w:val="00B40087"/>
    <w:rsid w:val="00B428A4"/>
    <w:rsid w:val="00B53B0C"/>
    <w:rsid w:val="00B57BDF"/>
    <w:rsid w:val="00B627D0"/>
    <w:rsid w:val="00B63832"/>
    <w:rsid w:val="00B728A0"/>
    <w:rsid w:val="00B812C2"/>
    <w:rsid w:val="00B82290"/>
    <w:rsid w:val="00B841F8"/>
    <w:rsid w:val="00B91680"/>
    <w:rsid w:val="00B93134"/>
    <w:rsid w:val="00BA0304"/>
    <w:rsid w:val="00BA4F58"/>
    <w:rsid w:val="00BB06BC"/>
    <w:rsid w:val="00BB1202"/>
    <w:rsid w:val="00BB3D55"/>
    <w:rsid w:val="00BB403C"/>
    <w:rsid w:val="00BB4140"/>
    <w:rsid w:val="00BB4701"/>
    <w:rsid w:val="00BB75B7"/>
    <w:rsid w:val="00BC0183"/>
    <w:rsid w:val="00BC21EC"/>
    <w:rsid w:val="00BC5086"/>
    <w:rsid w:val="00BC55C8"/>
    <w:rsid w:val="00BC55F7"/>
    <w:rsid w:val="00BC6FB5"/>
    <w:rsid w:val="00BD4483"/>
    <w:rsid w:val="00BD4AA2"/>
    <w:rsid w:val="00BD4E66"/>
    <w:rsid w:val="00BD6233"/>
    <w:rsid w:val="00BD79AE"/>
    <w:rsid w:val="00BE2D5E"/>
    <w:rsid w:val="00BE3D6A"/>
    <w:rsid w:val="00BE6A95"/>
    <w:rsid w:val="00BE6F2A"/>
    <w:rsid w:val="00BE7979"/>
    <w:rsid w:val="00BF2EA9"/>
    <w:rsid w:val="00C0044D"/>
    <w:rsid w:val="00C039C9"/>
    <w:rsid w:val="00C060F5"/>
    <w:rsid w:val="00C1377A"/>
    <w:rsid w:val="00C13B20"/>
    <w:rsid w:val="00C15122"/>
    <w:rsid w:val="00C21AFB"/>
    <w:rsid w:val="00C2392D"/>
    <w:rsid w:val="00C25F04"/>
    <w:rsid w:val="00C260B7"/>
    <w:rsid w:val="00C3002C"/>
    <w:rsid w:val="00C320A5"/>
    <w:rsid w:val="00C41F91"/>
    <w:rsid w:val="00C42477"/>
    <w:rsid w:val="00C46297"/>
    <w:rsid w:val="00C5223A"/>
    <w:rsid w:val="00C522DF"/>
    <w:rsid w:val="00C56C51"/>
    <w:rsid w:val="00C57C3C"/>
    <w:rsid w:val="00C61250"/>
    <w:rsid w:val="00C62431"/>
    <w:rsid w:val="00C65B62"/>
    <w:rsid w:val="00C66167"/>
    <w:rsid w:val="00C6653B"/>
    <w:rsid w:val="00C73D60"/>
    <w:rsid w:val="00C7679B"/>
    <w:rsid w:val="00C778B3"/>
    <w:rsid w:val="00C81ABB"/>
    <w:rsid w:val="00C8357E"/>
    <w:rsid w:val="00C852BE"/>
    <w:rsid w:val="00C929EB"/>
    <w:rsid w:val="00CA1109"/>
    <w:rsid w:val="00CA41FC"/>
    <w:rsid w:val="00CA455D"/>
    <w:rsid w:val="00CA46B8"/>
    <w:rsid w:val="00CA7EEA"/>
    <w:rsid w:val="00CB06A6"/>
    <w:rsid w:val="00CB46B9"/>
    <w:rsid w:val="00CB51C9"/>
    <w:rsid w:val="00CC248F"/>
    <w:rsid w:val="00CC315C"/>
    <w:rsid w:val="00CC3BE6"/>
    <w:rsid w:val="00CC4D47"/>
    <w:rsid w:val="00CD0C6E"/>
    <w:rsid w:val="00CD0E59"/>
    <w:rsid w:val="00CD4674"/>
    <w:rsid w:val="00CE14C1"/>
    <w:rsid w:val="00CF08CA"/>
    <w:rsid w:val="00CF349B"/>
    <w:rsid w:val="00CF6AD7"/>
    <w:rsid w:val="00D013F6"/>
    <w:rsid w:val="00D01C2F"/>
    <w:rsid w:val="00D05F96"/>
    <w:rsid w:val="00D06BB5"/>
    <w:rsid w:val="00D11DC2"/>
    <w:rsid w:val="00D13454"/>
    <w:rsid w:val="00D208D1"/>
    <w:rsid w:val="00D20F37"/>
    <w:rsid w:val="00D23CD8"/>
    <w:rsid w:val="00D24208"/>
    <w:rsid w:val="00D25042"/>
    <w:rsid w:val="00D32593"/>
    <w:rsid w:val="00D34CCA"/>
    <w:rsid w:val="00D352E7"/>
    <w:rsid w:val="00D363F3"/>
    <w:rsid w:val="00D4038E"/>
    <w:rsid w:val="00D45DB2"/>
    <w:rsid w:val="00D47185"/>
    <w:rsid w:val="00D501B5"/>
    <w:rsid w:val="00D51F5C"/>
    <w:rsid w:val="00D57AE7"/>
    <w:rsid w:val="00D64D31"/>
    <w:rsid w:val="00D65F4C"/>
    <w:rsid w:val="00D660DE"/>
    <w:rsid w:val="00D67805"/>
    <w:rsid w:val="00D72DDF"/>
    <w:rsid w:val="00D734A0"/>
    <w:rsid w:val="00D739BE"/>
    <w:rsid w:val="00D7480B"/>
    <w:rsid w:val="00D8155D"/>
    <w:rsid w:val="00D81E99"/>
    <w:rsid w:val="00D87130"/>
    <w:rsid w:val="00D90BFB"/>
    <w:rsid w:val="00D9716C"/>
    <w:rsid w:val="00D972AE"/>
    <w:rsid w:val="00D97374"/>
    <w:rsid w:val="00D97FB8"/>
    <w:rsid w:val="00DA5406"/>
    <w:rsid w:val="00DA5ED4"/>
    <w:rsid w:val="00DA7B2B"/>
    <w:rsid w:val="00DB4C1C"/>
    <w:rsid w:val="00DB4FC9"/>
    <w:rsid w:val="00DB591E"/>
    <w:rsid w:val="00DC2539"/>
    <w:rsid w:val="00DC35CA"/>
    <w:rsid w:val="00DC3616"/>
    <w:rsid w:val="00DC3754"/>
    <w:rsid w:val="00DC4295"/>
    <w:rsid w:val="00DC448F"/>
    <w:rsid w:val="00DC5D3F"/>
    <w:rsid w:val="00DC612D"/>
    <w:rsid w:val="00DD07D9"/>
    <w:rsid w:val="00DD2ACC"/>
    <w:rsid w:val="00DD534A"/>
    <w:rsid w:val="00DD71E2"/>
    <w:rsid w:val="00DD7982"/>
    <w:rsid w:val="00DE2A57"/>
    <w:rsid w:val="00DE3DE8"/>
    <w:rsid w:val="00DE70C9"/>
    <w:rsid w:val="00DF1A93"/>
    <w:rsid w:val="00DF6442"/>
    <w:rsid w:val="00E01D63"/>
    <w:rsid w:val="00E07309"/>
    <w:rsid w:val="00E11B41"/>
    <w:rsid w:val="00E15F46"/>
    <w:rsid w:val="00E237A4"/>
    <w:rsid w:val="00E23F30"/>
    <w:rsid w:val="00E2441B"/>
    <w:rsid w:val="00E25A4D"/>
    <w:rsid w:val="00E266D6"/>
    <w:rsid w:val="00E30E6B"/>
    <w:rsid w:val="00E33411"/>
    <w:rsid w:val="00E3428B"/>
    <w:rsid w:val="00E407B4"/>
    <w:rsid w:val="00E408B8"/>
    <w:rsid w:val="00E429CE"/>
    <w:rsid w:val="00E4489A"/>
    <w:rsid w:val="00E4608F"/>
    <w:rsid w:val="00E46FE9"/>
    <w:rsid w:val="00E50550"/>
    <w:rsid w:val="00E60190"/>
    <w:rsid w:val="00E6289C"/>
    <w:rsid w:val="00E71D13"/>
    <w:rsid w:val="00E74ECA"/>
    <w:rsid w:val="00E7529D"/>
    <w:rsid w:val="00E75528"/>
    <w:rsid w:val="00E80736"/>
    <w:rsid w:val="00E8117D"/>
    <w:rsid w:val="00E8777E"/>
    <w:rsid w:val="00E95E80"/>
    <w:rsid w:val="00E96097"/>
    <w:rsid w:val="00EA3A50"/>
    <w:rsid w:val="00EA48AD"/>
    <w:rsid w:val="00EA5F90"/>
    <w:rsid w:val="00EA7928"/>
    <w:rsid w:val="00EB6998"/>
    <w:rsid w:val="00EB6A3C"/>
    <w:rsid w:val="00EC73E2"/>
    <w:rsid w:val="00ED0F8F"/>
    <w:rsid w:val="00ED3E23"/>
    <w:rsid w:val="00ED559C"/>
    <w:rsid w:val="00EE04A0"/>
    <w:rsid w:val="00EE1CAC"/>
    <w:rsid w:val="00EE48CF"/>
    <w:rsid w:val="00EE5FF0"/>
    <w:rsid w:val="00EE6864"/>
    <w:rsid w:val="00EF0DCF"/>
    <w:rsid w:val="00EF3179"/>
    <w:rsid w:val="00EF606B"/>
    <w:rsid w:val="00EF7950"/>
    <w:rsid w:val="00F008A6"/>
    <w:rsid w:val="00F076A2"/>
    <w:rsid w:val="00F11A54"/>
    <w:rsid w:val="00F12723"/>
    <w:rsid w:val="00F146A1"/>
    <w:rsid w:val="00F156A1"/>
    <w:rsid w:val="00F1649F"/>
    <w:rsid w:val="00F1654C"/>
    <w:rsid w:val="00F2096E"/>
    <w:rsid w:val="00F20AF0"/>
    <w:rsid w:val="00F22952"/>
    <w:rsid w:val="00F22CF7"/>
    <w:rsid w:val="00F24C96"/>
    <w:rsid w:val="00F25C03"/>
    <w:rsid w:val="00F27C91"/>
    <w:rsid w:val="00F326F1"/>
    <w:rsid w:val="00F32D01"/>
    <w:rsid w:val="00F3430B"/>
    <w:rsid w:val="00F40707"/>
    <w:rsid w:val="00F4072F"/>
    <w:rsid w:val="00F4215A"/>
    <w:rsid w:val="00F4629B"/>
    <w:rsid w:val="00F51F40"/>
    <w:rsid w:val="00F52E4A"/>
    <w:rsid w:val="00F54636"/>
    <w:rsid w:val="00F57737"/>
    <w:rsid w:val="00F57B52"/>
    <w:rsid w:val="00F620DD"/>
    <w:rsid w:val="00F669B6"/>
    <w:rsid w:val="00F70AAC"/>
    <w:rsid w:val="00F70C65"/>
    <w:rsid w:val="00F71C06"/>
    <w:rsid w:val="00F724DF"/>
    <w:rsid w:val="00F735A7"/>
    <w:rsid w:val="00F75F80"/>
    <w:rsid w:val="00F81A03"/>
    <w:rsid w:val="00F836B7"/>
    <w:rsid w:val="00F85688"/>
    <w:rsid w:val="00F857EE"/>
    <w:rsid w:val="00F85CEC"/>
    <w:rsid w:val="00F865E9"/>
    <w:rsid w:val="00F901DE"/>
    <w:rsid w:val="00F902AA"/>
    <w:rsid w:val="00F942F9"/>
    <w:rsid w:val="00FA1877"/>
    <w:rsid w:val="00FA1DC0"/>
    <w:rsid w:val="00FA45F3"/>
    <w:rsid w:val="00FA58BB"/>
    <w:rsid w:val="00FB3A4E"/>
    <w:rsid w:val="00FB747D"/>
    <w:rsid w:val="00FB7B9F"/>
    <w:rsid w:val="00FC6B39"/>
    <w:rsid w:val="00FD04F4"/>
    <w:rsid w:val="00FD4F72"/>
    <w:rsid w:val="00FE05AD"/>
    <w:rsid w:val="00FE0768"/>
    <w:rsid w:val="00FE0EE8"/>
    <w:rsid w:val="00FE1CF8"/>
    <w:rsid w:val="00FE2A2C"/>
    <w:rsid w:val="00FE397A"/>
    <w:rsid w:val="00FE7F23"/>
    <w:rsid w:val="00FF56B6"/>
    <w:rsid w:val="01020978"/>
    <w:rsid w:val="010F7FF3"/>
    <w:rsid w:val="01207B0A"/>
    <w:rsid w:val="01214A40"/>
    <w:rsid w:val="01552D48"/>
    <w:rsid w:val="015E74E9"/>
    <w:rsid w:val="01967670"/>
    <w:rsid w:val="01B27A87"/>
    <w:rsid w:val="01C30C4F"/>
    <w:rsid w:val="01F00DE6"/>
    <w:rsid w:val="01F92423"/>
    <w:rsid w:val="023040DB"/>
    <w:rsid w:val="025C1016"/>
    <w:rsid w:val="026F2B60"/>
    <w:rsid w:val="02D23086"/>
    <w:rsid w:val="02DA6184"/>
    <w:rsid w:val="0325553B"/>
    <w:rsid w:val="033C2BF5"/>
    <w:rsid w:val="038D16A3"/>
    <w:rsid w:val="039D2179"/>
    <w:rsid w:val="03A12CFC"/>
    <w:rsid w:val="03A367D0"/>
    <w:rsid w:val="03BB7608"/>
    <w:rsid w:val="03F90AE6"/>
    <w:rsid w:val="03F9762E"/>
    <w:rsid w:val="03FA0B5C"/>
    <w:rsid w:val="0430313A"/>
    <w:rsid w:val="04396AB7"/>
    <w:rsid w:val="046C2747"/>
    <w:rsid w:val="04814D63"/>
    <w:rsid w:val="0484209A"/>
    <w:rsid w:val="049031F8"/>
    <w:rsid w:val="04B6097E"/>
    <w:rsid w:val="04D42843"/>
    <w:rsid w:val="04EB042F"/>
    <w:rsid w:val="04F217BD"/>
    <w:rsid w:val="04F9570C"/>
    <w:rsid w:val="055B3806"/>
    <w:rsid w:val="05644F36"/>
    <w:rsid w:val="061C1C70"/>
    <w:rsid w:val="062956B3"/>
    <w:rsid w:val="0632492C"/>
    <w:rsid w:val="063E0A32"/>
    <w:rsid w:val="06B60A23"/>
    <w:rsid w:val="06CF2C64"/>
    <w:rsid w:val="06D55CFD"/>
    <w:rsid w:val="06E60D57"/>
    <w:rsid w:val="07023B06"/>
    <w:rsid w:val="073109D6"/>
    <w:rsid w:val="07314DB1"/>
    <w:rsid w:val="07653449"/>
    <w:rsid w:val="07BE010C"/>
    <w:rsid w:val="07CF5DE6"/>
    <w:rsid w:val="07D94EB6"/>
    <w:rsid w:val="07E01DA1"/>
    <w:rsid w:val="07E6312F"/>
    <w:rsid w:val="080C074C"/>
    <w:rsid w:val="081809AE"/>
    <w:rsid w:val="08186E7E"/>
    <w:rsid w:val="0858402D"/>
    <w:rsid w:val="0865499C"/>
    <w:rsid w:val="08844E22"/>
    <w:rsid w:val="08846E71"/>
    <w:rsid w:val="08A82846"/>
    <w:rsid w:val="08CB7027"/>
    <w:rsid w:val="09044B1F"/>
    <w:rsid w:val="09143A3A"/>
    <w:rsid w:val="09642144"/>
    <w:rsid w:val="096B512B"/>
    <w:rsid w:val="09974B66"/>
    <w:rsid w:val="09F61D50"/>
    <w:rsid w:val="0A01640B"/>
    <w:rsid w:val="0A091E88"/>
    <w:rsid w:val="0A402FCB"/>
    <w:rsid w:val="0A4F2875"/>
    <w:rsid w:val="0A5847B8"/>
    <w:rsid w:val="0A8D14ED"/>
    <w:rsid w:val="0AAA7619"/>
    <w:rsid w:val="0ADD081A"/>
    <w:rsid w:val="0AF02C43"/>
    <w:rsid w:val="0AF33B8B"/>
    <w:rsid w:val="0B1961A5"/>
    <w:rsid w:val="0B2047BD"/>
    <w:rsid w:val="0B264E3C"/>
    <w:rsid w:val="0B3A5C6C"/>
    <w:rsid w:val="0B3E55EB"/>
    <w:rsid w:val="0B3E64D2"/>
    <w:rsid w:val="0BB04180"/>
    <w:rsid w:val="0BC87366"/>
    <w:rsid w:val="0C0344C3"/>
    <w:rsid w:val="0C3D0E88"/>
    <w:rsid w:val="0C402B5F"/>
    <w:rsid w:val="0C43416E"/>
    <w:rsid w:val="0C5C7E64"/>
    <w:rsid w:val="0C7F7D35"/>
    <w:rsid w:val="0CA4611A"/>
    <w:rsid w:val="0CD37BE3"/>
    <w:rsid w:val="0CD82C1A"/>
    <w:rsid w:val="0CDC1BD8"/>
    <w:rsid w:val="0D026C5D"/>
    <w:rsid w:val="0D042C2D"/>
    <w:rsid w:val="0D0A1283"/>
    <w:rsid w:val="0D1407DA"/>
    <w:rsid w:val="0D1B66B8"/>
    <w:rsid w:val="0D2546FA"/>
    <w:rsid w:val="0D346713"/>
    <w:rsid w:val="0D3D7AE9"/>
    <w:rsid w:val="0D561634"/>
    <w:rsid w:val="0D674D12"/>
    <w:rsid w:val="0D6D4624"/>
    <w:rsid w:val="0D7F321E"/>
    <w:rsid w:val="0DA11FD2"/>
    <w:rsid w:val="0E0545C3"/>
    <w:rsid w:val="0E370A51"/>
    <w:rsid w:val="0E52151F"/>
    <w:rsid w:val="0E6D2AA6"/>
    <w:rsid w:val="0E7C659C"/>
    <w:rsid w:val="0E8A0CB9"/>
    <w:rsid w:val="0EA8446D"/>
    <w:rsid w:val="0EAB24A9"/>
    <w:rsid w:val="0EDB1514"/>
    <w:rsid w:val="0EE505E5"/>
    <w:rsid w:val="0EEA5BFB"/>
    <w:rsid w:val="0EEF7A6E"/>
    <w:rsid w:val="0F024CF3"/>
    <w:rsid w:val="0F0A004B"/>
    <w:rsid w:val="0F1A028E"/>
    <w:rsid w:val="0F227143"/>
    <w:rsid w:val="0F2E76D7"/>
    <w:rsid w:val="0F692FC4"/>
    <w:rsid w:val="0F902D46"/>
    <w:rsid w:val="0F9F3719"/>
    <w:rsid w:val="0FA1275E"/>
    <w:rsid w:val="0FA52405"/>
    <w:rsid w:val="0FAC1578"/>
    <w:rsid w:val="0FB81265"/>
    <w:rsid w:val="100F3B6B"/>
    <w:rsid w:val="10110C5E"/>
    <w:rsid w:val="101412B1"/>
    <w:rsid w:val="10160A4F"/>
    <w:rsid w:val="10191CD0"/>
    <w:rsid w:val="107054B0"/>
    <w:rsid w:val="10722060"/>
    <w:rsid w:val="1090336C"/>
    <w:rsid w:val="10A83CAA"/>
    <w:rsid w:val="10B476F6"/>
    <w:rsid w:val="10BC5375"/>
    <w:rsid w:val="10EF740C"/>
    <w:rsid w:val="110F7B9B"/>
    <w:rsid w:val="11286567"/>
    <w:rsid w:val="112A036E"/>
    <w:rsid w:val="11823EC9"/>
    <w:rsid w:val="118C3EC9"/>
    <w:rsid w:val="11CB3AC2"/>
    <w:rsid w:val="11DC6C7B"/>
    <w:rsid w:val="11F04FA2"/>
    <w:rsid w:val="120001C7"/>
    <w:rsid w:val="120B30DA"/>
    <w:rsid w:val="120B3EBE"/>
    <w:rsid w:val="12135469"/>
    <w:rsid w:val="12266F4A"/>
    <w:rsid w:val="12413D84"/>
    <w:rsid w:val="12415B32"/>
    <w:rsid w:val="12955E7E"/>
    <w:rsid w:val="12A87227"/>
    <w:rsid w:val="12D101A4"/>
    <w:rsid w:val="12DF1A75"/>
    <w:rsid w:val="12E01EC9"/>
    <w:rsid w:val="12E0359D"/>
    <w:rsid w:val="131C70A4"/>
    <w:rsid w:val="13637D2A"/>
    <w:rsid w:val="13A445CA"/>
    <w:rsid w:val="13C06F2A"/>
    <w:rsid w:val="141D548D"/>
    <w:rsid w:val="144B0B25"/>
    <w:rsid w:val="146A3360"/>
    <w:rsid w:val="147541B9"/>
    <w:rsid w:val="14A406DB"/>
    <w:rsid w:val="14B22D17"/>
    <w:rsid w:val="14BE16BC"/>
    <w:rsid w:val="14CF78C6"/>
    <w:rsid w:val="14DB04C0"/>
    <w:rsid w:val="14DF1632"/>
    <w:rsid w:val="14F72620"/>
    <w:rsid w:val="15121510"/>
    <w:rsid w:val="15245486"/>
    <w:rsid w:val="1531371E"/>
    <w:rsid w:val="1536056D"/>
    <w:rsid w:val="15406575"/>
    <w:rsid w:val="155D2FC9"/>
    <w:rsid w:val="156A0474"/>
    <w:rsid w:val="156A7B4C"/>
    <w:rsid w:val="1578154F"/>
    <w:rsid w:val="157F7CFD"/>
    <w:rsid w:val="159A5C6B"/>
    <w:rsid w:val="15A05293"/>
    <w:rsid w:val="15AE56B2"/>
    <w:rsid w:val="15C50619"/>
    <w:rsid w:val="15DD6946"/>
    <w:rsid w:val="15EF14CE"/>
    <w:rsid w:val="161274BF"/>
    <w:rsid w:val="16326940"/>
    <w:rsid w:val="165C771F"/>
    <w:rsid w:val="165E3157"/>
    <w:rsid w:val="16632759"/>
    <w:rsid w:val="16685D83"/>
    <w:rsid w:val="16796819"/>
    <w:rsid w:val="168801D3"/>
    <w:rsid w:val="16881F81"/>
    <w:rsid w:val="16AB161F"/>
    <w:rsid w:val="16EB2510"/>
    <w:rsid w:val="16FE3FF2"/>
    <w:rsid w:val="170557A0"/>
    <w:rsid w:val="172A60D8"/>
    <w:rsid w:val="176779D4"/>
    <w:rsid w:val="17862F11"/>
    <w:rsid w:val="17AC7042"/>
    <w:rsid w:val="17C56C02"/>
    <w:rsid w:val="17CF5457"/>
    <w:rsid w:val="17E7058F"/>
    <w:rsid w:val="17FD11F8"/>
    <w:rsid w:val="18055854"/>
    <w:rsid w:val="18082FC5"/>
    <w:rsid w:val="18134CDC"/>
    <w:rsid w:val="1816068A"/>
    <w:rsid w:val="182D317E"/>
    <w:rsid w:val="183761D1"/>
    <w:rsid w:val="185F3EA1"/>
    <w:rsid w:val="18626802"/>
    <w:rsid w:val="18814EDA"/>
    <w:rsid w:val="18A230A3"/>
    <w:rsid w:val="18C612C6"/>
    <w:rsid w:val="18CC0C41"/>
    <w:rsid w:val="18D03B32"/>
    <w:rsid w:val="19225DDF"/>
    <w:rsid w:val="19757717"/>
    <w:rsid w:val="1A1100E6"/>
    <w:rsid w:val="1A1F3CA6"/>
    <w:rsid w:val="1A293A99"/>
    <w:rsid w:val="1A2F0C5C"/>
    <w:rsid w:val="1A5B211B"/>
    <w:rsid w:val="1A6E1403"/>
    <w:rsid w:val="1A7D797B"/>
    <w:rsid w:val="1A807414"/>
    <w:rsid w:val="1AA73AB7"/>
    <w:rsid w:val="1AA869C4"/>
    <w:rsid w:val="1AAC0F98"/>
    <w:rsid w:val="1ADC6D40"/>
    <w:rsid w:val="1AF05B27"/>
    <w:rsid w:val="1AF26A51"/>
    <w:rsid w:val="1B0102BD"/>
    <w:rsid w:val="1B1606F3"/>
    <w:rsid w:val="1B284CAF"/>
    <w:rsid w:val="1B66610F"/>
    <w:rsid w:val="1B7900EB"/>
    <w:rsid w:val="1B7E1BA5"/>
    <w:rsid w:val="1B917B2A"/>
    <w:rsid w:val="1B972C67"/>
    <w:rsid w:val="1BA333BA"/>
    <w:rsid w:val="1BB47375"/>
    <w:rsid w:val="1BE82DAB"/>
    <w:rsid w:val="1C0025BA"/>
    <w:rsid w:val="1C033E58"/>
    <w:rsid w:val="1C4A4564"/>
    <w:rsid w:val="1D24352B"/>
    <w:rsid w:val="1D491D3F"/>
    <w:rsid w:val="1D56202D"/>
    <w:rsid w:val="1D8D2573"/>
    <w:rsid w:val="1DAC014C"/>
    <w:rsid w:val="1DBB00F0"/>
    <w:rsid w:val="1E11344D"/>
    <w:rsid w:val="1E3471B4"/>
    <w:rsid w:val="1E5E181A"/>
    <w:rsid w:val="1E6A556D"/>
    <w:rsid w:val="1E780237"/>
    <w:rsid w:val="1E7828DC"/>
    <w:rsid w:val="1EA70877"/>
    <w:rsid w:val="1EAC5942"/>
    <w:rsid w:val="1EB300AC"/>
    <w:rsid w:val="1EBD29E4"/>
    <w:rsid w:val="1F1A3993"/>
    <w:rsid w:val="1F3F13C5"/>
    <w:rsid w:val="1F4E7AE0"/>
    <w:rsid w:val="1F5F69CB"/>
    <w:rsid w:val="1F62306E"/>
    <w:rsid w:val="1F667DEB"/>
    <w:rsid w:val="1F851C35"/>
    <w:rsid w:val="1F9D0554"/>
    <w:rsid w:val="1FA616CA"/>
    <w:rsid w:val="1FAB0A8F"/>
    <w:rsid w:val="1FD75D28"/>
    <w:rsid w:val="1FE73FC8"/>
    <w:rsid w:val="20045E79"/>
    <w:rsid w:val="20112870"/>
    <w:rsid w:val="202251F5"/>
    <w:rsid w:val="20390790"/>
    <w:rsid w:val="205E246C"/>
    <w:rsid w:val="20827A42"/>
    <w:rsid w:val="209F4628"/>
    <w:rsid w:val="20AA07B4"/>
    <w:rsid w:val="20C938C2"/>
    <w:rsid w:val="20CF38A2"/>
    <w:rsid w:val="20CF69FF"/>
    <w:rsid w:val="20F36B91"/>
    <w:rsid w:val="21172F2B"/>
    <w:rsid w:val="21486EDD"/>
    <w:rsid w:val="215366BB"/>
    <w:rsid w:val="2162159E"/>
    <w:rsid w:val="21D02A2F"/>
    <w:rsid w:val="21D249F9"/>
    <w:rsid w:val="21D267A7"/>
    <w:rsid w:val="221B5E32"/>
    <w:rsid w:val="227B40CA"/>
    <w:rsid w:val="22AF6AE8"/>
    <w:rsid w:val="22D327D6"/>
    <w:rsid w:val="22DF73CD"/>
    <w:rsid w:val="22E701A1"/>
    <w:rsid w:val="22EC3898"/>
    <w:rsid w:val="22F369D5"/>
    <w:rsid w:val="233E1DDF"/>
    <w:rsid w:val="23447230"/>
    <w:rsid w:val="234E1262"/>
    <w:rsid w:val="23810484"/>
    <w:rsid w:val="238C48B5"/>
    <w:rsid w:val="239A13CC"/>
    <w:rsid w:val="23A710EC"/>
    <w:rsid w:val="23BF6269"/>
    <w:rsid w:val="23CE4603"/>
    <w:rsid w:val="23DD3E04"/>
    <w:rsid w:val="242552B4"/>
    <w:rsid w:val="2446522A"/>
    <w:rsid w:val="249A75CE"/>
    <w:rsid w:val="24C26FA6"/>
    <w:rsid w:val="24F24F18"/>
    <w:rsid w:val="24FD1D8D"/>
    <w:rsid w:val="25020904"/>
    <w:rsid w:val="2519685C"/>
    <w:rsid w:val="25210F2B"/>
    <w:rsid w:val="25537BFE"/>
    <w:rsid w:val="256213CA"/>
    <w:rsid w:val="25626093"/>
    <w:rsid w:val="257302A1"/>
    <w:rsid w:val="25876A34"/>
    <w:rsid w:val="25B07409"/>
    <w:rsid w:val="25CB1E8B"/>
    <w:rsid w:val="25CC0A26"/>
    <w:rsid w:val="25DA20CE"/>
    <w:rsid w:val="265254F9"/>
    <w:rsid w:val="265A102C"/>
    <w:rsid w:val="265E7AF1"/>
    <w:rsid w:val="268D7140"/>
    <w:rsid w:val="26A1340E"/>
    <w:rsid w:val="26BE3397"/>
    <w:rsid w:val="275212DF"/>
    <w:rsid w:val="275A1718"/>
    <w:rsid w:val="275F37C6"/>
    <w:rsid w:val="280108C4"/>
    <w:rsid w:val="28031D5F"/>
    <w:rsid w:val="281D5329"/>
    <w:rsid w:val="281F64BE"/>
    <w:rsid w:val="282020C5"/>
    <w:rsid w:val="283C1F74"/>
    <w:rsid w:val="283F5009"/>
    <w:rsid w:val="284952E9"/>
    <w:rsid w:val="28592B4A"/>
    <w:rsid w:val="287A657C"/>
    <w:rsid w:val="28C931FC"/>
    <w:rsid w:val="28D17B5A"/>
    <w:rsid w:val="28DD4250"/>
    <w:rsid w:val="28ED036A"/>
    <w:rsid w:val="290A00B5"/>
    <w:rsid w:val="291E0585"/>
    <w:rsid w:val="29341F98"/>
    <w:rsid w:val="29510270"/>
    <w:rsid w:val="29541EF3"/>
    <w:rsid w:val="296610C7"/>
    <w:rsid w:val="296E24BE"/>
    <w:rsid w:val="29883BEF"/>
    <w:rsid w:val="29A24289"/>
    <w:rsid w:val="29D169ED"/>
    <w:rsid w:val="29E67293"/>
    <w:rsid w:val="29EB31D6"/>
    <w:rsid w:val="29F179E6"/>
    <w:rsid w:val="29F65A9D"/>
    <w:rsid w:val="29FA7CB0"/>
    <w:rsid w:val="2A4F26D6"/>
    <w:rsid w:val="2A6A759C"/>
    <w:rsid w:val="2A6D73F4"/>
    <w:rsid w:val="2A8047E1"/>
    <w:rsid w:val="2A811540"/>
    <w:rsid w:val="2A9027A1"/>
    <w:rsid w:val="2A922F77"/>
    <w:rsid w:val="2A9A62D0"/>
    <w:rsid w:val="2A9B1922"/>
    <w:rsid w:val="2AAF3B29"/>
    <w:rsid w:val="2AC9370A"/>
    <w:rsid w:val="2AD01CF1"/>
    <w:rsid w:val="2B195446"/>
    <w:rsid w:val="2B204993"/>
    <w:rsid w:val="2B367DA6"/>
    <w:rsid w:val="2B51310F"/>
    <w:rsid w:val="2B522F91"/>
    <w:rsid w:val="2B62123C"/>
    <w:rsid w:val="2B77216D"/>
    <w:rsid w:val="2B8365A2"/>
    <w:rsid w:val="2B8925CC"/>
    <w:rsid w:val="2B8F282B"/>
    <w:rsid w:val="2B90195F"/>
    <w:rsid w:val="2BAE2033"/>
    <w:rsid w:val="2BCA4992"/>
    <w:rsid w:val="2BEE645D"/>
    <w:rsid w:val="2C00260B"/>
    <w:rsid w:val="2C007E18"/>
    <w:rsid w:val="2C153E60"/>
    <w:rsid w:val="2C1927E2"/>
    <w:rsid w:val="2C31056E"/>
    <w:rsid w:val="2C316F33"/>
    <w:rsid w:val="2C3A6CD6"/>
    <w:rsid w:val="2C3D33B6"/>
    <w:rsid w:val="2C474131"/>
    <w:rsid w:val="2C602C01"/>
    <w:rsid w:val="2C644C73"/>
    <w:rsid w:val="2C685D2A"/>
    <w:rsid w:val="2C6D5A4A"/>
    <w:rsid w:val="2CA66B22"/>
    <w:rsid w:val="2CAA5840"/>
    <w:rsid w:val="2CAD55F1"/>
    <w:rsid w:val="2CB230DE"/>
    <w:rsid w:val="2CBD6AA5"/>
    <w:rsid w:val="2CD55CAB"/>
    <w:rsid w:val="2CD60140"/>
    <w:rsid w:val="2CDB2CB6"/>
    <w:rsid w:val="2CE56FDF"/>
    <w:rsid w:val="2CE61358"/>
    <w:rsid w:val="2CFB31EB"/>
    <w:rsid w:val="2D596312"/>
    <w:rsid w:val="2D7C1CBC"/>
    <w:rsid w:val="2D992AB2"/>
    <w:rsid w:val="2DC61F3F"/>
    <w:rsid w:val="2DCA6FC8"/>
    <w:rsid w:val="2DE17A0B"/>
    <w:rsid w:val="2DF67CC1"/>
    <w:rsid w:val="2E2760CC"/>
    <w:rsid w:val="2E4F4014"/>
    <w:rsid w:val="2E732D33"/>
    <w:rsid w:val="2E7B63A8"/>
    <w:rsid w:val="2E821554"/>
    <w:rsid w:val="2E8224EA"/>
    <w:rsid w:val="2E913546"/>
    <w:rsid w:val="2EAF2074"/>
    <w:rsid w:val="2EB3170E"/>
    <w:rsid w:val="2EC61441"/>
    <w:rsid w:val="2EDA1AF3"/>
    <w:rsid w:val="2EDC3DB6"/>
    <w:rsid w:val="2F1403FE"/>
    <w:rsid w:val="2F2074F1"/>
    <w:rsid w:val="2F3769D8"/>
    <w:rsid w:val="2F4B5532"/>
    <w:rsid w:val="2F6629B6"/>
    <w:rsid w:val="2F837332"/>
    <w:rsid w:val="2F8D1F5F"/>
    <w:rsid w:val="2F92720B"/>
    <w:rsid w:val="2FA8139B"/>
    <w:rsid w:val="2FB925A3"/>
    <w:rsid w:val="2FFB520E"/>
    <w:rsid w:val="300A35B0"/>
    <w:rsid w:val="30197C97"/>
    <w:rsid w:val="302F2A08"/>
    <w:rsid w:val="30336435"/>
    <w:rsid w:val="30365A12"/>
    <w:rsid w:val="304940D8"/>
    <w:rsid w:val="304C0704"/>
    <w:rsid w:val="305A506F"/>
    <w:rsid w:val="308710A4"/>
    <w:rsid w:val="30D27161"/>
    <w:rsid w:val="30EF7BC3"/>
    <w:rsid w:val="31176B43"/>
    <w:rsid w:val="311F4444"/>
    <w:rsid w:val="312863E3"/>
    <w:rsid w:val="315E6490"/>
    <w:rsid w:val="31745184"/>
    <w:rsid w:val="319421D1"/>
    <w:rsid w:val="31BB5C4E"/>
    <w:rsid w:val="31F86466"/>
    <w:rsid w:val="320209E2"/>
    <w:rsid w:val="3203475A"/>
    <w:rsid w:val="32094B56"/>
    <w:rsid w:val="32311E18"/>
    <w:rsid w:val="327F0285"/>
    <w:rsid w:val="32930D50"/>
    <w:rsid w:val="32D26724"/>
    <w:rsid w:val="33155F30"/>
    <w:rsid w:val="332B785F"/>
    <w:rsid w:val="33483792"/>
    <w:rsid w:val="3381002D"/>
    <w:rsid w:val="33813B89"/>
    <w:rsid w:val="3392223A"/>
    <w:rsid w:val="339C3F4D"/>
    <w:rsid w:val="33AD7074"/>
    <w:rsid w:val="33FA502B"/>
    <w:rsid w:val="343B0E54"/>
    <w:rsid w:val="343D03F7"/>
    <w:rsid w:val="346946C0"/>
    <w:rsid w:val="346A0AC1"/>
    <w:rsid w:val="346B13C7"/>
    <w:rsid w:val="34790D04"/>
    <w:rsid w:val="34880F47"/>
    <w:rsid w:val="34A92A40"/>
    <w:rsid w:val="34AB6DC6"/>
    <w:rsid w:val="34BF0E0C"/>
    <w:rsid w:val="34D81ECE"/>
    <w:rsid w:val="34DF51D1"/>
    <w:rsid w:val="34F47327"/>
    <w:rsid w:val="34FE766A"/>
    <w:rsid w:val="353C420B"/>
    <w:rsid w:val="35747CA7"/>
    <w:rsid w:val="357E373B"/>
    <w:rsid w:val="35C425C5"/>
    <w:rsid w:val="35F516AA"/>
    <w:rsid w:val="35FC496B"/>
    <w:rsid w:val="36031576"/>
    <w:rsid w:val="360B29CC"/>
    <w:rsid w:val="36101366"/>
    <w:rsid w:val="36154A5C"/>
    <w:rsid w:val="363F1B12"/>
    <w:rsid w:val="36583240"/>
    <w:rsid w:val="365D5939"/>
    <w:rsid w:val="36686B71"/>
    <w:rsid w:val="36790C4B"/>
    <w:rsid w:val="36805F38"/>
    <w:rsid w:val="3686095E"/>
    <w:rsid w:val="36A858D0"/>
    <w:rsid w:val="36AC53C0"/>
    <w:rsid w:val="36BB5CBE"/>
    <w:rsid w:val="36FE230D"/>
    <w:rsid w:val="370F4546"/>
    <w:rsid w:val="37102DD3"/>
    <w:rsid w:val="372B09DB"/>
    <w:rsid w:val="372C07F7"/>
    <w:rsid w:val="37460DC6"/>
    <w:rsid w:val="374C7F17"/>
    <w:rsid w:val="374E6478"/>
    <w:rsid w:val="37AC319E"/>
    <w:rsid w:val="37B7226F"/>
    <w:rsid w:val="37BF2ED1"/>
    <w:rsid w:val="37C5786B"/>
    <w:rsid w:val="37EE2A39"/>
    <w:rsid w:val="384652FD"/>
    <w:rsid w:val="386650B1"/>
    <w:rsid w:val="38743292"/>
    <w:rsid w:val="38763106"/>
    <w:rsid w:val="388D2FD0"/>
    <w:rsid w:val="38BA2855"/>
    <w:rsid w:val="38E56968"/>
    <w:rsid w:val="38FA1BB8"/>
    <w:rsid w:val="39111E53"/>
    <w:rsid w:val="391B4D92"/>
    <w:rsid w:val="392456E2"/>
    <w:rsid w:val="39453A08"/>
    <w:rsid w:val="395B6CBF"/>
    <w:rsid w:val="39617BEF"/>
    <w:rsid w:val="396C60C6"/>
    <w:rsid w:val="397C1E1E"/>
    <w:rsid w:val="39B51C74"/>
    <w:rsid w:val="39EE5CF0"/>
    <w:rsid w:val="3A502507"/>
    <w:rsid w:val="3A7F20DE"/>
    <w:rsid w:val="3A9B0E14"/>
    <w:rsid w:val="3AB25E2E"/>
    <w:rsid w:val="3ACC4217"/>
    <w:rsid w:val="3AFF0275"/>
    <w:rsid w:val="3B0963FE"/>
    <w:rsid w:val="3B5D4EDB"/>
    <w:rsid w:val="3B72004A"/>
    <w:rsid w:val="3B8E5A4D"/>
    <w:rsid w:val="3BAF53C7"/>
    <w:rsid w:val="3BB90A36"/>
    <w:rsid w:val="3BDC2F36"/>
    <w:rsid w:val="3BE527D5"/>
    <w:rsid w:val="3BE61128"/>
    <w:rsid w:val="3C0B0DDB"/>
    <w:rsid w:val="3C5F6A31"/>
    <w:rsid w:val="3C6B073B"/>
    <w:rsid w:val="3C7F0E81"/>
    <w:rsid w:val="3C806DE9"/>
    <w:rsid w:val="3CE62050"/>
    <w:rsid w:val="3D2832C7"/>
    <w:rsid w:val="3D2E476F"/>
    <w:rsid w:val="3DA45043"/>
    <w:rsid w:val="3DC97655"/>
    <w:rsid w:val="3DD11BB1"/>
    <w:rsid w:val="3DE816D3"/>
    <w:rsid w:val="3DE818EA"/>
    <w:rsid w:val="3E2B1CC9"/>
    <w:rsid w:val="3E4917F3"/>
    <w:rsid w:val="3E740EBA"/>
    <w:rsid w:val="3E774506"/>
    <w:rsid w:val="3E8F00BF"/>
    <w:rsid w:val="3EBE38A6"/>
    <w:rsid w:val="3EC83B16"/>
    <w:rsid w:val="3ED04DFC"/>
    <w:rsid w:val="3F1251C0"/>
    <w:rsid w:val="3F1C22A4"/>
    <w:rsid w:val="3F2226C4"/>
    <w:rsid w:val="3FA12578"/>
    <w:rsid w:val="3FDB0AC5"/>
    <w:rsid w:val="3FE93FB0"/>
    <w:rsid w:val="40074BC3"/>
    <w:rsid w:val="40190D64"/>
    <w:rsid w:val="40460F8B"/>
    <w:rsid w:val="40480A7D"/>
    <w:rsid w:val="405E1538"/>
    <w:rsid w:val="40AD7F45"/>
    <w:rsid w:val="40D479EE"/>
    <w:rsid w:val="40E62262"/>
    <w:rsid w:val="40E85247"/>
    <w:rsid w:val="40E909CF"/>
    <w:rsid w:val="40F86F23"/>
    <w:rsid w:val="41190C4A"/>
    <w:rsid w:val="412344D1"/>
    <w:rsid w:val="41620087"/>
    <w:rsid w:val="418A3F4F"/>
    <w:rsid w:val="419302A8"/>
    <w:rsid w:val="419D24D5"/>
    <w:rsid w:val="41A5138A"/>
    <w:rsid w:val="41D852BC"/>
    <w:rsid w:val="41F93484"/>
    <w:rsid w:val="42413ED0"/>
    <w:rsid w:val="42653BF5"/>
    <w:rsid w:val="427076FB"/>
    <w:rsid w:val="42791889"/>
    <w:rsid w:val="427C3947"/>
    <w:rsid w:val="42B15CE1"/>
    <w:rsid w:val="42CA2701"/>
    <w:rsid w:val="42EA1386"/>
    <w:rsid w:val="42EF6626"/>
    <w:rsid w:val="43031D71"/>
    <w:rsid w:val="430B4942"/>
    <w:rsid w:val="431A58F3"/>
    <w:rsid w:val="434767B8"/>
    <w:rsid w:val="434A1005"/>
    <w:rsid w:val="434F5A51"/>
    <w:rsid w:val="4364222A"/>
    <w:rsid w:val="43C373C2"/>
    <w:rsid w:val="43D56C0B"/>
    <w:rsid w:val="440305EA"/>
    <w:rsid w:val="443A1FAD"/>
    <w:rsid w:val="44881163"/>
    <w:rsid w:val="44900BE5"/>
    <w:rsid w:val="449412F5"/>
    <w:rsid w:val="449471AA"/>
    <w:rsid w:val="449A634B"/>
    <w:rsid w:val="44A21FC7"/>
    <w:rsid w:val="44A56B3C"/>
    <w:rsid w:val="44E116F6"/>
    <w:rsid w:val="44EC0221"/>
    <w:rsid w:val="45294080"/>
    <w:rsid w:val="45472AED"/>
    <w:rsid w:val="4550160D"/>
    <w:rsid w:val="45513D03"/>
    <w:rsid w:val="45594965"/>
    <w:rsid w:val="457C44F7"/>
    <w:rsid w:val="45A76BC4"/>
    <w:rsid w:val="45AC537D"/>
    <w:rsid w:val="45B91596"/>
    <w:rsid w:val="45CB1E22"/>
    <w:rsid w:val="45CE07A3"/>
    <w:rsid w:val="463A4797"/>
    <w:rsid w:val="466A7048"/>
    <w:rsid w:val="467D28D5"/>
    <w:rsid w:val="46804174"/>
    <w:rsid w:val="46863D53"/>
    <w:rsid w:val="468910A1"/>
    <w:rsid w:val="4698326B"/>
    <w:rsid w:val="46AB6E6A"/>
    <w:rsid w:val="46AF3EBD"/>
    <w:rsid w:val="46B1257F"/>
    <w:rsid w:val="46CB1363"/>
    <w:rsid w:val="46CF6AB9"/>
    <w:rsid w:val="46D9362B"/>
    <w:rsid w:val="46E27D65"/>
    <w:rsid w:val="470152B5"/>
    <w:rsid w:val="47095F17"/>
    <w:rsid w:val="471425D5"/>
    <w:rsid w:val="4728084F"/>
    <w:rsid w:val="477F2472"/>
    <w:rsid w:val="478D08F6"/>
    <w:rsid w:val="47AE7C1C"/>
    <w:rsid w:val="47C307BC"/>
    <w:rsid w:val="47E52B9F"/>
    <w:rsid w:val="47E604F0"/>
    <w:rsid w:val="47EB3D8E"/>
    <w:rsid w:val="47F120E4"/>
    <w:rsid w:val="48336171"/>
    <w:rsid w:val="483376F0"/>
    <w:rsid w:val="483D40CA"/>
    <w:rsid w:val="487E4998"/>
    <w:rsid w:val="48AC2FFE"/>
    <w:rsid w:val="48B16866"/>
    <w:rsid w:val="48BC4150"/>
    <w:rsid w:val="48BD385C"/>
    <w:rsid w:val="48BF0F83"/>
    <w:rsid w:val="48BF71D5"/>
    <w:rsid w:val="48F66A6F"/>
    <w:rsid w:val="490D43C0"/>
    <w:rsid w:val="49313BA0"/>
    <w:rsid w:val="496A7BA5"/>
    <w:rsid w:val="49920446"/>
    <w:rsid w:val="49A523EA"/>
    <w:rsid w:val="49D04500"/>
    <w:rsid w:val="49DE18DD"/>
    <w:rsid w:val="4A0649B5"/>
    <w:rsid w:val="4A0977B8"/>
    <w:rsid w:val="4A2117CA"/>
    <w:rsid w:val="4A410842"/>
    <w:rsid w:val="4A4A2ACF"/>
    <w:rsid w:val="4A627B7A"/>
    <w:rsid w:val="4A82670C"/>
    <w:rsid w:val="4A8368DC"/>
    <w:rsid w:val="4A883622"/>
    <w:rsid w:val="4A8F328C"/>
    <w:rsid w:val="4AA82AB9"/>
    <w:rsid w:val="4AB663B6"/>
    <w:rsid w:val="4AC565F9"/>
    <w:rsid w:val="4AE915F1"/>
    <w:rsid w:val="4B101F6A"/>
    <w:rsid w:val="4B11183E"/>
    <w:rsid w:val="4B22149B"/>
    <w:rsid w:val="4B296B88"/>
    <w:rsid w:val="4B311060"/>
    <w:rsid w:val="4B4C1468"/>
    <w:rsid w:val="4B5043BE"/>
    <w:rsid w:val="4B5C6F5D"/>
    <w:rsid w:val="4B660F17"/>
    <w:rsid w:val="4B78366B"/>
    <w:rsid w:val="4B9656D2"/>
    <w:rsid w:val="4B983D0E"/>
    <w:rsid w:val="4BBA1ED6"/>
    <w:rsid w:val="4BC15B88"/>
    <w:rsid w:val="4BC44B03"/>
    <w:rsid w:val="4BF93DBB"/>
    <w:rsid w:val="4BFE6267"/>
    <w:rsid w:val="4C0031B8"/>
    <w:rsid w:val="4C0A4C0B"/>
    <w:rsid w:val="4C100092"/>
    <w:rsid w:val="4C3A2F6D"/>
    <w:rsid w:val="4C577725"/>
    <w:rsid w:val="4C5F34F9"/>
    <w:rsid w:val="4C8A7AFA"/>
    <w:rsid w:val="4C9A2FAF"/>
    <w:rsid w:val="4CAC03DB"/>
    <w:rsid w:val="4D221D16"/>
    <w:rsid w:val="4D224DF1"/>
    <w:rsid w:val="4D461C73"/>
    <w:rsid w:val="4DAE0697"/>
    <w:rsid w:val="4DD00887"/>
    <w:rsid w:val="4DEE6A92"/>
    <w:rsid w:val="4E116B2A"/>
    <w:rsid w:val="4EED0CCD"/>
    <w:rsid w:val="4EF94AC3"/>
    <w:rsid w:val="4EFD6AD1"/>
    <w:rsid w:val="4F19773A"/>
    <w:rsid w:val="4F2A2ECF"/>
    <w:rsid w:val="4F500644"/>
    <w:rsid w:val="4F735988"/>
    <w:rsid w:val="4F8B1BBF"/>
    <w:rsid w:val="4F950C90"/>
    <w:rsid w:val="4F9F1B0F"/>
    <w:rsid w:val="4FB8672C"/>
    <w:rsid w:val="4FF3477D"/>
    <w:rsid w:val="4FFD05E3"/>
    <w:rsid w:val="500129CE"/>
    <w:rsid w:val="50485641"/>
    <w:rsid w:val="504B57F2"/>
    <w:rsid w:val="504D3319"/>
    <w:rsid w:val="50983FC7"/>
    <w:rsid w:val="50A35379"/>
    <w:rsid w:val="51167BAE"/>
    <w:rsid w:val="512971C8"/>
    <w:rsid w:val="513056A5"/>
    <w:rsid w:val="51371E3F"/>
    <w:rsid w:val="513C79B1"/>
    <w:rsid w:val="515B6A67"/>
    <w:rsid w:val="515E1530"/>
    <w:rsid w:val="515F3303"/>
    <w:rsid w:val="517F7502"/>
    <w:rsid w:val="51C21AE4"/>
    <w:rsid w:val="51E732E7"/>
    <w:rsid w:val="51FC0576"/>
    <w:rsid w:val="52177A45"/>
    <w:rsid w:val="52750905"/>
    <w:rsid w:val="528B3FB4"/>
    <w:rsid w:val="52956DFA"/>
    <w:rsid w:val="52B64270"/>
    <w:rsid w:val="52BC3A33"/>
    <w:rsid w:val="52EB0BC7"/>
    <w:rsid w:val="52FC2DD4"/>
    <w:rsid w:val="52FC5E01"/>
    <w:rsid w:val="53314173"/>
    <w:rsid w:val="53496B88"/>
    <w:rsid w:val="536A2433"/>
    <w:rsid w:val="536D7844"/>
    <w:rsid w:val="536E5A80"/>
    <w:rsid w:val="538F1988"/>
    <w:rsid w:val="539574B0"/>
    <w:rsid w:val="53AA3914"/>
    <w:rsid w:val="53BA0CC5"/>
    <w:rsid w:val="53EA2779"/>
    <w:rsid w:val="53EB6D2C"/>
    <w:rsid w:val="53F02939"/>
    <w:rsid w:val="53F614DC"/>
    <w:rsid w:val="53FD5056"/>
    <w:rsid w:val="54097C5B"/>
    <w:rsid w:val="54393867"/>
    <w:rsid w:val="543D5452"/>
    <w:rsid w:val="544607AB"/>
    <w:rsid w:val="54797D28"/>
    <w:rsid w:val="54BB7B6C"/>
    <w:rsid w:val="54CD3907"/>
    <w:rsid w:val="54CF2F50"/>
    <w:rsid w:val="54D975B7"/>
    <w:rsid w:val="55020B76"/>
    <w:rsid w:val="5512068D"/>
    <w:rsid w:val="55297F8E"/>
    <w:rsid w:val="552C3FAA"/>
    <w:rsid w:val="553A019F"/>
    <w:rsid w:val="553B7BE4"/>
    <w:rsid w:val="55425731"/>
    <w:rsid w:val="55445790"/>
    <w:rsid w:val="556E7FB9"/>
    <w:rsid w:val="557E3EB0"/>
    <w:rsid w:val="5590305C"/>
    <w:rsid w:val="55BB0D24"/>
    <w:rsid w:val="55CA71B9"/>
    <w:rsid w:val="55D94803"/>
    <w:rsid w:val="55F06C20"/>
    <w:rsid w:val="55F70296"/>
    <w:rsid w:val="55FA2ABD"/>
    <w:rsid w:val="56102237"/>
    <w:rsid w:val="562055C8"/>
    <w:rsid w:val="56215ECB"/>
    <w:rsid w:val="568D5FA3"/>
    <w:rsid w:val="56A33547"/>
    <w:rsid w:val="56A4724D"/>
    <w:rsid w:val="56AE61F7"/>
    <w:rsid w:val="56B74DA6"/>
    <w:rsid w:val="56E16569"/>
    <w:rsid w:val="56E322E1"/>
    <w:rsid w:val="56E878F7"/>
    <w:rsid w:val="57154464"/>
    <w:rsid w:val="572A6A71"/>
    <w:rsid w:val="574C432A"/>
    <w:rsid w:val="57527466"/>
    <w:rsid w:val="57BD12C8"/>
    <w:rsid w:val="57CD0917"/>
    <w:rsid w:val="57D63BF4"/>
    <w:rsid w:val="57D80096"/>
    <w:rsid w:val="57FE679B"/>
    <w:rsid w:val="582E3A30"/>
    <w:rsid w:val="583948A0"/>
    <w:rsid w:val="584119B5"/>
    <w:rsid w:val="584E7C2E"/>
    <w:rsid w:val="588F6FE2"/>
    <w:rsid w:val="589D465C"/>
    <w:rsid w:val="58B7165E"/>
    <w:rsid w:val="58CA4B39"/>
    <w:rsid w:val="58D26AB1"/>
    <w:rsid w:val="58ED78F7"/>
    <w:rsid w:val="599975CF"/>
    <w:rsid w:val="59BE6DD9"/>
    <w:rsid w:val="59F111B9"/>
    <w:rsid w:val="59F9185B"/>
    <w:rsid w:val="59FB3DE5"/>
    <w:rsid w:val="5A160C1F"/>
    <w:rsid w:val="5A1C638C"/>
    <w:rsid w:val="5A460081"/>
    <w:rsid w:val="5A53777D"/>
    <w:rsid w:val="5A5F4374"/>
    <w:rsid w:val="5A9A35FE"/>
    <w:rsid w:val="5AA4622B"/>
    <w:rsid w:val="5AA638FA"/>
    <w:rsid w:val="5B323837"/>
    <w:rsid w:val="5B3A6E21"/>
    <w:rsid w:val="5B6258C7"/>
    <w:rsid w:val="5B856492"/>
    <w:rsid w:val="5BA125E6"/>
    <w:rsid w:val="5BD40D92"/>
    <w:rsid w:val="5BD82630"/>
    <w:rsid w:val="5BE64A40"/>
    <w:rsid w:val="5BE77BED"/>
    <w:rsid w:val="5C0A6562"/>
    <w:rsid w:val="5C130CF3"/>
    <w:rsid w:val="5C1B42CB"/>
    <w:rsid w:val="5C381321"/>
    <w:rsid w:val="5C7B2FBB"/>
    <w:rsid w:val="5C974299"/>
    <w:rsid w:val="5C9F3BA7"/>
    <w:rsid w:val="5CAE15E3"/>
    <w:rsid w:val="5D0247F9"/>
    <w:rsid w:val="5D027239"/>
    <w:rsid w:val="5D096819"/>
    <w:rsid w:val="5D2915A3"/>
    <w:rsid w:val="5D2E6280"/>
    <w:rsid w:val="5D7103C7"/>
    <w:rsid w:val="5D711F81"/>
    <w:rsid w:val="5D756F91"/>
    <w:rsid w:val="5D7A3273"/>
    <w:rsid w:val="5D885990"/>
    <w:rsid w:val="5D8B722E"/>
    <w:rsid w:val="5DB449D7"/>
    <w:rsid w:val="5DC163D3"/>
    <w:rsid w:val="5DCA59BF"/>
    <w:rsid w:val="5DF474C9"/>
    <w:rsid w:val="5E0848C3"/>
    <w:rsid w:val="5E227CED"/>
    <w:rsid w:val="5E3002DA"/>
    <w:rsid w:val="5E327D03"/>
    <w:rsid w:val="5E3E3AB2"/>
    <w:rsid w:val="5E532442"/>
    <w:rsid w:val="5E620D41"/>
    <w:rsid w:val="5EA42CFB"/>
    <w:rsid w:val="5EA728FF"/>
    <w:rsid w:val="5EBD2EE1"/>
    <w:rsid w:val="5F0C439F"/>
    <w:rsid w:val="5F105C3D"/>
    <w:rsid w:val="5F1856E3"/>
    <w:rsid w:val="5F2B2E5A"/>
    <w:rsid w:val="5F3758C0"/>
    <w:rsid w:val="5F544C91"/>
    <w:rsid w:val="5F5B52E1"/>
    <w:rsid w:val="5F677827"/>
    <w:rsid w:val="5F7E2B66"/>
    <w:rsid w:val="5F97635E"/>
    <w:rsid w:val="5F9819D0"/>
    <w:rsid w:val="5F9F6E96"/>
    <w:rsid w:val="5FEF2037"/>
    <w:rsid w:val="5FFA5DE9"/>
    <w:rsid w:val="60580E8B"/>
    <w:rsid w:val="6077073B"/>
    <w:rsid w:val="60B70620"/>
    <w:rsid w:val="60E74CD5"/>
    <w:rsid w:val="60EB6E01"/>
    <w:rsid w:val="610203F7"/>
    <w:rsid w:val="610442D2"/>
    <w:rsid w:val="61201F18"/>
    <w:rsid w:val="61627906"/>
    <w:rsid w:val="617A7224"/>
    <w:rsid w:val="61920AD0"/>
    <w:rsid w:val="61C176C2"/>
    <w:rsid w:val="61ED3F08"/>
    <w:rsid w:val="626D33A6"/>
    <w:rsid w:val="626F711E"/>
    <w:rsid w:val="627A1305"/>
    <w:rsid w:val="6280757E"/>
    <w:rsid w:val="62820EA3"/>
    <w:rsid w:val="629D501D"/>
    <w:rsid w:val="62C14E11"/>
    <w:rsid w:val="62D41677"/>
    <w:rsid w:val="62E31235"/>
    <w:rsid w:val="62F37D50"/>
    <w:rsid w:val="63021D41"/>
    <w:rsid w:val="631358E0"/>
    <w:rsid w:val="63330069"/>
    <w:rsid w:val="6350611A"/>
    <w:rsid w:val="635F53E5"/>
    <w:rsid w:val="638A4549"/>
    <w:rsid w:val="63950E07"/>
    <w:rsid w:val="63CE5BCA"/>
    <w:rsid w:val="63D76BA4"/>
    <w:rsid w:val="64155AA4"/>
    <w:rsid w:val="6417181C"/>
    <w:rsid w:val="641B52CD"/>
    <w:rsid w:val="642226B2"/>
    <w:rsid w:val="646E5859"/>
    <w:rsid w:val="647826EF"/>
    <w:rsid w:val="64801AB7"/>
    <w:rsid w:val="649048D3"/>
    <w:rsid w:val="64AE4274"/>
    <w:rsid w:val="64AF0506"/>
    <w:rsid w:val="64D75A79"/>
    <w:rsid w:val="64E060B2"/>
    <w:rsid w:val="64E06C78"/>
    <w:rsid w:val="64E831B8"/>
    <w:rsid w:val="6507733F"/>
    <w:rsid w:val="652F51CB"/>
    <w:rsid w:val="65842EE1"/>
    <w:rsid w:val="6587477F"/>
    <w:rsid w:val="65C679C6"/>
    <w:rsid w:val="65FA13F5"/>
    <w:rsid w:val="6609506E"/>
    <w:rsid w:val="66195D1F"/>
    <w:rsid w:val="663A7A43"/>
    <w:rsid w:val="666A0329"/>
    <w:rsid w:val="6695111E"/>
    <w:rsid w:val="66B31330"/>
    <w:rsid w:val="66BB59E2"/>
    <w:rsid w:val="66FD5837"/>
    <w:rsid w:val="67982C74"/>
    <w:rsid w:val="67CC2DEE"/>
    <w:rsid w:val="67CC40BC"/>
    <w:rsid w:val="67DB7004"/>
    <w:rsid w:val="67E92B29"/>
    <w:rsid w:val="67F33708"/>
    <w:rsid w:val="6844456E"/>
    <w:rsid w:val="686231A1"/>
    <w:rsid w:val="6874548F"/>
    <w:rsid w:val="68762C1A"/>
    <w:rsid w:val="68830949"/>
    <w:rsid w:val="68CD0EE5"/>
    <w:rsid w:val="68DF39A7"/>
    <w:rsid w:val="69135668"/>
    <w:rsid w:val="69280291"/>
    <w:rsid w:val="693D07DD"/>
    <w:rsid w:val="696202B1"/>
    <w:rsid w:val="697A62A6"/>
    <w:rsid w:val="69AC5BBE"/>
    <w:rsid w:val="69CC6419"/>
    <w:rsid w:val="69DD52B6"/>
    <w:rsid w:val="69E642E7"/>
    <w:rsid w:val="69FD14B4"/>
    <w:rsid w:val="6A246A40"/>
    <w:rsid w:val="6A256A40"/>
    <w:rsid w:val="6A2D7B8B"/>
    <w:rsid w:val="6A4E6005"/>
    <w:rsid w:val="6A6432E1"/>
    <w:rsid w:val="6A8B0D8C"/>
    <w:rsid w:val="6A937C86"/>
    <w:rsid w:val="6AAB53B4"/>
    <w:rsid w:val="6AF40B09"/>
    <w:rsid w:val="6B0F5943"/>
    <w:rsid w:val="6B162A3F"/>
    <w:rsid w:val="6B9208AD"/>
    <w:rsid w:val="6BAA566B"/>
    <w:rsid w:val="6BB11905"/>
    <w:rsid w:val="6BB32772"/>
    <w:rsid w:val="6BC009EB"/>
    <w:rsid w:val="6BC77FCB"/>
    <w:rsid w:val="6BCB4591"/>
    <w:rsid w:val="6BEB3BCF"/>
    <w:rsid w:val="6BEC6D2D"/>
    <w:rsid w:val="6BF07522"/>
    <w:rsid w:val="6BF65572"/>
    <w:rsid w:val="6C1B2DF3"/>
    <w:rsid w:val="6C1E53BC"/>
    <w:rsid w:val="6C223454"/>
    <w:rsid w:val="6C2F6311"/>
    <w:rsid w:val="6C506213"/>
    <w:rsid w:val="6C5D32F3"/>
    <w:rsid w:val="6C66743F"/>
    <w:rsid w:val="6CB44CEF"/>
    <w:rsid w:val="6CC05F09"/>
    <w:rsid w:val="6CC12743"/>
    <w:rsid w:val="6CE32BE3"/>
    <w:rsid w:val="6CE93F71"/>
    <w:rsid w:val="6D0F1C2A"/>
    <w:rsid w:val="6D1C7C42"/>
    <w:rsid w:val="6D2356D5"/>
    <w:rsid w:val="6D505D9E"/>
    <w:rsid w:val="6D617FAC"/>
    <w:rsid w:val="6D6E7F9B"/>
    <w:rsid w:val="6D7D5C34"/>
    <w:rsid w:val="6D9B387C"/>
    <w:rsid w:val="6DAC1227"/>
    <w:rsid w:val="6E134625"/>
    <w:rsid w:val="6E6B7334"/>
    <w:rsid w:val="6E703C2D"/>
    <w:rsid w:val="6E7C509D"/>
    <w:rsid w:val="6E7F7210"/>
    <w:rsid w:val="6E8A7701"/>
    <w:rsid w:val="6EAC5256"/>
    <w:rsid w:val="6EEB5D7F"/>
    <w:rsid w:val="6F7C48B9"/>
    <w:rsid w:val="6F8858E4"/>
    <w:rsid w:val="6FA9648E"/>
    <w:rsid w:val="6FD827A7"/>
    <w:rsid w:val="6FE8494E"/>
    <w:rsid w:val="6FEC0000"/>
    <w:rsid w:val="6FFE6CA5"/>
    <w:rsid w:val="701B6F23"/>
    <w:rsid w:val="70205EFC"/>
    <w:rsid w:val="70381498"/>
    <w:rsid w:val="70495453"/>
    <w:rsid w:val="704A36C8"/>
    <w:rsid w:val="704A37D5"/>
    <w:rsid w:val="70581BE0"/>
    <w:rsid w:val="70B4671B"/>
    <w:rsid w:val="70B56644"/>
    <w:rsid w:val="70D94A29"/>
    <w:rsid w:val="70DC55EB"/>
    <w:rsid w:val="70DE39B5"/>
    <w:rsid w:val="7108651A"/>
    <w:rsid w:val="712D08D1"/>
    <w:rsid w:val="713559D7"/>
    <w:rsid w:val="713C2A5F"/>
    <w:rsid w:val="714646CD"/>
    <w:rsid w:val="715F5AC3"/>
    <w:rsid w:val="716948ED"/>
    <w:rsid w:val="71715206"/>
    <w:rsid w:val="71BC47FC"/>
    <w:rsid w:val="72086C48"/>
    <w:rsid w:val="72312642"/>
    <w:rsid w:val="72582388"/>
    <w:rsid w:val="726C00F1"/>
    <w:rsid w:val="72722170"/>
    <w:rsid w:val="727704A3"/>
    <w:rsid w:val="729A7BA5"/>
    <w:rsid w:val="72BB7B42"/>
    <w:rsid w:val="72C3445A"/>
    <w:rsid w:val="72DB610A"/>
    <w:rsid w:val="73282699"/>
    <w:rsid w:val="7349576A"/>
    <w:rsid w:val="736F3422"/>
    <w:rsid w:val="73A535DE"/>
    <w:rsid w:val="73E6120B"/>
    <w:rsid w:val="73EF3172"/>
    <w:rsid w:val="73FD6A59"/>
    <w:rsid w:val="740D49E9"/>
    <w:rsid w:val="74275965"/>
    <w:rsid w:val="7443040B"/>
    <w:rsid w:val="74550646"/>
    <w:rsid w:val="74900445"/>
    <w:rsid w:val="74A54C22"/>
    <w:rsid w:val="74A86D6D"/>
    <w:rsid w:val="74BF0723"/>
    <w:rsid w:val="74E17075"/>
    <w:rsid w:val="74EA5148"/>
    <w:rsid w:val="750B717B"/>
    <w:rsid w:val="751205C6"/>
    <w:rsid w:val="75167346"/>
    <w:rsid w:val="75253BDD"/>
    <w:rsid w:val="75392D36"/>
    <w:rsid w:val="75871F4C"/>
    <w:rsid w:val="75D72848"/>
    <w:rsid w:val="75E83018"/>
    <w:rsid w:val="76481D09"/>
    <w:rsid w:val="76505383"/>
    <w:rsid w:val="76695D14"/>
    <w:rsid w:val="76790114"/>
    <w:rsid w:val="76793892"/>
    <w:rsid w:val="769A6A08"/>
    <w:rsid w:val="76A96C4B"/>
    <w:rsid w:val="76CC6DB8"/>
    <w:rsid w:val="76CE66B2"/>
    <w:rsid w:val="76DD713C"/>
    <w:rsid w:val="76EA2DC0"/>
    <w:rsid w:val="76F37772"/>
    <w:rsid w:val="77046443"/>
    <w:rsid w:val="774C7495"/>
    <w:rsid w:val="77640DC4"/>
    <w:rsid w:val="77770AF7"/>
    <w:rsid w:val="778F1F4F"/>
    <w:rsid w:val="779167EC"/>
    <w:rsid w:val="77A21C84"/>
    <w:rsid w:val="77EC3DA8"/>
    <w:rsid w:val="78454BD9"/>
    <w:rsid w:val="78591FAB"/>
    <w:rsid w:val="788B056B"/>
    <w:rsid w:val="78B900EB"/>
    <w:rsid w:val="78E21FA1"/>
    <w:rsid w:val="79770282"/>
    <w:rsid w:val="798017B9"/>
    <w:rsid w:val="798715FB"/>
    <w:rsid w:val="79A60DF4"/>
    <w:rsid w:val="79AB4A88"/>
    <w:rsid w:val="79AF0269"/>
    <w:rsid w:val="79C56655"/>
    <w:rsid w:val="79C97604"/>
    <w:rsid w:val="79CE69C9"/>
    <w:rsid w:val="79D932D2"/>
    <w:rsid w:val="79DC5A75"/>
    <w:rsid w:val="7A127C5C"/>
    <w:rsid w:val="7A1330A4"/>
    <w:rsid w:val="7A212F9C"/>
    <w:rsid w:val="7A2E4075"/>
    <w:rsid w:val="7A835505"/>
    <w:rsid w:val="7AAA3908"/>
    <w:rsid w:val="7AAD748E"/>
    <w:rsid w:val="7AC202DC"/>
    <w:rsid w:val="7AD2191E"/>
    <w:rsid w:val="7AE75F94"/>
    <w:rsid w:val="7AFC675C"/>
    <w:rsid w:val="7B042AD9"/>
    <w:rsid w:val="7B09415C"/>
    <w:rsid w:val="7B0D0AF4"/>
    <w:rsid w:val="7B220D7A"/>
    <w:rsid w:val="7B2A52B1"/>
    <w:rsid w:val="7B30793B"/>
    <w:rsid w:val="7B4E629F"/>
    <w:rsid w:val="7B694BFB"/>
    <w:rsid w:val="7BB41B36"/>
    <w:rsid w:val="7BB50301"/>
    <w:rsid w:val="7BC85163"/>
    <w:rsid w:val="7BD607E1"/>
    <w:rsid w:val="7BEA18F4"/>
    <w:rsid w:val="7BFF730D"/>
    <w:rsid w:val="7C24086F"/>
    <w:rsid w:val="7C703D67"/>
    <w:rsid w:val="7C9E6B26"/>
    <w:rsid w:val="7C9F6BE9"/>
    <w:rsid w:val="7CB2661D"/>
    <w:rsid w:val="7CB71996"/>
    <w:rsid w:val="7CF404F4"/>
    <w:rsid w:val="7D0015F4"/>
    <w:rsid w:val="7D0D7808"/>
    <w:rsid w:val="7D496557"/>
    <w:rsid w:val="7D5F237C"/>
    <w:rsid w:val="7D6B6773"/>
    <w:rsid w:val="7D961B9A"/>
    <w:rsid w:val="7DBB6070"/>
    <w:rsid w:val="7DED63D0"/>
    <w:rsid w:val="7E1020AF"/>
    <w:rsid w:val="7E1A3F8B"/>
    <w:rsid w:val="7E2D6AC2"/>
    <w:rsid w:val="7E3F4BCD"/>
    <w:rsid w:val="7E503278"/>
    <w:rsid w:val="7E690D35"/>
    <w:rsid w:val="7E926217"/>
    <w:rsid w:val="7E956954"/>
    <w:rsid w:val="7EA651C1"/>
    <w:rsid w:val="7EAD481B"/>
    <w:rsid w:val="7ECA59B1"/>
    <w:rsid w:val="7EEC1DCB"/>
    <w:rsid w:val="7F0A0524"/>
    <w:rsid w:val="7F1E1594"/>
    <w:rsid w:val="7F4B6E66"/>
    <w:rsid w:val="7F871AF4"/>
    <w:rsid w:val="7F983D01"/>
    <w:rsid w:val="7FAA57E2"/>
    <w:rsid w:val="7FBA34AC"/>
    <w:rsid w:val="7FC66FE8"/>
    <w:rsid w:val="7FF015C4"/>
    <w:rsid w:val="7FF11926"/>
    <w:rsid w:val="7FF6687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9"/>
    <w:autoRedefine/>
    <w:qFormat/>
    <w:uiPriority w:val="0"/>
    <w:pPr>
      <w:keepNext/>
      <w:jc w:val="center"/>
      <w:outlineLvl w:val="0"/>
    </w:pPr>
    <w:rPr>
      <w:b/>
      <w:bCs/>
      <w:sz w:val="24"/>
      <w:szCs w:val="20"/>
    </w:rPr>
  </w:style>
  <w:style w:type="paragraph" w:styleId="3">
    <w:name w:val="heading 2"/>
    <w:basedOn w:val="1"/>
    <w:next w:val="1"/>
    <w:link w:val="70"/>
    <w:autoRedefine/>
    <w:qFormat/>
    <w:uiPriority w:val="0"/>
    <w:pPr>
      <w:keepNext/>
      <w:keepLines/>
      <w:spacing w:line="360" w:lineRule="auto"/>
      <w:outlineLvl w:val="1"/>
    </w:pPr>
    <w:rPr>
      <w:rFonts w:ascii="Arial" w:hAnsi="Arial"/>
      <w:b/>
      <w:bCs/>
      <w:sz w:val="24"/>
      <w:szCs w:val="32"/>
    </w:rPr>
  </w:style>
  <w:style w:type="paragraph" w:styleId="4">
    <w:name w:val="heading 3"/>
    <w:basedOn w:val="1"/>
    <w:next w:val="1"/>
    <w:link w:val="71"/>
    <w:autoRedefine/>
    <w:qFormat/>
    <w:uiPriority w:val="0"/>
    <w:pPr>
      <w:keepNext/>
      <w:keepLines/>
      <w:spacing w:before="260" w:after="260" w:line="416" w:lineRule="auto"/>
      <w:outlineLvl w:val="2"/>
    </w:pPr>
    <w:rPr>
      <w:b/>
      <w:bCs/>
      <w:sz w:val="32"/>
      <w:szCs w:val="32"/>
    </w:rPr>
  </w:style>
  <w:style w:type="paragraph" w:styleId="5">
    <w:name w:val="heading 4"/>
    <w:basedOn w:val="1"/>
    <w:next w:val="1"/>
    <w:link w:val="72"/>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73"/>
    <w:autoRedefine/>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68"/>
    <w:autoRedefine/>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74"/>
    <w:autoRedefine/>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75"/>
    <w:autoRedefine/>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76"/>
    <w:autoRedefine/>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5">
    <w:name w:val="Default Paragraph Font"/>
    <w:autoRedefine/>
    <w:semiHidden/>
    <w:qFormat/>
    <w:uiPriority w:val="0"/>
  </w:style>
  <w:style w:type="table" w:default="1" w:styleId="43">
    <w:name w:val="Normal Table"/>
    <w:autoRedefine/>
    <w:semiHidden/>
    <w:qFormat/>
    <w:uiPriority w:val="0"/>
    <w:tblPr>
      <w:tblCellMar>
        <w:top w:w="0" w:type="dxa"/>
        <w:left w:w="108" w:type="dxa"/>
        <w:bottom w:w="0" w:type="dxa"/>
        <w:right w:w="108" w:type="dxa"/>
      </w:tblCellMar>
    </w:tblPr>
  </w:style>
  <w:style w:type="paragraph" w:styleId="11">
    <w:name w:val="toc 7"/>
    <w:basedOn w:val="1"/>
    <w:next w:val="1"/>
    <w:autoRedefine/>
    <w:qFormat/>
    <w:uiPriority w:val="0"/>
    <w:pPr>
      <w:ind w:left="2520" w:leftChars="1200"/>
    </w:pPr>
    <w:rPr>
      <w:rFonts w:ascii="Calibri" w:hAnsi="Calibri"/>
      <w:szCs w:val="22"/>
    </w:rPr>
  </w:style>
  <w:style w:type="paragraph" w:styleId="12">
    <w:name w:val="Normal Indent"/>
    <w:basedOn w:val="1"/>
    <w:autoRedefine/>
    <w:qFormat/>
    <w:uiPriority w:val="0"/>
    <w:pPr>
      <w:widowControl/>
      <w:ind w:firstLine="420"/>
      <w:jc w:val="left"/>
    </w:pPr>
    <w:rPr>
      <w:kern w:val="0"/>
      <w:sz w:val="20"/>
      <w:szCs w:val="20"/>
    </w:rPr>
  </w:style>
  <w:style w:type="paragraph" w:styleId="13">
    <w:name w:val="Document Map"/>
    <w:basedOn w:val="1"/>
    <w:autoRedefine/>
    <w:semiHidden/>
    <w:qFormat/>
    <w:uiPriority w:val="0"/>
    <w:pPr>
      <w:shd w:val="clear" w:color="auto" w:fill="000080"/>
    </w:pPr>
  </w:style>
  <w:style w:type="paragraph" w:styleId="14">
    <w:name w:val="annotation text"/>
    <w:basedOn w:val="1"/>
    <w:link w:val="77"/>
    <w:autoRedefine/>
    <w:semiHidden/>
    <w:qFormat/>
    <w:uiPriority w:val="0"/>
    <w:pPr>
      <w:jc w:val="left"/>
    </w:pPr>
  </w:style>
  <w:style w:type="paragraph" w:styleId="15">
    <w:name w:val="Salutation"/>
    <w:basedOn w:val="1"/>
    <w:next w:val="1"/>
    <w:autoRedefine/>
    <w:qFormat/>
    <w:uiPriority w:val="0"/>
    <w:rPr>
      <w:rFonts w:ascii="仿宋_GB2312" w:eastAsia="仿宋_GB2312"/>
      <w:sz w:val="24"/>
    </w:rPr>
  </w:style>
  <w:style w:type="paragraph" w:styleId="16">
    <w:name w:val="Body Text 3"/>
    <w:basedOn w:val="1"/>
    <w:autoRedefine/>
    <w:qFormat/>
    <w:uiPriority w:val="0"/>
    <w:pPr>
      <w:autoSpaceDE w:val="0"/>
      <w:autoSpaceDN w:val="0"/>
      <w:adjustRightInd w:val="0"/>
      <w:spacing w:line="410" w:lineRule="atLeast"/>
      <w:jc w:val="left"/>
    </w:pPr>
    <w:rPr>
      <w:rFonts w:ascii="宋体"/>
      <w:color w:val="000000"/>
      <w:kern w:val="0"/>
      <w:sz w:val="24"/>
      <w:szCs w:val="20"/>
    </w:rPr>
  </w:style>
  <w:style w:type="paragraph" w:styleId="17">
    <w:name w:val="Body Text"/>
    <w:basedOn w:val="1"/>
    <w:autoRedefine/>
    <w:qFormat/>
    <w:uiPriority w:val="0"/>
    <w:pPr>
      <w:spacing w:after="120"/>
    </w:pPr>
  </w:style>
  <w:style w:type="paragraph" w:styleId="18">
    <w:name w:val="Body Text Indent"/>
    <w:basedOn w:val="1"/>
    <w:next w:val="19"/>
    <w:link w:val="78"/>
    <w:autoRedefine/>
    <w:qFormat/>
    <w:uiPriority w:val="99"/>
    <w:pPr>
      <w:spacing w:after="120"/>
      <w:ind w:left="420" w:leftChars="200"/>
    </w:pPr>
  </w:style>
  <w:style w:type="paragraph" w:styleId="19">
    <w:name w:val="annotation subject"/>
    <w:basedOn w:val="14"/>
    <w:next w:val="1"/>
    <w:link w:val="86"/>
    <w:autoRedefine/>
    <w:qFormat/>
    <w:uiPriority w:val="0"/>
    <w:rPr>
      <w:b/>
      <w:bCs/>
    </w:rPr>
  </w:style>
  <w:style w:type="paragraph" w:styleId="20">
    <w:name w:val="Block Text"/>
    <w:basedOn w:val="1"/>
    <w:autoRedefine/>
    <w:qFormat/>
    <w:uiPriority w:val="0"/>
    <w:pPr>
      <w:ind w:left="1171" w:right="91" w:hanging="1080"/>
    </w:pPr>
    <w:rPr>
      <w:rFonts w:eastAsia="楷体_GB2312"/>
      <w:szCs w:val="20"/>
    </w:rPr>
  </w:style>
  <w:style w:type="paragraph" w:styleId="21">
    <w:name w:val="toc 5"/>
    <w:basedOn w:val="1"/>
    <w:next w:val="1"/>
    <w:autoRedefine/>
    <w:qFormat/>
    <w:uiPriority w:val="0"/>
    <w:pPr>
      <w:ind w:left="1680" w:leftChars="800"/>
    </w:pPr>
    <w:rPr>
      <w:rFonts w:ascii="Calibri" w:hAnsi="Calibri"/>
      <w:szCs w:val="22"/>
    </w:rPr>
  </w:style>
  <w:style w:type="paragraph" w:styleId="22">
    <w:name w:val="toc 3"/>
    <w:basedOn w:val="1"/>
    <w:next w:val="1"/>
    <w:autoRedefine/>
    <w:qFormat/>
    <w:uiPriority w:val="0"/>
    <w:pPr>
      <w:ind w:left="840" w:leftChars="400"/>
    </w:pPr>
  </w:style>
  <w:style w:type="paragraph" w:styleId="23">
    <w:name w:val="Plain Text"/>
    <w:basedOn w:val="1"/>
    <w:link w:val="80"/>
    <w:autoRedefine/>
    <w:qFormat/>
    <w:uiPriority w:val="0"/>
    <w:rPr>
      <w:rFonts w:ascii="宋体" w:hAnsi="Courier New" w:cs="Courier New"/>
      <w:szCs w:val="21"/>
    </w:rPr>
  </w:style>
  <w:style w:type="paragraph" w:styleId="24">
    <w:name w:val="toc 8"/>
    <w:basedOn w:val="1"/>
    <w:next w:val="1"/>
    <w:autoRedefine/>
    <w:qFormat/>
    <w:uiPriority w:val="0"/>
    <w:pPr>
      <w:ind w:left="2940" w:leftChars="1400"/>
    </w:pPr>
    <w:rPr>
      <w:rFonts w:ascii="Calibri" w:hAnsi="Calibri"/>
      <w:szCs w:val="22"/>
    </w:rPr>
  </w:style>
  <w:style w:type="paragraph" w:styleId="25">
    <w:name w:val="Date"/>
    <w:basedOn w:val="1"/>
    <w:next w:val="1"/>
    <w:link w:val="81"/>
    <w:autoRedefine/>
    <w:qFormat/>
    <w:uiPriority w:val="0"/>
    <w:rPr>
      <w:sz w:val="24"/>
      <w:szCs w:val="20"/>
    </w:rPr>
  </w:style>
  <w:style w:type="paragraph" w:styleId="26">
    <w:name w:val="Body Text Indent 2"/>
    <w:basedOn w:val="1"/>
    <w:autoRedefine/>
    <w:qFormat/>
    <w:uiPriority w:val="0"/>
    <w:pPr>
      <w:spacing w:after="120" w:line="480" w:lineRule="auto"/>
      <w:ind w:left="420" w:leftChars="200"/>
    </w:pPr>
  </w:style>
  <w:style w:type="paragraph" w:styleId="27">
    <w:name w:val="Balloon Text"/>
    <w:basedOn w:val="1"/>
    <w:link w:val="82"/>
    <w:autoRedefine/>
    <w:qFormat/>
    <w:uiPriority w:val="0"/>
    <w:rPr>
      <w:sz w:val="18"/>
      <w:szCs w:val="18"/>
    </w:rPr>
  </w:style>
  <w:style w:type="paragraph" w:styleId="28">
    <w:name w:val="footer"/>
    <w:basedOn w:val="1"/>
    <w:link w:val="83"/>
    <w:autoRedefine/>
    <w:qFormat/>
    <w:uiPriority w:val="0"/>
    <w:pPr>
      <w:tabs>
        <w:tab w:val="center" w:pos="4153"/>
        <w:tab w:val="right" w:pos="8306"/>
      </w:tabs>
      <w:snapToGrid w:val="0"/>
      <w:jc w:val="left"/>
    </w:pPr>
    <w:rPr>
      <w:sz w:val="18"/>
      <w:szCs w:val="18"/>
    </w:rPr>
  </w:style>
  <w:style w:type="paragraph" w:styleId="29">
    <w:name w:val="header"/>
    <w:basedOn w:val="1"/>
    <w:link w:val="84"/>
    <w:autoRedefine/>
    <w:qFormat/>
    <w:uiPriority w:val="0"/>
    <w:pPr>
      <w:pBdr>
        <w:bottom w:val="single" w:color="auto" w:sz="6" w:space="1"/>
      </w:pBdr>
      <w:tabs>
        <w:tab w:val="center" w:pos="4153"/>
        <w:tab w:val="right" w:pos="8306"/>
      </w:tabs>
      <w:snapToGrid w:val="0"/>
      <w:jc w:val="center"/>
    </w:pPr>
    <w:rPr>
      <w:sz w:val="18"/>
      <w:szCs w:val="18"/>
    </w:rPr>
  </w:style>
  <w:style w:type="paragraph" w:styleId="30">
    <w:name w:val="toc 4"/>
    <w:basedOn w:val="1"/>
    <w:next w:val="1"/>
    <w:autoRedefine/>
    <w:qFormat/>
    <w:uiPriority w:val="0"/>
    <w:pPr>
      <w:ind w:left="1260" w:leftChars="600"/>
    </w:pPr>
  </w:style>
  <w:style w:type="paragraph" w:styleId="31">
    <w:name w:val="footnote text"/>
    <w:basedOn w:val="1"/>
    <w:autoRedefine/>
    <w:qFormat/>
    <w:uiPriority w:val="0"/>
    <w:pPr>
      <w:snapToGrid w:val="0"/>
      <w:jc w:val="left"/>
    </w:pPr>
    <w:rPr>
      <w:sz w:val="18"/>
      <w:szCs w:val="18"/>
    </w:rPr>
  </w:style>
  <w:style w:type="paragraph" w:styleId="32">
    <w:name w:val="toc 6"/>
    <w:basedOn w:val="1"/>
    <w:next w:val="1"/>
    <w:autoRedefine/>
    <w:qFormat/>
    <w:uiPriority w:val="0"/>
    <w:pPr>
      <w:ind w:left="2100" w:leftChars="1000"/>
    </w:pPr>
    <w:rPr>
      <w:rFonts w:ascii="Calibri" w:hAnsi="Calibri"/>
      <w:szCs w:val="22"/>
    </w:rPr>
  </w:style>
  <w:style w:type="paragraph" w:styleId="33">
    <w:name w:val="Body Text Indent 3"/>
    <w:basedOn w:val="1"/>
    <w:next w:val="1"/>
    <w:link w:val="79"/>
    <w:autoRedefine/>
    <w:qFormat/>
    <w:uiPriority w:val="0"/>
    <w:pPr>
      <w:spacing w:after="120"/>
      <w:ind w:left="420" w:leftChars="200"/>
    </w:pPr>
    <w:rPr>
      <w:sz w:val="16"/>
      <w:szCs w:val="16"/>
    </w:rPr>
  </w:style>
  <w:style w:type="paragraph" w:styleId="34">
    <w:name w:val="toc 2"/>
    <w:basedOn w:val="1"/>
    <w:next w:val="1"/>
    <w:autoRedefine/>
    <w:qFormat/>
    <w:uiPriority w:val="0"/>
    <w:pPr>
      <w:ind w:left="420" w:leftChars="200"/>
    </w:pPr>
  </w:style>
  <w:style w:type="paragraph" w:styleId="35">
    <w:name w:val="toc 9"/>
    <w:basedOn w:val="1"/>
    <w:next w:val="1"/>
    <w:autoRedefine/>
    <w:qFormat/>
    <w:uiPriority w:val="0"/>
    <w:pPr>
      <w:ind w:left="3360" w:leftChars="1600"/>
    </w:pPr>
    <w:rPr>
      <w:rFonts w:ascii="Calibri" w:hAnsi="Calibri"/>
      <w:szCs w:val="22"/>
    </w:rPr>
  </w:style>
  <w:style w:type="paragraph" w:styleId="36">
    <w:name w:val="Body Text 2"/>
    <w:basedOn w:val="1"/>
    <w:next w:val="1"/>
    <w:link w:val="85"/>
    <w:autoRedefine/>
    <w:qFormat/>
    <w:uiPriority w:val="0"/>
    <w:pPr>
      <w:spacing w:after="120" w:line="480" w:lineRule="auto"/>
    </w:pPr>
  </w:style>
  <w:style w:type="paragraph" w:styleId="37">
    <w:name w:val="HTML Preformatted"/>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8">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autoRedefine/>
    <w:qFormat/>
    <w:uiPriority w:val="0"/>
    <w:pPr>
      <w:spacing w:line="220" w:lineRule="exact"/>
      <w:jc w:val="center"/>
    </w:pPr>
    <w:rPr>
      <w:rFonts w:ascii="仿宋_GB2312" w:eastAsia="仿宋_GB2312"/>
      <w:szCs w:val="20"/>
    </w:rPr>
  </w:style>
  <w:style w:type="paragraph" w:styleId="40">
    <w:name w:val="Title"/>
    <w:basedOn w:val="1"/>
    <w:next w:val="1"/>
    <w:autoRedefine/>
    <w:qFormat/>
    <w:uiPriority w:val="0"/>
    <w:pPr>
      <w:spacing w:before="240" w:after="60"/>
      <w:jc w:val="center"/>
      <w:outlineLvl w:val="0"/>
    </w:pPr>
    <w:rPr>
      <w:rFonts w:ascii="Cambria" w:hAnsi="Cambria"/>
      <w:b/>
      <w:sz w:val="32"/>
    </w:rPr>
  </w:style>
  <w:style w:type="paragraph" w:styleId="41">
    <w:name w:val="Body Text First Indent"/>
    <w:basedOn w:val="17"/>
    <w:autoRedefine/>
    <w:qFormat/>
    <w:uiPriority w:val="0"/>
    <w:pPr>
      <w:spacing w:line="360" w:lineRule="auto"/>
      <w:ind w:firstLine="309" w:firstLineChars="100"/>
      <w:outlineLvl w:val="0"/>
    </w:pPr>
    <w:rPr>
      <w:bCs/>
      <w:color w:val="000000"/>
      <w:kern w:val="28"/>
      <w:szCs w:val="21"/>
    </w:rPr>
  </w:style>
  <w:style w:type="paragraph" w:styleId="42">
    <w:name w:val="Body Text First Indent 2"/>
    <w:basedOn w:val="18"/>
    <w:next w:val="12"/>
    <w:link w:val="87"/>
    <w:autoRedefine/>
    <w:unhideWhenUsed/>
    <w:qFormat/>
    <w:uiPriority w:val="99"/>
    <w:pPr>
      <w:autoSpaceDE w:val="0"/>
      <w:autoSpaceDN w:val="0"/>
      <w:adjustRightInd w:val="0"/>
      <w:ind w:firstLine="420"/>
      <w:jc w:val="left"/>
    </w:pPr>
    <w:rPr>
      <w:rFonts w:ascii="Calibri" w:hAnsi="Calibri" w:eastAsia="宋体" w:cs="Times New Roman"/>
      <w:kern w:val="0"/>
    </w:rPr>
  </w:style>
  <w:style w:type="table" w:styleId="44">
    <w:name w:val="Table Grid"/>
    <w:basedOn w:val="4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6">
    <w:name w:val="Strong"/>
    <w:autoRedefine/>
    <w:qFormat/>
    <w:uiPriority w:val="0"/>
    <w:rPr>
      <w:b/>
      <w:bCs/>
    </w:rPr>
  </w:style>
  <w:style w:type="character" w:styleId="47">
    <w:name w:val="page number"/>
    <w:basedOn w:val="45"/>
    <w:autoRedefine/>
    <w:qFormat/>
    <w:uiPriority w:val="0"/>
  </w:style>
  <w:style w:type="character" w:styleId="48">
    <w:name w:val="FollowedHyperlink"/>
    <w:basedOn w:val="45"/>
    <w:autoRedefine/>
    <w:qFormat/>
    <w:uiPriority w:val="99"/>
    <w:rPr>
      <w:color w:val="2C2C2C"/>
      <w:u w:val="none"/>
    </w:rPr>
  </w:style>
  <w:style w:type="character" w:styleId="49">
    <w:name w:val="Emphasis"/>
    <w:autoRedefine/>
    <w:qFormat/>
    <w:uiPriority w:val="0"/>
    <w:rPr>
      <w:rFonts w:ascii="Times New Roman" w:hAnsi="Times New Roman" w:eastAsia="宋体"/>
    </w:rPr>
  </w:style>
  <w:style w:type="character" w:styleId="50">
    <w:name w:val="HTML Definition"/>
    <w:autoRedefine/>
    <w:qFormat/>
    <w:uiPriority w:val="0"/>
    <w:rPr>
      <w:rFonts w:ascii="Times New Roman" w:hAnsi="Times New Roman" w:eastAsia="宋体"/>
    </w:rPr>
  </w:style>
  <w:style w:type="character" w:styleId="51">
    <w:name w:val="HTML Typewriter"/>
    <w:basedOn w:val="45"/>
    <w:autoRedefine/>
    <w:qFormat/>
    <w:uiPriority w:val="0"/>
    <w:rPr>
      <w:rFonts w:hint="default" w:ascii="monospace" w:hAnsi="monospace" w:eastAsia="monospace" w:cs="monospace"/>
      <w:sz w:val="20"/>
    </w:rPr>
  </w:style>
  <w:style w:type="character" w:styleId="52">
    <w:name w:val="HTML Acronym"/>
    <w:basedOn w:val="45"/>
    <w:autoRedefine/>
    <w:qFormat/>
    <w:uiPriority w:val="0"/>
  </w:style>
  <w:style w:type="character" w:styleId="53">
    <w:name w:val="HTML Variable"/>
    <w:autoRedefine/>
    <w:qFormat/>
    <w:uiPriority w:val="0"/>
    <w:rPr>
      <w:rFonts w:ascii="Times New Roman" w:hAnsi="Times New Roman" w:eastAsia="宋体"/>
    </w:rPr>
  </w:style>
  <w:style w:type="character" w:styleId="54">
    <w:name w:val="Hyperlink"/>
    <w:autoRedefine/>
    <w:qFormat/>
    <w:uiPriority w:val="99"/>
    <w:rPr>
      <w:color w:val="136EC2"/>
      <w:u w:val="single"/>
    </w:rPr>
  </w:style>
  <w:style w:type="character" w:styleId="55">
    <w:name w:val="HTML Code"/>
    <w:autoRedefine/>
    <w:qFormat/>
    <w:uiPriority w:val="0"/>
    <w:rPr>
      <w:rFonts w:ascii="Courier New" w:hAnsi="Courier New" w:eastAsia="Courier New" w:cs="Courier New"/>
      <w:sz w:val="20"/>
    </w:rPr>
  </w:style>
  <w:style w:type="character" w:styleId="56">
    <w:name w:val="annotation reference"/>
    <w:autoRedefine/>
    <w:qFormat/>
    <w:uiPriority w:val="0"/>
    <w:rPr>
      <w:sz w:val="21"/>
      <w:szCs w:val="21"/>
    </w:rPr>
  </w:style>
  <w:style w:type="character" w:styleId="57">
    <w:name w:val="HTML Cite"/>
    <w:autoRedefine/>
    <w:qFormat/>
    <w:uiPriority w:val="0"/>
    <w:rPr>
      <w:rFonts w:ascii="Times New Roman" w:hAnsi="Times New Roman" w:eastAsia="宋体"/>
    </w:rPr>
  </w:style>
  <w:style w:type="character" w:styleId="58">
    <w:name w:val="HTML Keyboard"/>
    <w:autoRedefine/>
    <w:qFormat/>
    <w:uiPriority w:val="0"/>
    <w:rPr>
      <w:rFonts w:ascii="Courier New" w:hAnsi="Courier New" w:eastAsia="Courier New" w:cs="Courier New"/>
      <w:sz w:val="20"/>
    </w:rPr>
  </w:style>
  <w:style w:type="character" w:styleId="59">
    <w:name w:val="HTML Sample"/>
    <w:autoRedefine/>
    <w:qFormat/>
    <w:uiPriority w:val="0"/>
    <w:rPr>
      <w:rFonts w:ascii="Courier New" w:hAnsi="Courier New" w:eastAsia="Courier New" w:cs="Courier New"/>
    </w:rPr>
  </w:style>
  <w:style w:type="paragraph" w:customStyle="1" w:styleId="60">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61">
    <w:name w:val="首行缩进"/>
    <w:basedOn w:val="1"/>
    <w:qFormat/>
    <w:uiPriority w:val="0"/>
    <w:pPr>
      <w:ind w:firstLine="480" w:firstLineChars="200"/>
    </w:pPr>
    <w:rPr>
      <w:lang w:val="zh-CN"/>
    </w:rPr>
  </w:style>
  <w:style w:type="paragraph" w:customStyle="1" w:styleId="62">
    <w:name w:val="列出段落1"/>
    <w:basedOn w:val="1"/>
    <w:autoRedefine/>
    <w:qFormat/>
    <w:uiPriority w:val="0"/>
    <w:pPr>
      <w:ind w:firstLine="420" w:firstLineChars="200"/>
    </w:pPr>
    <w:rPr>
      <w:rFonts w:ascii="Calibri" w:hAnsi="Calibri"/>
    </w:rPr>
  </w:style>
  <w:style w:type="paragraph" w:customStyle="1" w:styleId="63">
    <w:name w:val="正文格式"/>
    <w:basedOn w:val="17"/>
    <w:next w:val="17"/>
    <w:qFormat/>
    <w:uiPriority w:val="0"/>
    <w:pPr>
      <w:widowControl/>
      <w:adjustRightInd w:val="0"/>
      <w:snapToGrid w:val="0"/>
      <w:spacing w:line="400" w:lineRule="atLeast"/>
      <w:ind w:firstLine="482"/>
      <w:textAlignment w:val="baseline"/>
    </w:pPr>
    <w:rPr>
      <w:rFonts w:ascii="Times New Roman" w:hAnsi="Times New Roman" w:eastAsia="宋体" w:cs="Times New Roman"/>
      <w:kern w:val="0"/>
      <w:sz w:val="24"/>
    </w:rPr>
  </w:style>
  <w:style w:type="paragraph" w:customStyle="1" w:styleId="64">
    <w:name w:val="一级条标题"/>
    <w:basedOn w:val="65"/>
    <w:next w:val="66"/>
    <w:autoRedefine/>
    <w:qFormat/>
    <w:uiPriority w:val="0"/>
    <w:pPr>
      <w:spacing w:line="240" w:lineRule="auto"/>
      <w:ind w:left="420"/>
      <w:outlineLvl w:val="2"/>
    </w:pPr>
  </w:style>
  <w:style w:type="paragraph" w:customStyle="1" w:styleId="65">
    <w:name w:val="章标题"/>
    <w:next w:val="1"/>
    <w:autoRedefine/>
    <w:qFormat/>
    <w:uiPriority w:val="0"/>
    <w:pPr>
      <w:spacing w:line="360" w:lineRule="auto"/>
      <w:jc w:val="both"/>
      <w:outlineLvl w:val="1"/>
    </w:pPr>
    <w:rPr>
      <w:rFonts w:ascii="黑体" w:hAnsi="Times New Roman" w:eastAsia="黑体" w:cs="黑体"/>
      <w:sz w:val="21"/>
      <w:szCs w:val="21"/>
      <w:lang w:val="en-US" w:eastAsia="zh-CN" w:bidi="ar-SA"/>
    </w:rPr>
  </w:style>
  <w:style w:type="paragraph" w:customStyle="1" w:styleId="66">
    <w:name w:val="段"/>
    <w:next w:val="1"/>
    <w:autoRedefine/>
    <w:qFormat/>
    <w:uiPriority w:val="0"/>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67">
    <w:name w:val="正文1"/>
    <w:basedOn w:val="1"/>
    <w:autoRedefine/>
    <w:qFormat/>
    <w:uiPriority w:val="0"/>
    <w:pPr>
      <w:spacing w:line="360" w:lineRule="auto"/>
      <w:ind w:firstLine="480" w:firstLineChars="200"/>
    </w:pPr>
    <w:rPr>
      <w:sz w:val="24"/>
    </w:rPr>
  </w:style>
  <w:style w:type="character" w:customStyle="1" w:styleId="68">
    <w:name w:val="标题 6 Char1"/>
    <w:link w:val="7"/>
    <w:autoRedefine/>
    <w:qFormat/>
    <w:uiPriority w:val="0"/>
    <w:rPr>
      <w:rFonts w:ascii="Arial" w:hAnsi="Arial" w:eastAsia="黑体"/>
      <w:b/>
      <w:bCs/>
      <w:sz w:val="24"/>
      <w:szCs w:val="24"/>
      <w:lang w:val="en-US" w:eastAsia="zh-CN" w:bidi="ar-SA"/>
    </w:rPr>
  </w:style>
  <w:style w:type="character" w:customStyle="1" w:styleId="69">
    <w:name w:val="标题 1 Char1"/>
    <w:link w:val="2"/>
    <w:autoRedefine/>
    <w:qFormat/>
    <w:uiPriority w:val="0"/>
    <w:rPr>
      <w:rFonts w:eastAsia="宋体"/>
      <w:b/>
      <w:bCs/>
      <w:kern w:val="2"/>
      <w:sz w:val="24"/>
      <w:lang w:val="en-US" w:eastAsia="zh-CN" w:bidi="ar-SA"/>
    </w:rPr>
  </w:style>
  <w:style w:type="character" w:customStyle="1" w:styleId="70">
    <w:name w:val="标题 2 Char1"/>
    <w:link w:val="3"/>
    <w:autoRedefine/>
    <w:qFormat/>
    <w:uiPriority w:val="0"/>
    <w:rPr>
      <w:rFonts w:ascii="Arial" w:hAnsi="Arial" w:eastAsia="宋体"/>
      <w:b/>
      <w:bCs/>
      <w:kern w:val="2"/>
      <w:sz w:val="24"/>
      <w:szCs w:val="32"/>
      <w:lang w:val="en-US" w:eastAsia="zh-CN" w:bidi="ar-SA"/>
    </w:rPr>
  </w:style>
  <w:style w:type="character" w:customStyle="1" w:styleId="71">
    <w:name w:val="标题 3 Char1"/>
    <w:link w:val="4"/>
    <w:autoRedefine/>
    <w:qFormat/>
    <w:uiPriority w:val="0"/>
    <w:rPr>
      <w:rFonts w:eastAsia="宋体"/>
      <w:b/>
      <w:bCs/>
      <w:kern w:val="2"/>
      <w:sz w:val="32"/>
      <w:szCs w:val="32"/>
      <w:lang w:val="en-US" w:eastAsia="zh-CN" w:bidi="ar-SA"/>
    </w:rPr>
  </w:style>
  <w:style w:type="character" w:customStyle="1" w:styleId="72">
    <w:name w:val="标题 4 Char1"/>
    <w:link w:val="5"/>
    <w:autoRedefine/>
    <w:qFormat/>
    <w:uiPriority w:val="0"/>
    <w:rPr>
      <w:rFonts w:ascii="Arial" w:hAnsi="Arial" w:eastAsia="黑体"/>
      <w:b/>
      <w:bCs/>
      <w:kern w:val="2"/>
      <w:sz w:val="28"/>
      <w:szCs w:val="28"/>
      <w:lang w:val="en-US" w:eastAsia="zh-CN" w:bidi="ar-SA"/>
    </w:rPr>
  </w:style>
  <w:style w:type="character" w:customStyle="1" w:styleId="73">
    <w:name w:val="标题 5 Char1"/>
    <w:link w:val="6"/>
    <w:autoRedefine/>
    <w:qFormat/>
    <w:uiPriority w:val="0"/>
    <w:rPr>
      <w:rFonts w:eastAsia="宋体"/>
      <w:b/>
      <w:bCs/>
      <w:sz w:val="28"/>
      <w:szCs w:val="28"/>
      <w:lang w:val="en-US" w:eastAsia="zh-CN" w:bidi="ar-SA"/>
    </w:rPr>
  </w:style>
  <w:style w:type="character" w:customStyle="1" w:styleId="74">
    <w:name w:val="标题 7 Char1"/>
    <w:link w:val="8"/>
    <w:autoRedefine/>
    <w:qFormat/>
    <w:uiPriority w:val="0"/>
    <w:rPr>
      <w:rFonts w:eastAsia="宋体"/>
      <w:b/>
      <w:bCs/>
      <w:sz w:val="24"/>
      <w:szCs w:val="24"/>
      <w:lang w:val="en-US" w:eastAsia="zh-CN" w:bidi="ar-SA"/>
    </w:rPr>
  </w:style>
  <w:style w:type="character" w:customStyle="1" w:styleId="75">
    <w:name w:val="标题 8 Char1"/>
    <w:link w:val="9"/>
    <w:autoRedefine/>
    <w:qFormat/>
    <w:uiPriority w:val="0"/>
    <w:rPr>
      <w:rFonts w:ascii="Arial" w:hAnsi="Arial" w:eastAsia="黑体"/>
      <w:sz w:val="24"/>
      <w:szCs w:val="24"/>
      <w:lang w:val="en-US" w:eastAsia="zh-CN" w:bidi="ar-SA"/>
    </w:rPr>
  </w:style>
  <w:style w:type="character" w:customStyle="1" w:styleId="76">
    <w:name w:val="标题 9 Char1"/>
    <w:link w:val="10"/>
    <w:autoRedefine/>
    <w:qFormat/>
    <w:uiPriority w:val="0"/>
    <w:rPr>
      <w:rFonts w:ascii="Arial" w:hAnsi="Arial" w:eastAsia="黑体"/>
      <w:sz w:val="21"/>
      <w:szCs w:val="21"/>
      <w:lang w:val="en-US" w:eastAsia="zh-CN" w:bidi="ar-SA"/>
    </w:rPr>
  </w:style>
  <w:style w:type="character" w:customStyle="1" w:styleId="77">
    <w:name w:val="批注文字 Char1"/>
    <w:link w:val="14"/>
    <w:autoRedefine/>
    <w:qFormat/>
    <w:uiPriority w:val="0"/>
    <w:rPr>
      <w:rFonts w:eastAsia="宋体"/>
      <w:kern w:val="2"/>
      <w:sz w:val="21"/>
      <w:szCs w:val="24"/>
      <w:lang w:val="en-US" w:eastAsia="zh-CN" w:bidi="ar-SA"/>
    </w:rPr>
  </w:style>
  <w:style w:type="character" w:customStyle="1" w:styleId="78">
    <w:name w:val="正文文本缩进 Char"/>
    <w:link w:val="18"/>
    <w:autoRedefine/>
    <w:qFormat/>
    <w:uiPriority w:val="99"/>
    <w:rPr>
      <w:rFonts w:eastAsia="宋体"/>
      <w:kern w:val="2"/>
      <w:sz w:val="21"/>
      <w:szCs w:val="24"/>
      <w:lang w:val="en-US" w:eastAsia="zh-CN" w:bidi="ar-SA"/>
    </w:rPr>
  </w:style>
  <w:style w:type="character" w:customStyle="1" w:styleId="79">
    <w:name w:val="正文文本缩进 3 Char1"/>
    <w:link w:val="33"/>
    <w:autoRedefine/>
    <w:qFormat/>
    <w:uiPriority w:val="0"/>
    <w:rPr>
      <w:rFonts w:eastAsia="宋体"/>
      <w:kern w:val="2"/>
      <w:sz w:val="16"/>
      <w:szCs w:val="16"/>
      <w:lang w:val="en-US" w:eastAsia="zh-CN" w:bidi="ar-SA"/>
    </w:rPr>
  </w:style>
  <w:style w:type="character" w:customStyle="1" w:styleId="80">
    <w:name w:val="纯文本 Char"/>
    <w:link w:val="23"/>
    <w:autoRedefine/>
    <w:qFormat/>
    <w:locked/>
    <w:uiPriority w:val="0"/>
    <w:rPr>
      <w:rFonts w:ascii="宋体" w:hAnsi="Courier New" w:eastAsia="宋体" w:cs="Courier New"/>
      <w:kern w:val="2"/>
      <w:sz w:val="21"/>
      <w:szCs w:val="21"/>
      <w:lang w:val="en-US" w:eastAsia="zh-CN" w:bidi="ar-SA"/>
    </w:rPr>
  </w:style>
  <w:style w:type="character" w:customStyle="1" w:styleId="81">
    <w:name w:val="日期 Char1"/>
    <w:link w:val="25"/>
    <w:autoRedefine/>
    <w:qFormat/>
    <w:uiPriority w:val="0"/>
    <w:rPr>
      <w:rFonts w:eastAsia="宋体"/>
      <w:kern w:val="2"/>
      <w:sz w:val="24"/>
      <w:lang w:val="en-US" w:eastAsia="zh-CN" w:bidi="ar-SA"/>
    </w:rPr>
  </w:style>
  <w:style w:type="character" w:customStyle="1" w:styleId="82">
    <w:name w:val="批注框文本 Char1"/>
    <w:link w:val="27"/>
    <w:autoRedefine/>
    <w:semiHidden/>
    <w:qFormat/>
    <w:locked/>
    <w:uiPriority w:val="0"/>
    <w:rPr>
      <w:rFonts w:ascii="Calibri" w:hAnsi="Calibri" w:eastAsia="宋体"/>
      <w:kern w:val="2"/>
      <w:sz w:val="18"/>
      <w:szCs w:val="18"/>
      <w:lang w:val="en-US" w:eastAsia="zh-CN" w:bidi="ar-SA"/>
    </w:rPr>
  </w:style>
  <w:style w:type="character" w:customStyle="1" w:styleId="83">
    <w:name w:val="页脚 Char1"/>
    <w:link w:val="28"/>
    <w:autoRedefine/>
    <w:qFormat/>
    <w:uiPriority w:val="0"/>
    <w:rPr>
      <w:rFonts w:eastAsia="宋体"/>
      <w:kern w:val="2"/>
      <w:sz w:val="18"/>
      <w:szCs w:val="18"/>
      <w:lang w:val="en-US" w:eastAsia="zh-CN" w:bidi="ar-SA"/>
    </w:rPr>
  </w:style>
  <w:style w:type="character" w:customStyle="1" w:styleId="84">
    <w:name w:val="页眉 Char1"/>
    <w:link w:val="29"/>
    <w:autoRedefine/>
    <w:qFormat/>
    <w:uiPriority w:val="0"/>
    <w:rPr>
      <w:rFonts w:eastAsia="宋体"/>
      <w:kern w:val="2"/>
      <w:sz w:val="18"/>
      <w:szCs w:val="18"/>
      <w:lang w:val="en-US" w:eastAsia="zh-CN" w:bidi="ar-SA"/>
    </w:rPr>
  </w:style>
  <w:style w:type="character" w:customStyle="1" w:styleId="85">
    <w:name w:val="正文文本 2 Char"/>
    <w:link w:val="36"/>
    <w:autoRedefine/>
    <w:qFormat/>
    <w:locked/>
    <w:uiPriority w:val="0"/>
    <w:rPr>
      <w:kern w:val="2"/>
      <w:sz w:val="21"/>
      <w:szCs w:val="24"/>
    </w:rPr>
  </w:style>
  <w:style w:type="character" w:customStyle="1" w:styleId="86">
    <w:name w:val="批注主题 Char1"/>
    <w:link w:val="19"/>
    <w:autoRedefine/>
    <w:qFormat/>
    <w:uiPriority w:val="0"/>
    <w:rPr>
      <w:rFonts w:eastAsia="宋体"/>
      <w:b/>
      <w:bCs/>
      <w:kern w:val="2"/>
      <w:sz w:val="21"/>
      <w:szCs w:val="24"/>
      <w:lang w:val="en-US" w:eastAsia="zh-CN" w:bidi="ar-SA"/>
    </w:rPr>
  </w:style>
  <w:style w:type="character" w:customStyle="1" w:styleId="87">
    <w:name w:val="正文首行缩进 2 Char"/>
    <w:basedOn w:val="78"/>
    <w:link w:val="42"/>
    <w:autoRedefine/>
    <w:qFormat/>
    <w:uiPriority w:val="99"/>
    <w:rPr>
      <w:rFonts w:ascii="Calibri" w:hAnsi="Calibri"/>
    </w:rPr>
  </w:style>
  <w:style w:type="character" w:customStyle="1" w:styleId="88">
    <w:name w:val="sidecatalog-dot"/>
    <w:autoRedefine/>
    <w:qFormat/>
    <w:uiPriority w:val="0"/>
    <w:rPr>
      <w:rFonts w:ascii="Times New Roman" w:hAnsi="Times New Roman" w:eastAsia="宋体"/>
    </w:rPr>
  </w:style>
  <w:style w:type="character" w:customStyle="1" w:styleId="89">
    <w:name w:val="sort"/>
    <w:autoRedefine/>
    <w:qFormat/>
    <w:uiPriority w:val="0"/>
    <w:rPr>
      <w:rFonts w:ascii="Times New Roman" w:hAnsi="Times New Roman" w:eastAsia="宋体"/>
      <w:color w:val="FFFFFF"/>
      <w:bdr w:val="single" w:color="auto" w:sz="24" w:space="0"/>
    </w:rPr>
  </w:style>
  <w:style w:type="character" w:customStyle="1" w:styleId="90">
    <w:name w:val="纯文本 Char1"/>
    <w:autoRedefine/>
    <w:semiHidden/>
    <w:qFormat/>
    <w:locked/>
    <w:uiPriority w:val="0"/>
    <w:rPr>
      <w:rFonts w:ascii="宋体" w:hAnsi="Courier New" w:eastAsia="宋体" w:cs="Courier New"/>
      <w:kern w:val="2"/>
      <w:sz w:val="21"/>
      <w:szCs w:val="21"/>
      <w:lang w:val="en-US" w:eastAsia="zh-CN" w:bidi="ar-SA"/>
    </w:rPr>
  </w:style>
  <w:style w:type="character" w:customStyle="1" w:styleId="91">
    <w:name w:val="Font Style94"/>
    <w:autoRedefine/>
    <w:unhideWhenUsed/>
    <w:qFormat/>
    <w:uiPriority w:val="0"/>
    <w:rPr>
      <w:rFonts w:hint="eastAsia" w:ascii="Times New Roman" w:hAnsi="Times New Roman" w:eastAsia="Times New Roman"/>
      <w:sz w:val="28"/>
    </w:rPr>
  </w:style>
  <w:style w:type="character" w:customStyle="1" w:styleId="92">
    <w:name w:val="Font Style86"/>
    <w:autoRedefine/>
    <w:unhideWhenUsed/>
    <w:qFormat/>
    <w:uiPriority w:val="0"/>
    <w:rPr>
      <w:rFonts w:hint="eastAsia" w:ascii="黑体" w:hAnsi="黑体" w:eastAsia="黑体"/>
      <w:spacing w:val="10"/>
      <w:sz w:val="30"/>
    </w:rPr>
  </w:style>
  <w:style w:type="character" w:customStyle="1" w:styleId="93">
    <w:name w:val="标题 6 Char"/>
    <w:autoRedefine/>
    <w:qFormat/>
    <w:uiPriority w:val="0"/>
    <w:rPr>
      <w:rFonts w:ascii="Arial" w:hAnsi="Arial" w:eastAsia="黑体"/>
      <w:b/>
      <w:bCs/>
      <w:sz w:val="24"/>
      <w:szCs w:val="24"/>
    </w:rPr>
  </w:style>
  <w:style w:type="character" w:customStyle="1" w:styleId="94">
    <w:name w:val="polysemyred"/>
    <w:autoRedefine/>
    <w:qFormat/>
    <w:uiPriority w:val="0"/>
    <w:rPr>
      <w:rFonts w:ascii="Times New Roman" w:hAnsi="Times New Roman" w:eastAsia="宋体"/>
      <w:color w:val="FF6666"/>
      <w:sz w:val="18"/>
      <w:szCs w:val="18"/>
    </w:rPr>
  </w:style>
  <w:style w:type="character" w:customStyle="1" w:styleId="95">
    <w:name w:val="批注文字 Char"/>
    <w:autoRedefine/>
    <w:qFormat/>
    <w:uiPriority w:val="0"/>
    <w:rPr>
      <w:kern w:val="2"/>
      <w:sz w:val="21"/>
      <w:szCs w:val="24"/>
    </w:rPr>
  </w:style>
  <w:style w:type="character" w:customStyle="1" w:styleId="96">
    <w:name w:val="标题 Char"/>
    <w:autoRedefine/>
    <w:qFormat/>
    <w:uiPriority w:val="0"/>
    <w:rPr>
      <w:rFonts w:ascii="Cambria" w:hAnsi="Cambria"/>
      <w:b/>
      <w:kern w:val="2"/>
      <w:sz w:val="32"/>
      <w:szCs w:val="24"/>
    </w:rPr>
  </w:style>
  <w:style w:type="character" w:customStyle="1" w:styleId="97">
    <w:name w:val="p0 Char Char"/>
    <w:autoRedefine/>
    <w:qFormat/>
    <w:uiPriority w:val="0"/>
    <w:rPr>
      <w:rFonts w:eastAsia="宋体"/>
      <w:kern w:val="2"/>
      <w:sz w:val="21"/>
      <w:szCs w:val="21"/>
      <w:lang w:val="en-US" w:eastAsia="zh-CN" w:bidi="ar-SA"/>
    </w:rPr>
  </w:style>
  <w:style w:type="character" w:customStyle="1" w:styleId="98">
    <w:name w:val="标题 4 Char Char"/>
    <w:autoRedefine/>
    <w:qFormat/>
    <w:uiPriority w:val="0"/>
    <w:rPr>
      <w:rFonts w:ascii="Arial" w:hAnsi="Arial" w:eastAsia="宋体"/>
      <w:b/>
      <w:bCs/>
      <w:kern w:val="2"/>
      <w:sz w:val="21"/>
      <w:szCs w:val="28"/>
      <w:lang w:val="en-US" w:eastAsia="zh-CN" w:bidi="ar-SA"/>
    </w:rPr>
  </w:style>
  <w:style w:type="character" w:customStyle="1" w:styleId="99">
    <w:name w:val="正文文本缩进 3 Char"/>
    <w:autoRedefine/>
    <w:qFormat/>
    <w:uiPriority w:val="0"/>
    <w:rPr>
      <w:rFonts w:ascii="宋体" w:hAnsi="MS Sans Serif"/>
      <w:color w:val="000000"/>
      <w:sz w:val="24"/>
    </w:rPr>
  </w:style>
  <w:style w:type="character" w:customStyle="1" w:styleId="100">
    <w:name w:val="p0 Char"/>
    <w:link w:val="101"/>
    <w:autoRedefine/>
    <w:qFormat/>
    <w:uiPriority w:val="0"/>
    <w:rPr>
      <w:rFonts w:eastAsia="宋体"/>
      <w:sz w:val="21"/>
      <w:szCs w:val="21"/>
      <w:lang w:val="en-US" w:eastAsia="zh-CN" w:bidi="ar-SA"/>
    </w:rPr>
  </w:style>
  <w:style w:type="paragraph" w:customStyle="1" w:styleId="101">
    <w:name w:val="p0"/>
    <w:basedOn w:val="1"/>
    <w:link w:val="100"/>
    <w:autoRedefine/>
    <w:qFormat/>
    <w:uiPriority w:val="0"/>
    <w:pPr>
      <w:widowControl/>
    </w:pPr>
    <w:rPr>
      <w:kern w:val="0"/>
      <w:szCs w:val="21"/>
    </w:rPr>
  </w:style>
  <w:style w:type="character" w:customStyle="1" w:styleId="102">
    <w:name w:val="Font Style115"/>
    <w:autoRedefine/>
    <w:unhideWhenUsed/>
    <w:qFormat/>
    <w:uiPriority w:val="0"/>
    <w:rPr>
      <w:rFonts w:hint="eastAsia" w:ascii="Times New Roman" w:hAnsi="Times New Roman" w:eastAsia="Times New Roman"/>
      <w:sz w:val="16"/>
    </w:rPr>
  </w:style>
  <w:style w:type="character" w:customStyle="1" w:styleId="103">
    <w:name w:val="页眉 Char"/>
    <w:autoRedefine/>
    <w:qFormat/>
    <w:uiPriority w:val="0"/>
    <w:rPr>
      <w:kern w:val="2"/>
      <w:sz w:val="18"/>
      <w:szCs w:val="18"/>
    </w:rPr>
  </w:style>
  <w:style w:type="character" w:customStyle="1" w:styleId="104">
    <w:name w:val="bds_more10"/>
    <w:autoRedefine/>
    <w:qFormat/>
    <w:uiPriority w:val="0"/>
    <w:rPr>
      <w:rFonts w:ascii="Times New Roman" w:hAnsi="Times New Roman" w:eastAsia="宋体"/>
    </w:rPr>
  </w:style>
  <w:style w:type="character" w:customStyle="1" w:styleId="105">
    <w:name w:val="bds_more9"/>
    <w:autoRedefine/>
    <w:qFormat/>
    <w:uiPriority w:val="0"/>
    <w:rPr>
      <w:rFonts w:ascii="Times New Roman" w:hAnsi="Times New Roman" w:eastAsia="宋体"/>
    </w:rPr>
  </w:style>
  <w:style w:type="character" w:customStyle="1" w:styleId="106">
    <w:name w:val="bds_more7"/>
    <w:autoRedefine/>
    <w:qFormat/>
    <w:uiPriority w:val="0"/>
    <w:rPr>
      <w:rFonts w:ascii="Times New Roman" w:hAnsi="Times New Roman" w:eastAsia="宋体"/>
    </w:rPr>
  </w:style>
  <w:style w:type="character" w:customStyle="1" w:styleId="107">
    <w:name w:val="bds_more6"/>
    <w:autoRedefine/>
    <w:qFormat/>
    <w:uiPriority w:val="0"/>
    <w:rPr>
      <w:rFonts w:hint="eastAsia" w:ascii="宋体" w:hAnsi="宋体" w:eastAsia="宋体" w:cs="宋体"/>
    </w:rPr>
  </w:style>
  <w:style w:type="character" w:customStyle="1" w:styleId="108">
    <w:name w:val="Font Style134"/>
    <w:autoRedefine/>
    <w:unhideWhenUsed/>
    <w:qFormat/>
    <w:uiPriority w:val="0"/>
    <w:rPr>
      <w:rFonts w:hint="eastAsia" w:ascii="宋体" w:hAnsi="宋体" w:eastAsia="宋体"/>
      <w:spacing w:val="20"/>
      <w:sz w:val="22"/>
    </w:rPr>
  </w:style>
  <w:style w:type="character" w:customStyle="1" w:styleId="109">
    <w:name w:val="bds_nopic1"/>
    <w:autoRedefine/>
    <w:qFormat/>
    <w:uiPriority w:val="0"/>
    <w:rPr>
      <w:rFonts w:ascii="Times New Roman" w:hAnsi="Times New Roman" w:eastAsia="宋体"/>
    </w:rPr>
  </w:style>
  <w:style w:type="character" w:customStyle="1" w:styleId="110">
    <w:name w:val="sort1"/>
    <w:autoRedefine/>
    <w:qFormat/>
    <w:uiPriority w:val="0"/>
    <w:rPr>
      <w:rFonts w:ascii="Times New Roman" w:hAnsi="Times New Roman" w:eastAsia="宋体"/>
    </w:rPr>
  </w:style>
  <w:style w:type="character" w:customStyle="1" w:styleId="111">
    <w:name w:val="sidecatalog-index1"/>
    <w:autoRedefine/>
    <w:qFormat/>
    <w:uiPriority w:val="0"/>
    <w:rPr>
      <w:rFonts w:ascii="Arial" w:hAnsi="Arial" w:eastAsia="宋体" w:cs="Arial"/>
      <w:b/>
      <w:color w:val="999999"/>
      <w:sz w:val="21"/>
      <w:szCs w:val="21"/>
    </w:rPr>
  </w:style>
  <w:style w:type="character" w:customStyle="1" w:styleId="112">
    <w:name w:val="标题 2 Char"/>
    <w:autoRedefine/>
    <w:qFormat/>
    <w:uiPriority w:val="0"/>
    <w:rPr>
      <w:rFonts w:ascii="Cambria" w:hAnsi="Cambria" w:eastAsia="宋体" w:cs="Times New Roman"/>
      <w:b/>
      <w:bCs/>
      <w:kern w:val="2"/>
      <w:sz w:val="32"/>
      <w:szCs w:val="32"/>
    </w:rPr>
  </w:style>
  <w:style w:type="character" w:customStyle="1" w:styleId="113">
    <w:name w:val="Font Style117"/>
    <w:autoRedefine/>
    <w:unhideWhenUsed/>
    <w:qFormat/>
    <w:uiPriority w:val="0"/>
    <w:rPr>
      <w:rFonts w:hint="eastAsia" w:ascii="宋体" w:hAnsi="宋体" w:eastAsia="宋体"/>
      <w:spacing w:val="20"/>
      <w:sz w:val="24"/>
    </w:rPr>
  </w:style>
  <w:style w:type="character" w:customStyle="1" w:styleId="114">
    <w:name w:val="Font Style133"/>
    <w:autoRedefine/>
    <w:unhideWhenUsed/>
    <w:qFormat/>
    <w:uiPriority w:val="0"/>
    <w:rPr>
      <w:rFonts w:hint="eastAsia" w:ascii="宋体" w:hAnsi="宋体" w:eastAsia="宋体"/>
      <w:spacing w:val="30"/>
      <w:sz w:val="24"/>
    </w:rPr>
  </w:style>
  <w:style w:type="character" w:customStyle="1" w:styleId="115">
    <w:name w:val=" Char Char15"/>
    <w:autoRedefine/>
    <w:qFormat/>
    <w:uiPriority w:val="0"/>
    <w:rPr>
      <w:b/>
      <w:bCs/>
      <w:sz w:val="24"/>
      <w:szCs w:val="24"/>
    </w:rPr>
  </w:style>
  <w:style w:type="character" w:customStyle="1" w:styleId="116">
    <w:name w:val="Font Style128"/>
    <w:autoRedefine/>
    <w:unhideWhenUsed/>
    <w:qFormat/>
    <w:uiPriority w:val="0"/>
    <w:rPr>
      <w:rFonts w:hint="eastAsia" w:ascii="Times New Roman" w:hAnsi="Times New Roman" w:eastAsia="Times New Roman"/>
      <w:sz w:val="16"/>
    </w:rPr>
  </w:style>
  <w:style w:type="character" w:customStyle="1" w:styleId="117">
    <w:name w:val="Font Style122"/>
    <w:autoRedefine/>
    <w:unhideWhenUsed/>
    <w:qFormat/>
    <w:uiPriority w:val="0"/>
    <w:rPr>
      <w:rFonts w:hint="eastAsia" w:ascii="宋体" w:hAnsi="宋体" w:eastAsia="宋体"/>
      <w:spacing w:val="20"/>
      <w:sz w:val="24"/>
    </w:rPr>
  </w:style>
  <w:style w:type="character" w:customStyle="1" w:styleId="118">
    <w:name w:val="Font Style105"/>
    <w:autoRedefine/>
    <w:unhideWhenUsed/>
    <w:qFormat/>
    <w:uiPriority w:val="0"/>
    <w:rPr>
      <w:rFonts w:hint="eastAsia" w:ascii="Times New Roman" w:hAnsi="Times New Roman" w:eastAsia="Times New Roman"/>
      <w:w w:val="60"/>
      <w:sz w:val="26"/>
    </w:rPr>
  </w:style>
  <w:style w:type="character" w:customStyle="1" w:styleId="119">
    <w:name w:val="bds_more8"/>
    <w:autoRedefine/>
    <w:qFormat/>
    <w:uiPriority w:val="0"/>
    <w:rPr>
      <w:rFonts w:ascii="Times New Roman" w:hAnsi="Times New Roman" w:eastAsia="宋体"/>
    </w:rPr>
  </w:style>
  <w:style w:type="character" w:customStyle="1" w:styleId="120">
    <w:name w:val="Font Style123"/>
    <w:autoRedefine/>
    <w:unhideWhenUsed/>
    <w:qFormat/>
    <w:uiPriority w:val="0"/>
    <w:rPr>
      <w:rFonts w:hint="eastAsia" w:ascii="宋体" w:hAnsi="宋体" w:eastAsia="宋体"/>
      <w:b/>
      <w:sz w:val="32"/>
    </w:rPr>
  </w:style>
  <w:style w:type="character" w:customStyle="1" w:styleId="121">
    <w:name w:val="Font Style119"/>
    <w:autoRedefine/>
    <w:unhideWhenUsed/>
    <w:qFormat/>
    <w:uiPriority w:val="0"/>
    <w:rPr>
      <w:rFonts w:hint="eastAsia" w:ascii="宋体" w:hAnsi="宋体" w:eastAsia="宋体"/>
      <w:sz w:val="24"/>
    </w:rPr>
  </w:style>
  <w:style w:type="character" w:customStyle="1" w:styleId="122">
    <w:name w:val="批注文字 Char Char"/>
    <w:autoRedefine/>
    <w:qFormat/>
    <w:uiPriority w:val="0"/>
    <w:rPr>
      <w:kern w:val="2"/>
      <w:sz w:val="21"/>
      <w:szCs w:val="24"/>
      <w:lang w:bidi="ar-SA"/>
    </w:rPr>
  </w:style>
  <w:style w:type="character" w:customStyle="1" w:styleId="123">
    <w:name w:val="bds_nopic2"/>
    <w:autoRedefine/>
    <w:qFormat/>
    <w:uiPriority w:val="0"/>
    <w:rPr>
      <w:rFonts w:ascii="Times New Roman" w:hAnsi="Times New Roman" w:eastAsia="宋体"/>
    </w:rPr>
  </w:style>
  <w:style w:type="character" w:customStyle="1" w:styleId="124">
    <w:name w:val="desc"/>
    <w:autoRedefine/>
    <w:qFormat/>
    <w:uiPriority w:val="0"/>
    <w:rPr>
      <w:rFonts w:ascii="Times New Roman" w:hAnsi="Times New Roman" w:eastAsia="宋体"/>
      <w:color w:val="000000"/>
      <w:sz w:val="18"/>
      <w:szCs w:val="18"/>
    </w:rPr>
  </w:style>
  <w:style w:type="character" w:customStyle="1" w:styleId="125">
    <w:name w:val="Font Style126"/>
    <w:autoRedefine/>
    <w:unhideWhenUsed/>
    <w:qFormat/>
    <w:uiPriority w:val="0"/>
    <w:rPr>
      <w:rFonts w:hint="eastAsia" w:ascii="宋体" w:hAnsi="宋体" w:eastAsia="宋体"/>
      <w:b/>
      <w:spacing w:val="-30"/>
      <w:sz w:val="28"/>
    </w:rPr>
  </w:style>
  <w:style w:type="character" w:customStyle="1" w:styleId="126">
    <w:name w:val="Font Style104"/>
    <w:autoRedefine/>
    <w:unhideWhenUsed/>
    <w:qFormat/>
    <w:uiPriority w:val="0"/>
    <w:rPr>
      <w:rFonts w:hint="eastAsia" w:ascii="宋体" w:hAnsi="宋体" w:eastAsia="宋体"/>
      <w:spacing w:val="30"/>
      <w:sz w:val="18"/>
    </w:rPr>
  </w:style>
  <w:style w:type="character" w:customStyle="1" w:styleId="127">
    <w:name w:val="标题 3 Char"/>
    <w:autoRedefine/>
    <w:qFormat/>
    <w:uiPriority w:val="0"/>
    <w:rPr>
      <w:b/>
      <w:bCs/>
      <w:sz w:val="24"/>
      <w:szCs w:val="24"/>
    </w:rPr>
  </w:style>
  <w:style w:type="character" w:customStyle="1" w:styleId="128">
    <w:name w:val="日期 Char2"/>
    <w:autoRedefine/>
    <w:qFormat/>
    <w:uiPriority w:val="0"/>
    <w:rPr>
      <w:rFonts w:eastAsia="宋体"/>
      <w:kern w:val="2"/>
      <w:sz w:val="24"/>
      <w:lang w:val="en-US" w:eastAsia="zh-CN" w:bidi="ar-SA"/>
    </w:rPr>
  </w:style>
  <w:style w:type="character" w:customStyle="1" w:styleId="129">
    <w:name w:val=" Char Char6"/>
    <w:autoRedefine/>
    <w:qFormat/>
    <w:uiPriority w:val="0"/>
    <w:rPr>
      <w:rFonts w:ascii="Arial" w:hAnsi="Arial" w:eastAsia="黑体"/>
      <w:sz w:val="24"/>
      <w:szCs w:val="24"/>
      <w:lang w:val="en-US" w:eastAsia="zh-CN" w:bidi="ar-SA"/>
    </w:rPr>
  </w:style>
  <w:style w:type="character" w:customStyle="1" w:styleId="130">
    <w:name w:val="纯文本 字符"/>
    <w:autoRedefine/>
    <w:qFormat/>
    <w:locked/>
    <w:uiPriority w:val="0"/>
    <w:rPr>
      <w:rFonts w:ascii="宋体" w:hAnsi="Courier New" w:eastAsia="宋体" w:cs="Courier New"/>
      <w:szCs w:val="21"/>
    </w:rPr>
  </w:style>
  <w:style w:type="character" w:customStyle="1" w:styleId="131">
    <w:name w:val="bds_nopic"/>
    <w:autoRedefine/>
    <w:qFormat/>
    <w:uiPriority w:val="0"/>
    <w:rPr>
      <w:rFonts w:ascii="Times New Roman" w:hAnsi="Times New Roman" w:eastAsia="宋体"/>
    </w:rPr>
  </w:style>
  <w:style w:type="character" w:customStyle="1" w:styleId="132">
    <w:name w:val="页脚 Char"/>
    <w:autoRedefine/>
    <w:qFormat/>
    <w:uiPriority w:val="99"/>
    <w:rPr>
      <w:kern w:val="2"/>
      <w:sz w:val="18"/>
      <w:szCs w:val="18"/>
    </w:rPr>
  </w:style>
  <w:style w:type="character" w:customStyle="1" w:styleId="133">
    <w:name w:val="日期 Char"/>
    <w:autoRedefine/>
    <w:qFormat/>
    <w:uiPriority w:val="0"/>
    <w:rPr>
      <w:kern w:val="2"/>
      <w:sz w:val="21"/>
      <w:szCs w:val="24"/>
    </w:rPr>
  </w:style>
  <w:style w:type="character" w:customStyle="1" w:styleId="134">
    <w:name w:val="lemmatitleh12"/>
    <w:autoRedefine/>
    <w:qFormat/>
    <w:uiPriority w:val="0"/>
    <w:rPr>
      <w:rFonts w:ascii="Times New Roman" w:hAnsi="Times New Roman" w:eastAsia="宋体"/>
    </w:rPr>
  </w:style>
  <w:style w:type="character" w:customStyle="1" w:styleId="135">
    <w:name w:val="标题 1 Char"/>
    <w:autoRedefine/>
    <w:qFormat/>
    <w:uiPriority w:val="0"/>
    <w:rPr>
      <w:rFonts w:ascii="Cambria" w:hAnsi="Cambria"/>
      <w:b/>
      <w:bCs/>
      <w:kern w:val="32"/>
      <w:sz w:val="32"/>
      <w:szCs w:val="32"/>
    </w:rPr>
  </w:style>
  <w:style w:type="character" w:customStyle="1" w:styleId="136">
    <w:name w:val="polysemyexp"/>
    <w:autoRedefine/>
    <w:qFormat/>
    <w:uiPriority w:val="0"/>
    <w:rPr>
      <w:rFonts w:ascii="Times New Roman" w:hAnsi="Times New Roman" w:eastAsia="宋体"/>
      <w:color w:val="AAAAAA"/>
      <w:sz w:val="18"/>
      <w:szCs w:val="18"/>
    </w:rPr>
  </w:style>
  <w:style w:type="character" w:customStyle="1" w:styleId="137">
    <w:name w:val="正文文本缩进 3 Char2"/>
    <w:autoRedefine/>
    <w:qFormat/>
    <w:uiPriority w:val="0"/>
    <w:rPr>
      <w:rFonts w:eastAsia="宋体"/>
      <w:kern w:val="2"/>
      <w:sz w:val="16"/>
      <w:szCs w:val="16"/>
      <w:lang w:val="en-US" w:eastAsia="zh-CN" w:bidi="ar-SA"/>
    </w:rPr>
  </w:style>
  <w:style w:type="character" w:customStyle="1" w:styleId="138">
    <w:name w:val="标题 9 Char"/>
    <w:autoRedefine/>
    <w:qFormat/>
    <w:uiPriority w:val="0"/>
    <w:rPr>
      <w:rFonts w:ascii="Arial" w:hAnsi="Arial" w:eastAsia="黑体"/>
      <w:sz w:val="21"/>
      <w:szCs w:val="21"/>
    </w:rPr>
  </w:style>
  <w:style w:type="character" w:customStyle="1" w:styleId="139">
    <w:name w:val="Font Style124"/>
    <w:autoRedefine/>
    <w:unhideWhenUsed/>
    <w:qFormat/>
    <w:uiPriority w:val="0"/>
    <w:rPr>
      <w:rFonts w:hint="eastAsia" w:ascii="宋体" w:hAnsi="宋体" w:eastAsia="宋体"/>
      <w:spacing w:val="30"/>
      <w:sz w:val="24"/>
    </w:rPr>
  </w:style>
  <w:style w:type="character" w:customStyle="1" w:styleId="140">
    <w:name w:val="selected"/>
    <w:basedOn w:val="45"/>
    <w:autoRedefine/>
    <w:qFormat/>
    <w:uiPriority w:val="0"/>
  </w:style>
  <w:style w:type="character" w:customStyle="1" w:styleId="141">
    <w:name w:val=" Char Char17"/>
    <w:autoRedefine/>
    <w:qFormat/>
    <w:uiPriority w:val="0"/>
    <w:rPr>
      <w:rFonts w:ascii="宋体" w:hAnsi="Times New Roman" w:eastAsia="宋体"/>
      <w:b/>
      <w:sz w:val="28"/>
      <w:lang w:val="en-US" w:eastAsia="zh-CN" w:bidi="ar-SA"/>
    </w:rPr>
  </w:style>
  <w:style w:type="character" w:customStyle="1" w:styleId="142">
    <w:name w:val="hover7"/>
    <w:basedOn w:val="45"/>
    <w:autoRedefine/>
    <w:qFormat/>
    <w:uiPriority w:val="0"/>
    <w:rPr>
      <w:color w:val="000000"/>
      <w:shd w:val="clear" w:color="auto" w:fill="FFFFFF"/>
    </w:rPr>
  </w:style>
  <w:style w:type="character" w:customStyle="1" w:styleId="143">
    <w:name w:val=" Char Char14"/>
    <w:autoRedefine/>
    <w:qFormat/>
    <w:uiPriority w:val="0"/>
    <w:rPr>
      <w:rFonts w:ascii="Arial" w:hAnsi="Arial" w:eastAsia="黑体"/>
      <w:b/>
      <w:bCs/>
      <w:sz w:val="28"/>
      <w:szCs w:val="28"/>
      <w:lang w:val="en-US" w:eastAsia="zh-CN" w:bidi="ar-SA"/>
    </w:rPr>
  </w:style>
  <w:style w:type="character" w:customStyle="1" w:styleId="144">
    <w:name w:val="标题 5 Char"/>
    <w:autoRedefine/>
    <w:qFormat/>
    <w:uiPriority w:val="0"/>
    <w:rPr>
      <w:b/>
      <w:bCs/>
      <w:kern w:val="2"/>
      <w:sz w:val="28"/>
      <w:szCs w:val="28"/>
    </w:rPr>
  </w:style>
  <w:style w:type="character" w:customStyle="1" w:styleId="145">
    <w:name w:val="Font Style90"/>
    <w:autoRedefine/>
    <w:unhideWhenUsed/>
    <w:qFormat/>
    <w:uiPriority w:val="0"/>
    <w:rPr>
      <w:rFonts w:hint="eastAsia" w:ascii="宋体" w:hAnsi="宋体" w:eastAsia="宋体"/>
      <w:b/>
      <w:spacing w:val="-20"/>
      <w:sz w:val="40"/>
    </w:rPr>
  </w:style>
  <w:style w:type="character" w:customStyle="1" w:styleId="146">
    <w:name w:val="Font Style121"/>
    <w:autoRedefine/>
    <w:unhideWhenUsed/>
    <w:qFormat/>
    <w:uiPriority w:val="0"/>
    <w:rPr>
      <w:rFonts w:hint="eastAsia" w:ascii="宋体" w:hAnsi="宋体" w:eastAsia="宋体"/>
      <w:spacing w:val="-10"/>
      <w:sz w:val="30"/>
    </w:rPr>
  </w:style>
  <w:style w:type="character" w:customStyle="1" w:styleId="147">
    <w:name w:val="wx-space1"/>
    <w:basedOn w:val="45"/>
    <w:autoRedefine/>
    <w:qFormat/>
    <w:uiPriority w:val="0"/>
  </w:style>
  <w:style w:type="character" w:customStyle="1" w:styleId="148">
    <w:name w:val="morelink-item"/>
    <w:autoRedefine/>
    <w:qFormat/>
    <w:uiPriority w:val="0"/>
    <w:rPr>
      <w:rFonts w:ascii="Times New Roman" w:hAnsi="Times New Roman" w:eastAsia="宋体"/>
    </w:rPr>
  </w:style>
  <w:style w:type="character" w:customStyle="1" w:styleId="149">
    <w:name w:val="Font Style131"/>
    <w:autoRedefine/>
    <w:unhideWhenUsed/>
    <w:qFormat/>
    <w:uiPriority w:val="0"/>
    <w:rPr>
      <w:rFonts w:hint="eastAsia" w:ascii="Times New Roman" w:hAnsi="Times New Roman" w:eastAsia="Times New Roman"/>
      <w:sz w:val="18"/>
    </w:rPr>
  </w:style>
  <w:style w:type="character" w:customStyle="1" w:styleId="150">
    <w:name w:val=" Char Char16"/>
    <w:autoRedefine/>
    <w:qFormat/>
    <w:uiPriority w:val="0"/>
    <w:rPr>
      <w:rFonts w:ascii="宋体" w:hAnsi="Times New Roman" w:eastAsia="宋体"/>
      <w:b/>
      <w:sz w:val="24"/>
      <w:lang w:val="en-US" w:eastAsia="zh-CN" w:bidi="ar-SA"/>
    </w:rPr>
  </w:style>
  <w:style w:type="character" w:customStyle="1" w:styleId="151">
    <w:name w:val="批注主题 Char"/>
    <w:autoRedefine/>
    <w:qFormat/>
    <w:uiPriority w:val="0"/>
    <w:rPr>
      <w:b/>
      <w:bCs/>
      <w:kern w:val="2"/>
      <w:sz w:val="21"/>
      <w:szCs w:val="24"/>
    </w:rPr>
  </w:style>
  <w:style w:type="character" w:customStyle="1" w:styleId="152">
    <w:name w:val="批注框文本 Char"/>
    <w:autoRedefine/>
    <w:qFormat/>
    <w:uiPriority w:val="0"/>
    <w:rPr>
      <w:kern w:val="2"/>
      <w:sz w:val="18"/>
      <w:szCs w:val="18"/>
    </w:rPr>
  </w:style>
  <w:style w:type="character" w:customStyle="1" w:styleId="153">
    <w:name w:val="bsharetext"/>
    <w:basedOn w:val="45"/>
    <w:autoRedefine/>
    <w:qFormat/>
    <w:uiPriority w:val="0"/>
  </w:style>
  <w:style w:type="character" w:customStyle="1" w:styleId="154">
    <w:name w:val="sidecatalog-dot1"/>
    <w:autoRedefine/>
    <w:qFormat/>
    <w:uiPriority w:val="0"/>
    <w:rPr>
      <w:rFonts w:ascii="Times New Roman" w:hAnsi="Times New Roman" w:eastAsia="宋体"/>
    </w:rPr>
  </w:style>
  <w:style w:type="character" w:customStyle="1" w:styleId="155">
    <w:name w:val="sidecatalog-index2"/>
    <w:autoRedefine/>
    <w:qFormat/>
    <w:uiPriority w:val="0"/>
    <w:rPr>
      <w:rFonts w:ascii="Arail" w:hAnsi="Arail" w:eastAsia="Arail" w:cs="Arail"/>
      <w:color w:val="999999"/>
      <w:sz w:val="21"/>
      <w:szCs w:val="21"/>
    </w:rPr>
  </w:style>
  <w:style w:type="character" w:customStyle="1" w:styleId="156">
    <w:name w:val="mini-outputtext1"/>
    <w:basedOn w:val="45"/>
    <w:autoRedefine/>
    <w:qFormat/>
    <w:uiPriority w:val="0"/>
  </w:style>
  <w:style w:type="character" w:customStyle="1" w:styleId="157">
    <w:name w:val="标题 Char1"/>
    <w:autoRedefine/>
    <w:qFormat/>
    <w:uiPriority w:val="0"/>
    <w:rPr>
      <w:rFonts w:ascii="Cambria" w:hAnsi="Cambria" w:eastAsia="宋体" w:cs="Times New Roman"/>
      <w:b/>
      <w:bCs/>
      <w:sz w:val="32"/>
      <w:szCs w:val="32"/>
    </w:rPr>
  </w:style>
  <w:style w:type="character" w:customStyle="1" w:styleId="158">
    <w:name w:val="Font Style116"/>
    <w:autoRedefine/>
    <w:unhideWhenUsed/>
    <w:qFormat/>
    <w:uiPriority w:val="0"/>
    <w:rPr>
      <w:rFonts w:hint="eastAsia" w:ascii="宋体" w:hAnsi="宋体" w:eastAsia="宋体"/>
      <w:spacing w:val="-20"/>
      <w:sz w:val="24"/>
    </w:rPr>
  </w:style>
  <w:style w:type="character" w:customStyle="1" w:styleId="159">
    <w:name w:val="样式2 Char Char"/>
    <w:autoRedefine/>
    <w:qFormat/>
    <w:uiPriority w:val="0"/>
    <w:rPr>
      <w:rFonts w:eastAsia="宋体"/>
      <w:kern w:val="2"/>
      <w:sz w:val="18"/>
      <w:szCs w:val="18"/>
      <w:lang w:val="en-US" w:eastAsia="zh-CN" w:bidi="ar-SA"/>
    </w:rPr>
  </w:style>
  <w:style w:type="character" w:customStyle="1" w:styleId="160">
    <w:name w:val="wx-space"/>
    <w:basedOn w:val="45"/>
    <w:autoRedefine/>
    <w:qFormat/>
    <w:uiPriority w:val="0"/>
  </w:style>
  <w:style w:type="character" w:customStyle="1" w:styleId="161">
    <w:name w:val="selected1"/>
    <w:basedOn w:val="45"/>
    <w:autoRedefine/>
    <w:qFormat/>
    <w:uiPriority w:val="0"/>
  </w:style>
  <w:style w:type="character" w:customStyle="1" w:styleId="162">
    <w:name w:val="纯文本 Char2"/>
    <w:autoRedefine/>
    <w:qFormat/>
    <w:uiPriority w:val="0"/>
    <w:rPr>
      <w:rFonts w:ascii="宋体" w:hAnsi="Courier New" w:eastAsia="宋体"/>
      <w:kern w:val="2"/>
      <w:sz w:val="21"/>
      <w:szCs w:val="21"/>
      <w:lang w:val="en-US" w:eastAsia="zh-CN" w:bidi="ar-SA"/>
    </w:rPr>
  </w:style>
  <w:style w:type="character" w:customStyle="1" w:styleId="163">
    <w:name w:val="标题 7 Char"/>
    <w:autoRedefine/>
    <w:qFormat/>
    <w:uiPriority w:val="0"/>
    <w:rPr>
      <w:b/>
      <w:bCs/>
      <w:sz w:val="24"/>
      <w:szCs w:val="24"/>
    </w:rPr>
  </w:style>
  <w:style w:type="character" w:customStyle="1" w:styleId="164">
    <w:name w:val="标题 8 Char"/>
    <w:autoRedefine/>
    <w:qFormat/>
    <w:uiPriority w:val="0"/>
    <w:rPr>
      <w:rFonts w:ascii="Arial" w:hAnsi="Arial" w:eastAsia="黑体"/>
      <w:sz w:val="24"/>
      <w:szCs w:val="24"/>
    </w:rPr>
  </w:style>
  <w:style w:type="character" w:customStyle="1" w:styleId="165">
    <w:name w:val="plus"/>
    <w:autoRedefine/>
    <w:qFormat/>
    <w:uiPriority w:val="0"/>
    <w:rPr>
      <w:rFonts w:ascii="Times New Roman" w:hAnsi="Times New Roman" w:eastAsia="宋体"/>
      <w:b/>
      <w:vanish/>
      <w:color w:val="1F8DEF"/>
      <w:sz w:val="24"/>
      <w:szCs w:val="24"/>
    </w:rPr>
  </w:style>
  <w:style w:type="character" w:customStyle="1" w:styleId="166">
    <w:name w:val="Font Style127"/>
    <w:autoRedefine/>
    <w:unhideWhenUsed/>
    <w:qFormat/>
    <w:uiPriority w:val="0"/>
    <w:rPr>
      <w:rFonts w:hint="eastAsia" w:ascii="Times New Roman" w:hAnsi="Times New Roman" w:eastAsia="Times New Roman"/>
      <w:sz w:val="20"/>
    </w:rPr>
  </w:style>
  <w:style w:type="character" w:customStyle="1" w:styleId="167">
    <w:name w:val="标题 4 Char"/>
    <w:autoRedefine/>
    <w:qFormat/>
    <w:uiPriority w:val="0"/>
    <w:rPr>
      <w:rFonts w:ascii="Arial" w:hAnsi="Arial" w:eastAsia="宋体" w:cs="Times New Roman"/>
      <w:b/>
      <w:bCs/>
      <w:szCs w:val="28"/>
    </w:rPr>
  </w:style>
  <w:style w:type="character" w:customStyle="1" w:styleId="168">
    <w:name w:val="Font Style125"/>
    <w:autoRedefine/>
    <w:unhideWhenUsed/>
    <w:qFormat/>
    <w:uiPriority w:val="0"/>
    <w:rPr>
      <w:rFonts w:hint="eastAsia" w:ascii="宋体" w:hAnsi="宋体" w:eastAsia="宋体"/>
      <w:b/>
      <w:sz w:val="26"/>
    </w:rPr>
  </w:style>
  <w:style w:type="paragraph" w:customStyle="1" w:styleId="169">
    <w:name w:val="Style47"/>
    <w:basedOn w:val="1"/>
    <w:autoRedefine/>
    <w:unhideWhenUsed/>
    <w:qFormat/>
    <w:uiPriority w:val="0"/>
  </w:style>
  <w:style w:type="paragraph" w:customStyle="1" w:styleId="170">
    <w:name w:val="Style80"/>
    <w:basedOn w:val="1"/>
    <w:autoRedefine/>
    <w:unhideWhenUsed/>
    <w:qFormat/>
    <w:uiPriority w:val="0"/>
  </w:style>
  <w:style w:type="paragraph" w:customStyle="1" w:styleId="171">
    <w:name w:val="Style74"/>
    <w:basedOn w:val="1"/>
    <w:autoRedefine/>
    <w:unhideWhenUsed/>
    <w:qFormat/>
    <w:uiPriority w:val="0"/>
    <w:pPr>
      <w:spacing w:line="437" w:lineRule="exact"/>
    </w:pPr>
  </w:style>
  <w:style w:type="paragraph" w:customStyle="1" w:styleId="172">
    <w:name w:val="Char1 Char Char Char 字元 Char Char 字元 Char 字元 Char1 Char Char Char"/>
    <w:basedOn w:val="1"/>
    <w:autoRedefine/>
    <w:qFormat/>
    <w:uiPriority w:val="0"/>
    <w:rPr>
      <w:szCs w:val="20"/>
    </w:rPr>
  </w:style>
  <w:style w:type="paragraph" w:customStyle="1" w:styleId="173">
    <w:name w:val="样式 标题 2 + 宋体 五号 行距: 单倍行距"/>
    <w:basedOn w:val="3"/>
    <w:autoRedefine/>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174">
    <w:name w:val="Style53"/>
    <w:basedOn w:val="1"/>
    <w:autoRedefine/>
    <w:unhideWhenUsed/>
    <w:qFormat/>
    <w:uiPriority w:val="0"/>
    <w:pPr>
      <w:spacing w:line="533" w:lineRule="exact"/>
      <w:ind w:firstLine="581"/>
    </w:pPr>
  </w:style>
  <w:style w:type="paragraph" w:customStyle="1" w:styleId="175">
    <w:name w:val="Style61"/>
    <w:basedOn w:val="1"/>
    <w:autoRedefine/>
    <w:unhideWhenUsed/>
    <w:qFormat/>
    <w:uiPriority w:val="0"/>
  </w:style>
  <w:style w:type="paragraph" w:customStyle="1" w:styleId="176">
    <w:name w:val="Style12"/>
    <w:basedOn w:val="1"/>
    <w:autoRedefine/>
    <w:unhideWhenUsed/>
    <w:qFormat/>
    <w:uiPriority w:val="0"/>
    <w:pPr>
      <w:spacing w:line="564" w:lineRule="exact"/>
      <w:ind w:hanging="115"/>
    </w:pPr>
  </w:style>
  <w:style w:type="paragraph" w:customStyle="1" w:styleId="177">
    <w:name w:val="NO3"/>
    <w:basedOn w:val="1"/>
    <w:autoRedefine/>
    <w:qFormat/>
    <w:uiPriority w:val="0"/>
    <w:pPr>
      <w:tabs>
        <w:tab w:val="left" w:pos="907"/>
      </w:tabs>
      <w:spacing w:line="360" w:lineRule="auto"/>
    </w:pPr>
    <w:rPr>
      <w:rFonts w:ascii="宋体" w:hAnsi="宋体"/>
      <w:sz w:val="24"/>
    </w:rPr>
  </w:style>
  <w:style w:type="paragraph" w:customStyle="1" w:styleId="178">
    <w:name w:val="Char"/>
    <w:basedOn w:val="1"/>
    <w:autoRedefine/>
    <w:qFormat/>
    <w:uiPriority w:val="0"/>
    <w:pPr>
      <w:tabs>
        <w:tab w:val="left" w:pos="360"/>
      </w:tabs>
      <w:ind w:left="360" w:hanging="360" w:hangingChars="200"/>
    </w:pPr>
    <w:rPr>
      <w:sz w:val="24"/>
    </w:rPr>
  </w:style>
  <w:style w:type="paragraph" w:customStyle="1" w:styleId="179">
    <w:name w:val="1 Char Char Char Char"/>
    <w:basedOn w:val="1"/>
    <w:autoRedefine/>
    <w:qFormat/>
    <w:uiPriority w:val="0"/>
  </w:style>
  <w:style w:type="paragraph" w:customStyle="1" w:styleId="180">
    <w:name w:val="p16"/>
    <w:basedOn w:val="1"/>
    <w:autoRedefine/>
    <w:qFormat/>
    <w:uiPriority w:val="0"/>
    <w:pPr>
      <w:widowControl/>
      <w:jc w:val="left"/>
    </w:pPr>
    <w:rPr>
      <w:kern w:val="0"/>
      <w:szCs w:val="21"/>
    </w:rPr>
  </w:style>
  <w:style w:type="paragraph" w:customStyle="1" w:styleId="181">
    <w:name w:val="Style69"/>
    <w:basedOn w:val="1"/>
    <w:autoRedefine/>
    <w:unhideWhenUsed/>
    <w:qFormat/>
    <w:uiPriority w:val="0"/>
    <w:pPr>
      <w:spacing w:line="557" w:lineRule="exact"/>
      <w:ind w:firstLine="1666"/>
    </w:pPr>
  </w:style>
  <w:style w:type="paragraph" w:customStyle="1" w:styleId="182">
    <w:name w:val="标题3"/>
    <w:basedOn w:val="2"/>
    <w:autoRedefine/>
    <w:qFormat/>
    <w:uiPriority w:val="0"/>
    <w:pPr>
      <w:spacing w:before="156" w:beforeLines="50" w:after="156" w:afterLines="50" w:line="400" w:lineRule="exact"/>
      <w:jc w:val="both"/>
    </w:pPr>
    <w:rPr>
      <w:rFonts w:ascii="宋体" w:hAnsi="宋体"/>
      <w:kern w:val="32"/>
      <w:szCs w:val="32"/>
    </w:rPr>
  </w:style>
  <w:style w:type="paragraph" w:customStyle="1" w:styleId="183">
    <w:name w:val="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84">
    <w:name w:val="Style9"/>
    <w:basedOn w:val="1"/>
    <w:autoRedefine/>
    <w:unhideWhenUsed/>
    <w:qFormat/>
    <w:uiPriority w:val="0"/>
  </w:style>
  <w:style w:type="paragraph" w:customStyle="1" w:styleId="185">
    <w:name w:val="xl31"/>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6">
    <w:name w:val="样式1"/>
    <w:basedOn w:val="1"/>
    <w:autoRedefine/>
    <w:qFormat/>
    <w:uiPriority w:val="0"/>
    <w:pPr>
      <w:tabs>
        <w:tab w:val="left" w:pos="360"/>
      </w:tabs>
      <w:adjustRightInd w:val="0"/>
      <w:ind w:left="360" w:hanging="360"/>
      <w:textAlignment w:val="baseline"/>
    </w:pPr>
    <w:rPr>
      <w:rFonts w:ascii="宋体" w:hAnsi="宋体"/>
      <w:kern w:val="0"/>
      <w:szCs w:val="21"/>
    </w:rPr>
  </w:style>
  <w:style w:type="paragraph" w:customStyle="1" w:styleId="187">
    <w:name w:val="Style5"/>
    <w:basedOn w:val="1"/>
    <w:autoRedefine/>
    <w:unhideWhenUsed/>
    <w:qFormat/>
    <w:uiPriority w:val="0"/>
  </w:style>
  <w:style w:type="paragraph" w:customStyle="1" w:styleId="188">
    <w:name w:val="表格文字"/>
    <w:basedOn w:val="1"/>
    <w:autoRedefine/>
    <w:qFormat/>
    <w:uiPriority w:val="0"/>
    <w:pPr>
      <w:spacing w:before="25" w:after="25"/>
      <w:jc w:val="left"/>
    </w:pPr>
    <w:rPr>
      <w:spacing w:val="10"/>
      <w:kern w:val="0"/>
      <w:sz w:val="24"/>
      <w:szCs w:val="24"/>
    </w:rPr>
  </w:style>
  <w:style w:type="paragraph" w:customStyle="1" w:styleId="189">
    <w:name w:val="Style34"/>
    <w:basedOn w:val="1"/>
    <w:autoRedefine/>
    <w:unhideWhenUsed/>
    <w:qFormat/>
    <w:uiPriority w:val="0"/>
    <w:pPr>
      <w:spacing w:line="375" w:lineRule="exact"/>
    </w:pPr>
  </w:style>
  <w:style w:type="paragraph" w:customStyle="1" w:styleId="190">
    <w:name w:val="Style27"/>
    <w:basedOn w:val="1"/>
    <w:autoRedefine/>
    <w:unhideWhenUsed/>
    <w:qFormat/>
    <w:uiPriority w:val="0"/>
  </w:style>
  <w:style w:type="paragraph" w:customStyle="1" w:styleId="191">
    <w:name w:val=" 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192">
    <w:name w:val="Style62"/>
    <w:basedOn w:val="1"/>
    <w:autoRedefine/>
    <w:unhideWhenUsed/>
    <w:qFormat/>
    <w:uiPriority w:val="0"/>
  </w:style>
  <w:style w:type="paragraph" w:customStyle="1" w:styleId="193">
    <w:name w:val="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4">
    <w:name w:val="Style64"/>
    <w:basedOn w:val="1"/>
    <w:autoRedefine/>
    <w:unhideWhenUsed/>
    <w:qFormat/>
    <w:uiPriority w:val="0"/>
  </w:style>
  <w:style w:type="paragraph" w:customStyle="1" w:styleId="195">
    <w:name w:val="Style71"/>
    <w:basedOn w:val="1"/>
    <w:autoRedefine/>
    <w:unhideWhenUsed/>
    <w:qFormat/>
    <w:uiPriority w:val="0"/>
    <w:pPr>
      <w:spacing w:line="538" w:lineRule="exact"/>
      <w:ind w:firstLine="101"/>
    </w:pPr>
  </w:style>
  <w:style w:type="paragraph" w:customStyle="1" w:styleId="196">
    <w:name w:val="Style54"/>
    <w:basedOn w:val="1"/>
    <w:autoRedefine/>
    <w:unhideWhenUsed/>
    <w:qFormat/>
    <w:uiPriority w:val="0"/>
  </w:style>
  <w:style w:type="paragraph" w:styleId="197">
    <w:name w:val="List Paragraph"/>
    <w:basedOn w:val="1"/>
    <w:autoRedefine/>
    <w:qFormat/>
    <w:uiPriority w:val="0"/>
    <w:pPr>
      <w:ind w:firstLine="420" w:firstLineChars="200"/>
    </w:pPr>
    <w:rPr>
      <w:rFonts w:ascii="Calibri" w:hAnsi="Calibri"/>
      <w:szCs w:val="22"/>
    </w:rPr>
  </w:style>
  <w:style w:type="paragraph" w:customStyle="1" w:styleId="198">
    <w:name w:val="Style4"/>
    <w:basedOn w:val="1"/>
    <w:autoRedefine/>
    <w:unhideWhenUsed/>
    <w:qFormat/>
    <w:uiPriority w:val="0"/>
  </w:style>
  <w:style w:type="paragraph" w:customStyle="1" w:styleId="199">
    <w:name w:val="Style59"/>
    <w:basedOn w:val="1"/>
    <w:autoRedefine/>
    <w:unhideWhenUsed/>
    <w:qFormat/>
    <w:uiPriority w:val="0"/>
  </w:style>
  <w:style w:type="paragraph" w:customStyle="1" w:styleId="200">
    <w:name w:val="Style42"/>
    <w:basedOn w:val="1"/>
    <w:autoRedefine/>
    <w:unhideWhenUsed/>
    <w:qFormat/>
    <w:uiPriority w:val="0"/>
    <w:pPr>
      <w:spacing w:line="542" w:lineRule="exact"/>
      <w:ind w:firstLine="547"/>
    </w:pPr>
  </w:style>
  <w:style w:type="paragraph" w:customStyle="1" w:styleId="201">
    <w:name w:val="Style10"/>
    <w:basedOn w:val="1"/>
    <w:autoRedefine/>
    <w:unhideWhenUsed/>
    <w:qFormat/>
    <w:uiPriority w:val="0"/>
    <w:pPr>
      <w:spacing w:line="538" w:lineRule="exact"/>
    </w:pPr>
  </w:style>
  <w:style w:type="paragraph" w:customStyle="1" w:styleId="202">
    <w:name w:val="Char Char1 Char Char Char Char Char Char Char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03">
    <w:name w:val="前言、引言标题"/>
    <w:next w:val="1"/>
    <w:autoRedefine/>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04">
    <w:name w:val="xl25"/>
    <w:basedOn w:val="1"/>
    <w:autoRedefine/>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05">
    <w:name w:val="文档正文"/>
    <w:basedOn w:val="1"/>
    <w:autoRedefine/>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6">
    <w:name w:val="Style24"/>
    <w:basedOn w:val="1"/>
    <w:autoRedefine/>
    <w:unhideWhenUsed/>
    <w:qFormat/>
    <w:uiPriority w:val="0"/>
  </w:style>
  <w:style w:type="paragraph" w:customStyle="1" w:styleId="207">
    <w:name w:val="表正文"/>
    <w:autoRedefine/>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08">
    <w:name w:val="Style67"/>
    <w:basedOn w:val="1"/>
    <w:autoRedefine/>
    <w:unhideWhenUsed/>
    <w:qFormat/>
    <w:uiPriority w:val="0"/>
    <w:pPr>
      <w:spacing w:line="566" w:lineRule="exact"/>
      <w:ind w:firstLine="552"/>
    </w:pPr>
  </w:style>
  <w:style w:type="paragraph" w:customStyle="1" w:styleId="209">
    <w:name w:val="Style56"/>
    <w:basedOn w:val="1"/>
    <w:autoRedefine/>
    <w:unhideWhenUsed/>
    <w:qFormat/>
    <w:uiPriority w:val="0"/>
  </w:style>
  <w:style w:type="paragraph" w:customStyle="1" w:styleId="210">
    <w:name w:val="Style23"/>
    <w:basedOn w:val="1"/>
    <w:autoRedefine/>
    <w:unhideWhenUsed/>
    <w:qFormat/>
    <w:uiPriority w:val="0"/>
  </w:style>
  <w:style w:type="paragraph" w:customStyle="1" w:styleId="211">
    <w:name w:val="Style13"/>
    <w:basedOn w:val="1"/>
    <w:autoRedefine/>
    <w:unhideWhenUsed/>
    <w:qFormat/>
    <w:uiPriority w:val="0"/>
  </w:style>
  <w:style w:type="paragraph" w:customStyle="1" w:styleId="212">
    <w:name w:val="p15"/>
    <w:basedOn w:val="1"/>
    <w:autoRedefine/>
    <w:qFormat/>
    <w:uiPriority w:val="0"/>
    <w:pPr>
      <w:widowControl/>
      <w:spacing w:line="220" w:lineRule="atLeast"/>
      <w:jc w:val="center"/>
    </w:pPr>
    <w:rPr>
      <w:rFonts w:ascii="仿宋_GB2312" w:hAnsi="宋体" w:eastAsia="仿宋_GB2312" w:cs="宋体"/>
      <w:kern w:val="0"/>
      <w:szCs w:val="21"/>
    </w:rPr>
  </w:style>
  <w:style w:type="paragraph" w:customStyle="1" w:styleId="213">
    <w:name w:val="Style46"/>
    <w:basedOn w:val="1"/>
    <w:autoRedefine/>
    <w:unhideWhenUsed/>
    <w:qFormat/>
    <w:uiPriority w:val="0"/>
    <w:pPr>
      <w:spacing w:line="672" w:lineRule="exact"/>
    </w:pPr>
  </w:style>
  <w:style w:type="paragraph" w:customStyle="1" w:styleId="214">
    <w:name w:val="Style48"/>
    <w:basedOn w:val="1"/>
    <w:autoRedefine/>
    <w:unhideWhenUsed/>
    <w:qFormat/>
    <w:uiPriority w:val="0"/>
    <w:pPr>
      <w:spacing w:line="542" w:lineRule="exact"/>
      <w:jc w:val="right"/>
    </w:pPr>
  </w:style>
  <w:style w:type="paragraph" w:customStyle="1" w:styleId="215">
    <w:name w:val="Style29"/>
    <w:basedOn w:val="1"/>
    <w:autoRedefine/>
    <w:unhideWhenUsed/>
    <w:qFormat/>
    <w:uiPriority w:val="0"/>
    <w:pPr>
      <w:spacing w:line="547" w:lineRule="exact"/>
      <w:ind w:firstLine="547"/>
    </w:pPr>
  </w:style>
  <w:style w:type="paragraph" w:customStyle="1" w:styleId="216">
    <w:name w:val="1"/>
    <w:basedOn w:val="1"/>
    <w:autoRedefine/>
    <w:qFormat/>
    <w:uiPriority w:val="0"/>
    <w:pPr>
      <w:spacing w:after="156" w:afterLines="50" w:line="360" w:lineRule="auto"/>
    </w:pPr>
    <w:rPr>
      <w:rFonts w:ascii="宋体" w:hAnsi="宋体"/>
      <w:b/>
      <w:sz w:val="30"/>
      <w:szCs w:val="21"/>
    </w:rPr>
  </w:style>
  <w:style w:type="paragraph" w:customStyle="1" w:styleId="217">
    <w:name w:val="Style45"/>
    <w:basedOn w:val="1"/>
    <w:autoRedefine/>
    <w:unhideWhenUsed/>
    <w:qFormat/>
    <w:uiPriority w:val="0"/>
  </w:style>
  <w:style w:type="paragraph" w:customStyle="1" w:styleId="218">
    <w:name w:val="Style41"/>
    <w:basedOn w:val="1"/>
    <w:autoRedefine/>
    <w:unhideWhenUsed/>
    <w:qFormat/>
    <w:uiPriority w:val="0"/>
    <w:pPr>
      <w:spacing w:line="542" w:lineRule="exact"/>
      <w:ind w:firstLine="125"/>
    </w:pPr>
  </w:style>
  <w:style w:type="paragraph" w:customStyle="1" w:styleId="219">
    <w:name w:val=" Char Char Char"/>
    <w:basedOn w:val="1"/>
    <w:autoRedefine/>
    <w:qFormat/>
    <w:uiPriority w:val="0"/>
    <w:rPr>
      <w:rFonts w:ascii="宋体" w:hAnsi="宋体"/>
      <w:b/>
      <w:sz w:val="28"/>
      <w:szCs w:val="28"/>
    </w:rPr>
  </w:style>
  <w:style w:type="paragraph" w:customStyle="1" w:styleId="220">
    <w:name w:val="样式1 Char Char"/>
    <w:basedOn w:val="1"/>
    <w:next w:val="23"/>
    <w:autoRedefine/>
    <w:qFormat/>
    <w:uiPriority w:val="0"/>
    <w:pPr>
      <w:spacing w:line="360" w:lineRule="auto"/>
      <w:ind w:firstLine="516" w:firstLineChars="215"/>
    </w:pPr>
    <w:rPr>
      <w:rFonts w:ascii="Calibri" w:hAnsi="Calibri"/>
      <w:sz w:val="24"/>
    </w:rPr>
  </w:style>
  <w:style w:type="paragraph" w:customStyle="1" w:styleId="221">
    <w:name w:val=" Char1 Char Char Char"/>
    <w:basedOn w:val="1"/>
    <w:autoRedefine/>
    <w:qFormat/>
    <w:uiPriority w:val="0"/>
    <w:pPr>
      <w:widowControl/>
      <w:spacing w:after="160" w:line="240" w:lineRule="exact"/>
      <w:jc w:val="left"/>
    </w:pPr>
    <w:rPr>
      <w:kern w:val="0"/>
      <w:sz w:val="24"/>
      <w:szCs w:val="20"/>
    </w:rPr>
  </w:style>
  <w:style w:type="paragraph" w:customStyle="1" w:styleId="222">
    <w:name w:val="Char Char1 Char Char Char Char Char Char Char"/>
    <w:basedOn w:val="1"/>
    <w:autoRedefine/>
    <w:qFormat/>
    <w:uiPriority w:val="0"/>
    <w:pPr>
      <w:widowControl/>
      <w:spacing w:after="160" w:line="240" w:lineRule="exact"/>
      <w:jc w:val="left"/>
    </w:pPr>
  </w:style>
  <w:style w:type="paragraph" w:customStyle="1" w:styleId="223">
    <w:name w:val="正文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4">
    <w:name w:val="Style28"/>
    <w:basedOn w:val="1"/>
    <w:autoRedefine/>
    <w:unhideWhenUsed/>
    <w:qFormat/>
    <w:uiPriority w:val="0"/>
    <w:pPr>
      <w:spacing w:line="552" w:lineRule="exact"/>
      <w:ind w:firstLine="547"/>
    </w:pPr>
  </w:style>
  <w:style w:type="paragraph" w:customStyle="1" w:styleId="225">
    <w:name w:val="_Style 221"/>
    <w:autoRedefine/>
    <w:qFormat/>
    <w:uiPriority w:val="0"/>
    <w:rPr>
      <w:rFonts w:ascii="Times New Roman" w:hAnsi="Times New Roman" w:eastAsia="宋体" w:cs="Times New Roman"/>
      <w:kern w:val="2"/>
      <w:sz w:val="21"/>
      <w:szCs w:val="24"/>
      <w:lang w:val="en-US" w:eastAsia="zh-CN" w:bidi="ar-SA"/>
    </w:rPr>
  </w:style>
  <w:style w:type="paragraph" w:customStyle="1" w:styleId="226">
    <w:name w:val="Style78"/>
    <w:basedOn w:val="1"/>
    <w:autoRedefine/>
    <w:unhideWhenUsed/>
    <w:qFormat/>
    <w:uiPriority w:val="0"/>
  </w:style>
  <w:style w:type="paragraph" w:customStyle="1" w:styleId="227">
    <w:name w:val="Style72"/>
    <w:basedOn w:val="1"/>
    <w:autoRedefine/>
    <w:unhideWhenUsed/>
    <w:qFormat/>
    <w:uiPriority w:val="0"/>
  </w:style>
  <w:style w:type="paragraph" w:customStyle="1" w:styleId="228">
    <w:name w:val="Style65"/>
    <w:basedOn w:val="1"/>
    <w:autoRedefine/>
    <w:unhideWhenUsed/>
    <w:qFormat/>
    <w:uiPriority w:val="0"/>
  </w:style>
  <w:style w:type="paragraph" w:customStyle="1" w:styleId="229">
    <w:name w:val="Style44"/>
    <w:basedOn w:val="1"/>
    <w:autoRedefine/>
    <w:unhideWhenUsed/>
    <w:qFormat/>
    <w:uiPriority w:val="0"/>
  </w:style>
  <w:style w:type="paragraph" w:customStyle="1" w:styleId="230">
    <w:name w:val="附录标识"/>
    <w:basedOn w:val="203"/>
    <w:autoRedefine/>
    <w:qFormat/>
    <w:uiPriority w:val="0"/>
    <w:pPr>
      <w:tabs>
        <w:tab w:val="left" w:pos="6405"/>
        <w:tab w:val="clear" w:pos="360"/>
      </w:tabs>
      <w:spacing w:after="200"/>
    </w:pPr>
    <w:rPr>
      <w:sz w:val="21"/>
    </w:rPr>
  </w:style>
  <w:style w:type="paragraph" w:customStyle="1" w:styleId="231">
    <w:name w:val="Style36"/>
    <w:basedOn w:val="1"/>
    <w:autoRedefine/>
    <w:unhideWhenUsed/>
    <w:qFormat/>
    <w:uiPriority w:val="0"/>
  </w:style>
  <w:style w:type="paragraph" w:customStyle="1" w:styleId="232">
    <w:name w:val="Style73"/>
    <w:basedOn w:val="1"/>
    <w:autoRedefine/>
    <w:unhideWhenUsed/>
    <w:qFormat/>
    <w:uiPriority w:val="0"/>
    <w:pPr>
      <w:spacing w:line="538" w:lineRule="exact"/>
      <w:ind w:firstLine="533"/>
    </w:pPr>
  </w:style>
  <w:style w:type="paragraph" w:customStyle="1" w:styleId="233">
    <w:name w:val="Style50"/>
    <w:basedOn w:val="1"/>
    <w:autoRedefine/>
    <w:unhideWhenUsed/>
    <w:qFormat/>
    <w:uiPriority w:val="0"/>
  </w:style>
  <w:style w:type="paragraph" w:customStyle="1" w:styleId="234">
    <w:name w:val="Style77"/>
    <w:basedOn w:val="1"/>
    <w:autoRedefine/>
    <w:unhideWhenUsed/>
    <w:qFormat/>
    <w:uiPriority w:val="0"/>
  </w:style>
  <w:style w:type="paragraph" w:customStyle="1" w:styleId="235">
    <w:name w:val="样式 标题 2 + Times New Roman 四号 非加粗 段前: 5 磅 段后: 0 磅 行距: 固定值 20..."/>
    <w:basedOn w:val="3"/>
    <w:autoRedefine/>
    <w:qFormat/>
    <w:uiPriority w:val="0"/>
    <w:pPr>
      <w:spacing w:before="100" w:line="400" w:lineRule="exact"/>
    </w:pPr>
    <w:rPr>
      <w:rFonts w:ascii="Times New Roman" w:hAnsi="Times New Roman" w:eastAsia="黑体"/>
      <w:b w:val="0"/>
      <w:bCs w:val="0"/>
      <w:sz w:val="28"/>
      <w:szCs w:val="20"/>
    </w:rPr>
  </w:style>
  <w:style w:type="paragraph" w:customStyle="1" w:styleId="236">
    <w:name w:val=" Char Char Char1 Char"/>
    <w:basedOn w:val="1"/>
    <w:autoRedefine/>
    <w:qFormat/>
    <w:uiPriority w:val="0"/>
    <w:pPr>
      <w:tabs>
        <w:tab w:val="left" w:pos="360"/>
      </w:tabs>
      <w:snapToGrid w:val="0"/>
      <w:spacing w:line="360" w:lineRule="auto"/>
    </w:pPr>
    <w:rPr>
      <w:rFonts w:eastAsia="仿宋_GB2312" w:cs="宋体"/>
      <w:sz w:val="24"/>
    </w:rPr>
  </w:style>
  <w:style w:type="paragraph" w:customStyle="1" w:styleId="237">
    <w:name w:val="Style63"/>
    <w:basedOn w:val="1"/>
    <w:autoRedefine/>
    <w:unhideWhenUsed/>
    <w:qFormat/>
    <w:uiPriority w:val="0"/>
    <w:pPr>
      <w:spacing w:line="564" w:lineRule="exact"/>
      <w:ind w:firstLine="682"/>
    </w:pPr>
  </w:style>
  <w:style w:type="paragraph" w:customStyle="1" w:styleId="238">
    <w:name w:val="Style68"/>
    <w:basedOn w:val="1"/>
    <w:autoRedefine/>
    <w:unhideWhenUsed/>
    <w:qFormat/>
    <w:uiPriority w:val="0"/>
    <w:pPr>
      <w:spacing w:line="547" w:lineRule="exact"/>
    </w:pPr>
  </w:style>
  <w:style w:type="paragraph" w:customStyle="1" w:styleId="239">
    <w:name w:val="Char Char1 Char Char Char"/>
    <w:basedOn w:val="1"/>
    <w:autoRedefine/>
    <w:qFormat/>
    <w:uiPriority w:val="0"/>
    <w:rPr>
      <w:kern w:val="0"/>
      <w:sz w:val="20"/>
      <w:szCs w:val="20"/>
    </w:rPr>
  </w:style>
  <w:style w:type="paragraph" w:customStyle="1" w:styleId="240">
    <w:name w:val="Style26"/>
    <w:basedOn w:val="1"/>
    <w:autoRedefine/>
    <w:unhideWhenUsed/>
    <w:qFormat/>
    <w:uiPriority w:val="0"/>
  </w:style>
  <w:style w:type="paragraph" w:customStyle="1" w:styleId="241">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242">
    <w:name w:val="reader-word-layer reader-word-s1-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43">
    <w:name w:val="_Style 39"/>
    <w:basedOn w:val="223"/>
    <w:autoRedefine/>
    <w:qFormat/>
    <w:uiPriority w:val="0"/>
  </w:style>
  <w:style w:type="paragraph" w:customStyle="1" w:styleId="244">
    <w:name w:val="Style58"/>
    <w:basedOn w:val="1"/>
    <w:autoRedefine/>
    <w:unhideWhenUsed/>
    <w:qFormat/>
    <w:uiPriority w:val="0"/>
    <w:pPr>
      <w:spacing w:line="413" w:lineRule="exact"/>
    </w:pPr>
  </w:style>
  <w:style w:type="paragraph" w:customStyle="1" w:styleId="245">
    <w:name w:val="Style52"/>
    <w:basedOn w:val="1"/>
    <w:autoRedefine/>
    <w:unhideWhenUsed/>
    <w:qFormat/>
    <w:uiPriority w:val="0"/>
    <w:pPr>
      <w:spacing w:line="682" w:lineRule="exact"/>
      <w:ind w:firstLine="557"/>
    </w:pPr>
  </w:style>
  <w:style w:type="paragraph" w:customStyle="1" w:styleId="246">
    <w:name w:val="Char Char1 Char Char Char Char Char1 Char Char Char Char"/>
    <w:basedOn w:val="13"/>
    <w:autoRedefine/>
    <w:qFormat/>
    <w:uiPriority w:val="0"/>
    <w:rPr>
      <w:rFonts w:ascii="Tahoma" w:hAnsi="Tahoma"/>
    </w:rPr>
  </w:style>
  <w:style w:type="paragraph" w:customStyle="1" w:styleId="247">
    <w:name w:val="Style8"/>
    <w:basedOn w:val="1"/>
    <w:autoRedefine/>
    <w:unhideWhenUsed/>
    <w:qFormat/>
    <w:uiPriority w:val="0"/>
    <w:pPr>
      <w:spacing w:line="566" w:lineRule="exact"/>
      <w:jc w:val="center"/>
    </w:pPr>
  </w:style>
  <w:style w:type="paragraph" w:customStyle="1" w:styleId="248">
    <w:name w:val="Style15"/>
    <w:basedOn w:val="1"/>
    <w:autoRedefine/>
    <w:unhideWhenUsed/>
    <w:qFormat/>
    <w:uiPriority w:val="0"/>
    <w:pPr>
      <w:spacing w:line="557" w:lineRule="exact"/>
      <w:ind w:firstLine="672"/>
    </w:pPr>
  </w:style>
  <w:style w:type="paragraph" w:customStyle="1" w:styleId="249">
    <w:name w:val="Style21"/>
    <w:basedOn w:val="1"/>
    <w:autoRedefine/>
    <w:unhideWhenUsed/>
    <w:qFormat/>
    <w:uiPriority w:val="0"/>
    <w:pPr>
      <w:spacing w:line="566" w:lineRule="exact"/>
      <w:ind w:firstLine="682"/>
    </w:pPr>
  </w:style>
  <w:style w:type="paragraph" w:customStyle="1" w:styleId="250">
    <w:name w:val="Style76"/>
    <w:basedOn w:val="1"/>
    <w:autoRedefine/>
    <w:unhideWhenUsed/>
    <w:qFormat/>
    <w:uiPriority w:val="0"/>
  </w:style>
  <w:style w:type="paragraph" w:customStyle="1" w:styleId="251">
    <w:name w:val=" Char1 Char Char Char Char Char Char Char Char Char"/>
    <w:basedOn w:val="1"/>
    <w:autoRedefine/>
    <w:qFormat/>
    <w:uiPriority w:val="0"/>
    <w:rPr>
      <w:szCs w:val="20"/>
    </w:rPr>
  </w:style>
  <w:style w:type="paragraph" w:customStyle="1" w:styleId="252">
    <w:name w:val="标题 1 +"/>
    <w:basedOn w:val="2"/>
    <w:next w:val="1"/>
    <w:autoRedefine/>
    <w:qFormat/>
    <w:uiPriority w:val="0"/>
    <w:pPr>
      <w:keepLines/>
      <w:spacing w:line="600" w:lineRule="auto"/>
    </w:pPr>
    <w:rPr>
      <w:rFonts w:eastAsia="黑体"/>
      <w:kern w:val="0"/>
      <w:sz w:val="32"/>
      <w:szCs w:val="32"/>
    </w:rPr>
  </w:style>
  <w:style w:type="paragraph" w:customStyle="1" w:styleId="253">
    <w:name w:val="Style70"/>
    <w:basedOn w:val="1"/>
    <w:autoRedefine/>
    <w:unhideWhenUsed/>
    <w:qFormat/>
    <w:uiPriority w:val="0"/>
    <w:pPr>
      <w:spacing w:line="549" w:lineRule="exact"/>
      <w:ind w:firstLine="686"/>
    </w:pPr>
  </w:style>
  <w:style w:type="paragraph" w:customStyle="1" w:styleId="254">
    <w:name w:val="Style60"/>
    <w:basedOn w:val="1"/>
    <w:autoRedefine/>
    <w:unhideWhenUsed/>
    <w:qFormat/>
    <w:uiPriority w:val="0"/>
    <w:pPr>
      <w:spacing w:line="566" w:lineRule="exact"/>
    </w:pPr>
  </w:style>
  <w:style w:type="paragraph" w:customStyle="1" w:styleId="255">
    <w:name w:val="标题2"/>
    <w:basedOn w:val="40"/>
    <w:autoRedefine/>
    <w:qFormat/>
    <w:uiPriority w:val="0"/>
    <w:pPr>
      <w:spacing w:after="240"/>
      <w:jc w:val="left"/>
    </w:pPr>
    <w:rPr>
      <w:sz w:val="30"/>
    </w:rPr>
  </w:style>
  <w:style w:type="paragraph" w:customStyle="1" w:styleId="256">
    <w:name w:val="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57">
    <w:name w:val="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258">
    <w:name w:val="表格内容"/>
    <w:basedOn w:val="17"/>
    <w:autoRedefine/>
    <w:qFormat/>
    <w:uiPriority w:val="0"/>
    <w:pPr>
      <w:suppressLineNumbers/>
      <w:suppressAutoHyphens/>
      <w:jc w:val="left"/>
    </w:pPr>
    <w:rPr>
      <w:rFonts w:cs="Tahoma"/>
      <w:kern w:val="0"/>
      <w:sz w:val="24"/>
    </w:rPr>
  </w:style>
  <w:style w:type="paragraph" w:customStyle="1" w:styleId="259">
    <w:name w:val="默认段落字体 Para Char Char Char Char Char Char Char Char Char Char Char Char Char Char Char Char Char Char Char"/>
    <w:basedOn w:val="1"/>
    <w:autoRedefine/>
    <w:qFormat/>
    <w:uiPriority w:val="0"/>
  </w:style>
  <w:style w:type="paragraph" w:customStyle="1" w:styleId="260">
    <w:name w:val="Style11"/>
    <w:basedOn w:val="1"/>
    <w:autoRedefine/>
    <w:unhideWhenUsed/>
    <w:qFormat/>
    <w:uiPriority w:val="0"/>
    <w:pPr>
      <w:spacing w:line="559" w:lineRule="exact"/>
      <w:ind w:firstLine="590"/>
    </w:pPr>
  </w:style>
  <w:style w:type="paragraph" w:customStyle="1" w:styleId="261">
    <w:name w:val="Style81"/>
    <w:basedOn w:val="1"/>
    <w:autoRedefine/>
    <w:unhideWhenUsed/>
    <w:qFormat/>
    <w:uiPriority w:val="0"/>
    <w:pPr>
      <w:spacing w:line="547" w:lineRule="exact"/>
    </w:pPr>
  </w:style>
  <w:style w:type="paragraph" w:customStyle="1" w:styleId="262">
    <w:name w:val="List Paragraph1"/>
    <w:basedOn w:val="1"/>
    <w:autoRedefine/>
    <w:qFormat/>
    <w:uiPriority w:val="0"/>
    <w:pPr>
      <w:ind w:firstLine="420" w:firstLineChars="200"/>
    </w:pPr>
    <w:rPr>
      <w:rFonts w:ascii="Calibri" w:hAnsi="Calibri" w:cs="Calibri"/>
      <w:szCs w:val="21"/>
    </w:rPr>
  </w:style>
  <w:style w:type="paragraph" w:customStyle="1" w:styleId="263">
    <w:name w:val="Style16"/>
    <w:basedOn w:val="1"/>
    <w:autoRedefine/>
    <w:unhideWhenUsed/>
    <w:qFormat/>
    <w:uiPriority w:val="0"/>
    <w:pPr>
      <w:jc w:val="right"/>
    </w:pPr>
  </w:style>
  <w:style w:type="paragraph" w:customStyle="1" w:styleId="264">
    <w:name w:val="样式 样式 样式 样式 标题 2 + 宋体 五号 非加粗 黑色 + 段前: 6 磅 段后: 0 磅 行距: 单倍行距 + 段前:..."/>
    <w:basedOn w:val="1"/>
    <w:autoRedefine/>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65">
    <w:name w:val="DAS正文"/>
    <w:basedOn w:val="1"/>
    <w:autoRedefine/>
    <w:qFormat/>
    <w:uiPriority w:val="0"/>
    <w:pPr>
      <w:widowControl w:val="0"/>
      <w:spacing w:after="0" w:line="240" w:lineRule="auto"/>
      <w:ind w:right="181" w:firstLine="480" w:firstLineChars="200"/>
      <w:jc w:val="both"/>
    </w:pPr>
    <w:rPr>
      <w:rFonts w:ascii="Verdana" w:hAnsi="Verdana"/>
      <w:kern w:val="2"/>
      <w:sz w:val="21"/>
      <w:szCs w:val="24"/>
    </w:rPr>
  </w:style>
  <w:style w:type="character" w:customStyle="1" w:styleId="266">
    <w:name w:val="15"/>
    <w:basedOn w:val="45"/>
    <w:autoRedefine/>
    <w:qFormat/>
    <w:uiPriority w:val="0"/>
    <w:rPr>
      <w:rFonts w:hint="default" w:ascii="Times New Roman" w:hAnsi="Times New Roman" w:cs="Times New Roman"/>
      <w:color w:val="0563C1"/>
      <w:sz w:val="20"/>
      <w:szCs w:val="20"/>
      <w:u w:val="single"/>
    </w:rPr>
  </w:style>
  <w:style w:type="paragraph" w:customStyle="1" w:styleId="267">
    <w:name w:val="Normal_33"/>
    <w:autoRedefine/>
    <w:qFormat/>
    <w:uiPriority w:val="0"/>
    <w:pPr>
      <w:widowControl w:val="0"/>
      <w:jc w:val="both"/>
    </w:pPr>
    <w:rPr>
      <w:rFonts w:ascii="Calibri" w:hAnsi="Calibri" w:eastAsia="宋体" w:cs="Times New Roman"/>
      <w:lang w:val="en-US" w:eastAsia="zh-CN" w:bidi="ar-SA"/>
    </w:rPr>
  </w:style>
  <w:style w:type="paragraph" w:customStyle="1" w:styleId="268">
    <w:name w:val="Normal_34"/>
    <w:autoRedefine/>
    <w:qFormat/>
    <w:uiPriority w:val="0"/>
    <w:pPr>
      <w:widowControl w:val="0"/>
      <w:jc w:val="both"/>
    </w:pPr>
    <w:rPr>
      <w:rFonts w:ascii="Calibri" w:hAnsi="Calibri" w:eastAsia="宋体" w:cs="Times New Roman"/>
      <w:lang w:val="en-US" w:eastAsia="zh-CN" w:bidi="ar-SA"/>
    </w:rPr>
  </w:style>
  <w:style w:type="paragraph" w:customStyle="1" w:styleId="269">
    <w:name w:val="Normal_35"/>
    <w:autoRedefine/>
    <w:qFormat/>
    <w:uiPriority w:val="0"/>
    <w:pPr>
      <w:widowControl w:val="0"/>
      <w:jc w:val="both"/>
    </w:pPr>
    <w:rPr>
      <w:rFonts w:ascii="Calibri" w:hAnsi="Calibri" w:eastAsia="宋体" w:cs="Times New Roman"/>
      <w:lang w:val="en-US" w:eastAsia="zh-CN" w:bidi="ar-SA"/>
    </w:rPr>
  </w:style>
  <w:style w:type="paragraph" w:customStyle="1" w:styleId="270">
    <w:name w:val="Normal_36"/>
    <w:autoRedefine/>
    <w:qFormat/>
    <w:uiPriority w:val="0"/>
    <w:pPr>
      <w:widowControl w:val="0"/>
      <w:jc w:val="both"/>
    </w:pPr>
    <w:rPr>
      <w:rFonts w:ascii="Calibri" w:hAnsi="Calibri" w:eastAsia="宋体" w:cs="Times New Roman"/>
      <w:lang w:val="en-US" w:eastAsia="zh-CN" w:bidi="ar-SA"/>
    </w:rPr>
  </w:style>
  <w:style w:type="paragraph" w:customStyle="1" w:styleId="271">
    <w:name w:val="Normal_37"/>
    <w:autoRedefine/>
    <w:qFormat/>
    <w:uiPriority w:val="0"/>
    <w:pPr>
      <w:widowControl w:val="0"/>
      <w:jc w:val="both"/>
    </w:pPr>
    <w:rPr>
      <w:rFonts w:ascii="Calibri" w:hAnsi="Calibri" w:eastAsia="宋体" w:cs="Times New Roman"/>
      <w:lang w:val="en-US" w:eastAsia="zh-CN" w:bidi="ar-SA"/>
    </w:rPr>
  </w:style>
  <w:style w:type="paragraph" w:customStyle="1" w:styleId="272">
    <w:name w:val="Normal_38"/>
    <w:autoRedefine/>
    <w:qFormat/>
    <w:uiPriority w:val="0"/>
    <w:pPr>
      <w:widowControl w:val="0"/>
      <w:jc w:val="both"/>
    </w:pPr>
    <w:rPr>
      <w:rFonts w:ascii="Calibri" w:hAnsi="Calibri" w:eastAsia="宋体" w:cs="Times New Roman"/>
      <w:lang w:val="en-US" w:eastAsia="zh-CN" w:bidi="ar-SA"/>
    </w:rPr>
  </w:style>
  <w:style w:type="paragraph" w:customStyle="1" w:styleId="273">
    <w:name w:val="Normal_39"/>
    <w:autoRedefine/>
    <w:qFormat/>
    <w:uiPriority w:val="0"/>
    <w:pPr>
      <w:widowControl w:val="0"/>
      <w:jc w:val="both"/>
    </w:pPr>
    <w:rPr>
      <w:rFonts w:ascii="Calibri" w:hAnsi="Calibri" w:eastAsia="宋体" w:cs="Times New Roman"/>
      <w:lang w:val="en-US" w:eastAsia="zh-CN" w:bidi="ar-SA"/>
    </w:rPr>
  </w:style>
  <w:style w:type="paragraph" w:customStyle="1" w:styleId="274">
    <w:name w:val="Normal_40"/>
    <w:autoRedefine/>
    <w:qFormat/>
    <w:uiPriority w:val="0"/>
    <w:pPr>
      <w:widowControl w:val="0"/>
      <w:jc w:val="both"/>
    </w:pPr>
    <w:rPr>
      <w:rFonts w:ascii="Calibri" w:hAnsi="Calibri" w:eastAsia="宋体" w:cs="Times New Roman"/>
      <w:lang w:val="en-US" w:eastAsia="zh-CN" w:bidi="ar-SA"/>
    </w:rPr>
  </w:style>
  <w:style w:type="paragraph" w:customStyle="1" w:styleId="275">
    <w:name w:val="Normal_41"/>
    <w:autoRedefine/>
    <w:qFormat/>
    <w:uiPriority w:val="0"/>
    <w:pPr>
      <w:widowControl w:val="0"/>
      <w:jc w:val="both"/>
    </w:pPr>
    <w:rPr>
      <w:rFonts w:ascii="Calibri" w:hAnsi="Calibri" w:eastAsia="宋体" w:cs="Times New Roman"/>
      <w:lang w:val="en-US" w:eastAsia="zh-CN" w:bidi="ar-SA"/>
    </w:rPr>
  </w:style>
  <w:style w:type="paragraph" w:customStyle="1" w:styleId="276">
    <w:name w:val="Normal_42"/>
    <w:autoRedefine/>
    <w:qFormat/>
    <w:uiPriority w:val="0"/>
    <w:pPr>
      <w:widowControl w:val="0"/>
      <w:jc w:val="both"/>
    </w:pPr>
    <w:rPr>
      <w:rFonts w:ascii="Calibri" w:hAnsi="Calibri" w:eastAsia="宋体" w:cs="Times New Roman"/>
      <w:lang w:val="en-US" w:eastAsia="zh-CN" w:bidi="ar-SA"/>
    </w:rPr>
  </w:style>
  <w:style w:type="paragraph" w:customStyle="1" w:styleId="277">
    <w:name w:val="Normal_43"/>
    <w:autoRedefine/>
    <w:qFormat/>
    <w:uiPriority w:val="0"/>
    <w:pPr>
      <w:widowControl w:val="0"/>
      <w:jc w:val="both"/>
    </w:pPr>
    <w:rPr>
      <w:rFonts w:ascii="Calibri" w:hAnsi="Calibri" w:eastAsia="宋体" w:cs="Times New Roman"/>
      <w:lang w:val="en-US" w:eastAsia="zh-CN" w:bidi="ar-SA"/>
    </w:rPr>
  </w:style>
  <w:style w:type="paragraph" w:customStyle="1" w:styleId="278">
    <w:name w:val="Normal_44"/>
    <w:autoRedefine/>
    <w:qFormat/>
    <w:uiPriority w:val="0"/>
    <w:pPr>
      <w:widowControl w:val="0"/>
      <w:jc w:val="both"/>
    </w:pPr>
    <w:rPr>
      <w:rFonts w:ascii="Calibri" w:hAnsi="Calibri" w:eastAsia="宋体" w:cs="Times New Roman"/>
      <w:lang w:val="en-US" w:eastAsia="zh-CN" w:bidi="ar-SA"/>
    </w:rPr>
  </w:style>
  <w:style w:type="paragraph" w:customStyle="1" w:styleId="279">
    <w:name w:val="Normal_45"/>
    <w:autoRedefine/>
    <w:qFormat/>
    <w:uiPriority w:val="0"/>
    <w:pPr>
      <w:widowControl w:val="0"/>
      <w:jc w:val="both"/>
    </w:pPr>
    <w:rPr>
      <w:rFonts w:ascii="Calibri" w:hAnsi="Calibri" w:eastAsia="宋体" w:cs="Times New Roman"/>
      <w:lang w:val="en-US" w:eastAsia="zh-CN" w:bidi="ar-SA"/>
    </w:rPr>
  </w:style>
  <w:style w:type="paragraph" w:customStyle="1" w:styleId="280">
    <w:name w:val="Normal_46"/>
    <w:autoRedefine/>
    <w:qFormat/>
    <w:uiPriority w:val="0"/>
    <w:pPr>
      <w:widowControl w:val="0"/>
      <w:jc w:val="both"/>
    </w:pPr>
    <w:rPr>
      <w:rFonts w:ascii="Calibri" w:hAnsi="Calibri" w:eastAsia="宋体" w:cs="Times New Roman"/>
      <w:lang w:val="en-US" w:eastAsia="zh-CN" w:bidi="ar-SA"/>
    </w:rPr>
  </w:style>
  <w:style w:type="paragraph" w:customStyle="1" w:styleId="281">
    <w:name w:val="Normal_47"/>
    <w:autoRedefine/>
    <w:qFormat/>
    <w:uiPriority w:val="0"/>
    <w:pPr>
      <w:widowControl w:val="0"/>
      <w:jc w:val="both"/>
    </w:pPr>
    <w:rPr>
      <w:rFonts w:ascii="Calibri" w:hAnsi="Calibri" w:eastAsia="宋体" w:cs="Times New Roman"/>
      <w:lang w:val="en-US" w:eastAsia="zh-CN" w:bidi="ar-SA"/>
    </w:rPr>
  </w:style>
  <w:style w:type="paragraph" w:customStyle="1" w:styleId="282">
    <w:name w:val="Normal_48"/>
    <w:autoRedefine/>
    <w:qFormat/>
    <w:uiPriority w:val="0"/>
    <w:pPr>
      <w:widowControl w:val="0"/>
      <w:jc w:val="both"/>
    </w:pPr>
    <w:rPr>
      <w:rFonts w:ascii="Calibri" w:hAnsi="Calibri" w:eastAsia="宋体" w:cs="Times New Roman"/>
      <w:lang w:val="en-US" w:eastAsia="zh-CN" w:bidi="ar-SA"/>
    </w:rPr>
  </w:style>
  <w:style w:type="paragraph" w:customStyle="1" w:styleId="283">
    <w:name w:val="Normal_49"/>
    <w:autoRedefine/>
    <w:qFormat/>
    <w:uiPriority w:val="0"/>
    <w:pPr>
      <w:widowControl w:val="0"/>
      <w:jc w:val="both"/>
    </w:pPr>
    <w:rPr>
      <w:rFonts w:ascii="Calibri" w:hAnsi="Calibri" w:eastAsia="宋体" w:cs="Times New Roman"/>
      <w:lang w:val="en-US" w:eastAsia="zh-CN" w:bidi="ar-SA"/>
    </w:rPr>
  </w:style>
  <w:style w:type="paragraph" w:customStyle="1" w:styleId="284">
    <w:name w:val="Normal_50"/>
    <w:autoRedefine/>
    <w:qFormat/>
    <w:uiPriority w:val="0"/>
    <w:pPr>
      <w:widowControl w:val="0"/>
      <w:jc w:val="both"/>
    </w:pPr>
    <w:rPr>
      <w:rFonts w:ascii="Calibri" w:hAnsi="Calibri" w:eastAsia="宋体" w:cs="Times New Roman"/>
      <w:lang w:val="en-US" w:eastAsia="zh-CN" w:bidi="ar-SA"/>
    </w:rPr>
  </w:style>
  <w:style w:type="paragraph" w:customStyle="1" w:styleId="285">
    <w:name w:val="Normal_51"/>
    <w:autoRedefine/>
    <w:qFormat/>
    <w:uiPriority w:val="0"/>
    <w:pPr>
      <w:widowControl w:val="0"/>
      <w:jc w:val="both"/>
    </w:pPr>
    <w:rPr>
      <w:rFonts w:ascii="Calibri" w:hAnsi="Calibri" w:eastAsia="宋体" w:cs="Times New Roman"/>
      <w:lang w:val="en-US" w:eastAsia="zh-CN" w:bidi="ar-SA"/>
    </w:rPr>
  </w:style>
  <w:style w:type="paragraph" w:customStyle="1" w:styleId="286">
    <w:name w:val="Normal_52"/>
    <w:autoRedefine/>
    <w:qFormat/>
    <w:uiPriority w:val="0"/>
    <w:pPr>
      <w:widowControl w:val="0"/>
      <w:jc w:val="both"/>
    </w:pPr>
    <w:rPr>
      <w:rFonts w:ascii="Calibri" w:hAnsi="Calibri" w:eastAsia="宋体" w:cs="Times New Roman"/>
      <w:lang w:val="en-US" w:eastAsia="zh-CN" w:bidi="ar-SA"/>
    </w:rPr>
  </w:style>
  <w:style w:type="paragraph" w:customStyle="1" w:styleId="287">
    <w:name w:val="Normal_53"/>
    <w:autoRedefine/>
    <w:qFormat/>
    <w:uiPriority w:val="0"/>
    <w:pPr>
      <w:widowControl w:val="0"/>
      <w:jc w:val="both"/>
    </w:pPr>
    <w:rPr>
      <w:rFonts w:ascii="Calibri" w:hAnsi="Calibri" w:eastAsia="宋体" w:cs="Times New Roman"/>
      <w:lang w:val="en-US" w:eastAsia="zh-CN" w:bidi="ar-SA"/>
    </w:rPr>
  </w:style>
  <w:style w:type="paragraph" w:customStyle="1" w:styleId="288">
    <w:name w:val="Normal_54"/>
    <w:autoRedefine/>
    <w:qFormat/>
    <w:uiPriority w:val="0"/>
    <w:pPr>
      <w:widowControl w:val="0"/>
      <w:jc w:val="both"/>
    </w:pPr>
    <w:rPr>
      <w:rFonts w:ascii="Calibri" w:hAnsi="Calibri" w:eastAsia="宋体" w:cs="Times New Roman"/>
      <w:lang w:val="en-US" w:eastAsia="zh-CN" w:bidi="ar-SA"/>
    </w:rPr>
  </w:style>
  <w:style w:type="paragraph" w:customStyle="1" w:styleId="289">
    <w:name w:val="Normal_55"/>
    <w:autoRedefine/>
    <w:qFormat/>
    <w:uiPriority w:val="0"/>
    <w:pPr>
      <w:widowControl w:val="0"/>
      <w:jc w:val="both"/>
    </w:pPr>
    <w:rPr>
      <w:rFonts w:ascii="Calibri" w:hAnsi="Calibri" w:eastAsia="宋体" w:cs="Times New Roman"/>
      <w:lang w:val="en-US" w:eastAsia="zh-CN" w:bidi="ar-SA"/>
    </w:rPr>
  </w:style>
  <w:style w:type="paragraph" w:customStyle="1" w:styleId="290">
    <w:name w:val="Normal_56"/>
    <w:autoRedefine/>
    <w:qFormat/>
    <w:uiPriority w:val="0"/>
    <w:pPr>
      <w:widowControl w:val="0"/>
      <w:jc w:val="both"/>
    </w:pPr>
    <w:rPr>
      <w:rFonts w:ascii="Calibri" w:hAnsi="Calibri" w:eastAsia="宋体" w:cs="Times New Roman"/>
      <w:lang w:val="en-US" w:eastAsia="zh-CN" w:bidi="ar-SA"/>
    </w:rPr>
  </w:style>
  <w:style w:type="paragraph" w:customStyle="1" w:styleId="291">
    <w:name w:val="Normal_57"/>
    <w:autoRedefine/>
    <w:qFormat/>
    <w:uiPriority w:val="0"/>
    <w:pPr>
      <w:widowControl w:val="0"/>
      <w:jc w:val="both"/>
    </w:pPr>
    <w:rPr>
      <w:rFonts w:ascii="Calibri" w:hAnsi="Calibri" w:eastAsia="宋体" w:cs="Times New Roman"/>
      <w:lang w:val="en-US" w:eastAsia="zh-CN" w:bidi="ar-SA"/>
    </w:rPr>
  </w:style>
  <w:style w:type="paragraph" w:customStyle="1" w:styleId="292">
    <w:name w:val="Normal_58"/>
    <w:autoRedefine/>
    <w:qFormat/>
    <w:uiPriority w:val="0"/>
    <w:pPr>
      <w:widowControl w:val="0"/>
      <w:jc w:val="both"/>
    </w:pPr>
    <w:rPr>
      <w:rFonts w:ascii="Calibri" w:hAnsi="Calibri" w:eastAsia="宋体" w:cs="Times New Roman"/>
      <w:lang w:val="en-US" w:eastAsia="zh-CN" w:bidi="ar-SA"/>
    </w:rPr>
  </w:style>
  <w:style w:type="paragraph" w:customStyle="1" w:styleId="293">
    <w:name w:val="Normal_59"/>
    <w:autoRedefine/>
    <w:qFormat/>
    <w:uiPriority w:val="0"/>
    <w:pPr>
      <w:widowControl w:val="0"/>
      <w:jc w:val="both"/>
    </w:pPr>
    <w:rPr>
      <w:rFonts w:ascii="Calibri" w:hAnsi="Calibri" w:eastAsia="宋体" w:cs="Times New Roman"/>
      <w:lang w:val="en-US" w:eastAsia="zh-CN" w:bidi="ar-SA"/>
    </w:rPr>
  </w:style>
  <w:style w:type="paragraph" w:customStyle="1" w:styleId="294">
    <w:name w:val="Normal_60"/>
    <w:autoRedefine/>
    <w:qFormat/>
    <w:uiPriority w:val="0"/>
    <w:pPr>
      <w:widowControl w:val="0"/>
      <w:jc w:val="both"/>
    </w:pPr>
    <w:rPr>
      <w:rFonts w:ascii="Calibri" w:hAnsi="Calibri" w:eastAsia="宋体" w:cs="Times New Roman"/>
      <w:lang w:val="en-US" w:eastAsia="zh-CN" w:bidi="ar-SA"/>
    </w:rPr>
  </w:style>
  <w:style w:type="character" w:customStyle="1" w:styleId="295">
    <w:name w:val="l-btn-icon-left"/>
    <w:basedOn w:val="45"/>
    <w:autoRedefine/>
    <w:qFormat/>
    <w:uiPriority w:val="0"/>
  </w:style>
  <w:style w:type="character" w:customStyle="1" w:styleId="296">
    <w:name w:val="l-btn-left"/>
    <w:basedOn w:val="45"/>
    <w:autoRedefine/>
    <w:qFormat/>
    <w:uiPriority w:val="0"/>
  </w:style>
  <w:style w:type="character" w:customStyle="1" w:styleId="297">
    <w:name w:val="l-btn-left1"/>
    <w:basedOn w:val="45"/>
    <w:autoRedefine/>
    <w:qFormat/>
    <w:uiPriority w:val="0"/>
  </w:style>
  <w:style w:type="character" w:customStyle="1" w:styleId="298">
    <w:name w:val="l-btn-left2"/>
    <w:basedOn w:val="45"/>
    <w:autoRedefine/>
    <w:qFormat/>
    <w:uiPriority w:val="0"/>
  </w:style>
  <w:style w:type="character" w:customStyle="1" w:styleId="299">
    <w:name w:val="l-btn-left3"/>
    <w:basedOn w:val="45"/>
    <w:autoRedefine/>
    <w:qFormat/>
    <w:uiPriority w:val="0"/>
  </w:style>
  <w:style w:type="character" w:customStyle="1" w:styleId="300">
    <w:name w:val="l-btn-text"/>
    <w:basedOn w:val="45"/>
    <w:autoRedefine/>
    <w:qFormat/>
    <w:uiPriority w:val="0"/>
    <w:rPr>
      <w:sz w:val="18"/>
      <w:szCs w:val="18"/>
      <w:vertAlign w:val="baseline"/>
    </w:rPr>
  </w:style>
  <w:style w:type="character" w:customStyle="1" w:styleId="301">
    <w:name w:val="l-btn-icon-right"/>
    <w:basedOn w:val="45"/>
    <w:autoRedefine/>
    <w:qFormat/>
    <w:uiPriority w:val="0"/>
  </w:style>
  <w:style w:type="character" w:customStyle="1" w:styleId="302">
    <w:name w:val="l-btn-empty"/>
    <w:basedOn w:val="45"/>
    <w:autoRedefine/>
    <w:qFormat/>
    <w:uiPriority w:val="0"/>
  </w:style>
  <w:style w:type="paragraph" w:customStyle="1" w:styleId="303">
    <w:name w:val="目录 81"/>
    <w:basedOn w:val="1"/>
    <w:next w:val="1"/>
    <w:autoRedefine/>
    <w:qFormat/>
    <w:uiPriority w:val="0"/>
    <w:pPr>
      <w:ind w:left="2940"/>
    </w:pPr>
    <w:rPr>
      <w:rFonts w:ascii="Calibri"/>
    </w:rPr>
  </w:style>
  <w:style w:type="table" w:customStyle="1" w:styleId="304">
    <w:name w:val="Table Normal"/>
    <w:semiHidden/>
    <w:unhideWhenUsed/>
    <w:qFormat/>
    <w:uiPriority w:val="0"/>
    <w:tblPr>
      <w:tblCellMar>
        <w:top w:w="0" w:type="dxa"/>
        <w:left w:w="0" w:type="dxa"/>
        <w:bottom w:w="0" w:type="dxa"/>
        <w:right w:w="0" w:type="dxa"/>
      </w:tblCellMar>
    </w:tblPr>
  </w:style>
  <w:style w:type="paragraph" w:customStyle="1" w:styleId="305">
    <w:name w:val="列出段落4"/>
    <w:basedOn w:val="1"/>
    <w:autoRedefine/>
    <w:qFormat/>
    <w:uiPriority w:val="34"/>
    <w:pPr>
      <w:ind w:firstLine="420" w:firstLineChars="200"/>
    </w:pPr>
    <w:rPr>
      <w:rFonts w:ascii="Calibri" w:hAnsi="Calibri"/>
      <w:szCs w:val="22"/>
    </w:rPr>
  </w:style>
  <w:style w:type="paragraph" w:customStyle="1" w:styleId="306">
    <w:name w:val="Normal (Web)"/>
    <w:qFormat/>
    <w:uiPriority w:val="0"/>
    <w:pPr>
      <w:widowControl/>
      <w:spacing w:line="300" w:lineRule="auto"/>
      <w:ind w:left="420" w:hanging="420"/>
      <w:jc w:val="left"/>
    </w:pPr>
    <w:rPr>
      <w:rFonts w:ascii="宋体" w:hAnsi="宋体" w:eastAsia="宋体" w:cs="Times New Roman"/>
      <w:kern w:val="0"/>
      <w:sz w:val="24"/>
      <w:szCs w:val="20"/>
      <w:lang w:val="en-US" w:eastAsia="zh-CN" w:bidi="ar-SA"/>
    </w:rPr>
  </w:style>
  <w:style w:type="paragraph" w:customStyle="1" w:styleId="307">
    <w:name w:val="Table Text"/>
    <w:semiHidden/>
    <w:qFormat/>
    <w:uiPriority w:val="0"/>
    <w:pPr>
      <w:widowControl w:val="0"/>
      <w:jc w:val="both"/>
    </w:pPr>
    <w:rPr>
      <w:rFonts w:ascii="仿宋" w:hAnsi="仿宋" w:eastAsia="仿宋" w:cs="仿宋"/>
      <w:kern w:val="2"/>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81</Pages>
  <Words>7508</Words>
  <Characters>8000</Characters>
  <Lines>270</Lines>
  <Paragraphs>76</Paragraphs>
  <TotalTime>0</TotalTime>
  <ScaleCrop>false</ScaleCrop>
  <LinksUpToDate>false</LinksUpToDate>
  <CharactersWithSpaces>8262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2018-12-10T02:46:00Z</dcterms:created>
  <dc:creator>admin</dc:creator>
  <cp:lastModifiedBy>Administrator</cp:lastModifiedBy>
  <cp:lastPrinted>2026-09-22T00:24:00Z</cp:lastPrinted>
  <dcterms:modified xsi:type="dcterms:W3CDTF">2026-10-20T01:11:36Z</dcterms:modified>
  <dc:title>附件十一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540CFC67365B45CB9DD7F2BEA853B4A7_13</vt:lpwstr>
  </property>
  <property fmtid="{D5CDD505-2E9C-101B-9397-08002B2CF9AE}" pid="4" name="KSOTemplateDocerSaveRecord">
    <vt:lpwstr>eyJoZGlkIjoiYTRlNDlhNjZlOGFkOTU0YjEyNGNlZGZlYmFhYmFmNTYiLCJ1c2VySWQiOiI0NDE0OTA3ODQifQ==</vt:lpwstr>
  </property>
</Properties>
</file>