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4EAE6">
      <w:pPr>
        <w:pStyle w:val="10"/>
        <w:tabs>
          <w:tab w:val="left" w:pos="4928"/>
        </w:tabs>
        <w:jc w:val="center"/>
        <w:rPr>
          <w:rFonts w:hint="eastAsia" w:eastAsia="宋体" w:cs="宋体"/>
          <w:sz w:val="44"/>
          <w:lang w:val="en-US" w:eastAsia="zh-CN"/>
        </w:rPr>
      </w:pPr>
      <w:r>
        <w:drawing>
          <wp:inline distT="0" distB="0" distL="114300" distR="114300">
            <wp:extent cx="5600700" cy="79343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0"/>
                    <a:stretch>
                      <a:fillRect/>
                    </a:stretch>
                  </pic:blipFill>
                  <pic:spPr>
                    <a:xfrm>
                      <a:off x="0" y="0"/>
                      <a:ext cx="5600700" cy="7934325"/>
                    </a:xfrm>
                    <a:prstGeom prst="rect">
                      <a:avLst/>
                    </a:prstGeom>
                    <a:noFill/>
                    <a:ln>
                      <a:noFill/>
                    </a:ln>
                  </pic:spPr>
                </pic:pic>
              </a:graphicData>
            </a:graphic>
          </wp:inline>
        </w:drawing>
      </w:r>
    </w:p>
    <w:p w14:paraId="34859BAD">
      <w:pPr>
        <w:pStyle w:val="10"/>
        <w:tabs>
          <w:tab w:val="left" w:pos="4928"/>
        </w:tabs>
        <w:rPr>
          <w:rFonts w:hint="eastAsia" w:cs="宋体"/>
          <w:sz w:val="44"/>
        </w:r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05"/>
        <w:gridCol w:w="6199"/>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605" w:type="dxa"/>
            <w:noWrap w:val="0"/>
            <w:vAlign w:val="center"/>
          </w:tcPr>
          <w:p w14:paraId="14AB7C12">
            <w:pPr>
              <w:jc w:val="center"/>
              <w:rPr>
                <w:rFonts w:hint="eastAsia"/>
              </w:rPr>
            </w:pPr>
            <w:r>
              <w:t>评审点名称</w:t>
            </w:r>
          </w:p>
        </w:tc>
        <w:tc>
          <w:tcPr>
            <w:tcW w:w="6199"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605" w:type="dxa"/>
            <w:noWrap w:val="0"/>
            <w:vAlign w:val="center"/>
          </w:tcPr>
          <w:p w14:paraId="35622519">
            <w:pPr>
              <w:jc w:val="center"/>
              <w:rPr>
                <w:rFonts w:hint="eastAsia"/>
              </w:rPr>
            </w:pPr>
            <w:r>
              <w:t>营业执照</w:t>
            </w:r>
          </w:p>
        </w:tc>
        <w:tc>
          <w:tcPr>
            <w:tcW w:w="6199"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605" w:type="dxa"/>
            <w:noWrap w:val="0"/>
            <w:vAlign w:val="center"/>
          </w:tcPr>
          <w:p w14:paraId="0B343231">
            <w:pPr>
              <w:jc w:val="center"/>
              <w:rPr>
                <w:rFonts w:hint="eastAsia"/>
              </w:rPr>
            </w:pPr>
            <w:r>
              <w:t>法定代表或法人授权委托书原件及复印件（含社保证明）</w:t>
            </w:r>
          </w:p>
        </w:tc>
        <w:tc>
          <w:tcPr>
            <w:tcW w:w="6199"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605" w:type="dxa"/>
            <w:noWrap w:val="0"/>
            <w:vAlign w:val="center"/>
          </w:tcPr>
          <w:p w14:paraId="3A9B79F1">
            <w:pPr>
              <w:jc w:val="center"/>
            </w:pPr>
            <w:r>
              <w:rPr>
                <w:rFonts w:hint="eastAsia"/>
              </w:rPr>
              <w:t>投标报价超过招标文件中规定的最高限价的</w:t>
            </w:r>
          </w:p>
        </w:tc>
        <w:tc>
          <w:tcPr>
            <w:tcW w:w="6199" w:type="dxa"/>
            <w:noWrap w:val="0"/>
            <w:vAlign w:val="center"/>
          </w:tcPr>
          <w:p w14:paraId="6F255E7C">
            <w:pPr>
              <w:rPr>
                <w:rFonts w:hint="eastAsia"/>
              </w:rPr>
            </w:pPr>
            <w:r>
              <w:rPr>
                <w:rFonts w:hint="eastAsia"/>
              </w:rPr>
              <w:t>投标报价</w:t>
            </w:r>
            <w:r>
              <w:rPr>
                <w:rFonts w:hint="eastAsia"/>
                <w:lang w:val="en-US" w:eastAsia="zh-CN"/>
              </w:rPr>
              <w:t>未</w:t>
            </w:r>
            <w:r>
              <w:rPr>
                <w:rFonts w:hint="eastAsia"/>
              </w:rPr>
              <w:t>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08" w:type="dxa"/>
            <w:vMerge w:val="continue"/>
            <w:noWrap w:val="0"/>
            <w:vAlign w:val="center"/>
          </w:tcPr>
          <w:p w14:paraId="0D8B994E">
            <w:pPr>
              <w:jc w:val="center"/>
              <w:rPr>
                <w:rFonts w:hint="eastAsia"/>
              </w:rPr>
            </w:pPr>
          </w:p>
        </w:tc>
        <w:tc>
          <w:tcPr>
            <w:tcW w:w="2605" w:type="dxa"/>
            <w:noWrap w:val="0"/>
            <w:vAlign w:val="center"/>
          </w:tcPr>
          <w:p w14:paraId="2AEB64E6">
            <w:pPr>
              <w:jc w:val="center"/>
              <w:rPr>
                <w:rFonts w:hint="eastAsia"/>
              </w:rPr>
            </w:pPr>
            <w:r>
              <w:rPr>
                <w:rFonts w:hint="eastAsia"/>
              </w:rPr>
              <w:t>法律法规和招标文件规定的其他投标无效情形的</w:t>
            </w:r>
          </w:p>
        </w:tc>
        <w:tc>
          <w:tcPr>
            <w:tcW w:w="6199"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605" w:type="dxa"/>
            <w:noWrap w:val="0"/>
            <w:vAlign w:val="center"/>
          </w:tcPr>
          <w:p w14:paraId="5160B0DA">
            <w:pPr>
              <w:jc w:val="center"/>
              <w:rPr>
                <w:rFonts w:hint="eastAsia"/>
              </w:rPr>
            </w:pPr>
            <w:r>
              <w:t>其他说明</w:t>
            </w:r>
          </w:p>
        </w:tc>
        <w:tc>
          <w:tcPr>
            <w:tcW w:w="6199"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605" w:type="dxa"/>
            <w:noWrap w:val="0"/>
            <w:vAlign w:val="center"/>
          </w:tcPr>
          <w:p w14:paraId="5A7B7017">
            <w:pPr>
              <w:jc w:val="center"/>
              <w:rPr>
                <w:rFonts w:hint="eastAsia"/>
              </w:rPr>
            </w:pPr>
            <w:r>
              <w:rPr>
                <w:rFonts w:hint="eastAsia"/>
              </w:rPr>
              <w:t>信用记录不符合要求的</w:t>
            </w:r>
          </w:p>
        </w:tc>
        <w:tc>
          <w:tcPr>
            <w:tcW w:w="6199"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605" w:type="dxa"/>
            <w:noWrap w:val="0"/>
            <w:vAlign w:val="center"/>
          </w:tcPr>
          <w:p w14:paraId="68C59FEE">
            <w:pPr>
              <w:jc w:val="center"/>
              <w:rPr>
                <w:rFonts w:hint="eastAsia"/>
              </w:rPr>
            </w:pPr>
            <w:r>
              <w:t>投标保证金</w:t>
            </w:r>
          </w:p>
        </w:tc>
        <w:tc>
          <w:tcPr>
            <w:tcW w:w="6199"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605" w:type="dxa"/>
            <w:noWrap w:val="0"/>
            <w:vAlign w:val="center"/>
          </w:tcPr>
          <w:p w14:paraId="1E65AA2B">
            <w:pPr>
              <w:jc w:val="center"/>
            </w:pPr>
            <w:r>
              <w:t>特定资格条件</w:t>
            </w:r>
          </w:p>
        </w:tc>
        <w:tc>
          <w:tcPr>
            <w:tcW w:w="6199"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2、资格证明文件原件扫描件须加盖投标人公章。</w:t>
            </w:r>
          </w:p>
          <w:p w14:paraId="3D39977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lang w:eastAsia="zh-CN"/>
              </w:rPr>
              <w:t>、</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eastAsia="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w:t>
            </w:r>
            <w:r>
              <w:rPr>
                <w:rFonts w:hint="eastAsia"/>
                <w:lang w:val="en-US" w:eastAsia="zh-CN"/>
              </w:rPr>
              <w:t>是否</w:t>
            </w:r>
            <w:r>
              <w:rPr>
                <w:rFonts w:hint="eastAsia"/>
              </w:rPr>
              <w:t>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28F632B0">
      <w:pPr>
        <w:pStyle w:val="21"/>
        <w:ind w:left="0" w:leftChars="0" w:firstLine="0" w:firstLineChars="0"/>
        <w:rPr>
          <w:rFonts w:hint="eastAsia" w:ascii="宋体" w:hAnsi="宋体" w:eastAsia="宋体" w:cs="宋体"/>
        </w:rPr>
      </w:pPr>
    </w:p>
    <w:p w14:paraId="56726001">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75EF842">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4D4B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488CE87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67ACCAA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2806B15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003B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6080E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B5C767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47B058C4">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A1=50%</w:t>
            </w:r>
          </w:p>
        </w:tc>
      </w:tr>
      <w:tr w14:paraId="60F1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0E2BAD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59562B5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671353E6">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A2=40%</w:t>
            </w:r>
          </w:p>
        </w:tc>
      </w:tr>
      <w:tr w14:paraId="291C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D92D1B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526E209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39646D06">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bookmarkStart w:id="1" w:name="S_2_9"/>
            <w:bookmarkEnd w:id="1"/>
            <w:r>
              <w:rPr>
                <w:rFonts w:hint="eastAsia" w:ascii="宋体" w:hAnsi="宋体" w:cs="宋体"/>
                <w:szCs w:val="21"/>
                <w:lang w:val="en-US" w:eastAsia="zh-CN"/>
              </w:rPr>
              <w:t>A3=10%</w:t>
            </w:r>
          </w:p>
        </w:tc>
      </w:tr>
      <w:tr w14:paraId="602D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9F715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09FB03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2AE68F8A">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265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03C47D5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cs="宋体"/>
                <w:szCs w:val="21"/>
                <w:lang w:val="en-US" w:eastAsia="zh-CN"/>
              </w:rPr>
              <w:t>=1</w:t>
            </w:r>
          </w:p>
        </w:tc>
      </w:tr>
    </w:tbl>
    <w:p w14:paraId="0CA9B0FA">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评标方法及标准</w:t>
      </w:r>
    </w:p>
    <w:p w14:paraId="58A2F15C">
      <w:pPr>
        <w:jc w:val="center"/>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A1</w:t>
      </w:r>
      <w:r>
        <w:rPr>
          <w:rFonts w:hint="eastAsia" w:ascii="宋体" w:hAnsi="宋体" w:eastAsia="宋体" w:cs="宋体"/>
          <w:b/>
          <w:bCs/>
          <w:sz w:val="28"/>
          <w:szCs w:val="28"/>
          <w:lang w:val="en-US" w:eastAsia="zh-CN"/>
        </w:rPr>
        <w:t>投标报价部分</w:t>
      </w:r>
    </w:p>
    <w:p w14:paraId="3E5B2EF8">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0C3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C56605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01C6B3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15D920F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3A6E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53EE13E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3229712F">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rPr>
              <w:t>经评委会一致认定满足招标文件要求且投标价格最低的投标报价为评标基准价，其价格得分为满分。其他投标人的价格得分统一按公式计算：报价得分＝（评标基准价/投标报价）×100×价格权值。</w:t>
            </w:r>
          </w:p>
          <w:p w14:paraId="6C0645F6">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lang w:val="en-US" w:eastAsia="zh-CN"/>
              </w:rPr>
              <w:t>注：</w:t>
            </w:r>
            <w:r>
              <w:rPr>
                <w:rFonts w:hint="eastAsia" w:cs="宋体"/>
                <w:color w:val="auto"/>
                <w:sz w:val="21"/>
                <w:lang w:val="en-US" w:eastAsia="zh-CN"/>
              </w:rPr>
              <w:t>1.</w:t>
            </w:r>
            <w:r>
              <w:rPr>
                <w:rFonts w:hint="eastAsia" w:ascii="宋体" w:hAnsi="宋体" w:eastAsia="宋体" w:cs="宋体"/>
                <w:color w:val="auto"/>
                <w:sz w:val="21"/>
                <w:lang w:val="en-US" w:eastAsia="zh-CN"/>
              </w:rPr>
              <w:t>根据财政部令第87号第六十条的规定，</w:t>
            </w:r>
            <w:r>
              <w:rPr>
                <w:rFonts w:hint="eastAsia" w:ascii="宋体" w:hAnsi="宋体" w:eastAsia="宋体" w:cs="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9193131">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政府采购评审中出现下列情形之一的，评审委员会应当启动异常低价投标(响应)审查程序：2.1投标(响应)报价低于全部通过符合性审查供应商投示(响应)报价平均值65%的，即投标(响应)报价&lt;全部通过符合性审查供应商投标(响应)报价平均值*65%；</w:t>
            </w:r>
          </w:p>
          <w:p w14:paraId="1B53F99C">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0F9A54E">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2.4评审委员会基于专业判断，认为供应商报价过低，有可能影响产品质量或者不能诚信履约的其他情形。</w:t>
            </w:r>
          </w:p>
          <w:p w14:paraId="0EEF5EA7">
            <w:pPr>
              <w:pStyle w:val="47"/>
              <w:keepNext w:val="0"/>
              <w:keepLines w:val="0"/>
              <w:suppressLineNumbers w:val="0"/>
              <w:spacing w:before="22" w:beforeAutospacing="0" w:after="0" w:afterAutospacing="0" w:line="278" w:lineRule="auto"/>
              <w:ind w:left="105" w:right="96"/>
              <w:rPr>
                <w:rFonts w:hint="default" w:cs="宋体"/>
                <w:color w:val="auto"/>
                <w:sz w:val="21"/>
                <w:lang w:val="en-US" w:eastAsia="zh-CN"/>
              </w:rPr>
            </w:pPr>
            <w:r>
              <w:rPr>
                <w:rFonts w:hint="eastAsia" w:cs="宋体"/>
                <w:color w:val="auto"/>
                <w:sz w:val="21"/>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2DF6347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061F41D4">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cs="宋体"/>
          <w:b/>
          <w:bCs/>
          <w:sz w:val="28"/>
          <w:szCs w:val="28"/>
          <w:lang w:val="en-US" w:eastAsia="zh-CN"/>
        </w:rPr>
        <w:t>A2</w:t>
      </w:r>
      <w:r>
        <w:rPr>
          <w:rFonts w:hint="eastAsia" w:ascii="宋体" w:hAnsi="宋体" w:eastAsia="宋体" w:cs="宋体"/>
          <w:b/>
          <w:bCs/>
          <w:sz w:val="28"/>
          <w:szCs w:val="28"/>
          <w:lang w:val="en-US" w:eastAsia="zh-CN"/>
        </w:rPr>
        <w:t>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AA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673" w:type="dxa"/>
            <w:noWrap w:val="0"/>
            <w:vAlign w:val="center"/>
          </w:tcPr>
          <w:p w14:paraId="16EA2832">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bookmarkStart w:id="2" w:name="T_1_1" w:colFirst="0" w:colLast="4"/>
            <w:r>
              <w:rPr>
                <w:rFonts w:hint="eastAsia" w:ascii="宋体" w:hAnsi="宋体" w:eastAsia="宋体" w:cs="宋体"/>
                <w:sz w:val="21"/>
                <w:szCs w:val="21"/>
              </w:rPr>
              <w:t>序号</w:t>
            </w:r>
          </w:p>
        </w:tc>
        <w:tc>
          <w:tcPr>
            <w:tcW w:w="8381" w:type="dxa"/>
            <w:gridSpan w:val="2"/>
            <w:noWrap w:val="0"/>
            <w:vAlign w:val="center"/>
          </w:tcPr>
          <w:p w14:paraId="739B75DA">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F954507">
            <w:pPr>
              <w:keepNext w:val="0"/>
              <w:keepLines w:val="0"/>
              <w:suppressLineNumbers w:val="0"/>
              <w:adjustRightInd w:val="0"/>
              <w:snapToGrid w:val="0"/>
              <w:spacing w:before="156" w:beforeLines="50" w:beforeAutospacing="0" w:after="0" w:afterAutospacing="0" w:line="360" w:lineRule="auto"/>
              <w:ind w:left="0" w:leftChars="0" w:right="0" w:rightChars="0"/>
              <w:rPr>
                <w:rFonts w:hint="eastAsia" w:ascii="宋体" w:hAnsi="宋体" w:eastAsia="宋体" w:cs="宋体"/>
                <w:sz w:val="21"/>
                <w:szCs w:val="21"/>
              </w:rPr>
            </w:pPr>
            <w:r>
              <w:rPr>
                <w:rFonts w:hint="eastAsia" w:ascii="宋体" w:hAnsi="宋体" w:eastAsia="宋体" w:cs="宋体"/>
                <w:sz w:val="21"/>
                <w:szCs w:val="21"/>
              </w:rPr>
              <w:t>分值</w:t>
            </w:r>
          </w:p>
        </w:tc>
      </w:tr>
      <w:tr w14:paraId="324DF5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93" w:hRule="atLeast"/>
          <w:jc w:val="center"/>
        </w:trPr>
        <w:tc>
          <w:tcPr>
            <w:tcW w:w="673" w:type="dxa"/>
            <w:tcBorders>
              <w:top w:val="single" w:color="auto" w:sz="4" w:space="0"/>
            </w:tcBorders>
            <w:noWrap w:val="0"/>
            <w:vAlign w:val="center"/>
          </w:tcPr>
          <w:p w14:paraId="50BD683B">
            <w:pPr>
              <w:keepNext w:val="0"/>
              <w:keepLines w:val="0"/>
              <w:suppressLineNumbers w:val="0"/>
              <w:spacing w:before="0" w:beforeAutospacing="0" w:after="0" w:afterAutospacing="0" w:line="400" w:lineRule="atLeast"/>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1348" w:type="dxa"/>
            <w:tcBorders>
              <w:top w:val="single" w:color="auto" w:sz="4" w:space="0"/>
            </w:tcBorders>
            <w:shd w:val="clear" w:color="auto" w:fill="auto"/>
            <w:noWrap w:val="0"/>
            <w:vAlign w:val="center"/>
          </w:tcPr>
          <w:p w14:paraId="7335BA3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cs="宋体"/>
                <w:color w:val="auto"/>
                <w:kern w:val="0"/>
                <w:sz w:val="21"/>
                <w:szCs w:val="21"/>
                <w:lang w:val="en-US" w:eastAsia="zh-CN" w:bidi="ar"/>
              </w:rPr>
              <w:t>技术响应</w:t>
            </w:r>
          </w:p>
        </w:tc>
        <w:tc>
          <w:tcPr>
            <w:tcW w:w="7033" w:type="dxa"/>
            <w:tcBorders>
              <w:right w:val="single" w:color="auto" w:sz="4" w:space="0"/>
            </w:tcBorders>
            <w:shd w:val="clear" w:color="auto" w:fill="auto"/>
            <w:noWrap w:val="0"/>
            <w:vAlign w:val="top"/>
          </w:tcPr>
          <w:p w14:paraId="480C58E5">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rPr>
              <w:t>投标人或制造商所投产品的技术指标、性能参数完全满足招标文件技术要求的，计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rPr>
              <w:t>分</w:t>
            </w:r>
            <w:r>
              <w:rPr>
                <w:rFonts w:hint="default" w:ascii="Times New Roman" w:hAnsi="Times New Roman" w:cs="Times New Roman"/>
                <w:color w:val="auto"/>
                <w:spacing w:val="-2"/>
                <w:kern w:val="0"/>
                <w:sz w:val="20"/>
                <w:szCs w:val="20"/>
                <w:lang w:eastAsia="zh-CN"/>
              </w:rPr>
              <w:t>。</w:t>
            </w:r>
          </w:p>
          <w:p w14:paraId="5D60DABF">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rPr>
              <w:t>标★号项为实质性指标，不符合要求</w:t>
            </w:r>
            <w:r>
              <w:rPr>
                <w:rFonts w:hint="eastAsia" w:cs="Times New Roman"/>
                <w:color w:val="auto"/>
                <w:spacing w:val="-2"/>
                <w:kern w:val="0"/>
                <w:sz w:val="20"/>
                <w:szCs w:val="20"/>
                <w:lang w:val="en-US" w:eastAsia="zh-CN"/>
              </w:rPr>
              <w:t>本项不得分</w:t>
            </w:r>
            <w:r>
              <w:rPr>
                <w:rFonts w:hint="default" w:ascii="Times New Roman" w:hAnsi="Times New Roman" w:cs="Times New Roman"/>
                <w:color w:val="auto"/>
                <w:spacing w:val="-2"/>
                <w:kern w:val="0"/>
                <w:sz w:val="20"/>
                <w:szCs w:val="20"/>
                <w:lang w:eastAsia="zh-CN"/>
              </w:rPr>
              <w:t>。</w:t>
            </w:r>
          </w:p>
          <w:p w14:paraId="6B4B0B57">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eastAsia="宋体" w:cs="Times New Roman"/>
                <w:color w:val="auto"/>
                <w:spacing w:val="-2"/>
                <w:kern w:val="0"/>
                <w:sz w:val="20"/>
                <w:szCs w:val="22"/>
                <w:lang w:eastAsia="zh-CN"/>
              </w:rPr>
            </w:pPr>
            <w:r>
              <w:rPr>
                <w:rFonts w:hint="default" w:ascii="Times New Roman" w:hAnsi="Times New Roman" w:cs="Times New Roman"/>
                <w:color w:val="auto"/>
                <w:spacing w:val="-2"/>
                <w:kern w:val="0"/>
                <w:sz w:val="20"/>
                <w:szCs w:val="22"/>
                <w:lang w:eastAsia="zh-CN"/>
              </w:rPr>
              <w:t>（</w:t>
            </w:r>
            <w:r>
              <w:rPr>
                <w:rFonts w:hint="default" w:ascii="Times New Roman" w:hAnsi="Times New Roman"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标▲号项为重要指标，根据对招标文件“采购需求”技术要求中技术参数的“▲”条款进行评审，参数不满足、缺漏项、有负偏离的每项（子项）扣</w:t>
            </w:r>
            <w:r>
              <w:rPr>
                <w:rFonts w:hint="eastAsia"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分</w:t>
            </w:r>
            <w:r>
              <w:rPr>
                <w:rFonts w:hint="eastAsia" w:cs="Times New Roman"/>
                <w:color w:val="auto"/>
                <w:spacing w:val="-2"/>
                <w:kern w:val="0"/>
                <w:sz w:val="20"/>
                <w:szCs w:val="22"/>
                <w:lang w:eastAsia="zh-CN"/>
              </w:rPr>
              <w:t>，</w:t>
            </w:r>
            <w:r>
              <w:rPr>
                <w:rFonts w:hint="eastAsia" w:cs="Times New Roman"/>
                <w:color w:val="auto"/>
                <w:spacing w:val="-2"/>
                <w:kern w:val="0"/>
                <w:sz w:val="20"/>
                <w:szCs w:val="22"/>
                <w:lang w:val="en-US" w:eastAsia="zh-CN"/>
              </w:rPr>
              <w:t>扣完为止</w:t>
            </w:r>
            <w:r>
              <w:rPr>
                <w:rFonts w:hint="default" w:ascii="Times New Roman" w:hAnsi="Times New Roman" w:cs="Times New Roman"/>
                <w:color w:val="auto"/>
                <w:spacing w:val="-2"/>
                <w:kern w:val="0"/>
                <w:sz w:val="20"/>
                <w:szCs w:val="22"/>
                <w:lang w:eastAsia="zh-CN"/>
              </w:rPr>
              <w:t>。</w:t>
            </w:r>
          </w:p>
          <w:p w14:paraId="4A61D06E">
            <w:pPr>
              <w:keepNext w:val="0"/>
              <w:keepLines w:val="0"/>
              <w:pageBreakBefore w:val="0"/>
              <w:widowControl w:val="0"/>
              <w:suppressLineNumbers w:val="0"/>
              <w:wordWrap/>
              <w:overflowPunct/>
              <w:autoSpaceDE w:val="0"/>
              <w:autoSpaceDN/>
              <w:bidi w:val="0"/>
              <w:spacing w:before="22" w:beforeAutospacing="0" w:after="0" w:afterAutospacing="0" w:line="240" w:lineRule="atLeast"/>
              <w:ind w:left="105" w:leftChars="0" w:right="96" w:rightChars="0"/>
              <w:jc w:val="left"/>
              <w:textAlignment w:val="auto"/>
              <w:rPr>
                <w:rFonts w:hint="eastAsia" w:ascii="宋体" w:hAnsi="宋体" w:eastAsia="宋体" w:cs="宋体"/>
                <w:color w:val="auto"/>
                <w:kern w:val="0"/>
                <w:sz w:val="20"/>
                <w:szCs w:val="21"/>
                <w:lang w:val="en-US" w:eastAsia="zh-CN" w:bidi="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rPr>
              <w:t>注：技术参数响应中要求提供相关证明材料的，未提供或未按要求提供或不符合要求的，视为不满足该条款技术参数</w:t>
            </w:r>
            <w:r>
              <w:rPr>
                <w:rFonts w:hint="default" w:ascii="Times New Roman" w:hAnsi="Times New Roman" w:cs="Times New Roman"/>
                <w:color w:val="auto"/>
                <w:spacing w:val="-2"/>
                <w:kern w:val="0"/>
                <w:sz w:val="20"/>
                <w:szCs w:val="20"/>
                <w:lang w:eastAsia="zh-CN"/>
              </w:rPr>
              <w:t>）</w:t>
            </w:r>
          </w:p>
        </w:tc>
        <w:tc>
          <w:tcPr>
            <w:tcW w:w="804" w:type="dxa"/>
            <w:tcBorders>
              <w:left w:val="single" w:color="auto" w:sz="4" w:space="0"/>
            </w:tcBorders>
            <w:noWrap w:val="0"/>
            <w:vAlign w:val="center"/>
          </w:tcPr>
          <w:p w14:paraId="094336C9">
            <w:pPr>
              <w:pStyle w:val="47"/>
              <w:keepNext w:val="0"/>
              <w:keepLines w:val="0"/>
              <w:suppressLineNumbers w:val="0"/>
              <w:spacing w:before="0" w:beforeAutospacing="0" w:after="0" w:afterAutospacing="0"/>
              <w:ind w:left="0" w:leftChars="0" w:right="0" w:rightChars="0"/>
              <w:jc w:val="center"/>
              <w:rPr>
                <w:rFonts w:hint="default" w:cs="宋体"/>
                <w:color w:val="auto"/>
                <w:sz w:val="21"/>
                <w:szCs w:val="21"/>
                <w:lang w:val="en-US" w:eastAsia="zh-CN"/>
              </w:rPr>
            </w:pPr>
            <w:r>
              <w:rPr>
                <w:rFonts w:hint="eastAsia" w:cs="宋体"/>
                <w:color w:val="auto"/>
                <w:sz w:val="21"/>
                <w:szCs w:val="21"/>
                <w:lang w:val="en-US" w:eastAsia="zh-CN"/>
              </w:rPr>
              <w:t>20分</w:t>
            </w:r>
          </w:p>
        </w:tc>
      </w:tr>
      <w:tr w14:paraId="39279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7B6652B4">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F253CA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bCs/>
                <w:sz w:val="21"/>
                <w:szCs w:val="21"/>
              </w:rPr>
              <w:t>供货方案</w:t>
            </w:r>
          </w:p>
        </w:tc>
        <w:tc>
          <w:tcPr>
            <w:tcW w:w="7033" w:type="dxa"/>
            <w:tcBorders>
              <w:right w:val="single" w:color="auto" w:sz="4" w:space="0"/>
            </w:tcBorders>
            <w:noWrap w:val="0"/>
            <w:vAlign w:val="top"/>
          </w:tcPr>
          <w:p w14:paraId="63DAA643">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投标人针对本项目的实际情况，制定详细的实施方案，包含但不限于：</w:t>
            </w:r>
          </w:p>
          <w:p w14:paraId="1C3ACB3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1.供货产品阐述；</w:t>
            </w:r>
          </w:p>
          <w:p w14:paraId="38A32B4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2.运输与配送</w:t>
            </w:r>
            <w:r>
              <w:rPr>
                <w:rFonts w:hint="eastAsia" w:cs="Times New Roman"/>
                <w:color w:val="auto"/>
                <w:spacing w:val="-2"/>
                <w:kern w:val="0"/>
                <w:sz w:val="20"/>
                <w:szCs w:val="20"/>
                <w:lang w:val="en-US" w:eastAsia="zh-CN"/>
              </w:rPr>
              <w:t>；</w:t>
            </w:r>
          </w:p>
          <w:p w14:paraId="37A35E1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产品安装与调试；</w:t>
            </w:r>
          </w:p>
          <w:p w14:paraId="5BE572C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.项目进度计划及保证措施、团队人员配备；</w:t>
            </w:r>
          </w:p>
          <w:p w14:paraId="0FE3DB3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 xml:space="preserve">.安全管理措施、环境管理措施等。 </w:t>
            </w:r>
          </w:p>
          <w:p w14:paraId="3487546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各阶段工作划分明确衔接紧密，技术方案明确具体，保障措施先进且程序规范、措施有力</w:t>
            </w:r>
            <w:r>
              <w:rPr>
                <w:rFonts w:hint="eastAsia" w:ascii="Times New Roman" w:hAnsi="Times New Roman"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合理高效，逻辑结构清晰，针对性强，内容详尽的计</w:t>
            </w:r>
            <w:r>
              <w:rPr>
                <w:rFonts w:hint="eastAsia" w:cs="Times New Roman"/>
                <w:color w:val="auto"/>
                <w:spacing w:val="-2"/>
                <w:kern w:val="0"/>
                <w:sz w:val="20"/>
                <w:szCs w:val="20"/>
                <w:lang w:val="en-US" w:eastAsia="zh-CN"/>
              </w:rPr>
              <w:t>30</w:t>
            </w:r>
            <w:r>
              <w:rPr>
                <w:rFonts w:hint="default" w:ascii="Times New Roman" w:hAnsi="Times New Roman" w:cs="Times New Roman"/>
                <w:color w:val="auto"/>
                <w:spacing w:val="-2"/>
                <w:kern w:val="0"/>
                <w:sz w:val="20"/>
                <w:szCs w:val="20"/>
                <w:lang w:val="en-US" w:eastAsia="zh-CN"/>
              </w:rPr>
              <w:t>分；</w:t>
            </w:r>
          </w:p>
          <w:p w14:paraId="640A57A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宋体" w:hAnsi="宋体" w:eastAsia="宋体" w:cs="宋体"/>
                <w:color w:val="auto"/>
                <w:sz w:val="20"/>
                <w:szCs w:val="22"/>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2</w:t>
            </w:r>
            <w:r>
              <w:rPr>
                <w:rFonts w:hint="default" w:ascii="Times New Roman" w:hAnsi="Times New Roman" w:cs="Times New Roman"/>
                <w:color w:val="auto"/>
                <w:spacing w:val="-2"/>
                <w:kern w:val="0"/>
                <w:sz w:val="20"/>
                <w:szCs w:val="20"/>
                <w:lang w:val="en-US" w:eastAsia="zh-CN"/>
              </w:rPr>
              <w:t>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0487A5C7">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6A4B4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22" w:hRule="atLeast"/>
          <w:jc w:val="center"/>
        </w:trPr>
        <w:tc>
          <w:tcPr>
            <w:tcW w:w="673" w:type="dxa"/>
            <w:tcBorders>
              <w:top w:val="single" w:color="auto" w:sz="4" w:space="0"/>
            </w:tcBorders>
            <w:noWrap w:val="0"/>
            <w:vAlign w:val="center"/>
          </w:tcPr>
          <w:p w14:paraId="4593AA5E">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765416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培训方案</w:t>
            </w:r>
          </w:p>
        </w:tc>
        <w:tc>
          <w:tcPr>
            <w:tcW w:w="7033" w:type="dxa"/>
            <w:tcBorders>
              <w:right w:val="single" w:color="auto" w:sz="4" w:space="0"/>
            </w:tcBorders>
            <w:noWrap w:val="0"/>
            <w:vAlign w:val="center"/>
          </w:tcPr>
          <w:p w14:paraId="3762421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投标人针对本项目，编制项目培训方案，对投标人培训计划进行综合评审，培训计划包括但不限于：</w:t>
            </w:r>
          </w:p>
          <w:p w14:paraId="309B659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1.所提供设备的使用和保管培训等内容（系统性现场应用培训含基础理论、操作规范、基础故障排除等）；</w:t>
            </w:r>
          </w:p>
          <w:p w14:paraId="0E81D27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2.分阶段</w:t>
            </w:r>
            <w:r>
              <w:rPr>
                <w:rFonts w:hint="eastAsia" w:ascii="Times New Roman" w:hAnsi="Times New Roman" w:cs="Times New Roman"/>
                <w:color w:val="auto"/>
                <w:spacing w:val="-2"/>
                <w:kern w:val="0"/>
                <w:sz w:val="20"/>
                <w:szCs w:val="20"/>
                <w:lang w:val="en-US" w:eastAsia="zh-CN"/>
              </w:rPr>
              <w:t>实施</w:t>
            </w:r>
            <w:r>
              <w:rPr>
                <w:rFonts w:hint="default" w:ascii="Times New Roman" w:hAnsi="Times New Roman" w:cs="Times New Roman"/>
                <w:color w:val="auto"/>
                <w:spacing w:val="-2"/>
                <w:kern w:val="0"/>
                <w:sz w:val="20"/>
                <w:szCs w:val="20"/>
                <w:lang w:val="en-US" w:eastAsia="zh-CN"/>
              </w:rPr>
              <w:t>培训（含理论、实操、考核）、培训效果等；</w:t>
            </w:r>
          </w:p>
          <w:p w14:paraId="440DF215">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3.提供培训计划时间表（含培训课程及时间）</w:t>
            </w:r>
            <w:r>
              <w:rPr>
                <w:rFonts w:hint="eastAsia" w:ascii="Times New Roman" w:hAnsi="Times New Roman" w:cs="Times New Roman"/>
                <w:color w:val="auto"/>
                <w:spacing w:val="-2"/>
                <w:kern w:val="0"/>
                <w:sz w:val="20"/>
                <w:szCs w:val="20"/>
                <w:lang w:val="en-US" w:eastAsia="zh-CN"/>
              </w:rPr>
              <w:t>；</w:t>
            </w:r>
          </w:p>
          <w:p w14:paraId="2E01D11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4.应急预案培训。</w:t>
            </w:r>
          </w:p>
          <w:p w14:paraId="1890B37A">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方案详细完整、思路清晰、可操作性强、符合项目实际情况需要的计</w:t>
            </w:r>
            <w:r>
              <w:rPr>
                <w:rFonts w:hint="eastAsia" w:ascii="Times New Roman" w:hAnsi="Times New Roman"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w:t>
            </w:r>
            <w:r>
              <w:rPr>
                <w:rFonts w:hint="eastAsia" w:ascii="Times New Roman" w:hAnsi="Times New Roman" w:cs="Times New Roman"/>
                <w:color w:val="auto"/>
                <w:spacing w:val="-2"/>
                <w:kern w:val="0"/>
                <w:sz w:val="20"/>
                <w:szCs w:val="20"/>
                <w:lang w:val="en-US" w:eastAsia="zh-CN"/>
              </w:rPr>
              <w:t>；</w:t>
            </w:r>
          </w:p>
          <w:p w14:paraId="3CC35BF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个子项，每一个子项的分值为5分，每一个子项内容有缺漏的扣</w:t>
            </w:r>
            <w:r>
              <w:rPr>
                <w:rFonts w:hint="eastAsia" w:cs="Times New Roman"/>
                <w:color w:val="auto"/>
                <w:spacing w:val="-2"/>
                <w:kern w:val="0"/>
                <w:sz w:val="20"/>
                <w:szCs w:val="20"/>
                <w:lang w:val="en-US" w:eastAsia="zh-CN"/>
              </w:rPr>
              <w:t>2.5</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lang w:val="en-US" w:eastAsia="zh-CN"/>
              </w:rPr>
              <w:t>分，每一子项扣分不超过5分，扣完为止。</w:t>
            </w:r>
          </w:p>
        </w:tc>
        <w:tc>
          <w:tcPr>
            <w:tcW w:w="804" w:type="dxa"/>
            <w:tcBorders>
              <w:left w:val="single" w:color="auto" w:sz="4" w:space="0"/>
            </w:tcBorders>
            <w:noWrap w:val="0"/>
            <w:vAlign w:val="center"/>
          </w:tcPr>
          <w:p w14:paraId="684C6A53">
            <w:pPr>
              <w:keepNext w:val="0"/>
              <w:keepLines w:val="0"/>
              <w:suppressLineNumbers w:val="0"/>
              <w:spacing w:before="0" w:beforeAutospacing="0" w:after="0" w:afterAutospacing="0" w:line="360" w:lineRule="exact"/>
              <w:ind w:left="625" w:leftChars="1" w:right="0" w:rightChars="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1553FD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 w:hRule="atLeast"/>
          <w:jc w:val="center"/>
        </w:trPr>
        <w:tc>
          <w:tcPr>
            <w:tcW w:w="673" w:type="dxa"/>
            <w:tcBorders>
              <w:top w:val="single" w:color="auto" w:sz="4" w:space="0"/>
            </w:tcBorders>
            <w:noWrap w:val="0"/>
            <w:vAlign w:val="center"/>
          </w:tcPr>
          <w:p w14:paraId="1D8DAB20">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10FC460B">
            <w:pPr>
              <w:widowControl/>
              <w:kinsoku w:val="0"/>
              <w:topLinePunct/>
              <w:adjustRightInd w:val="0"/>
              <w:snapToGrid w:val="0"/>
              <w:ind w:right="105" w:rightChars="50"/>
              <w:jc w:val="center"/>
              <w:rPr>
                <w:rFonts w:hint="eastAsia" w:ascii="宋体" w:hAnsi="宋体" w:eastAsia="宋体" w:cs="宋体"/>
                <w:color w:val="000000"/>
                <w:kern w:val="0"/>
                <w:szCs w:val="21"/>
                <w:lang w:val="en-US" w:eastAsia="zh-CN"/>
              </w:rPr>
            </w:pPr>
            <w:r>
              <w:rPr>
                <w:rFonts w:hint="eastAsia" w:ascii="Times New Roman" w:hAnsi="Times New Roman" w:cs="Times New Roman"/>
                <w:color w:val="auto"/>
                <w:spacing w:val="-2"/>
                <w:kern w:val="0"/>
                <w:szCs w:val="21"/>
                <w:lang w:val="en-US" w:eastAsia="zh-CN"/>
              </w:rPr>
              <w:t>售后服务方案</w:t>
            </w:r>
          </w:p>
        </w:tc>
        <w:tc>
          <w:tcPr>
            <w:tcW w:w="7033" w:type="dxa"/>
            <w:tcBorders>
              <w:right w:val="single" w:color="auto" w:sz="4" w:space="0"/>
            </w:tcBorders>
            <w:noWrap w:val="0"/>
            <w:vAlign w:val="top"/>
          </w:tcPr>
          <w:p w14:paraId="100054FA">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投标人针对本项目，编制项目售后服务方案，从完善售后服务的角度出发，对供应商提供的售后服务方案，包括但不限于：</w:t>
            </w:r>
          </w:p>
          <w:p w14:paraId="3AAF4FD6">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1.售后服务体系；</w:t>
            </w:r>
          </w:p>
          <w:p w14:paraId="0DB7660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2.维修服务队伍及技术力量；</w:t>
            </w:r>
          </w:p>
          <w:p w14:paraId="5FF3BDFE">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3.备品备件储备情况和质保期外服务计划；</w:t>
            </w:r>
          </w:p>
          <w:p w14:paraId="281114C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4.维修响应时间及质量保证措施；</w:t>
            </w:r>
          </w:p>
          <w:p w14:paraId="6E68DA03">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5.安全隐患及解决方案。</w:t>
            </w:r>
          </w:p>
          <w:p w14:paraId="540CFD56">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方案内容完整、思路清晰、可操作性强、符合项目实际情况需要的计</w:t>
            </w:r>
            <w:r>
              <w:rPr>
                <w:rFonts w:hint="eastAsia" w:cs="Times New Roman"/>
                <w:color w:val="auto"/>
                <w:spacing w:val="-2"/>
                <w:kern w:val="0"/>
                <w:sz w:val="20"/>
                <w:szCs w:val="20"/>
                <w:lang w:val="en-US" w:eastAsia="zh-CN"/>
              </w:rPr>
              <w:t>30</w:t>
            </w:r>
            <w:r>
              <w:rPr>
                <w:rFonts w:hint="eastAsia" w:ascii="Times New Roman" w:hAnsi="Times New Roman" w:cs="Times New Roman"/>
                <w:color w:val="auto"/>
                <w:spacing w:val="-2"/>
                <w:kern w:val="0"/>
                <w:sz w:val="20"/>
                <w:szCs w:val="20"/>
                <w:lang w:val="en-US" w:eastAsia="zh-CN"/>
              </w:rPr>
              <w:t>分</w:t>
            </w:r>
          </w:p>
          <w:p w14:paraId="62EC6F4C">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default" w:ascii="宋体" w:hAnsi="宋体" w:eastAsia="宋体"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本评审因素分为5个子项，每一个子项的分值为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方案粗略、不符合项目实际情况需要、缺乏操作性与实施可能性的扣2分，每一子项扣分不超过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67D08254">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316B0B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9054" w:type="dxa"/>
            <w:gridSpan w:val="3"/>
            <w:tcBorders>
              <w:right w:val="single" w:color="auto" w:sz="4" w:space="0"/>
            </w:tcBorders>
            <w:noWrap w:val="0"/>
            <w:vAlign w:val="center"/>
          </w:tcPr>
          <w:p w14:paraId="7A487F16">
            <w:pPr>
              <w:pStyle w:val="47"/>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合计</w:t>
            </w:r>
          </w:p>
        </w:tc>
        <w:tc>
          <w:tcPr>
            <w:tcW w:w="804" w:type="dxa"/>
            <w:tcBorders>
              <w:left w:val="single" w:color="auto" w:sz="4" w:space="0"/>
            </w:tcBorders>
            <w:noWrap w:val="0"/>
            <w:vAlign w:val="center"/>
          </w:tcPr>
          <w:p w14:paraId="527554E3">
            <w:pPr>
              <w:pStyle w:val="47"/>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100分</w:t>
            </w:r>
          </w:p>
        </w:tc>
      </w:tr>
      <w:bookmarkEnd w:id="2"/>
    </w:tbl>
    <w:p w14:paraId="34DE7D41">
      <w:pPr>
        <w:jc w:val="center"/>
        <w:rPr>
          <w:rFonts w:hint="eastAsia" w:ascii="宋体" w:hAnsi="宋体" w:eastAsia="宋体" w:cs="宋体"/>
          <w:b/>
          <w:bCs/>
          <w:sz w:val="28"/>
          <w:szCs w:val="28"/>
          <w:lang w:val="en-US" w:eastAsia="zh-CN"/>
        </w:rPr>
      </w:pPr>
    </w:p>
    <w:p w14:paraId="5A3E23A8">
      <w:pPr>
        <w:spacing w:line="240" w:lineRule="auto"/>
        <w:jc w:val="center"/>
        <w:rPr>
          <w:rFonts w:hint="eastAsia" w:ascii="宋体" w:hAnsi="宋体" w:eastAsia="宋体" w:cs="宋体"/>
          <w:b/>
          <w:lang w:eastAsia="zh-CN"/>
        </w:rPr>
      </w:pPr>
      <w:r>
        <w:rPr>
          <w:rFonts w:hint="eastAsia" w:ascii="宋体" w:hAnsi="宋体" w:cs="宋体"/>
          <w:b/>
          <w:bCs/>
          <w:sz w:val="28"/>
          <w:szCs w:val="28"/>
          <w:lang w:val="en-US" w:eastAsia="zh-CN"/>
        </w:rPr>
        <w:t>A3</w:t>
      </w:r>
      <w:r>
        <w:rPr>
          <w:rFonts w:hint="eastAsia" w:ascii="宋体" w:hAnsi="宋体" w:eastAsia="宋体" w:cs="宋体"/>
          <w:b/>
          <w:bCs/>
          <w:sz w:val="28"/>
          <w:szCs w:val="28"/>
          <w:lang w:val="en-US" w:eastAsia="zh-CN"/>
        </w:rPr>
        <w:t>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2085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8" w:hRule="atLeast"/>
        </w:trPr>
        <w:tc>
          <w:tcPr>
            <w:tcW w:w="709" w:type="dxa"/>
            <w:noWrap w:val="0"/>
            <w:vAlign w:val="center"/>
          </w:tcPr>
          <w:p w14:paraId="7F32B49C">
            <w:pPr>
              <w:keepNext w:val="0"/>
              <w:keepLines w:val="0"/>
              <w:suppressLineNumbers w:val="0"/>
              <w:spacing w:before="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4A59D4DD">
            <w:pPr>
              <w:keepNext w:val="0"/>
              <w:keepLines w:val="0"/>
              <w:suppressLineNumbers w:val="0"/>
              <w:spacing w:before="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49117B8A">
            <w:pPr>
              <w:keepNext w:val="0"/>
              <w:keepLines w:val="0"/>
              <w:suppressLineNumbers w:val="0"/>
              <w:adjustRightInd w:val="0"/>
              <w:snapToGrid w:val="0"/>
              <w:spacing w:before="156" w:beforeLines="5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pacing w:val="6"/>
                <w:szCs w:val="21"/>
              </w:rPr>
              <w:t>分值</w:t>
            </w:r>
          </w:p>
        </w:tc>
      </w:tr>
      <w:tr w14:paraId="7FA7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28247F22">
            <w:pPr>
              <w:keepNext w:val="0"/>
              <w:keepLines w:val="0"/>
              <w:suppressLineNumbers w:val="0"/>
              <w:spacing w:before="0" w:beforeAutospacing="0" w:after="0" w:afterAutospacing="0" w:line="360" w:lineRule="exact"/>
              <w:ind w:left="0" w:right="0" w:firstLine="220" w:firstLineChars="100"/>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3E226F62">
            <w:pPr>
              <w:keepNext w:val="0"/>
              <w:keepLines w:val="0"/>
              <w:suppressLineNumbers w:val="0"/>
              <w:spacing w:before="0" w:beforeAutospacing="0" w:after="0" w:afterAutospacing="0"/>
              <w:ind w:left="0" w:right="0"/>
              <w:jc w:val="center"/>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01C13DAF">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投标人提供近3年（从</w:t>
            </w:r>
            <w:r>
              <w:rPr>
                <w:rFonts w:hint="eastAsia" w:cs="Times New Roman"/>
                <w:color w:val="auto"/>
                <w:spacing w:val="-2"/>
                <w:kern w:val="0"/>
                <w:sz w:val="20"/>
                <w:szCs w:val="20"/>
                <w:lang w:val="en-US" w:eastAsia="zh-CN"/>
              </w:rPr>
              <w:t>2023年8月21日</w:t>
            </w:r>
            <w:r>
              <w:rPr>
                <w:rFonts w:hint="eastAsia" w:ascii="Times New Roman" w:hAnsi="Times New Roman" w:cs="Times New Roman"/>
                <w:color w:val="auto"/>
                <w:spacing w:val="-2"/>
                <w:kern w:val="0"/>
                <w:sz w:val="20"/>
                <w:szCs w:val="20"/>
                <w:lang w:val="en-US" w:eastAsia="zh-CN"/>
              </w:rPr>
              <w:t>至投标截止时间）具有类似一体化（装配式）垃圾站项目业绩的，每提供一个计20分，满分40分。</w:t>
            </w:r>
          </w:p>
          <w:p w14:paraId="4F04E347">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注：1.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5F93EC05">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eastAsia="宋体" w:cs="Times New Roman"/>
                <w:color w:val="auto"/>
                <w:spacing w:val="-2"/>
                <w:kern w:val="0"/>
                <w:sz w:val="20"/>
                <w:szCs w:val="20"/>
                <w:lang w:val="en-US" w:eastAsia="zh-CN" w:bidi="ar-SA"/>
              </w:rPr>
              <w:t>2.</w:t>
            </w:r>
            <w:r>
              <w:rPr>
                <w:rFonts w:hint="eastAsia" w:ascii="Times New Roman" w:hAnsi="Times New Roman" w:cs="Times New Roman"/>
                <w:color w:val="auto"/>
                <w:spacing w:val="-2"/>
                <w:kern w:val="0"/>
                <w:sz w:val="20"/>
                <w:szCs w:val="20"/>
                <w:lang w:val="en-US" w:eastAsia="zh-CN"/>
              </w:rPr>
              <w:t>本项业绩仅认可投标人自身作为合同签约主体（供货方或制造方）的履约记录。</w:t>
            </w:r>
          </w:p>
          <w:p w14:paraId="35496B5E">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70D32C1A">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29F85D83">
            <w:pPr>
              <w:keepNext w:val="0"/>
              <w:keepLines w:val="0"/>
              <w:suppressLineNumbers w:val="0"/>
              <w:spacing w:before="0" w:beforeAutospacing="0" w:after="0" w:afterAutospacing="0" w:line="360" w:lineRule="exact"/>
              <w:ind w:left="625" w:leftChars="1" w:right="0" w:hanging="623" w:hangingChars="297"/>
              <w:jc w:val="center"/>
              <w:rPr>
                <w:rFonts w:hint="default" w:ascii="宋体" w:hAnsi="宋体" w:eastAsia="宋体" w:cs="宋体"/>
                <w:color w:val="auto"/>
                <w:lang w:val="en-US" w:eastAsia="zh-CN"/>
              </w:rPr>
            </w:pPr>
            <w:r>
              <w:rPr>
                <w:rFonts w:hint="eastAsia" w:ascii="宋体" w:hAnsi="宋体" w:cs="宋体"/>
                <w:color w:val="auto"/>
                <w:lang w:val="en-US" w:eastAsia="zh-CN"/>
              </w:rPr>
              <w:t>40</w:t>
            </w:r>
            <w:r>
              <w:rPr>
                <w:rFonts w:hint="eastAsia" w:ascii="宋体" w:hAnsi="宋体" w:eastAsia="宋体" w:cs="宋体"/>
                <w:color w:val="auto"/>
                <w:lang w:val="en-US" w:eastAsia="zh-CN"/>
              </w:rPr>
              <w:t>分</w:t>
            </w:r>
          </w:p>
        </w:tc>
      </w:tr>
      <w:tr w14:paraId="5EA2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0DE1DB12">
            <w:pPr>
              <w:keepNext w:val="0"/>
              <w:keepLines w:val="0"/>
              <w:suppressLineNumbers w:val="0"/>
              <w:spacing w:before="0" w:beforeAutospacing="0" w:after="0" w:afterAutospacing="0"/>
              <w:ind w:left="0" w:right="0"/>
              <w:jc w:val="center"/>
              <w:rPr>
                <w:rFonts w:hint="default" w:ascii="宋体" w:hAnsi="宋体" w:cs="宋体"/>
                <w:sz w:val="22"/>
                <w:lang w:val="en-US" w:eastAsia="zh-CN"/>
              </w:rPr>
            </w:pPr>
            <w:r>
              <w:rPr>
                <w:rFonts w:hint="eastAsia" w:ascii="宋体" w:hAnsi="宋体" w:cs="宋体"/>
                <w:sz w:val="22"/>
                <w:lang w:val="en-US" w:eastAsia="zh-CN"/>
              </w:rPr>
              <w:t>2</w:t>
            </w:r>
          </w:p>
        </w:tc>
        <w:tc>
          <w:tcPr>
            <w:tcW w:w="1310" w:type="dxa"/>
            <w:noWrap w:val="0"/>
            <w:vAlign w:val="center"/>
          </w:tcPr>
          <w:p w14:paraId="1DE8B550">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color w:val="auto"/>
                <w:kern w:val="0"/>
                <w:sz w:val="21"/>
                <w:szCs w:val="24"/>
                <w:highlight w:val="none"/>
                <w:u w:val="none"/>
                <w:lang w:val="en-US" w:eastAsia="zh-CN" w:bidi="ar"/>
              </w:rPr>
              <w:t>企业实力</w:t>
            </w:r>
          </w:p>
        </w:tc>
        <w:tc>
          <w:tcPr>
            <w:tcW w:w="7083" w:type="dxa"/>
            <w:noWrap w:val="0"/>
            <w:vAlign w:val="center"/>
          </w:tcPr>
          <w:p w14:paraId="25F3822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投标人企业提供有效期内的ISO14001环境管理体系认证证书、ISO45001职业健康安全管理体系认证证书、ISO9001质量管理体系认证证书，一个计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分，本项最高计</w:t>
            </w:r>
            <w:r>
              <w:rPr>
                <w:rFonts w:hint="eastAsia" w:cs="Times New Roman"/>
                <w:color w:val="auto"/>
                <w:spacing w:val="-2"/>
                <w:kern w:val="0"/>
                <w:sz w:val="20"/>
                <w:szCs w:val="20"/>
                <w:lang w:val="en-US" w:eastAsia="zh-CN"/>
              </w:rPr>
              <w:t>60</w:t>
            </w:r>
            <w:r>
              <w:rPr>
                <w:rFonts w:hint="default" w:ascii="Times New Roman" w:hAnsi="Times New Roman" w:cs="Times New Roman"/>
                <w:color w:val="auto"/>
                <w:spacing w:val="-2"/>
                <w:kern w:val="0"/>
                <w:sz w:val="20"/>
                <w:szCs w:val="20"/>
                <w:lang w:val="en-US" w:eastAsia="zh-CN"/>
              </w:rPr>
              <w:t>分，未提供不得分。</w:t>
            </w:r>
          </w:p>
          <w:p w14:paraId="0539FEC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注：提供全国认证认可信息公共服务平台查询截图及在有效期内证书并加盖公章，未提供不得分。</w:t>
            </w:r>
          </w:p>
        </w:tc>
        <w:tc>
          <w:tcPr>
            <w:tcW w:w="777" w:type="dxa"/>
            <w:noWrap w:val="0"/>
            <w:vAlign w:val="center"/>
          </w:tcPr>
          <w:p w14:paraId="5CECFDD8">
            <w:pPr>
              <w:pStyle w:val="50"/>
              <w:keepNext w:val="0"/>
              <w:keepLines w:val="0"/>
              <w:suppressLineNumbers w:val="0"/>
              <w:spacing w:before="0" w:beforeAutospacing="0" w:after="0" w:afterAutospacing="0"/>
              <w:ind w:left="0" w:right="0" w:firstLine="0" w:firstLineChars="0"/>
              <w:jc w:val="center"/>
              <w:rPr>
                <w:rFonts w:hint="default" w:ascii="宋体" w:hAnsi="宋体" w:cs="宋体"/>
                <w:lang w:val="en-US" w:eastAsia="zh-CN"/>
              </w:rPr>
            </w:pPr>
            <w:r>
              <w:rPr>
                <w:rFonts w:hint="eastAsia" w:ascii="宋体" w:hAnsi="宋体" w:cs="宋体"/>
                <w:lang w:val="en-US" w:eastAsia="zh-CN"/>
              </w:rPr>
              <w:t>60分</w:t>
            </w:r>
          </w:p>
        </w:tc>
      </w:tr>
      <w:tr w14:paraId="06A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0C988CD4">
            <w:pPr>
              <w:keepNext w:val="0"/>
              <w:keepLines w:val="0"/>
              <w:suppressLineNumbers w:val="0"/>
              <w:spacing w:before="0" w:beforeAutospacing="0" w:after="0" w:afterAutospacing="0" w:line="360" w:lineRule="exact"/>
              <w:ind w:left="0" w:right="0"/>
              <w:jc w:val="center"/>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7E03846">
            <w:pPr>
              <w:keepNext w:val="0"/>
              <w:keepLines w:val="0"/>
              <w:suppressLineNumbers w:val="0"/>
              <w:spacing w:before="0" w:beforeAutospacing="0" w:after="0" w:afterAutospacing="0" w:line="340" w:lineRule="exact"/>
              <w:ind w:left="0" w:right="0"/>
              <w:jc w:val="center"/>
              <w:rPr>
                <w:rFonts w:hint="default" w:ascii="宋体" w:hAnsi="宋体" w:eastAsia="宋体" w:cs="宋体"/>
                <w:lang w:val="en-US" w:eastAsia="zh-CN"/>
              </w:rPr>
            </w:pPr>
            <w:r>
              <w:rPr>
                <w:rFonts w:hint="eastAsia" w:ascii="宋体" w:hAnsi="宋体" w:cs="宋体"/>
                <w:lang w:val="en-US" w:eastAsia="zh-CN"/>
              </w:rPr>
              <w:t>100分</w:t>
            </w:r>
          </w:p>
        </w:tc>
      </w:tr>
    </w:tbl>
    <w:p w14:paraId="6EC11688">
      <w:pPr>
        <w:jc w:val="center"/>
        <w:rPr>
          <w:rFonts w:hint="eastAsia" w:ascii="宋体" w:hAnsi="宋体" w:eastAsia="宋体" w:cs="宋体"/>
          <w:b/>
          <w:bCs/>
          <w:sz w:val="28"/>
          <w:szCs w:val="28"/>
        </w:rPr>
      </w:pPr>
    </w:p>
    <w:p w14:paraId="32B52B3D">
      <w:pPr>
        <w:jc w:val="center"/>
        <w:rPr>
          <w:rFonts w:hint="eastAsia" w:ascii="宋体" w:hAnsi="宋体" w:eastAsia="宋体" w:cs="宋体"/>
          <w:b/>
          <w:bCs/>
          <w:sz w:val="28"/>
          <w:szCs w:val="28"/>
        </w:rPr>
      </w:pPr>
    </w:p>
    <w:p w14:paraId="11D30AD7">
      <w:pPr>
        <w:jc w:val="center"/>
        <w:rPr>
          <w:rFonts w:hint="eastAsia" w:ascii="宋体" w:hAnsi="宋体" w:eastAsia="宋体" w:cs="宋体"/>
          <w:b/>
          <w:bCs/>
          <w:sz w:val="28"/>
          <w:szCs w:val="28"/>
        </w:rPr>
      </w:pPr>
    </w:p>
    <w:p w14:paraId="17F2E4B8">
      <w:pPr>
        <w:jc w:val="center"/>
        <w:rPr>
          <w:rFonts w:hint="eastAsia" w:ascii="宋体" w:hAnsi="宋体" w:eastAsia="宋体" w:cs="宋体"/>
          <w:b/>
          <w:bCs/>
          <w:sz w:val="28"/>
          <w:szCs w:val="28"/>
        </w:rPr>
      </w:pPr>
      <w:r>
        <w:rPr>
          <w:rFonts w:hint="eastAsia" w:ascii="宋体" w:hAnsi="宋体" w:eastAsia="宋体" w:cs="宋体"/>
          <w:b/>
          <w:bCs/>
          <w:sz w:val="28"/>
          <w:szCs w:val="28"/>
        </w:rPr>
        <w:t>其他</w:t>
      </w:r>
    </w:p>
    <w:p w14:paraId="68524585">
      <w:pPr>
        <w:jc w:val="center"/>
        <w:rPr>
          <w:rFonts w:hint="eastAsia" w:ascii="宋体" w:hAnsi="宋体" w:eastAsia="宋体" w:cs="宋体"/>
        </w:rPr>
      </w:pPr>
      <w:r>
        <w:rPr>
          <w:rFonts w:hint="eastAsia" w:ascii="宋体" w:hAnsi="宋体" w:eastAsia="宋体" w:cs="宋体"/>
        </w:rPr>
        <w:t>★条款汇总</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1D7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78EA0C8F">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bookmarkStart w:id="3" w:name="T_1_3" w:colFirst="0" w:colLast="2"/>
            <w:r>
              <w:rPr>
                <w:rFonts w:hint="eastAsia" w:ascii="宋体" w:hAnsi="宋体" w:eastAsia="宋体" w:cs="宋体"/>
                <w:sz w:val="24"/>
                <w:szCs w:val="24"/>
              </w:rPr>
              <w:t>序号</w:t>
            </w:r>
          </w:p>
        </w:tc>
        <w:tc>
          <w:tcPr>
            <w:tcW w:w="6592" w:type="dxa"/>
            <w:noWrap w:val="0"/>
            <w:vAlign w:val="top"/>
          </w:tcPr>
          <w:p w14:paraId="11A48F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44D0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4749D435">
            <w:pPr>
              <w:keepNext w:val="0"/>
              <w:keepLines w:val="0"/>
              <w:suppressLineNumbers w:val="0"/>
              <w:spacing w:before="0" w:beforeAutospacing="0" w:after="0" w:afterAutospacing="0"/>
              <w:ind w:left="0" w:right="0"/>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c>
          <w:tcPr>
            <w:tcW w:w="6592" w:type="dxa"/>
            <w:noWrap w:val="0"/>
            <w:vAlign w:val="top"/>
          </w:tcPr>
          <w:p w14:paraId="5250FAFA">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color w:val="auto"/>
                <w:spacing w:val="7"/>
                <w:kern w:val="2"/>
                <w:sz w:val="21"/>
                <w:szCs w:val="21"/>
                <w:vertAlign w:val="baseline"/>
                <w:lang w:val="en-US" w:eastAsia="zh-CN" w:bidi="ar-SA"/>
              </w:rPr>
              <w:t>安装形式：装配式</w:t>
            </w:r>
          </w:p>
        </w:tc>
      </w:tr>
      <w:tr w14:paraId="5C94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26796B4">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3FF9184D">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sz w:val="24"/>
                <w:szCs w:val="24"/>
                <w:u w:val="single"/>
              </w:rPr>
              <w:t>/</w:t>
            </w:r>
          </w:p>
        </w:tc>
      </w:tr>
      <w:bookmarkEnd w:id="3"/>
    </w:tbl>
    <w:p w14:paraId="42D7C5E8">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5DCC7134">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355CDCB5">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5EE29D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供应商</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的综合得分为：所有磋商小组成员对其的评标的综合得分；</w:t>
      </w:r>
    </w:p>
    <w:p w14:paraId="5258702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p>
    <w:p w14:paraId="43E7C65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0A17F30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392636E0">
      <w:pPr>
        <w:pStyle w:val="14"/>
        <w:tabs>
          <w:tab w:val="right" w:leader="dot" w:pos="8306"/>
        </w:tabs>
        <w:spacing w:line="360" w:lineRule="auto"/>
        <w:jc w:val="center"/>
        <w:rPr>
          <w:rFonts w:ascii="宋体" w:hAnsi="宋体" w:cs="宋体"/>
          <w:b/>
          <w:bCs/>
          <w:sz w:val="36"/>
          <w:szCs w:val="36"/>
        </w:r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8</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11</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11</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18</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18</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19</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25</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28</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32</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33</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34</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38</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39</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44</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59</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61</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67</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70</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71</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72</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78</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84</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85</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cs="宋体"/>
          <w:spacing w:val="160"/>
          <w:sz w:val="24"/>
          <w:szCs w:val="48"/>
          <w:lang w:val="en-US" w:eastAsia="zh-CN"/>
        </w:rPr>
        <w:t xml:space="preserve"> </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98</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100</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101</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keepNext w:val="0"/>
        <w:keepLines w:val="0"/>
        <w:pageBreakBefore w:val="0"/>
        <w:widowControl w:val="0"/>
        <w:kinsoku/>
        <w:wordWrap/>
        <w:overflowPunct/>
        <w:topLinePunct w:val="0"/>
        <w:autoSpaceDE/>
        <w:autoSpaceDN/>
        <w:bidi w:val="0"/>
        <w:adjustRightInd/>
        <w:snapToGrid w:val="0"/>
        <w:spacing w:line="240" w:lineRule="atLeast"/>
        <w:ind w:firstLine="480"/>
        <w:textAlignment w:val="auto"/>
        <w:rPr>
          <w:rFonts w:hint="eastAsia" w:ascii="宋体" w:hAnsi="宋体" w:cs="宋体"/>
          <w:sz w:val="24"/>
        </w:rPr>
      </w:pPr>
      <w:bookmarkStart w:id="4" w:name="_Hlk48491067"/>
      <w:bookmarkStart w:id="5" w:name="_Hlk87433635"/>
      <w:bookmarkStart w:id="6" w:name="OLE_LINK1"/>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岳阳县城乡垃圾收转运一体化建设项目（智慧一体化垃圾中转站政府采购项目）2026年</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1CC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62" w:type="dxa"/>
          </w:tcPr>
          <w:p w14:paraId="3A2152E8">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宋体" w:hAnsi="宋体" w:cs="宋体"/>
                <w:sz w:val="24"/>
                <w:vertAlign w:val="baseline"/>
              </w:rPr>
            </w:pPr>
            <w:r>
              <w:rPr>
                <w:rFonts w:hint="eastAsia" w:ascii="宋体" w:hAnsi="宋体" w:cs="宋体"/>
                <w:sz w:val="24"/>
                <w:vertAlign w:val="baseline"/>
              </w:rPr>
              <w:t>项目概况</w:t>
            </w:r>
          </w:p>
          <w:p w14:paraId="593F200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岳阳县城乡垃圾收转运一体化建设项目（智慧一体化垃圾中转站政府采购项目）2026年</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获取采购文件，并于2026年9月15日9点30分（北京时间）前提交响应文件。</w:t>
            </w:r>
          </w:p>
        </w:tc>
      </w:tr>
    </w:tbl>
    <w:p w14:paraId="212C6775">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6D38FAC8">
      <w:pPr>
        <w:snapToGrid w:val="0"/>
        <w:spacing w:line="360" w:lineRule="auto"/>
        <w:ind w:firstLine="480"/>
        <w:rPr>
          <w:rFonts w:hint="eastAsia" w:eastAsia="宋体"/>
          <w:lang w:eastAsia="zh-CN"/>
        </w:rPr>
      </w:pPr>
      <w:r>
        <w:rPr>
          <w:rFonts w:hint="eastAsia" w:ascii="宋体" w:hAnsi="宋体" w:cs="宋体"/>
          <w:sz w:val="24"/>
        </w:rPr>
        <w:t>1、采购项目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CGXM2026430621000055</w:t>
      </w:r>
    </w:p>
    <w:p w14:paraId="69407B57">
      <w:pPr>
        <w:snapToGrid w:val="0"/>
        <w:spacing w:line="360" w:lineRule="auto"/>
        <w:ind w:firstLine="480"/>
        <w:rPr>
          <w:rFonts w:hint="eastAsia" w:eastAsia="宋体"/>
          <w:color w:val="auto"/>
          <w:lang w:val="en-US" w:eastAsia="zh-CN"/>
        </w:rPr>
      </w:pPr>
      <w:r>
        <w:rPr>
          <w:rFonts w:hint="eastAsia" w:ascii="宋体" w:hAnsi="宋体" w:cs="宋体"/>
          <w:sz w:val="24"/>
        </w:rPr>
        <w:t>2、</w:t>
      </w:r>
      <w:r>
        <w:rPr>
          <w:rFonts w:hint="eastAsia" w:ascii="宋体" w:hAnsi="宋体" w:cs="宋体"/>
          <w:sz w:val="24"/>
          <w:lang w:val="en-US" w:eastAsia="zh-CN"/>
        </w:rPr>
        <w:t>采购项目名称</w:t>
      </w:r>
      <w:r>
        <w:rPr>
          <w:rFonts w:hint="eastAsia" w:ascii="宋体" w:hAnsi="宋体" w:cs="宋体"/>
          <w:sz w:val="24"/>
        </w:rPr>
        <w:t>：</w:t>
      </w:r>
      <w:r>
        <w:rPr>
          <w:rFonts w:hint="eastAsia" w:ascii="宋体" w:hAnsi="宋体" w:cs="宋体"/>
          <w:sz w:val="24"/>
          <w:lang w:eastAsia="zh-CN"/>
        </w:rPr>
        <w:t>岳阳县城乡垃圾收转运一体化建设项目（智慧一体化垃圾中转站政府采购项目）2026年</w:t>
      </w:r>
    </w:p>
    <w:p w14:paraId="582735B6">
      <w:pPr>
        <w:snapToGrid w:val="0"/>
        <w:spacing w:line="360" w:lineRule="auto"/>
        <w:ind w:firstLine="480"/>
        <w:rPr>
          <w:rFonts w:hint="eastAsia" w:eastAsia="宋体"/>
          <w:color w:val="auto"/>
          <w:lang w:val="en-US" w:eastAsia="zh-CN"/>
        </w:rPr>
      </w:pPr>
      <w:r>
        <w:rPr>
          <w:rFonts w:hint="eastAsia" w:ascii="宋体" w:hAnsi="宋体" w:cs="宋体"/>
          <w:color w:val="auto"/>
          <w:sz w:val="24"/>
        </w:rPr>
        <w:t>3、</w:t>
      </w:r>
      <w:r>
        <w:rPr>
          <w:rFonts w:hint="eastAsia" w:ascii="宋体" w:hAnsi="宋体" w:cs="宋体"/>
          <w:color w:val="auto"/>
          <w:sz w:val="24"/>
          <w:lang w:val="en-US" w:eastAsia="zh-CN"/>
        </w:rPr>
        <w:t>采购计划编号</w:t>
      </w:r>
      <w:r>
        <w:rPr>
          <w:rFonts w:hint="eastAsia" w:ascii="宋体" w:hAnsi="宋体" w:cs="宋体"/>
          <w:color w:val="auto"/>
          <w:sz w:val="24"/>
        </w:rPr>
        <w:t>：</w:t>
      </w:r>
      <w:r>
        <w:rPr>
          <w:rFonts w:hint="eastAsia" w:ascii="宋体" w:hAnsi="宋体" w:cs="宋体"/>
          <w:color w:val="auto"/>
          <w:sz w:val="24"/>
          <w:lang w:eastAsia="zh-CN"/>
        </w:rPr>
        <w:t>(2026)430621000039-1</w:t>
      </w:r>
    </w:p>
    <w:p w14:paraId="4F5B0184">
      <w:pPr>
        <w:snapToGrid w:val="0"/>
        <w:spacing w:line="360" w:lineRule="auto"/>
        <w:ind w:firstLine="480"/>
        <w:rPr>
          <w:rFonts w:hint="eastAsia" w:ascii="宋体" w:hAnsi="宋体" w:cs="宋体"/>
          <w:b w:val="0"/>
          <w:bCs/>
          <w:color w:val="auto"/>
          <w:kern w:val="2"/>
          <w:sz w:val="24"/>
          <w:szCs w:val="24"/>
          <w:highlight w:val="none"/>
          <w:lang w:val="en-US" w:eastAsia="zh-CN" w:bidi="ar-SA"/>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cs="宋体"/>
          <w:b w:val="0"/>
          <w:bCs/>
          <w:color w:val="auto"/>
          <w:kern w:val="2"/>
          <w:sz w:val="24"/>
          <w:szCs w:val="24"/>
          <w:highlight w:val="none"/>
          <w:lang w:val="en-US" w:eastAsia="zh-CN" w:bidi="ar-SA"/>
        </w:rPr>
        <w:t>合同签订后40日历天内全部交货、安装调试并验收合格。</w:t>
      </w:r>
    </w:p>
    <w:p w14:paraId="3D3273A6">
      <w:pPr>
        <w:snapToGrid w:val="0"/>
        <w:spacing w:line="360" w:lineRule="auto"/>
        <w:ind w:firstLine="480"/>
        <w:rPr>
          <w:rFonts w:ascii="宋体" w:hAnsi="宋体" w:cs="宋体"/>
          <w:sz w:val="24"/>
          <w:szCs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采购需求</w:t>
      </w:r>
    </w:p>
    <w:tbl>
      <w:tblPr>
        <w:tblStyle w:val="23"/>
        <w:tblW w:w="98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98"/>
        <w:gridCol w:w="1488"/>
        <w:gridCol w:w="1450"/>
        <w:gridCol w:w="1750"/>
        <w:gridCol w:w="2862"/>
        <w:gridCol w:w="710"/>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6" w:hRule="atLeast"/>
          <w:jc w:val="center"/>
        </w:trPr>
        <w:tc>
          <w:tcPr>
            <w:tcW w:w="1598"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8" w:type="dxa"/>
            <w:noWrap w:val="0"/>
            <w:vAlign w:val="center"/>
          </w:tcPr>
          <w:p w14:paraId="278B07F0">
            <w:pPr>
              <w:adjustRightInd w:val="0"/>
              <w:snapToGrid w:val="0"/>
              <w:jc w:val="center"/>
              <w:rPr>
                <w:rFonts w:hint="eastAsia" w:ascii="宋体" w:hAnsi="宋体" w:cs="宋体"/>
                <w:sz w:val="24"/>
              </w:rPr>
            </w:pPr>
            <w:r>
              <w:rPr>
                <w:rFonts w:hint="eastAsia" w:ascii="宋体" w:hAnsi="宋体" w:cs="宋体"/>
                <w:sz w:val="24"/>
                <w:lang w:val="en-US" w:eastAsia="zh-CN"/>
              </w:rPr>
              <w:t>预算金额</w:t>
            </w:r>
            <w:r>
              <w:rPr>
                <w:rFonts w:hint="eastAsia" w:ascii="宋体" w:hAnsi="宋体" w:cs="宋体"/>
                <w:sz w:val="24"/>
              </w:rPr>
              <w:t>（元）</w:t>
            </w:r>
          </w:p>
        </w:tc>
        <w:tc>
          <w:tcPr>
            <w:tcW w:w="1450"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175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862"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10"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926" w:hRule="atLeast"/>
          <w:jc w:val="center"/>
        </w:trPr>
        <w:tc>
          <w:tcPr>
            <w:tcW w:w="1598"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岳阳县城乡垃圾收转运一体化建设项目（智慧一体化垃圾中转站政府采购项目）2026年</w:t>
            </w:r>
          </w:p>
        </w:tc>
        <w:tc>
          <w:tcPr>
            <w:tcW w:w="1488" w:type="dxa"/>
            <w:noWrap w:val="0"/>
            <w:vAlign w:val="center"/>
          </w:tcPr>
          <w:p w14:paraId="4DAC5B20">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3,617,700.00</w:t>
            </w:r>
          </w:p>
        </w:tc>
        <w:tc>
          <w:tcPr>
            <w:tcW w:w="1450"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3,617,700.00</w:t>
            </w:r>
          </w:p>
        </w:tc>
        <w:tc>
          <w:tcPr>
            <w:tcW w:w="175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岳阳县城乡垃圾收转运一体化建设项目（智慧一体化垃圾中转站政府采购项目）2026年</w:t>
            </w:r>
          </w:p>
        </w:tc>
        <w:tc>
          <w:tcPr>
            <w:tcW w:w="2862"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采购内容包括：新建三座装配式生活垃圾压缩中转站。每座中转站主要包括装配式外防护结构、水平压缩箱体、喷淋降尘系统、负压新风系统、臭气处理系统、垃圾渗滤液处理系统、智能门禁以及安防和消防系统等。</w:t>
            </w:r>
          </w:p>
        </w:tc>
        <w:tc>
          <w:tcPr>
            <w:tcW w:w="710"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0A096680">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41DD6CB2">
      <w:pPr>
        <w:snapToGrid w:val="0"/>
        <w:spacing w:line="360" w:lineRule="auto"/>
        <w:ind w:firstLine="480"/>
        <w:rPr>
          <w:rFonts w:ascii="宋体" w:hAnsi="宋体" w:cs="宋体"/>
          <w:sz w:val="24"/>
        </w:rPr>
      </w:pPr>
      <w:r>
        <w:rPr>
          <w:rFonts w:hint="eastAsia" w:ascii="宋体" w:hAnsi="宋体" w:cs="宋体"/>
          <w:sz w:val="24"/>
        </w:rPr>
        <w:t>2、落实政府采购政策需满足的资格要求：</w:t>
      </w:r>
    </w:p>
    <w:p w14:paraId="06BE4822">
      <w:pPr>
        <w:snapToGrid w:val="0"/>
        <w:spacing w:line="360" w:lineRule="auto"/>
        <w:ind w:firstLine="480" w:firstLineChars="200"/>
        <w:rPr>
          <w:rFonts w:hint="eastAsia" w:ascii="宋体" w:hAnsi="宋体" w:eastAsia="宋体" w:cs="宋体"/>
          <w:sz w:val="24"/>
          <w:u w:val="single"/>
          <w:lang w:val="en-US" w:eastAsia="zh-CN"/>
        </w:rPr>
      </w:pPr>
      <w:r>
        <w:rPr>
          <w:rFonts w:hint="eastAsia" w:ascii="宋体" w:hAnsi="宋体" w:cs="宋体"/>
          <w:sz w:val="24"/>
          <w:lang w:val="en-US" w:eastAsia="zh-CN"/>
        </w:rPr>
        <w:t>包名称：</w:t>
      </w:r>
      <w:r>
        <w:rPr>
          <w:rFonts w:hint="eastAsia" w:ascii="宋体" w:hAnsi="宋体" w:cs="宋体"/>
          <w:bCs/>
          <w:sz w:val="24"/>
          <w:u w:val="single"/>
          <w:lang w:eastAsia="zh-CN"/>
        </w:rPr>
        <w:t>岳阳县城乡垃圾收转运一体化建设项目（智慧一体化垃圾中转站政府采购项目）2026年</w:t>
      </w:r>
    </w:p>
    <w:p w14:paraId="17786BF3">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3BB1B1AC">
      <w:pPr>
        <w:snapToGrid w:val="0"/>
        <w:spacing w:line="360" w:lineRule="auto"/>
        <w:ind w:firstLine="480"/>
        <w:rPr>
          <w:rFonts w:ascii="宋体" w:hAnsi="宋体" w:cs="宋体"/>
          <w:sz w:val="24"/>
        </w:rPr>
      </w:pPr>
      <w:r>
        <w:rPr>
          <w:rFonts w:hint="eastAsia" w:ascii="宋体" w:hAnsi="宋体" w:cs="宋体"/>
          <w:sz w:val="24"/>
        </w:rPr>
        <w:t>3、供应商特定资格条件：</w:t>
      </w:r>
    </w:p>
    <w:p w14:paraId="3045E363">
      <w:pPr>
        <w:snapToGrid w:val="0"/>
        <w:spacing w:line="360" w:lineRule="auto"/>
        <w:ind w:firstLine="480"/>
        <w:rPr>
          <w:rFonts w:ascii="宋体" w:hAnsi="宋体" w:cs="宋体"/>
          <w:sz w:val="24"/>
        </w:rPr>
      </w:pPr>
      <w:r>
        <w:rPr>
          <w:rFonts w:hint="eastAsia" w:ascii="宋体" w:hAnsi="宋体" w:cs="宋体"/>
          <w:sz w:val="24"/>
        </w:rPr>
        <w:t>包</w:t>
      </w:r>
      <w:bookmarkStart w:id="7" w:name="OLE_LINK2"/>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bCs/>
          <w:sz w:val="24"/>
          <w:u w:val="single"/>
          <w:lang w:eastAsia="zh-CN"/>
        </w:rPr>
        <w:t>岳阳县城乡垃圾收转运一体化建设项目（智慧一体化垃圾中转站政府采购项目）2026年</w:t>
      </w:r>
    </w:p>
    <w:bookmarkEnd w:id="7"/>
    <w:p w14:paraId="35E370AA">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271F69D6">
      <w:pPr>
        <w:snapToGrid w:val="0"/>
        <w:spacing w:line="360" w:lineRule="auto"/>
        <w:ind w:firstLine="480"/>
        <w:rPr>
          <w:rFonts w:ascii="宋体" w:hAnsi="宋体" w:cs="宋体"/>
          <w:sz w:val="24"/>
        </w:rPr>
      </w:pPr>
      <w:r>
        <w:rPr>
          <w:rFonts w:hint="eastAsia" w:ascii="宋体" w:hAnsi="宋体" w:cs="宋体"/>
          <w:b/>
          <w:sz w:val="24"/>
          <w:lang w:val="en-US" w:eastAsia="zh-CN"/>
        </w:rPr>
        <w:t>四</w:t>
      </w:r>
      <w:r>
        <w:rPr>
          <w:rFonts w:hint="eastAsia" w:ascii="宋体" w:hAnsi="宋体" w:cs="宋体"/>
          <w:b/>
          <w:sz w:val="24"/>
        </w:rPr>
        <w:t>、</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2026年8月24日至2026年8月31日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2763FCC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57861693">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4、售价：0元</w:t>
      </w:r>
    </w:p>
    <w:p w14:paraId="6F2BE35E">
      <w:pPr>
        <w:numPr>
          <w:ilvl w:val="0"/>
          <w:numId w:val="0"/>
        </w:numPr>
        <w:snapToGrid w:val="0"/>
        <w:spacing w:line="360" w:lineRule="auto"/>
        <w:ind w:left="990" w:leftChars="0" w:hanging="510" w:firstLineChars="0"/>
        <w:rPr>
          <w:rFonts w:hint="eastAsia" w:ascii="宋体" w:hAnsi="宋体" w:cs="宋体"/>
          <w:sz w:val="24"/>
        </w:rPr>
      </w:pPr>
      <w:r>
        <w:rPr>
          <w:rFonts w:hint="eastAsia" w:ascii="宋体" w:hAnsi="宋体" w:cs="宋体"/>
          <w:b/>
          <w:kern w:val="2"/>
          <w:sz w:val="24"/>
          <w:szCs w:val="24"/>
          <w:lang w:val="en-US" w:eastAsia="zh-CN" w:bidi="ar-SA"/>
        </w:rPr>
        <w:t>五</w:t>
      </w:r>
      <w:r>
        <w:rPr>
          <w:rFonts w:hint="default" w:ascii="宋体" w:hAnsi="宋体" w:eastAsia="宋体" w:cs="宋体"/>
          <w:b/>
          <w:kern w:val="2"/>
          <w:sz w:val="24"/>
          <w:szCs w:val="24"/>
          <w:lang w:val="en-US" w:eastAsia="zh-CN" w:bidi="ar-SA"/>
        </w:rPr>
        <w:t>、</w:t>
      </w:r>
      <w:r>
        <w:rPr>
          <w:rFonts w:hint="eastAsia" w:ascii="宋体" w:hAnsi="宋体" w:cs="宋体"/>
          <w:b/>
          <w:bCs/>
          <w:sz w:val="24"/>
        </w:rPr>
        <w:t>投标截止时间、开标时间及地点</w:t>
      </w:r>
    </w:p>
    <w:p w14:paraId="2C2F4B28">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9</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15</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06F82848">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61E4AF1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9</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15</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403A7A2E">
      <w:pPr>
        <w:snapToGrid w:val="0"/>
        <w:spacing w:line="360" w:lineRule="auto"/>
        <w:ind w:firstLine="480"/>
      </w:pPr>
      <w:r>
        <w:rPr>
          <w:rFonts w:hint="eastAsia" w:ascii="宋体" w:hAnsi="宋体" w:cs="宋体"/>
          <w:sz w:val="24"/>
        </w:rPr>
        <w:t>（自招标文件开始发出之日起至投标人提交投标文件截止之日止，不得少于20日）</w:t>
      </w:r>
    </w:p>
    <w:p w14:paraId="276D1916">
      <w:pPr>
        <w:snapToGrid w:val="0"/>
        <w:spacing w:line="360" w:lineRule="auto"/>
        <w:ind w:firstLine="480"/>
        <w:rPr>
          <w:rFonts w:hint="eastAsia"/>
        </w:rPr>
      </w:pPr>
      <w:r>
        <w:rPr>
          <w:rFonts w:hint="eastAsia" w:ascii="宋体" w:hAnsi="宋体" w:cs="宋体"/>
          <w:b/>
          <w:bCs/>
          <w:sz w:val="24"/>
          <w:lang w:val="en-US" w:eastAsia="zh-CN"/>
        </w:rPr>
        <w:t>六</w:t>
      </w:r>
      <w:r>
        <w:rPr>
          <w:rFonts w:hint="eastAsia" w:ascii="宋体" w:hAnsi="宋体" w:cs="宋体"/>
          <w:b/>
          <w:bCs/>
          <w:sz w:val="24"/>
        </w:rPr>
        <w:t>、公告期限</w:t>
      </w:r>
    </w:p>
    <w:p w14:paraId="543DE538">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1F3DB035">
      <w:pPr>
        <w:snapToGrid w:val="0"/>
        <w:spacing w:line="360" w:lineRule="auto"/>
        <w:ind w:firstLine="480"/>
        <w:rPr>
          <w:rFonts w:ascii="宋体" w:hAnsi="宋体" w:cs="宋体"/>
          <w:sz w:val="24"/>
        </w:rPr>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0829262E">
      <w:pPr>
        <w:snapToGrid w:val="0"/>
        <w:spacing w:line="360" w:lineRule="auto"/>
        <w:ind w:firstLine="480"/>
        <w:rPr>
          <w:rFonts w:ascii="宋体" w:hAnsi="宋体" w:cs="宋体"/>
          <w:sz w:val="24"/>
        </w:rPr>
      </w:pPr>
      <w:r>
        <w:rPr>
          <w:rFonts w:hint="eastAsia" w:ascii="宋体" w:hAnsi="宋体" w:cs="宋体"/>
          <w:b/>
          <w:bCs/>
          <w:sz w:val="24"/>
          <w:lang w:val="en-US" w:eastAsia="zh-CN"/>
        </w:rPr>
        <w:t>七</w:t>
      </w:r>
      <w:r>
        <w:rPr>
          <w:rFonts w:hint="eastAsia" w:ascii="宋体" w:hAnsi="宋体" w:cs="宋体"/>
          <w:b/>
          <w:bCs/>
          <w:sz w:val="24"/>
        </w:rPr>
        <w:t>、询问及质疑</w:t>
      </w:r>
    </w:p>
    <w:p w14:paraId="53025D0C">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45E725C4">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58737E64">
      <w:pPr>
        <w:snapToGrid w:val="0"/>
        <w:spacing w:line="360" w:lineRule="auto"/>
        <w:ind w:firstLine="480"/>
        <w:rPr>
          <w:rFonts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6516E1B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lang w:val="en-US" w:eastAsia="zh-CN"/>
        </w:rPr>
        <w:t>八</w:t>
      </w:r>
      <w:r>
        <w:rPr>
          <w:rFonts w:hint="eastAsia" w:ascii="宋体" w:hAnsi="宋体" w:cs="宋体"/>
          <w:b/>
          <w:bCs/>
          <w:sz w:val="24"/>
        </w:rPr>
        <w:t>、投标说明</w:t>
      </w:r>
    </w:p>
    <w:p w14:paraId="2CC46ED2">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17AD7CFE">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sz w:val="24"/>
          <w:lang w:val="en-US" w:eastAsia="zh-CN"/>
        </w:rPr>
        <w:t>九、其它补充事宜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2E68791D">
      <w:pPr>
        <w:keepNext w:val="0"/>
        <w:keepLines w:val="0"/>
        <w:pageBreakBefore w:val="0"/>
        <w:widowControl w:val="0"/>
        <w:numPr>
          <w:ilvl w:val="2"/>
          <w:numId w:val="1"/>
        </w:numPr>
        <w:kinsoku/>
        <w:wordWrap/>
        <w:overflowPunct/>
        <w:topLinePunct w:val="0"/>
        <w:autoSpaceDE/>
        <w:autoSpaceDN/>
        <w:bidi w:val="0"/>
        <w:adjustRightInd/>
        <w:snapToGrid w:val="0"/>
        <w:spacing w:line="360" w:lineRule="exact"/>
        <w:ind w:firstLine="482" w:firstLineChars="200"/>
        <w:textAlignment w:val="auto"/>
        <w:rPr>
          <w:rFonts w:ascii="宋体" w:hAnsi="宋体" w:cs="宋体"/>
          <w:b/>
          <w:bCs/>
          <w:sz w:val="24"/>
        </w:rPr>
      </w:pPr>
      <w:r>
        <w:rPr>
          <w:rFonts w:hint="eastAsia" w:ascii="宋体" w:hAnsi="宋体" w:cs="宋体"/>
          <w:b/>
          <w:sz w:val="24"/>
        </w:rPr>
        <w:t>十、</w:t>
      </w:r>
      <w:r>
        <w:rPr>
          <w:rFonts w:hint="eastAsia" w:ascii="宋体" w:hAnsi="宋体" w:cs="宋体"/>
          <w:b/>
          <w:sz w:val="24"/>
          <w:lang w:val="en-US" w:eastAsia="zh-CN"/>
        </w:rPr>
        <w:t>对本次招标提出询问，请按以下方式联系</w:t>
      </w:r>
    </w:p>
    <w:p w14:paraId="21B0E1E4">
      <w:pPr>
        <w:keepNext w:val="0"/>
        <w:keepLines w:val="0"/>
        <w:pageBreakBefore w:val="0"/>
        <w:widowControl w:val="0"/>
        <w:kinsoku/>
        <w:wordWrap/>
        <w:overflowPunct/>
        <w:topLinePunct w:val="0"/>
        <w:autoSpaceDE/>
        <w:autoSpaceDN/>
        <w:bidi w:val="0"/>
        <w:adjustRightInd/>
        <w:snapToGrid w:val="0"/>
        <w:spacing w:line="360" w:lineRule="exact"/>
        <w:ind w:firstLine="480"/>
        <w:textAlignment w:val="auto"/>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7B7F50CF">
      <w:pPr>
        <w:keepNext w:val="0"/>
        <w:keepLines w:val="0"/>
        <w:pageBreakBefore w:val="0"/>
        <w:widowControl w:val="0"/>
        <w:kinsoku/>
        <w:wordWrap/>
        <w:overflowPunct/>
        <w:topLinePunct w:val="0"/>
        <w:autoSpaceDE/>
        <w:autoSpaceDN/>
        <w:bidi w:val="0"/>
        <w:adjustRightInd/>
        <w:snapToGrid w:val="0"/>
        <w:spacing w:line="360" w:lineRule="exact"/>
        <w:ind w:firstLine="720" w:firstLineChars="300"/>
        <w:textAlignment w:val="auto"/>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1CEDFF92">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D6D1FDC">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272E48BB">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3871D89">
      <w:pPr>
        <w:keepNext w:val="0"/>
        <w:keepLines w:val="0"/>
        <w:pageBreakBefore w:val="0"/>
        <w:widowControl w:val="0"/>
        <w:kinsoku/>
        <w:wordWrap/>
        <w:overflowPunct/>
        <w:topLinePunct w:val="0"/>
        <w:autoSpaceDE/>
        <w:autoSpaceDN/>
        <w:bidi w:val="0"/>
        <w:adjustRightInd/>
        <w:snapToGrid w:val="0"/>
        <w:spacing w:line="360" w:lineRule="exact"/>
        <w:ind w:firstLine="480"/>
        <w:textAlignment w:val="auto"/>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4DDB096A">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0D68653C">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677F692F">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79EFCE92">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ind w:firstLine="480" w:firstLineChars="0"/>
        <w:textAlignment w:val="auto"/>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3A4E8B3">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ind w:firstLine="480" w:firstLineChars="0"/>
        <w:textAlignment w:val="auto"/>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20BE1B96">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sz w:val="24"/>
        </w:rPr>
      </w:pPr>
      <w:r>
        <w:rPr>
          <w:rFonts w:hint="eastAsia" w:ascii="宋体" w:hAnsi="宋体" w:cs="宋体"/>
          <w:sz w:val="24"/>
        </w:rPr>
        <w:t>名称：岳阳市公共资源交易中心电子交易平台</w:t>
      </w:r>
    </w:p>
    <w:p w14:paraId="183F915A">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3BDDC70F">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bookmarkEnd w:id="4"/>
    <w:bookmarkEnd w:id="5"/>
    <w:bookmarkEnd w:id="6"/>
    <w:p w14:paraId="6202B79A">
      <w:pPr>
        <w:pStyle w:val="10"/>
        <w:snapToGrid w:val="0"/>
        <w:spacing w:before="156" w:line="360" w:lineRule="auto"/>
        <w:jc w:val="center"/>
      </w:pPr>
      <w:bookmarkStart w:id="8" w:name="__RefHeading___Toc7384_WPSOffice_Level1"/>
      <w:bookmarkEnd w:id="8"/>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岳阳县城乡垃圾收转运一体化建设项目（智慧一体化垃圾中转站政府采购项目）2026年</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6A71FAC">
            <w:pPr>
              <w:adjustRightInd w:val="0"/>
              <w:snapToGrid w:val="0"/>
              <w:spacing w:line="240" w:lineRule="auto"/>
              <w:rPr>
                <w:rFonts w:hint="eastAsia" w:ascii="宋体" w:hAnsi="宋体"/>
                <w:szCs w:val="21"/>
              </w:rPr>
            </w:pPr>
            <w:r>
              <w:rPr>
                <w:rFonts w:hint="eastAsia" w:ascii="宋体" w:hAnsi="宋体"/>
                <w:szCs w:val="21"/>
              </w:rPr>
              <w:t>招标文件第五章【采购需求】中条款偏离项数之和≥10项将导致无效投标。</w:t>
            </w:r>
          </w:p>
          <w:p w14:paraId="4FB84DA2">
            <w:pPr>
              <w:adjustRightInd w:val="0"/>
              <w:snapToGrid w:val="0"/>
              <w:spacing w:line="240" w:lineRule="auto"/>
              <w:rPr>
                <w:rFonts w:ascii="宋体" w:hAnsi="宋体"/>
                <w:szCs w:val="21"/>
                <w:u w:val="single"/>
              </w:rPr>
            </w:pPr>
            <w:r>
              <w:rPr>
                <w:rFonts w:hint="eastAsia" w:ascii="宋体" w:hAnsi="宋体"/>
                <w:b/>
                <w:bCs/>
                <w:szCs w:val="21"/>
              </w:rPr>
              <w:t>注：招标文件中，技术部分和商务部分凡编排有单独的中文序数或阿拉伯数字或英文字母序列号等字符的条款算一项商务或技术要求项数，但相同内容的条款不重复计算项数。项目如有分包的话，按分包计算。</w:t>
            </w:r>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0581C36C">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3CA0FD1">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44A814F2">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22EFC3F">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713C3B45">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ascii="Times New Roman" w:hAnsi="Times New Roman" w:eastAsia="宋体" w:cs="Times New Roman"/>
                <w:color w:val="FF0000"/>
              </w:rPr>
              <w:t>投标(响应)报价低于全部通过符合性审查供应商投示(响应)报价平均值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1565043F">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E8B02B9">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119E606B">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0F505CF8">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D6A2F53">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42F498B">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578D428A">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4CD543D0">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E1DB87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69D06BA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502E92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3,617,700.00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3,617,700.00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pacing w:val="20"/>
                <w:sz w:val="21"/>
                <w:szCs w:val="21"/>
                <w:u w:val="single"/>
              </w:rPr>
              <w:t>202</w:t>
            </w:r>
            <w:r>
              <w:rPr>
                <w:rFonts w:hint="eastAsia" w:ascii="宋体" w:hAnsi="宋体" w:cs="宋体"/>
                <w:b/>
                <w:bCs/>
                <w:spacing w:val="20"/>
                <w:sz w:val="21"/>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9</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15</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二</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2C8F63">
            <w:pPr>
              <w:snapToGrid w:val="0"/>
              <w:jc w:val="cente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7D6FFC0">
            <w:pPr>
              <w:snapToGrid w:val="0"/>
              <w:jc w:val="cente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A626612">
            <w:pPr>
              <w:snapToGrid w:val="0"/>
              <w:jc w:val="cente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56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073BB3F">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lang w:eastAsia="zh-CN"/>
              </w:rPr>
              <w:t>☑</w:t>
            </w:r>
            <w:r>
              <w:rPr>
                <w:rFonts w:hint="eastAsia" w:ascii="宋体" w:hAnsi="宋体" w:cs="宋体"/>
                <w:szCs w:val="21"/>
              </w:rPr>
              <w:t>要求提供，履约担保的金额为：</w:t>
            </w:r>
            <w:r>
              <w:rPr>
                <w:rFonts w:hint="eastAsia" w:ascii="宋体" w:hAnsi="宋体" w:cs="宋体"/>
                <w:szCs w:val="21"/>
                <w:lang w:val="en-US" w:eastAsia="zh-CN"/>
              </w:rPr>
              <w:t>中标金额10%的履约保证金（中标人应当以支票、汇票、本票或金融机构、担保机构出具的保函等非现金形式提交）</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A7352A9">
            <w:pPr>
              <w:snapToGrid w:val="0"/>
              <w:jc w:val="cente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42300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noWrap w:val="0"/>
            <w:vAlign w:val="center"/>
          </w:tcPr>
          <w:p w14:paraId="6BB78309">
            <w:pPr>
              <w:snapToGrid w:val="0"/>
              <w:spacing w:line="360" w:lineRule="auto"/>
              <w:jc w:val="cente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NumType w:fmt="decimal" w:start="1"/>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1" w:type="first"/>
          <w:footerReference r:id="rId14" w:type="first"/>
          <w:headerReference r:id="rId9" w:type="default"/>
          <w:footerReference r:id="rId12" w:type="default"/>
          <w:headerReference r:id="rId10" w:type="even"/>
          <w:footerReference r:id="rId13"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387EBC7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063B24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C2ECA54">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6C9CE14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321CA07B">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7D32111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65FF1F99">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4B725554">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0EABD9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E3D08C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4BFF6620">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046EF26B">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7920FFD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0A61096E">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463E227D">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2346016C">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70EB00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15F0BDAD">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1E24270D">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30AB4011">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7F5FE98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3056D8BA">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27B7039B">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07E0C50D">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CF8374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45A3E0C6">
      <w:pPr>
        <w:pStyle w:val="4"/>
        <w:adjustRightInd w:val="0"/>
        <w:snapToGrid w:val="0"/>
        <w:spacing w:before="0" w:after="0" w:line="360" w:lineRule="auto"/>
        <w:jc w:val="center"/>
        <w:rPr>
          <w:rFonts w:hint="eastAsia" w:ascii="宋体" w:hAnsi="宋体"/>
          <w:sz w:val="28"/>
          <w:szCs w:val="28"/>
        </w:rPr>
      </w:pPr>
    </w:p>
    <w:p w14:paraId="6DC894DC">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二、招标文件</w:t>
      </w:r>
    </w:p>
    <w:p w14:paraId="3D4AC28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2CB4135F">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6C8AA028">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19B9851D">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2BDD2405">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07524F3B">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10BCD9A0">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56BDB3BF">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1B60B325">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9741C76">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7803E11C">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506136A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165A4292">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2BA96E5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EAA66CB">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78E93CD1">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5F7F843A">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F4F1E86">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514C4AB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5D412C89">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30F480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2FC9572">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5C62674F">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06DC57E6">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13F79F8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69455FB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1AE25007">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19DCE4AB">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1984E9F3">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05825CB1">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（1）投标(响应)报价低于全部通过符合性审查供应商投示(响应)报价平均值65%的，即投标(响应)报价&lt;全部通过符合性审查供应商投标(响应)报价平均值*65%；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5BB57A7B">
      <w:pPr>
        <w:pStyle w:val="4"/>
        <w:adjustRightInd w:val="0"/>
        <w:snapToGrid w:val="0"/>
        <w:spacing w:before="0" w:after="0" w:line="360" w:lineRule="auto"/>
        <w:jc w:val="center"/>
        <w:rPr>
          <w:rFonts w:hint="eastAsia" w:ascii="宋体" w:hAnsi="宋体"/>
          <w:sz w:val="28"/>
          <w:szCs w:val="28"/>
        </w:rPr>
      </w:pPr>
    </w:p>
    <w:p w14:paraId="60850941">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三、投标文件</w:t>
      </w:r>
    </w:p>
    <w:p w14:paraId="3F6BA89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61C458B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47501C5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175E0C4">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6E465A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568C5C50">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0DD6FC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1883247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0E4E3948">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01F5AB5D">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62628B9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078C6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D3FB42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A9A0D5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610DDA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39C18DA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15050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6A2F19D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7D8B79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1968402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4928D5F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2FAFEB0C">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4349FA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5211502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0B2AFCE7">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7DBA0CB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7EA9A138">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619504B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0659059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1930198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61641AC0">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14EB636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7B53658C">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38C291D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64A8536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4643CD7D">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7C3CD8C">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3B34BB0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03152CE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1927F7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677D2B5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065EFF13">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0980A87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4760FFE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08C20F82">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7AD22AD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7EB17036">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6B1FF6C">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7ECED349">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03768C1">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57C1FE76">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34AFF6E1">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76162255">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1CBE3EF2">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4608D5C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2B26E360">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147AA1DA">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84AB3D8">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5BC4BB2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424F606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2B31F0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0B95998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325B75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4F9618E3">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787C065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0DCD5819">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5DA3B9C2">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3AE594F3">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0D881DE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2FF06F9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2C070DD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1F9F05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259EF81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62734A8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637A518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31B6C49">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56472FC">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2188D28F">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50780C86">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5ACB67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0872E23A">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035EBBF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05C38DEE">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7E72CFDA">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26A12B8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213F9B4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267A9122">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4E32C3D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6556E4A0">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2F0F133E">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42BD5C22">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285C1D2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4468456B">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401A2E22">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4FD9B56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5D22E0CF">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2A96ABD5">
      <w:pPr>
        <w:pStyle w:val="4"/>
        <w:adjustRightInd w:val="0"/>
        <w:snapToGrid w:val="0"/>
        <w:spacing w:before="0" w:after="0" w:line="360" w:lineRule="auto"/>
        <w:jc w:val="center"/>
        <w:rPr>
          <w:rFonts w:hint="eastAsia" w:ascii="宋体" w:hAnsi="宋体"/>
          <w:sz w:val="28"/>
          <w:szCs w:val="28"/>
        </w:rPr>
      </w:pPr>
      <w:r>
        <w:rPr>
          <w:rFonts w:hint="eastAsia" w:ascii="宋体" w:hAnsi="宋体"/>
          <w:sz w:val="28"/>
          <w:szCs w:val="28"/>
        </w:rPr>
        <w:t>四、投标</w:t>
      </w:r>
    </w:p>
    <w:p w14:paraId="58389C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02FB73A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7F3CFDA3">
      <w:pPr>
        <w:adjustRightInd w:val="0"/>
        <w:snapToGrid w:val="0"/>
        <w:spacing w:line="360" w:lineRule="auto"/>
        <w:ind w:firstLine="420" w:firstLineChars="200"/>
        <w:jc w:val="left"/>
        <w:rPr>
          <w:rFonts w:hint="eastAsia" w:ascii="宋体" w:hAnsi="宋体"/>
          <w:szCs w:val="21"/>
        </w:rPr>
      </w:pPr>
      <w:bookmarkStart w:id="9" w:name="_Hlt226715444"/>
      <w:bookmarkEnd w:id="9"/>
      <w:bookmarkStart w:id="10" w:name="_Hlt193622730"/>
      <w:bookmarkEnd w:id="10"/>
      <w:bookmarkStart w:id="11"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533FEF5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0913BCE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497BD1A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45C89FF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11"/>
    <w:p w14:paraId="5F961B89">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7E36A979">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4351C3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3A7DAE4A">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510B7E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73F4EA87">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25716F9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73EFD429">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6040F2C0">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63CBA792">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5E753B5C">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CBF68A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5211100">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130C919E">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29EB757C">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736B4E0B">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311A9F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6F1CB1C9">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2C43C59B">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868367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0073AF8E">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0F0F7A68">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C38441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6C0634BE">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38B5E40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73635553">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054289D8">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5D1B92B1">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10F8FBEC">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7E5C032A">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69298D5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46052A2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097EF938">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五、开标，资格审查和评标</w:t>
      </w:r>
    </w:p>
    <w:p w14:paraId="6261B3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7A81C32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6395DF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07B8D3B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6ED223C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2F5034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1528E087">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6DB7803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073317E2">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09C6BE9E">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4B6E81F2">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27780639">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4C505A31">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77DEBD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0EC67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005A164C">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6A338B1C">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7694A7C8">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1467038F">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50E5351E">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07A7992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5950D1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C6088D8">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08953FE2">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4001AB4E">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0571B3F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4D8E67EB">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08B05CE1">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12988422">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7A8F441B">
      <w:pPr>
        <w:pStyle w:val="20"/>
        <w:ind w:firstLine="210"/>
        <w:rPr>
          <w:rFonts w:hint="eastAsia"/>
        </w:rPr>
      </w:pPr>
    </w:p>
    <w:p w14:paraId="16BB93F6">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六、中标信息公布</w:t>
      </w:r>
    </w:p>
    <w:p w14:paraId="0B73D99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7766E2CB">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5872948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2C3D432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5774061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6FAC28AE">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305D38FC">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7426277E">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34441B7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5F8C3C5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5678D1CD">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68AC4DEA">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0AB265E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0E2FFF47">
      <w:pPr>
        <w:pStyle w:val="20"/>
        <w:ind w:firstLine="210"/>
        <w:rPr>
          <w:rFonts w:hint="eastAsia"/>
        </w:rPr>
      </w:pPr>
    </w:p>
    <w:p w14:paraId="5766619A">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七、合同签订</w:t>
      </w:r>
    </w:p>
    <w:p w14:paraId="19577E7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1B6F16EE">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14912BA7">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7C5561AC">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38A011D2">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574D8348">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5D5BCD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4CBE9456">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09E03D60">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57FE00B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3740AA12">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59EF0CB3">
      <w:pPr>
        <w:pStyle w:val="20"/>
        <w:ind w:firstLine="210"/>
      </w:pPr>
    </w:p>
    <w:p w14:paraId="56D20B96">
      <w:pPr>
        <w:pStyle w:val="4"/>
        <w:adjustRightInd w:val="0"/>
        <w:snapToGrid w:val="0"/>
        <w:spacing w:before="0" w:after="0" w:line="360" w:lineRule="auto"/>
        <w:jc w:val="center"/>
        <w:rPr>
          <w:rFonts w:hint="eastAsia" w:ascii="宋体" w:hAnsi="宋体"/>
          <w:sz w:val="28"/>
          <w:szCs w:val="28"/>
        </w:rPr>
      </w:pPr>
      <w:bookmarkStart w:id="12" w:name="_Toc20651203"/>
      <w:r>
        <w:rPr>
          <w:rFonts w:hint="eastAsia" w:ascii="宋体" w:hAnsi="宋体"/>
          <w:sz w:val="28"/>
          <w:szCs w:val="28"/>
        </w:rPr>
        <w:t>八、政府采购政策</w:t>
      </w:r>
      <w:bookmarkEnd w:id="12"/>
    </w:p>
    <w:p w14:paraId="2C1A177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4BBC829B">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60173923">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0F120A28">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4630B900">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0A1419FC">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2D064523">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64CB4463">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4C714336">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64851B1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073E5CF0">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29AF6C69">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5AEA513C">
      <w:pPr>
        <w:pStyle w:val="4"/>
        <w:adjustRightInd w:val="0"/>
        <w:snapToGrid w:val="0"/>
        <w:spacing w:before="0" w:after="0" w:line="360" w:lineRule="auto"/>
        <w:jc w:val="center"/>
        <w:rPr>
          <w:rFonts w:hint="eastAsia" w:ascii="宋体" w:hAnsi="宋体"/>
          <w:sz w:val="28"/>
          <w:szCs w:val="28"/>
        </w:rPr>
      </w:pPr>
      <w:bookmarkStart w:id="13" w:name="_Toc20651204"/>
    </w:p>
    <w:p w14:paraId="42065D06">
      <w:pPr>
        <w:pStyle w:val="4"/>
        <w:adjustRightInd w:val="0"/>
        <w:snapToGrid w:val="0"/>
        <w:spacing w:before="0" w:after="0" w:line="360" w:lineRule="auto"/>
        <w:jc w:val="center"/>
        <w:rPr>
          <w:rFonts w:hint="eastAsia" w:ascii="宋体" w:hAnsi="宋体"/>
          <w:sz w:val="28"/>
          <w:szCs w:val="28"/>
        </w:rPr>
      </w:pPr>
      <w:r>
        <w:rPr>
          <w:rFonts w:hint="eastAsia" w:ascii="宋体" w:hAnsi="宋体"/>
          <w:sz w:val="28"/>
          <w:szCs w:val="28"/>
        </w:rPr>
        <w:t>九、其他规定</w:t>
      </w:r>
      <w:bookmarkEnd w:id="13"/>
    </w:p>
    <w:p w14:paraId="2004A05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1C1ADC5C">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6005FA8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0B2FEFDE">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3B89E01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1D78231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314ABBAC">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4B76DB60">
      <w:pPr>
        <w:adjustRightInd w:val="0"/>
        <w:snapToGrid w:val="0"/>
        <w:spacing w:line="360" w:lineRule="auto"/>
        <w:ind w:firstLine="420" w:firstLineChars="200"/>
        <w:jc w:val="left"/>
        <w:rPr>
          <w:rFonts w:hint="eastAsia" w:ascii="宋体" w:hAnsi="宋体"/>
          <w:szCs w:val="21"/>
        </w:rPr>
      </w:pPr>
      <w:bookmarkStart w:id="14"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4"/>
    </w:p>
    <w:p w14:paraId="40FA6D0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58377486">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299DCD4">
      <w:pPr>
        <w:adjustRightInd w:val="0"/>
        <w:snapToGrid w:val="0"/>
        <w:spacing w:line="360" w:lineRule="auto"/>
        <w:ind w:firstLine="420" w:firstLineChars="200"/>
        <w:jc w:val="left"/>
        <w:rPr>
          <w:rFonts w:ascii="宋体" w:hAnsi="宋体"/>
        </w:rPr>
        <w:sectPr>
          <w:headerReference r:id="rId17" w:type="first"/>
          <w:footerReference r:id="rId20" w:type="first"/>
          <w:headerReference r:id="rId15" w:type="default"/>
          <w:footerReference r:id="rId18" w:type="default"/>
          <w:headerReference r:id="rId16" w:type="even"/>
          <w:footerReference r:id="rId19"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05"/>
        <w:gridCol w:w="6199"/>
      </w:tblGrid>
      <w:tr w14:paraId="7882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3A2ADDF">
            <w:pPr>
              <w:jc w:val="center"/>
              <w:rPr>
                <w:rFonts w:hint="eastAsia"/>
              </w:rPr>
            </w:pPr>
            <w:r>
              <w:t>条款</w:t>
            </w:r>
          </w:p>
        </w:tc>
        <w:tc>
          <w:tcPr>
            <w:tcW w:w="2605" w:type="dxa"/>
            <w:noWrap w:val="0"/>
            <w:vAlign w:val="center"/>
          </w:tcPr>
          <w:p w14:paraId="540BCF7B">
            <w:pPr>
              <w:jc w:val="center"/>
              <w:rPr>
                <w:rFonts w:hint="eastAsia"/>
              </w:rPr>
            </w:pPr>
            <w:r>
              <w:t>评审点名称</w:t>
            </w:r>
          </w:p>
        </w:tc>
        <w:tc>
          <w:tcPr>
            <w:tcW w:w="6199" w:type="dxa"/>
            <w:noWrap w:val="0"/>
            <w:vAlign w:val="center"/>
          </w:tcPr>
          <w:p w14:paraId="158BD849">
            <w:pPr>
              <w:jc w:val="center"/>
              <w:rPr>
                <w:rFonts w:hint="eastAsia"/>
              </w:rPr>
            </w:pPr>
            <w:r>
              <w:t>评审标准</w:t>
            </w:r>
          </w:p>
        </w:tc>
      </w:tr>
      <w:tr w14:paraId="7D42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3369FA5">
            <w:pPr>
              <w:jc w:val="center"/>
              <w:rPr>
                <w:rFonts w:hint="eastAsia"/>
              </w:rPr>
            </w:pPr>
            <w:r>
              <w:rPr>
                <w:rFonts w:hint="eastAsia"/>
              </w:rPr>
              <w:t>资格性评审</w:t>
            </w:r>
          </w:p>
        </w:tc>
        <w:tc>
          <w:tcPr>
            <w:tcW w:w="2605" w:type="dxa"/>
            <w:noWrap w:val="0"/>
            <w:vAlign w:val="center"/>
          </w:tcPr>
          <w:p w14:paraId="69F0A8A4">
            <w:pPr>
              <w:jc w:val="center"/>
              <w:rPr>
                <w:rFonts w:hint="eastAsia"/>
              </w:rPr>
            </w:pPr>
            <w:r>
              <w:t>营业执照</w:t>
            </w:r>
          </w:p>
        </w:tc>
        <w:tc>
          <w:tcPr>
            <w:tcW w:w="6199" w:type="dxa"/>
            <w:noWrap w:val="0"/>
            <w:vAlign w:val="center"/>
          </w:tcPr>
          <w:p w14:paraId="113B3BC8">
            <w:pPr>
              <w:rPr>
                <w:rFonts w:hint="eastAsia"/>
              </w:rPr>
            </w:pPr>
            <w:r>
              <w:t>提交营业执照副本(或者法人登记证书)以及组织机构代码证副本原件扫描件；</w:t>
            </w:r>
          </w:p>
        </w:tc>
      </w:tr>
      <w:tr w14:paraId="79A1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60396C77">
            <w:pPr>
              <w:jc w:val="center"/>
              <w:rPr>
                <w:rFonts w:hint="eastAsia"/>
              </w:rPr>
            </w:pPr>
          </w:p>
        </w:tc>
        <w:tc>
          <w:tcPr>
            <w:tcW w:w="2605" w:type="dxa"/>
            <w:noWrap w:val="0"/>
            <w:vAlign w:val="center"/>
          </w:tcPr>
          <w:p w14:paraId="2AF5E185">
            <w:pPr>
              <w:jc w:val="center"/>
              <w:rPr>
                <w:rFonts w:hint="eastAsia"/>
              </w:rPr>
            </w:pPr>
            <w:r>
              <w:t>法定代表或法人授权委托书原件及复印件（含社保证明）</w:t>
            </w:r>
          </w:p>
        </w:tc>
        <w:tc>
          <w:tcPr>
            <w:tcW w:w="6199" w:type="dxa"/>
            <w:noWrap w:val="0"/>
            <w:vAlign w:val="center"/>
          </w:tcPr>
          <w:p w14:paraId="7C58A1A4">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022B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6AD0B0FF">
            <w:pPr>
              <w:jc w:val="center"/>
              <w:rPr>
                <w:rFonts w:hint="eastAsia"/>
              </w:rPr>
            </w:pPr>
          </w:p>
        </w:tc>
        <w:tc>
          <w:tcPr>
            <w:tcW w:w="2605" w:type="dxa"/>
            <w:noWrap w:val="0"/>
            <w:vAlign w:val="center"/>
          </w:tcPr>
          <w:p w14:paraId="36D0936A">
            <w:pPr>
              <w:jc w:val="center"/>
            </w:pPr>
            <w:r>
              <w:rPr>
                <w:rFonts w:hint="eastAsia"/>
              </w:rPr>
              <w:t>投标报价超过招标文件中规定的最高限价的</w:t>
            </w:r>
          </w:p>
        </w:tc>
        <w:tc>
          <w:tcPr>
            <w:tcW w:w="6199" w:type="dxa"/>
            <w:noWrap w:val="0"/>
            <w:vAlign w:val="center"/>
          </w:tcPr>
          <w:p w14:paraId="227BCD99">
            <w:pPr>
              <w:rPr>
                <w:rFonts w:hint="eastAsia"/>
              </w:rPr>
            </w:pPr>
            <w:r>
              <w:rPr>
                <w:rFonts w:hint="eastAsia"/>
              </w:rPr>
              <w:t>投标报价</w:t>
            </w:r>
            <w:r>
              <w:rPr>
                <w:rFonts w:hint="eastAsia"/>
                <w:lang w:val="en-US" w:eastAsia="zh-CN"/>
              </w:rPr>
              <w:t>未</w:t>
            </w:r>
            <w:r>
              <w:rPr>
                <w:rFonts w:hint="eastAsia"/>
              </w:rPr>
              <w:t>超过招标文件中规定的最高限价的</w:t>
            </w:r>
          </w:p>
        </w:tc>
      </w:tr>
      <w:tr w14:paraId="773F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08" w:type="dxa"/>
            <w:vMerge w:val="continue"/>
            <w:noWrap w:val="0"/>
            <w:vAlign w:val="center"/>
          </w:tcPr>
          <w:p w14:paraId="4A8C745A">
            <w:pPr>
              <w:jc w:val="center"/>
              <w:rPr>
                <w:rFonts w:hint="eastAsia"/>
              </w:rPr>
            </w:pPr>
          </w:p>
        </w:tc>
        <w:tc>
          <w:tcPr>
            <w:tcW w:w="2605" w:type="dxa"/>
            <w:noWrap w:val="0"/>
            <w:vAlign w:val="center"/>
          </w:tcPr>
          <w:p w14:paraId="4BE201F3">
            <w:pPr>
              <w:jc w:val="center"/>
              <w:rPr>
                <w:rFonts w:hint="eastAsia"/>
              </w:rPr>
            </w:pPr>
            <w:r>
              <w:rPr>
                <w:rFonts w:hint="eastAsia"/>
              </w:rPr>
              <w:t>法律法规和招标文件规定的其他投标无效情形的</w:t>
            </w:r>
          </w:p>
        </w:tc>
        <w:tc>
          <w:tcPr>
            <w:tcW w:w="6199" w:type="dxa"/>
            <w:noWrap w:val="0"/>
            <w:vAlign w:val="center"/>
          </w:tcPr>
          <w:p w14:paraId="30A0CC25">
            <w:pPr>
              <w:rPr>
                <w:rFonts w:hint="eastAsia"/>
              </w:rPr>
            </w:pPr>
            <w:r>
              <w:rPr>
                <w:rFonts w:hint="eastAsia"/>
              </w:rPr>
              <w:t>法律法规和招标文件规定的其他投标无效情形的</w:t>
            </w:r>
          </w:p>
        </w:tc>
      </w:tr>
      <w:tr w14:paraId="3E25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468F050">
            <w:pPr>
              <w:jc w:val="center"/>
              <w:rPr>
                <w:rFonts w:hint="eastAsia"/>
              </w:rPr>
            </w:pPr>
          </w:p>
        </w:tc>
        <w:tc>
          <w:tcPr>
            <w:tcW w:w="2605" w:type="dxa"/>
            <w:noWrap w:val="0"/>
            <w:vAlign w:val="center"/>
          </w:tcPr>
          <w:p w14:paraId="6C558002">
            <w:pPr>
              <w:jc w:val="center"/>
              <w:rPr>
                <w:rFonts w:hint="eastAsia"/>
              </w:rPr>
            </w:pPr>
            <w:r>
              <w:t>其他说明</w:t>
            </w:r>
          </w:p>
        </w:tc>
        <w:tc>
          <w:tcPr>
            <w:tcW w:w="6199" w:type="dxa"/>
            <w:noWrap w:val="0"/>
            <w:vAlign w:val="center"/>
          </w:tcPr>
          <w:p w14:paraId="774D4922">
            <w:pPr>
              <w:rPr>
                <w:rFonts w:hint="eastAsia"/>
              </w:rPr>
            </w:pPr>
            <w:r>
              <w:rPr>
                <w:rFonts w:hint="eastAsia"/>
              </w:rPr>
              <w:t>参加政府采购活动前三年内，在经营活动中没有重大违法记录（提供承诺书）</w:t>
            </w:r>
          </w:p>
        </w:tc>
      </w:tr>
      <w:tr w14:paraId="5D53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951CC22">
            <w:pPr>
              <w:jc w:val="center"/>
              <w:rPr>
                <w:rFonts w:hint="eastAsia"/>
              </w:rPr>
            </w:pPr>
          </w:p>
        </w:tc>
        <w:tc>
          <w:tcPr>
            <w:tcW w:w="2605" w:type="dxa"/>
            <w:noWrap w:val="0"/>
            <w:vAlign w:val="center"/>
          </w:tcPr>
          <w:p w14:paraId="0EA6F05B">
            <w:pPr>
              <w:jc w:val="center"/>
              <w:rPr>
                <w:rFonts w:hint="eastAsia"/>
              </w:rPr>
            </w:pPr>
            <w:r>
              <w:rPr>
                <w:rFonts w:hint="eastAsia"/>
              </w:rPr>
              <w:t>信用记录不符合要求的</w:t>
            </w:r>
          </w:p>
        </w:tc>
        <w:tc>
          <w:tcPr>
            <w:tcW w:w="6199" w:type="dxa"/>
            <w:noWrap w:val="0"/>
            <w:vAlign w:val="center"/>
          </w:tcPr>
          <w:p w14:paraId="4143150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4579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5C735AA">
            <w:pPr>
              <w:jc w:val="center"/>
              <w:rPr>
                <w:rFonts w:hint="eastAsia"/>
              </w:rPr>
            </w:pPr>
          </w:p>
        </w:tc>
        <w:tc>
          <w:tcPr>
            <w:tcW w:w="2605" w:type="dxa"/>
            <w:noWrap w:val="0"/>
            <w:vAlign w:val="center"/>
          </w:tcPr>
          <w:p w14:paraId="54D2AA02">
            <w:pPr>
              <w:jc w:val="center"/>
              <w:rPr>
                <w:rFonts w:hint="eastAsia"/>
              </w:rPr>
            </w:pPr>
            <w:r>
              <w:t>投标保证金</w:t>
            </w:r>
          </w:p>
        </w:tc>
        <w:tc>
          <w:tcPr>
            <w:tcW w:w="6199" w:type="dxa"/>
            <w:noWrap w:val="0"/>
            <w:vAlign w:val="center"/>
          </w:tcPr>
          <w:p w14:paraId="74A85663">
            <w:pPr>
              <w:rPr>
                <w:rFonts w:hint="eastAsia"/>
              </w:rPr>
            </w:pPr>
            <w:r>
              <w:t>保证金缴纳情况（本项目不缴纳投标保证金）</w:t>
            </w:r>
          </w:p>
        </w:tc>
      </w:tr>
      <w:tr w14:paraId="6A27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34CAA0D8">
            <w:pPr>
              <w:jc w:val="center"/>
              <w:rPr>
                <w:rFonts w:hint="eastAsia"/>
              </w:rPr>
            </w:pPr>
          </w:p>
        </w:tc>
        <w:tc>
          <w:tcPr>
            <w:tcW w:w="2605" w:type="dxa"/>
            <w:noWrap w:val="0"/>
            <w:vAlign w:val="center"/>
          </w:tcPr>
          <w:p w14:paraId="01975A91">
            <w:pPr>
              <w:jc w:val="center"/>
            </w:pPr>
            <w:r>
              <w:t>特定资格条件</w:t>
            </w:r>
          </w:p>
        </w:tc>
        <w:tc>
          <w:tcPr>
            <w:tcW w:w="6199" w:type="dxa"/>
            <w:noWrap w:val="0"/>
            <w:vAlign w:val="center"/>
          </w:tcPr>
          <w:p w14:paraId="5A5F29F8">
            <w:pPr>
              <w:rPr>
                <w:rFonts w:hint="eastAsia"/>
              </w:rPr>
            </w:pPr>
            <w:r>
              <w:rPr>
                <w:rFonts w:hint="eastAsia"/>
                <w:lang w:val="en-US" w:eastAsia="zh-CN"/>
              </w:rPr>
              <w:t>无</w:t>
            </w:r>
          </w:p>
        </w:tc>
      </w:tr>
      <w:tr w14:paraId="0B2D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2" w:type="dxa"/>
            <w:gridSpan w:val="3"/>
            <w:noWrap w:val="0"/>
            <w:vAlign w:val="center"/>
          </w:tcPr>
          <w:p w14:paraId="6C732BF5">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说明：</w:t>
            </w:r>
          </w:p>
          <w:p w14:paraId="1F314263">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3836EA17">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2、资格证明文件原件扫描件须加盖投标人公章。</w:t>
            </w:r>
          </w:p>
          <w:p w14:paraId="6B89CED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75082752">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（1）有一项资格证明文件未提交的；</w:t>
            </w:r>
          </w:p>
          <w:p w14:paraId="64D47A5E">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（2）提供不符合要求或虚假资格证明文件的；</w:t>
            </w:r>
          </w:p>
          <w:p w14:paraId="005C153B">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（3）资格证明文件过了有效期的；</w:t>
            </w:r>
          </w:p>
          <w:p w14:paraId="1D6133AE">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（4）资格证明文件原件扫描件未加盖投标人公章的。</w:t>
            </w:r>
          </w:p>
          <w:p w14:paraId="45BD97D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4FAAE88B">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lang w:eastAsia="zh-CN"/>
              </w:rPr>
              <w:t>、</w:t>
            </w:r>
            <w:r>
              <w:rPr>
                <w:rFonts w:hint="eastAsia" w:ascii="宋体" w:hAnsi="宋体" w:cs="宋体"/>
                <w:sz w:val="20"/>
                <w:szCs w:val="22"/>
              </w:rPr>
              <w:t>单位负责人为同一人或者存在直接控股、管理关系的不同投标人，不得参加同一合同项下的政府采购活动。</w:t>
            </w:r>
          </w:p>
          <w:p w14:paraId="3F5FB2A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eastAsia="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07346A0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DEB555B">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5" w:name="EB636a0b3fa6614d7b9c0f8e66b88218c7"/>
            <w:r>
              <w:rPr>
                <w:rFonts w:hint="eastAsia" w:ascii="宋体" w:hAnsi="宋体" w:eastAsia="宋体" w:cs="宋体"/>
                <w:sz w:val="21"/>
                <w:szCs w:val="21"/>
              </w:rPr>
              <w:t>□</w:t>
            </w:r>
            <w:bookmarkEnd w:id="15"/>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6" w:name="EB530dc834cf8d4d238751b4fa1fff2586"/>
            <w:r>
              <w:rPr>
                <w:rFonts w:hint="eastAsia" w:ascii="宋体" w:hAnsi="宋体" w:eastAsia="宋体" w:cs="宋体"/>
                <w:i w:val="0"/>
                <w:iCs w:val="0"/>
                <w:sz w:val="21"/>
                <w:szCs w:val="21"/>
              </w:rPr>
              <w:t>□</w:t>
            </w:r>
            <w:bookmarkEnd w:id="16"/>
            <w:r>
              <w:rPr>
                <w:rFonts w:hint="eastAsia" w:ascii="宋体" w:hAnsi="宋体" w:eastAsia="宋体" w:cs="宋体"/>
                <w:i w:val="0"/>
                <w:iCs w:val="0"/>
                <w:sz w:val="21"/>
                <w:szCs w:val="21"/>
              </w:rPr>
              <w:t>两家及以上投标人提供相同产品的价格总和均超过该项目标段各自投标总价</w:t>
            </w:r>
            <w:bookmarkStart w:id="17" w:name="EBb04e76173b7b4f899e650284d09b3d4b"/>
            <w:bookmarkEnd w:id="17"/>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985"/>
        <w:gridCol w:w="6593"/>
      </w:tblGrid>
      <w:tr w14:paraId="0F81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14:paraId="10592624">
            <w:pPr>
              <w:jc w:val="center"/>
              <w:rPr>
                <w:rFonts w:hint="eastAsia"/>
              </w:rPr>
            </w:pPr>
            <w:r>
              <w:t>条款</w:t>
            </w:r>
          </w:p>
        </w:tc>
        <w:tc>
          <w:tcPr>
            <w:tcW w:w="1985" w:type="dxa"/>
            <w:noWrap w:val="0"/>
            <w:vAlign w:val="center"/>
          </w:tcPr>
          <w:p w14:paraId="7AE6D1D4">
            <w:pPr>
              <w:jc w:val="center"/>
              <w:rPr>
                <w:rFonts w:hint="eastAsia"/>
              </w:rPr>
            </w:pPr>
            <w:r>
              <w:t>评审点名称</w:t>
            </w:r>
          </w:p>
        </w:tc>
        <w:tc>
          <w:tcPr>
            <w:tcW w:w="6593" w:type="dxa"/>
            <w:noWrap w:val="0"/>
            <w:vAlign w:val="center"/>
          </w:tcPr>
          <w:p w14:paraId="5599A657">
            <w:pPr>
              <w:jc w:val="center"/>
              <w:rPr>
                <w:rFonts w:hint="eastAsia"/>
              </w:rPr>
            </w:pPr>
            <w:r>
              <w:t>评审标准</w:t>
            </w:r>
          </w:p>
        </w:tc>
      </w:tr>
      <w:tr w14:paraId="20B4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noWrap w:val="0"/>
            <w:vAlign w:val="center"/>
          </w:tcPr>
          <w:p w14:paraId="1711125A">
            <w:pPr>
              <w:jc w:val="center"/>
              <w:rPr>
                <w:rFonts w:hint="eastAsia"/>
              </w:rPr>
            </w:pPr>
            <w:r>
              <w:t>符合性审查</w:t>
            </w:r>
          </w:p>
        </w:tc>
        <w:tc>
          <w:tcPr>
            <w:tcW w:w="1985" w:type="dxa"/>
            <w:noWrap w:val="0"/>
            <w:vAlign w:val="center"/>
          </w:tcPr>
          <w:p w14:paraId="0F55DD33">
            <w:pPr>
              <w:jc w:val="center"/>
              <w:rPr>
                <w:rFonts w:hint="eastAsia"/>
              </w:rPr>
            </w:pPr>
            <w:r>
              <w:rPr>
                <w:rFonts w:hint="eastAsia"/>
              </w:rPr>
              <w:t>投标文件未按照招标文件规定要求签署、盖章的</w:t>
            </w:r>
          </w:p>
        </w:tc>
        <w:tc>
          <w:tcPr>
            <w:tcW w:w="6593" w:type="dxa"/>
            <w:noWrap w:val="0"/>
            <w:vAlign w:val="center"/>
          </w:tcPr>
          <w:p w14:paraId="10AFBC11">
            <w:pPr>
              <w:rPr>
                <w:rFonts w:hint="eastAsia"/>
              </w:rPr>
            </w:pPr>
            <w:r>
              <w:t>投标文件中商务技术文件</w:t>
            </w:r>
            <w:r>
              <w:rPr>
                <w:rFonts w:hint="eastAsia"/>
                <w:lang w:val="en-US" w:eastAsia="zh-CN"/>
              </w:rPr>
              <w:t>是否</w:t>
            </w:r>
            <w:r>
              <w:t>按照招标文件规定要求签署、盖章的</w:t>
            </w:r>
          </w:p>
        </w:tc>
      </w:tr>
      <w:tr w14:paraId="5862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71034606">
            <w:pPr>
              <w:jc w:val="center"/>
              <w:rPr>
                <w:rFonts w:hint="eastAsia"/>
              </w:rPr>
            </w:pPr>
          </w:p>
        </w:tc>
        <w:tc>
          <w:tcPr>
            <w:tcW w:w="1985" w:type="dxa"/>
            <w:noWrap w:val="0"/>
            <w:vAlign w:val="center"/>
          </w:tcPr>
          <w:p w14:paraId="43A30ECA">
            <w:pPr>
              <w:jc w:val="center"/>
              <w:rPr>
                <w:rFonts w:hint="eastAsia"/>
              </w:rPr>
            </w:pPr>
            <w:r>
              <w:rPr>
                <w:rFonts w:hint="eastAsia"/>
              </w:rPr>
              <w:t>投标文件没有对招标文件的实质性要求和条件做出响应，或者对招标文件的偏离超出招标文件规定的偏离范围和幅度</w:t>
            </w:r>
          </w:p>
        </w:tc>
        <w:tc>
          <w:tcPr>
            <w:tcW w:w="6593" w:type="dxa"/>
            <w:noWrap w:val="0"/>
            <w:vAlign w:val="center"/>
          </w:tcPr>
          <w:p w14:paraId="2DEF307D">
            <w:pPr>
              <w:rPr>
                <w:rFonts w:hint="eastAsia"/>
              </w:rPr>
            </w:pPr>
            <w:r>
              <w:rPr>
                <w:rFonts w:hint="eastAsia"/>
              </w:rPr>
              <w:t>投标文件</w:t>
            </w:r>
            <w:r>
              <w:rPr>
                <w:rFonts w:hint="eastAsia"/>
                <w:lang w:val="en-US" w:eastAsia="zh-CN"/>
              </w:rPr>
              <w:t>是否</w:t>
            </w:r>
            <w:r>
              <w:rPr>
                <w:rFonts w:hint="eastAsia"/>
              </w:rPr>
              <w:t>对招标文件的实质性要求和条件作出响应，或者对招标文件的偏差超出招标文件规定的偏差范围或最高项数</w:t>
            </w:r>
          </w:p>
        </w:tc>
      </w:tr>
      <w:tr w14:paraId="4009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470CA691">
            <w:pPr>
              <w:jc w:val="center"/>
              <w:rPr>
                <w:rFonts w:hint="eastAsia"/>
              </w:rPr>
            </w:pPr>
          </w:p>
        </w:tc>
        <w:tc>
          <w:tcPr>
            <w:tcW w:w="1985" w:type="dxa"/>
            <w:noWrap w:val="0"/>
            <w:vAlign w:val="center"/>
          </w:tcPr>
          <w:p w14:paraId="59E71FF6">
            <w:pPr>
              <w:jc w:val="center"/>
              <w:rPr>
                <w:rFonts w:hint="eastAsia"/>
              </w:rPr>
            </w:pPr>
            <w:r>
              <w:t>投标报价</w:t>
            </w:r>
          </w:p>
        </w:tc>
        <w:tc>
          <w:tcPr>
            <w:tcW w:w="6593" w:type="dxa"/>
            <w:noWrap w:val="0"/>
            <w:vAlign w:val="center"/>
          </w:tcPr>
          <w:p w14:paraId="6BAC092C">
            <w:pPr>
              <w:rPr>
                <w:rFonts w:hint="eastAsia"/>
              </w:rPr>
            </w:pPr>
            <w:r>
              <w:rPr>
                <w:rFonts w:hint="eastAsia"/>
              </w:rPr>
              <w:t>是否按招标文件要求</w:t>
            </w:r>
          </w:p>
        </w:tc>
      </w:tr>
      <w:tr w14:paraId="6C86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134" w:type="dxa"/>
            <w:vMerge w:val="continue"/>
            <w:noWrap w:val="0"/>
            <w:vAlign w:val="center"/>
          </w:tcPr>
          <w:p w14:paraId="056FABF0">
            <w:pPr>
              <w:jc w:val="center"/>
              <w:rPr>
                <w:rFonts w:hint="eastAsia"/>
              </w:rPr>
            </w:pPr>
          </w:p>
        </w:tc>
        <w:tc>
          <w:tcPr>
            <w:tcW w:w="1985" w:type="dxa"/>
            <w:noWrap w:val="0"/>
            <w:vAlign w:val="center"/>
          </w:tcPr>
          <w:p w14:paraId="672B4DD4">
            <w:pPr>
              <w:jc w:val="center"/>
            </w:pPr>
            <w:r>
              <w:t>投标标的范围小于采购标的范围的</w:t>
            </w:r>
          </w:p>
        </w:tc>
        <w:tc>
          <w:tcPr>
            <w:tcW w:w="6593" w:type="dxa"/>
            <w:noWrap w:val="0"/>
            <w:vAlign w:val="center"/>
          </w:tcPr>
          <w:p w14:paraId="7870D113">
            <w:r>
              <w:t>投标标的范围</w:t>
            </w:r>
            <w:r>
              <w:rPr>
                <w:rFonts w:hint="eastAsia"/>
                <w:lang w:val="en-US" w:eastAsia="zh-CN"/>
              </w:rPr>
              <w:t>是否不</w:t>
            </w:r>
            <w:r>
              <w:t>小于采购标的范围</w:t>
            </w:r>
          </w:p>
        </w:tc>
      </w:tr>
      <w:tr w14:paraId="26AE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764F1FFA">
            <w:pPr>
              <w:jc w:val="center"/>
              <w:rPr>
                <w:rFonts w:hint="eastAsia"/>
              </w:rPr>
            </w:pPr>
          </w:p>
        </w:tc>
        <w:tc>
          <w:tcPr>
            <w:tcW w:w="1985" w:type="dxa"/>
            <w:noWrap w:val="0"/>
            <w:vAlign w:val="center"/>
          </w:tcPr>
          <w:p w14:paraId="57A3230D">
            <w:pPr>
              <w:jc w:val="center"/>
            </w:pPr>
            <w:r>
              <w:t>投标文件电子文档</w:t>
            </w:r>
            <w:r>
              <w:rPr>
                <w:rFonts w:hint="eastAsia"/>
                <w:lang w:val="en-US" w:eastAsia="zh-CN"/>
              </w:rPr>
              <w:t>是否</w:t>
            </w:r>
            <w:r>
              <w:t>有病毒</w:t>
            </w:r>
          </w:p>
        </w:tc>
        <w:tc>
          <w:tcPr>
            <w:tcW w:w="6593" w:type="dxa"/>
            <w:noWrap w:val="0"/>
            <w:vAlign w:val="center"/>
          </w:tcPr>
          <w:p w14:paraId="6338FF3C">
            <w:r>
              <w:t>投标文件电子文档</w:t>
            </w:r>
            <w:r>
              <w:rPr>
                <w:rFonts w:hint="eastAsia"/>
                <w:lang w:val="en-US" w:eastAsia="zh-CN"/>
              </w:rPr>
              <w:t>无</w:t>
            </w:r>
            <w:r>
              <w:t>病毒</w:t>
            </w:r>
          </w:p>
        </w:tc>
      </w:tr>
      <w:tr w14:paraId="15D0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325F64E9">
            <w:pPr>
              <w:jc w:val="center"/>
              <w:rPr>
                <w:rFonts w:hint="eastAsia"/>
              </w:rPr>
            </w:pPr>
          </w:p>
        </w:tc>
        <w:tc>
          <w:tcPr>
            <w:tcW w:w="1985" w:type="dxa"/>
            <w:noWrap w:val="0"/>
            <w:vAlign w:val="center"/>
          </w:tcPr>
          <w:p w14:paraId="35CA640D">
            <w:pPr>
              <w:jc w:val="center"/>
            </w:pPr>
            <w:r>
              <w:t>投标文件</w:t>
            </w:r>
            <w:r>
              <w:rPr>
                <w:rFonts w:hint="eastAsia"/>
                <w:lang w:val="en-US" w:eastAsia="zh-CN"/>
              </w:rPr>
              <w:t>是否</w:t>
            </w:r>
            <w:r>
              <w:t>用不属于本中心的电子密钥进行加密</w:t>
            </w:r>
          </w:p>
        </w:tc>
        <w:tc>
          <w:tcPr>
            <w:tcW w:w="6593" w:type="dxa"/>
            <w:noWrap w:val="0"/>
            <w:vAlign w:val="center"/>
          </w:tcPr>
          <w:p w14:paraId="6B40F024">
            <w:r>
              <w:t>投标文件</w:t>
            </w:r>
            <w:r>
              <w:rPr>
                <w:rFonts w:hint="eastAsia"/>
                <w:lang w:val="en-US" w:eastAsia="zh-CN"/>
              </w:rPr>
              <w:t>未使</w:t>
            </w:r>
            <w:r>
              <w:t>用不属于本中心的电子密钥进行加密</w:t>
            </w:r>
          </w:p>
        </w:tc>
      </w:tr>
      <w:tr w14:paraId="487A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10796657">
            <w:pPr>
              <w:jc w:val="center"/>
              <w:rPr>
                <w:rFonts w:hint="eastAsia"/>
              </w:rPr>
            </w:pPr>
          </w:p>
        </w:tc>
        <w:tc>
          <w:tcPr>
            <w:tcW w:w="1985" w:type="dxa"/>
            <w:noWrap w:val="0"/>
            <w:vAlign w:val="center"/>
          </w:tcPr>
          <w:p w14:paraId="0632E17B">
            <w:pPr>
              <w:jc w:val="center"/>
            </w:pPr>
            <w:r>
              <w:t>法律、法规规定的其他情形</w:t>
            </w:r>
          </w:p>
        </w:tc>
        <w:tc>
          <w:tcPr>
            <w:tcW w:w="6593" w:type="dxa"/>
            <w:noWrap w:val="0"/>
            <w:vAlign w:val="center"/>
          </w:tcPr>
          <w:p w14:paraId="44A13025">
            <w:r>
              <w:rPr>
                <w:rFonts w:hint="eastAsia"/>
                <w:lang w:val="en-US" w:eastAsia="zh-CN"/>
              </w:rPr>
              <w:t>符合</w:t>
            </w:r>
            <w:r>
              <w:t>法律、法规规定的其他情形</w:t>
            </w:r>
          </w:p>
        </w:tc>
      </w:tr>
    </w:tbl>
    <w:p w14:paraId="1655DA1F">
      <w:pPr>
        <w:pStyle w:val="21"/>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62EFCEBD">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7EC94166">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1433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3EAED9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4F04C5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AD2F1F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8C3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730842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4ACF119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2F13E1C5">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A1=50%</w:t>
            </w:r>
          </w:p>
        </w:tc>
      </w:tr>
      <w:tr w14:paraId="673E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72462C4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5A0E3D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59717E68">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A2=40%</w:t>
            </w:r>
          </w:p>
        </w:tc>
      </w:tr>
      <w:tr w14:paraId="52F1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E0F8CF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4DC38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7CBD4845">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A3=10%</w:t>
            </w:r>
          </w:p>
        </w:tc>
      </w:tr>
      <w:tr w14:paraId="26E0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6FD4C6A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50DAAEA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E98421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2610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3689F34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cs="宋体"/>
                <w:szCs w:val="21"/>
                <w:lang w:val="en-US" w:eastAsia="zh-CN"/>
              </w:rPr>
              <w:t>=1</w:t>
            </w:r>
          </w:p>
        </w:tc>
      </w:tr>
    </w:tbl>
    <w:p w14:paraId="480678FF">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评标方法及标准</w:t>
      </w:r>
    </w:p>
    <w:p w14:paraId="10A22C83">
      <w:pPr>
        <w:jc w:val="center"/>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A1</w:t>
      </w:r>
      <w:r>
        <w:rPr>
          <w:rFonts w:hint="eastAsia" w:ascii="宋体" w:hAnsi="宋体" w:eastAsia="宋体" w:cs="宋体"/>
          <w:b/>
          <w:bCs/>
          <w:sz w:val="28"/>
          <w:szCs w:val="28"/>
          <w:lang w:val="en-US" w:eastAsia="zh-CN"/>
        </w:rPr>
        <w:t>投标报价部分</w:t>
      </w:r>
    </w:p>
    <w:p w14:paraId="5C2E9385">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0C5F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54EFD32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6B15E9D9">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5C4FF71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0006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7300B49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0C0A4CC">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rPr>
              <w:t>经评委会一致认定满足招标文件要求且投标价格最低的投标报价为评标基准价，其价格得分为满分。其他投标人的价格得分统一按公式计算：报价得分＝（评标基准价/投标报价）×100×价格权值。</w:t>
            </w:r>
          </w:p>
          <w:p w14:paraId="0027A133">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lang w:val="en-US" w:eastAsia="zh-CN"/>
              </w:rPr>
              <w:t>注：</w:t>
            </w:r>
            <w:r>
              <w:rPr>
                <w:rFonts w:hint="eastAsia" w:cs="宋体"/>
                <w:color w:val="auto"/>
                <w:sz w:val="21"/>
                <w:lang w:val="en-US" w:eastAsia="zh-CN"/>
              </w:rPr>
              <w:t>1.</w:t>
            </w:r>
            <w:r>
              <w:rPr>
                <w:rFonts w:hint="eastAsia" w:ascii="宋体" w:hAnsi="宋体" w:eastAsia="宋体" w:cs="宋体"/>
                <w:color w:val="auto"/>
                <w:sz w:val="21"/>
                <w:lang w:val="en-US" w:eastAsia="zh-CN"/>
              </w:rPr>
              <w:t>根据财政部令第87号第六十条的规定，</w:t>
            </w:r>
            <w:r>
              <w:rPr>
                <w:rFonts w:hint="eastAsia" w:ascii="宋体" w:hAnsi="宋体" w:eastAsia="宋体" w:cs="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D3D851E">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政府采购评审中出现下列情形之一的，评审委员会应当启动异常低价投标(响应)审查程序：2.1投标(响应)报价低于全部通过符合性审查供应商投示(响应)报价平均值65%的，即投标(响应)报价&lt;全部通过符合性审查供应商投标(响应)报价平均值*65%；</w:t>
            </w:r>
          </w:p>
          <w:p w14:paraId="22626D16">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09DB3FE7">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2.4评审委员会基于专业判断，认为供应商报价过低，有可能影响产品质量或者不能诚信履约的其他情形。</w:t>
            </w:r>
          </w:p>
          <w:p w14:paraId="670A79CD">
            <w:pPr>
              <w:pStyle w:val="47"/>
              <w:keepNext w:val="0"/>
              <w:keepLines w:val="0"/>
              <w:suppressLineNumbers w:val="0"/>
              <w:spacing w:before="22" w:beforeAutospacing="0" w:after="0" w:afterAutospacing="0" w:line="278" w:lineRule="auto"/>
              <w:ind w:left="105" w:right="96"/>
              <w:rPr>
                <w:rFonts w:hint="default" w:cs="宋体"/>
                <w:color w:val="auto"/>
                <w:sz w:val="21"/>
                <w:lang w:val="en-US" w:eastAsia="zh-CN"/>
              </w:rPr>
            </w:pPr>
            <w:r>
              <w:rPr>
                <w:rFonts w:hint="eastAsia" w:cs="宋体"/>
                <w:color w:val="auto"/>
                <w:sz w:val="21"/>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52F00CCB">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2D8E2B2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cs="宋体"/>
          <w:b/>
          <w:bCs/>
          <w:sz w:val="28"/>
          <w:szCs w:val="28"/>
          <w:lang w:val="en-US" w:eastAsia="zh-CN"/>
        </w:rPr>
        <w:t>A2</w:t>
      </w:r>
      <w:r>
        <w:rPr>
          <w:rFonts w:hint="eastAsia" w:ascii="宋体" w:hAnsi="宋体" w:eastAsia="宋体" w:cs="宋体"/>
          <w:b/>
          <w:bCs/>
          <w:sz w:val="28"/>
          <w:szCs w:val="28"/>
          <w:lang w:val="en-US" w:eastAsia="zh-CN"/>
        </w:rPr>
        <w:t>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29E06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673" w:type="dxa"/>
            <w:noWrap w:val="0"/>
            <w:vAlign w:val="center"/>
          </w:tcPr>
          <w:p w14:paraId="26490CA9">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30AA4CC4">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715575A2">
            <w:pPr>
              <w:keepNext w:val="0"/>
              <w:keepLines w:val="0"/>
              <w:suppressLineNumbers w:val="0"/>
              <w:adjustRightInd w:val="0"/>
              <w:snapToGrid w:val="0"/>
              <w:spacing w:before="156" w:beforeLines="50" w:beforeAutospacing="0" w:after="0" w:afterAutospacing="0" w:line="360" w:lineRule="auto"/>
              <w:ind w:left="0" w:leftChars="0" w:right="0" w:rightChars="0"/>
              <w:rPr>
                <w:rFonts w:hint="eastAsia" w:ascii="宋体" w:hAnsi="宋体" w:eastAsia="宋体" w:cs="宋体"/>
                <w:sz w:val="21"/>
                <w:szCs w:val="21"/>
              </w:rPr>
            </w:pPr>
            <w:r>
              <w:rPr>
                <w:rFonts w:hint="eastAsia" w:ascii="宋体" w:hAnsi="宋体" w:eastAsia="宋体" w:cs="宋体"/>
                <w:sz w:val="21"/>
                <w:szCs w:val="21"/>
              </w:rPr>
              <w:t>分值</w:t>
            </w:r>
          </w:p>
        </w:tc>
      </w:tr>
      <w:tr w14:paraId="017277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93" w:hRule="atLeast"/>
          <w:jc w:val="center"/>
        </w:trPr>
        <w:tc>
          <w:tcPr>
            <w:tcW w:w="673" w:type="dxa"/>
            <w:tcBorders>
              <w:top w:val="single" w:color="auto" w:sz="4" w:space="0"/>
            </w:tcBorders>
            <w:noWrap w:val="0"/>
            <w:vAlign w:val="center"/>
          </w:tcPr>
          <w:p w14:paraId="73130FB7">
            <w:pPr>
              <w:keepNext w:val="0"/>
              <w:keepLines w:val="0"/>
              <w:suppressLineNumbers w:val="0"/>
              <w:spacing w:before="0" w:beforeAutospacing="0" w:after="0" w:afterAutospacing="0" w:line="400" w:lineRule="atLeast"/>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1348" w:type="dxa"/>
            <w:tcBorders>
              <w:top w:val="single" w:color="auto" w:sz="4" w:space="0"/>
            </w:tcBorders>
            <w:shd w:val="clear" w:color="auto" w:fill="auto"/>
            <w:noWrap w:val="0"/>
            <w:vAlign w:val="center"/>
          </w:tcPr>
          <w:p w14:paraId="5B10DE8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cs="宋体"/>
                <w:color w:val="auto"/>
                <w:kern w:val="0"/>
                <w:sz w:val="21"/>
                <w:szCs w:val="21"/>
                <w:lang w:val="en-US" w:eastAsia="zh-CN" w:bidi="ar"/>
              </w:rPr>
              <w:t>技术响应</w:t>
            </w:r>
          </w:p>
        </w:tc>
        <w:tc>
          <w:tcPr>
            <w:tcW w:w="7033" w:type="dxa"/>
            <w:tcBorders>
              <w:right w:val="single" w:color="auto" w:sz="4" w:space="0"/>
            </w:tcBorders>
            <w:shd w:val="clear" w:color="auto" w:fill="auto"/>
            <w:noWrap w:val="0"/>
            <w:vAlign w:val="top"/>
          </w:tcPr>
          <w:p w14:paraId="5AB172A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rPr>
              <w:t>投标人或制造商所投产品的技术指标、性能参数完全满足招标文件技术要求的，计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rPr>
              <w:t>分</w:t>
            </w:r>
            <w:r>
              <w:rPr>
                <w:rFonts w:hint="default" w:ascii="Times New Roman" w:hAnsi="Times New Roman" w:cs="Times New Roman"/>
                <w:color w:val="auto"/>
                <w:spacing w:val="-2"/>
                <w:kern w:val="0"/>
                <w:sz w:val="20"/>
                <w:szCs w:val="20"/>
                <w:lang w:eastAsia="zh-CN"/>
              </w:rPr>
              <w:t>。</w:t>
            </w:r>
          </w:p>
          <w:p w14:paraId="7DF7028E">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rPr>
              <w:t>标★号项为实质性指标，不符合要求</w:t>
            </w:r>
            <w:r>
              <w:rPr>
                <w:rFonts w:hint="eastAsia" w:cs="Times New Roman"/>
                <w:color w:val="auto"/>
                <w:spacing w:val="-2"/>
                <w:kern w:val="0"/>
                <w:sz w:val="20"/>
                <w:szCs w:val="20"/>
                <w:lang w:val="en-US" w:eastAsia="zh-CN"/>
              </w:rPr>
              <w:t>本项不得分</w:t>
            </w:r>
            <w:r>
              <w:rPr>
                <w:rFonts w:hint="default" w:ascii="Times New Roman" w:hAnsi="Times New Roman" w:cs="Times New Roman"/>
                <w:color w:val="auto"/>
                <w:spacing w:val="-2"/>
                <w:kern w:val="0"/>
                <w:sz w:val="20"/>
                <w:szCs w:val="20"/>
                <w:lang w:eastAsia="zh-CN"/>
              </w:rPr>
              <w:t>。</w:t>
            </w:r>
          </w:p>
          <w:p w14:paraId="3C4A7F53">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eastAsia="宋体" w:cs="Times New Roman"/>
                <w:color w:val="auto"/>
                <w:spacing w:val="-2"/>
                <w:kern w:val="0"/>
                <w:sz w:val="20"/>
                <w:szCs w:val="22"/>
                <w:lang w:eastAsia="zh-CN"/>
              </w:rPr>
            </w:pPr>
            <w:r>
              <w:rPr>
                <w:rFonts w:hint="default" w:ascii="Times New Roman" w:hAnsi="Times New Roman" w:cs="Times New Roman"/>
                <w:color w:val="auto"/>
                <w:spacing w:val="-2"/>
                <w:kern w:val="0"/>
                <w:sz w:val="20"/>
                <w:szCs w:val="22"/>
                <w:lang w:eastAsia="zh-CN"/>
              </w:rPr>
              <w:t>（</w:t>
            </w:r>
            <w:r>
              <w:rPr>
                <w:rFonts w:hint="default" w:ascii="Times New Roman" w:hAnsi="Times New Roman"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标▲号项为重要指标，根据对招标文件“采购需求”技术要求中技术参数的“▲”条款进行评审，参数不满足、缺漏项、有负偏离的每项（子项）扣</w:t>
            </w:r>
            <w:r>
              <w:rPr>
                <w:rFonts w:hint="eastAsia"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分</w:t>
            </w:r>
            <w:r>
              <w:rPr>
                <w:rFonts w:hint="eastAsia" w:cs="Times New Roman"/>
                <w:color w:val="auto"/>
                <w:spacing w:val="-2"/>
                <w:kern w:val="0"/>
                <w:sz w:val="20"/>
                <w:szCs w:val="22"/>
                <w:lang w:eastAsia="zh-CN"/>
              </w:rPr>
              <w:t>，</w:t>
            </w:r>
            <w:r>
              <w:rPr>
                <w:rFonts w:hint="eastAsia" w:cs="Times New Roman"/>
                <w:color w:val="auto"/>
                <w:spacing w:val="-2"/>
                <w:kern w:val="0"/>
                <w:sz w:val="20"/>
                <w:szCs w:val="22"/>
                <w:lang w:val="en-US" w:eastAsia="zh-CN"/>
              </w:rPr>
              <w:t>扣完为止</w:t>
            </w:r>
            <w:r>
              <w:rPr>
                <w:rFonts w:hint="default" w:ascii="Times New Roman" w:hAnsi="Times New Roman" w:cs="Times New Roman"/>
                <w:color w:val="auto"/>
                <w:spacing w:val="-2"/>
                <w:kern w:val="0"/>
                <w:sz w:val="20"/>
                <w:szCs w:val="22"/>
                <w:lang w:eastAsia="zh-CN"/>
              </w:rPr>
              <w:t>。</w:t>
            </w:r>
          </w:p>
          <w:p w14:paraId="66AAAF72">
            <w:pPr>
              <w:keepNext w:val="0"/>
              <w:keepLines w:val="0"/>
              <w:pageBreakBefore w:val="0"/>
              <w:widowControl w:val="0"/>
              <w:suppressLineNumbers w:val="0"/>
              <w:wordWrap/>
              <w:overflowPunct/>
              <w:autoSpaceDE w:val="0"/>
              <w:autoSpaceDN/>
              <w:bidi w:val="0"/>
              <w:spacing w:before="22" w:beforeAutospacing="0" w:after="0" w:afterAutospacing="0" w:line="240" w:lineRule="atLeast"/>
              <w:ind w:left="105" w:leftChars="0" w:right="96" w:rightChars="0"/>
              <w:jc w:val="left"/>
              <w:textAlignment w:val="auto"/>
              <w:rPr>
                <w:rFonts w:hint="eastAsia" w:ascii="宋体" w:hAnsi="宋体" w:eastAsia="宋体" w:cs="宋体"/>
                <w:color w:val="auto"/>
                <w:kern w:val="0"/>
                <w:sz w:val="20"/>
                <w:szCs w:val="21"/>
                <w:lang w:val="en-US" w:eastAsia="zh-CN" w:bidi="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rPr>
              <w:t>注：技术参数响应中要求提供相关证明材料的，未提供或未按要求提供或不符合要求的，视为不满足该条款技术参数</w:t>
            </w:r>
            <w:r>
              <w:rPr>
                <w:rFonts w:hint="default" w:ascii="Times New Roman" w:hAnsi="Times New Roman" w:cs="Times New Roman"/>
                <w:color w:val="auto"/>
                <w:spacing w:val="-2"/>
                <w:kern w:val="0"/>
                <w:sz w:val="20"/>
                <w:szCs w:val="20"/>
                <w:lang w:eastAsia="zh-CN"/>
              </w:rPr>
              <w:t>）</w:t>
            </w:r>
          </w:p>
        </w:tc>
        <w:tc>
          <w:tcPr>
            <w:tcW w:w="804" w:type="dxa"/>
            <w:tcBorders>
              <w:left w:val="single" w:color="auto" w:sz="4" w:space="0"/>
            </w:tcBorders>
            <w:noWrap w:val="0"/>
            <w:vAlign w:val="center"/>
          </w:tcPr>
          <w:p w14:paraId="21271E89">
            <w:pPr>
              <w:pStyle w:val="47"/>
              <w:keepNext w:val="0"/>
              <w:keepLines w:val="0"/>
              <w:suppressLineNumbers w:val="0"/>
              <w:spacing w:before="0" w:beforeAutospacing="0" w:after="0" w:afterAutospacing="0"/>
              <w:ind w:left="0" w:leftChars="0" w:right="0" w:rightChars="0"/>
              <w:jc w:val="center"/>
              <w:rPr>
                <w:rFonts w:hint="default" w:cs="宋体"/>
                <w:color w:val="auto"/>
                <w:sz w:val="21"/>
                <w:szCs w:val="21"/>
                <w:lang w:val="en-US" w:eastAsia="zh-CN"/>
              </w:rPr>
            </w:pPr>
            <w:r>
              <w:rPr>
                <w:rFonts w:hint="eastAsia" w:cs="宋体"/>
                <w:color w:val="auto"/>
                <w:sz w:val="21"/>
                <w:szCs w:val="21"/>
                <w:lang w:val="en-US" w:eastAsia="zh-CN"/>
              </w:rPr>
              <w:t>20分</w:t>
            </w:r>
          </w:p>
        </w:tc>
      </w:tr>
      <w:tr w14:paraId="16641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7305BB40">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5833890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bCs/>
                <w:sz w:val="21"/>
                <w:szCs w:val="21"/>
              </w:rPr>
              <w:t>供货方案</w:t>
            </w:r>
          </w:p>
        </w:tc>
        <w:tc>
          <w:tcPr>
            <w:tcW w:w="7033" w:type="dxa"/>
            <w:tcBorders>
              <w:right w:val="single" w:color="auto" w:sz="4" w:space="0"/>
            </w:tcBorders>
            <w:noWrap w:val="0"/>
            <w:vAlign w:val="top"/>
          </w:tcPr>
          <w:p w14:paraId="6C19C5E3">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投标人针对本项目的实际情况，制定详细的实施方案，包含但不限于：</w:t>
            </w:r>
          </w:p>
          <w:p w14:paraId="6652BB7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1.供货产品阐述；</w:t>
            </w:r>
          </w:p>
          <w:p w14:paraId="7BB632BC">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2.运输与配送</w:t>
            </w:r>
            <w:r>
              <w:rPr>
                <w:rFonts w:hint="eastAsia" w:cs="Times New Roman"/>
                <w:color w:val="auto"/>
                <w:spacing w:val="-2"/>
                <w:kern w:val="0"/>
                <w:sz w:val="20"/>
                <w:szCs w:val="20"/>
                <w:lang w:val="en-US" w:eastAsia="zh-CN"/>
              </w:rPr>
              <w:t>；</w:t>
            </w:r>
          </w:p>
          <w:p w14:paraId="70BB088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产品安装与调试；</w:t>
            </w:r>
          </w:p>
          <w:p w14:paraId="67A43FD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.项目进度计划及保证措施、团队人员配备；</w:t>
            </w:r>
          </w:p>
          <w:p w14:paraId="24A7EC5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 xml:space="preserve">.安全管理措施、环境管理措施等。 </w:t>
            </w:r>
          </w:p>
          <w:p w14:paraId="053DF7A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各阶段工作划分明确衔接紧密，技术方案明确具体，保障措施先进且程序规范、措施有力</w:t>
            </w:r>
            <w:r>
              <w:rPr>
                <w:rFonts w:hint="eastAsia" w:ascii="Times New Roman" w:hAnsi="Times New Roman"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合理高效，逻辑结构清晰，针对性强，内容详尽的计</w:t>
            </w:r>
            <w:r>
              <w:rPr>
                <w:rFonts w:hint="eastAsia" w:cs="Times New Roman"/>
                <w:color w:val="auto"/>
                <w:spacing w:val="-2"/>
                <w:kern w:val="0"/>
                <w:sz w:val="20"/>
                <w:szCs w:val="20"/>
                <w:lang w:val="en-US" w:eastAsia="zh-CN"/>
              </w:rPr>
              <w:t>30</w:t>
            </w:r>
            <w:r>
              <w:rPr>
                <w:rFonts w:hint="default" w:ascii="Times New Roman" w:hAnsi="Times New Roman" w:cs="Times New Roman"/>
                <w:color w:val="auto"/>
                <w:spacing w:val="-2"/>
                <w:kern w:val="0"/>
                <w:sz w:val="20"/>
                <w:szCs w:val="20"/>
                <w:lang w:val="en-US" w:eastAsia="zh-CN"/>
              </w:rPr>
              <w:t>分；</w:t>
            </w:r>
          </w:p>
          <w:p w14:paraId="7CCBDE6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宋体" w:hAnsi="宋体" w:eastAsia="宋体" w:cs="宋体"/>
                <w:color w:val="auto"/>
                <w:sz w:val="20"/>
                <w:szCs w:val="22"/>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2</w:t>
            </w:r>
            <w:r>
              <w:rPr>
                <w:rFonts w:hint="default" w:ascii="Times New Roman" w:hAnsi="Times New Roman" w:cs="Times New Roman"/>
                <w:color w:val="auto"/>
                <w:spacing w:val="-2"/>
                <w:kern w:val="0"/>
                <w:sz w:val="20"/>
                <w:szCs w:val="20"/>
                <w:lang w:val="en-US" w:eastAsia="zh-CN"/>
              </w:rPr>
              <w:t>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6DBE780F">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3E20C5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22" w:hRule="atLeast"/>
          <w:jc w:val="center"/>
        </w:trPr>
        <w:tc>
          <w:tcPr>
            <w:tcW w:w="673" w:type="dxa"/>
            <w:tcBorders>
              <w:top w:val="single" w:color="auto" w:sz="4" w:space="0"/>
            </w:tcBorders>
            <w:noWrap w:val="0"/>
            <w:vAlign w:val="center"/>
          </w:tcPr>
          <w:p w14:paraId="4B299287">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215CC96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培训方案</w:t>
            </w:r>
          </w:p>
        </w:tc>
        <w:tc>
          <w:tcPr>
            <w:tcW w:w="7033" w:type="dxa"/>
            <w:tcBorders>
              <w:right w:val="single" w:color="auto" w:sz="4" w:space="0"/>
            </w:tcBorders>
            <w:noWrap w:val="0"/>
            <w:vAlign w:val="center"/>
          </w:tcPr>
          <w:p w14:paraId="791E8061">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投标人针对本项目，编制项目培训方案，对投标人培训计划进行综合评审，培训计划包括但不限于：</w:t>
            </w:r>
          </w:p>
          <w:p w14:paraId="6988F28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1.所提供设备的使用和保管培训等内容（系统性现场应用培训含基础理论、操作规范、基础故障排除等）；</w:t>
            </w:r>
          </w:p>
          <w:p w14:paraId="20A3D61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2.分阶段</w:t>
            </w:r>
            <w:r>
              <w:rPr>
                <w:rFonts w:hint="eastAsia" w:ascii="Times New Roman" w:hAnsi="Times New Roman" w:cs="Times New Roman"/>
                <w:color w:val="auto"/>
                <w:spacing w:val="-2"/>
                <w:kern w:val="0"/>
                <w:sz w:val="20"/>
                <w:szCs w:val="20"/>
                <w:lang w:val="en-US" w:eastAsia="zh-CN"/>
              </w:rPr>
              <w:t>实施</w:t>
            </w:r>
            <w:r>
              <w:rPr>
                <w:rFonts w:hint="default" w:ascii="Times New Roman" w:hAnsi="Times New Roman" w:cs="Times New Roman"/>
                <w:color w:val="auto"/>
                <w:spacing w:val="-2"/>
                <w:kern w:val="0"/>
                <w:sz w:val="20"/>
                <w:szCs w:val="20"/>
                <w:lang w:val="en-US" w:eastAsia="zh-CN"/>
              </w:rPr>
              <w:t>培训（含理论、实操、考核）、培训效果等；</w:t>
            </w:r>
          </w:p>
          <w:p w14:paraId="77F50FB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3.提供培训计划时间表（含培训课程及时间）</w:t>
            </w:r>
            <w:r>
              <w:rPr>
                <w:rFonts w:hint="eastAsia" w:ascii="Times New Roman" w:hAnsi="Times New Roman" w:cs="Times New Roman"/>
                <w:color w:val="auto"/>
                <w:spacing w:val="-2"/>
                <w:kern w:val="0"/>
                <w:sz w:val="20"/>
                <w:szCs w:val="20"/>
                <w:lang w:val="en-US" w:eastAsia="zh-CN"/>
              </w:rPr>
              <w:t>；</w:t>
            </w:r>
          </w:p>
          <w:p w14:paraId="7667EF57">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4.应急预案培训。</w:t>
            </w:r>
          </w:p>
          <w:p w14:paraId="0C20443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方案详细完整、思路清晰、可操作性强、符合项目实际情况需要的计</w:t>
            </w:r>
            <w:r>
              <w:rPr>
                <w:rFonts w:hint="eastAsia" w:ascii="Times New Roman" w:hAnsi="Times New Roman"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w:t>
            </w:r>
            <w:r>
              <w:rPr>
                <w:rFonts w:hint="eastAsia" w:ascii="Times New Roman" w:hAnsi="Times New Roman" w:cs="Times New Roman"/>
                <w:color w:val="auto"/>
                <w:spacing w:val="-2"/>
                <w:kern w:val="0"/>
                <w:sz w:val="20"/>
                <w:szCs w:val="20"/>
                <w:lang w:val="en-US" w:eastAsia="zh-CN"/>
              </w:rPr>
              <w:t>；</w:t>
            </w:r>
          </w:p>
          <w:p w14:paraId="04A3D77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个子项，每一个子项的分值为5分，每一个子项内容有缺漏的扣</w:t>
            </w:r>
            <w:r>
              <w:rPr>
                <w:rFonts w:hint="eastAsia" w:cs="Times New Roman"/>
                <w:color w:val="auto"/>
                <w:spacing w:val="-2"/>
                <w:kern w:val="0"/>
                <w:sz w:val="20"/>
                <w:szCs w:val="20"/>
                <w:lang w:val="en-US" w:eastAsia="zh-CN"/>
              </w:rPr>
              <w:t>2.5</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lang w:val="en-US" w:eastAsia="zh-CN"/>
              </w:rPr>
              <w:t>分，每一子项扣分不超过5分，扣完为止。</w:t>
            </w:r>
          </w:p>
        </w:tc>
        <w:tc>
          <w:tcPr>
            <w:tcW w:w="804" w:type="dxa"/>
            <w:tcBorders>
              <w:left w:val="single" w:color="auto" w:sz="4" w:space="0"/>
            </w:tcBorders>
            <w:noWrap w:val="0"/>
            <w:vAlign w:val="center"/>
          </w:tcPr>
          <w:p w14:paraId="7267331E">
            <w:pPr>
              <w:keepNext w:val="0"/>
              <w:keepLines w:val="0"/>
              <w:suppressLineNumbers w:val="0"/>
              <w:spacing w:before="0" w:beforeAutospacing="0" w:after="0" w:afterAutospacing="0" w:line="360" w:lineRule="exact"/>
              <w:ind w:left="625" w:leftChars="1" w:right="0" w:rightChars="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4AD8E9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 w:hRule="atLeast"/>
          <w:jc w:val="center"/>
        </w:trPr>
        <w:tc>
          <w:tcPr>
            <w:tcW w:w="673" w:type="dxa"/>
            <w:tcBorders>
              <w:top w:val="single" w:color="auto" w:sz="4" w:space="0"/>
            </w:tcBorders>
            <w:noWrap w:val="0"/>
            <w:vAlign w:val="center"/>
          </w:tcPr>
          <w:p w14:paraId="5D41142A">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3AB50DEE">
            <w:pPr>
              <w:widowControl/>
              <w:kinsoku w:val="0"/>
              <w:topLinePunct/>
              <w:adjustRightInd w:val="0"/>
              <w:snapToGrid w:val="0"/>
              <w:ind w:right="105" w:rightChars="50"/>
              <w:jc w:val="center"/>
              <w:rPr>
                <w:rFonts w:hint="eastAsia" w:ascii="宋体" w:hAnsi="宋体" w:eastAsia="宋体" w:cs="宋体"/>
                <w:color w:val="000000"/>
                <w:kern w:val="0"/>
                <w:szCs w:val="21"/>
                <w:lang w:val="en-US" w:eastAsia="zh-CN"/>
              </w:rPr>
            </w:pPr>
            <w:r>
              <w:rPr>
                <w:rFonts w:hint="eastAsia" w:ascii="Times New Roman" w:hAnsi="Times New Roman" w:cs="Times New Roman"/>
                <w:color w:val="auto"/>
                <w:spacing w:val="-2"/>
                <w:kern w:val="0"/>
                <w:szCs w:val="21"/>
                <w:lang w:val="en-US" w:eastAsia="zh-CN"/>
              </w:rPr>
              <w:t>售后服务方案</w:t>
            </w:r>
          </w:p>
        </w:tc>
        <w:tc>
          <w:tcPr>
            <w:tcW w:w="7033" w:type="dxa"/>
            <w:tcBorders>
              <w:right w:val="single" w:color="auto" w:sz="4" w:space="0"/>
            </w:tcBorders>
            <w:noWrap w:val="0"/>
            <w:vAlign w:val="top"/>
          </w:tcPr>
          <w:p w14:paraId="76C42998">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投标人针对本项目，编制项目售后服务方案，从完善售后服务的角度出发，对供应商提供的售后服务方案，包括但不限于：</w:t>
            </w:r>
          </w:p>
          <w:p w14:paraId="65453381">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1.售后服务体系；</w:t>
            </w:r>
          </w:p>
          <w:p w14:paraId="4D0B549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2.维修服务队伍及技术力量；</w:t>
            </w:r>
          </w:p>
          <w:p w14:paraId="2C2329EB">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3.备品备件储备情况和质保期外服务计划；</w:t>
            </w:r>
          </w:p>
          <w:p w14:paraId="6AD5940F">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4.维修响应时间及质量保证措施；</w:t>
            </w:r>
          </w:p>
          <w:p w14:paraId="23AD7AF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5.安全隐患及解决方案。</w:t>
            </w:r>
          </w:p>
          <w:p w14:paraId="0039ED9D">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方案内容完整、思路清晰、可操作性强、符合项目实际情况需要的计</w:t>
            </w:r>
            <w:r>
              <w:rPr>
                <w:rFonts w:hint="eastAsia" w:cs="Times New Roman"/>
                <w:color w:val="auto"/>
                <w:spacing w:val="-2"/>
                <w:kern w:val="0"/>
                <w:sz w:val="20"/>
                <w:szCs w:val="20"/>
                <w:lang w:val="en-US" w:eastAsia="zh-CN"/>
              </w:rPr>
              <w:t>30</w:t>
            </w:r>
            <w:r>
              <w:rPr>
                <w:rFonts w:hint="eastAsia" w:ascii="Times New Roman" w:hAnsi="Times New Roman" w:cs="Times New Roman"/>
                <w:color w:val="auto"/>
                <w:spacing w:val="-2"/>
                <w:kern w:val="0"/>
                <w:sz w:val="20"/>
                <w:szCs w:val="20"/>
                <w:lang w:val="en-US" w:eastAsia="zh-CN"/>
              </w:rPr>
              <w:t>分</w:t>
            </w:r>
          </w:p>
          <w:p w14:paraId="3EA0B4B7">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default" w:ascii="宋体" w:hAnsi="宋体" w:eastAsia="宋体"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本评审因素分为5个子项，每一个子项的分值为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方案粗略、不符合项目实际情况需要、缺乏操作性与实施可能性的扣2分，每一子项扣分不超过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1C2B076C">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09B915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9054" w:type="dxa"/>
            <w:gridSpan w:val="3"/>
            <w:tcBorders>
              <w:right w:val="single" w:color="auto" w:sz="4" w:space="0"/>
            </w:tcBorders>
            <w:noWrap w:val="0"/>
            <w:vAlign w:val="center"/>
          </w:tcPr>
          <w:p w14:paraId="0EDAF101">
            <w:pPr>
              <w:pStyle w:val="47"/>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合计</w:t>
            </w:r>
          </w:p>
        </w:tc>
        <w:tc>
          <w:tcPr>
            <w:tcW w:w="804" w:type="dxa"/>
            <w:tcBorders>
              <w:left w:val="single" w:color="auto" w:sz="4" w:space="0"/>
            </w:tcBorders>
            <w:noWrap w:val="0"/>
            <w:vAlign w:val="center"/>
          </w:tcPr>
          <w:p w14:paraId="2687BD53">
            <w:pPr>
              <w:pStyle w:val="47"/>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100分</w:t>
            </w:r>
          </w:p>
        </w:tc>
      </w:tr>
    </w:tbl>
    <w:p w14:paraId="7BC6C431">
      <w:pPr>
        <w:jc w:val="center"/>
        <w:rPr>
          <w:rFonts w:hint="eastAsia" w:ascii="宋体" w:hAnsi="宋体" w:eastAsia="宋体" w:cs="宋体"/>
          <w:b/>
          <w:bCs/>
          <w:sz w:val="28"/>
          <w:szCs w:val="28"/>
          <w:lang w:val="en-US" w:eastAsia="zh-CN"/>
        </w:rPr>
      </w:pPr>
    </w:p>
    <w:p w14:paraId="4FF42491">
      <w:pPr>
        <w:spacing w:line="240" w:lineRule="auto"/>
        <w:jc w:val="center"/>
        <w:rPr>
          <w:rFonts w:hint="eastAsia" w:ascii="宋体" w:hAnsi="宋体" w:eastAsia="宋体" w:cs="宋体"/>
          <w:b/>
          <w:lang w:eastAsia="zh-CN"/>
        </w:rPr>
      </w:pPr>
      <w:r>
        <w:rPr>
          <w:rFonts w:hint="eastAsia" w:ascii="宋体" w:hAnsi="宋体" w:cs="宋体"/>
          <w:b/>
          <w:bCs/>
          <w:sz w:val="28"/>
          <w:szCs w:val="28"/>
          <w:lang w:val="en-US" w:eastAsia="zh-CN"/>
        </w:rPr>
        <w:t>A3</w:t>
      </w:r>
      <w:r>
        <w:rPr>
          <w:rFonts w:hint="eastAsia" w:ascii="宋体" w:hAnsi="宋体" w:eastAsia="宋体" w:cs="宋体"/>
          <w:b/>
          <w:bCs/>
          <w:sz w:val="28"/>
          <w:szCs w:val="28"/>
          <w:lang w:val="en-US" w:eastAsia="zh-CN"/>
        </w:rPr>
        <w:t>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4A4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09" w:type="dxa"/>
            <w:noWrap w:val="0"/>
            <w:vAlign w:val="center"/>
          </w:tcPr>
          <w:p w14:paraId="0152D7E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3C21338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73032C53">
            <w:pPr>
              <w:keepNext w:val="0"/>
              <w:keepLines w:val="0"/>
              <w:suppressLineNumbers w:val="0"/>
              <w:adjustRightInd w:val="0"/>
              <w:snapToGrid w:val="0"/>
              <w:spacing w:before="156" w:beforeLines="5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pacing w:val="6"/>
                <w:szCs w:val="21"/>
              </w:rPr>
              <w:t>分值</w:t>
            </w:r>
          </w:p>
        </w:tc>
      </w:tr>
      <w:tr w14:paraId="2320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63587CD3">
            <w:pPr>
              <w:keepNext w:val="0"/>
              <w:keepLines w:val="0"/>
              <w:suppressLineNumbers w:val="0"/>
              <w:spacing w:before="0" w:beforeAutospacing="0" w:after="0" w:afterAutospacing="0" w:line="360" w:lineRule="exact"/>
              <w:ind w:left="0" w:leftChars="0" w:right="0" w:rightChars="0" w:firstLine="220" w:firstLineChars="100"/>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79D1518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pacing w:val="-2"/>
                <w:kern w:val="0"/>
                <w:sz w:val="20"/>
                <w:szCs w:val="20"/>
                <w:lang w:val="en-US" w:eastAsia="zh-CN"/>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5E9E5858">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投标人提供近3年（从</w:t>
            </w:r>
            <w:r>
              <w:rPr>
                <w:rFonts w:hint="eastAsia" w:cs="Times New Roman"/>
                <w:color w:val="auto"/>
                <w:spacing w:val="-2"/>
                <w:kern w:val="0"/>
                <w:sz w:val="20"/>
                <w:szCs w:val="20"/>
                <w:lang w:val="en-US" w:eastAsia="zh-CN"/>
              </w:rPr>
              <w:t>2023年8月21日</w:t>
            </w:r>
            <w:r>
              <w:rPr>
                <w:rFonts w:hint="eastAsia" w:ascii="Times New Roman" w:hAnsi="Times New Roman" w:cs="Times New Roman"/>
                <w:color w:val="auto"/>
                <w:spacing w:val="-2"/>
                <w:kern w:val="0"/>
                <w:sz w:val="20"/>
                <w:szCs w:val="20"/>
                <w:lang w:val="en-US" w:eastAsia="zh-CN"/>
              </w:rPr>
              <w:t>至投标截止时间）具有类似一体化（装配式）垃圾站项目业绩的，每提供一个计20分，满分40分。</w:t>
            </w:r>
          </w:p>
          <w:p w14:paraId="5019182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注：1.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01B5AF10">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eastAsia="宋体" w:cs="Times New Roman"/>
                <w:color w:val="auto"/>
                <w:spacing w:val="-2"/>
                <w:kern w:val="0"/>
                <w:sz w:val="20"/>
                <w:szCs w:val="20"/>
                <w:lang w:val="en-US" w:eastAsia="zh-CN" w:bidi="ar-SA"/>
              </w:rPr>
              <w:t>2.</w:t>
            </w:r>
            <w:r>
              <w:rPr>
                <w:rFonts w:hint="eastAsia" w:ascii="Times New Roman" w:hAnsi="Times New Roman" w:cs="Times New Roman"/>
                <w:color w:val="auto"/>
                <w:spacing w:val="-2"/>
                <w:kern w:val="0"/>
                <w:sz w:val="20"/>
                <w:szCs w:val="20"/>
                <w:lang w:val="en-US" w:eastAsia="zh-CN"/>
              </w:rPr>
              <w:t>本项业绩仅认可投标人自身作为合同签约主体（供货方或制造方）的履约记录。</w:t>
            </w:r>
          </w:p>
          <w:p w14:paraId="7671C514">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08DDEB0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5010CD74">
            <w:pPr>
              <w:keepNext w:val="0"/>
              <w:keepLines w:val="0"/>
              <w:suppressLineNumbers w:val="0"/>
              <w:spacing w:before="0" w:beforeAutospacing="0" w:after="0" w:afterAutospacing="0" w:line="360" w:lineRule="exact"/>
              <w:ind w:left="625" w:leftChars="1" w:right="0" w:rightChars="0" w:hanging="623" w:hangingChars="297"/>
              <w:jc w:val="center"/>
              <w:rPr>
                <w:rFonts w:hint="default" w:ascii="宋体" w:hAnsi="宋体" w:eastAsia="宋体" w:cs="宋体"/>
                <w:color w:val="auto"/>
                <w:lang w:val="en-US" w:eastAsia="zh-CN"/>
              </w:rPr>
            </w:pPr>
            <w:r>
              <w:rPr>
                <w:rFonts w:hint="eastAsia" w:ascii="宋体" w:hAnsi="宋体" w:cs="宋体"/>
                <w:color w:val="auto"/>
                <w:lang w:val="en-US" w:eastAsia="zh-CN"/>
              </w:rPr>
              <w:t>40</w:t>
            </w:r>
            <w:r>
              <w:rPr>
                <w:rFonts w:hint="eastAsia" w:ascii="宋体" w:hAnsi="宋体" w:eastAsia="宋体" w:cs="宋体"/>
                <w:color w:val="auto"/>
                <w:lang w:val="en-US" w:eastAsia="zh-CN"/>
              </w:rPr>
              <w:t>分</w:t>
            </w:r>
          </w:p>
        </w:tc>
      </w:tr>
      <w:tr w14:paraId="7D7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06C7FE92">
            <w:pPr>
              <w:keepNext w:val="0"/>
              <w:keepLines w:val="0"/>
              <w:suppressLineNumbers w:val="0"/>
              <w:spacing w:before="0" w:beforeAutospacing="0" w:after="0" w:afterAutospacing="0"/>
              <w:ind w:left="0" w:leftChars="0" w:right="0" w:rightChars="0"/>
              <w:jc w:val="center"/>
              <w:rPr>
                <w:rFonts w:hint="default" w:ascii="宋体" w:hAnsi="宋体" w:cs="宋体"/>
                <w:sz w:val="22"/>
                <w:lang w:val="en-US" w:eastAsia="zh-CN"/>
              </w:rPr>
            </w:pPr>
            <w:r>
              <w:rPr>
                <w:rFonts w:hint="eastAsia" w:ascii="宋体" w:hAnsi="宋体" w:cs="宋体"/>
                <w:sz w:val="22"/>
                <w:lang w:val="en-US" w:eastAsia="zh-CN"/>
              </w:rPr>
              <w:t>2</w:t>
            </w:r>
          </w:p>
        </w:tc>
        <w:tc>
          <w:tcPr>
            <w:tcW w:w="1310" w:type="dxa"/>
            <w:noWrap w:val="0"/>
            <w:vAlign w:val="center"/>
          </w:tcPr>
          <w:p w14:paraId="0A993BC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pacing w:val="-2"/>
                <w:kern w:val="0"/>
                <w:sz w:val="20"/>
                <w:szCs w:val="20"/>
                <w:lang w:val="en-US" w:eastAsia="zh-CN"/>
              </w:rPr>
            </w:pPr>
            <w:r>
              <w:rPr>
                <w:rFonts w:hint="eastAsia" w:ascii="宋体" w:hAnsi="宋体" w:cs="宋体"/>
                <w:i w:val="0"/>
                <w:color w:val="auto"/>
                <w:kern w:val="0"/>
                <w:sz w:val="21"/>
                <w:szCs w:val="24"/>
                <w:highlight w:val="none"/>
                <w:u w:val="none"/>
                <w:lang w:val="en-US" w:eastAsia="zh-CN" w:bidi="ar"/>
              </w:rPr>
              <w:t>企业实力</w:t>
            </w:r>
          </w:p>
        </w:tc>
        <w:tc>
          <w:tcPr>
            <w:tcW w:w="7083" w:type="dxa"/>
            <w:noWrap w:val="0"/>
            <w:vAlign w:val="center"/>
          </w:tcPr>
          <w:p w14:paraId="29EB651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投标人企业提供有效期内的ISO14001环境管理体系认证证书、ISO45001职业健康安全管理体系认证证书、ISO9001质量管理体系认证证书，一个计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分，本项最高计</w:t>
            </w:r>
            <w:r>
              <w:rPr>
                <w:rFonts w:hint="eastAsia" w:cs="Times New Roman"/>
                <w:color w:val="auto"/>
                <w:spacing w:val="-2"/>
                <w:kern w:val="0"/>
                <w:sz w:val="20"/>
                <w:szCs w:val="20"/>
                <w:lang w:val="en-US" w:eastAsia="zh-CN"/>
              </w:rPr>
              <w:t>60</w:t>
            </w:r>
            <w:r>
              <w:rPr>
                <w:rFonts w:hint="default" w:ascii="Times New Roman" w:hAnsi="Times New Roman" w:cs="Times New Roman"/>
                <w:color w:val="auto"/>
                <w:spacing w:val="-2"/>
                <w:kern w:val="0"/>
                <w:sz w:val="20"/>
                <w:szCs w:val="20"/>
                <w:lang w:val="en-US" w:eastAsia="zh-CN"/>
              </w:rPr>
              <w:t>分，未提供不得分。</w:t>
            </w:r>
          </w:p>
          <w:p w14:paraId="488E0C0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注：提供全国认证认可信息公共服务平台查询截图及在有效期内证书并加盖公章，未提供不得分。</w:t>
            </w:r>
          </w:p>
        </w:tc>
        <w:tc>
          <w:tcPr>
            <w:tcW w:w="777" w:type="dxa"/>
            <w:noWrap w:val="0"/>
            <w:vAlign w:val="center"/>
          </w:tcPr>
          <w:p w14:paraId="711378A1">
            <w:pPr>
              <w:pStyle w:val="50"/>
              <w:keepNext w:val="0"/>
              <w:keepLines w:val="0"/>
              <w:suppressLineNumbers w:val="0"/>
              <w:spacing w:before="0" w:beforeAutospacing="0" w:after="0" w:afterAutospacing="0"/>
              <w:ind w:left="0" w:leftChars="0" w:right="0" w:rightChars="0" w:firstLine="0" w:firstLineChars="0"/>
              <w:jc w:val="center"/>
              <w:rPr>
                <w:rFonts w:hint="default" w:ascii="宋体" w:hAnsi="宋体" w:cs="宋体"/>
                <w:lang w:val="en-US" w:eastAsia="zh-CN"/>
              </w:rPr>
            </w:pPr>
            <w:r>
              <w:rPr>
                <w:rFonts w:hint="eastAsia" w:ascii="宋体" w:hAnsi="宋体" w:cs="宋体"/>
                <w:lang w:val="en-US" w:eastAsia="zh-CN"/>
              </w:rPr>
              <w:t>60分</w:t>
            </w:r>
          </w:p>
        </w:tc>
      </w:tr>
      <w:tr w14:paraId="5A8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518E932A">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D73CE3C">
            <w:pPr>
              <w:keepNext w:val="0"/>
              <w:keepLines w:val="0"/>
              <w:suppressLineNumbers w:val="0"/>
              <w:spacing w:before="0" w:beforeAutospacing="0" w:after="0" w:afterAutospacing="0" w:line="340" w:lineRule="exact"/>
              <w:ind w:left="0" w:leftChars="0" w:right="0" w:rightChars="0"/>
              <w:jc w:val="center"/>
              <w:rPr>
                <w:rFonts w:hint="default" w:ascii="宋体" w:hAnsi="宋体" w:eastAsia="宋体" w:cs="宋体"/>
                <w:lang w:val="en-US" w:eastAsia="zh-CN"/>
              </w:rPr>
            </w:pPr>
            <w:r>
              <w:rPr>
                <w:rFonts w:hint="eastAsia" w:ascii="宋体" w:hAnsi="宋体" w:cs="宋体"/>
                <w:lang w:val="en-US" w:eastAsia="zh-CN"/>
              </w:rPr>
              <w:t>100分</w:t>
            </w:r>
          </w:p>
        </w:tc>
      </w:tr>
    </w:tbl>
    <w:p w14:paraId="50BEF6D6">
      <w:pPr>
        <w:jc w:val="center"/>
        <w:rPr>
          <w:rFonts w:hint="eastAsia" w:ascii="宋体" w:hAnsi="宋体" w:eastAsia="宋体" w:cs="宋体"/>
          <w:b/>
          <w:bCs/>
          <w:sz w:val="28"/>
          <w:szCs w:val="28"/>
        </w:rPr>
      </w:pPr>
    </w:p>
    <w:p w14:paraId="220AC451">
      <w:pPr>
        <w:jc w:val="center"/>
        <w:rPr>
          <w:rFonts w:hint="eastAsia" w:ascii="宋体" w:hAnsi="宋体" w:eastAsia="宋体" w:cs="宋体"/>
          <w:b/>
          <w:bCs/>
          <w:sz w:val="28"/>
          <w:szCs w:val="28"/>
        </w:rPr>
      </w:pPr>
    </w:p>
    <w:p w14:paraId="6FF922F9">
      <w:pPr>
        <w:jc w:val="center"/>
        <w:rPr>
          <w:rFonts w:hint="eastAsia" w:ascii="宋体" w:hAnsi="宋体" w:eastAsia="宋体" w:cs="宋体"/>
          <w:b/>
          <w:bCs/>
          <w:sz w:val="28"/>
          <w:szCs w:val="28"/>
        </w:rPr>
      </w:pPr>
    </w:p>
    <w:p w14:paraId="2C9CDC8F">
      <w:pPr>
        <w:jc w:val="center"/>
        <w:rPr>
          <w:rFonts w:hint="eastAsia" w:ascii="宋体" w:hAnsi="宋体" w:eastAsia="宋体" w:cs="宋体"/>
          <w:b/>
          <w:bCs/>
          <w:sz w:val="28"/>
          <w:szCs w:val="28"/>
        </w:rPr>
      </w:pPr>
      <w:r>
        <w:rPr>
          <w:rFonts w:hint="eastAsia" w:ascii="宋体" w:hAnsi="宋体" w:eastAsia="宋体" w:cs="宋体"/>
          <w:b/>
          <w:bCs/>
          <w:sz w:val="28"/>
          <w:szCs w:val="28"/>
        </w:rPr>
        <w:t>其他</w:t>
      </w:r>
    </w:p>
    <w:p w14:paraId="658A1505">
      <w:pPr>
        <w:jc w:val="center"/>
        <w:rPr>
          <w:rFonts w:hint="eastAsia" w:ascii="宋体" w:hAnsi="宋体" w:eastAsia="宋体" w:cs="宋体"/>
        </w:rPr>
      </w:pPr>
      <w:r>
        <w:rPr>
          <w:rFonts w:hint="eastAsia" w:ascii="宋体" w:hAnsi="宋体" w:eastAsia="宋体" w:cs="宋体"/>
        </w:rPr>
        <w:t>★条款汇总</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6485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39" w:type="dxa"/>
            <w:noWrap w:val="0"/>
            <w:vAlign w:val="top"/>
          </w:tcPr>
          <w:p w14:paraId="412B4D95">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4B571792">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1E9C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7F0ED492">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rPr>
            </w:pPr>
            <w:r>
              <w:rPr>
                <w:rFonts w:hint="eastAsia" w:ascii="宋体" w:hAnsi="宋体" w:cs="宋体"/>
                <w:sz w:val="24"/>
                <w:szCs w:val="24"/>
                <w:lang w:val="en-US" w:eastAsia="zh-CN"/>
              </w:rPr>
              <w:t>1</w:t>
            </w:r>
          </w:p>
        </w:tc>
        <w:tc>
          <w:tcPr>
            <w:tcW w:w="6592" w:type="dxa"/>
            <w:noWrap w:val="0"/>
            <w:vAlign w:val="top"/>
          </w:tcPr>
          <w:p w14:paraId="0CB39919">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u w:val="single"/>
              </w:rPr>
            </w:pPr>
            <w:r>
              <w:rPr>
                <w:rFonts w:hint="eastAsia" w:ascii="宋体" w:hAnsi="宋体" w:eastAsia="宋体" w:cs="宋体"/>
                <w:color w:val="auto"/>
                <w:spacing w:val="7"/>
                <w:kern w:val="2"/>
                <w:sz w:val="21"/>
                <w:szCs w:val="21"/>
                <w:vertAlign w:val="baseline"/>
                <w:lang w:val="en-US" w:eastAsia="zh-CN" w:bidi="ar-SA"/>
              </w:rPr>
              <w:t>安装形式：装配式</w:t>
            </w:r>
          </w:p>
        </w:tc>
      </w:tr>
      <w:tr w14:paraId="6897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5664EAE1">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C90F5A8">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76DD20C8">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2922C393">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1EEEDBB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269ADC9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供应商</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的综合得分为：所有磋商小组成员对其的评标的综合得分；</w:t>
      </w:r>
    </w:p>
    <w:p w14:paraId="554032D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p>
    <w:p w14:paraId="038EA8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2F43E8E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6F664AF">
      <w:pPr>
        <w:rPr>
          <w:b/>
          <w:vanish/>
        </w:rPr>
      </w:pPr>
    </w:p>
    <w:p w14:paraId="26A5CA4E">
      <w:pPr>
        <w:snapToGrid w:val="0"/>
        <w:spacing w:line="360" w:lineRule="auto"/>
        <w:jc w:val="center"/>
        <w:rPr>
          <w:rFonts w:hint="eastAsia" w:ascii="黑体" w:hAnsi="黑体" w:eastAsia="黑体" w:cs="华文中宋"/>
          <w:b/>
          <w:sz w:val="32"/>
          <w:szCs w:val="32"/>
        </w:rPr>
      </w:pPr>
      <w:bookmarkStart w:id="18" w:name="__RefHeading___Toc9540_WPSOffice_Level1"/>
      <w:bookmarkEnd w:id="18"/>
    </w:p>
    <w:p w14:paraId="69F06B68">
      <w:pPr>
        <w:snapToGrid w:val="0"/>
        <w:spacing w:line="360" w:lineRule="auto"/>
        <w:jc w:val="center"/>
        <w:rPr>
          <w:rFonts w:hint="eastAsia" w:ascii="黑体" w:hAnsi="黑体" w:eastAsia="黑体" w:cs="华文中宋"/>
          <w:b/>
          <w:sz w:val="32"/>
          <w:szCs w:val="32"/>
        </w:rPr>
      </w:pPr>
    </w:p>
    <w:p w14:paraId="3E8B4758">
      <w:pPr>
        <w:snapToGrid w:val="0"/>
        <w:spacing w:line="360" w:lineRule="auto"/>
        <w:jc w:val="center"/>
        <w:rPr>
          <w:rFonts w:hint="eastAsia" w:ascii="黑体" w:hAnsi="黑体" w:eastAsia="黑体" w:cs="华文中宋"/>
          <w:b/>
          <w:sz w:val="32"/>
          <w:szCs w:val="32"/>
        </w:rPr>
      </w:pPr>
    </w:p>
    <w:p w14:paraId="2897A647">
      <w:pPr>
        <w:snapToGrid w:val="0"/>
        <w:spacing w:line="360" w:lineRule="auto"/>
        <w:jc w:val="center"/>
        <w:rPr>
          <w:rFonts w:hint="eastAsia" w:ascii="黑体" w:hAnsi="黑体" w:eastAsia="黑体" w:cs="华文中宋"/>
          <w:b/>
          <w:sz w:val="32"/>
          <w:szCs w:val="32"/>
        </w:rPr>
      </w:pPr>
    </w:p>
    <w:p w14:paraId="76027BFC">
      <w:pPr>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第五章</w:t>
      </w:r>
      <w:bookmarkStart w:id="19"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20"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岳阳县城乡垃圾收转运一体化建设项目（智慧一体化垃圾中转站政府采购项目）2026年</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3,617,700.00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3,617,700.00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岳阳县城乡垃圾收转运一体化建设项目（智慧一体化垃圾中转站政府采购项目）2026年</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70870621">
      <w:pPr>
        <w:tabs>
          <w:tab w:val="left" w:pos="360"/>
        </w:tabs>
        <w:spacing w:line="360" w:lineRule="auto"/>
        <w:ind w:left="907" w:leftChars="0" w:hanging="687" w:firstLineChars="0"/>
        <w:textAlignment w:val="center"/>
        <w:rPr>
          <w:rFonts w:hint="eastAsia" w:ascii="宋体" w:hAnsi="宋体" w:eastAsia="宋体" w:cs="宋体"/>
          <w:b/>
          <w:bCs/>
          <w:color w:val="auto"/>
          <w:spacing w:val="7"/>
          <w:sz w:val="24"/>
          <w:szCs w:val="24"/>
          <w:lang w:eastAsia="zh-CN"/>
        </w:rPr>
      </w:pPr>
      <w:r>
        <w:rPr>
          <w:rFonts w:hint="eastAsia" w:ascii="宋体" w:hAnsi="宋体" w:eastAsia="宋体" w:cs="宋体"/>
          <w:b w:val="0"/>
          <w:bCs/>
          <w:color w:val="auto"/>
          <w:kern w:val="2"/>
          <w:sz w:val="24"/>
          <w:szCs w:val="24"/>
          <w:highlight w:val="none"/>
          <w:lang w:val="en-US" w:eastAsia="zh-CN" w:bidi="ar-SA"/>
        </w:rPr>
        <w:t>1.6交货日期：</w:t>
      </w:r>
      <w:r>
        <w:rPr>
          <w:rFonts w:hint="eastAsia" w:ascii="宋体" w:hAnsi="宋体" w:cs="宋体"/>
          <w:b w:val="0"/>
          <w:bCs/>
          <w:color w:val="auto"/>
          <w:kern w:val="2"/>
          <w:sz w:val="24"/>
          <w:szCs w:val="24"/>
          <w:highlight w:val="none"/>
          <w:lang w:val="en-US" w:eastAsia="zh-CN" w:bidi="ar-SA"/>
        </w:rPr>
        <w:t>合同签订后40日历天内全部交货、安装调试并验收合格。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677"/>
        <w:gridCol w:w="6150"/>
        <w:gridCol w:w="723"/>
        <w:gridCol w:w="730"/>
      </w:tblGrid>
      <w:tr w14:paraId="4247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FB90176">
            <w:pPr>
              <w:spacing w:before="101" w:line="232" w:lineRule="auto"/>
              <w:jc w:val="center"/>
              <w:outlineLvl w:val="1"/>
              <w:rPr>
                <w:rFonts w:hint="default" w:ascii="宋体" w:hAnsi="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序号</w:t>
            </w:r>
          </w:p>
        </w:tc>
        <w:tc>
          <w:tcPr>
            <w:tcW w:w="1677" w:type="dxa"/>
            <w:noWrap w:val="0"/>
            <w:vAlign w:val="center"/>
          </w:tcPr>
          <w:p w14:paraId="6EAB62D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设备</w:t>
            </w:r>
            <w:r>
              <w:rPr>
                <w:rFonts w:hint="eastAsia" w:ascii="宋体" w:hAnsi="宋体" w:eastAsia="宋体" w:cs="宋体"/>
                <w:color w:val="auto"/>
                <w:spacing w:val="7"/>
                <w:sz w:val="21"/>
                <w:szCs w:val="21"/>
                <w:vertAlign w:val="baseline"/>
                <w:lang w:eastAsia="zh-CN"/>
              </w:rPr>
              <w:t>名称</w:t>
            </w:r>
          </w:p>
        </w:tc>
        <w:tc>
          <w:tcPr>
            <w:tcW w:w="6150" w:type="dxa"/>
            <w:noWrap w:val="0"/>
            <w:vAlign w:val="center"/>
          </w:tcPr>
          <w:p w14:paraId="1E9B833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eastAsia="zh-CN"/>
              </w:rPr>
              <w:t>技术</w:t>
            </w:r>
            <w:r>
              <w:rPr>
                <w:rFonts w:hint="eastAsia" w:ascii="宋体" w:hAnsi="宋体" w:cs="宋体"/>
                <w:color w:val="auto"/>
                <w:spacing w:val="7"/>
                <w:sz w:val="21"/>
                <w:szCs w:val="21"/>
                <w:vertAlign w:val="baseline"/>
                <w:lang w:val="en-US" w:eastAsia="zh-CN"/>
              </w:rPr>
              <w:t>规格</w:t>
            </w:r>
            <w:r>
              <w:rPr>
                <w:rFonts w:hint="eastAsia" w:ascii="宋体" w:hAnsi="宋体" w:eastAsia="宋体" w:cs="宋体"/>
                <w:color w:val="auto"/>
                <w:spacing w:val="7"/>
                <w:sz w:val="21"/>
                <w:szCs w:val="21"/>
                <w:vertAlign w:val="baseline"/>
                <w:lang w:eastAsia="zh-CN"/>
              </w:rPr>
              <w:t>参数</w:t>
            </w:r>
          </w:p>
        </w:tc>
        <w:tc>
          <w:tcPr>
            <w:tcW w:w="723" w:type="dxa"/>
            <w:noWrap w:val="0"/>
            <w:vAlign w:val="center"/>
          </w:tcPr>
          <w:p w14:paraId="5A27556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单位</w:t>
            </w:r>
          </w:p>
        </w:tc>
        <w:tc>
          <w:tcPr>
            <w:tcW w:w="730" w:type="dxa"/>
            <w:noWrap w:val="0"/>
            <w:vAlign w:val="center"/>
          </w:tcPr>
          <w:p w14:paraId="217F7AE4">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数量</w:t>
            </w:r>
          </w:p>
        </w:tc>
      </w:tr>
      <w:tr w14:paraId="1671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D724DD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w:t>
            </w:r>
          </w:p>
        </w:tc>
        <w:tc>
          <w:tcPr>
            <w:tcW w:w="1677" w:type="dxa"/>
            <w:noWrap w:val="0"/>
            <w:vAlign w:val="center"/>
          </w:tcPr>
          <w:p w14:paraId="5CC6269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 xml:space="preserve">装配式多功能外防护设施 </w:t>
            </w:r>
          </w:p>
        </w:tc>
        <w:tc>
          <w:tcPr>
            <w:tcW w:w="6150" w:type="dxa"/>
            <w:noWrap w:val="0"/>
            <w:vAlign w:val="center"/>
          </w:tcPr>
          <w:p w14:paraId="6058810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主框架技术参数：</w:t>
            </w:r>
          </w:p>
          <w:p w14:paraId="3715A19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★安装形式：装配式；</w:t>
            </w:r>
          </w:p>
          <w:p w14:paraId="17E268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外形尺寸（长 mm×宽 mm×高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9</w:t>
            </w:r>
            <w:r>
              <w:rPr>
                <w:rFonts w:hint="eastAsia" w:ascii="宋体" w:hAnsi="宋体" w:cs="宋体"/>
                <w:color w:val="auto"/>
                <w:spacing w:val="7"/>
                <w:kern w:val="2"/>
                <w:sz w:val="21"/>
                <w:szCs w:val="21"/>
                <w:vertAlign w:val="baseline"/>
                <w:lang w:val="en-US" w:eastAsia="zh-CN" w:bidi="ar-SA"/>
              </w:rPr>
              <w:t>000</w:t>
            </w:r>
            <w:r>
              <w:rPr>
                <w:rFonts w:hint="eastAsia" w:ascii="宋体" w:hAnsi="宋体" w:eastAsia="宋体" w:cs="宋体"/>
                <w:color w:val="auto"/>
                <w:spacing w:val="7"/>
                <w:kern w:val="2"/>
                <w:sz w:val="21"/>
                <w:szCs w:val="21"/>
                <w:vertAlign w:val="baseline"/>
                <w:lang w:val="en-US" w:eastAsia="zh-CN" w:bidi="ar-SA"/>
              </w:rPr>
              <w:t>×5000×6500</w:t>
            </w:r>
            <w:r>
              <w:rPr>
                <w:rFonts w:hint="eastAsia" w:ascii="宋体" w:hAnsi="宋体" w:cs="宋体"/>
                <w:color w:val="auto"/>
                <w:spacing w:val="7"/>
                <w:kern w:val="2"/>
                <w:sz w:val="21"/>
                <w:szCs w:val="21"/>
                <w:vertAlign w:val="baseline"/>
                <w:lang w:val="en-US" w:eastAsia="zh-CN" w:bidi="ar-SA"/>
              </w:rPr>
              <w:t>需</w:t>
            </w:r>
            <w:r>
              <w:rPr>
                <w:rFonts w:hint="eastAsia" w:ascii="宋体" w:hAnsi="宋体" w:eastAsia="宋体" w:cs="宋体"/>
                <w:color w:val="auto"/>
                <w:spacing w:val="7"/>
                <w:kern w:val="2"/>
                <w:sz w:val="21"/>
                <w:szCs w:val="21"/>
                <w:vertAlign w:val="baseline"/>
                <w:lang w:val="en-US" w:eastAsia="zh-CN" w:bidi="ar-SA"/>
              </w:rPr>
              <w:t>包含雨棚尺寸；</w:t>
            </w:r>
          </w:p>
          <w:p w14:paraId="5A32213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转帘门：≥4800（高度）* 3600（宽度） 材质坚固，耐用，耐腐蚀；</w:t>
            </w:r>
          </w:p>
          <w:p w14:paraId="128E94C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骨架材料：Q235；</w:t>
            </w:r>
          </w:p>
          <w:p w14:paraId="52FF829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钣金材料：</w:t>
            </w:r>
            <w:r>
              <w:rPr>
                <w:rFonts w:hint="eastAsia" w:ascii="宋体" w:hAnsi="宋体" w:cs="宋体"/>
                <w:color w:val="auto"/>
                <w:spacing w:val="7"/>
                <w:kern w:val="2"/>
                <w:sz w:val="21"/>
                <w:szCs w:val="21"/>
                <w:vertAlign w:val="baseline"/>
                <w:lang w:val="en-US" w:eastAsia="zh-CN" w:bidi="ar-SA"/>
              </w:rPr>
              <w:t>铝单板</w:t>
            </w:r>
            <w:r>
              <w:rPr>
                <w:rFonts w:hint="eastAsia" w:ascii="宋体" w:hAnsi="宋体" w:eastAsia="宋体" w:cs="宋体"/>
                <w:color w:val="auto"/>
                <w:spacing w:val="7"/>
                <w:kern w:val="2"/>
                <w:sz w:val="21"/>
                <w:szCs w:val="21"/>
                <w:vertAlign w:val="baseline"/>
                <w:lang w:val="en-US" w:eastAsia="zh-CN" w:bidi="ar-SA"/>
              </w:rPr>
              <w:t>；</w:t>
            </w:r>
          </w:p>
          <w:p w14:paraId="3CBF3BF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防护钣金厚度：</w:t>
            </w:r>
            <w:r>
              <w:rPr>
                <w:rFonts w:hint="eastAsia" w:ascii="宋体" w:hAnsi="宋体" w:cs="宋体"/>
                <w:color w:val="auto"/>
                <w:spacing w:val="7"/>
                <w:kern w:val="2"/>
                <w:sz w:val="21"/>
                <w:szCs w:val="21"/>
                <w:vertAlign w:val="baseline"/>
                <w:lang w:val="en-US" w:eastAsia="zh-CN" w:bidi="ar-SA"/>
              </w:rPr>
              <w:t>铝单板/t2.0</w:t>
            </w:r>
            <w:r>
              <w:rPr>
                <w:rFonts w:hint="eastAsia" w:ascii="宋体" w:hAnsi="宋体" w:eastAsia="宋体" w:cs="宋体"/>
                <w:color w:val="auto"/>
                <w:spacing w:val="7"/>
                <w:kern w:val="2"/>
                <w:sz w:val="21"/>
                <w:szCs w:val="21"/>
                <w:vertAlign w:val="baseline"/>
                <w:lang w:val="en-US" w:eastAsia="zh-CN" w:bidi="ar-SA"/>
              </w:rPr>
              <w:t>；</w:t>
            </w:r>
          </w:p>
          <w:p w14:paraId="564BCF1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外防护钣金工艺：钣金烤漆工艺；</w:t>
            </w:r>
          </w:p>
          <w:p w14:paraId="7065AC1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支撑立柱型材：矩形钢120×80×4及方钢160×</w:t>
            </w:r>
            <w:r>
              <w:rPr>
                <w:rFonts w:hint="eastAsia" w:ascii="宋体" w:hAnsi="宋体" w:cs="宋体"/>
                <w:color w:val="auto"/>
                <w:spacing w:val="7"/>
                <w:kern w:val="2"/>
                <w:sz w:val="21"/>
                <w:szCs w:val="21"/>
                <w:vertAlign w:val="baseline"/>
                <w:lang w:val="en-US" w:eastAsia="zh-CN" w:bidi="ar-SA"/>
              </w:rPr>
              <w:t>160</w:t>
            </w:r>
            <w:r>
              <w:rPr>
                <w:rFonts w:hint="eastAsia" w:ascii="宋体" w:hAnsi="宋体" w:eastAsia="宋体" w:cs="宋体"/>
                <w:color w:val="auto"/>
                <w:spacing w:val="7"/>
                <w:kern w:val="2"/>
                <w:sz w:val="21"/>
                <w:szCs w:val="21"/>
                <w:vertAlign w:val="baseline"/>
                <w:lang w:val="en-US" w:eastAsia="zh-CN" w:bidi="ar-SA"/>
              </w:rPr>
              <w:t>×6；</w:t>
            </w:r>
          </w:p>
          <w:p w14:paraId="736DF34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外防护玻璃幕墙：黑色钢化彩釉玻璃（厚</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10mm）；</w:t>
            </w:r>
          </w:p>
          <w:p w14:paraId="5505938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宣传广告灯箱：卡布灯箱</w:t>
            </w:r>
            <w:r>
              <w:rPr>
                <w:rFonts w:hint="eastAsia" w:ascii="宋体" w:hAnsi="宋体" w:cs="宋体"/>
                <w:color w:val="auto"/>
                <w:spacing w:val="7"/>
                <w:kern w:val="2"/>
                <w:sz w:val="21"/>
                <w:szCs w:val="21"/>
                <w:vertAlign w:val="baseline"/>
                <w:lang w:val="en-US" w:eastAsia="zh-CN" w:bidi="ar-SA"/>
              </w:rPr>
              <w:t>（mm）≥</w:t>
            </w:r>
            <w:r>
              <w:rPr>
                <w:rFonts w:hint="eastAsia" w:ascii="宋体" w:hAnsi="宋体" w:eastAsia="宋体" w:cs="宋体"/>
                <w:color w:val="auto"/>
                <w:spacing w:val="7"/>
                <w:kern w:val="2"/>
                <w:sz w:val="21"/>
                <w:szCs w:val="21"/>
                <w:vertAlign w:val="baseline"/>
                <w:lang w:val="en-US" w:eastAsia="zh-CN" w:bidi="ar-SA"/>
              </w:rPr>
              <w:t>3860×2160。</w:t>
            </w:r>
          </w:p>
        </w:tc>
        <w:tc>
          <w:tcPr>
            <w:tcW w:w="723" w:type="dxa"/>
            <w:noWrap w:val="0"/>
            <w:vAlign w:val="center"/>
          </w:tcPr>
          <w:p w14:paraId="23D08C9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404DEC9">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0B34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A74BE1D">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2</w:t>
            </w:r>
          </w:p>
        </w:tc>
        <w:tc>
          <w:tcPr>
            <w:tcW w:w="1677" w:type="dxa"/>
            <w:noWrap w:val="0"/>
            <w:vAlign w:val="center"/>
          </w:tcPr>
          <w:p w14:paraId="091DD62F">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垃圾压缩主机</w:t>
            </w:r>
          </w:p>
        </w:tc>
        <w:tc>
          <w:tcPr>
            <w:tcW w:w="6150" w:type="dxa"/>
            <w:noWrap w:val="0"/>
            <w:vAlign w:val="center"/>
          </w:tcPr>
          <w:p w14:paraId="72A4E2E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压缩形式：地上固定式水平压缩；</w:t>
            </w:r>
          </w:p>
          <w:p w14:paraId="1D85841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箱体容积（m3）：</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8；</w:t>
            </w:r>
          </w:p>
          <w:p w14:paraId="153A174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压缩力（t）：≥70；</w:t>
            </w:r>
          </w:p>
          <w:p w14:paraId="070A1AB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垃圾块密实度（t/m³）≥</w:t>
            </w:r>
            <w:r>
              <w:rPr>
                <w:rFonts w:hint="eastAsia" w:ascii="宋体" w:hAnsi="宋体" w:cs="宋体"/>
                <w:color w:val="auto"/>
                <w:spacing w:val="7"/>
                <w:kern w:val="2"/>
                <w:sz w:val="21"/>
                <w:szCs w:val="21"/>
                <w:vertAlign w:val="baseline"/>
                <w:lang w:val="en-US" w:eastAsia="zh-CN" w:bidi="ar-SA"/>
              </w:rPr>
              <w:t>0.7</w:t>
            </w:r>
            <w:r>
              <w:rPr>
                <w:rFonts w:hint="eastAsia" w:ascii="宋体" w:hAnsi="宋体" w:eastAsia="宋体" w:cs="宋体"/>
                <w:color w:val="auto"/>
                <w:spacing w:val="7"/>
                <w:kern w:val="2"/>
                <w:sz w:val="21"/>
                <w:szCs w:val="21"/>
                <w:vertAlign w:val="baseline"/>
                <w:lang w:val="en-US" w:eastAsia="zh-CN" w:bidi="ar-SA"/>
              </w:rPr>
              <w:t>；</w:t>
            </w:r>
          </w:p>
          <w:p w14:paraId="7508733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料斗容积（m3）：≥4；</w:t>
            </w:r>
          </w:p>
          <w:p w14:paraId="1B5E3FD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中转仓有效容积（m3）：≥6；</w:t>
            </w:r>
          </w:p>
          <w:p w14:paraId="1F6147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外形尺寸（长 mm×宽 mm×高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6600×2000×1420；</w:t>
            </w:r>
          </w:p>
          <w:p w14:paraId="4722D69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箱体进料口尺寸（长 mm×宽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800×1800；</w:t>
            </w:r>
          </w:p>
          <w:p w14:paraId="64855A6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压缩箱体底板（mm）：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Q345B/t8；</w:t>
            </w:r>
          </w:p>
          <w:p w14:paraId="2179D10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压缩箱体侧板（mm）：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Q345B/t6；</w:t>
            </w:r>
          </w:p>
          <w:p w14:paraId="034C904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压缩箱体顶板（mm）：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Q345B/t6；</w:t>
            </w:r>
          </w:p>
          <w:p w14:paraId="1395506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日处理能力（m³</w:t>
            </w:r>
            <w:r>
              <w:rPr>
                <w:rFonts w:hint="eastAsia" w:ascii="宋体" w:hAnsi="宋体" w:cs="宋体"/>
                <w:color w:val="auto"/>
                <w:spacing w:val="7"/>
                <w:kern w:val="2"/>
                <w:sz w:val="21"/>
                <w:szCs w:val="21"/>
                <w:vertAlign w:val="baseline"/>
                <w:lang w:val="en-US" w:eastAsia="zh-CN" w:bidi="ar-SA"/>
              </w:rPr>
              <w:t>/d</w:t>
            </w:r>
            <w:r>
              <w:rPr>
                <w:rFonts w:hint="eastAsia" w:ascii="宋体" w:hAnsi="宋体" w:eastAsia="宋体" w:cs="宋体"/>
                <w:color w:val="auto"/>
                <w:spacing w:val="7"/>
                <w:kern w:val="2"/>
                <w:sz w:val="21"/>
                <w:szCs w:val="21"/>
                <w:vertAlign w:val="baseline"/>
                <w:lang w:val="en-US" w:eastAsia="zh-CN" w:bidi="ar-SA"/>
              </w:rPr>
              <w:t>） ： ≥30；</w:t>
            </w:r>
          </w:p>
          <w:p w14:paraId="15A62A8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strike w:val="0"/>
                <w:dstrike w:val="0"/>
                <w:color w:val="auto"/>
                <w:spacing w:val="7"/>
                <w:kern w:val="2"/>
                <w:sz w:val="21"/>
                <w:szCs w:val="21"/>
                <w:vertAlign w:val="baseline"/>
                <w:lang w:val="en-US" w:eastAsia="zh-CN" w:bidi="ar-SA"/>
              </w:rPr>
            </w:pPr>
            <w:r>
              <w:rPr>
                <w:rFonts w:hint="eastAsia" w:ascii="宋体" w:hAnsi="宋体" w:eastAsia="宋体" w:cs="宋体"/>
                <w:strike w:val="0"/>
                <w:dstrike w:val="0"/>
                <w:color w:val="auto"/>
                <w:spacing w:val="7"/>
                <w:kern w:val="2"/>
                <w:sz w:val="21"/>
                <w:szCs w:val="21"/>
                <w:vertAlign w:val="baseline"/>
                <w:lang w:val="en-US" w:eastAsia="zh-CN" w:bidi="ar-SA"/>
              </w:rPr>
              <w:t>压缩比：≥</w:t>
            </w:r>
            <w:r>
              <w:rPr>
                <w:rFonts w:hint="eastAsia" w:ascii="宋体" w:hAnsi="宋体" w:cs="宋体"/>
                <w:strike w:val="0"/>
                <w:dstrike w:val="0"/>
                <w:color w:val="auto"/>
                <w:spacing w:val="7"/>
                <w:kern w:val="2"/>
                <w:sz w:val="21"/>
                <w:szCs w:val="21"/>
                <w:vertAlign w:val="baseline"/>
                <w:lang w:val="en-US" w:eastAsia="zh-CN" w:bidi="ar-SA"/>
              </w:rPr>
              <w:t>0.75</w:t>
            </w:r>
            <w:r>
              <w:rPr>
                <w:rFonts w:hint="eastAsia" w:ascii="宋体" w:hAnsi="宋体" w:eastAsia="宋体" w:cs="宋体"/>
                <w:strike w:val="0"/>
                <w:dstrike w:val="0"/>
                <w:color w:val="auto"/>
                <w:spacing w:val="7"/>
                <w:kern w:val="2"/>
                <w:sz w:val="21"/>
                <w:szCs w:val="21"/>
                <w:vertAlign w:val="baseline"/>
                <w:lang w:val="en-US" w:eastAsia="zh-CN" w:bidi="ar-SA"/>
              </w:rPr>
              <w:t>；</w:t>
            </w:r>
          </w:p>
          <w:p w14:paraId="5BFA489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运行噪声（dB）：≤65；</w:t>
            </w:r>
          </w:p>
          <w:p w14:paraId="0AC004F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总装机容量（kW）） : ≤30。</w:t>
            </w:r>
          </w:p>
        </w:tc>
        <w:tc>
          <w:tcPr>
            <w:tcW w:w="723" w:type="dxa"/>
            <w:noWrap w:val="0"/>
            <w:vAlign w:val="center"/>
          </w:tcPr>
          <w:p w14:paraId="7CF7502B">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8BDED1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6D25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28162E19">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c>
          <w:tcPr>
            <w:tcW w:w="1677" w:type="dxa"/>
            <w:noWrap w:val="0"/>
            <w:vAlign w:val="center"/>
          </w:tcPr>
          <w:p w14:paraId="6592809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智慧控制系统</w:t>
            </w:r>
          </w:p>
        </w:tc>
        <w:tc>
          <w:tcPr>
            <w:tcW w:w="6150" w:type="dxa"/>
            <w:noWrap w:val="0"/>
            <w:vAlign w:val="center"/>
          </w:tcPr>
          <w:p w14:paraId="730CD64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使用电压（V三相五线制）：380；</w:t>
            </w:r>
          </w:p>
          <w:p w14:paraId="60598EB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装机容量：≤30kW；</w:t>
            </w:r>
          </w:p>
          <w:p w14:paraId="6F59E17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控制电压：24V；</w:t>
            </w:r>
          </w:p>
          <w:p w14:paraId="746B01A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控制系统：PLC 自动控制；</w:t>
            </w:r>
          </w:p>
          <w:p w14:paraId="40F87A7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操作方式：遥控/密码/一键启动；</w:t>
            </w:r>
          </w:p>
          <w:p w14:paraId="101DAF0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远程物联网控制（选配）；</w:t>
            </w:r>
          </w:p>
          <w:p w14:paraId="6CAC743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交互界面：彩色液晶触摸屏；</w:t>
            </w:r>
          </w:p>
          <w:p w14:paraId="201195B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控制范围：液压动力系统，负压抽风除臭系统，喷雾降尘系统，监控系统，污水处理系统，设备附属设施等；</w:t>
            </w:r>
          </w:p>
          <w:p w14:paraId="740BCF0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一键上料时间（s）： ≤60；</w:t>
            </w:r>
          </w:p>
          <w:p w14:paraId="68F71CF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一键压缩循环时间（s）： ≤120。</w:t>
            </w:r>
          </w:p>
        </w:tc>
        <w:tc>
          <w:tcPr>
            <w:tcW w:w="723" w:type="dxa"/>
            <w:noWrap w:val="0"/>
            <w:vAlign w:val="center"/>
          </w:tcPr>
          <w:p w14:paraId="5485547A">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09B3EC96">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2F81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CB9CF5C">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4</w:t>
            </w:r>
          </w:p>
        </w:tc>
        <w:tc>
          <w:tcPr>
            <w:tcW w:w="1677" w:type="dxa"/>
            <w:noWrap w:val="0"/>
            <w:vAlign w:val="center"/>
          </w:tcPr>
          <w:p w14:paraId="7446303D">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液压动力系统</w:t>
            </w:r>
          </w:p>
        </w:tc>
        <w:tc>
          <w:tcPr>
            <w:tcW w:w="6150" w:type="dxa"/>
            <w:noWrap w:val="0"/>
            <w:vAlign w:val="center"/>
          </w:tcPr>
          <w:p w14:paraId="0F4571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电机功率：</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11KW ；</w:t>
            </w:r>
          </w:p>
          <w:p w14:paraId="2C3681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系统压力（MPa）：</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21.5；</w:t>
            </w:r>
          </w:p>
          <w:p w14:paraId="7571769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连续工作后液压油箱油温： (℃)：≤45；</w:t>
            </w:r>
          </w:p>
          <w:p w14:paraId="1A9F6FE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液压泵站： 油箱容量≥300L；</w:t>
            </w:r>
          </w:p>
          <w:p w14:paraId="7D1C392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转速：</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1440r/min；</w:t>
            </w:r>
          </w:p>
          <w:p w14:paraId="2677439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液压附件：可靠，持久，耐磨；</w:t>
            </w:r>
          </w:p>
          <w:p w14:paraId="42957C6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额定压缩力（t）： ≥70。</w:t>
            </w:r>
          </w:p>
        </w:tc>
        <w:tc>
          <w:tcPr>
            <w:tcW w:w="723" w:type="dxa"/>
            <w:noWrap w:val="0"/>
            <w:vAlign w:val="center"/>
          </w:tcPr>
          <w:p w14:paraId="1F7D594D">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2DFB0CE">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1EF4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60484B54">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5</w:t>
            </w:r>
          </w:p>
        </w:tc>
        <w:tc>
          <w:tcPr>
            <w:tcW w:w="1677" w:type="dxa"/>
            <w:noWrap w:val="0"/>
            <w:vAlign w:val="center"/>
          </w:tcPr>
          <w:p w14:paraId="0023E41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color w:val="auto"/>
              </w:rPr>
              <w:t>负压抽风除臭系统</w:t>
            </w:r>
          </w:p>
        </w:tc>
        <w:tc>
          <w:tcPr>
            <w:tcW w:w="6150" w:type="dxa"/>
            <w:noWrap w:val="0"/>
            <w:vAlign w:val="center"/>
          </w:tcPr>
          <w:p w14:paraId="279A025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总功率（kw）：≥3；</w:t>
            </w:r>
          </w:p>
          <w:p w14:paraId="7C0B593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负压风量（m³/h）：≥3000；</w:t>
            </w:r>
          </w:p>
          <w:p w14:paraId="7574732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UV 光氧（数量）：12（100w）；</w:t>
            </w:r>
          </w:p>
          <w:p w14:paraId="0E73D2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UV 光氧时间（s）：≥1.5；</w:t>
            </w:r>
          </w:p>
          <w:p w14:paraId="11E69FC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运行噪声 (dB)：≤65；</w:t>
            </w:r>
          </w:p>
        </w:tc>
        <w:tc>
          <w:tcPr>
            <w:tcW w:w="723" w:type="dxa"/>
            <w:noWrap w:val="0"/>
            <w:vAlign w:val="center"/>
          </w:tcPr>
          <w:p w14:paraId="0B7D1816">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4943051C">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3</w:t>
            </w:r>
          </w:p>
        </w:tc>
      </w:tr>
      <w:tr w14:paraId="2114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26AE5B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6</w:t>
            </w:r>
          </w:p>
        </w:tc>
        <w:tc>
          <w:tcPr>
            <w:tcW w:w="1677" w:type="dxa"/>
            <w:noWrap w:val="0"/>
            <w:vAlign w:val="center"/>
          </w:tcPr>
          <w:p w14:paraId="7111B07A">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color w:val="auto"/>
              </w:rPr>
              <w:t>喷雾降尘系统</w:t>
            </w:r>
          </w:p>
        </w:tc>
        <w:tc>
          <w:tcPr>
            <w:tcW w:w="6150" w:type="dxa"/>
            <w:noWrap w:val="0"/>
            <w:vAlign w:val="center"/>
          </w:tcPr>
          <w:p w14:paraId="173C95E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总功率（kw）：</w:t>
            </w:r>
            <w:r>
              <w:rPr>
                <w:rFonts w:hint="eastAsia" w:ascii="宋体" w:hAnsi="宋体" w:cs="宋体"/>
                <w:color w:val="auto"/>
                <w:spacing w:val="7"/>
                <w:kern w:val="2"/>
                <w:sz w:val="21"/>
                <w:szCs w:val="21"/>
                <w:vertAlign w:val="baseline"/>
                <w:lang w:val="en-US" w:eastAsia="zh-CN" w:bidi="ar-SA"/>
              </w:rPr>
              <w:t>≥1.5</w:t>
            </w:r>
            <w:r>
              <w:rPr>
                <w:rFonts w:hint="eastAsia" w:ascii="宋体" w:hAnsi="宋体" w:eastAsia="宋体" w:cs="宋体"/>
                <w:color w:val="auto"/>
                <w:spacing w:val="7"/>
                <w:kern w:val="2"/>
                <w:sz w:val="21"/>
                <w:szCs w:val="21"/>
                <w:vertAlign w:val="baseline"/>
                <w:lang w:val="en-US" w:eastAsia="zh-CN" w:bidi="ar-SA"/>
              </w:rPr>
              <w:t>；</w:t>
            </w:r>
          </w:p>
          <w:p w14:paraId="342DCFF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运行噪声 (dB)：≤65；</w:t>
            </w:r>
          </w:p>
          <w:p w14:paraId="4C33244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流量（l/min）：</w:t>
            </w:r>
            <w:r>
              <w:rPr>
                <w:rFonts w:hint="eastAsia" w:ascii="宋体" w:hAnsi="宋体" w:cs="宋体"/>
                <w:color w:val="auto"/>
                <w:spacing w:val="7"/>
                <w:kern w:val="2"/>
                <w:sz w:val="21"/>
                <w:szCs w:val="21"/>
                <w:vertAlign w:val="baseline"/>
                <w:lang w:val="en-US" w:eastAsia="zh-CN" w:bidi="ar-SA"/>
              </w:rPr>
              <w:t>≥15</w:t>
            </w:r>
            <w:r>
              <w:rPr>
                <w:rFonts w:hint="eastAsia" w:ascii="宋体" w:hAnsi="宋体" w:eastAsia="宋体" w:cs="宋体"/>
                <w:color w:val="auto"/>
                <w:spacing w:val="7"/>
                <w:kern w:val="2"/>
                <w:sz w:val="21"/>
                <w:szCs w:val="21"/>
                <w:vertAlign w:val="baseline"/>
                <w:lang w:val="en-US" w:eastAsia="zh-CN" w:bidi="ar-SA"/>
              </w:rPr>
              <w:t>；</w:t>
            </w:r>
          </w:p>
          <w:p w14:paraId="27ECD50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配药比例（1：x）：50-200（可调）。</w:t>
            </w:r>
          </w:p>
        </w:tc>
        <w:tc>
          <w:tcPr>
            <w:tcW w:w="723" w:type="dxa"/>
            <w:noWrap w:val="0"/>
            <w:vAlign w:val="center"/>
          </w:tcPr>
          <w:p w14:paraId="3FE5F632">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693F2E41">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044B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0269D10">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7</w:t>
            </w:r>
          </w:p>
        </w:tc>
        <w:tc>
          <w:tcPr>
            <w:tcW w:w="1677" w:type="dxa"/>
            <w:noWrap w:val="0"/>
            <w:vAlign w:val="center"/>
          </w:tcPr>
          <w:p w14:paraId="0ACB858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val="en-US" w:eastAsia="zh-CN"/>
              </w:rPr>
              <w:t>安全监控系统</w:t>
            </w:r>
          </w:p>
        </w:tc>
        <w:tc>
          <w:tcPr>
            <w:tcW w:w="6150" w:type="dxa"/>
            <w:noWrap w:val="0"/>
            <w:vAlign w:val="center"/>
          </w:tcPr>
          <w:p w14:paraId="6FEA141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摄像机数量： 3 套（室内 2 套，室外 1 套）符合国家3C认证标准；</w:t>
            </w:r>
          </w:p>
          <w:p w14:paraId="20A6650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硬盘录像机：工业级嵌入式微控制器；视频输入：16路720P/1080P；视频输出：1路VGA输出，1路HDMI输出；内部支持4T硬盘；</w:t>
            </w:r>
          </w:p>
          <w:p w14:paraId="315614E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硬盘：容量：≥500G；</w:t>
            </w:r>
          </w:p>
          <w:p w14:paraId="14368DA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清晰度：室内 400 万 室外 800 万。</w:t>
            </w:r>
          </w:p>
        </w:tc>
        <w:tc>
          <w:tcPr>
            <w:tcW w:w="723" w:type="dxa"/>
            <w:noWrap w:val="0"/>
            <w:vAlign w:val="center"/>
          </w:tcPr>
          <w:p w14:paraId="53308204">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CAB403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3</w:t>
            </w:r>
          </w:p>
        </w:tc>
      </w:tr>
      <w:tr w14:paraId="5781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8E01B2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8</w:t>
            </w:r>
          </w:p>
        </w:tc>
        <w:tc>
          <w:tcPr>
            <w:tcW w:w="1677" w:type="dxa"/>
            <w:noWrap w:val="0"/>
            <w:vAlign w:val="center"/>
          </w:tcPr>
          <w:p w14:paraId="76E1A525">
            <w:pPr>
              <w:keepNext w:val="0"/>
              <w:keepLines w:val="0"/>
              <w:widowControl/>
              <w:suppressLineNumbers w:val="0"/>
              <w:jc w:val="center"/>
              <w:textAlignment w:val="center"/>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渗滤液处理系统</w:t>
            </w:r>
          </w:p>
        </w:tc>
        <w:tc>
          <w:tcPr>
            <w:tcW w:w="6150" w:type="dxa"/>
            <w:noWrap w:val="0"/>
            <w:vAlign w:val="top"/>
          </w:tcPr>
          <w:p w14:paraId="3761E90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安装形式：地埋式；</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处理规模（t/d）：≤2；</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处理工艺：预处理+生化+MBR；</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占地面积（m2）：≤20；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水质排放标准：《污水排入城镇下水道水质标准》（GB/T 31962-2015）表1中B级限值。</w:t>
            </w:r>
          </w:p>
        </w:tc>
        <w:tc>
          <w:tcPr>
            <w:tcW w:w="723" w:type="dxa"/>
            <w:noWrap w:val="0"/>
            <w:vAlign w:val="center"/>
          </w:tcPr>
          <w:p w14:paraId="10CE22E5">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32A61AEB">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3E05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2D1D61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9</w:t>
            </w:r>
          </w:p>
        </w:tc>
        <w:tc>
          <w:tcPr>
            <w:tcW w:w="1677" w:type="dxa"/>
            <w:noWrap w:val="0"/>
            <w:vAlign w:val="center"/>
          </w:tcPr>
          <w:p w14:paraId="4113C075">
            <w:pPr>
              <w:keepNext w:val="0"/>
              <w:keepLines w:val="0"/>
              <w:widowControl/>
              <w:suppressLineNumbers w:val="0"/>
              <w:jc w:val="center"/>
              <w:textAlignment w:val="center"/>
              <w:rPr>
                <w:rFonts w:hint="eastAsia" w:ascii="宋体" w:hAnsi="宋体" w:eastAsia="宋体" w:cs="宋体"/>
                <w:color w:val="auto"/>
                <w:spacing w:val="7"/>
                <w:sz w:val="21"/>
                <w:szCs w:val="21"/>
                <w:vertAlign w:val="baseline"/>
                <w:lang w:eastAsia="zh-CN"/>
              </w:rPr>
            </w:pPr>
            <w:r>
              <w:rPr>
                <w:rFonts w:hint="eastAsia" w:ascii="宋体" w:hAnsi="宋体" w:eastAsia="宋体" w:cs="宋体"/>
                <w:i w:val="0"/>
                <w:iCs w:val="0"/>
                <w:color w:val="auto"/>
                <w:kern w:val="0"/>
                <w:sz w:val="22"/>
                <w:szCs w:val="22"/>
                <w:u w:val="none"/>
                <w:lang w:val="en-US" w:eastAsia="zh-CN" w:bidi="ar"/>
              </w:rPr>
              <w:t>高压清洗机</w:t>
            </w:r>
          </w:p>
        </w:tc>
        <w:tc>
          <w:tcPr>
            <w:tcW w:w="6150" w:type="dxa"/>
            <w:noWrap w:val="0"/>
            <w:vAlign w:val="top"/>
          </w:tcPr>
          <w:p w14:paraId="2FC05C3D">
            <w:pPr>
              <w:keepNext w:val="0"/>
              <w:keepLines w:val="0"/>
              <w:widowControl/>
              <w:suppressLineNumbers w:val="0"/>
              <w:jc w:val="left"/>
              <w:textAlignment w:val="top"/>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功率（kW）：3；</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电压（V）：220；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额定压力（MPa）：≥8；</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流量（L/min）：＞15，≤20；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品牌：国产品牌；</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冲洗压力（Mpa）：8-25（可调）。</w:t>
            </w:r>
          </w:p>
        </w:tc>
        <w:tc>
          <w:tcPr>
            <w:tcW w:w="723" w:type="dxa"/>
            <w:noWrap w:val="0"/>
            <w:vAlign w:val="center"/>
          </w:tcPr>
          <w:p w14:paraId="59577F74">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761E704">
            <w:pPr>
              <w:spacing w:before="101" w:line="232" w:lineRule="auto"/>
              <w:jc w:val="center"/>
              <w:outlineLvl w:val="1"/>
              <w:rPr>
                <w:rFonts w:hint="default"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648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117AF21">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10</w:t>
            </w:r>
          </w:p>
        </w:tc>
        <w:tc>
          <w:tcPr>
            <w:tcW w:w="1677" w:type="dxa"/>
            <w:noWrap w:val="0"/>
            <w:vAlign w:val="center"/>
          </w:tcPr>
          <w:p w14:paraId="7D540F65">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运输</w:t>
            </w:r>
          </w:p>
        </w:tc>
        <w:tc>
          <w:tcPr>
            <w:tcW w:w="6150" w:type="dxa"/>
            <w:noWrap w:val="0"/>
            <w:vAlign w:val="center"/>
          </w:tcPr>
          <w:p w14:paraId="1127E606">
            <w:pPr>
              <w:spacing w:before="101" w:line="232" w:lineRule="auto"/>
              <w:jc w:val="left"/>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中标方供货地至项目所在地</w:t>
            </w:r>
          </w:p>
        </w:tc>
        <w:tc>
          <w:tcPr>
            <w:tcW w:w="723" w:type="dxa"/>
            <w:noWrap w:val="0"/>
            <w:vAlign w:val="center"/>
          </w:tcPr>
          <w:p w14:paraId="6078DCA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项</w:t>
            </w:r>
          </w:p>
        </w:tc>
        <w:tc>
          <w:tcPr>
            <w:tcW w:w="730" w:type="dxa"/>
            <w:noWrap w:val="0"/>
            <w:vAlign w:val="center"/>
          </w:tcPr>
          <w:p w14:paraId="6B28BD6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w:t>
            </w:r>
          </w:p>
        </w:tc>
      </w:tr>
      <w:tr w14:paraId="2F56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611E550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11</w:t>
            </w:r>
          </w:p>
        </w:tc>
        <w:tc>
          <w:tcPr>
            <w:tcW w:w="1677" w:type="dxa"/>
            <w:noWrap w:val="0"/>
            <w:vAlign w:val="center"/>
          </w:tcPr>
          <w:p w14:paraId="6C33A302">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Times New Roman"/>
                <w:color w:val="auto"/>
                <w:sz w:val="20"/>
                <w:szCs w:val="20"/>
                <w:lang w:val="en-US" w:eastAsia="zh-CN"/>
              </w:rPr>
              <w:t>安装调试</w:t>
            </w:r>
          </w:p>
        </w:tc>
        <w:tc>
          <w:tcPr>
            <w:tcW w:w="6150" w:type="dxa"/>
            <w:noWrap w:val="0"/>
            <w:vAlign w:val="center"/>
          </w:tcPr>
          <w:p w14:paraId="4F091AE4">
            <w:pPr>
              <w:spacing w:before="101" w:line="232" w:lineRule="auto"/>
              <w:jc w:val="left"/>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设备吊装、安装调试及试运行</w:t>
            </w:r>
          </w:p>
        </w:tc>
        <w:tc>
          <w:tcPr>
            <w:tcW w:w="723" w:type="dxa"/>
            <w:noWrap w:val="0"/>
            <w:vAlign w:val="center"/>
          </w:tcPr>
          <w:p w14:paraId="6ADC2D20">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D08B4C8">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sz w:val="22"/>
          <w:szCs w:val="22"/>
          <w:highlight w:val="none"/>
        </w:rPr>
        <w:t>地上水平智慧装配式一体化垃圾中转站</w:t>
      </w: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套，其中</w:t>
      </w:r>
      <w:r>
        <w:rPr>
          <w:rFonts w:hint="eastAsia" w:ascii="宋体" w:hAnsi="宋体" w:eastAsia="宋体" w:cs="宋体"/>
          <w:sz w:val="22"/>
          <w:szCs w:val="22"/>
          <w:highlight w:val="none"/>
          <w:lang w:val="en-US" w:eastAsia="zh-CN"/>
        </w:rPr>
        <w:t>荣家湾镇</w:t>
      </w:r>
      <w:r>
        <w:rPr>
          <w:rFonts w:hint="eastAsia" w:ascii="宋体" w:hAnsi="宋体" w:eastAsia="宋体" w:cs="宋体"/>
          <w:sz w:val="22"/>
          <w:szCs w:val="22"/>
          <w:highlight w:val="none"/>
        </w:rPr>
        <w:t>1套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新开镇</w:t>
      </w:r>
      <w:r>
        <w:rPr>
          <w:rFonts w:hint="eastAsia" w:ascii="宋体" w:hAnsi="宋体" w:eastAsia="宋体" w:cs="宋体"/>
          <w:sz w:val="22"/>
          <w:szCs w:val="22"/>
          <w:highlight w:val="none"/>
        </w:rPr>
        <w:t>1套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筻口镇</w:t>
      </w: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lang w:val="en-US" w:eastAsia="zh-CN"/>
        </w:rPr>
        <w:t>套</w:t>
      </w:r>
      <w:r>
        <w:rPr>
          <w:rFonts w:hint="eastAsia" w:ascii="宋体" w:hAnsi="宋体" w:eastAsia="宋体" w:cs="宋体"/>
          <w:sz w:val="22"/>
          <w:szCs w:val="22"/>
          <w:highlight w:val="none"/>
          <w:lang w:eastAsia="zh-CN"/>
        </w:rPr>
        <w:t>。</w:t>
      </w:r>
    </w:p>
    <w:p w14:paraId="0825D416">
      <w:pPr>
        <w:pStyle w:val="3"/>
        <w:keepLines w:val="0"/>
        <w:ind w:right="-483" w:rightChars="-230"/>
        <w:rPr>
          <w:rFonts w:hint="default" w:ascii="宋体" w:eastAsia="宋体"/>
          <w:color w:val="auto"/>
          <w:sz w:val="24"/>
          <w:szCs w:val="24"/>
          <w:highlight w:val="none"/>
          <w:lang w:val="en-US" w:eastAsia="zh-CN"/>
        </w:rPr>
      </w:pPr>
      <w:r>
        <w:rPr>
          <w:rFonts w:hint="eastAsia" w:ascii="宋体" w:eastAsia="宋体"/>
          <w:color w:val="auto"/>
          <w:sz w:val="24"/>
          <w:szCs w:val="24"/>
          <w:highlight w:val="none"/>
          <w:lang w:val="en-US" w:eastAsia="zh-CN"/>
        </w:rPr>
        <w:t>2.</w:t>
      </w:r>
      <w:r>
        <w:rPr>
          <w:rFonts w:hint="eastAsia" w:ascii="宋体" w:hAnsi="宋体" w:cs="宋体"/>
          <w:b/>
          <w:bCs/>
          <w:color w:val="auto"/>
          <w:szCs w:val="21"/>
          <w:highlight w:val="none"/>
        </w:rPr>
        <w:t>主要技术参数要求说明</w:t>
      </w:r>
    </w:p>
    <w:p w14:paraId="5100F63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2.1、装配式多功能外防护设施技术参数</w:t>
      </w:r>
    </w:p>
    <w:p w14:paraId="406B522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（1）装配式多功能外防护设施形式:通用化、模数化、标准化的要求，以少规格、多组合的原则，实现建筑及部品部件的系列化和多样化</w:t>
      </w:r>
      <w:r>
        <w:rPr>
          <w:rFonts w:hint="eastAsia" w:ascii="宋体"/>
          <w:b w:val="0"/>
          <w:bCs w:val="0"/>
          <w:color w:val="auto"/>
          <w:sz w:val="24"/>
          <w:szCs w:val="24"/>
          <w:highlight w:val="none"/>
          <w:lang w:val="en-US" w:eastAsia="zh-CN"/>
        </w:rPr>
        <w:t>；</w:t>
      </w:r>
    </w:p>
    <w:p w14:paraId="66BC4CDA">
      <w:pPr>
        <w:pStyle w:val="3"/>
        <w:keepLines w:val="0"/>
        <w:ind w:right="-483" w:rightChars="-230"/>
        <w:rPr>
          <w:rFonts w:hint="default"/>
          <w:lang w:val="en-US" w:eastAsia="zh-CN"/>
        </w:rPr>
      </w:pPr>
      <w:r>
        <w:rPr>
          <w:rFonts w:hint="default" w:ascii="宋体" w:eastAsia="宋体"/>
          <w:b w:val="0"/>
          <w:bCs w:val="0"/>
          <w:color w:val="auto"/>
          <w:sz w:val="24"/>
          <w:szCs w:val="24"/>
          <w:highlight w:val="none"/>
          <w:lang w:val="en-US" w:eastAsia="zh-CN"/>
        </w:rPr>
        <w:t>（2）装配式多功能外防护设施建设要求:采用干式工法建造方法，外防护系统的设计应符合模数协调和标准化要求，并应满足建筑立面效果、制作工艺、运输及施工安装的条件</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w:t>
      </w:r>
      <w:r>
        <w:rPr>
          <w:rFonts w:hint="eastAsia" w:ascii="宋体"/>
          <w:b w:val="0"/>
          <w:bCs w:val="0"/>
          <w:color w:val="auto"/>
          <w:sz w:val="24"/>
          <w:szCs w:val="24"/>
          <w:highlight w:val="none"/>
          <w:lang w:val="en-US" w:eastAsia="zh-CN"/>
        </w:rPr>
        <w:t>类似业绩</w:t>
      </w:r>
      <w:r>
        <w:rPr>
          <w:rFonts w:hint="default" w:ascii="宋体" w:eastAsia="宋体"/>
          <w:b w:val="0"/>
          <w:bCs w:val="0"/>
          <w:color w:val="auto"/>
          <w:sz w:val="24"/>
          <w:szCs w:val="24"/>
          <w:highlight w:val="none"/>
          <w:lang w:val="en-US" w:eastAsia="zh-CN"/>
        </w:rPr>
        <w:t>安装过程中模块化安装现场照片）</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（3）装配式多功能外防护设施最大外形尺寸(mm):长≥9000，宽≥5000;高≥6500括号内为包含雨棚尺寸</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（4）装配式多功能外防护设施占地面积(m2):≤50</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（5）卷闸门尺寸(mm): ≥4800（高度）* 3600（宽度），材质坚固，耐用，耐腐蚀,选用硬质快卷门，其由铝合金高强门板、导轨、变频链条传动系统和控制系统等组成</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▲（6）装配式多功能外防护设施主体结构: 采用三层结构形式：中间主体结构为钢制框架并填充有隔音保暖材质层，外立面为铝单板幕墙、内立面为</w:t>
      </w:r>
      <w:r>
        <w:rPr>
          <w:rFonts w:hint="default" w:ascii="宋体" w:eastAsia="宋体"/>
          <w:b w:val="0"/>
          <w:bCs w:val="0"/>
          <w:strike w:val="0"/>
          <w:dstrike w:val="0"/>
          <w:color w:val="auto"/>
          <w:sz w:val="24"/>
          <w:szCs w:val="24"/>
          <w:highlight w:val="none"/>
          <w:lang w:val="en-US" w:eastAsia="zh-CN"/>
        </w:rPr>
        <w:t>竹纤维装饰板</w:t>
      </w:r>
      <w:r>
        <w:rPr>
          <w:rFonts w:hint="default" w:ascii="宋体" w:eastAsia="宋体"/>
          <w:b w:val="0"/>
          <w:bCs w:val="0"/>
          <w:color w:val="auto"/>
          <w:sz w:val="24"/>
          <w:szCs w:val="24"/>
          <w:highlight w:val="none"/>
          <w:lang w:val="en-US" w:eastAsia="zh-CN"/>
        </w:rPr>
        <w:t>；（提供三维模型和实物照片并加以说明</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7）装配式收集站幕墙材质:因本项目所用幕墙材质对抗风压强要求很高且能实现重复利用和高可回收价值符合绿色建筑评价标准，故本项目建筑幕墙采用铝单板材质。投标人须提供投入本项目所使用装配式收集站幕墙的板材，由国家认可的质量检测机构依据 ‌GB/T 23443-2024《建筑装饰用铝单板》、‌GB/T 16865-2023《变形铝、镁及其合金加工制品拉伸试验用试样及方法》的检测报告，检测所检项目至少包括但不限于:厚度≥2mm、</w:t>
      </w:r>
      <w:r>
        <w:rPr>
          <w:rFonts w:hint="default" w:ascii="宋体" w:eastAsia="宋体"/>
          <w:b w:val="0"/>
          <w:bCs w:val="0"/>
          <w:strike w:val="0"/>
          <w:dstrike w:val="0"/>
          <w:color w:val="auto"/>
          <w:sz w:val="24"/>
          <w:szCs w:val="24"/>
          <w:highlight w:val="none"/>
          <w:lang w:val="en-US" w:eastAsia="zh-CN"/>
        </w:rPr>
        <w:t>氟碳涂层最小局部膜厚≥25um</w:t>
      </w:r>
      <w:r>
        <w:rPr>
          <w:rFonts w:hint="default" w:ascii="宋体" w:eastAsia="宋体"/>
          <w:b w:val="0"/>
          <w:bCs w:val="0"/>
          <w:color w:val="auto"/>
          <w:sz w:val="24"/>
          <w:szCs w:val="24"/>
          <w:highlight w:val="none"/>
          <w:lang w:val="en-US" w:eastAsia="zh-CN"/>
        </w:rPr>
        <w:t>、装饰面层附着力（干式）性能不低于0级</w:t>
      </w:r>
      <w:r>
        <w:rPr>
          <w:rFonts w:hint="eastAsia" w:ascii="宋体"/>
          <w:b w:val="0"/>
          <w:bCs w:val="0"/>
          <w:color w:val="auto"/>
          <w:sz w:val="24"/>
          <w:szCs w:val="24"/>
          <w:highlight w:val="none"/>
          <w:lang w:val="en-US" w:eastAsia="zh-CN"/>
        </w:rPr>
        <w:t>；</w:t>
      </w:r>
    </w:p>
    <w:p w14:paraId="27277BBC">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注:1)承诺在本项目中使用该种钢板(承诺函格式自拟，加盖单位公章)；</w:t>
      </w:r>
    </w:p>
    <w:p w14:paraId="3B7BDE2C">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2)投标人须提供带有CMA或CNAS标识的第三方检测机构出具的、处于有效期内的检测报告扫描件并加盖公章(注:投标人提供的检测报告须同时附上检测机构资质及认定附表复印件)；</w:t>
      </w:r>
    </w:p>
    <w:p w14:paraId="5FA9BA7D">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3)未提供以上证明材料以及承诺函的，视为不满足要求。</w:t>
      </w:r>
    </w:p>
    <w:p w14:paraId="2D49A48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(8)装配式多功能外防护设施骨架材料采用Q235材料，支撑立柱型材要求：矩形钢（mm)≥120×80×4，方钢（mm)≥160×160×6</w:t>
      </w:r>
      <w:r>
        <w:rPr>
          <w:rFonts w:hint="eastAsia" w:ascii="宋体"/>
          <w:b w:val="0"/>
          <w:bCs w:val="0"/>
          <w:color w:val="auto"/>
          <w:sz w:val="24"/>
          <w:szCs w:val="24"/>
          <w:highlight w:val="none"/>
          <w:lang w:val="en-US" w:eastAsia="zh-CN"/>
        </w:rPr>
        <w:t>；</w:t>
      </w:r>
    </w:p>
    <w:p w14:paraId="082377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（9）装配式多功能外防护设施玻璃幕墙采用黑色钢化彩釉玻璃（厚度≥10mm）</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▲（10）投标人投入本项目所使用的装配式多功能外防护设施中间填充材质需满足如下材质性能：</w:t>
      </w:r>
    </w:p>
    <w:tbl>
      <w:tblPr>
        <w:tblStyle w:val="24"/>
        <w:tblW w:w="7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877"/>
        <w:gridCol w:w="1247"/>
        <w:gridCol w:w="1669"/>
      </w:tblGrid>
      <w:tr w14:paraId="74AE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blHeader/>
          <w:jc w:val="center"/>
        </w:trPr>
        <w:tc>
          <w:tcPr>
            <w:tcW w:w="846" w:type="dxa"/>
            <w:vAlign w:val="center"/>
          </w:tcPr>
          <w:p w14:paraId="1390442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序号</w:t>
            </w:r>
          </w:p>
        </w:tc>
        <w:tc>
          <w:tcPr>
            <w:tcW w:w="3877" w:type="dxa"/>
            <w:vAlign w:val="center"/>
          </w:tcPr>
          <w:p w14:paraId="5E7D39D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参数</w:t>
            </w:r>
          </w:p>
        </w:tc>
        <w:tc>
          <w:tcPr>
            <w:tcW w:w="1247" w:type="dxa"/>
            <w:vAlign w:val="center"/>
          </w:tcPr>
          <w:p w14:paraId="31AF958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单位</w:t>
            </w:r>
          </w:p>
        </w:tc>
        <w:tc>
          <w:tcPr>
            <w:tcW w:w="1669" w:type="dxa"/>
            <w:vAlign w:val="center"/>
          </w:tcPr>
          <w:p w14:paraId="7C523DB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要求</w:t>
            </w:r>
          </w:p>
        </w:tc>
      </w:tr>
      <w:tr w14:paraId="20CE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016E75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w:t>
            </w:r>
          </w:p>
        </w:tc>
        <w:tc>
          <w:tcPr>
            <w:tcW w:w="3877" w:type="dxa"/>
            <w:vAlign w:val="center"/>
          </w:tcPr>
          <w:p w14:paraId="021D170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密度</w:t>
            </w:r>
          </w:p>
        </w:tc>
        <w:tc>
          <w:tcPr>
            <w:tcW w:w="1247" w:type="dxa"/>
            <w:vAlign w:val="center"/>
          </w:tcPr>
          <w:p w14:paraId="1AC11BE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kg/m³</w:t>
            </w:r>
          </w:p>
        </w:tc>
        <w:tc>
          <w:tcPr>
            <w:tcW w:w="1669" w:type="dxa"/>
            <w:vAlign w:val="center"/>
          </w:tcPr>
          <w:p w14:paraId="5A89A3F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100±18</w:t>
            </w:r>
          </w:p>
        </w:tc>
      </w:tr>
      <w:tr w14:paraId="266D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46" w:type="dxa"/>
            <w:vAlign w:val="center"/>
          </w:tcPr>
          <w:p w14:paraId="2C999A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w:t>
            </w:r>
          </w:p>
        </w:tc>
        <w:tc>
          <w:tcPr>
            <w:tcW w:w="3877" w:type="dxa"/>
            <w:vAlign w:val="center"/>
          </w:tcPr>
          <w:p w14:paraId="3D195E7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渣球含量（粒径大于0.25mm）</w:t>
            </w:r>
          </w:p>
        </w:tc>
        <w:tc>
          <w:tcPr>
            <w:tcW w:w="1247" w:type="dxa"/>
            <w:vAlign w:val="center"/>
          </w:tcPr>
          <w:p w14:paraId="41CB5A8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2658D4C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≤5.0</w:t>
            </w:r>
          </w:p>
        </w:tc>
      </w:tr>
      <w:tr w14:paraId="5B69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6172139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w:t>
            </w:r>
          </w:p>
        </w:tc>
        <w:tc>
          <w:tcPr>
            <w:tcW w:w="3877" w:type="dxa"/>
            <w:vAlign w:val="center"/>
          </w:tcPr>
          <w:p w14:paraId="2A9D610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憎水率</w:t>
            </w:r>
          </w:p>
        </w:tc>
        <w:tc>
          <w:tcPr>
            <w:tcW w:w="1247" w:type="dxa"/>
            <w:vAlign w:val="center"/>
          </w:tcPr>
          <w:p w14:paraId="10207F0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0D64C0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≥98.0</w:t>
            </w:r>
          </w:p>
        </w:tc>
      </w:tr>
      <w:tr w14:paraId="4536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2F03835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w:t>
            </w:r>
          </w:p>
        </w:tc>
        <w:tc>
          <w:tcPr>
            <w:tcW w:w="3877" w:type="dxa"/>
            <w:vAlign w:val="center"/>
          </w:tcPr>
          <w:p w14:paraId="6A45C4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导热系数（平均温度25℃）</w:t>
            </w:r>
          </w:p>
        </w:tc>
        <w:tc>
          <w:tcPr>
            <w:tcW w:w="1247" w:type="dxa"/>
            <w:vAlign w:val="center"/>
          </w:tcPr>
          <w:p w14:paraId="30EB972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W/(m▪K)</w:t>
            </w:r>
          </w:p>
        </w:tc>
        <w:tc>
          <w:tcPr>
            <w:tcW w:w="1669" w:type="dxa"/>
            <w:vAlign w:val="center"/>
          </w:tcPr>
          <w:p w14:paraId="069EDE6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≤0.040</w:t>
            </w:r>
          </w:p>
        </w:tc>
      </w:tr>
      <w:tr w14:paraId="321D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61AF28A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w:t>
            </w:r>
          </w:p>
        </w:tc>
        <w:tc>
          <w:tcPr>
            <w:tcW w:w="3877" w:type="dxa"/>
            <w:vAlign w:val="center"/>
          </w:tcPr>
          <w:p w14:paraId="6C92F85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燃烧热值</w:t>
            </w:r>
          </w:p>
        </w:tc>
        <w:tc>
          <w:tcPr>
            <w:tcW w:w="1247" w:type="dxa"/>
            <w:vAlign w:val="center"/>
          </w:tcPr>
          <w:p w14:paraId="1BD0C1F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MJ/kg</w:t>
            </w:r>
          </w:p>
        </w:tc>
        <w:tc>
          <w:tcPr>
            <w:tcW w:w="1669" w:type="dxa"/>
            <w:vAlign w:val="center"/>
          </w:tcPr>
          <w:p w14:paraId="6D62CDA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≤2.0</w:t>
            </w:r>
          </w:p>
        </w:tc>
      </w:tr>
      <w:tr w14:paraId="2F57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272BD1E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w:t>
            </w:r>
          </w:p>
        </w:tc>
        <w:tc>
          <w:tcPr>
            <w:tcW w:w="3877" w:type="dxa"/>
            <w:vAlign w:val="center"/>
          </w:tcPr>
          <w:p w14:paraId="1CBA453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压缩强度(10%压缩变形)</w:t>
            </w:r>
          </w:p>
        </w:tc>
        <w:tc>
          <w:tcPr>
            <w:tcW w:w="1247" w:type="dxa"/>
            <w:vAlign w:val="center"/>
          </w:tcPr>
          <w:p w14:paraId="4E203DC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kPa</w:t>
            </w:r>
          </w:p>
        </w:tc>
        <w:tc>
          <w:tcPr>
            <w:tcW w:w="1669" w:type="dxa"/>
            <w:vAlign w:val="center"/>
          </w:tcPr>
          <w:p w14:paraId="1C2E6E2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≥80</w:t>
            </w:r>
          </w:p>
        </w:tc>
      </w:tr>
      <w:tr w14:paraId="5515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46" w:type="dxa"/>
            <w:vAlign w:val="center"/>
          </w:tcPr>
          <w:p w14:paraId="0198144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w:t>
            </w:r>
          </w:p>
        </w:tc>
        <w:tc>
          <w:tcPr>
            <w:tcW w:w="3877" w:type="dxa"/>
            <w:vAlign w:val="center"/>
          </w:tcPr>
          <w:p w14:paraId="19F7E68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酸度系数</w:t>
            </w:r>
          </w:p>
        </w:tc>
        <w:tc>
          <w:tcPr>
            <w:tcW w:w="1247" w:type="dxa"/>
            <w:vAlign w:val="center"/>
          </w:tcPr>
          <w:p w14:paraId="4A7AD68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56DC78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w:t>
            </w:r>
          </w:p>
        </w:tc>
      </w:tr>
      <w:tr w14:paraId="7886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46" w:type="dxa"/>
            <w:vAlign w:val="center"/>
          </w:tcPr>
          <w:p w14:paraId="1A5E7CDB">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8</w:t>
            </w:r>
          </w:p>
        </w:tc>
        <w:tc>
          <w:tcPr>
            <w:tcW w:w="3877" w:type="dxa"/>
            <w:vAlign w:val="center"/>
          </w:tcPr>
          <w:p w14:paraId="2D6CA906">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燃烧性能</w:t>
            </w:r>
          </w:p>
        </w:tc>
        <w:tc>
          <w:tcPr>
            <w:tcW w:w="1247" w:type="dxa"/>
            <w:vAlign w:val="center"/>
          </w:tcPr>
          <w:p w14:paraId="44C9AC8E">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w:t>
            </w:r>
          </w:p>
        </w:tc>
        <w:tc>
          <w:tcPr>
            <w:tcW w:w="1669" w:type="dxa"/>
            <w:vAlign w:val="center"/>
          </w:tcPr>
          <w:p w14:paraId="05F6B0FF">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A级</w:t>
            </w:r>
          </w:p>
        </w:tc>
      </w:tr>
    </w:tbl>
    <w:p w14:paraId="597FB25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（提供带有CMA或CNAS标识的第三方检测机构出具的、处于有效期内的检测报告扫描件并加盖公章）</w:t>
      </w:r>
    </w:p>
    <w:p w14:paraId="31E2808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（11）大门上方设有LED显示屏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（提供实物照片）</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（12）装配式多功能外防护设施外形要求:整体结构设计具备科技感和艺术感，造型美观、新颖，具备广告资源位</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（提供不少于3种整体效果图）</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（13）需提供详细的站房布置图和基础提资图纸</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（14）景观装配式智能一体化中转站</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(提供案例现场实景图片)</w:t>
      </w:r>
    </w:p>
    <w:p w14:paraId="4166392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（15）为保障装配式多功能外防护设施外防护需要具有可移动和重复使用功能，外防护框架连接方式采用可拆装式连接工艺</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（需提供三维截图和方案说明）</w:t>
      </w:r>
    </w:p>
    <w:p w14:paraId="65D288D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▲（16）装配式多功能外防护设施外防护现场制作工艺必须采用无焊接拼装模式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承诺在本项目中使用无焊接拼装模式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承诺函格式自拟，加盖单位公章)</w:t>
      </w:r>
    </w:p>
    <w:p w14:paraId="034D0A3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（17）装配式多功能外防护设施外防护宣传广告灯箱：卡布灯箱（mm)≥3860×2160</w:t>
      </w:r>
      <w:r>
        <w:rPr>
          <w:rFonts w:hint="eastAsia" w:ascii="宋体"/>
          <w:b w:val="0"/>
          <w:bCs w:val="0"/>
          <w:color w:val="auto"/>
          <w:sz w:val="24"/>
          <w:szCs w:val="24"/>
          <w:highlight w:val="none"/>
          <w:lang w:val="en-US" w:eastAsia="zh-CN"/>
        </w:rPr>
        <w:t>；</w:t>
      </w:r>
    </w:p>
    <w:p w14:paraId="4E052F4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（18）为了保障中转站的安全性和便捷性，站房外需配有人脸识别或密码输入功能并与操作模块集成</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（提供两个模块集成实物照片并说明）</w:t>
      </w:r>
    </w:p>
    <w:p w14:paraId="0FDDB50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2.2、垃圾压缩主机技术参数</w:t>
      </w:r>
    </w:p>
    <w:p w14:paraId="3384F9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（1）压缩形式：地上固定式水平压缩；</w:t>
      </w:r>
    </w:p>
    <w:p w14:paraId="31FCC8A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（2）箱体容积（m3）：≥8；</w:t>
      </w:r>
    </w:p>
    <w:p w14:paraId="7A0886C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（3）压缩力（t）：≥70；</w:t>
      </w:r>
    </w:p>
    <w:p w14:paraId="494156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（4）垃圾块密实度（t/m³）≥0.7；</w:t>
      </w:r>
    </w:p>
    <w:p w14:paraId="7D16F3C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（5）料斗容积（m3）：≥4；</w:t>
      </w:r>
    </w:p>
    <w:p w14:paraId="7227C30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（6）中转仓有效容积（m3）：≥6；</w:t>
      </w:r>
    </w:p>
    <w:p w14:paraId="7117998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（7）外形尺寸（长 mm×宽 mm×高 mm）：≥6600×2000×1420；</w:t>
      </w:r>
    </w:p>
    <w:p w14:paraId="6E831D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（8）箱体进料口尺寸（长 mm×宽 mm）：≥800×1800；</w:t>
      </w:r>
    </w:p>
    <w:p w14:paraId="0EE01BF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（9）压缩箱体底板（mm）：≥Q345B/t8；</w:t>
      </w:r>
    </w:p>
    <w:p w14:paraId="24CFE18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（10）压缩箱体侧板（mm）：≥Q345B/t6；</w:t>
      </w:r>
    </w:p>
    <w:p w14:paraId="67529A9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（11）压缩箱体顶板（mm）：≥Q345B/t6；</w:t>
      </w:r>
    </w:p>
    <w:p w14:paraId="0EDCE51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（12）日处理能力（m³/d） ： ≥30；</w:t>
      </w:r>
    </w:p>
    <w:p w14:paraId="245AD4E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（13）运行噪声（dB）：≤65；</w:t>
      </w:r>
    </w:p>
    <w:p w14:paraId="526143D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（14）总装机容量（kW）） : ≤30。</w:t>
      </w:r>
    </w:p>
    <w:p w14:paraId="74ADEC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2.3、智慧控制系统技术参数</w:t>
      </w:r>
    </w:p>
    <w:p w14:paraId="47430DD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（1）工作电压:(三相五线制)AC380V；</w:t>
      </w:r>
    </w:p>
    <w:p w14:paraId="6A7C9B9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（2）装机容量：≤30kW；</w:t>
      </w:r>
    </w:p>
    <w:p w14:paraId="1A3BD43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（3）控制电压：DC24V；</w:t>
      </w:r>
    </w:p>
    <w:p w14:paraId="7000E2F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（3）控制系统：PLC 集成控制，带温度、压力、臭气检测等功能，具有远程控制接口；</w:t>
      </w:r>
    </w:p>
    <w:p w14:paraId="74C8B8B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（4）操作方式：按钮操作、10寸触摸屏操作或遥控器操作</w:t>
      </w:r>
    </w:p>
    <w:p w14:paraId="07D51F5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（5）控制范围：液压动力系统，负压抽风除臭系统，喷雾降尘系统，监控系统，污水处理系统、照明灯、广告灯、门禁、声光报警等其它配套装置等；</w:t>
      </w:r>
    </w:p>
    <w:p w14:paraId="3BA682A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（6）支持远程终端设备连接;（提供终端设备电脑和手机显示界面截图）</w:t>
      </w:r>
    </w:p>
    <w:p w14:paraId="2670E5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（7）一键上料时间（s）： ≤60；</w:t>
      </w:r>
    </w:p>
    <w:p w14:paraId="1489DBD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（8）一键压缩循环时间（s）： ≤120。</w:t>
      </w:r>
    </w:p>
    <w:p w14:paraId="35CB13C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2.4、液压动力系统技术参数</w:t>
      </w:r>
    </w:p>
    <w:p w14:paraId="0F0EA0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（1）电机功率：≥11KW ；</w:t>
      </w:r>
    </w:p>
    <w:p w14:paraId="22E440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（2）系统压力（MPa）：≤21.5；</w:t>
      </w:r>
    </w:p>
    <w:p w14:paraId="0A024DD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（3）连续工作后液压油箱油温： (℃)：≤45；</w:t>
      </w:r>
    </w:p>
    <w:p w14:paraId="5DC247B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（4）液压泵站：油箱容量≥300L；</w:t>
      </w:r>
    </w:p>
    <w:p w14:paraId="5AB74D0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（5）转速： ≥1440r/min；</w:t>
      </w:r>
    </w:p>
    <w:p w14:paraId="1FE61E4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（6）液压附件：可靠，持久，耐磨；</w:t>
      </w:r>
    </w:p>
    <w:p w14:paraId="64D026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（7）额定压缩力（t）： ≥70。</w:t>
      </w:r>
    </w:p>
    <w:p w14:paraId="20A5C2A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2.5、负压抽风除臭系统技术参数</w:t>
      </w:r>
    </w:p>
    <w:p w14:paraId="2C2B6CE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▲（1）主机机箱：1）尺寸：≥1600mm*1400mm*950mm；2）材质：金属框体加聚氨酯双面彩涂板等防腐材料。（提供带有CMA或CNAS标识的第三方检测机构出具的、处于有效期内的检测报告扫描件并加盖公章）</w:t>
      </w:r>
    </w:p>
    <w:p w14:paraId="42573FD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▲（2）初效过滤模组：1）尺寸：≥595mm*725mm*45mm；2）材质：金属框架；3）结构：嵌入式内置；4）数量：2组。（提供带有CMA或CNAS标识的第三方检测机构出具的、处于有效期内的检测报告扫描件并加盖公章）</w:t>
      </w:r>
    </w:p>
    <w:p w14:paraId="58FEED6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（3）二氧化钛光触媒过滤模组：1）尺寸：≥595mm*725mm*45mm；2）材质：金属框架+活性炭材料；3）结构：嵌入式内置；4）数量：2组。</w:t>
      </w:r>
    </w:p>
    <w:p w14:paraId="5340844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（4）光氧化模组：1）供电电压：220V／50HZ；2）U型汞齐灯，灯管寿命≥8000h；材质：石英玻璃管,长段≥800mm；3）功率：≥600W ；4）噪音≤40dB；5）数量：1组6根。</w:t>
      </w:r>
    </w:p>
    <w:p w14:paraId="23EA69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（5）高阶等离子体模组：1）输入电压范围：200--240VAC50/60Hz；2）输出功率：≥150W；3）功率因数：PF&gt;0.90 AC220V；4）输出电压范围：最大20kV；5）工作温度:-40--+65°C；6）数量：1组。</w:t>
      </w:r>
    </w:p>
    <w:p w14:paraId="20359EE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高能离子管模组：1）电源电压：AC210-230V/50Hz；2）功率：50W；3）离子管长度≥510mm；4）直径≥38mm；5）电压范围2-3.2KV；6）离子管型号：E型；7）离子发生量：≥200万pcs/cm³；8）离子管寿命：≥20000h；9）离子管数量：2组8根。</w:t>
      </w:r>
    </w:p>
    <w:p w14:paraId="789F53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（7）离心静音风机：1）排风风机1台，处理风量≥8000m³/h，全压≥600Pa，功率≥2.2KW；2）新风风机1台，处理风量≥5000m³/h全压≥600Pa，功率≥2.2KW，主机总功率≥4KW。</w:t>
      </w:r>
    </w:p>
    <w:p w14:paraId="3BE8CEB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（8）空气质量检测系统：1）检测硫化氢、氨气、温湿度；2）485总线输出。</w:t>
      </w:r>
    </w:p>
    <w:p w14:paraId="4606456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▲（9）植物香氛系统：配套使用植物液除臭剂，除臭剂规格：500ML/瓶，质保期：12个月。</w:t>
      </w:r>
      <w:r>
        <w:rPr>
          <w:rFonts w:hint="eastAsia" w:ascii="宋体"/>
          <w:b w:val="0"/>
          <w:bCs w:val="0"/>
          <w:color w:val="auto"/>
          <w:sz w:val="24"/>
          <w:szCs w:val="24"/>
          <w:highlight w:val="none"/>
          <w:lang w:val="en-US" w:eastAsia="zh-CN"/>
        </w:rPr>
        <w:t>（提供</w:t>
      </w:r>
      <w:r>
        <w:rPr>
          <w:rFonts w:hint="default" w:ascii="宋体" w:eastAsia="宋体"/>
          <w:b w:val="0"/>
          <w:bCs w:val="0"/>
          <w:color w:val="auto"/>
          <w:sz w:val="24"/>
          <w:szCs w:val="24"/>
          <w:highlight w:val="none"/>
          <w:lang w:val="en-US" w:eastAsia="zh-CN"/>
        </w:rPr>
        <w:t>植物液除臭剂CMA或CNAS资质的检测机构出具的、处于有效期内的急性经口毒性试验属于低毒或无毒、急性吸入毒性试验属于低毒或无毒、多次完整皮肤刺激性试验属无刺激性、急性眼刺激试验属无刺激性检验报告扫描件并加盖公章。</w:t>
      </w:r>
      <w:r>
        <w:rPr>
          <w:rFonts w:hint="eastAsia" w:ascii="宋体"/>
          <w:b w:val="0"/>
          <w:bCs w:val="0"/>
          <w:color w:val="auto"/>
          <w:sz w:val="24"/>
          <w:szCs w:val="24"/>
          <w:highlight w:val="none"/>
          <w:lang w:val="en-US" w:eastAsia="zh-CN"/>
        </w:rPr>
        <w:t>）</w:t>
      </w:r>
    </w:p>
    <w:p w14:paraId="79F79BB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（10）管道辅材：主管规格：排风≥Φ315mm，新风≥Φ315mm；材质：PP圆管，支管规格：排风方管120mm*240mm材质：PP方管。</w:t>
      </w:r>
    </w:p>
    <w:p w14:paraId="6C8EAF4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（11）接头：弯头、堵头、大小头、三通、软连接（根据现场实际施工情况布置）</w:t>
      </w:r>
    </w:p>
    <w:p w14:paraId="0879BFC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（12）辅料：槽钢、法兰、U型支架、电线电缆、螺栓、螺母等（根据现场实际施工情况布置）。</w:t>
      </w:r>
    </w:p>
    <w:p w14:paraId="3934E7F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▲（13）总体排放：适用于垃圾站，总体排放满足 GB14554-93《恶臭污染物排放标准》二级标准（提供具有CMA或CNAS认证资质的检测机构出具的、处于有效期内的检测报告扫描件并加盖公章）</w:t>
      </w:r>
    </w:p>
    <w:p w14:paraId="6BC9641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2.6、喷雾降尘系统技术参数</w:t>
      </w:r>
    </w:p>
    <w:p w14:paraId="6B7DD46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（1）电源电压：AC380V±10% 、50HZ</w:t>
      </w:r>
    </w:p>
    <w:p w14:paraId="034EB8A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 xml:space="preserve">（2）电机功率：≥1.5KW </w:t>
      </w:r>
    </w:p>
    <w:p w14:paraId="564CD5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（3）高压柱塞泵：≥15L/min</w:t>
      </w:r>
    </w:p>
    <w:p w14:paraId="41A9541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（4）喷雾方式：高压喷雾式；</w:t>
      </w:r>
    </w:p>
    <w:p w14:paraId="2DF6052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（5）机箱材质：304不锈钢；</w:t>
      </w:r>
    </w:p>
    <w:p w14:paraId="49B7F9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（6）控制主板：PLC+7寸触摸屏；</w:t>
      </w:r>
    </w:p>
    <w:p w14:paraId="3314901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（7）网络接口：4G、以太网、RS485、WLAN；</w:t>
      </w:r>
    </w:p>
    <w:p w14:paraId="0C3AC68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（8）控制方式：机身按键、触摸屏、遥控器；</w:t>
      </w:r>
    </w:p>
    <w:p w14:paraId="271CA9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（9）外形尺寸：≥L1000mm*H850mm*W600mm；</w:t>
      </w:r>
    </w:p>
    <w:p w14:paraId="37D8DFE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（10）药剂配比：自动配比药液；</w:t>
      </w:r>
    </w:p>
    <w:p w14:paraId="0DFDB79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（11）净 重：≤100KG；</w:t>
      </w:r>
    </w:p>
    <w:p w14:paraId="6D251D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▲（12）接地电阻≤0.05Ω；（提供具有CMA或CNAS认证资质的检测机构出具的、处于有效期内的检测报告扫描件并加盖公章）</w:t>
      </w:r>
    </w:p>
    <w:p w14:paraId="70773FC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（13）厂界噪音检测≤65db；</w:t>
      </w:r>
    </w:p>
    <w:p w14:paraId="6B76B16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▲（14）浪涌（冲击）试验：实验中和试验后设备均能正常工作。（提供具有CMA或CNAS认证资质的检测机构出具的、处于有效期内的检测报告扫描件并加盖公章）</w:t>
      </w:r>
    </w:p>
    <w:p w14:paraId="2C90958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（15）性能要求（具有以下多个系统）：</w:t>
      </w:r>
    </w:p>
    <w:p w14:paraId="14441CA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①安全自动泄压：当喷雾机停止工作时，机体自动将高压喷管的压力释放，防止喷头滴水；　　</w:t>
      </w:r>
    </w:p>
    <w:p w14:paraId="131CAB9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 xml:space="preserve">②自动缺水、缺药断电：防止因无水时泵空转现象，提高泵寿命； </w:t>
      </w:r>
    </w:p>
    <w:p w14:paraId="1E0F8BD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③自动喷雾系统：操作人员可根据实际情况设定喷雾时间和喷雾间隔时间。</w:t>
      </w:r>
    </w:p>
    <w:p w14:paraId="4F1E1F7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④应用回流新技术：避免管道积水、沉淀、长苔、保障喷头喷雾效果，喷头配有止滴器，喷头不滴水。配备多重过滤器和过滤箱，有效净化水源，减少喷头堵塞，增加运行效率。</w:t>
      </w:r>
    </w:p>
    <w:p w14:paraId="506347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⑤自动配比功能：系统可以根据要求的药剂的配比，自动配比出符合要求的药剂溶液，并储存于缓存水箱内，供喷雾系统使用，这样既便是在停水状态下只要有水就可以实现继续喷雾除臭和降尘。</w:t>
      </w:r>
    </w:p>
    <w:p w14:paraId="567864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⑥故障报警和信息显示模块：当设备缺液时蜂鸣器一直响，提示加药。正常工作时绿色指示灯亮，进水时黄色指示灯亮。</w:t>
      </w:r>
    </w:p>
    <w:p w14:paraId="7DFE5C7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⑦系统功能：可根据实际情况设定开机和停机时间，设定范围可根据环境需求设定为全天24小时工作或者分几个时间区域工作。</w:t>
      </w:r>
    </w:p>
    <w:p w14:paraId="4CBDDE2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⑧触摸屏：自主研发软件、硬件，对设备进行控制与管理。</w:t>
      </w:r>
    </w:p>
    <w:p w14:paraId="08073B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⑨遥控功能：可随时控制设备运行、启动与停止、模式选择，方便操作。</w:t>
      </w:r>
    </w:p>
    <w:p w14:paraId="739A884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2.7、安全监控系统技术参数</w:t>
      </w:r>
    </w:p>
    <w:p w14:paraId="0E7830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（1）全彩红外一体枪式摄像头</w:t>
      </w:r>
    </w:p>
    <w:p w14:paraId="7D88F7A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1）400万全彩筒型网络摄像机</w:t>
      </w:r>
    </w:p>
    <w:p w14:paraId="4FEFF66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2）全彩级高灵敏度传感器，F1.0超大光圈镜头，提供更清晰的视频流输入；</w:t>
      </w:r>
    </w:p>
    <w:p w14:paraId="744B98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3）支持柔光灯补光，照射距离最远可达30 m</w:t>
      </w:r>
    </w:p>
    <w:p w14:paraId="3DE295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4）在大模型的加持下，对人、机动车等高价值目标进行解析，通过ROI分割技术，分离前景目标与背景区域，前景采用常规编码保障细节完整，背景实施高效压缩降低存储占用，兼顾画质与效率</w:t>
      </w:r>
    </w:p>
    <w:p w14:paraId="4DB9008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5）具有AI-ISP图像质量提升功能，在低照度环境下，可自动调节预览场景视频画面中人脸、人体、车辆等目标及预览场景视频画面的区域曝光、亮度、色彩饱和度、对比度、锐度等；</w:t>
      </w:r>
    </w:p>
    <w:p w14:paraId="3B6AC1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6）内置1颗CPU、GPU、NPU于一体的芯片。</w:t>
      </w:r>
    </w:p>
    <w:p w14:paraId="7EA53DF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7）≥1个内置麦克风，高清拾音，≥1个内置扬声器</w:t>
      </w:r>
    </w:p>
    <w:p w14:paraId="10F2002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8）传感器类型：1/1.8" Progressive Scan CMOS或更优；</w:t>
      </w:r>
    </w:p>
    <w:p w14:paraId="3BA5C07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9）网络：1个RJ45 10 M/100 M自适应以太网口；</w:t>
      </w:r>
    </w:p>
    <w:p w14:paraId="2066047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10）含支架。</w:t>
      </w:r>
    </w:p>
    <w:p w14:paraId="56F8ABB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（2）红外双眸防水一体变焦全球摄像头</w:t>
      </w:r>
    </w:p>
    <w:p w14:paraId="332155B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1）全景采用1/1.8 F1.0大光圈镜头，细节采用1/1.8大倍率镜头</w:t>
      </w:r>
    </w:p>
    <w:p w14:paraId="6833C28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2）道路监控：支持车辆检测(支持车牌识别,车型/车身颜色/车牌颜色识别)和混行检测，多场景巡航检测、云存储服务功能；</w:t>
      </w:r>
    </w:p>
    <w:p w14:paraId="0B2B7FB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3）人脸抓拍：支持对运动人脸进行检测、跟踪、抓拍、评分、筛选，输出最优的人脸；</w:t>
      </w:r>
    </w:p>
    <w:p w14:paraId="6794116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4）支持最大2560 × 1440 @25 fps高清画面输出；</w:t>
      </w:r>
    </w:p>
    <w:p w14:paraId="6F3028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5）支持H.265高效压缩算法，可较大节省存储空间；</w:t>
      </w:r>
    </w:p>
    <w:p w14:paraId="4A72C4C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6）支持26光学变倍，16倍数字变倍；</w:t>
      </w:r>
    </w:p>
    <w:p w14:paraId="71CC16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7）采用高效红外阵列，低功耗，照射距离最远可达250 m；</w:t>
      </w:r>
    </w:p>
    <w:p w14:paraId="229BBE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8）支持数字宽动态；</w:t>
      </w:r>
    </w:p>
    <w:p w14:paraId="6F48545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9）支持3D数字降噪、强光抑制、SmartIR；</w:t>
      </w:r>
    </w:p>
    <w:p w14:paraId="4AFB06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10）支持360°水平旋转，垂直方向-15°~90°（自动翻转）；</w:t>
      </w:r>
    </w:p>
    <w:p w14:paraId="3D68710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11）支持1路音频输入和1路音频输出；</w:t>
      </w:r>
    </w:p>
    <w:p w14:paraId="6F14BCB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12）内置7路报警输入和2路报警输出，支持报警联动功能;</w:t>
      </w:r>
    </w:p>
    <w:p w14:paraId="7B0049F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13）设备白光补光灯开启，可识别距设备60米处的人体轮廓，设备红外补光灯开启，可识别距设备250米处的人体轮廓；</w:t>
      </w:r>
    </w:p>
    <w:p w14:paraId="78C411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14）开启混合目标检测模式后，设备可同时对行人，非机动车，机动车进行检测，跟踪及抓拍；</w:t>
      </w:r>
    </w:p>
    <w:p w14:paraId="69F010B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15）支持偏移自动校正功能，设备运动结束静止在某个位置，当设备水平和垂直角度方向受到外力作用发生偏移时，水平和垂直角度方向均可以自动恢复到偏移前的位置；</w:t>
      </w:r>
    </w:p>
    <w:p w14:paraId="11BAFF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16）含支架。</w:t>
      </w:r>
    </w:p>
    <w:p w14:paraId="6433E52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（3）硬盘：4TB容量，SATA3.0接口，5400RPM</w:t>
      </w:r>
    </w:p>
    <w:p w14:paraId="6E91D84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（4）4路监控主机</w:t>
      </w:r>
    </w:p>
    <w:p w14:paraId="3994D7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1）盘位嵌入式网络硬盘录像机，采用短机箱设计，搭载高性能电源</w:t>
      </w:r>
    </w:p>
    <w:p w14:paraId="74283DC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2）存储接口：≥1个SATA接口，可满配≥8TB硬盘</w:t>
      </w:r>
    </w:p>
    <w:p w14:paraId="2B3996A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3）视频接口：≥1×HDMI，≥1×VGA</w:t>
      </w:r>
    </w:p>
    <w:p w14:paraId="2740B0F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4）网络接口：≥2×RJ45 10/100Mbps自适应以太网口</w:t>
      </w:r>
    </w:p>
    <w:p w14:paraId="512BD30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5）报警接口：≥4路报警输入，≥1路报警输出</w:t>
      </w:r>
    </w:p>
    <w:p w14:paraId="0FC44A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6）USB接口：≥2×USB 2.0</w:t>
      </w:r>
    </w:p>
    <w:p w14:paraId="200902A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7）输入带宽：≥40Mbps，输出带宽：≥80Mbps</w:t>
      </w:r>
    </w:p>
    <w:p w14:paraId="5BCB58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8）接入能力：≥4路H.264、H.265格式高清码流接入</w:t>
      </w:r>
    </w:p>
    <w:p w14:paraId="0F63EB1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9）解码能力：最大支持≥6×1080P</w:t>
      </w:r>
    </w:p>
    <w:p w14:paraId="0F21A87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10）显示能力：最大支持4K输出</w:t>
      </w:r>
    </w:p>
    <w:p w14:paraId="24EC08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（5）8路千兆网络交换机</w:t>
      </w:r>
    </w:p>
    <w:p w14:paraId="2EAFD46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1）提供≥8个千兆PoE电口</w:t>
      </w:r>
    </w:p>
    <w:p w14:paraId="22DF96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2）交换容量：≥16 Gbps，包转发率：≥11.91 Mpps</w:t>
      </w:r>
    </w:p>
    <w:p w14:paraId="25ACEBD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3）支持IEEE 802.3at/af</w:t>
      </w:r>
    </w:p>
    <w:p w14:paraId="4794A32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4）端口最大供电功率：≥30 W，整机最大供电功率：≥60 W</w:t>
      </w:r>
    </w:p>
    <w:p w14:paraId="04725EB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（6）网络水晶头≥20个</w:t>
      </w:r>
    </w:p>
    <w:p w14:paraId="6DCF13E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（7）超五类网线：黑色无氧铜</w:t>
      </w:r>
    </w:p>
    <w:p w14:paraId="3091339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2.8、渗滤液处理系统技术参数</w:t>
      </w:r>
    </w:p>
    <w:p w14:paraId="6554043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1）处理工艺：隔油调节池 → 混凝沉淀单元 → 改良型生化池 → MBR膜处理系统 → 达标出水</w:t>
      </w:r>
    </w:p>
    <w:p w14:paraId="7E04FC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2）污泥处理路径：混凝沉淀池排泥+生化剩余污泥 → 污泥暂存池，定期委外处置</w:t>
      </w:r>
    </w:p>
    <w:p w14:paraId="4DDA5C3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3）设计处理规模：≤2t/d（0.083m³/h，24h间歇运行）</w:t>
      </w:r>
    </w:p>
    <w:p w14:paraId="0767C8F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4）改良型生化主体外形尺寸：≥6.5m × 3.0m × 3.0m</w:t>
      </w:r>
    </w:p>
    <w:p w14:paraId="516BD10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5）整套一体化设备占地面积：≤20㎡</w:t>
      </w:r>
    </w:p>
    <w:p w14:paraId="4556C2E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6）MBR膜组件总面积：≥40㎡</w:t>
      </w:r>
    </w:p>
    <w:p w14:paraId="4C838AD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7）设备总装机功率：≤22kW</w:t>
      </w:r>
    </w:p>
    <w:p w14:paraId="4E76E33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8）控制方式：PLC全自动控制系统，支持远程监控、实时运行数据查看、历史数据调取</w:t>
      </w:r>
    </w:p>
    <w:p w14:paraId="4D48357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9）人机操作：触摸液晶屏就地操作</w:t>
      </w:r>
    </w:p>
    <w:p w14:paraId="03ECE3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10）安全保护：断水保护、漏水保护、电机过载保护</w:t>
      </w:r>
    </w:p>
    <w:p w14:paraId="2933ABE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11）供电电源：380V/50Hz</w:t>
      </w:r>
    </w:p>
    <w:p w14:paraId="65FB18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12）设备安装形式：一体化撬装结构或地埋式</w:t>
      </w:r>
    </w:p>
    <w:p w14:paraId="676F2A5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13）水质排放标准：《污水排入城镇下水道水质标准》（GB/T 31962-2015）表1中B级限值。</w:t>
      </w:r>
    </w:p>
    <w:p w14:paraId="5243CFB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2.9、高压清洗机技术参数</w:t>
      </w:r>
    </w:p>
    <w:p w14:paraId="56A5D36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1）功率（kW）：3；</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2）电压（V）：220；</w:t>
      </w:r>
    </w:p>
    <w:p w14:paraId="73C09B4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3）额定压力（MPa）：≥8；</w:t>
      </w:r>
    </w:p>
    <w:p w14:paraId="2061948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4）流量（L/min）：＞15，≤20；</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5）品牌：国产品牌；</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6）冲洗压力（Mpa）：8-25（可调）。</w:t>
      </w:r>
    </w:p>
    <w:p w14:paraId="7B776405">
      <w:pPr>
        <w:rPr>
          <w:rFonts w:hint="default"/>
          <w:lang w:val="en-US" w:eastAsia="zh-CN"/>
        </w:rPr>
      </w:pPr>
    </w:p>
    <w:p w14:paraId="5330DD87">
      <w:pPr>
        <w:pStyle w:val="3"/>
        <w:adjustRightInd w:val="0"/>
        <w:snapToGrid w:val="0"/>
        <w:spacing w:before="156" w:beforeLines="50"/>
        <w:jc w:val="center"/>
        <w:rPr>
          <w:rFonts w:ascii="黑体" w:hAnsi="黑体" w:eastAsia="黑体"/>
          <w:highlight w:val="none"/>
        </w:rPr>
      </w:pPr>
      <w:bookmarkStart w:id="21"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21"/>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w:t>
      </w:r>
      <w:r>
        <w:rPr>
          <w:rFonts w:hint="eastAsia" w:ascii="宋体" w:hAnsi="宋体"/>
          <w:iCs/>
          <w:color w:val="000000"/>
          <w:sz w:val="24"/>
          <w:szCs w:val="24"/>
          <w:highlight w:val="none"/>
          <w:lang w:val="zh-TW" w:eastAsia="zh-CN"/>
        </w:rPr>
        <w:t>，</w:t>
      </w:r>
      <w:r>
        <w:rPr>
          <w:rFonts w:hint="eastAsia" w:ascii="宋体" w:hAnsi="宋体" w:eastAsia="宋体"/>
          <w:iCs/>
          <w:color w:val="000000"/>
          <w:sz w:val="24"/>
          <w:szCs w:val="24"/>
          <w:highlight w:val="none"/>
          <w:lang w:val="zh-TW" w:eastAsia="zh-CN"/>
        </w:rPr>
        <w:t>要求</w:t>
      </w:r>
      <w:r>
        <w:rPr>
          <w:rFonts w:hint="eastAsia" w:ascii="宋体" w:hAnsi="宋体"/>
          <w:iCs/>
          <w:color w:val="auto"/>
          <w:sz w:val="24"/>
          <w:szCs w:val="24"/>
          <w:highlight w:val="none"/>
          <w:lang w:val="en-US" w:eastAsia="zh-CN"/>
        </w:rPr>
        <w:t>40</w:t>
      </w:r>
      <w:r>
        <w:rPr>
          <w:rFonts w:hint="eastAsia" w:ascii="宋体" w:hAnsi="宋体" w:eastAsia="宋体"/>
          <w:iCs/>
          <w:color w:val="auto"/>
          <w:sz w:val="24"/>
          <w:szCs w:val="24"/>
          <w:highlight w:val="none"/>
        </w:rPr>
        <w:t>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40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现场踏勘：采购人</w:t>
      </w:r>
      <w:r>
        <w:rPr>
          <w:rFonts w:hint="eastAsia" w:ascii="宋体" w:hAnsi="宋体"/>
          <w:sz w:val="24"/>
          <w:szCs w:val="24"/>
          <w:highlight w:val="none"/>
          <w:lang w:val="en-US" w:eastAsia="zh-CN"/>
        </w:rPr>
        <w:t>不</w:t>
      </w:r>
      <w:r>
        <w:rPr>
          <w:rFonts w:hint="eastAsia" w:ascii="宋体" w:hAnsi="宋体" w:eastAsia="宋体"/>
          <w:sz w:val="24"/>
          <w:szCs w:val="24"/>
          <w:highlight w:val="none"/>
          <w:lang w:val="en-US" w:eastAsia="zh-CN"/>
        </w:rPr>
        <w:t>组织项目踏勘，各投标人自行根据情况进行项目勘察，费用自理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22" w:name="_Toc286172015"/>
    </w:p>
    <w:bookmarkEnd w:id="22"/>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如有变动，以双方签订的合同为准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23" w:type="first"/>
          <w:footerReference r:id="rId26" w:type="first"/>
          <w:headerReference r:id="rId21" w:type="default"/>
          <w:footerReference r:id="rId24" w:type="default"/>
          <w:headerReference r:id="rId22" w:type="even"/>
          <w:footerReference r:id="rId25" w:type="even"/>
          <w:pgSz w:w="11906" w:h="16838"/>
          <w:pgMar w:top="1440" w:right="1080" w:bottom="1440" w:left="1080" w:header="851" w:footer="992" w:gutter="0"/>
          <w:pgNumType w:fmt="decimal"/>
          <w:cols w:space="720" w:num="1"/>
          <w:docGrid w:type="lines" w:linePitch="312" w:charSpace="0"/>
        </w:sectPr>
      </w:pPr>
    </w:p>
    <w:bookmarkEnd w:id="20"/>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9"/>
    </w:p>
    <w:p w14:paraId="4DC0A9C0">
      <w:pPr>
        <w:pStyle w:val="3"/>
        <w:jc w:val="center"/>
        <w:rPr>
          <w:rFonts w:ascii="黑体" w:hAnsi="华文中宋" w:eastAsia="黑体"/>
          <w:b w:val="0"/>
          <w:sz w:val="28"/>
          <w:szCs w:val="28"/>
        </w:rPr>
      </w:pPr>
      <w:bookmarkStart w:id="23"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27" w:type="default"/>
          <w:footerReference r:id="rId28"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3"/>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4" w:name="__RefHeading___Toc21990_WPSOffice_Level1"/>
      <w:bookmarkEnd w:id="24"/>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40</w:t>
            </w:r>
            <w:r>
              <w:rPr>
                <w:rFonts w:hint="eastAsia" w:ascii="宋体" w:hAnsi="宋体" w:eastAsia="宋体" w:cs="宋体"/>
                <w:kern w:val="2"/>
                <w:sz w:val="21"/>
                <w:szCs w:val="21"/>
                <w:highlight w:val="none"/>
                <w:lang w:val="en-US" w:eastAsia="zh-CN" w:bidi="ar-SA"/>
              </w:rPr>
              <w:t>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5" w:name="__RefHeading___Toc16455_WPSOffice_Level1"/>
      <w:bookmarkEnd w:id="25"/>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6" w:name="__RefHeading___Toc24456_WPSOffice_Level1"/>
      <w:bookmarkEnd w:id="26"/>
      <w:r>
        <w:rPr>
          <w:rFonts w:hint="eastAsia" w:ascii="华文中宋" w:hAnsi="华文中宋" w:eastAsia="华文中宋" w:cs="华文中宋"/>
          <w:bCs/>
          <w:sz w:val="84"/>
          <w:szCs w:val="84"/>
        </w:rPr>
        <w:t>岳阳政府采购</w:t>
      </w:r>
    </w:p>
    <w:p w14:paraId="143C3D09">
      <w:pPr>
        <w:jc w:val="center"/>
      </w:pPr>
      <w:bookmarkStart w:id="27" w:name="__RefHeading___Toc29416_WPSOffice_Level1"/>
      <w:bookmarkEnd w:id="27"/>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8" w:name="__RefHeading___Toc14496_WPSOffice_Level1"/>
      <w:bookmarkEnd w:id="28"/>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7FED7E47">
      <w:pPr>
        <w:numPr>
          <w:ilvl w:val="0"/>
          <w:numId w:val="0"/>
        </w:numPr>
        <w:jc w:val="center"/>
        <w:rPr>
          <w:rFonts w:hint="eastAsia" w:ascii="黑体" w:hAnsi="宋体" w:eastAsia="黑体"/>
          <w:sz w:val="28"/>
          <w:szCs w:val="28"/>
        </w:rPr>
      </w:pPr>
      <w:bookmarkStart w:id="29"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9AA76B7">
      <w:pPr>
        <w:pStyle w:val="4"/>
        <w:adjustRightInd w:val="0"/>
        <w:snapToGrid w:val="0"/>
        <w:spacing w:before="0" w:after="0" w:line="360" w:lineRule="auto"/>
        <w:ind w:left="0" w:firstLine="0"/>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5ACBA57E">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2FAEB119">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0BD8B079">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5F18CA55">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5CA7DC3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0C66D33C">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236199B">
      <w:pPr>
        <w:tabs>
          <w:tab w:val="left" w:pos="4725"/>
        </w:tabs>
        <w:adjustRightInd w:val="0"/>
        <w:snapToGrid w:val="0"/>
        <w:spacing w:line="360" w:lineRule="auto"/>
        <w:rPr>
          <w:rFonts w:ascii="宋体" w:hAnsi="宋体" w:cs="宋体"/>
          <w:szCs w:val="21"/>
        </w:rPr>
      </w:pPr>
    </w:p>
    <w:p w14:paraId="5B415AE9">
      <w:pPr>
        <w:widowControl/>
        <w:adjustRightInd w:val="0"/>
        <w:snapToGrid w:val="0"/>
        <w:spacing w:line="360" w:lineRule="auto"/>
        <w:jc w:val="left"/>
        <w:rPr>
          <w:rFonts w:ascii="黑体" w:hAnsi="仿宋" w:eastAsia="黑体" w:cs="宋体"/>
          <w:szCs w:val="21"/>
        </w:rPr>
      </w:pPr>
      <w:bookmarkStart w:id="30" w:name="_Toc20651249"/>
    </w:p>
    <w:p w14:paraId="239ABDE7">
      <w:pPr>
        <w:widowControl/>
        <w:adjustRightInd w:val="0"/>
        <w:snapToGrid w:val="0"/>
        <w:spacing w:line="360" w:lineRule="auto"/>
        <w:jc w:val="left"/>
        <w:rPr>
          <w:rFonts w:hint="eastAsia" w:ascii="黑体" w:hAnsi="仿宋" w:cs="宋体"/>
          <w:b/>
          <w:bCs/>
          <w:szCs w:val="21"/>
        </w:rPr>
      </w:pPr>
    </w:p>
    <w:p w14:paraId="741A336E">
      <w:pPr>
        <w:widowControl/>
        <w:adjustRightInd w:val="0"/>
        <w:snapToGrid w:val="0"/>
        <w:spacing w:line="360" w:lineRule="auto"/>
        <w:jc w:val="left"/>
        <w:rPr>
          <w:rFonts w:hint="eastAsia" w:ascii="黑体" w:hAnsi="仿宋" w:cs="宋体"/>
          <w:b/>
          <w:bCs/>
          <w:szCs w:val="21"/>
        </w:rPr>
      </w:pPr>
    </w:p>
    <w:p w14:paraId="006BCB3E">
      <w:pPr>
        <w:widowControl/>
        <w:adjustRightInd w:val="0"/>
        <w:snapToGrid w:val="0"/>
        <w:spacing w:line="360" w:lineRule="auto"/>
        <w:jc w:val="left"/>
        <w:rPr>
          <w:rFonts w:hint="eastAsia" w:ascii="黑体" w:hAnsi="仿宋" w:cs="宋体"/>
          <w:b/>
          <w:bCs/>
          <w:szCs w:val="21"/>
        </w:rPr>
      </w:pPr>
    </w:p>
    <w:p w14:paraId="68F56E6C">
      <w:pPr>
        <w:widowControl/>
        <w:adjustRightInd w:val="0"/>
        <w:snapToGrid w:val="0"/>
        <w:spacing w:line="360" w:lineRule="auto"/>
        <w:jc w:val="left"/>
        <w:rPr>
          <w:rFonts w:hint="eastAsia" w:ascii="黑体" w:hAnsi="仿宋" w:cs="宋体"/>
          <w:b/>
          <w:bCs/>
          <w:szCs w:val="21"/>
        </w:rPr>
      </w:pPr>
    </w:p>
    <w:p w14:paraId="71CC0483">
      <w:pPr>
        <w:widowControl/>
        <w:adjustRightInd w:val="0"/>
        <w:snapToGrid w:val="0"/>
        <w:spacing w:line="360" w:lineRule="auto"/>
        <w:jc w:val="left"/>
        <w:rPr>
          <w:rFonts w:hint="eastAsia" w:ascii="黑体" w:hAnsi="仿宋" w:cs="宋体"/>
          <w:b/>
          <w:bCs/>
          <w:szCs w:val="21"/>
        </w:rPr>
      </w:pPr>
    </w:p>
    <w:p w14:paraId="77B2268C">
      <w:pPr>
        <w:widowControl/>
        <w:adjustRightInd w:val="0"/>
        <w:snapToGrid w:val="0"/>
        <w:spacing w:line="360" w:lineRule="auto"/>
        <w:jc w:val="left"/>
        <w:rPr>
          <w:rFonts w:hint="eastAsia" w:ascii="黑体" w:hAnsi="仿宋" w:cs="宋体"/>
          <w:b/>
          <w:bCs/>
          <w:szCs w:val="21"/>
        </w:rPr>
      </w:pPr>
    </w:p>
    <w:p w14:paraId="70128C0F">
      <w:pPr>
        <w:widowControl/>
        <w:adjustRightInd w:val="0"/>
        <w:snapToGrid w:val="0"/>
        <w:spacing w:line="360" w:lineRule="auto"/>
        <w:jc w:val="left"/>
        <w:rPr>
          <w:rFonts w:hint="eastAsia" w:ascii="黑体" w:hAnsi="仿宋" w:cs="宋体"/>
          <w:b/>
          <w:bCs/>
          <w:szCs w:val="21"/>
        </w:rPr>
      </w:pPr>
    </w:p>
    <w:p w14:paraId="721BCA4E">
      <w:pPr>
        <w:widowControl/>
        <w:adjustRightInd w:val="0"/>
        <w:snapToGrid w:val="0"/>
        <w:spacing w:line="360" w:lineRule="auto"/>
        <w:jc w:val="left"/>
        <w:rPr>
          <w:rFonts w:hint="eastAsia" w:ascii="黑体" w:hAnsi="仿宋" w:cs="宋体"/>
          <w:b/>
          <w:bCs/>
          <w:szCs w:val="21"/>
        </w:rPr>
      </w:pPr>
    </w:p>
    <w:p w14:paraId="7A6BBF02">
      <w:pPr>
        <w:widowControl/>
        <w:adjustRightInd w:val="0"/>
        <w:snapToGrid w:val="0"/>
        <w:spacing w:line="360" w:lineRule="auto"/>
        <w:jc w:val="left"/>
        <w:rPr>
          <w:rFonts w:hint="eastAsia" w:ascii="黑体" w:hAnsi="仿宋" w:cs="宋体"/>
          <w:b/>
          <w:bCs/>
          <w:szCs w:val="21"/>
        </w:rPr>
      </w:pPr>
    </w:p>
    <w:p w14:paraId="64424ABB">
      <w:pPr>
        <w:widowControl/>
        <w:adjustRightInd w:val="0"/>
        <w:snapToGrid w:val="0"/>
        <w:spacing w:line="360" w:lineRule="auto"/>
        <w:jc w:val="left"/>
        <w:rPr>
          <w:rFonts w:hint="eastAsia" w:ascii="黑体" w:hAnsi="仿宋" w:cs="宋体"/>
          <w:b/>
          <w:bCs/>
          <w:szCs w:val="21"/>
        </w:rPr>
      </w:pPr>
    </w:p>
    <w:p w14:paraId="702D5AF9">
      <w:pPr>
        <w:widowControl/>
        <w:adjustRightInd w:val="0"/>
        <w:snapToGrid w:val="0"/>
        <w:spacing w:line="360" w:lineRule="auto"/>
        <w:jc w:val="left"/>
        <w:rPr>
          <w:rFonts w:hint="eastAsia" w:ascii="黑体" w:hAnsi="仿宋" w:cs="宋体"/>
          <w:b/>
          <w:bCs/>
          <w:szCs w:val="21"/>
        </w:rPr>
      </w:pPr>
    </w:p>
    <w:p w14:paraId="2F94B91B">
      <w:pPr>
        <w:widowControl/>
        <w:adjustRightInd w:val="0"/>
        <w:snapToGrid w:val="0"/>
        <w:spacing w:line="360" w:lineRule="auto"/>
        <w:jc w:val="left"/>
        <w:rPr>
          <w:rFonts w:hint="eastAsia" w:ascii="黑体" w:hAnsi="仿宋" w:cs="宋体"/>
          <w:b/>
          <w:bCs/>
          <w:szCs w:val="21"/>
        </w:rPr>
      </w:pPr>
    </w:p>
    <w:p w14:paraId="5EA3D7F6">
      <w:pPr>
        <w:widowControl/>
        <w:adjustRightInd w:val="0"/>
        <w:snapToGrid w:val="0"/>
        <w:spacing w:line="360" w:lineRule="auto"/>
        <w:jc w:val="left"/>
        <w:rPr>
          <w:rFonts w:hint="eastAsia" w:ascii="黑体" w:hAnsi="仿宋" w:cs="宋体"/>
          <w:b/>
          <w:bCs/>
          <w:szCs w:val="21"/>
        </w:rPr>
      </w:pPr>
    </w:p>
    <w:p w14:paraId="502B1CD4">
      <w:pPr>
        <w:widowControl/>
        <w:adjustRightInd w:val="0"/>
        <w:snapToGrid w:val="0"/>
        <w:spacing w:line="360" w:lineRule="auto"/>
        <w:jc w:val="left"/>
        <w:rPr>
          <w:rFonts w:hint="eastAsia" w:ascii="黑体" w:hAnsi="仿宋" w:cs="宋体"/>
          <w:b/>
          <w:bCs/>
          <w:szCs w:val="21"/>
        </w:rPr>
      </w:pPr>
    </w:p>
    <w:p w14:paraId="296374A1">
      <w:pPr>
        <w:widowControl/>
        <w:adjustRightInd w:val="0"/>
        <w:snapToGrid w:val="0"/>
        <w:spacing w:line="360" w:lineRule="auto"/>
        <w:jc w:val="left"/>
        <w:rPr>
          <w:rFonts w:hint="eastAsia" w:ascii="黑体" w:hAnsi="仿宋" w:cs="宋体"/>
          <w:b/>
          <w:bCs/>
          <w:szCs w:val="21"/>
        </w:rPr>
      </w:pPr>
    </w:p>
    <w:p w14:paraId="1A16A244">
      <w:pPr>
        <w:widowControl/>
        <w:adjustRightInd w:val="0"/>
        <w:snapToGrid w:val="0"/>
        <w:spacing w:line="360" w:lineRule="auto"/>
        <w:jc w:val="left"/>
        <w:rPr>
          <w:rFonts w:ascii="黑体" w:hAnsi="仿宋" w:cs="宋体"/>
          <w:b/>
          <w:bCs/>
          <w:szCs w:val="21"/>
        </w:rPr>
      </w:pPr>
    </w:p>
    <w:p w14:paraId="187DEAB4">
      <w:pPr>
        <w:widowControl/>
        <w:adjustRightInd w:val="0"/>
        <w:snapToGrid w:val="0"/>
        <w:spacing w:line="360" w:lineRule="auto"/>
        <w:jc w:val="left"/>
        <w:rPr>
          <w:rFonts w:hint="eastAsia" w:ascii="黑体" w:hAnsi="仿宋" w:cs="宋体"/>
          <w:b/>
          <w:bCs/>
          <w:szCs w:val="21"/>
        </w:rPr>
      </w:pPr>
    </w:p>
    <w:p w14:paraId="1C072C7F">
      <w:pPr>
        <w:widowControl/>
        <w:adjustRightInd w:val="0"/>
        <w:snapToGrid w:val="0"/>
        <w:spacing w:line="360" w:lineRule="auto"/>
        <w:jc w:val="left"/>
        <w:rPr>
          <w:rFonts w:hint="eastAsia" w:ascii="黑体" w:hAnsi="仿宋" w:cs="宋体"/>
          <w:b/>
          <w:bCs/>
          <w:szCs w:val="21"/>
        </w:rPr>
      </w:pPr>
    </w:p>
    <w:bookmarkEnd w:id="30"/>
    <w:p w14:paraId="2B726048">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4E1E64B1">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1A82627C">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4ED5C940">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184AAA62">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5026843E">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26F157DE">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3A81E90">
      <w:pPr>
        <w:adjustRightInd w:val="0"/>
        <w:snapToGrid w:val="0"/>
        <w:spacing w:before="156" w:beforeLines="50" w:line="360" w:lineRule="auto"/>
        <w:ind w:firstLine="420" w:firstLineChars="200"/>
        <w:rPr>
          <w:rFonts w:ascii="宋体" w:hAnsi="宋体"/>
        </w:rPr>
      </w:pPr>
    </w:p>
    <w:p w14:paraId="39A85031">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01F6CDA5">
      <w:pPr>
        <w:widowControl/>
        <w:jc w:val="left"/>
        <w:rPr>
          <w:rFonts w:hint="eastAsia" w:ascii="黑体" w:hAnsi="仿宋" w:cs="宋体"/>
          <w:b/>
          <w:szCs w:val="21"/>
        </w:rPr>
      </w:pPr>
    </w:p>
    <w:p w14:paraId="22157388">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3EA221D7">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2FC35CB7">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297C387">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700E1D8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0EBFD78C">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36A061C9">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14BBDEA7">
      <w:pPr>
        <w:pStyle w:val="5"/>
        <w:adjustRightInd w:val="0"/>
        <w:snapToGrid w:val="0"/>
        <w:spacing w:before="156" w:beforeLines="50" w:after="0" w:line="360" w:lineRule="auto"/>
        <w:rPr>
          <w:rFonts w:ascii="黑体" w:hAnsi="仿宋" w:cs="宋体"/>
          <w:b w:val="0"/>
          <w:sz w:val="21"/>
          <w:szCs w:val="21"/>
        </w:rPr>
      </w:pPr>
    </w:p>
    <w:p w14:paraId="32D44FE2">
      <w:pPr>
        <w:widowControl/>
        <w:adjustRightInd w:val="0"/>
        <w:snapToGrid w:val="0"/>
        <w:spacing w:before="156" w:beforeLines="50" w:line="360" w:lineRule="auto"/>
        <w:jc w:val="center"/>
        <w:rPr>
          <w:rFonts w:hint="eastAsia" w:ascii="黑体" w:hAnsi="仿宋" w:eastAsia="黑体" w:cs="宋体"/>
          <w:b/>
          <w:sz w:val="28"/>
          <w:szCs w:val="28"/>
        </w:rPr>
      </w:pPr>
    </w:p>
    <w:p w14:paraId="22B0A7F6">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4F280606">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2D69A7D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1AF1C63B">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48B457B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3EF75A08">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442E530A">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FD6FE7">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2C5E00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0DFBB822">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079B23B8">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1E4C4A7C">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2533F6A2">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3C0B31A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0256CCE7">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BA9F7FA">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18375143">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1B92FD2">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212DE8C9">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7805BA97">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0A73594">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6356AA3B">
      <w:pPr>
        <w:widowControl/>
        <w:adjustRightInd w:val="0"/>
        <w:snapToGrid w:val="0"/>
        <w:spacing w:before="156" w:beforeLines="50" w:line="360" w:lineRule="auto"/>
        <w:jc w:val="left"/>
        <w:rPr>
          <w:rFonts w:ascii="宋体" w:hAnsi="宋体" w:cs="宋体"/>
          <w:szCs w:val="21"/>
        </w:rPr>
      </w:pPr>
    </w:p>
    <w:p w14:paraId="41AA3021">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6D767213">
      <w:pPr>
        <w:widowControl/>
        <w:adjustRightInd w:val="0"/>
        <w:snapToGrid w:val="0"/>
        <w:spacing w:before="156" w:beforeLines="50" w:line="360" w:lineRule="auto"/>
        <w:jc w:val="left"/>
        <w:rPr>
          <w:rFonts w:ascii="宋体" w:hAnsi="宋体" w:cs="宋体"/>
          <w:szCs w:val="21"/>
        </w:rPr>
      </w:pPr>
    </w:p>
    <w:p w14:paraId="61236AA6">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18C22C48">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A2A88ED">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BB59A0F">
      <w:pPr>
        <w:widowControl/>
        <w:jc w:val="left"/>
        <w:rPr>
          <w:rFonts w:ascii="黑体" w:hAnsi="仿宋" w:cs="宋体"/>
          <w:szCs w:val="21"/>
        </w:rPr>
      </w:pPr>
      <w:r>
        <w:rPr>
          <w:rFonts w:ascii="黑体" w:hAnsi="仿宋" w:cs="宋体"/>
          <w:b/>
          <w:szCs w:val="21"/>
        </w:rPr>
        <w:br w:type="page"/>
      </w:r>
    </w:p>
    <w:p w14:paraId="49FEDFEA">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50736B6F">
      <w:pPr>
        <w:widowControl/>
        <w:adjustRightInd w:val="0"/>
        <w:snapToGrid w:val="0"/>
        <w:spacing w:line="360" w:lineRule="auto"/>
        <w:ind w:firstLine="560" w:firstLineChars="200"/>
        <w:jc w:val="left"/>
        <w:rPr>
          <w:rFonts w:ascii="黑体" w:hAnsi="仿宋" w:eastAsia="黑体" w:cs="宋体"/>
          <w:sz w:val="28"/>
          <w:szCs w:val="28"/>
        </w:rPr>
      </w:pPr>
    </w:p>
    <w:p w14:paraId="3C9E8043">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9"/>
    <w:p w14:paraId="76CCEA55">
      <w:pPr>
        <w:spacing w:line="400" w:lineRule="exact"/>
        <w:rPr>
          <w:rFonts w:hint="eastAsia" w:ascii="黑体" w:hAnsi="黑体" w:eastAsia="黑体" w:cs="黑体"/>
          <w:sz w:val="28"/>
          <w:szCs w:val="28"/>
        </w:rPr>
      </w:pPr>
      <w:bookmarkStart w:id="31"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7989B406">
      <w:pPr>
        <w:spacing w:line="400" w:lineRule="exact"/>
        <w:ind w:firstLine="560" w:firstLineChars="200"/>
        <w:rPr>
          <w:rFonts w:hint="eastAsia" w:ascii="黑体" w:hAnsi="黑体" w:eastAsia="黑体" w:cs="黑体"/>
          <w:sz w:val="28"/>
          <w:szCs w:val="28"/>
        </w:rPr>
      </w:pPr>
    </w:p>
    <w:p w14:paraId="783203F6">
      <w:pPr>
        <w:spacing w:line="400" w:lineRule="exact"/>
        <w:jc w:val="center"/>
      </w:pPr>
      <w:r>
        <w:rPr>
          <w:rFonts w:ascii="黑体" w:hAnsi="黑体" w:eastAsia="黑体" w:cs="黑体"/>
          <w:sz w:val="28"/>
          <w:szCs w:val="28"/>
        </w:rPr>
        <w:t>财务状况报告、依法缴纳社会保险费的证明材料</w:t>
      </w:r>
    </w:p>
    <w:p w14:paraId="4E672F6F">
      <w:pPr>
        <w:spacing w:line="360" w:lineRule="auto"/>
        <w:jc w:val="center"/>
      </w:pPr>
      <w:r>
        <w:rPr>
          <w:szCs w:val="21"/>
        </w:rPr>
        <w:t xml:space="preserve">  </w:t>
      </w:r>
    </w:p>
    <w:p w14:paraId="19921572">
      <w:pPr>
        <w:spacing w:before="156" w:line="360" w:lineRule="auto"/>
      </w:pPr>
      <w:r>
        <w:rPr>
          <w:szCs w:val="21"/>
        </w:rPr>
        <w:t xml:space="preserve">  </w:t>
      </w:r>
    </w:p>
    <w:p w14:paraId="6920F911">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投标截止前上一年</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2ECC1B5F">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1241F5E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31"/>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419644E6">
      <w:pPr>
        <w:jc w:val="center"/>
        <w:rPr>
          <w:rFonts w:hint="eastAsia" w:ascii="华文中宋" w:hAnsi="华文中宋" w:eastAsia="华文中宋"/>
          <w:bCs/>
          <w:sz w:val="84"/>
          <w:szCs w:val="84"/>
        </w:rPr>
      </w:pPr>
    </w:p>
    <w:p w14:paraId="4DC0045A">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3184C517">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19589A9A">
      <w:pPr>
        <w:pStyle w:val="5"/>
        <w:rPr>
          <w:rFonts w:hint="eastAsia"/>
        </w:rPr>
      </w:pPr>
    </w:p>
    <w:p w14:paraId="40E84E4D">
      <w:pPr>
        <w:pStyle w:val="3"/>
        <w:adjustRightInd w:val="0"/>
        <w:snapToGrid w:val="0"/>
        <w:jc w:val="center"/>
        <w:rPr>
          <w:rFonts w:ascii="黑体" w:hAnsi="黑体" w:eastAsia="黑体"/>
          <w:sz w:val="44"/>
          <w:szCs w:val="44"/>
        </w:rPr>
      </w:pPr>
      <w:r>
        <w:rPr>
          <w:rFonts w:hint="eastAsia" w:ascii="黑体" w:hAnsi="黑体" w:eastAsia="黑体"/>
          <w:sz w:val="44"/>
          <w:szCs w:val="44"/>
        </w:rPr>
        <w:t>商务文件</w:t>
      </w:r>
    </w:p>
    <w:p w14:paraId="1A0A114D">
      <w:pPr>
        <w:adjustRightInd w:val="0"/>
        <w:snapToGrid w:val="0"/>
        <w:spacing w:line="360" w:lineRule="auto"/>
        <w:rPr>
          <w:rFonts w:ascii="宋体" w:hAnsi="宋体"/>
          <w:b/>
          <w:sz w:val="30"/>
          <w:szCs w:val="30"/>
        </w:rPr>
      </w:pPr>
    </w:p>
    <w:p w14:paraId="28A06A08">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6E1C9873">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1E91C2C">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1A5888F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183328A3">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D33823B">
      <w:pPr>
        <w:adjustRightInd w:val="0"/>
        <w:snapToGrid w:val="0"/>
        <w:spacing w:line="360" w:lineRule="auto"/>
        <w:rPr>
          <w:rFonts w:ascii="黑体" w:hAnsi="黑体" w:eastAsia="黑体"/>
          <w:sz w:val="30"/>
          <w:szCs w:val="30"/>
        </w:rPr>
      </w:pPr>
    </w:p>
    <w:p w14:paraId="6B55408F">
      <w:pPr>
        <w:adjustRightInd w:val="0"/>
        <w:snapToGrid w:val="0"/>
        <w:spacing w:line="360" w:lineRule="auto"/>
        <w:rPr>
          <w:rFonts w:ascii="黑体" w:hAnsi="宋体" w:eastAsia="黑体"/>
          <w:sz w:val="30"/>
          <w:szCs w:val="30"/>
        </w:rPr>
      </w:pPr>
    </w:p>
    <w:p w14:paraId="0A34E954">
      <w:pPr>
        <w:adjustRightInd w:val="0"/>
        <w:snapToGrid w:val="0"/>
        <w:spacing w:line="360" w:lineRule="auto"/>
        <w:rPr>
          <w:rFonts w:ascii="黑体" w:hAnsi="宋体" w:eastAsia="黑体"/>
          <w:sz w:val="30"/>
          <w:szCs w:val="30"/>
        </w:rPr>
      </w:pPr>
    </w:p>
    <w:p w14:paraId="494C473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241BBC3">
      <w:pPr>
        <w:pStyle w:val="4"/>
        <w:spacing w:before="0" w:after="0"/>
        <w:jc w:val="center"/>
        <w:rPr>
          <w:rFonts w:ascii="黑体" w:hAnsi="宋体" w:eastAsia="黑体"/>
        </w:rPr>
      </w:pPr>
    </w:p>
    <w:p w14:paraId="75DCF2CB">
      <w:pPr>
        <w:pStyle w:val="4"/>
        <w:spacing w:before="0" w:after="0"/>
        <w:jc w:val="center"/>
        <w:rPr>
          <w:rFonts w:hint="eastAsia" w:ascii="黑体" w:hAnsi="宋体" w:eastAsia="黑体"/>
        </w:rPr>
      </w:pPr>
      <w:r>
        <w:rPr>
          <w:rFonts w:hint="eastAsia" w:ascii="黑体" w:hAnsi="宋体" w:eastAsia="黑体"/>
        </w:rPr>
        <w:t>年  月  日</w:t>
      </w:r>
    </w:p>
    <w:p w14:paraId="5B1E5773">
      <w:pPr>
        <w:pStyle w:val="4"/>
        <w:spacing w:before="0" w:after="0"/>
        <w:rPr>
          <w:rFonts w:ascii="黑体" w:hAnsi="黑体"/>
          <w:bCs w:val="0"/>
          <w:sz w:val="21"/>
          <w:szCs w:val="21"/>
        </w:rPr>
      </w:pPr>
      <w:r>
        <w:rPr>
          <w:rFonts w:hint="eastAsia" w:ascii="黑体" w:hAnsi="宋体" w:eastAsia="黑体"/>
        </w:rPr>
        <w:br w:type="page"/>
      </w:r>
      <w:bookmarkStart w:id="32" w:name="_Toc20651254"/>
      <w:r>
        <w:rPr>
          <w:rFonts w:hint="eastAsia" w:ascii="黑体" w:hAnsi="黑体"/>
          <w:bCs w:val="0"/>
          <w:sz w:val="21"/>
          <w:szCs w:val="21"/>
        </w:rPr>
        <w:t>索引表2</w:t>
      </w:r>
      <w:bookmarkEnd w:id="32"/>
    </w:p>
    <w:p w14:paraId="4AD5CABC">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0187E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16924D37">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53AE23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7EAED5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DEA3F7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08954D7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1B777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57C5724">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6479A88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FED0F0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BE25B20">
            <w:pPr>
              <w:adjustRightInd w:val="0"/>
              <w:snapToGrid w:val="0"/>
              <w:spacing w:before="156" w:beforeLines="50" w:line="360" w:lineRule="auto"/>
              <w:jc w:val="center"/>
              <w:rPr>
                <w:rFonts w:ascii="宋体" w:hAnsi="宋体"/>
                <w:kern w:val="0"/>
                <w:szCs w:val="21"/>
              </w:rPr>
            </w:pPr>
          </w:p>
        </w:tc>
        <w:tc>
          <w:tcPr>
            <w:tcW w:w="1722" w:type="dxa"/>
            <w:noWrap w:val="0"/>
            <w:vAlign w:val="top"/>
          </w:tcPr>
          <w:p w14:paraId="1E152122">
            <w:pPr>
              <w:adjustRightInd w:val="0"/>
              <w:snapToGrid w:val="0"/>
              <w:spacing w:before="156" w:beforeLines="50" w:line="360" w:lineRule="auto"/>
              <w:jc w:val="center"/>
              <w:rPr>
                <w:rFonts w:ascii="宋体" w:hAnsi="宋体"/>
                <w:kern w:val="0"/>
                <w:sz w:val="20"/>
                <w:szCs w:val="21"/>
              </w:rPr>
            </w:pPr>
          </w:p>
        </w:tc>
      </w:tr>
      <w:tr w14:paraId="7CB4F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BFA6CD0">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4D4C1C">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47039D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3371B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C004D74">
            <w:pPr>
              <w:adjustRightInd w:val="0"/>
              <w:snapToGrid w:val="0"/>
              <w:spacing w:before="156" w:beforeLines="50" w:line="360" w:lineRule="auto"/>
              <w:jc w:val="center"/>
              <w:rPr>
                <w:rFonts w:ascii="宋体" w:hAnsi="宋体"/>
                <w:kern w:val="0"/>
                <w:sz w:val="20"/>
                <w:szCs w:val="21"/>
              </w:rPr>
            </w:pPr>
          </w:p>
        </w:tc>
      </w:tr>
      <w:tr w14:paraId="03CDA1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60E753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E71A26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BCBAF0F">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ACCD7E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3F4C2A">
            <w:pPr>
              <w:adjustRightInd w:val="0"/>
              <w:snapToGrid w:val="0"/>
              <w:spacing w:before="156" w:beforeLines="50" w:line="360" w:lineRule="auto"/>
              <w:jc w:val="center"/>
              <w:rPr>
                <w:rFonts w:ascii="宋体" w:hAnsi="宋体"/>
                <w:kern w:val="0"/>
                <w:sz w:val="20"/>
                <w:szCs w:val="21"/>
              </w:rPr>
            </w:pPr>
          </w:p>
        </w:tc>
      </w:tr>
      <w:tr w14:paraId="362EA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9138B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D9743E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20B322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BFEC67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EDCEF53">
            <w:pPr>
              <w:adjustRightInd w:val="0"/>
              <w:snapToGrid w:val="0"/>
              <w:spacing w:before="156" w:beforeLines="50" w:line="360" w:lineRule="auto"/>
              <w:jc w:val="center"/>
              <w:rPr>
                <w:rFonts w:ascii="宋体" w:hAnsi="宋体"/>
                <w:kern w:val="0"/>
                <w:sz w:val="20"/>
                <w:szCs w:val="21"/>
              </w:rPr>
            </w:pPr>
          </w:p>
        </w:tc>
      </w:tr>
      <w:tr w14:paraId="3F4C39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EF52164">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85D35E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49E57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644B48">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0FA0B4E4">
            <w:pPr>
              <w:adjustRightInd w:val="0"/>
              <w:snapToGrid w:val="0"/>
              <w:spacing w:before="156" w:beforeLines="50" w:line="360" w:lineRule="auto"/>
              <w:jc w:val="center"/>
              <w:rPr>
                <w:rFonts w:ascii="宋体" w:hAnsi="宋体"/>
                <w:kern w:val="0"/>
                <w:sz w:val="20"/>
                <w:szCs w:val="21"/>
              </w:rPr>
            </w:pPr>
          </w:p>
        </w:tc>
      </w:tr>
      <w:tr w14:paraId="5D59B8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A954B8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F3BAA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97BD5E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3C213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7EDBEE">
            <w:pPr>
              <w:adjustRightInd w:val="0"/>
              <w:snapToGrid w:val="0"/>
              <w:spacing w:before="156" w:beforeLines="50" w:line="360" w:lineRule="auto"/>
              <w:jc w:val="center"/>
              <w:rPr>
                <w:rFonts w:ascii="宋体" w:hAnsi="宋体"/>
                <w:kern w:val="0"/>
                <w:sz w:val="20"/>
                <w:szCs w:val="21"/>
              </w:rPr>
            </w:pPr>
          </w:p>
        </w:tc>
      </w:tr>
      <w:tr w14:paraId="6463F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DD3512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27D73CD">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C9D72B1">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E11F24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89D5D29">
            <w:pPr>
              <w:adjustRightInd w:val="0"/>
              <w:snapToGrid w:val="0"/>
              <w:spacing w:before="156" w:beforeLines="50" w:line="360" w:lineRule="auto"/>
              <w:jc w:val="center"/>
              <w:rPr>
                <w:rFonts w:ascii="宋体" w:hAnsi="宋体"/>
                <w:kern w:val="0"/>
                <w:sz w:val="20"/>
                <w:szCs w:val="21"/>
              </w:rPr>
            </w:pPr>
          </w:p>
        </w:tc>
      </w:tr>
      <w:tr w14:paraId="52CF32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4D446A7">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38C2BC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0188B0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8F4A3B9">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E02A7E">
            <w:pPr>
              <w:adjustRightInd w:val="0"/>
              <w:snapToGrid w:val="0"/>
              <w:spacing w:before="156" w:beforeLines="50" w:line="360" w:lineRule="auto"/>
              <w:jc w:val="center"/>
              <w:rPr>
                <w:rFonts w:ascii="宋体" w:hAnsi="宋体"/>
                <w:kern w:val="0"/>
                <w:sz w:val="20"/>
                <w:szCs w:val="21"/>
              </w:rPr>
            </w:pPr>
          </w:p>
        </w:tc>
      </w:tr>
      <w:tr w14:paraId="275AE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0199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5E3972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4604CD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0530B9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38A9C25">
            <w:pPr>
              <w:adjustRightInd w:val="0"/>
              <w:snapToGrid w:val="0"/>
              <w:spacing w:before="156" w:beforeLines="50" w:line="360" w:lineRule="auto"/>
              <w:jc w:val="center"/>
              <w:rPr>
                <w:rFonts w:ascii="宋体" w:hAnsi="宋体"/>
                <w:kern w:val="0"/>
                <w:sz w:val="20"/>
                <w:szCs w:val="21"/>
              </w:rPr>
            </w:pPr>
          </w:p>
        </w:tc>
      </w:tr>
      <w:tr w14:paraId="33E69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AFB87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DCEE89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AED84C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09E755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74C7C3E">
            <w:pPr>
              <w:adjustRightInd w:val="0"/>
              <w:snapToGrid w:val="0"/>
              <w:spacing w:before="156" w:beforeLines="50" w:line="360" w:lineRule="auto"/>
              <w:jc w:val="center"/>
              <w:rPr>
                <w:rFonts w:ascii="宋体" w:hAnsi="宋体"/>
                <w:kern w:val="0"/>
                <w:sz w:val="20"/>
                <w:szCs w:val="21"/>
              </w:rPr>
            </w:pPr>
          </w:p>
        </w:tc>
      </w:tr>
      <w:tr w14:paraId="31E6E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4D9E867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BF688B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0ED8AC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1F3243D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93ECDE4">
            <w:pPr>
              <w:adjustRightInd w:val="0"/>
              <w:snapToGrid w:val="0"/>
              <w:spacing w:before="156" w:beforeLines="50" w:line="360" w:lineRule="auto"/>
              <w:jc w:val="center"/>
              <w:rPr>
                <w:rFonts w:ascii="宋体" w:hAnsi="宋体"/>
                <w:kern w:val="0"/>
                <w:sz w:val="20"/>
                <w:szCs w:val="21"/>
              </w:rPr>
            </w:pPr>
          </w:p>
        </w:tc>
      </w:tr>
    </w:tbl>
    <w:p w14:paraId="586EC778"/>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color w:val="000000"/>
          <w:szCs w:val="21"/>
          <w:highlight w:val="none"/>
          <w:lang w:eastAsia="zh-CN"/>
        </w:rPr>
        <w:t>采购计划编号</w:t>
      </w:r>
      <w:r>
        <w:rPr>
          <w:rFonts w:hint="eastAsia" w:ascii="宋体" w:hAnsi="宋体" w:eastAsia="宋体"/>
          <w:color w:val="000000"/>
          <w:szCs w:val="21"/>
          <w:highlight w:val="none"/>
        </w:rPr>
        <w:t>：</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szCs w:val="21"/>
                <w:highlight w:val="none"/>
                <w:lang w:eastAsia="zh-CN"/>
              </w:rPr>
              <w:t>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tcPr>
          <w:p w14:paraId="6535EA15">
            <w:pPr>
              <w:shd w:val="clear" w:fill="FFFFFF"/>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tcPr>
          <w:p w14:paraId="59DDEF30">
            <w:pPr>
              <w:shd w:val="clear" w:fill="FFFFFF"/>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tcPr>
          <w:p w14:paraId="5508B8FA">
            <w:pPr>
              <w:shd w:val="clear" w:fill="FFFFFF"/>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tcPr>
          <w:p w14:paraId="51B6E198">
            <w:pPr>
              <w:shd w:val="clear" w:fill="FFFFFF"/>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3"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3"/>
      <w:r>
        <w:rPr>
          <w:rFonts w:hint="eastAsia" w:ascii="黑体" w:hAnsi="宋体" w:eastAsia="黑体"/>
          <w:b/>
          <w:bCs/>
          <w:sz w:val="28"/>
          <w:szCs w:val="28"/>
        </w:rPr>
        <w:t>中小企业声明函</w:t>
      </w:r>
    </w:p>
    <w:p w14:paraId="3EE2010C">
      <w:pPr>
        <w:widowControl/>
        <w:adjustRightInd w:val="0"/>
        <w:snapToGrid w:val="0"/>
        <w:spacing w:line="360" w:lineRule="auto"/>
        <w:ind w:firstLine="444" w:firstLineChars="200"/>
        <w:jc w:val="center"/>
        <w:rPr>
          <w:rFonts w:hint="eastAsia" w:ascii="宋体" w:hAnsi="宋体" w:eastAsia="宋体" w:cs="宋体"/>
          <w:spacing w:val="6"/>
          <w:kern w:val="0"/>
          <w:szCs w:val="21"/>
          <w:lang w:eastAsia="zh-CN"/>
        </w:rPr>
      </w:pPr>
      <w:r>
        <w:rPr>
          <w:rFonts w:hint="eastAsia" w:ascii="宋体" w:hAnsi="宋体" w:cs="宋体"/>
          <w:spacing w:val="6"/>
          <w:kern w:val="0"/>
          <w:szCs w:val="21"/>
          <w:lang w:eastAsia="zh-CN"/>
        </w:rPr>
        <w:t>（</w:t>
      </w:r>
      <w:r>
        <w:rPr>
          <w:rFonts w:hint="eastAsia" w:ascii="宋体" w:hAnsi="宋体" w:cs="宋体"/>
          <w:spacing w:val="6"/>
          <w:kern w:val="0"/>
          <w:szCs w:val="21"/>
          <w:lang w:val="en-US" w:eastAsia="zh-CN"/>
        </w:rPr>
        <w:t>不属于中小企业的无需填写</w:t>
      </w:r>
      <w:r>
        <w:rPr>
          <w:rFonts w:hint="eastAsia" w:ascii="宋体" w:hAnsi="宋体" w:cs="宋体"/>
          <w:spacing w:val="6"/>
          <w:kern w:val="0"/>
          <w:szCs w:val="21"/>
          <w:lang w:eastAsia="zh-CN"/>
        </w:rPr>
        <w:t>）</w:t>
      </w:r>
    </w:p>
    <w:p w14:paraId="77272379">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22EBAF5D">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4B594DF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31EA992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5994466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663A832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5E1B7F0B">
      <w:pPr>
        <w:adjustRightInd w:val="0"/>
        <w:snapToGrid w:val="0"/>
        <w:spacing w:line="360" w:lineRule="auto"/>
        <w:ind w:firstLine="444" w:firstLineChars="200"/>
        <w:rPr>
          <w:rFonts w:hint="eastAsia" w:ascii="宋体" w:hAnsi="宋体" w:cs="宋体"/>
          <w:bCs/>
          <w:spacing w:val="6"/>
          <w:kern w:val="0"/>
          <w:szCs w:val="21"/>
        </w:rPr>
      </w:pPr>
    </w:p>
    <w:p w14:paraId="224CB202">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66229CB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334EF60B">
      <w:pPr>
        <w:widowControl/>
        <w:adjustRightInd w:val="0"/>
        <w:snapToGrid w:val="0"/>
        <w:spacing w:line="360" w:lineRule="auto"/>
        <w:ind w:firstLine="420" w:firstLineChars="200"/>
        <w:jc w:val="center"/>
        <w:rPr>
          <w:rFonts w:hint="eastAsia" w:ascii="宋体" w:hAnsi="宋体"/>
        </w:rPr>
      </w:pPr>
    </w:p>
    <w:p w14:paraId="44F2BC9A">
      <w:pPr>
        <w:widowControl/>
        <w:adjustRightInd w:val="0"/>
        <w:snapToGrid w:val="0"/>
        <w:spacing w:line="360" w:lineRule="auto"/>
        <w:ind w:firstLine="420" w:firstLineChars="200"/>
        <w:jc w:val="center"/>
        <w:rPr>
          <w:rFonts w:hint="eastAsia" w:ascii="宋体" w:hAnsi="宋体"/>
        </w:rPr>
      </w:pPr>
    </w:p>
    <w:p w14:paraId="4ACDB504">
      <w:pPr>
        <w:pStyle w:val="20"/>
        <w:ind w:firstLine="210"/>
        <w:rPr>
          <w:rFonts w:hint="eastAsia" w:ascii="宋体" w:hAnsi="宋体"/>
          <w:szCs w:val="21"/>
        </w:rPr>
      </w:pPr>
    </w:p>
    <w:p w14:paraId="4E2BA124">
      <w:pPr>
        <w:pStyle w:val="20"/>
        <w:ind w:firstLine="210"/>
        <w:rPr>
          <w:rFonts w:hint="eastAsia" w:ascii="宋体" w:hAnsi="宋体"/>
          <w:szCs w:val="21"/>
        </w:rPr>
      </w:pPr>
    </w:p>
    <w:p w14:paraId="592F104F">
      <w:pPr>
        <w:pStyle w:val="15"/>
        <w:rPr>
          <w:rFonts w:hint="eastAsia"/>
        </w:rPr>
      </w:pPr>
    </w:p>
    <w:p w14:paraId="77F97467">
      <w:pPr>
        <w:pStyle w:val="15"/>
        <w:rPr>
          <w:rFonts w:hint="eastAsia"/>
        </w:rPr>
      </w:pPr>
    </w:p>
    <w:p w14:paraId="330BB7BC">
      <w:pPr>
        <w:pStyle w:val="15"/>
        <w:rPr>
          <w:rFonts w:hint="eastAsia"/>
        </w:rPr>
      </w:pPr>
    </w:p>
    <w:p w14:paraId="5C18460F">
      <w:pPr>
        <w:pStyle w:val="15"/>
        <w:rPr>
          <w:rFonts w:hint="eastAsia"/>
        </w:rPr>
      </w:pPr>
    </w:p>
    <w:p w14:paraId="56D22462">
      <w:pPr>
        <w:pStyle w:val="15"/>
        <w:rPr>
          <w:rFonts w:hint="eastAsia"/>
        </w:rPr>
      </w:pPr>
    </w:p>
    <w:p w14:paraId="3F634C14">
      <w:pPr>
        <w:pStyle w:val="15"/>
        <w:rPr>
          <w:rFonts w:hint="eastAsia"/>
        </w:rPr>
      </w:pPr>
    </w:p>
    <w:p w14:paraId="0192EAB4">
      <w:pPr>
        <w:pStyle w:val="15"/>
        <w:rPr>
          <w:rFonts w:hint="eastAsia"/>
        </w:rPr>
      </w:pPr>
    </w:p>
    <w:p w14:paraId="3F3754E4">
      <w:pPr>
        <w:pStyle w:val="15"/>
        <w:rPr>
          <w:rFonts w:hint="eastAsia"/>
        </w:rPr>
      </w:pPr>
    </w:p>
    <w:p w14:paraId="3BDA5D93">
      <w:pPr>
        <w:pStyle w:val="15"/>
        <w:rPr>
          <w:rFonts w:hint="eastAsia"/>
        </w:rPr>
      </w:pPr>
    </w:p>
    <w:p w14:paraId="78E7D5D6">
      <w:pPr>
        <w:pStyle w:val="15"/>
        <w:rPr>
          <w:rFonts w:hint="eastAsia"/>
        </w:rPr>
      </w:pPr>
    </w:p>
    <w:p w14:paraId="6E193E08">
      <w:pPr>
        <w:pStyle w:val="15"/>
        <w:rPr>
          <w:rFonts w:hint="eastAsia"/>
        </w:rPr>
      </w:pPr>
    </w:p>
    <w:p w14:paraId="2D9743CC">
      <w:pPr>
        <w:pStyle w:val="15"/>
        <w:rPr>
          <w:rFonts w:hint="eastAsia"/>
        </w:rPr>
      </w:pPr>
    </w:p>
    <w:p w14:paraId="1975E1D5">
      <w:pPr>
        <w:pStyle w:val="15"/>
        <w:rPr>
          <w:rFonts w:hint="eastAsia"/>
        </w:rPr>
      </w:pPr>
    </w:p>
    <w:p w14:paraId="1CC1E810">
      <w:pPr>
        <w:pStyle w:val="15"/>
        <w:rPr>
          <w:rFonts w:hint="eastAsia"/>
        </w:rPr>
      </w:pPr>
    </w:p>
    <w:p w14:paraId="14015F20">
      <w:pPr>
        <w:pStyle w:val="15"/>
        <w:rPr>
          <w:rFonts w:hint="eastAsia"/>
        </w:rPr>
      </w:pPr>
    </w:p>
    <w:p w14:paraId="3888D6F3">
      <w:pPr>
        <w:pStyle w:val="15"/>
        <w:rPr>
          <w:rFonts w:hint="eastAsia"/>
        </w:rPr>
      </w:pPr>
    </w:p>
    <w:p w14:paraId="2F2F00BD">
      <w:pPr>
        <w:pStyle w:val="15"/>
        <w:rPr>
          <w:rFonts w:hint="eastAsia"/>
        </w:rPr>
      </w:pPr>
    </w:p>
    <w:p w14:paraId="55BC50A1">
      <w:pPr>
        <w:pStyle w:val="15"/>
        <w:rPr>
          <w:rFonts w:hint="eastAsia"/>
        </w:rPr>
      </w:pPr>
    </w:p>
    <w:p w14:paraId="37F38944">
      <w:pPr>
        <w:pStyle w:val="15"/>
        <w:rPr>
          <w:rFonts w:hint="eastAsia"/>
        </w:rPr>
      </w:pPr>
    </w:p>
    <w:p w14:paraId="4C9B11F9">
      <w:pPr>
        <w:pStyle w:val="15"/>
        <w:rPr>
          <w:rFonts w:hint="eastAsia"/>
        </w:rPr>
      </w:pPr>
    </w:p>
    <w:p w14:paraId="623E25E0">
      <w:pPr>
        <w:pStyle w:val="15"/>
        <w:rPr>
          <w:rFonts w:hint="eastAsia"/>
        </w:rPr>
      </w:pPr>
    </w:p>
    <w:p w14:paraId="3DC9DE1B">
      <w:pPr>
        <w:pStyle w:val="15"/>
        <w:rPr>
          <w:rFonts w:ascii="宋体" w:hAnsi="宋体"/>
          <w:b/>
          <w:kern w:val="2"/>
          <w:sz w:val="21"/>
          <w:szCs w:val="21"/>
        </w:rPr>
      </w:pPr>
      <w:bookmarkStart w:id="36" w:name="_GoBack"/>
      <w:bookmarkEnd w:id="36"/>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供货</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4" w:name="_Toc20651268"/>
    </w:p>
    <w:bookmarkEnd w:id="34"/>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5" w:name="_Toc20651272"/>
      <w:r>
        <w:rPr>
          <w:rFonts w:hint="eastAsia" w:ascii="黑体" w:hAnsi="宋体" w:eastAsia="黑体"/>
          <w:sz w:val="28"/>
          <w:szCs w:val="28"/>
        </w:rPr>
        <w:t>十三、投标货物符合招标文件规定的证明文件</w:t>
      </w:r>
      <w:bookmarkEnd w:id="35"/>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6298354D"/>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B4F9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736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DA38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FED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EC3CA110"/>
    <w:multiLevelType w:val="singleLevel"/>
    <w:tmpl w:val="EC3CA110"/>
    <w:lvl w:ilvl="0" w:tentative="0">
      <w:start w:val="1"/>
      <w:numFmt w:val="decimal"/>
      <w:suff w:val="nothing"/>
      <w:lvlText w:val="（%1）"/>
      <w:lvlJc w:val="left"/>
    </w:lvl>
  </w:abstractNum>
  <w:abstractNum w:abstractNumId="2">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3">
    <w:nsid w:val="423F5AB0"/>
    <w:multiLevelType w:val="singleLevel"/>
    <w:tmpl w:val="423F5AB0"/>
    <w:lvl w:ilvl="0" w:tentative="0">
      <w:start w:val="2"/>
      <w:numFmt w:val="chineseCounting"/>
      <w:suff w:val="space"/>
      <w:lvlText w:val="第%1节"/>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20531A4"/>
    <w:rsid w:val="032D6C5E"/>
    <w:rsid w:val="04781A0B"/>
    <w:rsid w:val="04BF763A"/>
    <w:rsid w:val="05B44C43"/>
    <w:rsid w:val="06220271"/>
    <w:rsid w:val="081D7BC4"/>
    <w:rsid w:val="086C1887"/>
    <w:rsid w:val="08DF02AB"/>
    <w:rsid w:val="092A75B4"/>
    <w:rsid w:val="098B4540"/>
    <w:rsid w:val="0A145522"/>
    <w:rsid w:val="0AFE59A1"/>
    <w:rsid w:val="0B354856"/>
    <w:rsid w:val="0BAB5531"/>
    <w:rsid w:val="0C4E66B0"/>
    <w:rsid w:val="0CA073F2"/>
    <w:rsid w:val="0CC46135"/>
    <w:rsid w:val="0D3861CD"/>
    <w:rsid w:val="0D482A5E"/>
    <w:rsid w:val="0D646FD0"/>
    <w:rsid w:val="0D6B512B"/>
    <w:rsid w:val="0D7134FD"/>
    <w:rsid w:val="0DCB704F"/>
    <w:rsid w:val="0DD979BE"/>
    <w:rsid w:val="0E3E3CC5"/>
    <w:rsid w:val="0E4868F2"/>
    <w:rsid w:val="0EFC4703"/>
    <w:rsid w:val="0F220EF1"/>
    <w:rsid w:val="0F3E3561"/>
    <w:rsid w:val="0F4B369F"/>
    <w:rsid w:val="100B5949"/>
    <w:rsid w:val="10264A11"/>
    <w:rsid w:val="102913E9"/>
    <w:rsid w:val="112935ED"/>
    <w:rsid w:val="117A6596"/>
    <w:rsid w:val="125014BD"/>
    <w:rsid w:val="12C30517"/>
    <w:rsid w:val="132966A1"/>
    <w:rsid w:val="15634CFC"/>
    <w:rsid w:val="15736932"/>
    <w:rsid w:val="160B4EEE"/>
    <w:rsid w:val="16734728"/>
    <w:rsid w:val="16863885"/>
    <w:rsid w:val="16BE1E47"/>
    <w:rsid w:val="17E256C1"/>
    <w:rsid w:val="18F65FFA"/>
    <w:rsid w:val="1B214753"/>
    <w:rsid w:val="1B357903"/>
    <w:rsid w:val="1C2370E7"/>
    <w:rsid w:val="1CC730D8"/>
    <w:rsid w:val="1CD83537"/>
    <w:rsid w:val="1D466424"/>
    <w:rsid w:val="1E166A0A"/>
    <w:rsid w:val="1E335993"/>
    <w:rsid w:val="1E5C584A"/>
    <w:rsid w:val="1EBB6E34"/>
    <w:rsid w:val="1FF32470"/>
    <w:rsid w:val="21863561"/>
    <w:rsid w:val="21CA5B44"/>
    <w:rsid w:val="21FC0048"/>
    <w:rsid w:val="22DE117B"/>
    <w:rsid w:val="2329689A"/>
    <w:rsid w:val="23767606"/>
    <w:rsid w:val="24534A8E"/>
    <w:rsid w:val="25C24D84"/>
    <w:rsid w:val="26F465AD"/>
    <w:rsid w:val="26F47310"/>
    <w:rsid w:val="27210AB0"/>
    <w:rsid w:val="27D35027"/>
    <w:rsid w:val="290A574F"/>
    <w:rsid w:val="29CF0977"/>
    <w:rsid w:val="2A2B10B4"/>
    <w:rsid w:val="2A5958DE"/>
    <w:rsid w:val="2A73489F"/>
    <w:rsid w:val="2AAF3B29"/>
    <w:rsid w:val="2B49422F"/>
    <w:rsid w:val="2CAF365B"/>
    <w:rsid w:val="2E0A0A0D"/>
    <w:rsid w:val="2EFD4F49"/>
    <w:rsid w:val="2F193C67"/>
    <w:rsid w:val="2F9257C7"/>
    <w:rsid w:val="2FC11C09"/>
    <w:rsid w:val="30001FCA"/>
    <w:rsid w:val="310D77FB"/>
    <w:rsid w:val="31FC517A"/>
    <w:rsid w:val="324D3980"/>
    <w:rsid w:val="32621751"/>
    <w:rsid w:val="32781F6E"/>
    <w:rsid w:val="329D6F19"/>
    <w:rsid w:val="338E23E6"/>
    <w:rsid w:val="342A79DC"/>
    <w:rsid w:val="34643100"/>
    <w:rsid w:val="34951FE2"/>
    <w:rsid w:val="34CF2B8A"/>
    <w:rsid w:val="34D96F18"/>
    <w:rsid w:val="356940CE"/>
    <w:rsid w:val="36484E32"/>
    <w:rsid w:val="366559E4"/>
    <w:rsid w:val="3699743B"/>
    <w:rsid w:val="36F47456"/>
    <w:rsid w:val="373003ED"/>
    <w:rsid w:val="38C74734"/>
    <w:rsid w:val="39091F35"/>
    <w:rsid w:val="39965EB4"/>
    <w:rsid w:val="39F60B9B"/>
    <w:rsid w:val="3A93576A"/>
    <w:rsid w:val="3B871A39"/>
    <w:rsid w:val="3CB745E3"/>
    <w:rsid w:val="3CCB5100"/>
    <w:rsid w:val="3D3B749E"/>
    <w:rsid w:val="3DFE0FBD"/>
    <w:rsid w:val="3EBC63BD"/>
    <w:rsid w:val="3EF24D07"/>
    <w:rsid w:val="3F1735F3"/>
    <w:rsid w:val="40663A02"/>
    <w:rsid w:val="40751EC0"/>
    <w:rsid w:val="40F96D6D"/>
    <w:rsid w:val="4149712E"/>
    <w:rsid w:val="41AA54DF"/>
    <w:rsid w:val="425A03C6"/>
    <w:rsid w:val="426C3C56"/>
    <w:rsid w:val="42BC0C0E"/>
    <w:rsid w:val="4366638D"/>
    <w:rsid w:val="43BF6DCD"/>
    <w:rsid w:val="43DF63AB"/>
    <w:rsid w:val="44BC7116"/>
    <w:rsid w:val="45BA27F4"/>
    <w:rsid w:val="460F14C8"/>
    <w:rsid w:val="464C0026"/>
    <w:rsid w:val="48241959"/>
    <w:rsid w:val="492B03C7"/>
    <w:rsid w:val="495913D8"/>
    <w:rsid w:val="497F6965"/>
    <w:rsid w:val="4B571947"/>
    <w:rsid w:val="4CEF16C3"/>
    <w:rsid w:val="4DAC17E8"/>
    <w:rsid w:val="4F245FE4"/>
    <w:rsid w:val="50F33EC0"/>
    <w:rsid w:val="51705511"/>
    <w:rsid w:val="51A91D15"/>
    <w:rsid w:val="51B239E7"/>
    <w:rsid w:val="51B65558"/>
    <w:rsid w:val="520D3E21"/>
    <w:rsid w:val="52AD5B3E"/>
    <w:rsid w:val="52AE0B5B"/>
    <w:rsid w:val="54B34D6C"/>
    <w:rsid w:val="54EF39FA"/>
    <w:rsid w:val="550511D2"/>
    <w:rsid w:val="55860053"/>
    <w:rsid w:val="562179FB"/>
    <w:rsid w:val="56575206"/>
    <w:rsid w:val="57B3314C"/>
    <w:rsid w:val="59823165"/>
    <w:rsid w:val="59CC7390"/>
    <w:rsid w:val="59F72969"/>
    <w:rsid w:val="5A2D022C"/>
    <w:rsid w:val="5C6519E1"/>
    <w:rsid w:val="5D29697A"/>
    <w:rsid w:val="5D72616D"/>
    <w:rsid w:val="5D8D2FA6"/>
    <w:rsid w:val="5E361890"/>
    <w:rsid w:val="5E5E2B95"/>
    <w:rsid w:val="5E785A7D"/>
    <w:rsid w:val="5EAC7B3F"/>
    <w:rsid w:val="5F6F6BEE"/>
    <w:rsid w:val="5F8D1984"/>
    <w:rsid w:val="5FA568C3"/>
    <w:rsid w:val="5FC058B5"/>
    <w:rsid w:val="60FE457C"/>
    <w:rsid w:val="621F22B5"/>
    <w:rsid w:val="630E6937"/>
    <w:rsid w:val="63216478"/>
    <w:rsid w:val="632717A7"/>
    <w:rsid w:val="63A63014"/>
    <w:rsid w:val="67C63C85"/>
    <w:rsid w:val="68000819"/>
    <w:rsid w:val="6869001F"/>
    <w:rsid w:val="6A100433"/>
    <w:rsid w:val="6A633A0D"/>
    <w:rsid w:val="6C0912D8"/>
    <w:rsid w:val="6D7A56E8"/>
    <w:rsid w:val="6DD65A7D"/>
    <w:rsid w:val="6E386F5E"/>
    <w:rsid w:val="6EA939B8"/>
    <w:rsid w:val="6FF60E7F"/>
    <w:rsid w:val="71846153"/>
    <w:rsid w:val="72364B87"/>
    <w:rsid w:val="72964253"/>
    <w:rsid w:val="7358775B"/>
    <w:rsid w:val="73E97793"/>
    <w:rsid w:val="74E92523"/>
    <w:rsid w:val="750162FC"/>
    <w:rsid w:val="754778C1"/>
    <w:rsid w:val="75873075"/>
    <w:rsid w:val="771D13E7"/>
    <w:rsid w:val="77536BB7"/>
    <w:rsid w:val="7BAC4AE8"/>
    <w:rsid w:val="7BC40083"/>
    <w:rsid w:val="7CF76237"/>
    <w:rsid w:val="7D256900"/>
    <w:rsid w:val="7E01736D"/>
    <w:rsid w:val="7FEA1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2324</Words>
  <Characters>2464</Characters>
  <Lines>0</Lines>
  <Paragraphs>0</Paragraphs>
  <TotalTime>0</TotalTime>
  <ScaleCrop>false</ScaleCrop>
  <LinksUpToDate>false</LinksUpToDate>
  <CharactersWithSpaces>2470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2026-08-20T08:10:00Z</cp:lastPrinted>
  <dcterms:modified xsi:type="dcterms:W3CDTF">2026-09-10T03:37:57Z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